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48"/>
          <w:szCs w:val="48"/>
        </w:rPr>
      </w:pPr>
      <w:r>
        <w:rPr>
          <w:rFonts w:ascii="Times New Roman" w:hAnsi="Times New Roman"/>
          <w:b/>
          <w:bCs/>
          <w:sz w:val="48"/>
          <w:szCs w:val="48"/>
        </w:rPr>
        <w:t>Polycythemia Vera- an overview</w:t>
      </w:r>
    </w:p>
    <w:p>
      <w:pPr>
        <w:jc w:val="both"/>
        <w:rPr>
          <w:rFonts w:ascii="Times New Roman" w:hAnsi="Times New Roman"/>
          <w:b/>
          <w:bCs/>
        </w:rPr>
      </w:pPr>
    </w:p>
    <w:p>
      <w:pPr>
        <w:jc w:val="both"/>
        <w:rPr>
          <w:rFonts w:ascii="Times New Roman" w:hAnsi="Times New Roman"/>
          <w:b/>
          <w:bCs/>
          <w:color w:val="auto"/>
        </w:rPr>
      </w:pPr>
      <w:r>
        <w:rPr>
          <w:rFonts w:ascii="Times New Roman" w:hAnsi="Times New Roman"/>
          <w:b/>
          <w:bCs/>
          <w:color w:val="auto"/>
        </w:rPr>
        <w:t xml:space="preserve">L.P. Meena, </w:t>
      </w:r>
      <w:r>
        <w:rPr>
          <w:rFonts w:ascii="Times New Roman" w:hAnsi="Times New Roman"/>
          <w:bCs/>
          <w:color w:val="auto"/>
        </w:rPr>
        <w:t>Professor, Deaprtment of General Medicine, Institute of Medical sciences, Banaras Hindu University, India</w:t>
      </w:r>
    </w:p>
    <w:p>
      <w:pPr>
        <w:jc w:val="both"/>
        <w:rPr>
          <w:rFonts w:ascii="Times New Roman" w:hAnsi="Times New Roman"/>
          <w:bCs/>
          <w:color w:val="auto"/>
        </w:rPr>
      </w:pPr>
      <w:r>
        <w:rPr>
          <w:rFonts w:ascii="Times New Roman" w:hAnsi="Times New Roman"/>
          <w:b/>
          <w:bCs/>
          <w:color w:val="auto"/>
        </w:rPr>
        <w:t xml:space="preserve">Anju Bharti, </w:t>
      </w:r>
      <w:r>
        <w:rPr>
          <w:rFonts w:ascii="Times New Roman" w:hAnsi="Times New Roman"/>
          <w:bCs/>
          <w:color w:val="auto"/>
        </w:rPr>
        <w:t>Associate Professor, Deaprtment of Pathology, Institute of Medical sciences, Banaras Hindu University, India</w:t>
      </w:r>
    </w:p>
    <w:p>
      <w:pPr>
        <w:jc w:val="both"/>
        <w:rPr>
          <w:rFonts w:ascii="Times New Roman" w:hAnsi="Times New Roman"/>
          <w:bCs/>
          <w:color w:val="auto"/>
        </w:rPr>
      </w:pPr>
    </w:p>
    <w:p>
      <w:pPr>
        <w:jc w:val="both"/>
        <w:rPr>
          <w:rFonts w:ascii="Times New Roman" w:hAnsi="Times New Roman"/>
          <w:b/>
          <w:bCs/>
          <w:color w:val="auto"/>
          <w:sz w:val="20"/>
          <w:szCs w:val="20"/>
        </w:rPr>
      </w:pPr>
      <w:r>
        <w:rPr>
          <w:rFonts w:ascii="Times New Roman" w:hAnsi="Times New Roman"/>
          <w:b/>
          <w:bCs/>
          <w:color w:val="auto"/>
          <w:sz w:val="20"/>
          <w:szCs w:val="20"/>
        </w:rPr>
        <w:t xml:space="preserve">Abstract: </w:t>
      </w:r>
    </w:p>
    <w:p>
      <w:pPr>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Polycythemia Vera (PV) is a clonal myeloproliferative disorder involving a multipotent hematopoietic progenitor cell in which phenotypically normal blood cells proliferate in the absence of a known physiological stimulus. Patients with polycythemia may be asymptomatic or experience symptoms due to hyperviscosity. Venous and arterial thrombosis may be the presenting symptoms in some patients of this disorder. Aquagenic pruritis and erythromelalgia are some specific symptoms of </w:t>
      </w:r>
      <w:r>
        <w:rPr>
          <w:rFonts w:hint="default" w:ascii="Times New Roman" w:hAnsi="Times New Roman"/>
          <w:color w:val="auto"/>
          <w:sz w:val="20"/>
          <w:szCs w:val="20"/>
          <w:shd w:val="clear" w:color="auto" w:fill="FFFFFF"/>
          <w:lang w:val="en-IN"/>
        </w:rPr>
        <w:t>polycythemia vera (</w:t>
      </w:r>
      <w:r>
        <w:rPr>
          <w:rFonts w:ascii="Times New Roman" w:hAnsi="Times New Roman"/>
          <w:color w:val="auto"/>
          <w:sz w:val="20"/>
          <w:szCs w:val="20"/>
          <w:shd w:val="clear" w:color="auto" w:fill="FFFFFF"/>
        </w:rPr>
        <w:t>PV</w:t>
      </w:r>
      <w:r>
        <w:rPr>
          <w:rFonts w:hint="default" w:ascii="Times New Roman" w:hAnsi="Times New Roman"/>
          <w:color w:val="auto"/>
          <w:sz w:val="20"/>
          <w:szCs w:val="20"/>
          <w:shd w:val="clear" w:color="auto" w:fill="FFFFFF"/>
          <w:lang w:val="en-IN"/>
        </w:rPr>
        <w:t>)</w:t>
      </w:r>
      <w:r>
        <w:rPr>
          <w:rFonts w:ascii="Times New Roman" w:hAnsi="Times New Roman"/>
          <w:color w:val="auto"/>
          <w:sz w:val="20"/>
          <w:szCs w:val="20"/>
          <w:shd w:val="clear" w:color="auto" w:fill="FFFFFF"/>
        </w:rPr>
        <w:t xml:space="preserve">. When a patient with polycythemia vera presents with features of panmyelosis (erythrocytosis, leucocytosis,  thrombocytosis) and or splenomegaly the disease is </w:t>
      </w:r>
      <w:r>
        <w:rPr>
          <w:rFonts w:hint="default" w:ascii="Times New Roman" w:hAnsi="Times New Roman"/>
          <w:color w:val="auto"/>
          <w:sz w:val="20"/>
          <w:szCs w:val="20"/>
          <w:shd w:val="clear" w:color="auto" w:fill="FFFFFF"/>
          <w:lang w:val="en-IN"/>
        </w:rPr>
        <w:t>obvious</w:t>
      </w:r>
      <w:r>
        <w:rPr>
          <w:rFonts w:ascii="Times New Roman" w:hAnsi="Times New Roman"/>
          <w:color w:val="auto"/>
          <w:sz w:val="20"/>
          <w:szCs w:val="20"/>
          <w:shd w:val="clear" w:color="auto" w:fill="FFFFFF"/>
        </w:rPr>
        <w:t xml:space="preserve">. Diagnostic criteria for </w:t>
      </w:r>
      <w:r>
        <w:rPr>
          <w:rFonts w:hint="default" w:ascii="Times New Roman" w:hAnsi="Times New Roman"/>
          <w:color w:val="auto"/>
          <w:sz w:val="20"/>
          <w:szCs w:val="20"/>
          <w:shd w:val="clear" w:color="auto" w:fill="FFFFFF"/>
          <w:lang w:val="en-IN"/>
        </w:rPr>
        <w:t xml:space="preserve">PV </w:t>
      </w:r>
      <w:r>
        <w:rPr>
          <w:rFonts w:ascii="Times New Roman" w:hAnsi="Times New Roman"/>
          <w:color w:val="auto"/>
          <w:sz w:val="20"/>
          <w:szCs w:val="20"/>
          <w:shd w:val="clear" w:color="auto" w:fill="FFFFFF"/>
        </w:rPr>
        <w:t xml:space="preserve"> as per 2016 revised WHO guidelines include </w:t>
      </w:r>
      <w:r>
        <w:rPr>
          <w:rFonts w:hint="default" w:ascii="Times New Roman" w:hAnsi="Times New Roman"/>
          <w:color w:val="auto"/>
          <w:sz w:val="20"/>
          <w:szCs w:val="20"/>
          <w:shd w:val="clear" w:color="auto" w:fill="FFFFFF"/>
          <w:lang w:val="en-IN"/>
        </w:rPr>
        <w:t xml:space="preserve">three </w:t>
      </w:r>
      <w:r>
        <w:rPr>
          <w:rFonts w:ascii="Times New Roman" w:hAnsi="Times New Roman"/>
          <w:color w:val="auto"/>
          <w:sz w:val="20"/>
          <w:szCs w:val="20"/>
          <w:shd w:val="clear" w:color="auto" w:fill="FFFFFF"/>
        </w:rPr>
        <w:t xml:space="preserve"> major criteria and </w:t>
      </w:r>
      <w:r>
        <w:rPr>
          <w:rFonts w:hint="default" w:ascii="Times New Roman" w:hAnsi="Times New Roman"/>
          <w:color w:val="auto"/>
          <w:sz w:val="20"/>
          <w:szCs w:val="20"/>
          <w:shd w:val="clear" w:color="auto" w:fill="FFFFFF"/>
          <w:lang w:val="en-IN"/>
        </w:rPr>
        <w:t xml:space="preserve">one </w:t>
      </w:r>
      <w:r>
        <w:rPr>
          <w:rFonts w:ascii="Times New Roman" w:hAnsi="Times New Roman"/>
          <w:color w:val="auto"/>
          <w:sz w:val="20"/>
          <w:szCs w:val="20"/>
          <w:shd w:val="clear" w:color="auto" w:fill="FFFFFF"/>
        </w:rPr>
        <w:t xml:space="preserve"> minor criterion. Diagnosis requires the presence of either all </w:t>
      </w:r>
      <w:r>
        <w:rPr>
          <w:rFonts w:hint="default" w:ascii="Times New Roman" w:hAnsi="Times New Roman"/>
          <w:color w:val="auto"/>
          <w:sz w:val="20"/>
          <w:szCs w:val="20"/>
          <w:shd w:val="clear" w:color="auto" w:fill="FFFFFF"/>
          <w:lang w:val="en-IN"/>
        </w:rPr>
        <w:t xml:space="preserve">three </w:t>
      </w:r>
      <w:r>
        <w:rPr>
          <w:rFonts w:ascii="Times New Roman" w:hAnsi="Times New Roman"/>
          <w:color w:val="auto"/>
          <w:sz w:val="20"/>
          <w:szCs w:val="20"/>
          <w:shd w:val="clear" w:color="auto" w:fill="FFFFFF"/>
        </w:rPr>
        <w:t xml:space="preserve"> major criteria or the first </w:t>
      </w:r>
      <w:r>
        <w:rPr>
          <w:rFonts w:hint="default" w:ascii="Times New Roman" w:hAnsi="Times New Roman"/>
          <w:color w:val="auto"/>
          <w:sz w:val="20"/>
          <w:szCs w:val="20"/>
          <w:shd w:val="clear" w:color="auto" w:fill="FFFFFF"/>
          <w:lang w:val="en-IN"/>
        </w:rPr>
        <w:t>two</w:t>
      </w:r>
      <w:r>
        <w:rPr>
          <w:rFonts w:ascii="Times New Roman" w:hAnsi="Times New Roman"/>
          <w:color w:val="auto"/>
          <w:sz w:val="20"/>
          <w:szCs w:val="20"/>
          <w:shd w:val="clear" w:color="auto" w:fill="FFFFFF"/>
        </w:rPr>
        <w:t xml:space="preserve"> major criteria and the minor criterion. PV patients are categorized into two groups for treatment: Low-risk patients and High-risk patients. Phlebotomy, low-dose aspirin, cytoreductive therapies, and JAK-2 inhibitors are the treatment options for this disorder.</w:t>
      </w:r>
    </w:p>
    <w:p>
      <w:pPr>
        <w:spacing w:before="0" w:beforeAutospacing="0"/>
        <w:rPr>
          <w:rFonts w:ascii="Times New Roman" w:hAnsi="Times New Roman"/>
          <w:b/>
          <w:bCs/>
          <w:color w:val="auto"/>
          <w:sz w:val="20"/>
          <w:szCs w:val="20"/>
          <w:shd w:val="clear" w:color="auto" w:fill="FFFFFF"/>
        </w:rPr>
      </w:pPr>
      <w:r>
        <w:rPr>
          <w:rFonts w:ascii="Times New Roman" w:hAnsi="Times New Roman"/>
          <w:b/>
          <w:bCs/>
          <w:color w:val="auto"/>
          <w:sz w:val="20"/>
          <w:szCs w:val="20"/>
          <w:shd w:val="clear" w:color="auto" w:fill="FFFFFF"/>
        </w:rPr>
        <w:br w:type="page"/>
      </w:r>
    </w:p>
    <w:p>
      <w:pPr>
        <w:spacing w:before="0" w:beforeAutospacing="0"/>
        <w:jc w:val="both"/>
        <w:rPr>
          <w:rFonts w:ascii="Times New Roman" w:hAnsi="Times New Roman"/>
          <w:b/>
          <w:bCs/>
          <w:color w:val="auto"/>
          <w:sz w:val="20"/>
          <w:szCs w:val="20"/>
          <w:shd w:val="clear" w:color="auto" w:fill="FFFFFF"/>
        </w:rPr>
      </w:pPr>
      <w:r>
        <w:rPr>
          <w:rFonts w:ascii="Times New Roman" w:hAnsi="Times New Roman"/>
          <w:b/>
          <w:bCs/>
          <w:color w:val="auto"/>
          <w:sz w:val="20"/>
          <w:szCs w:val="20"/>
          <w:shd w:val="clear" w:color="auto" w:fill="FFFFFF"/>
        </w:rPr>
        <w:t xml:space="preserve">Introduction: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Polycythemia is a clonal myeloproliferative disorder involving a multipotent hematopoietic progenitor cell in which phenotypically normal blood cells (RBCs, Granulocytes, platelets) proliferate in the absence of a known physiological stimulus. Etiology: The exact etiology of PV is not known. Although some nonrandom chromosome abnormalities have been documented in up to 30 % of nontreated PV patients. A mutation in the pseudokinase domain of the tyrosine kinase, JAK-2 appears to have a central role in the pathogenesis of PV Clinical features: Patients with polycythemia may be asymptomatic or experience symptoms due to hyperviscosity, which include neurological symptoms such as vertigo, tinnitus, headache, visual disturbance, TIA, and systolic hypertension. Venous and arterial thrombosis may be the presenting symptoms in some patients of this disorder. Aquagenic pruritis, epistaxis, digital ischemia, gastrointestinal hemorrhage, and easy bruisability may occur due to vascular stasis or thrombocytosis. Some patients may have erythromelalgia which is characterized by erythema and burning sensation in extremities due to severe thrombocytosis. Hyperuricemia which leads to secondary gout, and uric acid stones are the other manifestation of this disorder. Diagnosis: When a patient with polycythemia vera presents with features of panmyelosis (erythrocytosis, leucocytosis, and thrombocytosis) and or splenomegaly the disease is apparent. However, when patients present with an elevated hematocrit, hemoglobin, or red cell count alone than the diagnostic approach became more complex due to the possibilities of many differentials [1] (Figure 1)</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Diagnostic criteria for PV : Diagnostic criteria for Polycythemia Vera</w:t>
      </w:r>
      <w:r>
        <w:rPr>
          <w:rFonts w:hint="default" w:ascii="Times New Roman" w:hAnsi="Times New Roman"/>
          <w:color w:val="auto"/>
          <w:sz w:val="20"/>
          <w:szCs w:val="20"/>
          <w:shd w:val="clear" w:color="auto" w:fill="FFFFFF"/>
          <w:lang w:val="en-IN"/>
        </w:rPr>
        <w:t xml:space="preserve"> (PV)</w:t>
      </w:r>
      <w:r>
        <w:rPr>
          <w:rFonts w:ascii="Times New Roman" w:hAnsi="Times New Roman"/>
          <w:color w:val="auto"/>
          <w:sz w:val="20"/>
          <w:szCs w:val="20"/>
          <w:shd w:val="clear" w:color="auto" w:fill="FFFFFF"/>
        </w:rPr>
        <w:t xml:space="preserve"> as per 2016 revised WHO guidelines include 3 major criteria and 1 minor criterion. Diagnosis requires the presence of either all 3 major criteria or the first 2 major criteria and the minor criterion.[2]  The major criteria are as follows: 1.Hemoglobin &gt;16.5 g/dL in men and &gt;16 g/dL in women, or hematocrit &gt;49% in men and &gt;48% in women, or red cell mass &gt;25% above mean normal predicted value </w:t>
      </w:r>
      <w:r>
        <w:rPr>
          <w:rFonts w:ascii="Times New Roman" w:hAnsi="Times New Roman"/>
          <w:color w:val="auto"/>
          <w:sz w:val="20"/>
          <w:szCs w:val="20"/>
        </w:rPr>
        <w:t>2. Bone marrow biopsy showing hypercellularity for age with trilineage growth (panmyelosis) including prominent erythroid, granulocytic, and megakaryocytic proliferation with pleomorphic, mature megakaryocytes (differences in size)</w:t>
      </w:r>
      <w:r>
        <w:rPr>
          <w:rFonts w:ascii="Times New Roman" w:hAnsi="Times New Roman"/>
          <w:color w:val="auto"/>
          <w:sz w:val="20"/>
          <w:szCs w:val="20"/>
          <w:shd w:val="clear" w:color="auto" w:fill="FFFFFF"/>
        </w:rPr>
        <w:t> </w:t>
      </w:r>
      <w:r>
        <w:rPr>
          <w:rFonts w:ascii="Times New Roman" w:hAnsi="Times New Roman"/>
          <w:color w:val="auto"/>
          <w:sz w:val="20"/>
          <w:szCs w:val="20"/>
        </w:rPr>
        <w:t>3. Presence of JAK2V617F or JAK2 exon 12 mutation</w:t>
      </w:r>
      <w:r>
        <w:rPr>
          <w:rFonts w:ascii="Times New Roman" w:hAnsi="Times New Roman"/>
          <w:color w:val="auto"/>
          <w:sz w:val="20"/>
          <w:szCs w:val="20"/>
          <w:shd w:val="clear" w:color="auto" w:fill="FFFFFF"/>
        </w:rPr>
        <w:t> The minor criterion is as follows: 1. Serum erythropoietin level below the reference range for normal Criterion 2 (bone marrow biopsy) may not be required in patients who have sustained absolute erythrocytosis (in men, hemoglobin/hematocrit of &gt;18.5 g/dL/55.5% or in women, &gt;16.5 g/dL/49.5%) if major criterion three and the minor criterion are present. </w:t>
      </w:r>
      <w:r>
        <w:rPr>
          <w:rFonts w:ascii="Times New Roman" w:hAnsi="Times New Roman"/>
          <w:color w:val="auto"/>
          <w:sz w:val="20"/>
          <w:szCs w:val="20"/>
        </w:rPr>
        <w:t xml:space="preserve">Bone marrow biopsy is the only way to detect initial myelofibrosis, which is present in up to 20% of patients and may predict a more rapid progression to overt myelofibrosis.[2] </w:t>
      </w:r>
      <w:r>
        <w:rPr>
          <w:rFonts w:ascii="Times New Roman" w:hAnsi="Times New Roman"/>
          <w:color w:val="auto"/>
          <w:sz w:val="20"/>
          <w:szCs w:val="20"/>
          <w:shd w:val="clear" w:color="auto" w:fill="FFFFFF"/>
        </w:rPr>
        <w:t xml:space="preserve"> In patients who are positive for JAK2 and whose hemoglobin/hematocrit level is diagnostically equivocal (ie, as in "masked" PV), bone marrow examination is necessary to distinguish the PV and essential thrombocytosis. [3]  If the JAK2 V617F mutation is negative but the erythropoietin (Epo) level is low, then testing for JAK2 exon 12 and 13 mutations would be helpful to reach the diagnosis of PV.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Treatment: After diagnosing the PV, patients are categorized in two groups for treatment:  A. Low risk patients B. High risk patients.</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 </w:t>
      </w:r>
    </w:p>
    <w:p>
      <w:pPr>
        <w:numPr>
          <w:ilvl w:val="0"/>
          <w:numId w:val="1"/>
        </w:num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Low risk PV patients:</w:t>
      </w:r>
      <w:r>
        <w:rPr>
          <w:rFonts w:ascii="Times New Roman" w:hAnsi="Times New Roman"/>
          <w:color w:val="auto"/>
          <w:sz w:val="20"/>
          <w:szCs w:val="20"/>
          <w:shd w:val="clear" w:color="auto" w:fill="FFFFFF"/>
        </w:rPr>
        <w:t xml:space="preserve"> are defined as patients with an age 60 years or younger with no history of thrombosis. These patients are further divided into two groups: Group I: Asymptomatic Patients with low-risk PV: The cornerstone of treatment for these patients are : (1) Low-dose aspirin (2) Phlebotomy to maintain a hematocrit value of less than 45 % Group II: Low-risk patients with persistent symptoms or other complications ( Headache, pruritis, progressively enlarged spleen), having rising blood count, and/or intolerant to phlebotomy: These patients also require cytoreductive therapy ( Hydroxyurea) along with the low dose aspirin and phlebotomy. </w:t>
      </w:r>
    </w:p>
    <w:p>
      <w:pPr>
        <w:spacing w:before="0" w:beforeAutospacing="0"/>
        <w:jc w:val="both"/>
        <w:rPr>
          <w:rFonts w:ascii="Times New Roman" w:hAnsi="Times New Roman"/>
          <w:color w:val="auto"/>
          <w:sz w:val="20"/>
          <w:szCs w:val="20"/>
          <w:shd w:val="clear" w:color="auto" w:fill="FFFFFF"/>
        </w:rPr>
      </w:pPr>
    </w:p>
    <w:p>
      <w:pPr>
        <w:numPr>
          <w:ilvl w:val="0"/>
          <w:numId w:val="1"/>
        </w:numPr>
        <w:spacing w:before="0" w:beforeAutospacing="0"/>
        <w:jc w:val="both"/>
        <w:rPr>
          <w:rFonts w:ascii="Times New Roman" w:hAnsi="Times New Roman"/>
          <w:color w:val="auto"/>
          <w:sz w:val="20"/>
          <w:szCs w:val="20"/>
        </w:rPr>
      </w:pPr>
      <w:r>
        <w:rPr>
          <w:rFonts w:ascii="Times New Roman" w:hAnsi="Times New Roman"/>
          <w:b/>
          <w:bCs/>
          <w:color w:val="auto"/>
          <w:sz w:val="20"/>
          <w:szCs w:val="20"/>
          <w:shd w:val="clear" w:color="auto" w:fill="FFFFFF"/>
        </w:rPr>
        <w:t>Polycythemia patients in the High-risk category</w:t>
      </w:r>
      <w:r>
        <w:rPr>
          <w:rFonts w:ascii="Times New Roman" w:hAnsi="Times New Roman"/>
          <w:color w:val="auto"/>
          <w:sz w:val="20"/>
          <w:szCs w:val="20"/>
          <w:shd w:val="clear" w:color="auto" w:fill="FFFFFF"/>
        </w:rPr>
        <w:t xml:space="preserve">: are defined as (i) patients with an age of more than 60 years and (ii) Patients with a positive history of thrombotic/bleeding events Treatment options for these patients are: A. Cytoreductive therapy (Hydroxyurea) as an initial treatment B. Low dose aspirin C. Phlebotomy Hydroxyurea and interferon are recommended as frontline drug therapy for cytoreduction in this group of patients. The cytoreductive therapy effectively reduces the elevation in red cell count. It tends to be inadequate, however in the control of platelet count and WBC counts. </w:t>
      </w:r>
    </w:p>
    <w:p>
      <w:pPr>
        <w:spacing w:before="0" w:beforeAutospacing="0"/>
        <w:jc w:val="both"/>
        <w:rPr>
          <w:rFonts w:ascii="Times New Roman" w:hAnsi="Times New Roman"/>
          <w:color w:val="auto"/>
          <w:sz w:val="20"/>
          <w:szCs w:val="20"/>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Phlebotomy:</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One unit of phlebotomy (500 ml) should reduce the Hct by 3 % in a normal-sized adult. Men may tolerate removal of 1.5 to 2 units per week, whereas older adults, some women, and persons with low body weight (&lt;50 kg) or underlying cardiovascular disease may only tolerate removal of 0.5 units per week. Post phlebotomy: The patient should be advised to maintain proper hydration and avoid vigorous exercise for at least 24 hours. Iron supplementation should not be given because phlebotomy controls polycythemia by producing a state of absolute iron deficiency. </w:t>
      </w:r>
    </w:p>
    <w:p>
      <w:pPr>
        <w:spacing w:before="0" w:beforeAutospacing="0"/>
        <w:jc w:val="both"/>
        <w:rPr>
          <w:rFonts w:ascii="Times New Roman" w:hAnsi="Times New Roman"/>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bookmarkStart w:id="0" w:name="_GoBack"/>
      <w:bookmarkEnd w:id="0"/>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Low dose aspirin :</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For preventing thrombosis in PV low dose of aspirin (40-100 mg) should be given to all patients with PV unless there are some contraindications Polycythemic patients with platelet count more than 10 lakhs/mm3 should be tested for acquired Von Willebrand disease before starting aspirin. Aspirin should not be used in patients who developed acquired VWD. </w:t>
      </w:r>
    </w:p>
    <w:p>
      <w:pPr>
        <w:spacing w:before="0" w:beforeAutospacing="0"/>
        <w:jc w:val="both"/>
        <w:rPr>
          <w:rFonts w:ascii="Times New Roman" w:hAnsi="Times New Roman"/>
          <w:color w:val="auto"/>
          <w:sz w:val="20"/>
          <w:szCs w:val="20"/>
          <w:shd w:val="clear" w:color="auto" w:fill="FFFFFF"/>
        </w:rPr>
      </w:pPr>
    </w:p>
    <w:p>
      <w:pPr>
        <w:spacing w:before="0" w:beforeAutospacing="0"/>
        <w:jc w:val="both"/>
        <w:rPr>
          <w:rFonts w:ascii="Times New Roman" w:hAnsi="Times New Roman"/>
          <w:b/>
          <w:bCs/>
          <w:color w:val="auto"/>
          <w:sz w:val="20"/>
          <w:szCs w:val="20"/>
          <w:shd w:val="clear" w:color="auto" w:fill="FFFFFF"/>
        </w:rPr>
      </w:pPr>
      <w:r>
        <w:rPr>
          <w:rFonts w:ascii="Times New Roman" w:hAnsi="Times New Roman"/>
          <w:b/>
          <w:bCs/>
          <w:color w:val="auto"/>
          <w:sz w:val="20"/>
          <w:szCs w:val="20"/>
          <w:shd w:val="clear" w:color="auto" w:fill="FFFFFF"/>
        </w:rPr>
        <w:t xml:space="preserve">Monitoring of treatment : </w:t>
      </w:r>
    </w:p>
    <w:p>
      <w:pPr>
        <w:pStyle w:val="11"/>
        <w:numPr>
          <w:ilvl w:val="0"/>
          <w:numId w:val="2"/>
        </w:numPr>
        <w:spacing w:before="0" w:beforeAutospacing="0"/>
        <w:ind w:hanging="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Regular assessment of hematocrit level to ensure it remains under 45 %.  </w:t>
      </w:r>
    </w:p>
    <w:p>
      <w:pPr>
        <w:pStyle w:val="11"/>
        <w:numPr>
          <w:ilvl w:val="0"/>
          <w:numId w:val="2"/>
        </w:numPr>
        <w:spacing w:before="0" w:beforeAutospacing="0"/>
        <w:ind w:hanging="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Monitoring for thrombosis /bleeding and for complications from therapy. </w:t>
      </w:r>
    </w:p>
    <w:p>
      <w:pPr>
        <w:pStyle w:val="11"/>
        <w:numPr>
          <w:ilvl w:val="0"/>
          <w:numId w:val="2"/>
        </w:numPr>
        <w:spacing w:before="0" w:beforeAutospacing="0"/>
        <w:ind w:hanging="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Assessment of symptoms, such as pruritus, headache, and microvascular complications.</w:t>
      </w:r>
    </w:p>
    <w:p>
      <w:pPr>
        <w:pStyle w:val="11"/>
        <w:numPr>
          <w:ilvl w:val="0"/>
          <w:numId w:val="2"/>
        </w:numPr>
        <w:spacing w:before="0" w:beforeAutospacing="0"/>
        <w:ind w:hanging="720"/>
        <w:jc w:val="both"/>
        <w:rPr>
          <w:rFonts w:ascii="Times New Roman" w:hAnsi="Times New Roman"/>
          <w:color w:val="auto"/>
          <w:sz w:val="20"/>
          <w:szCs w:val="20"/>
        </w:rPr>
      </w:pPr>
      <w:r>
        <w:rPr>
          <w:rFonts w:ascii="Times New Roman" w:hAnsi="Times New Roman"/>
          <w:color w:val="auto"/>
          <w:sz w:val="20"/>
          <w:szCs w:val="20"/>
          <w:shd w:val="clear" w:color="auto" w:fill="FFFFFF"/>
        </w:rPr>
        <w:t>Monitor for changes in their WBC count or platelet count and spleen size</w:t>
      </w:r>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Response assessment:</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Response to therapy should be monitored by following CBC and assessing the sign and symptoms. There is no need to routinely monitor molecular or bone marrow response Response criteria (ELN and international working group)- Myeloproliferative neoplasm response [4]</w:t>
      </w:r>
    </w:p>
    <w:p>
      <w:pPr>
        <w:spacing w:before="0" w:beforeAutospacing="0"/>
        <w:jc w:val="both"/>
        <w:rPr>
          <w:rFonts w:ascii="Times New Roman" w:hAnsi="Times New Roman"/>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Complete response :</w:t>
      </w:r>
      <w:r>
        <w:rPr>
          <w:rFonts w:ascii="Times New Roman" w:hAnsi="Times New Roman"/>
          <w:color w:val="auto"/>
          <w:sz w:val="20"/>
          <w:szCs w:val="20"/>
          <w:shd w:val="clear" w:color="auto" w:fill="FFFFFF"/>
        </w:rPr>
        <w:t xml:space="preserve"> </w:t>
      </w:r>
    </w:p>
    <w:p>
      <w:pPr>
        <w:spacing w:before="0" w:beforeAutospacing="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1.</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Resolution of disease signs and improved symptoms for at least 12 weeks </w:t>
      </w:r>
    </w:p>
    <w:p>
      <w:pPr>
        <w:spacing w:before="0" w:beforeAutospacing="0"/>
        <w:jc w:val="both"/>
        <w:rPr>
          <w:rFonts w:ascii="Times New Roman" w:hAnsi="Times New Roman"/>
          <w:color w:val="auto"/>
          <w:sz w:val="20"/>
          <w:szCs w:val="20"/>
        </w:rPr>
      </w:pPr>
      <w:r>
        <w:rPr>
          <w:rFonts w:ascii="Times New Roman" w:hAnsi="Times New Roman"/>
          <w:color w:val="auto"/>
          <w:sz w:val="20"/>
          <w:szCs w:val="20"/>
          <w:shd w:val="clear" w:color="auto" w:fill="FFFFFF"/>
        </w:rPr>
        <w:t>2.</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Normalisation of peripheral blood count for at least 12 weeks</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 </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White blood cells less than 10000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Platelets count- equal to or less than 400000/microlitre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Hct- &lt; 45 % ( without phlebotomy)</w:t>
      </w:r>
    </w:p>
    <w:p>
      <w:pPr>
        <w:spacing w:before="0" w:beforeAutospacing="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3.</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Absence of vascular events and disease progression </w:t>
      </w:r>
    </w:p>
    <w:p>
      <w:pPr>
        <w:spacing w:before="0" w:beforeAutospacing="0"/>
        <w:jc w:val="both"/>
        <w:rPr>
          <w:rFonts w:ascii="Times New Roman" w:hAnsi="Times New Roman"/>
          <w:color w:val="auto"/>
          <w:sz w:val="20"/>
          <w:szCs w:val="20"/>
        </w:rPr>
      </w:pPr>
      <w:r>
        <w:rPr>
          <w:rFonts w:ascii="Times New Roman" w:hAnsi="Times New Roman"/>
          <w:color w:val="auto"/>
          <w:sz w:val="20"/>
          <w:szCs w:val="20"/>
          <w:shd w:val="clear" w:color="auto" w:fill="FFFFFF"/>
        </w:rPr>
        <w:t>4.</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Disappearance of bone marrow hematological abnormalities </w:t>
      </w:r>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Partial response:</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The first three criteria of complete response are achieved in the absence of bone marrow hematological remission.  Failure to achieve these benchmarks is a sign of resistance to treatment. The criteria for intolerance include leg ulcerations, gastrointestinal disturbances, mucosal ulceration, and secondary skin cancers. </w:t>
      </w:r>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Treatment of PV refractory/resistance/intolerance to initial hydroxyurea therapy :</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The available agents for the refractory cases of hydroxyurea are: Pegylated IFN, Busulfan, Ruxolitinib and pacritinib.[5,6]</w:t>
      </w:r>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b/>
          <w:bCs/>
          <w:color w:val="auto"/>
          <w:sz w:val="20"/>
          <w:szCs w:val="20"/>
          <w:shd w:val="clear" w:color="auto" w:fill="FFFFFF"/>
        </w:rPr>
      </w:pPr>
      <w:r>
        <w:rPr>
          <w:rFonts w:ascii="Times New Roman" w:hAnsi="Times New Roman"/>
          <w:b/>
          <w:bCs/>
          <w:color w:val="auto"/>
          <w:sz w:val="20"/>
          <w:szCs w:val="20"/>
          <w:shd w:val="clear" w:color="auto" w:fill="FFFFFF"/>
        </w:rPr>
        <w:t xml:space="preserve">Ruxolitinib: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This JAK-2 inhibitor is the cornerstone of second-line therapy for patients who are resistant or intolerant to hydroxyurea. The JAK signal transducer and activator of the transcription (STAT) pathway and the JAK-2 protein are overly active in all patients with polycythemia vera due to mutation in JAK-2 V617F and JAK-2 exon 12. The RESPONSE trial has shown a significant decrease in spleen size and improvement in clinical symptoms along with a decrease in the need for phlebotomy. The toxicities are a slight increase in herpes zoster infection or reactivation.[ 6]  Ruxolitinib is used as a second-line treatment in the case of polycythemia vera. This drug is offered to patients with polycythemia Vera in the following conditions: </w:t>
      </w:r>
    </w:p>
    <w:p>
      <w:pPr>
        <w:spacing w:before="0" w:beforeAutospacing="0"/>
        <w:jc w:val="both"/>
        <w:rPr>
          <w:rFonts w:ascii="Times New Roman" w:hAnsi="Times New Roman"/>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1.</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Marked symptomatic splenomegaly that failed to respond to Hydroxyurea, IFN, and Busulfan </w:t>
      </w:r>
    </w:p>
    <w:p>
      <w:pPr>
        <w:spacing w:before="0" w:beforeAutospacing="0"/>
        <w:jc w:val="both"/>
        <w:rPr>
          <w:rFonts w:ascii="Times New Roman" w:hAnsi="Times New Roman"/>
          <w:color w:val="auto"/>
          <w:sz w:val="20"/>
          <w:szCs w:val="20"/>
        </w:rPr>
      </w:pPr>
      <w:r>
        <w:rPr>
          <w:rFonts w:ascii="Times New Roman" w:hAnsi="Times New Roman"/>
          <w:color w:val="auto"/>
          <w:sz w:val="20"/>
          <w:szCs w:val="20"/>
          <w:shd w:val="clear" w:color="auto" w:fill="FFFFFF"/>
        </w:rPr>
        <w:t>2.</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Severe protracted pruritis that failed to respond to other cytoreductive therapies </w:t>
      </w:r>
    </w:p>
    <w:p>
      <w:pPr>
        <w:spacing w:before="0" w:beforeAutospacing="0"/>
        <w:jc w:val="both"/>
        <w:rPr>
          <w:rFonts w:ascii="Times New Roman" w:hAnsi="Times New Roman"/>
          <w:color w:val="auto"/>
          <w:sz w:val="20"/>
          <w:szCs w:val="20"/>
        </w:rPr>
      </w:pPr>
      <w:r>
        <w:rPr>
          <w:rFonts w:ascii="Times New Roman" w:hAnsi="Times New Roman"/>
          <w:color w:val="auto"/>
          <w:sz w:val="20"/>
          <w:szCs w:val="20"/>
          <w:shd w:val="clear" w:color="auto" w:fill="FFFFFF"/>
        </w:rPr>
        <w:t>3.</w:t>
      </w:r>
      <w:r>
        <w:rPr>
          <w:rFonts w:ascii="Times New Roman" w:hAnsi="Times New Roman"/>
          <w:color w:val="auto"/>
          <w:sz w:val="20"/>
          <w:szCs w:val="20"/>
          <w:shd w:val="clear" w:color="auto" w:fill="FFFFFF"/>
        </w:rPr>
        <w:tab/>
      </w:r>
      <w:r>
        <w:rPr>
          <w:rFonts w:ascii="Times New Roman" w:hAnsi="Times New Roman"/>
          <w:color w:val="auto"/>
          <w:sz w:val="20"/>
          <w:szCs w:val="20"/>
          <w:shd w:val="clear" w:color="auto" w:fill="FFFFFF"/>
        </w:rPr>
        <w:t xml:space="preserve">Post PV Myelofibrosis </w:t>
      </w:r>
    </w:p>
    <w:p>
      <w:pPr>
        <w:spacing w:before="0" w:beforeAutospacing="0"/>
        <w:jc w:val="both"/>
        <w:rPr>
          <w:rFonts w:ascii="Times New Roman" w:hAnsi="Times New Roman"/>
          <w:color w:val="auto"/>
          <w:sz w:val="20"/>
          <w:szCs w:val="20"/>
          <w:shd w:val="clear" w:color="auto" w:fill="FFFFFF"/>
        </w:rPr>
      </w:pP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Data related to the long-term effect of Ruxolitinib in PV are not available. There is no evidence that Ruxolitinib reduces the malignant clone or changes the natural course of this disorder. Discontinuation of ruxolitinib can be associated with relapse of the symptoms. </w:t>
      </w:r>
    </w:p>
    <w:p>
      <w:pPr>
        <w:spacing w:before="0" w:beforeAutospacing="0"/>
        <w:jc w:val="both"/>
        <w:rPr>
          <w:rFonts w:ascii="Times New Roman" w:hAnsi="Times New Roman"/>
          <w:b/>
          <w:bCs/>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Pacritinib:</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shd w:val="clear" w:color="auto" w:fill="FFFFFF"/>
        </w:rPr>
      </w:pPr>
      <w:r>
        <w:rPr>
          <w:rFonts w:ascii="Times New Roman" w:hAnsi="Times New Roman"/>
          <w:color w:val="auto"/>
          <w:sz w:val="20"/>
          <w:szCs w:val="20"/>
          <w:shd w:val="clear" w:color="auto" w:fill="FFFFFF"/>
        </w:rPr>
        <w:t xml:space="preserve">Pacritinib which is also a JAK-2 inhibitor, is also approved by US-FDA for treatment of post polycythemic myelofibrosis with platelet counts less than 50000/μL </w:t>
      </w:r>
    </w:p>
    <w:p>
      <w:pPr>
        <w:spacing w:before="0" w:beforeAutospacing="0"/>
        <w:rPr>
          <w:rFonts w:ascii="Times New Roman" w:hAnsi="Times New Roman" w:eastAsia="Georgia"/>
          <w:b/>
          <w:bCs/>
          <w:color w:val="auto"/>
          <w:sz w:val="20"/>
          <w:szCs w:val="20"/>
          <w:shd w:val="clear" w:color="auto" w:fill="FFFFFF"/>
        </w:rPr>
      </w:pPr>
    </w:p>
    <w:p>
      <w:pPr>
        <w:spacing w:before="0" w:beforeAutospacing="0"/>
        <w:rPr>
          <w:rFonts w:ascii="Times New Roman" w:hAnsi="Times New Roman" w:eastAsia="Georgia"/>
          <w:b/>
          <w:bCs/>
          <w:color w:val="auto"/>
          <w:sz w:val="20"/>
          <w:szCs w:val="20"/>
          <w:shd w:val="clear" w:color="auto" w:fill="FFFFFF"/>
        </w:rPr>
      </w:pPr>
    </w:p>
    <w:p>
      <w:pPr>
        <w:spacing w:before="0" w:beforeAutospacing="0"/>
        <w:rPr>
          <w:rFonts w:ascii="Times New Roman" w:hAnsi="Times New Roman" w:eastAsia="Georgia"/>
          <w:b/>
          <w:bCs/>
          <w:color w:val="auto"/>
          <w:sz w:val="20"/>
          <w:szCs w:val="20"/>
          <w:shd w:val="clear" w:color="auto" w:fill="FFFFFF"/>
        </w:rPr>
      </w:pPr>
    </w:p>
    <w:p>
      <w:pPr>
        <w:spacing w:before="0" w:beforeAutospacing="0"/>
        <w:rPr>
          <w:rFonts w:ascii="Times New Roman" w:hAnsi="Times New Roman" w:eastAsia="Georgia"/>
          <w:b/>
          <w:bCs/>
          <w:color w:val="auto"/>
          <w:sz w:val="20"/>
          <w:szCs w:val="20"/>
          <w:shd w:val="clear" w:color="auto" w:fill="FFFFFF"/>
        </w:rPr>
      </w:pPr>
    </w:p>
    <w:p>
      <w:pPr>
        <w:spacing w:before="0" w:beforeAutospacing="0"/>
        <w:rPr>
          <w:rFonts w:ascii="Times New Roman" w:hAnsi="Times New Roman" w:eastAsia="Georgia"/>
          <w:b/>
          <w:bCs/>
          <w:color w:val="auto"/>
          <w:sz w:val="20"/>
          <w:szCs w:val="20"/>
          <w:shd w:val="clear" w:color="auto" w:fill="FFFFFF"/>
        </w:rPr>
      </w:pPr>
    </w:p>
    <w:p>
      <w:pPr>
        <w:spacing w:before="0" w:beforeAutospacing="0"/>
        <w:rPr>
          <w:rFonts w:ascii="Times New Roman" w:hAnsi="Times New Roman" w:eastAsia="Georgia"/>
          <w:b/>
          <w:bCs/>
          <w:color w:val="auto"/>
          <w:sz w:val="20"/>
          <w:szCs w:val="20"/>
          <w:shd w:val="clear" w:color="auto" w:fill="FFFFFF"/>
        </w:rPr>
      </w:pPr>
      <w:r>
        <w:rPr>
          <w:rFonts w:ascii="Times New Roman" w:hAnsi="Times New Roman" w:eastAsia="Georgia"/>
          <w:b/>
          <w:bCs/>
          <w:color w:val="auto"/>
          <w:sz w:val="20"/>
          <w:szCs w:val="20"/>
          <w:shd w:val="clear" w:color="auto" w:fill="FFFFFF"/>
        </w:rPr>
        <w:t>Specific conditions related to PV</w:t>
      </w:r>
    </w:p>
    <w:p>
      <w:pPr>
        <w:spacing w:before="0" w:beforeAutospacing="0"/>
        <w:ind w:left="720" w:hanging="720"/>
        <w:jc w:val="both"/>
        <w:rPr>
          <w:rFonts w:ascii="Times New Roman" w:hAnsi="Times New Roman" w:eastAsia="Georgia"/>
          <w:color w:val="auto"/>
          <w:sz w:val="20"/>
          <w:szCs w:val="20"/>
          <w:shd w:val="clear" w:color="auto" w:fill="FFFFFF"/>
        </w:rPr>
      </w:pPr>
      <w:r>
        <w:rPr>
          <w:rFonts w:ascii="Times New Roman" w:hAnsi="Times New Roman" w:eastAsia="Georgia"/>
          <w:color w:val="auto"/>
          <w:sz w:val="20"/>
          <w:szCs w:val="20"/>
          <w:shd w:val="clear" w:color="auto" w:fill="FFFFFF"/>
        </w:rPr>
        <w:t>1.</w:t>
      </w:r>
      <w:r>
        <w:rPr>
          <w:rFonts w:ascii="Times New Roman" w:hAnsi="Times New Roman" w:eastAsia="Georgia"/>
          <w:color w:val="auto"/>
          <w:sz w:val="20"/>
          <w:szCs w:val="20"/>
          <w:shd w:val="clear" w:color="auto" w:fill="FFFFFF"/>
        </w:rPr>
        <w:tab/>
      </w:r>
      <w:r>
        <w:rPr>
          <w:rFonts w:ascii="Times New Roman" w:hAnsi="Times New Roman" w:eastAsia="Georgia"/>
          <w:color w:val="auto"/>
          <w:sz w:val="20"/>
          <w:szCs w:val="20"/>
          <w:shd w:val="clear" w:color="auto" w:fill="FFFFFF"/>
        </w:rPr>
        <w:t>Thrombotic complications: Phlebotomy to maintain hematocrit (Hct) less than 45 % ,  low dose aspirin and or cytoreductive agents are used to prevent the thrombotic complications. Patient with PV and venous thrombosis should be treated by anticoagulants. The optimal duration for anticoagulation is uncertain.</w:t>
      </w:r>
    </w:p>
    <w:p>
      <w:pPr>
        <w:spacing w:before="0" w:beforeAutospacing="0"/>
        <w:ind w:left="720" w:hanging="720"/>
        <w:jc w:val="both"/>
        <w:rPr>
          <w:rFonts w:ascii="Times New Roman" w:hAnsi="Times New Roman" w:eastAsia="Georgia"/>
          <w:color w:val="auto"/>
          <w:sz w:val="20"/>
          <w:szCs w:val="20"/>
          <w:shd w:val="clear" w:color="auto" w:fill="FFFFFF"/>
        </w:rPr>
      </w:pPr>
      <w:r>
        <w:rPr>
          <w:rFonts w:ascii="Times New Roman" w:hAnsi="Times New Roman" w:eastAsia="Georgia"/>
          <w:color w:val="auto"/>
          <w:sz w:val="20"/>
          <w:szCs w:val="20"/>
          <w:shd w:val="clear" w:color="auto" w:fill="FFFFFF"/>
        </w:rPr>
        <w:t>2.</w:t>
      </w:r>
      <w:r>
        <w:rPr>
          <w:rFonts w:ascii="Times New Roman" w:hAnsi="Times New Roman" w:eastAsia="Georgia"/>
          <w:color w:val="auto"/>
          <w:sz w:val="20"/>
          <w:szCs w:val="20"/>
          <w:shd w:val="clear" w:color="auto" w:fill="FFFFFF"/>
        </w:rPr>
        <w:tab/>
      </w:r>
      <w:r>
        <w:rPr>
          <w:rFonts w:ascii="Times New Roman" w:hAnsi="Times New Roman" w:eastAsia="Georgia"/>
          <w:color w:val="auto"/>
          <w:sz w:val="20"/>
          <w:szCs w:val="20"/>
          <w:shd w:val="clear" w:color="auto" w:fill="FFFFFF"/>
        </w:rPr>
        <w:t>Bleeding : Bleeding episode may be associated with very high platelet count (more than 10 lakhs) due to aquired VwD, Use of aspirin dose more than 100 mg/day  and or C. Use of anticoagulant or antiplatelet agents</w:t>
      </w:r>
    </w:p>
    <w:p>
      <w:pPr>
        <w:spacing w:before="0" w:beforeAutospacing="0"/>
        <w:jc w:val="both"/>
        <w:rPr>
          <w:rFonts w:ascii="Times New Roman" w:hAnsi="Times New Roman" w:eastAsia="Georgia"/>
          <w:color w:val="auto"/>
          <w:sz w:val="20"/>
          <w:szCs w:val="20"/>
          <w:shd w:val="clear" w:color="auto" w:fill="FFFFFF"/>
        </w:rPr>
      </w:pPr>
      <w:r>
        <w:rPr>
          <w:rFonts w:ascii="Times New Roman" w:hAnsi="Times New Roman" w:eastAsia="Georgia"/>
          <w:color w:val="auto"/>
          <w:sz w:val="20"/>
          <w:szCs w:val="20"/>
          <w:shd w:val="clear" w:color="auto" w:fill="FFFFFF"/>
        </w:rPr>
        <w:t>3.</w:t>
      </w:r>
      <w:r>
        <w:rPr>
          <w:rFonts w:ascii="Times New Roman" w:hAnsi="Times New Roman" w:eastAsia="Georgia"/>
          <w:color w:val="auto"/>
          <w:sz w:val="20"/>
          <w:szCs w:val="20"/>
          <w:shd w:val="clear" w:color="auto" w:fill="FFFFFF"/>
        </w:rPr>
        <w:tab/>
      </w:r>
      <w:r>
        <w:rPr>
          <w:rFonts w:ascii="Times New Roman" w:hAnsi="Times New Roman" w:eastAsia="Georgia"/>
          <w:color w:val="auto"/>
          <w:sz w:val="20"/>
          <w:szCs w:val="20"/>
          <w:shd w:val="clear" w:color="auto" w:fill="FFFFFF"/>
        </w:rPr>
        <w:t>Pregnancy:</w:t>
      </w:r>
    </w:p>
    <w:p>
      <w:pPr>
        <w:spacing w:before="0" w:beforeAutospacing="0"/>
        <w:ind w:firstLine="720"/>
        <w:jc w:val="both"/>
        <w:rPr>
          <w:rFonts w:ascii="Times New Roman" w:hAnsi="Times New Roman" w:eastAsia="Georgia"/>
          <w:color w:val="auto"/>
          <w:sz w:val="20"/>
          <w:szCs w:val="20"/>
          <w:shd w:val="clear" w:color="auto" w:fill="FFFFFF"/>
        </w:rPr>
      </w:pPr>
      <w:r>
        <w:rPr>
          <w:rFonts w:ascii="Times New Roman" w:hAnsi="Times New Roman" w:eastAsia="Georgia"/>
          <w:color w:val="auto"/>
          <w:sz w:val="20"/>
          <w:szCs w:val="20"/>
          <w:shd w:val="clear" w:color="auto" w:fill="FFFFFF"/>
        </w:rPr>
        <w:t>There is an increased risk of spontaneous abortion, abruptio placenta,pre eclampsia,IUGR in patient with PV. Aspirin and INF are associated with reduced rate of pregnancy loss and other complications in these patients.</w:t>
      </w:r>
    </w:p>
    <w:p>
      <w:pPr>
        <w:spacing w:before="0" w:beforeAutospacing="0"/>
        <w:ind w:firstLine="720"/>
        <w:jc w:val="both"/>
        <w:rPr>
          <w:rFonts w:ascii="Times New Roman" w:hAnsi="Times New Roman" w:eastAsia="Georgia"/>
          <w:color w:val="auto"/>
          <w:sz w:val="20"/>
          <w:szCs w:val="20"/>
          <w:shd w:val="clear" w:color="auto" w:fill="FFFFFF"/>
        </w:rPr>
      </w:pPr>
      <w:r>
        <w:rPr>
          <w:rFonts w:ascii="Times New Roman" w:hAnsi="Times New Roman" w:eastAsia="Georgia"/>
          <w:color w:val="auto"/>
          <w:sz w:val="20"/>
          <w:szCs w:val="20"/>
          <w:shd w:val="clear" w:color="auto" w:fill="FFFFFF"/>
        </w:rPr>
        <w:t>These patients should be closely monitored for pregnancy induced hypertension. IFN alfa is prefered cytoreductive therapy in pregnant female with PV and in those with childbearing potential due to the risk of teratogenicity of hydroxyurea, ruxolitinib and other alkylating agents. [7]</w:t>
      </w:r>
    </w:p>
    <w:p>
      <w:pPr>
        <w:spacing w:before="0" w:beforeAutospacing="0"/>
        <w:ind w:firstLine="720"/>
        <w:jc w:val="both"/>
        <w:rPr>
          <w:rFonts w:ascii="Times New Roman" w:hAnsi="Times New Roman" w:eastAsia="Georgia"/>
          <w:color w:val="auto"/>
          <w:sz w:val="20"/>
          <w:szCs w:val="20"/>
          <w:shd w:val="clear" w:color="auto" w:fill="FFFFFF"/>
        </w:rPr>
      </w:pPr>
    </w:p>
    <w:p>
      <w:pPr>
        <w:spacing w:before="0" w:beforeAutospacing="0"/>
        <w:jc w:val="both"/>
        <w:rPr>
          <w:rFonts w:ascii="Times New Roman" w:hAnsi="Times New Roman"/>
          <w:color w:val="auto"/>
          <w:sz w:val="20"/>
          <w:szCs w:val="20"/>
          <w:shd w:val="clear" w:color="auto" w:fill="FFFFFF"/>
        </w:rPr>
      </w:pPr>
      <w:r>
        <w:rPr>
          <w:rFonts w:ascii="Times New Roman" w:hAnsi="Times New Roman"/>
          <w:b/>
          <w:bCs/>
          <w:color w:val="auto"/>
          <w:sz w:val="20"/>
          <w:szCs w:val="20"/>
          <w:shd w:val="clear" w:color="auto" w:fill="FFFFFF"/>
        </w:rPr>
        <w:t>Prognosis:</w:t>
      </w:r>
      <w:r>
        <w:rPr>
          <w:rFonts w:ascii="Times New Roman" w:hAnsi="Times New Roman"/>
          <w:color w:val="auto"/>
          <w:sz w:val="20"/>
          <w:szCs w:val="20"/>
          <w:shd w:val="clear" w:color="auto" w:fill="FFFFFF"/>
        </w:rPr>
        <w:t xml:space="preserve"> </w:t>
      </w:r>
    </w:p>
    <w:p>
      <w:pPr>
        <w:spacing w:before="0" w:beforeAutospacing="0"/>
        <w:ind w:firstLine="720"/>
        <w:jc w:val="both"/>
        <w:rPr>
          <w:rFonts w:ascii="Times New Roman" w:hAnsi="Times New Roman"/>
          <w:color w:val="auto"/>
          <w:sz w:val="20"/>
          <w:szCs w:val="20"/>
        </w:rPr>
      </w:pPr>
      <w:r>
        <w:rPr>
          <w:rFonts w:ascii="Times New Roman" w:hAnsi="Times New Roman"/>
          <w:color w:val="auto"/>
          <w:sz w:val="20"/>
          <w:szCs w:val="20"/>
          <w:shd w:val="clear" w:color="auto" w:fill="FFFFFF"/>
        </w:rPr>
        <w:t>Median survival of untreated symptomatic patients with PV has been estimated as 18 months. The overall survival of treated patients with PV is inferior to that of an age-matched normal population. Survival is at least 13 years in patients who are treated.[8]</w:t>
      </w:r>
    </w:p>
    <w:p>
      <w:pPr>
        <w:spacing w:before="0" w:beforeAutospacing="0"/>
        <w:jc w:val="both"/>
        <w:rPr>
          <w:rFonts w:ascii="Times New Roman" w:hAnsi="Times New Roman"/>
          <w:sz w:val="20"/>
          <w:szCs w:val="20"/>
        </w:rPr>
      </w:pPr>
    </w:p>
    <w:p>
      <w:pPr>
        <w:spacing w:before="0" w:beforeAutospacing="0"/>
        <w:rPr>
          <w:rFonts w:ascii="Times New Roman" w:hAnsi="Times New Roman"/>
          <w:b/>
          <w:sz w:val="20"/>
          <w:szCs w:val="20"/>
          <w:lang w:val="en-US"/>
        </w:rPr>
      </w:pPr>
      <w:r>
        <w:rPr>
          <w:rFonts w:ascii="Times New Roman" w:hAnsi="Times New Roman" w:eastAsia="Calibri"/>
          <w:b/>
          <w:sz w:val="20"/>
          <w:szCs w:val="20"/>
          <w:lang w:val="en-US" w:eastAsia="zh-CN"/>
        </w:rPr>
        <w:t>References</w:t>
      </w:r>
    </w:p>
    <w:p>
      <w:pPr>
        <w:pStyle w:val="7"/>
        <w:numPr>
          <w:ilvl w:val="0"/>
          <w:numId w:val="3"/>
        </w:numPr>
        <w:spacing w:beforeAutospacing="0" w:afterAutospacing="0"/>
        <w:ind w:left="714" w:hanging="714"/>
        <w:contextualSpacing/>
        <w:jc w:val="both"/>
        <w:rPr>
          <w:sz w:val="20"/>
          <w:szCs w:val="20"/>
        </w:rPr>
      </w:pPr>
      <w:r>
        <w:rPr>
          <w:sz w:val="20"/>
          <w:szCs w:val="20"/>
          <w:shd w:val="clear" w:color="auto" w:fill="FFFFFF"/>
        </w:rPr>
        <w:t>Fauci, A. S., Hauser, S. L., &amp; Loscalzo, J. (2018). Harrison's principles of internal medicine (20th edition.). New York: McGraw-Hill Education.</w:t>
      </w:r>
    </w:p>
    <w:p>
      <w:pPr>
        <w:pStyle w:val="7"/>
        <w:numPr>
          <w:ilvl w:val="0"/>
          <w:numId w:val="3"/>
        </w:numPr>
        <w:spacing w:beforeAutospacing="0" w:afterAutospacing="0"/>
        <w:ind w:left="714" w:hanging="714"/>
        <w:contextualSpacing/>
        <w:jc w:val="both"/>
        <w:rPr>
          <w:sz w:val="20"/>
          <w:szCs w:val="20"/>
        </w:rPr>
      </w:pPr>
      <w:r>
        <w:rPr>
          <w:sz w:val="20"/>
          <w:szCs w:val="20"/>
          <w:shd w:val="clear" w:color="auto" w:fill="FFFFFF"/>
        </w:rPr>
        <w:t xml:space="preserve">Arber DA, Orazi A, Hasserjian R, Thiele J, Borowitz MJ, Le Beau MM, et al. The 2016 revision to the World Health Organization classification of myeloid neoplasms and acute leukemia. </w:t>
      </w:r>
      <w:r>
        <w:rPr>
          <w:rStyle w:val="8"/>
          <w:i w:val="0"/>
          <w:iCs w:val="0"/>
          <w:sz w:val="20"/>
          <w:szCs w:val="20"/>
          <w:shd w:val="clear" w:color="auto" w:fill="FFFFFF"/>
        </w:rPr>
        <w:t>Blood</w:t>
      </w:r>
      <w:r>
        <w:rPr>
          <w:sz w:val="20"/>
          <w:szCs w:val="20"/>
          <w:shd w:val="clear" w:color="auto" w:fill="FFFFFF"/>
        </w:rPr>
        <w:t xml:space="preserve">. 2016 May 19. 127 (20):2391-405. </w:t>
      </w:r>
      <w:r>
        <w:fldChar w:fldCharType="begin"/>
      </w:r>
      <w:r>
        <w:instrText xml:space="preserve"> HYPERLINK "https://www.qxmd.com/r/27069254" </w:instrText>
      </w:r>
      <w:r>
        <w:fldChar w:fldCharType="separate"/>
      </w:r>
      <w:r>
        <w:rPr>
          <w:rStyle w:val="6"/>
          <w:color w:val="auto"/>
          <w:sz w:val="20"/>
          <w:szCs w:val="20"/>
          <w:shd w:val="clear" w:color="auto" w:fill="FFFFFF"/>
        </w:rPr>
        <w:t>[QxMD MEDLINE Link]</w:t>
      </w:r>
      <w:r>
        <w:rPr>
          <w:rStyle w:val="6"/>
          <w:color w:val="auto"/>
          <w:sz w:val="20"/>
          <w:szCs w:val="20"/>
          <w:shd w:val="clear" w:color="auto" w:fill="FFFFFF"/>
        </w:rPr>
        <w:fldChar w:fldCharType="end"/>
      </w:r>
      <w:r>
        <w:rPr>
          <w:sz w:val="20"/>
          <w:szCs w:val="20"/>
          <w:shd w:val="clear" w:color="auto" w:fill="FFFFFF"/>
        </w:rPr>
        <w:t xml:space="preserve">. </w:t>
      </w:r>
      <w:r>
        <w:fldChar w:fldCharType="begin"/>
      </w:r>
      <w:r>
        <w:instrText xml:space="preserve"> HYPERLINK "http://www.bloodjournal.org/content/127/20/2391?sso-checked=true" </w:instrText>
      </w:r>
      <w:r>
        <w:fldChar w:fldCharType="separate"/>
      </w:r>
      <w:r>
        <w:rPr>
          <w:rStyle w:val="6"/>
          <w:color w:val="auto"/>
          <w:sz w:val="20"/>
          <w:szCs w:val="20"/>
          <w:shd w:val="clear" w:color="auto" w:fill="FFFFFF"/>
        </w:rPr>
        <w:t>[Full Text]</w:t>
      </w:r>
      <w:r>
        <w:rPr>
          <w:rStyle w:val="6"/>
          <w:color w:val="auto"/>
          <w:sz w:val="20"/>
          <w:szCs w:val="20"/>
          <w:shd w:val="clear" w:color="auto" w:fill="FFFFFF"/>
        </w:rPr>
        <w:fldChar w:fldCharType="end"/>
      </w:r>
    </w:p>
    <w:p>
      <w:pPr>
        <w:pStyle w:val="7"/>
        <w:numPr>
          <w:ilvl w:val="0"/>
          <w:numId w:val="3"/>
        </w:numPr>
        <w:spacing w:beforeAutospacing="0" w:afterAutospacing="0"/>
        <w:ind w:left="714" w:hanging="714"/>
        <w:jc w:val="both"/>
        <w:rPr>
          <w:sz w:val="20"/>
          <w:szCs w:val="20"/>
        </w:rPr>
      </w:pPr>
      <w:r>
        <w:rPr>
          <w:sz w:val="20"/>
          <w:szCs w:val="20"/>
          <w:shd w:val="clear" w:color="auto" w:fill="FFFFFF"/>
        </w:rPr>
        <w:t xml:space="preserve">Tefferi A, Barbui T. Essential Thrombocythemia and Polycythemia Vera: Focus on Clinical Practice. </w:t>
      </w:r>
      <w:r>
        <w:rPr>
          <w:rStyle w:val="8"/>
          <w:i w:val="0"/>
          <w:iCs w:val="0"/>
          <w:sz w:val="20"/>
          <w:szCs w:val="20"/>
          <w:shd w:val="clear" w:color="auto" w:fill="FFFFFF"/>
        </w:rPr>
        <w:t>Mayo Clin Proc</w:t>
      </w:r>
      <w:r>
        <w:rPr>
          <w:sz w:val="20"/>
          <w:szCs w:val="20"/>
          <w:shd w:val="clear" w:color="auto" w:fill="FFFFFF"/>
        </w:rPr>
        <w:t xml:space="preserve">. 2015 Sep. 90 (9):1283-93. </w:t>
      </w:r>
      <w:r>
        <w:fldChar w:fldCharType="begin"/>
      </w:r>
      <w:r>
        <w:instrText xml:space="preserve"> HYPERLINK "https://www.qxmd.com/r/26355403" </w:instrText>
      </w:r>
      <w:r>
        <w:fldChar w:fldCharType="separate"/>
      </w:r>
      <w:r>
        <w:rPr>
          <w:rStyle w:val="6"/>
          <w:color w:val="auto"/>
          <w:sz w:val="20"/>
          <w:szCs w:val="20"/>
          <w:shd w:val="clear" w:color="auto" w:fill="FFFFFF"/>
        </w:rPr>
        <w:t>[QxMD MEDLINE Link]</w:t>
      </w:r>
      <w:r>
        <w:rPr>
          <w:rStyle w:val="6"/>
          <w:color w:val="auto"/>
          <w:sz w:val="20"/>
          <w:szCs w:val="20"/>
          <w:shd w:val="clear" w:color="auto" w:fill="FFFFFF"/>
        </w:rPr>
        <w:fldChar w:fldCharType="end"/>
      </w:r>
      <w:r>
        <w:rPr>
          <w:sz w:val="20"/>
          <w:szCs w:val="20"/>
          <w:shd w:val="clear" w:color="auto" w:fill="FFFFFF"/>
        </w:rPr>
        <w:t>.</w:t>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"https://www.uptodate.com/contents/prognosis-and-treatment-of-polycythemia-vera/abstract/22" </w:instrText>
      </w:r>
      <w:r>
        <w:fldChar w:fldCharType="separate"/>
      </w:r>
      <w:r>
        <w:rPr>
          <w:rStyle w:val="6"/>
          <w:rFonts w:ascii="Times New Roman" w:hAnsi="Times New Roman"/>
          <w:color w:val="auto"/>
          <w:sz w:val="20"/>
          <w:szCs w:val="20"/>
          <w:u w:val="none"/>
          <w:shd w:val="clear" w:color="auto" w:fill="FFFFFF"/>
          <w:lang w:val="en-US"/>
        </w:rPr>
        <w:t>Barosi G, Mesa R, Finazzi G, et al. Revised response criteria for polycythemia vera and essential thrombocythemia: an ELN and IWG-MRT consensus project. Blood 2013; 121:4778.</w:t>
      </w:r>
      <w:r>
        <w:rPr>
          <w:rStyle w:val="6"/>
          <w:rFonts w:ascii="Times New Roman" w:hAnsi="Times New Roman"/>
          <w:color w:val="auto"/>
          <w:sz w:val="20"/>
          <w:szCs w:val="20"/>
          <w:u w:val="none"/>
          <w:shd w:val="clear" w:color="auto" w:fill="FFFFFF"/>
          <w:lang w:val="en-US"/>
        </w:rPr>
        <w:fldChar w:fldCharType="end"/>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"https://www.uptodate.com/contents/prognosis-and-treatment-of-polycythemia-vera/abstract/62" </w:instrText>
      </w:r>
      <w:r>
        <w:fldChar w:fldCharType="separate"/>
      </w:r>
      <w:r>
        <w:rPr>
          <w:rStyle w:val="6"/>
          <w:rFonts w:ascii="Times New Roman" w:hAnsi="Times New Roman"/>
          <w:color w:val="auto"/>
          <w:sz w:val="20"/>
          <w:szCs w:val="20"/>
          <w:u w:val="none"/>
          <w:shd w:val="clear" w:color="auto" w:fill="FFFFFF"/>
          <w:lang w:val="en-US"/>
        </w:rPr>
        <w:t>Yacoub A, Mascarenhas J, Kosiorek H, et al. Pegylated interferon alfa-2a for polycythemia vera or essential thrombocythemia resistant or intolerant to hydroxyurea. Blood 2019; 134:1498.</w:t>
      </w:r>
      <w:r>
        <w:rPr>
          <w:rStyle w:val="6"/>
          <w:rFonts w:ascii="Times New Roman" w:hAnsi="Times New Roman"/>
          <w:color w:val="auto"/>
          <w:sz w:val="20"/>
          <w:szCs w:val="20"/>
          <w:u w:val="none"/>
          <w:shd w:val="clear" w:color="auto" w:fill="FFFFFF"/>
          <w:lang w:val="en-US"/>
        </w:rPr>
        <w:fldChar w:fldCharType="end"/>
      </w:r>
    </w:p>
    <w:p>
      <w:pPr>
        <w:pStyle w:val="9"/>
        <w:numPr>
          <w:ilvl w:val="0"/>
          <w:numId w:val="3"/>
        </w:numPr>
        <w:spacing w:after="0" w:line="240" w:lineRule="auto"/>
        <w:ind w:left="714" w:hanging="714"/>
        <w:jc w:val="both"/>
        <w:rPr>
          <w:rFonts w:hint="default" w:ascii="Times New Roman" w:hAnsi="Times New Roman"/>
          <w:sz w:val="20"/>
          <w:szCs w:val="20"/>
        </w:rPr>
      </w:pPr>
      <w:r>
        <w:rPr>
          <w:rFonts w:hint="default" w:ascii="Times New Roman" w:hAnsi="Times New Roman"/>
          <w:sz w:val="20"/>
          <w:szCs w:val="20"/>
          <w:shd w:val="clear" w:color="auto" w:fill="FFFFFF"/>
        </w:rPr>
        <w:t xml:space="preserve">Vannucchi, A. M., Kiladjian, J. J., Griesshammer, M., Masszi, T., Durrant, S., Passamonti, F., et al. (2015b). Ruxolitinib versus Standard Therapy for the Treatment of Polycythemia Vera. N. Engl. J. Med. 372, 426–435. doi:10.1056/nejmoa1409002 </w:t>
      </w:r>
    </w:p>
    <w:p>
      <w:pPr>
        <w:numPr>
          <w:ilvl w:val="0"/>
          <w:numId w:val="3"/>
        </w:numPr>
        <w:spacing w:before="0" w:beforeAutospacing="0"/>
        <w:ind w:left="714" w:hanging="714"/>
        <w:jc w:val="both"/>
        <w:rPr>
          <w:rFonts w:ascii="Times New Roman" w:hAnsi="Times New Roman"/>
          <w:sz w:val="20"/>
          <w:szCs w:val="20"/>
          <w:lang w:val="en-US"/>
        </w:rPr>
      </w:pPr>
      <w:r>
        <w:fldChar w:fldCharType="begin"/>
      </w:r>
      <w:r>
        <w:instrText xml:space="preserve"> HYPERLINK "https://www.uptodate.com/contents/prognosis-and-treatment-of-polycythemia-vera/abstract/80" </w:instrText>
      </w:r>
      <w:r>
        <w:fldChar w:fldCharType="separate"/>
      </w:r>
      <w:r>
        <w:rPr>
          <w:rStyle w:val="6"/>
          <w:rFonts w:ascii="Times New Roman" w:hAnsi="Times New Roman"/>
          <w:color w:val="auto"/>
          <w:sz w:val="20"/>
          <w:szCs w:val="20"/>
          <w:u w:val="none"/>
          <w:shd w:val="clear" w:color="auto" w:fill="FFFFFF"/>
          <w:lang w:val="en-US"/>
        </w:rPr>
        <w:t>Maze D, Kazi S, Gupta V, et al. Association of Treatments for Myeloproliferative Neoplasms During Pregnancy With Birth Rates and Maternal Outcomes: A Systematic Review and Meta-analysis. JAMA Netw Open 2019; 2:e1912666.</w:t>
      </w:r>
      <w:r>
        <w:rPr>
          <w:rStyle w:val="6"/>
          <w:rFonts w:ascii="Times New Roman" w:hAnsi="Times New Roman"/>
          <w:color w:val="auto"/>
          <w:sz w:val="20"/>
          <w:szCs w:val="20"/>
          <w:u w:val="none"/>
          <w:shd w:val="clear" w:color="auto" w:fill="FFFFFF"/>
          <w:lang w:val="en-US"/>
        </w:rPr>
        <w:fldChar w:fldCharType="end"/>
      </w:r>
    </w:p>
    <w:p>
      <w:pPr>
        <w:numPr>
          <w:ilvl w:val="0"/>
          <w:numId w:val="3"/>
        </w:numPr>
        <w:spacing w:before="0" w:beforeAutospacing="0"/>
        <w:ind w:left="714" w:hanging="714"/>
        <w:jc w:val="both"/>
        <w:rPr>
          <w:rFonts w:ascii="Times New Roman" w:hAnsi="Times New Roman"/>
          <w:sz w:val="20"/>
          <w:szCs w:val="20"/>
          <w:lang w:val="en-US"/>
        </w:rPr>
      </w:pPr>
      <w:r>
        <w:rPr>
          <w:rFonts w:ascii="Times New Roman" w:hAnsi="Times New Roman" w:eastAsia="Calibri"/>
          <w:sz w:val="20"/>
          <w:szCs w:val="20"/>
          <w:shd w:val="clear" w:color="auto" w:fill="FFFFFF"/>
          <w:lang w:val="en-US" w:eastAsia="zh-CN"/>
        </w:rPr>
        <w:t xml:space="preserve"> </w:t>
      </w:r>
      <w:r>
        <w:fldChar w:fldCharType="begin"/>
      </w:r>
      <w:r>
        <w:instrText xml:space="preserve"> HYPERLINK "https://www.uptodate.com/contents/prognosis-and-treatment-of-polycythemia-vera/abstract/24" </w:instrText>
      </w:r>
      <w:r>
        <w:fldChar w:fldCharType="separate"/>
      </w:r>
      <w:r>
        <w:rPr>
          <w:rStyle w:val="6"/>
          <w:rFonts w:ascii="Times New Roman" w:hAnsi="Times New Roman"/>
          <w:color w:val="auto"/>
          <w:sz w:val="20"/>
          <w:szCs w:val="20"/>
          <w:u w:val="none"/>
          <w:shd w:val="clear" w:color="auto" w:fill="FFFFFF"/>
          <w:lang w:val="en-US"/>
        </w:rPr>
        <w:t>Tefferi A, Guglielmelli P, Larson DR, et al. Long-term survival and blast transformation in molecularly annotated essential thrombocythemia, polycythemia vera, and myelofibrosis. Blood 2014; 124:2507.</w:t>
      </w:r>
      <w:r>
        <w:rPr>
          <w:rStyle w:val="6"/>
          <w:rFonts w:ascii="Times New Roman" w:hAnsi="Times New Roman"/>
          <w:color w:val="auto"/>
          <w:sz w:val="20"/>
          <w:szCs w:val="20"/>
          <w:u w:val="none"/>
          <w:shd w:val="clear" w:color="auto" w:fill="FFFFFF"/>
          <w:lang w:val="en-US"/>
        </w:rPr>
        <w:fldChar w:fldCharType="end"/>
      </w:r>
    </w:p>
    <w:p>
      <w:pPr>
        <w:spacing w:before="0" w:beforeAutospacing="0"/>
        <w:ind w:left="360"/>
        <w:rPr>
          <w:rFonts w:ascii="Times New Roman" w:hAnsi="Times New Roman"/>
          <w:sz w:val="20"/>
          <w:szCs w:val="20"/>
          <w:lang w:val="en-US"/>
        </w:rPr>
      </w:pPr>
    </w:p>
    <w:p>
      <w:pPr>
        <w:spacing w:before="0" w:beforeAutospacing="0"/>
        <w:rPr>
          <w:rFonts w:ascii="Times New Roman" w:hAnsi="Times New Roman"/>
          <w:sz w:val="20"/>
          <w:szCs w:val="20"/>
        </w:rPr>
      </w:pPr>
      <w:r>
        <w:rPr>
          <w:rFonts w:ascii="Times New Roman" w:hAnsi="Times New Roman"/>
          <w:sz w:val="20"/>
          <w:szCs w:val="20"/>
        </w:rPr>
        <w:br w:type="page"/>
      </w:r>
    </w:p>
    <w:p>
      <w:pPr>
        <w:jc w:val="both"/>
        <w:rPr>
          <w:rFonts w:ascii="Times New Roman" w:hAnsi="Times New Roman"/>
          <w:b/>
          <w:color w:val="212529"/>
          <w:sz w:val="20"/>
          <w:szCs w:val="20"/>
          <w:shd w:val="clear" w:color="auto" w:fill="FFFFFF"/>
        </w:rPr>
      </w:pPr>
      <w:r>
        <w:rPr>
          <w:rFonts w:ascii="Times New Roman" w:hAnsi="Times New Roman"/>
          <w:b/>
          <w:color w:val="212529"/>
          <w:sz w:val="20"/>
          <w:szCs w:val="20"/>
          <w:shd w:val="clear" w:color="auto" w:fill="FFFFFF"/>
        </w:rPr>
        <w:t xml:space="preserve">Figure-I: Illustrates a diagnostic approach for the evaluation of suspected erythrocytosis (Polycythemia) </w:t>
      </w:r>
    </w:p>
    <w:p>
      <w:pPr>
        <w:jc w:val="center"/>
      </w:pPr>
      <w:r>
        <w:rPr>
          <w:lang w:val="en-US" w:eastAsia="en-US"/>
        </w:rPr>
        <mc:AlternateContent>
          <mc:Choice Requires="wpg">
            <w:drawing>
              <wp:anchor distT="0" distB="0" distL="114300" distR="114300" simplePos="0" relativeHeight="251659264" behindDoc="0" locked="0" layoutInCell="1" allowOverlap="1">
                <wp:simplePos x="0" y="0"/>
                <wp:positionH relativeFrom="column">
                  <wp:posOffset>-361950</wp:posOffset>
                </wp:positionH>
                <wp:positionV relativeFrom="paragraph">
                  <wp:posOffset>279400</wp:posOffset>
                </wp:positionV>
                <wp:extent cx="6810375" cy="7399655"/>
                <wp:effectExtent l="4445" t="4445" r="12700" b="17780"/>
                <wp:wrapNone/>
                <wp:docPr id="43" name="Group 46"/>
                <wp:cNvGraphicFramePr/>
                <a:graphic xmlns:a="http://schemas.openxmlformats.org/drawingml/2006/main">
                  <a:graphicData uri="http://schemas.microsoft.com/office/word/2010/wordprocessingGroup">
                    <wpg:wgp>
                      <wpg:cNvGrpSpPr/>
                      <wpg:grpSpPr>
                        <a:xfrm>
                          <a:off x="0" y="0"/>
                          <a:ext cx="6810375" cy="7399655"/>
                          <a:chOff x="870" y="2432"/>
                          <a:chExt cx="10725" cy="11653"/>
                        </a:xfrm>
                      </wpg:grpSpPr>
                      <wps:wsp>
                        <wps:cNvPr id="1" name="Text Box 2"/>
                        <wps:cNvSpPr txBox="1"/>
                        <wps:spPr>
                          <a:xfrm>
                            <a:off x="870" y="2432"/>
                            <a:ext cx="2175" cy="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Increased hct or hgb</w:t>
                              </w:r>
                            </w:p>
                          </w:txbxContent>
                        </wps:txbx>
                        <wps:bodyPr upright="1"/>
                      </wps:wsp>
                      <wps:wsp>
                        <wps:cNvPr id="2" name="Text Box 5"/>
                        <wps:cNvSpPr txBox="1"/>
                        <wps:spPr>
                          <a:xfrm>
                            <a:off x="2260" y="3721"/>
                            <a:ext cx="2840" cy="4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RBC mass</w:t>
                              </w:r>
                            </w:p>
                          </w:txbxContent>
                        </wps:txbx>
                        <wps:bodyPr upright="1"/>
                      </wps:wsp>
                      <wps:wsp>
                        <wps:cNvPr id="3" name="Text Box 6"/>
                        <wps:cNvSpPr txBox="1"/>
                        <wps:spPr>
                          <a:xfrm>
                            <a:off x="2250" y="5231"/>
                            <a:ext cx="2870" cy="7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serum EPO levels</w:t>
                              </w:r>
                            </w:p>
                          </w:txbxContent>
                        </wps:txbx>
                        <wps:bodyPr upright="1"/>
                      </wps:wsp>
                      <wps:wsp>
                        <wps:cNvPr id="4" name="Text Box 7"/>
                        <wps:cNvSpPr txBox="1"/>
                        <wps:spPr>
                          <a:xfrm>
                            <a:off x="2240" y="8991"/>
                            <a:ext cx="2940" cy="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Smoker?</w:t>
                              </w:r>
                            </w:p>
                          </w:txbxContent>
                        </wps:txbx>
                        <wps:bodyPr upright="1"/>
                      </wps:wsp>
                      <wps:wsp>
                        <wps:cNvPr id="5" name="Text Box 8"/>
                        <wps:cNvSpPr txBox="1"/>
                        <wps:spPr>
                          <a:xfrm>
                            <a:off x="2280" y="7081"/>
                            <a:ext cx="2870" cy="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arterial O2 saturation</w:t>
                              </w:r>
                            </w:p>
                          </w:txbxContent>
                        </wps:txbx>
                        <wps:bodyPr upright="1"/>
                      </wps:wsp>
                      <wps:wsp>
                        <wps:cNvPr id="6" name="Text Box 9"/>
                        <wps:cNvSpPr txBox="1"/>
                        <wps:spPr>
                          <a:xfrm>
                            <a:off x="2280" y="10571"/>
                            <a:ext cx="2890" cy="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carboxyhemoglobin level</w:t>
                              </w:r>
                            </w:p>
                          </w:txbxContent>
                        </wps:txbx>
                        <wps:bodyPr upright="1"/>
                      </wps:wsp>
                      <wps:wsp>
                        <wps:cNvPr id="7" name="Text Box 10"/>
                        <wps:cNvSpPr txBox="1"/>
                        <wps:spPr>
                          <a:xfrm>
                            <a:off x="2240" y="12721"/>
                            <a:ext cx="2910" cy="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 Smoker’s polycythemia</w:t>
                              </w:r>
                            </w:p>
                          </w:txbxContent>
                        </wps:txbx>
                        <wps:bodyPr upright="1"/>
                      </wps:wsp>
                      <wps:wsp>
                        <wps:cNvPr id="8" name="Text Box 11"/>
                        <wps:cNvSpPr txBox="1"/>
                        <wps:spPr>
                          <a:xfrm>
                            <a:off x="7090" y="3701"/>
                            <a:ext cx="22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 Relative erythrocytosis</w:t>
                              </w:r>
                            </w:p>
                          </w:txbxContent>
                        </wps:txbx>
                        <wps:bodyPr upright="1"/>
                      </wps:wsp>
                      <wps:wsp>
                        <wps:cNvPr id="9" name="Text Box 12"/>
                        <wps:cNvSpPr txBox="1"/>
                        <wps:spPr>
                          <a:xfrm>
                            <a:off x="6906" y="5241"/>
                            <a:ext cx="1860" cy="8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Polycythemia vera</w:t>
                              </w:r>
                            </w:p>
                          </w:txbxContent>
                        </wps:txbx>
                        <wps:bodyPr upright="1"/>
                      </wps:wsp>
                      <wps:wsp>
                        <wps:cNvPr id="10" name="Text Box 13"/>
                        <wps:cNvSpPr txBox="1"/>
                        <wps:spPr>
                          <a:xfrm>
                            <a:off x="7010" y="7020"/>
                            <a:ext cx="3210" cy="1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Diagnostic evaluation for heart or lung disease.</w:t>
                              </w:r>
                            </w:p>
                            <w:p>
                              <w:pPr>
                                <w:rPr>
                                  <w:rFonts w:ascii="Times New Roman" w:hAnsi="Times New Roman"/>
                                  <w:sz w:val="20"/>
                                  <w:szCs w:val="20"/>
                                </w:rPr>
                              </w:pPr>
                              <w:r>
                                <w:rPr>
                                  <w:rFonts w:ascii="Times New Roman" w:hAnsi="Times New Roman"/>
                                  <w:sz w:val="20"/>
                                  <w:szCs w:val="20"/>
                                </w:rPr>
                                <w:t>e.g. COPD, high altiutude, AV or ontracardiac shunt.</w:t>
                              </w:r>
                            </w:p>
                          </w:txbxContent>
                        </wps:txbx>
                        <wps:bodyPr upright="1"/>
                      </wps:wsp>
                      <wps:wsp>
                        <wps:cNvPr id="11" name="Text Box 14"/>
                        <wps:cNvSpPr txBox="1"/>
                        <wps:spPr>
                          <a:xfrm>
                            <a:off x="7080" y="8870"/>
                            <a:ext cx="3140" cy="10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Measure hemoglobin O2 affinity</w:t>
                              </w:r>
                            </w:p>
                          </w:txbxContent>
                        </wps:txbx>
                        <wps:bodyPr upright="1"/>
                      </wps:wsp>
                      <wps:wsp>
                        <wps:cNvPr id="12" name="Text Box 15"/>
                        <wps:cNvSpPr txBox="1"/>
                        <wps:spPr>
                          <a:xfrm>
                            <a:off x="7070" y="10581"/>
                            <a:ext cx="2700" cy="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Dx: ↑O2 affinity hemoglobinopathy</w:t>
                              </w:r>
                            </w:p>
                          </w:txbxContent>
                        </wps:txbx>
                        <wps:bodyPr upright="1"/>
                      </wps:wsp>
                      <wps:wsp>
                        <wps:cNvPr id="13" name="Text Box 16"/>
                        <wps:cNvSpPr txBox="1"/>
                        <wps:spPr>
                          <a:xfrm>
                            <a:off x="6750" y="12552"/>
                            <a:ext cx="3735" cy="153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before="0" w:beforeAutospacing="0"/>
                                <w:rPr>
                                  <w:rFonts w:ascii="Times New Roman" w:hAnsi="Times New Roman"/>
                                  <w:sz w:val="20"/>
                                  <w:szCs w:val="20"/>
                                </w:rPr>
                              </w:pPr>
                              <w:r>
                                <w:rPr>
                                  <w:rFonts w:ascii="Times New Roman" w:hAnsi="Times New Roman"/>
                                  <w:sz w:val="20"/>
                                  <w:szCs w:val="20"/>
                                </w:rPr>
                                <w:t>Search for tumor as source of EPO</w:t>
                              </w:r>
                            </w:p>
                            <w:p>
                              <w:pPr>
                                <w:spacing w:before="0" w:beforeAutospacing="0"/>
                                <w:rPr>
                                  <w:rFonts w:ascii="Times New Roman" w:hAnsi="Times New Roman"/>
                                  <w:sz w:val="20"/>
                                  <w:szCs w:val="20"/>
                                </w:rPr>
                              </w:pPr>
                              <w:r>
                                <w:rPr>
                                  <w:rFonts w:ascii="Times New Roman" w:hAnsi="Times New Roman"/>
                                  <w:sz w:val="20"/>
                                  <w:szCs w:val="20"/>
                                </w:rPr>
                                <w:t>Renal ultrasound ( renal ca or cyst)</w:t>
                              </w:r>
                            </w:p>
                            <w:p>
                              <w:pPr>
                                <w:spacing w:before="0" w:beforeAutospacing="0"/>
                                <w:rPr>
                                  <w:rFonts w:ascii="Times New Roman" w:hAnsi="Times New Roman"/>
                                  <w:sz w:val="20"/>
                                  <w:szCs w:val="20"/>
                                </w:rPr>
                              </w:pPr>
                              <w:r>
                                <w:rPr>
                                  <w:rFonts w:ascii="Times New Roman" w:hAnsi="Times New Roman"/>
                                  <w:sz w:val="20"/>
                                  <w:szCs w:val="20"/>
                                </w:rPr>
                                <w:t>CT of head (cerebellar hemangioma)</w:t>
                              </w:r>
                            </w:p>
                            <w:p>
                              <w:pPr>
                                <w:spacing w:before="0" w:beforeAutospacing="0"/>
                                <w:rPr>
                                  <w:rFonts w:ascii="Times New Roman" w:hAnsi="Times New Roman"/>
                                  <w:sz w:val="20"/>
                                  <w:szCs w:val="20"/>
                                </w:rPr>
                              </w:pPr>
                              <w:r>
                                <w:rPr>
                                  <w:rFonts w:ascii="Times New Roman" w:hAnsi="Times New Roman"/>
                                  <w:sz w:val="20"/>
                                  <w:szCs w:val="20"/>
                                </w:rPr>
                                <w:t>CT of pelvis (uterine leiomyoma)</w:t>
                              </w:r>
                            </w:p>
                            <w:p>
                              <w:pPr>
                                <w:spacing w:before="0" w:beforeAutospacing="0"/>
                                <w:rPr>
                                  <w:rFonts w:ascii="Times New Roman" w:hAnsi="Times New Roman"/>
                                  <w:sz w:val="20"/>
                                  <w:szCs w:val="20"/>
                                </w:rPr>
                              </w:pPr>
                              <w:r>
                                <w:rPr>
                                  <w:rFonts w:ascii="Times New Roman" w:hAnsi="Times New Roman"/>
                                  <w:sz w:val="20"/>
                                  <w:szCs w:val="20"/>
                                </w:rPr>
                                <w:t>CT of abdomen (hepatoma)</w:t>
                              </w:r>
                            </w:p>
                          </w:txbxContent>
                        </wps:txbx>
                        <wps:bodyPr upright="1"/>
                      </wps:wsp>
                      <wps:wsp>
                        <wps:cNvPr id="14" name="Text Box 17"/>
                        <wps:cNvSpPr txBox="1"/>
                        <wps:spPr>
                          <a:xfrm>
                            <a:off x="9486" y="5241"/>
                            <a:ext cx="1194" cy="98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Times New Roman" w:hAnsi="Times New Roman"/>
                                  <w:sz w:val="20"/>
                                  <w:szCs w:val="20"/>
                                </w:rPr>
                              </w:pPr>
                              <w:r>
                                <w:rPr>
                                  <w:rFonts w:ascii="Times New Roman" w:hAnsi="Times New Roman"/>
                                  <w:sz w:val="20"/>
                                  <w:szCs w:val="20"/>
                                </w:rPr>
                                <w:t>Confirm JAK2 mutation</w:t>
                              </w:r>
                            </w:p>
                          </w:txbxContent>
                        </wps:txbx>
                        <wps:bodyPr upright="1"/>
                      </wps:wsp>
                      <wps:wsp>
                        <wps:cNvPr id="15" name="Straight Arrow Connector 19"/>
                        <wps:cNvCnPr/>
                        <wps:spPr>
                          <a:xfrm>
                            <a:off x="3520" y="3132"/>
                            <a:ext cx="0" cy="500"/>
                          </a:xfrm>
                          <a:prstGeom prst="straightConnector1">
                            <a:avLst/>
                          </a:prstGeom>
                          <a:ln w="6350" cap="flat" cmpd="sng">
                            <a:solidFill>
                              <a:srgbClr val="4472C4"/>
                            </a:solidFill>
                            <a:prstDash val="solid"/>
                            <a:miter/>
                            <a:headEnd type="none" w="med" len="med"/>
                            <a:tailEnd type="triangle" w="med" len="med"/>
                          </a:ln>
                        </wps:spPr>
                        <wps:bodyPr/>
                      </wps:wsp>
                      <wps:wsp>
                        <wps:cNvPr id="16" name="Straight Arrow Connector 20"/>
                        <wps:cNvCnPr/>
                        <wps:spPr>
                          <a:xfrm>
                            <a:off x="3520" y="4182"/>
                            <a:ext cx="0" cy="1020"/>
                          </a:xfrm>
                          <a:prstGeom prst="straightConnector1">
                            <a:avLst/>
                          </a:prstGeom>
                          <a:ln w="6350" cap="flat" cmpd="sng">
                            <a:solidFill>
                              <a:srgbClr val="4472C4"/>
                            </a:solidFill>
                            <a:prstDash val="solid"/>
                            <a:miter/>
                            <a:headEnd type="none" w="med" len="med"/>
                            <a:tailEnd type="triangle" w="med" len="med"/>
                          </a:ln>
                        </wps:spPr>
                        <wps:bodyPr/>
                      </wps:wsp>
                      <wps:wsp>
                        <wps:cNvPr id="17" name="Straight Arrow Connector 21"/>
                        <wps:cNvCnPr/>
                        <wps:spPr>
                          <a:xfrm>
                            <a:off x="3510" y="6032"/>
                            <a:ext cx="10" cy="1020"/>
                          </a:xfrm>
                          <a:prstGeom prst="straightConnector1">
                            <a:avLst/>
                          </a:prstGeom>
                          <a:ln w="6350" cap="flat" cmpd="sng">
                            <a:solidFill>
                              <a:srgbClr val="4472C4"/>
                            </a:solidFill>
                            <a:prstDash val="solid"/>
                            <a:miter/>
                            <a:headEnd type="none" w="med" len="med"/>
                            <a:tailEnd type="triangle" w="med" len="med"/>
                          </a:ln>
                        </wps:spPr>
                        <wps:bodyPr/>
                      </wps:wsp>
                      <wps:wsp>
                        <wps:cNvPr id="18" name="Straight Arrow Connector 22"/>
                        <wps:cNvCnPr/>
                        <wps:spPr>
                          <a:xfrm>
                            <a:off x="3520" y="7812"/>
                            <a:ext cx="0" cy="1170"/>
                          </a:xfrm>
                          <a:prstGeom prst="straightConnector1">
                            <a:avLst/>
                          </a:prstGeom>
                          <a:ln w="6350" cap="flat" cmpd="sng">
                            <a:solidFill>
                              <a:srgbClr val="4472C4"/>
                            </a:solidFill>
                            <a:prstDash val="solid"/>
                            <a:miter/>
                            <a:headEnd type="none" w="med" len="med"/>
                            <a:tailEnd type="triangle" w="med" len="med"/>
                          </a:ln>
                        </wps:spPr>
                        <wps:bodyPr/>
                      </wps:wsp>
                      <wps:wsp>
                        <wps:cNvPr id="19" name="Straight Arrow Connector 23"/>
                        <wps:cNvCnPr/>
                        <wps:spPr>
                          <a:xfrm>
                            <a:off x="3510" y="9442"/>
                            <a:ext cx="0" cy="1100"/>
                          </a:xfrm>
                          <a:prstGeom prst="straightConnector1">
                            <a:avLst/>
                          </a:prstGeom>
                          <a:ln w="6350" cap="flat" cmpd="sng">
                            <a:solidFill>
                              <a:srgbClr val="4472C4"/>
                            </a:solidFill>
                            <a:prstDash val="solid"/>
                            <a:miter/>
                            <a:headEnd type="none" w="med" len="med"/>
                            <a:tailEnd type="triangle" w="med" len="med"/>
                          </a:ln>
                        </wps:spPr>
                        <wps:bodyPr/>
                      </wps:wsp>
                      <wps:wsp>
                        <wps:cNvPr id="20" name="Straight Arrow Connector 24"/>
                        <wps:cNvCnPr/>
                        <wps:spPr>
                          <a:xfrm flipH="1">
                            <a:off x="3470" y="11442"/>
                            <a:ext cx="10" cy="1270"/>
                          </a:xfrm>
                          <a:prstGeom prst="straightConnector1">
                            <a:avLst/>
                          </a:prstGeom>
                          <a:ln w="6350" cap="flat" cmpd="sng">
                            <a:solidFill>
                              <a:srgbClr val="4472C4"/>
                            </a:solidFill>
                            <a:prstDash val="solid"/>
                            <a:miter/>
                            <a:headEnd type="none" w="med" len="med"/>
                            <a:tailEnd type="triangle" w="med" len="med"/>
                          </a:ln>
                        </wps:spPr>
                        <wps:bodyPr/>
                      </wps:wsp>
                      <wps:wsp>
                        <wps:cNvPr id="21" name="Straight Arrow Connector 25"/>
                        <wps:cNvCnPr/>
                        <wps:spPr>
                          <a:xfrm>
                            <a:off x="5080" y="3952"/>
                            <a:ext cx="2010" cy="10"/>
                          </a:xfrm>
                          <a:prstGeom prst="straightConnector1">
                            <a:avLst/>
                          </a:prstGeom>
                          <a:ln w="6350" cap="flat" cmpd="sng">
                            <a:solidFill>
                              <a:srgbClr val="4472C4"/>
                            </a:solidFill>
                            <a:prstDash val="solid"/>
                            <a:miter/>
                            <a:headEnd type="none" w="med" len="med"/>
                            <a:tailEnd type="triangle" w="med" len="med"/>
                          </a:ln>
                        </wps:spPr>
                        <wps:bodyPr/>
                      </wps:wsp>
                      <wps:wsp>
                        <wps:cNvPr id="22" name="Straight Arrow Connector 26"/>
                        <wps:cNvCnPr/>
                        <wps:spPr>
                          <a:xfrm>
                            <a:off x="5120" y="5592"/>
                            <a:ext cx="1850" cy="20"/>
                          </a:xfrm>
                          <a:prstGeom prst="straightConnector1">
                            <a:avLst/>
                          </a:prstGeom>
                          <a:ln w="6350" cap="flat" cmpd="sng">
                            <a:solidFill>
                              <a:srgbClr val="4472C4"/>
                            </a:solidFill>
                            <a:prstDash val="solid"/>
                            <a:miter/>
                            <a:headEnd type="none" w="med" len="med"/>
                            <a:tailEnd type="triangle" w="med" len="med"/>
                          </a:ln>
                        </wps:spPr>
                        <wps:bodyPr/>
                      </wps:wsp>
                      <wps:wsp>
                        <wps:cNvPr id="23" name="Straight Arrow Connector 27"/>
                        <wps:cNvCnPr/>
                        <wps:spPr>
                          <a:xfrm>
                            <a:off x="8766" y="5612"/>
                            <a:ext cx="720" cy="10"/>
                          </a:xfrm>
                          <a:prstGeom prst="straightConnector1">
                            <a:avLst/>
                          </a:prstGeom>
                          <a:ln w="6350" cap="flat" cmpd="sng">
                            <a:solidFill>
                              <a:srgbClr val="4472C4"/>
                            </a:solidFill>
                            <a:prstDash val="solid"/>
                            <a:miter/>
                            <a:headEnd type="none" w="med" len="med"/>
                            <a:tailEnd type="triangle" w="med" len="med"/>
                          </a:ln>
                        </wps:spPr>
                        <wps:bodyPr/>
                      </wps:wsp>
                      <wps:wsp>
                        <wps:cNvPr id="24" name="Straight Arrow Connector 28"/>
                        <wps:cNvCnPr/>
                        <wps:spPr>
                          <a:xfrm>
                            <a:off x="5170" y="7442"/>
                            <a:ext cx="1840" cy="30"/>
                          </a:xfrm>
                          <a:prstGeom prst="straightConnector1">
                            <a:avLst/>
                          </a:prstGeom>
                          <a:ln w="6350" cap="flat" cmpd="sng">
                            <a:solidFill>
                              <a:srgbClr val="4472C4"/>
                            </a:solidFill>
                            <a:prstDash val="solid"/>
                            <a:miter/>
                            <a:headEnd type="none" w="med" len="med"/>
                            <a:tailEnd type="triangle" w="med" len="med"/>
                          </a:ln>
                        </wps:spPr>
                        <wps:bodyPr/>
                      </wps:wsp>
                      <wps:wsp>
                        <wps:cNvPr id="25" name="Straight Arrow Connector 30"/>
                        <wps:cNvCnPr/>
                        <wps:spPr>
                          <a:xfrm>
                            <a:off x="5190" y="9202"/>
                            <a:ext cx="1890" cy="0"/>
                          </a:xfrm>
                          <a:prstGeom prst="straightConnector1">
                            <a:avLst/>
                          </a:prstGeom>
                          <a:ln w="6350" cap="flat" cmpd="sng">
                            <a:solidFill>
                              <a:srgbClr val="4472C4"/>
                            </a:solidFill>
                            <a:prstDash val="solid"/>
                            <a:miter/>
                            <a:headEnd type="none" w="med" len="med"/>
                            <a:tailEnd type="triangle" w="med" len="med"/>
                          </a:ln>
                        </wps:spPr>
                        <wps:bodyPr/>
                      </wps:wsp>
                      <wps:wsp>
                        <wps:cNvPr id="26" name="Oval 33"/>
                        <wps:cNvSpPr/>
                        <wps:spPr>
                          <a:xfrm>
                            <a:off x="5390" y="3202"/>
                            <a:ext cx="1360" cy="70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27" name="Oval 34"/>
                        <wps:cNvSpPr/>
                        <wps:spPr>
                          <a:xfrm>
                            <a:off x="5650" y="4942"/>
                            <a:ext cx="1010" cy="64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low</w:t>
                              </w:r>
                            </w:p>
                          </w:txbxContent>
                        </wps:txbx>
                        <wps:bodyPr anchor="ctr" anchorCtr="0" upright="1"/>
                      </wps:wsp>
                      <wps:wsp>
                        <wps:cNvPr id="28" name="Oval 35"/>
                        <wps:cNvSpPr/>
                        <wps:spPr>
                          <a:xfrm>
                            <a:off x="5640" y="6842"/>
                            <a:ext cx="960" cy="62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low</w:t>
                              </w:r>
                            </w:p>
                          </w:txbxContent>
                        </wps:txbx>
                        <wps:bodyPr anchor="ctr" anchorCtr="0" upright="1"/>
                      </wps:wsp>
                      <wps:wsp>
                        <wps:cNvPr id="29" name="Oval 36"/>
                        <wps:cNvSpPr/>
                        <wps:spPr>
                          <a:xfrm>
                            <a:off x="5690" y="8552"/>
                            <a:ext cx="840" cy="62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w:t>
                              </w:r>
                            </w:p>
                          </w:txbxContent>
                        </wps:txbx>
                        <wps:bodyPr anchor="ctr" anchorCtr="0" upright="1"/>
                      </wps:wsp>
                      <wps:wsp>
                        <wps:cNvPr id="30" name="Straight Arrow Connector 37"/>
                        <wps:cNvCnPr/>
                        <wps:spPr>
                          <a:xfrm>
                            <a:off x="3680" y="9512"/>
                            <a:ext cx="3410" cy="0"/>
                          </a:xfrm>
                          <a:prstGeom prst="straightConnector1">
                            <a:avLst/>
                          </a:prstGeom>
                          <a:ln w="6350" cap="flat" cmpd="sng">
                            <a:solidFill>
                              <a:srgbClr val="4472C4"/>
                            </a:solidFill>
                            <a:prstDash val="solid"/>
                            <a:miter/>
                            <a:headEnd type="none" w="med" len="med"/>
                            <a:tailEnd type="triangle" w="med" len="med"/>
                          </a:ln>
                        </wps:spPr>
                        <wps:bodyPr/>
                      </wps:wsp>
                      <wps:wsp>
                        <wps:cNvPr id="31" name="Straight Connector 38"/>
                        <wps:cNvCnPr/>
                        <wps:spPr>
                          <a:xfrm flipH="1">
                            <a:off x="3690" y="9492"/>
                            <a:ext cx="20" cy="1020"/>
                          </a:xfrm>
                          <a:prstGeom prst="line">
                            <a:avLst/>
                          </a:prstGeom>
                          <a:ln w="6350" cap="flat" cmpd="sng">
                            <a:solidFill>
                              <a:srgbClr val="4472C4"/>
                            </a:solidFill>
                            <a:prstDash val="solid"/>
                            <a:miter/>
                            <a:headEnd type="none" w="med" len="med"/>
                            <a:tailEnd type="none" w="med" len="med"/>
                          </a:ln>
                        </wps:spPr>
                        <wps:bodyPr upright="1"/>
                      </wps:wsp>
                      <wps:wsp>
                        <wps:cNvPr id="32" name="Straight Arrow Connector 39"/>
                        <wps:cNvCnPr/>
                        <wps:spPr>
                          <a:xfrm>
                            <a:off x="8460" y="9842"/>
                            <a:ext cx="0" cy="730"/>
                          </a:xfrm>
                          <a:prstGeom prst="straightConnector1">
                            <a:avLst/>
                          </a:prstGeom>
                          <a:ln w="6350" cap="flat" cmpd="sng">
                            <a:solidFill>
                              <a:srgbClr val="4472C4"/>
                            </a:solidFill>
                            <a:prstDash val="solid"/>
                            <a:miter/>
                            <a:headEnd type="none" w="med" len="med"/>
                            <a:tailEnd type="triangle" w="med" len="med"/>
                          </a:ln>
                        </wps:spPr>
                        <wps:bodyPr/>
                      </wps:wsp>
                      <wps:wsp>
                        <wps:cNvPr id="33" name="Straight Arrow Connector 40"/>
                        <wps:cNvCnPr/>
                        <wps:spPr>
                          <a:xfrm flipH="1">
                            <a:off x="10200" y="9832"/>
                            <a:ext cx="20" cy="2720"/>
                          </a:xfrm>
                          <a:prstGeom prst="straightConnector1">
                            <a:avLst/>
                          </a:prstGeom>
                          <a:ln w="6350" cap="flat" cmpd="sng">
                            <a:solidFill>
                              <a:srgbClr val="4472C4"/>
                            </a:solidFill>
                            <a:prstDash val="solid"/>
                            <a:miter/>
                            <a:headEnd type="none" w="med" len="med"/>
                            <a:tailEnd type="triangle" w="med" len="med"/>
                          </a:ln>
                        </wps:spPr>
                        <wps:bodyPr/>
                      </wps:wsp>
                      <wps:wsp>
                        <wps:cNvPr id="34" name="Oval 41"/>
                        <wps:cNvSpPr/>
                        <wps:spPr>
                          <a:xfrm>
                            <a:off x="3920" y="9802"/>
                            <a:ext cx="1420" cy="64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35" name="Oval 42"/>
                        <wps:cNvSpPr/>
                        <wps:spPr>
                          <a:xfrm>
                            <a:off x="2200" y="9812"/>
                            <a:ext cx="1060" cy="60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Yes</w:t>
                              </w:r>
                            </w:p>
                          </w:txbxContent>
                        </wps:txbx>
                        <wps:bodyPr anchor="ctr" anchorCtr="0" upright="1"/>
                      </wps:wsp>
                      <wps:wsp>
                        <wps:cNvPr id="36" name="Oval 43"/>
                        <wps:cNvSpPr/>
                        <wps:spPr>
                          <a:xfrm>
                            <a:off x="1770" y="11762"/>
                            <a:ext cx="1650" cy="69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37" name="Oval 45"/>
                        <wps:cNvSpPr/>
                        <wps:spPr>
                          <a:xfrm>
                            <a:off x="6590" y="9922"/>
                            <a:ext cx="1760" cy="58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Increased</w:t>
                              </w:r>
                            </w:p>
                          </w:txbxContent>
                        </wps:txbx>
                        <wps:bodyPr anchor="ctr" anchorCtr="0" upright="1"/>
                      </wps:wsp>
                      <wps:wsp>
                        <wps:cNvPr id="38" name="Oval 46"/>
                        <wps:cNvSpPr/>
                        <wps:spPr>
                          <a:xfrm>
                            <a:off x="10320" y="10572"/>
                            <a:ext cx="1275" cy="75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39" name="Oval 47"/>
                        <wps:cNvSpPr/>
                        <wps:spPr>
                          <a:xfrm>
                            <a:off x="1820" y="4372"/>
                            <a:ext cx="1590" cy="63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40" name="Oval 48"/>
                        <wps:cNvSpPr/>
                        <wps:spPr>
                          <a:xfrm>
                            <a:off x="1830" y="6222"/>
                            <a:ext cx="1620" cy="63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elevated</w:t>
                              </w:r>
                            </w:p>
                          </w:txbxContent>
                        </wps:txbx>
                        <wps:bodyPr anchor="ctr" anchorCtr="0" upright="1"/>
                      </wps:wsp>
                      <wps:wsp>
                        <wps:cNvPr id="41" name="Oval 49"/>
                        <wps:cNvSpPr/>
                        <wps:spPr>
                          <a:xfrm>
                            <a:off x="1970" y="8062"/>
                            <a:ext cx="1370" cy="660"/>
                          </a:xfrm>
                          <a:prstGeom prst="ellipse">
                            <a:avLst/>
                          </a:prstGeom>
                          <a:solidFill>
                            <a:srgbClr val="FFFFFF"/>
                          </a:solidFill>
                          <a:ln w="12700" cap="flat" cmpd="sng">
                            <a:solidFill>
                              <a:srgbClr val="70AD47"/>
                            </a:solidFill>
                            <a:prstDash val="solid"/>
                            <a:miter/>
                            <a:headEnd type="none" w="med" len="med"/>
                            <a:tailEnd type="none" w="med" len="med"/>
                          </a:ln>
                        </wps:spPr>
                        <wps:txbx>
                          <w:txbxContent>
                            <w:p>
                              <w:pPr>
                                <w:jc w:val="center"/>
                                <w:rPr>
                                  <w:rFonts w:ascii="Times New Roman" w:hAnsi="Times New Roman"/>
                                  <w:sz w:val="20"/>
                                  <w:szCs w:val="20"/>
                                </w:rPr>
                              </w:pPr>
                              <w:r>
                                <w:rPr>
                                  <w:rFonts w:ascii="Times New Roman" w:hAnsi="Times New Roman"/>
                                  <w:sz w:val="20"/>
                                  <w:szCs w:val="20"/>
                                </w:rPr>
                                <w:t>normal</w:t>
                              </w:r>
                            </w:p>
                          </w:txbxContent>
                        </wps:txbx>
                        <wps:bodyPr anchor="ctr" anchorCtr="0" upright="1"/>
                      </wps:wsp>
                      <wps:wsp>
                        <wps:cNvPr id="42" name="Arrow: Curved Right 55"/>
                        <wps:cNvSpPr/>
                        <wps:spPr>
                          <a:xfrm>
                            <a:off x="1610" y="2912"/>
                            <a:ext cx="600" cy="2790"/>
                          </a:xfrm>
                          <a:prstGeom prst="curvedRightArrow">
                            <a:avLst>
                              <a:gd name="adj1" fmla="val 24993"/>
                              <a:gd name="adj2" fmla="val 50010"/>
                              <a:gd name="adj3" fmla="val 25000"/>
                            </a:avLst>
                          </a:prstGeom>
                          <a:solidFill>
                            <a:srgbClr val="000000"/>
                          </a:solidFill>
                          <a:ln w="12700" cap="flat" cmpd="sng">
                            <a:solidFill>
                              <a:srgbClr val="000000"/>
                            </a:solidFill>
                            <a:prstDash val="solid"/>
                            <a:miter/>
                            <a:headEnd type="none" w="med" len="med"/>
                            <a:tailEnd type="none" w="med" len="med"/>
                          </a:ln>
                        </wps:spPr>
                        <wps:bodyPr anchor="ctr" anchorCtr="0" upright="1"/>
                      </wps:wsp>
                    </wpg:wgp>
                  </a:graphicData>
                </a:graphic>
              </wp:anchor>
            </w:drawing>
          </mc:Choice>
          <mc:Fallback>
            <w:pict>
              <v:group id="Group 46" o:spid="_x0000_s1026" o:spt="203" style="position:absolute;left:0pt;margin-left:-28.5pt;margin-top:22pt;height:582.65pt;width:536.25pt;z-index:251659264;mso-width-relative:page;mso-height-relative:page;" coordorigin="870,2432" coordsize="10725,11653" o:gfxdata="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">
                <o:lock v:ext="edit" aspectratio="f"/>
                <v:shape id="Text Box 2" o:spid="_x0000_s1026" o:spt="202" type="#_x0000_t202" style="position:absolute;left:870;top:2432;height:480;width:2175;" fillcolor="#FFFFFF" filled="t" stroked="t" coordsize="21600,21600" o:gfxdata="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3I6ugAAANo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Increased hct or hgb</w:t>
                        </w:r>
                      </w:p>
                    </w:txbxContent>
                  </v:textbox>
                </v:shape>
                <v:shape id="Text Box 5" o:spid="_x0000_s1026" o:spt="202" type="#_x0000_t202" style="position:absolute;left:2260;top:3721;height:460;width:284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RBC mass</w:t>
                        </w:r>
                      </w:p>
                    </w:txbxContent>
                  </v:textbox>
                </v:shape>
                <v:shape id="Text Box 6" o:spid="_x0000_s1026" o:spt="202" type="#_x0000_t202" style="position:absolute;left:2250;top:5231;height:730;width:287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serum EPO levels</w:t>
                        </w:r>
                      </w:p>
                    </w:txbxContent>
                  </v:textbox>
                </v:shape>
                <v:shape id="Text Box 7" o:spid="_x0000_s1026" o:spt="202" type="#_x0000_t202" style="position:absolute;left:2240;top:8991;height:450;width:294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Smoker?</w:t>
                        </w:r>
                      </w:p>
                    </w:txbxContent>
                  </v:textbox>
                </v:shape>
                <v:shape id="Text Box 8" o:spid="_x0000_s1026" o:spt="202" type="#_x0000_t202" style="position:absolute;left:2280;top:7081;height:710;width:287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arterial O2 saturation</w:t>
                        </w:r>
                      </w:p>
                    </w:txbxContent>
                  </v:textbox>
                </v:shape>
                <v:shape id="Text Box 9" o:spid="_x0000_s1026" o:spt="202" type="#_x0000_t202" style="position:absolute;left:2280;top:10571;height:860;width:289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carboxyhemoglobin level</w:t>
                        </w:r>
                      </w:p>
                    </w:txbxContent>
                  </v:textbox>
                </v:shape>
                <v:shape id="Text Box 10" o:spid="_x0000_s1026" o:spt="202" type="#_x0000_t202" style="position:absolute;left:2240;top:12721;height:800;width:291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 Smoker’s polycythemia</w:t>
                        </w:r>
                      </w:p>
                    </w:txbxContent>
                  </v:textbox>
                </v:shape>
                <v:shape id="Text Box 11" o:spid="_x0000_s1026" o:spt="202" type="#_x0000_t202" style="position:absolute;left:7090;top:3701;height:780;width:222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 Relative erythrocytosis</w:t>
                        </w:r>
                      </w:p>
                    </w:txbxContent>
                  </v:textbox>
                </v:shape>
                <v:shape id="Text Box 12" o:spid="_x0000_s1026" o:spt="202" type="#_x0000_t202" style="position:absolute;left:6906;top:5241;height:860;width:186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Polycythemia vera</w:t>
                        </w:r>
                      </w:p>
                    </w:txbxContent>
                  </v:textbox>
                </v:shape>
                <v:shape id="Text Box 13" o:spid="_x0000_s1026" o:spt="202" type="#_x0000_t202" style="position:absolute;left:7010;top:7020;height:1510;width:3210;"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Diagnostic evaluation for heart or lung disease.</w:t>
                        </w:r>
                      </w:p>
                      <w:p>
                        <w:pPr>
                          <w:rPr>
                            <w:rFonts w:ascii="Times New Roman" w:hAnsi="Times New Roman"/>
                            <w:sz w:val="20"/>
                            <w:szCs w:val="20"/>
                          </w:rPr>
                        </w:pPr>
                        <w:r>
                          <w:rPr>
                            <w:rFonts w:ascii="Times New Roman" w:hAnsi="Times New Roman"/>
                            <w:sz w:val="20"/>
                            <w:szCs w:val="20"/>
                          </w:rPr>
                          <w:t>e.g. COPD, high altiutude, AV or ontracardiac shunt.</w:t>
                        </w:r>
                      </w:p>
                    </w:txbxContent>
                  </v:textbox>
                </v:shape>
                <v:shape id="Text Box 14" o:spid="_x0000_s1026" o:spt="202" type="#_x0000_t202" style="position:absolute;left:7080;top:8870;height:1000;width:3140;"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Measure hemoglobin O2 affinity</w:t>
                        </w:r>
                      </w:p>
                    </w:txbxContent>
                  </v:textbox>
                </v:shape>
                <v:shape id="Text Box 15" o:spid="_x0000_s1026" o:spt="202" type="#_x0000_t202" style="position:absolute;left:7070;top:10581;height:890;width:2700;"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Dx: ↑O2 affinity hemoglobinopathy</w:t>
                        </w:r>
                      </w:p>
                    </w:txbxContent>
                  </v:textbox>
                </v:shape>
                <v:shape id="Text Box 16" o:spid="_x0000_s1026" o:spt="202" type="#_x0000_t202" style="position:absolute;left:6750;top:12552;height:1533;width:3735;"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spacing w:before="0" w:beforeAutospacing="0"/>
                          <w:rPr>
                            <w:rFonts w:ascii="Times New Roman" w:hAnsi="Times New Roman"/>
                            <w:sz w:val="20"/>
                            <w:szCs w:val="20"/>
                          </w:rPr>
                        </w:pPr>
                        <w:r>
                          <w:rPr>
                            <w:rFonts w:ascii="Times New Roman" w:hAnsi="Times New Roman"/>
                            <w:sz w:val="20"/>
                            <w:szCs w:val="20"/>
                          </w:rPr>
                          <w:t>Search for tumor as source of EPO</w:t>
                        </w:r>
                      </w:p>
                      <w:p>
                        <w:pPr>
                          <w:spacing w:before="0" w:beforeAutospacing="0"/>
                          <w:rPr>
                            <w:rFonts w:ascii="Times New Roman" w:hAnsi="Times New Roman"/>
                            <w:sz w:val="20"/>
                            <w:szCs w:val="20"/>
                          </w:rPr>
                        </w:pPr>
                        <w:r>
                          <w:rPr>
                            <w:rFonts w:ascii="Times New Roman" w:hAnsi="Times New Roman"/>
                            <w:sz w:val="20"/>
                            <w:szCs w:val="20"/>
                          </w:rPr>
                          <w:t>Renal ultrasound ( renal ca or cyst)</w:t>
                        </w:r>
                      </w:p>
                      <w:p>
                        <w:pPr>
                          <w:spacing w:before="0" w:beforeAutospacing="0"/>
                          <w:rPr>
                            <w:rFonts w:ascii="Times New Roman" w:hAnsi="Times New Roman"/>
                            <w:sz w:val="20"/>
                            <w:szCs w:val="20"/>
                          </w:rPr>
                        </w:pPr>
                        <w:r>
                          <w:rPr>
                            <w:rFonts w:ascii="Times New Roman" w:hAnsi="Times New Roman"/>
                            <w:sz w:val="20"/>
                            <w:szCs w:val="20"/>
                          </w:rPr>
                          <w:t>CT of head (cerebellar hemangioma)</w:t>
                        </w:r>
                      </w:p>
                      <w:p>
                        <w:pPr>
                          <w:spacing w:before="0" w:beforeAutospacing="0"/>
                          <w:rPr>
                            <w:rFonts w:ascii="Times New Roman" w:hAnsi="Times New Roman"/>
                            <w:sz w:val="20"/>
                            <w:szCs w:val="20"/>
                          </w:rPr>
                        </w:pPr>
                        <w:r>
                          <w:rPr>
                            <w:rFonts w:ascii="Times New Roman" w:hAnsi="Times New Roman"/>
                            <w:sz w:val="20"/>
                            <w:szCs w:val="20"/>
                          </w:rPr>
                          <w:t>CT of pelvis (uterine leiomyoma)</w:t>
                        </w:r>
                      </w:p>
                      <w:p>
                        <w:pPr>
                          <w:spacing w:before="0" w:beforeAutospacing="0"/>
                          <w:rPr>
                            <w:rFonts w:ascii="Times New Roman" w:hAnsi="Times New Roman"/>
                            <w:sz w:val="20"/>
                            <w:szCs w:val="20"/>
                          </w:rPr>
                        </w:pPr>
                        <w:r>
                          <w:rPr>
                            <w:rFonts w:ascii="Times New Roman" w:hAnsi="Times New Roman"/>
                            <w:sz w:val="20"/>
                            <w:szCs w:val="20"/>
                          </w:rPr>
                          <w:t>CT of abdomen (hepatoma)</w:t>
                        </w:r>
                      </w:p>
                    </w:txbxContent>
                  </v:textbox>
                </v:shape>
                <v:shape id="Text Box 17" o:spid="_x0000_s1026" o:spt="202" type="#_x0000_t202" style="position:absolute;left:9486;top:5241;height:981;width:1194;"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ascii="Times New Roman" w:hAnsi="Times New Roman"/>
                            <w:sz w:val="20"/>
                            <w:szCs w:val="20"/>
                          </w:rPr>
                        </w:pPr>
                        <w:r>
                          <w:rPr>
                            <w:rFonts w:ascii="Times New Roman" w:hAnsi="Times New Roman"/>
                            <w:sz w:val="20"/>
                            <w:szCs w:val="20"/>
                          </w:rPr>
                          <w:t>Confirm JAK2 mutation</w:t>
                        </w:r>
                      </w:p>
                    </w:txbxContent>
                  </v:textbox>
                </v:shape>
                <v:shape id="Straight Arrow Connector 19" o:spid="_x0000_s1026" o:spt="32" type="#_x0000_t32" style="position:absolute;left:3520;top:3132;height:500;width:0;" filled="f" stroked="t" coordsize="21600,21600" o:gfxdata="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AlP6ugAAANsA&#10;AAAPAAAAAAAAAAEAIAAAACIAAABkcnMvZG93bnJldi54bWxQSwECFAAUAAAACACHTuJAMy8FnjsA&#10;AAA5AAAAEAAAAAAAAAABACAAAAAJAQAAZHJzL3NoYXBleG1sLnhtbFBLBQYAAAAABgAGAFsBAACz&#10;AwAAAAA=&#10;">
                  <v:fill on="f" focussize="0,0"/>
                  <v:stroke weight="0.5pt" color="#4472C4" joinstyle="miter" endarrow="block"/>
                  <v:imagedata o:title=""/>
                  <o:lock v:ext="edit" aspectratio="f"/>
                </v:shape>
                <v:shape id="Straight Arrow Connector 20" o:spid="_x0000_s1026" o:spt="32" type="#_x0000_t32" style="position:absolute;left:3520;top:4182;height:1020;width:0;" filled="f" stroked="t" coordsize="21600,21600" o:gfxdata="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9DNjbsAAADb&#10;AAAADwAAAAAAAAABACAAAAAiAAAAZHJzL2Rvd25yZXYueG1sUEsBAhQAFAAAAAgAh07iQDMvBZ47&#10;AAAAOQAAABAAAAAAAAAAAQAgAAAACgEAAGRycy9zaGFwZXhtbC54bWxQSwUGAAAAAAYABgBbAQAA&#10;tAMAAAAA&#10;">
                  <v:fill on="f" focussize="0,0"/>
                  <v:stroke weight="0.5pt" color="#4472C4" joinstyle="miter" endarrow="block"/>
                  <v:imagedata o:title=""/>
                  <o:lock v:ext="edit" aspectratio="f"/>
                </v:shape>
                <v:shape id="Straight Arrow Connector 21" o:spid="_x0000_s1026" o:spt="32" type="#_x0000_t32" style="position:absolute;left:3510;top:6032;height:1020;width:10;" filled="f" stroked="t" coordsize="21600,21600" o:gfxdata="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nGgWugAAANsA&#10;AAAPAAAAAAAAAAEAIAAAACIAAABkcnMvZG93bnJldi54bWxQSwECFAAUAAAACACHTuJAMy8FnjsA&#10;AAA5AAAAEAAAAAAAAAABACAAAAAJAQAAZHJzL3NoYXBleG1sLnhtbFBLBQYAAAAABgAGAFsBAACz&#10;AwAAAAA=&#10;">
                  <v:fill on="f" focussize="0,0"/>
                  <v:stroke weight="0.5pt" color="#4472C4" joinstyle="miter" endarrow="block"/>
                  <v:imagedata o:title=""/>
                  <o:lock v:ext="edit" aspectratio="f"/>
                </v:shape>
                <v:shape id="Straight Arrow Connector 22" o:spid="_x0000_s1026" o:spt="32" type="#_x0000_t32" style="position:absolute;left:3520;top:7812;height:1170;width:0;" filled="f" stroked="t" coordsize="21600,21600" o:gfxdata="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QP8ZL4A&#10;AADbAAAADwAAAAAAAAABACAAAAAiAAAAZHJzL2Rvd25yZXYueG1sUEsBAhQAFAAAAAgAh07iQDMv&#10;BZ47AAAAOQAAABAAAAAAAAAAAQAgAAAADQEAAGRycy9zaGFwZXhtbC54bWxQSwUGAAAAAAYABgBb&#10;AQAAtwMAAAAA&#10;">
                  <v:fill on="f" focussize="0,0"/>
                  <v:stroke weight="0.5pt" color="#4472C4" joinstyle="miter" endarrow="block"/>
                  <v:imagedata o:title=""/>
                  <o:lock v:ext="edit" aspectratio="f"/>
                </v:shape>
                <v:shape id="Straight Arrow Connector 23" o:spid="_x0000_s1026" o:spt="32" type="#_x0000_t32" style="position:absolute;left:3510;top:9442;height:1100;width:0;" filled="f" stroked="t" coordsize="21600,21600" o:gfxdata="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k9Z/7sAAADb&#10;AAAADwAAAAAAAAABACAAAAAiAAAAZHJzL2Rvd25yZXYueG1sUEsBAhQAFAAAAAgAh07iQDMvBZ47&#10;AAAAOQAAABAAAAAAAAAAAQAgAAAACgEAAGRycy9zaGFwZXhtbC54bWxQSwUGAAAAAAYABgBbAQAA&#10;tAMAAAAA&#10;">
                  <v:fill on="f" focussize="0,0"/>
                  <v:stroke weight="0.5pt" color="#4472C4" joinstyle="miter" endarrow="block"/>
                  <v:imagedata o:title=""/>
                  <o:lock v:ext="edit" aspectratio="f"/>
                </v:shape>
                <v:shape id="Straight Arrow Connector 24" o:spid="_x0000_s1026" o:spt="32" type="#_x0000_t32" style="position:absolute;left:3470;top:11442;flip:x;height:1270;width:10;" filled="f" stroked="t" coordsize="21600,21600" o:gfxdata="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vBNcS2AAAA2wAAAA8A&#10;AAAAAAAAAQAgAAAAIgAAAGRycy9kb3ducmV2LnhtbFBLAQIUABQAAAAIAIdO4kAzLwWeOwAAADkA&#10;AAAQAAAAAAAAAAEAIAAAAAUBAABkcnMvc2hhcGV4bWwueG1sUEsFBgAAAAAGAAYAWwEAAK8DAAAA&#10;AA==&#10;">
                  <v:fill on="f" focussize="0,0"/>
                  <v:stroke weight="0.5pt" color="#4472C4" joinstyle="miter" endarrow="block"/>
                  <v:imagedata o:title=""/>
                  <o:lock v:ext="edit" aspectratio="f"/>
                </v:shape>
                <v:shape id="Straight Arrow Connector 25" o:spid="_x0000_s1026" o:spt="32" type="#_x0000_t32" style="position:absolute;left:5080;top:3952;height:10;width:2010;" filled="f" stroked="t" coordsize="21600,21600" o:gfxdata="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VZ9E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Straight Arrow Connector 26" o:spid="_x0000_s1026" o:spt="32" type="#_x0000_t32" style="position:absolute;left:5120;top:5592;height:20;width:1850;" filled="f" stroked="t" coordsize="21600,21600" o:gfxdata="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hwEz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Straight Arrow Connector 27" o:spid="_x0000_s1026" o:spt="32" type="#_x0000_t32" style="position:absolute;left:8766;top:5612;height:10;width:720;" filled="f" stroked="t" coordsize="21600,21600" o:gfxdata="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y6So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Straight Arrow Connector 28" o:spid="_x0000_s1026" o:spt="32" type="#_x0000_t32" style="position:absolute;left:5170;top:7442;height:30;width:1840;" filled="f" stroked="t" coordsize="21600,21600" o:gfxdata="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6Ijzc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Straight Arrow Connector 30" o:spid="_x0000_s1026" o:spt="32" type="#_x0000_t32" style="position:absolute;left:5190;top:9202;height:0;width:1890;" filled="f" stroked="t" coordsize="21600,21600" o:gfxdata="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bplH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Oval 33" o:spid="_x0000_s1026" o:spt="3" type="#_x0000_t3" style="position:absolute;left:5390;top:3202;height:700;width:1360;v-text-anchor:middle;" fillcolor="#FFFFFF" filled="t" stroked="t" coordsize="21600,21600" o:gfxdata="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Z1Qu8AAAA&#10;2wAAAA8AAAAAAAAAAQAgAAAAIgAAAGRycy9kb3ducmV2LnhtbFBLAQIUABQAAAAIAIdO4kAzLwWe&#10;OwAAADkAAAAQAAAAAAAAAAEAIAAAAAsBAABkcnMvc2hhcGV4bWwueG1sUEsFBgAAAAAGAAYAWwEA&#10;ALUD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34" o:spid="_x0000_s1026" o:spt="3" type="#_x0000_t3" style="position:absolute;left:5650;top:4942;height:640;width:1010;v-text-anchor:middle;" fillcolor="#FFFFFF" filled="t" stroked="t" coordsize="21600,21600" o:gfxdata="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1XCQvQAA&#10;ANsAAAAPAAAAAAAAAAEAIAAAACIAAABkcnMvZG93bnJldi54bWxQSwECFAAUAAAACACHTuJAMy8F&#10;njsAAAA5AAAAEAAAAAAAAAABACAAAAAMAQAAZHJzL3NoYXBleG1sLnhtbFBLBQYAAAAABgAGAFsB&#10;AAC2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low</w:t>
                        </w:r>
                      </w:p>
                    </w:txbxContent>
                  </v:textbox>
                </v:shape>
                <v:shape id="Oval 35" o:spid="_x0000_s1026" o:spt="3" type="#_x0000_t3" style="position:absolute;left:5640;top:6842;height:620;width:960;v-text-anchor:middle;" fillcolor="#FFFFFF" filled="t" stroked="t" coordsize="21600,21600" o:gfxdata="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SuTiugAAANsA&#10;AAAPAAAAAAAAAAEAIAAAACIAAABkcnMvZG93bnJldi54bWxQSwECFAAUAAAACACHTuJAMy8FnjsA&#10;AAA5AAAAEAAAAAAAAAABACAAAAAJAQAAZHJzL3NoYXBleG1sLnhtbFBLBQYAAAAABgAGAFsBAACz&#10;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low</w:t>
                        </w:r>
                      </w:p>
                    </w:txbxContent>
                  </v:textbox>
                </v:shape>
                <v:shape id="Oval 36" o:spid="_x0000_s1026" o:spt="3" type="#_x0000_t3" style="position:absolute;left:5690;top:8552;height:620;width:840;v-text-anchor:middle;" fillcolor="#FFFFFF" filled="t" stroked="t" coordsize="21600,21600" o:gfxdata="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BkF5vQAA&#10;ANsAAAAPAAAAAAAAAAEAIAAAACIAAABkcnMvZG93bnJldi54bWxQSwECFAAUAAAACACHTuJAMy8F&#10;njsAAAA5AAAAEAAAAAAAAAABACAAAAAMAQAAZHJzL3NoYXBleG1sLnhtbFBLBQYAAAAABgAGAFsB&#10;AAC2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w:t>
                        </w:r>
                      </w:p>
                    </w:txbxContent>
                  </v:textbox>
                </v:shape>
                <v:shape id="Straight Arrow Connector 37" o:spid="_x0000_s1026" o:spt="32" type="#_x0000_t32" style="position:absolute;left:3680;top:9512;height:0;width:3410;" filled="f" stroked="t" coordsize="21600,21600" o:gfxdata="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MCsArsAAADb&#10;AAAADwAAAAAAAAABACAAAAAiAAAAZHJzL2Rvd25yZXYueG1sUEsBAhQAFAAAAAgAh07iQDMvBZ47&#10;AAAAOQAAABAAAAAAAAAAAQAgAAAACgEAAGRycy9zaGFwZXhtbC54bWxQSwUGAAAAAAYABgBbAQAA&#10;tAMAAAAA&#10;">
                  <v:fill on="f" focussize="0,0"/>
                  <v:stroke weight="0.5pt" color="#4472C4" joinstyle="miter" endarrow="block"/>
                  <v:imagedata o:title=""/>
                  <o:lock v:ext="edit" aspectratio="f"/>
                </v:shape>
                <v:line id="Straight Connector 38" o:spid="_x0000_s1026" o:spt="20" style="position:absolute;left:3690;top:9492;flip:x;height:1020;width:20;" filled="f" stroked="t" coordsize="21600,21600" o:gfxdata="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nsiy8AAAA&#10;2wAAAA8AAAAAAAAAAQAgAAAAIgAAAGRycy9kb3ducmV2LnhtbFBLAQIUABQAAAAIAIdO4kAzLwWe&#10;OwAAADkAAAAQAAAAAAAAAAEAIAAAAAsBAABkcnMvc2hhcGV4bWwueG1sUEsFBgAAAAAGAAYAWwEA&#10;ALUDAAAAAA==&#10;">
                  <v:fill on="f" focussize="0,0"/>
                  <v:stroke weight="0.5pt" color="#4472C4" joinstyle="miter"/>
                  <v:imagedata o:title=""/>
                  <o:lock v:ext="edit" aspectratio="f"/>
                </v:line>
                <v:shape id="Straight Arrow Connector 39" o:spid="_x0000_s1026" o:spt="32" type="#_x0000_t32" style="position:absolute;left:8460;top:9842;height:730;width:0;" filled="f" stroked="t" coordsize="21600,21600" o:gfxdata="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Xpfu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Straight Arrow Connector 40" o:spid="_x0000_s1026" o:spt="32" type="#_x0000_t32" style="position:absolute;left:10200;top:9832;flip:x;height:2720;width:20;" filled="f" stroked="t" coordsize="21600,21600" o:gfxdata="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yj1uvQAA&#10;ANsAAAAPAAAAAAAAAAEAIAAAACIAAABkcnMvZG93bnJldi54bWxQSwECFAAUAAAACACHTuJAMy8F&#10;njsAAAA5AAAAEAAAAAAAAAABACAAAAAMAQAAZHJzL3NoYXBleG1sLnhtbFBLBQYAAAAABgAGAFsB&#10;AAC2AwAAAAA=&#10;">
                  <v:fill on="f" focussize="0,0"/>
                  <v:stroke weight="0.5pt" color="#4472C4" joinstyle="miter" endarrow="block"/>
                  <v:imagedata o:title=""/>
                  <o:lock v:ext="edit" aspectratio="f"/>
                </v:shape>
                <v:shape id="Oval 41" o:spid="_x0000_s1026" o:spt="3" type="#_x0000_t3" style="position:absolute;left:3920;top:9802;height:640;width:1420;v-text-anchor:middle;" fillcolor="#FFFFFF" filled="t" stroked="t" coordsize="21600,21600" o:gfxdata="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PeeDq/&#10;AAAA2wAAAA8AAAAAAAAAAQAgAAAAIgAAAGRycy9kb3ducmV2LnhtbFBLAQIUABQAAAAIAIdO4kAz&#10;LwWeOwAAADkAAAAQAAAAAAAAAAEAIAAAAA4BAABkcnMvc2hhcGV4bWwueG1sUEsFBgAAAAAGAAYA&#10;WwEAALgD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42" o:spid="_x0000_s1026" o:spt="3" type="#_x0000_t3" style="position:absolute;left:2200;top:9812;height:600;width:1060;v-text-anchor:middle;" fillcolor="#FFFFFF" filled="t" stroked="t" coordsize="21600,21600" o:gfxdata="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yS3aG/&#10;AAAA2wAAAA8AAAAAAAAAAQAgAAAAIgAAAGRycy9kb3ducmV2LnhtbFBLAQIUABQAAAAIAIdO4kAz&#10;LwWeOwAAADkAAAAQAAAAAAAAAAEAIAAAAA4BAABkcnMvc2hhcGV4bWwueG1sUEsFBgAAAAAGAAYA&#10;WwEAALgD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Yes</w:t>
                        </w:r>
                      </w:p>
                    </w:txbxContent>
                  </v:textbox>
                </v:shape>
                <v:shape id="Oval 43" o:spid="_x0000_s1026" o:spt="3" type="#_x0000_t3" style="position:absolute;left:1770;top:11762;height:690;width:1650;v-text-anchor:middle;" fillcolor="#FFFFFF" filled="t" stroked="t" coordsize="21600,21600" o:gfxdata="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QEPWvQAA&#10;ANsAAAAPAAAAAAAAAAEAIAAAACIAAABkcnMvZG93bnJldi54bWxQSwECFAAUAAAACACHTuJAMy8F&#10;njsAAAA5AAAAEAAAAAAAAAABACAAAAAMAQAAZHJzL3NoYXBleG1sLnhtbFBLBQYAAAAABgAGAFsB&#10;AAC2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5" o:spid="_x0000_s1026" o:spt="3" type="#_x0000_t3" style="position:absolute;left:6590;top:9922;height:580;width:1760;v-text-anchor:middle;" fillcolor="#FFFFFF" filled="t" stroked="t" coordsize="21600,21600" o:gfxdata="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MM5k2/&#10;AAAA2wAAAA8AAAAAAAAAAQAgAAAAIgAAAGRycy9kb3ducmV2LnhtbFBLAQIUABQAAAAIAIdO4kAz&#10;LwWeOwAAADkAAAAQAAAAAAAAAAEAIAAAAA4BAABkcnMvc2hhcGV4bWwueG1sUEsFBgAAAAAGAAYA&#10;WwEAALgD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Increased</w:t>
                        </w:r>
                      </w:p>
                    </w:txbxContent>
                  </v:textbox>
                </v:shape>
                <v:shape id="Oval 46" o:spid="_x0000_s1026" o:spt="3" type="#_x0000_t3" style="position:absolute;left:10320;top:10572;height:750;width:1275;v-text-anchor:middle;" fillcolor="#FFFFFF" filled="t" stroked="t" coordsize="21600,21600" o:gfxdata="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Sk3I/ugAAANsA&#10;AAAPAAAAAAAAAAEAIAAAACIAAABkcnMvZG93bnJldi54bWxQSwECFAAUAAAACACHTuJAMy8FnjsA&#10;AAA5AAAAEAAAAAAAAAABACAAAAAJAQAAZHJzL3NoYXBleG1sLnhtbFBLBQYAAAAABgAGAFsBAACz&#10;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Oval 47" o:spid="_x0000_s1026" o:spt="3" type="#_x0000_t3" style="position:absolute;left:1820;top:4372;height:630;width:1590;v-text-anchor:middle;" fillcolor="#FFFFFF" filled="t" stroked="t" coordsize="21600,21600" o:gfxdata="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3f16S/&#10;AAAA2wAAAA8AAAAAAAAAAQAgAAAAIgAAAGRycy9kb3ducmV2LnhtbFBLAQIUABQAAAAIAIdO4kAz&#10;LwWeOwAAADkAAAAQAAAAAAAAAAEAIAAAAA4BAABkcnMvc2hhcGV4bWwueG1sUEsFBgAAAAAGAAYA&#10;WwEAALgDA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8" o:spid="_x0000_s1026" o:spt="3" type="#_x0000_t3" style="position:absolute;left:1830;top:6222;height:630;width:1620;v-text-anchor:middle;" fillcolor="#FFFFFF" filled="t" stroked="t" coordsize="21600,21600" o:gfxdata="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4w1EugAAANsA&#10;AAAPAAAAAAAAAAEAIAAAACIAAABkcnMvZG93bnJldi54bWxQSwECFAAUAAAACACHTuJAMy8FnjsA&#10;AAA5AAAAEAAAAAAAAAABACAAAAAJAQAAZHJzL3NoYXBleG1sLnhtbFBLBQYAAAAABgAGAFsBAACz&#10;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elevated</w:t>
                        </w:r>
                      </w:p>
                    </w:txbxContent>
                  </v:textbox>
                </v:shape>
                <v:shape id="Oval 49" o:spid="_x0000_s1026" o:spt="3" type="#_x0000_t3" style="position:absolute;left:1970;top:8062;height:660;width:1370;v-text-anchor:middle;" fillcolor="#FFFFFF" filled="t" stroked="t" coordsize="21600,21600" o:gfxdata="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r6jfvQAA&#10;ANsAAAAPAAAAAAAAAAEAIAAAACIAAABkcnMvZG93bnJldi54bWxQSwECFAAUAAAACACHTuJAMy8F&#10;njsAAAA5AAAAEAAAAAAAAAABACAAAAAMAQAAZHJzL3NoYXBleG1sLnhtbFBLBQYAAAAABgAGAFsB&#10;AAC2AwAAAAA=&#10;">
                  <v:fill on="t" focussize="0,0"/>
                  <v:stroke weight="1pt" color="#70AD47" joinstyle="miter"/>
                  <v:imagedata o:title=""/>
                  <o:lock v:ext="edit" aspectratio="f"/>
                  <v:textbox>
                    <w:txbxContent>
                      <w:p>
                        <w:pPr>
                          <w:jc w:val="center"/>
                          <w:rPr>
                            <w:rFonts w:ascii="Times New Roman" w:hAnsi="Times New Roman"/>
                            <w:sz w:val="20"/>
                            <w:szCs w:val="20"/>
                          </w:rPr>
                        </w:pPr>
                        <w:r>
                          <w:rPr>
                            <w:rFonts w:ascii="Times New Roman" w:hAnsi="Times New Roman"/>
                            <w:sz w:val="20"/>
                            <w:szCs w:val="20"/>
                          </w:rPr>
                          <w:t>normal</w:t>
                        </w:r>
                      </w:p>
                    </w:txbxContent>
                  </v:textbox>
                </v:shape>
                <v:shape id="Arrow: Curved Right 55" o:spid="_x0000_s1026" o:spt="102" type="#_x0000_t102" style="position:absolute;left:1610;top:2912;height:2790;width:600;v-text-anchor:middle;" fillcolor="#000000" filled="t" stroked="t" coordsize="21600,21600" o:gfxdata="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N3L0&#10;wAAAANsAAAAPAAAAAAAAAAEAIAAAACIAAABkcnMvZG93bnJldi54bWxQSwECFAAUAAAACACHTuJA&#10;My8FnjsAAAA5AAAAEAAAAAAAAAABACAAAAAPAQAAZHJzL3NoYXBleG1sLnhtbFBLBQYAAAAABgAG&#10;AFsBAAC5AwAAAAA=&#10;" adj="19277,21019,16200">
                  <v:fill on="t" focussize="0,0"/>
                  <v:stroke weight="1pt" color="#000000" joinstyle="miter"/>
                  <v:imagedata o:title=""/>
                  <o:lock v:ext="edit" aspectratio="f"/>
                </v:shape>
              </v:group>
            </w:pict>
          </mc:Fallback>
        </mc:AlternateConten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rPr>
          <w:rFonts w:ascii="Times New Roman" w:hAnsi="Times New Roman"/>
          <w:i/>
          <w:sz w:val="20"/>
          <w:szCs w:val="20"/>
        </w:rPr>
      </w:pPr>
      <w:r>
        <w:rPr>
          <w:rFonts w:ascii="Times New Roman" w:hAnsi="Times New Roman"/>
          <w:i/>
          <w:sz w:val="20"/>
          <w:szCs w:val="20"/>
        </w:rPr>
        <w:t>Source: Harrison’s Principles of Internal Medicine, 20</w:t>
      </w:r>
      <w:r>
        <w:rPr>
          <w:rFonts w:ascii="Times New Roman" w:hAnsi="Times New Roman"/>
          <w:i/>
          <w:sz w:val="20"/>
          <w:szCs w:val="20"/>
          <w:vertAlign w:val="superscript"/>
        </w:rPr>
        <w:t>th</w:t>
      </w:r>
      <w:r>
        <w:rPr>
          <w:rFonts w:ascii="Times New Roman" w:hAnsi="Times New Roman"/>
          <w:i/>
          <w:sz w:val="20"/>
          <w:szCs w:val="20"/>
        </w:rPr>
        <w:t xml:space="preserve"> Edition, pp. 393</w:t>
      </w:r>
    </w:p>
    <w:p>
      <w:pPr>
        <w:rPr>
          <w:rFonts w:ascii="Times New Roman" w:hAnsi="Times New Roman"/>
          <w:sz w:val="20"/>
          <w:szCs w:val="20"/>
        </w:rPr>
      </w:pPr>
    </w:p>
    <w:sectPr>
      <w:pgSz w:w="11906" w:h="16838"/>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09D5D"/>
    <w:multiLevelType w:val="multilevel"/>
    <w:tmpl w:val="D0909D5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5252EBE"/>
    <w:multiLevelType w:val="multilevel"/>
    <w:tmpl w:val="25252EB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14CADA9"/>
    <w:multiLevelType w:val="singleLevel"/>
    <w:tmpl w:val="714CADA9"/>
    <w:lvl w:ilvl="0" w:tentative="0">
      <w:start w:val="1"/>
      <w:numFmt w:val="upperLetter"/>
      <w:suff w:val="space"/>
      <w:lvlText w:val="%1."/>
      <w:lvlJc w:val="left"/>
      <w:rPr>
        <w:rFonts w:hint="default"/>
        <w:b/>
        <w:bC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A59"/>
    <w:rsid w:val="000605F5"/>
    <w:rsid w:val="000C0A2E"/>
    <w:rsid w:val="00113EC8"/>
    <w:rsid w:val="001B2503"/>
    <w:rsid w:val="00204182"/>
    <w:rsid w:val="002574A5"/>
    <w:rsid w:val="003F7CC2"/>
    <w:rsid w:val="00423A59"/>
    <w:rsid w:val="00431979"/>
    <w:rsid w:val="004A3804"/>
    <w:rsid w:val="00506216"/>
    <w:rsid w:val="00511FE5"/>
    <w:rsid w:val="00635911"/>
    <w:rsid w:val="007343AB"/>
    <w:rsid w:val="008D5530"/>
    <w:rsid w:val="00946E65"/>
    <w:rsid w:val="00981405"/>
    <w:rsid w:val="00A15CFA"/>
    <w:rsid w:val="00A7600D"/>
    <w:rsid w:val="00B547C3"/>
    <w:rsid w:val="00C050C4"/>
    <w:rsid w:val="00E1594C"/>
    <w:rsid w:val="3AB438F0"/>
    <w:rsid w:val="42AA3341"/>
    <w:rsid w:val="47B036EA"/>
    <w:rsid w:val="4BFF5CE0"/>
    <w:rsid w:val="6A2B5E86"/>
    <w:rsid w:val="7B6005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pPr>
    <w:rPr>
      <w:rFonts w:ascii="Calibri" w:hAnsi="Calibri" w:eastAsia="SimSun" w:cs="Times New Roman"/>
      <w:sz w:val="24"/>
      <w:szCs w:val="24"/>
      <w:lang w:val="en-IN" w:eastAsia="en-I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FollowedHyperlink"/>
    <w:basedOn w:val="2"/>
    <w:semiHidden/>
    <w:unhideWhenUsed/>
    <w:qFormat/>
    <w:uiPriority w:val="99"/>
    <w:rPr>
      <w:color w:val="800080"/>
      <w:u w:val="single"/>
    </w:rPr>
  </w:style>
  <w:style w:type="character" w:styleId="6">
    <w:name w:val="Hyperlink"/>
    <w:basedOn w:val="2"/>
    <w:semiHidden/>
    <w:unhideWhenUsed/>
    <w:qFormat/>
    <w:uiPriority w:val="99"/>
    <w:rPr>
      <w:color w:val="0000FF"/>
      <w:u w:val="single"/>
    </w:rPr>
  </w:style>
  <w:style w:type="paragraph" w:styleId="7">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8">
    <w:name w:val="15"/>
    <w:qFormat/>
    <w:uiPriority w:val="0"/>
    <w:rPr>
      <w:rFonts w:hint="default" w:ascii="Times New Roman" w:hAnsi="Times New Roman" w:cs="Times New Roman"/>
      <w:i/>
      <w:iCs/>
    </w:rPr>
  </w:style>
  <w:style w:type="paragraph" w:customStyle="1" w:styleId="9">
    <w:name w:val="msolistparagraph"/>
    <w:qFormat/>
    <w:uiPriority w:val="0"/>
    <w:pPr>
      <w:spacing w:after="160" w:line="256" w:lineRule="auto"/>
      <w:ind w:left="720"/>
      <w:contextualSpacing/>
    </w:pPr>
    <w:rPr>
      <w:rFonts w:hint="eastAsia" w:ascii="Calibri" w:hAnsi="Calibri" w:eastAsia="Calibri" w:cs="Times New Roman"/>
      <w:sz w:val="22"/>
      <w:szCs w:val="22"/>
      <w:lang w:val="en-US" w:eastAsia="zh-CN" w:bidi="ar-SA"/>
    </w:rPr>
  </w:style>
  <w:style w:type="character" w:customStyle="1" w:styleId="10">
    <w:name w:val="16"/>
    <w:qFormat/>
    <w:uiPriority w:val="0"/>
    <w:rPr>
      <w:rFonts w:hint="default" w:ascii="Times New Roman" w:hAnsi="Times New Roman" w:cs="Times New Roman"/>
      <w:color w:val="0000FF"/>
      <w:u w:val="single"/>
    </w:rPr>
  </w:style>
  <w:style w:type="paragraph" w:styleId="11">
    <w:name w:val="List Paragraph"/>
    <w:basedOn w:val="1"/>
    <w:unhideWhenUsed/>
    <w:qFormat/>
    <w:uiPriority w:val="99"/>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2067</Words>
  <Characters>11783</Characters>
  <Lines>98</Lines>
  <Paragraphs>27</Paragraphs>
  <TotalTime>19</TotalTime>
  <ScaleCrop>false</ScaleCrop>
  <LinksUpToDate>false</LinksUpToDate>
  <CharactersWithSpaces>13823</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2022-07-19T09:33:00Z</dcterms:created>
  <dc:creator>lalit meena</dc:creator>
  <cp:lastModifiedBy>drlal</cp:lastModifiedBy>
  <dcterms:modified xsi:type="dcterms:W3CDTF">2022-09-03T14:11:00Z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8882F95BAE664C628505A7E96A3645A3</vt:lpwstr>
  </property>
</Properties>
</file>