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966D5" w14:textId="71422ED5" w:rsidR="00213DD6" w:rsidRPr="005B0D35" w:rsidRDefault="00213DD6" w:rsidP="00213DD6">
      <w:pPr>
        <w:jc w:val="center"/>
        <w:rPr>
          <w:rFonts w:ascii="Times New Roman" w:hAnsi="Times New Roman" w:cs="Times New Roman"/>
          <w:sz w:val="48"/>
          <w:szCs w:val="48"/>
        </w:rPr>
      </w:pPr>
      <w:r w:rsidRPr="005B0D35">
        <w:rPr>
          <w:rFonts w:ascii="Times New Roman" w:hAnsi="Times New Roman" w:cs="Times New Roman"/>
          <w:sz w:val="48"/>
          <w:szCs w:val="48"/>
        </w:rPr>
        <w:t>BIO</w:t>
      </w:r>
      <w:r w:rsidR="00F774AB">
        <w:rPr>
          <w:rFonts w:ascii="Times New Roman" w:hAnsi="Times New Roman" w:cs="Times New Roman"/>
          <w:sz w:val="48"/>
          <w:szCs w:val="48"/>
        </w:rPr>
        <w:t>-</w:t>
      </w:r>
      <w:r w:rsidRPr="005B0D35">
        <w:rPr>
          <w:rFonts w:ascii="Times New Roman" w:hAnsi="Times New Roman" w:cs="Times New Roman"/>
          <w:sz w:val="48"/>
          <w:szCs w:val="48"/>
        </w:rPr>
        <w:t>MARKERS</w:t>
      </w:r>
    </w:p>
    <w:p w14:paraId="03A5F516" w14:textId="77777777" w:rsidR="00E173EF" w:rsidRDefault="00E173EF" w:rsidP="00213DD6">
      <w:pPr>
        <w:jc w:val="center"/>
        <w:rPr>
          <w:rFonts w:ascii="Times New Roman" w:hAnsi="Times New Roman" w:cs="Times New Roman"/>
          <w:b/>
          <w:bCs/>
          <w:sz w:val="24"/>
          <w:szCs w:val="24"/>
        </w:rPr>
      </w:pPr>
    </w:p>
    <w:p w14:paraId="3E16775D" w14:textId="5DAE901E" w:rsidR="00E173EF" w:rsidRPr="00365C95" w:rsidRDefault="00E173EF" w:rsidP="00E173EF">
      <w:pPr>
        <w:pStyle w:val="Affiliation"/>
        <w:jc w:val="both"/>
        <w:rPr>
          <w:rFonts w:eastAsia="MS Mincho"/>
        </w:rPr>
      </w:pPr>
      <w:r>
        <w:rPr>
          <w:rFonts w:eastAsia="MS Mincho"/>
        </w:rPr>
        <w:t xml:space="preserve">Naga </w:t>
      </w:r>
      <w:proofErr w:type="spellStart"/>
      <w:r>
        <w:rPr>
          <w:rFonts w:eastAsia="MS Mincho"/>
        </w:rPr>
        <w:t>Jogayya</w:t>
      </w:r>
      <w:proofErr w:type="spellEnd"/>
      <w:r>
        <w:rPr>
          <w:rFonts w:eastAsia="MS Mincho"/>
        </w:rPr>
        <w:t xml:space="preserve"> Kothakota</w:t>
      </w:r>
      <w:r>
        <w:rPr>
          <w:rFonts w:eastAsia="MS Mincho"/>
          <w:vertAlign w:val="superscript"/>
        </w:rPr>
        <w:t xml:space="preserve">1                                                                              </w:t>
      </w:r>
      <w:r w:rsidR="00324841">
        <w:rPr>
          <w:rFonts w:eastAsia="MS Mincho"/>
          <w:vertAlign w:val="superscript"/>
        </w:rPr>
        <w:tab/>
      </w:r>
      <w:proofErr w:type="spellStart"/>
      <w:r w:rsidR="00F73280">
        <w:rPr>
          <w:rFonts w:eastAsia="MS Mincho"/>
        </w:rPr>
        <w:t>Suryakanta</w:t>
      </w:r>
      <w:proofErr w:type="spellEnd"/>
      <w:r w:rsidR="00F73280">
        <w:rPr>
          <w:rFonts w:eastAsia="MS Mincho"/>
        </w:rPr>
        <w:t xml:space="preserve"> Swain</w:t>
      </w:r>
      <w:r w:rsidR="006F28F8" w:rsidRPr="006F28F8">
        <w:rPr>
          <w:rFonts w:eastAsia="MS Mincho"/>
          <w:vertAlign w:val="superscript"/>
        </w:rPr>
        <w:t>2</w:t>
      </w:r>
    </w:p>
    <w:p w14:paraId="7EEDF14A" w14:textId="32EAD274" w:rsidR="00E173EF" w:rsidRDefault="00E173EF" w:rsidP="00E173EF">
      <w:pPr>
        <w:pStyle w:val="Author"/>
        <w:spacing w:before="0" w:after="0"/>
        <w:jc w:val="both"/>
        <w:rPr>
          <w:rFonts w:eastAsia="MS Mincho"/>
          <w:sz w:val="20"/>
          <w:szCs w:val="20"/>
        </w:rPr>
      </w:pPr>
      <w:r>
        <w:rPr>
          <w:rFonts w:eastAsia="MS Mincho"/>
          <w:sz w:val="20"/>
          <w:szCs w:val="20"/>
          <w:vertAlign w:val="superscript"/>
        </w:rPr>
        <w:t>1</w:t>
      </w:r>
      <w:r>
        <w:rPr>
          <w:rFonts w:eastAsia="MS Mincho"/>
          <w:sz w:val="20"/>
          <w:szCs w:val="20"/>
        </w:rPr>
        <w:t xml:space="preserve">School of Forensic Sciences                                             </w:t>
      </w:r>
      <w:r w:rsidR="00324841">
        <w:rPr>
          <w:rFonts w:eastAsia="MS Mincho"/>
          <w:sz w:val="20"/>
          <w:szCs w:val="20"/>
        </w:rPr>
        <w:tab/>
      </w:r>
      <w:r w:rsidRPr="0068364A">
        <w:rPr>
          <w:rFonts w:eastAsia="MS Mincho"/>
          <w:sz w:val="20"/>
          <w:szCs w:val="20"/>
          <w:vertAlign w:val="superscript"/>
        </w:rPr>
        <w:t>2</w:t>
      </w:r>
      <w:r w:rsidR="00F73280">
        <w:rPr>
          <w:rFonts w:eastAsia="MS Mincho"/>
          <w:sz w:val="20"/>
          <w:szCs w:val="20"/>
        </w:rPr>
        <w:t>School of Pharmacy &amp; Paramedical Sciences</w:t>
      </w:r>
    </w:p>
    <w:p w14:paraId="094EA12B" w14:textId="4F41BA82" w:rsidR="00E173EF" w:rsidRDefault="00E173EF" w:rsidP="00E173EF">
      <w:pPr>
        <w:pStyle w:val="Author"/>
        <w:spacing w:before="0" w:after="0"/>
        <w:jc w:val="both"/>
        <w:rPr>
          <w:rFonts w:eastAsia="MS Mincho"/>
          <w:sz w:val="20"/>
          <w:szCs w:val="20"/>
        </w:rPr>
      </w:pPr>
      <w:r>
        <w:rPr>
          <w:rFonts w:eastAsia="MS Mincho"/>
          <w:sz w:val="20"/>
          <w:szCs w:val="20"/>
        </w:rPr>
        <w:t xml:space="preserve">Centurion University of Technology and Management     </w:t>
      </w:r>
      <w:r w:rsidR="00324841">
        <w:rPr>
          <w:rFonts w:eastAsia="MS Mincho"/>
          <w:sz w:val="20"/>
          <w:szCs w:val="20"/>
        </w:rPr>
        <w:tab/>
      </w:r>
      <w:r w:rsidR="00F73280">
        <w:rPr>
          <w:rFonts w:eastAsia="MS Mincho"/>
          <w:sz w:val="20"/>
          <w:szCs w:val="20"/>
        </w:rPr>
        <w:t>K.K University, Berauti, Bihar Sharif</w:t>
      </w:r>
    </w:p>
    <w:p w14:paraId="288996B6" w14:textId="5FD60399" w:rsidR="00E173EF" w:rsidRDefault="00E173EF" w:rsidP="00E173EF">
      <w:pPr>
        <w:pStyle w:val="Author"/>
        <w:spacing w:before="0" w:after="0"/>
        <w:jc w:val="both"/>
        <w:rPr>
          <w:rFonts w:eastAsia="MS Mincho"/>
          <w:sz w:val="20"/>
          <w:szCs w:val="20"/>
        </w:rPr>
      </w:pPr>
      <w:r>
        <w:rPr>
          <w:rFonts w:eastAsia="MS Mincho"/>
          <w:sz w:val="20"/>
          <w:szCs w:val="20"/>
        </w:rPr>
        <w:t>Bhubaneswar,</w:t>
      </w:r>
      <w:r w:rsidR="00324841">
        <w:rPr>
          <w:rFonts w:eastAsia="MS Mincho"/>
          <w:sz w:val="20"/>
          <w:szCs w:val="20"/>
        </w:rPr>
        <w:t xml:space="preserve"> </w:t>
      </w:r>
      <w:r>
        <w:rPr>
          <w:rFonts w:eastAsia="MS Mincho"/>
          <w:sz w:val="20"/>
          <w:szCs w:val="20"/>
        </w:rPr>
        <w:t xml:space="preserve">Odisha                                                           </w:t>
      </w:r>
      <w:r w:rsidR="00324841">
        <w:rPr>
          <w:rFonts w:eastAsia="MS Mincho"/>
          <w:sz w:val="20"/>
          <w:szCs w:val="20"/>
        </w:rPr>
        <w:tab/>
      </w:r>
      <w:r w:rsidR="00F73280">
        <w:rPr>
          <w:rFonts w:eastAsia="MS Mincho"/>
          <w:sz w:val="20"/>
          <w:szCs w:val="20"/>
        </w:rPr>
        <w:t>Nalanda- 803115</w:t>
      </w:r>
    </w:p>
    <w:p w14:paraId="4C9BC970" w14:textId="27FDF045" w:rsidR="00E173EF" w:rsidRDefault="00E173EF" w:rsidP="00E173EF">
      <w:pPr>
        <w:pStyle w:val="Author"/>
        <w:spacing w:before="0" w:after="0"/>
        <w:jc w:val="both"/>
        <w:rPr>
          <w:rFonts w:eastAsia="MS Mincho"/>
          <w:sz w:val="20"/>
          <w:szCs w:val="20"/>
        </w:rPr>
      </w:pPr>
      <w:r>
        <w:rPr>
          <w:rFonts w:eastAsia="MS Mincho"/>
          <w:sz w:val="20"/>
          <w:szCs w:val="20"/>
        </w:rPr>
        <w:t xml:space="preserve">India                                                                                    </w:t>
      </w:r>
      <w:r w:rsidR="00324841">
        <w:rPr>
          <w:rFonts w:eastAsia="MS Mincho"/>
          <w:sz w:val="20"/>
          <w:szCs w:val="20"/>
        </w:rPr>
        <w:tab/>
      </w:r>
      <w:r w:rsidR="00F73280">
        <w:rPr>
          <w:rFonts w:eastAsia="MS Mincho"/>
          <w:sz w:val="20"/>
          <w:szCs w:val="20"/>
        </w:rPr>
        <w:t xml:space="preserve">Bihar, </w:t>
      </w:r>
      <w:r>
        <w:rPr>
          <w:rFonts w:eastAsia="MS Mincho"/>
          <w:sz w:val="20"/>
          <w:szCs w:val="20"/>
        </w:rPr>
        <w:t>India</w:t>
      </w:r>
      <w:r w:rsidR="00055550">
        <w:rPr>
          <w:rFonts w:eastAsia="MS Mincho"/>
          <w:sz w:val="20"/>
          <w:szCs w:val="20"/>
        </w:rPr>
        <w:t>, Email: swain_suryakant@yahoo.co.in</w:t>
      </w:r>
    </w:p>
    <w:p w14:paraId="7B33B893" w14:textId="39771218" w:rsidR="00E173EF" w:rsidRDefault="00E173EF" w:rsidP="00334904">
      <w:pPr>
        <w:pStyle w:val="Author"/>
        <w:spacing w:before="0" w:after="0"/>
        <w:jc w:val="both"/>
        <w:rPr>
          <w:b/>
          <w:bCs/>
          <w:sz w:val="24"/>
          <w:szCs w:val="24"/>
        </w:rPr>
      </w:pPr>
      <w:r>
        <w:rPr>
          <w:rFonts w:eastAsia="MS Mincho"/>
          <w:sz w:val="20"/>
          <w:szCs w:val="20"/>
        </w:rPr>
        <w:t xml:space="preserve">Email: </w:t>
      </w:r>
      <w:hyperlink r:id="rId7" w:history="1">
        <w:r w:rsidR="00055550" w:rsidRPr="006F28F8">
          <w:rPr>
            <w:rStyle w:val="Hyperlink"/>
            <w:rFonts w:eastAsia="MS Mincho"/>
            <w:color w:val="000000" w:themeColor="text1"/>
            <w:sz w:val="20"/>
            <w:szCs w:val="20"/>
            <w:u w:val="none"/>
          </w:rPr>
          <w:t>knjbiotech@gmail.com</w:t>
        </w:r>
      </w:hyperlink>
      <w:r w:rsidR="00055550" w:rsidRPr="006F28F8">
        <w:rPr>
          <w:rFonts w:eastAsia="MS Mincho"/>
          <w:color w:val="000000" w:themeColor="text1"/>
          <w:sz w:val="20"/>
          <w:szCs w:val="20"/>
        </w:rPr>
        <w:t xml:space="preserve"> </w:t>
      </w:r>
      <w:r w:rsidRPr="006F28F8">
        <w:rPr>
          <w:rFonts w:eastAsia="MS Mincho"/>
          <w:color w:val="000000" w:themeColor="text1"/>
          <w:sz w:val="20"/>
          <w:szCs w:val="20"/>
        </w:rPr>
        <w:t xml:space="preserve">   </w:t>
      </w:r>
      <w:r>
        <w:rPr>
          <w:rFonts w:eastAsia="MS Mincho"/>
          <w:sz w:val="20"/>
          <w:szCs w:val="20"/>
        </w:rPr>
        <w:t xml:space="preserve">                                       </w:t>
      </w:r>
      <w:r w:rsidR="00324841">
        <w:rPr>
          <w:rFonts w:eastAsia="MS Mincho"/>
          <w:sz w:val="20"/>
          <w:szCs w:val="20"/>
        </w:rPr>
        <w:tab/>
      </w:r>
    </w:p>
    <w:p w14:paraId="71AC82A3" w14:textId="77777777" w:rsidR="00334904" w:rsidRDefault="00334904" w:rsidP="00334904">
      <w:pPr>
        <w:pStyle w:val="Affiliation"/>
        <w:jc w:val="both"/>
        <w:rPr>
          <w:rFonts w:eastAsia="MS Mincho"/>
        </w:rPr>
      </w:pPr>
    </w:p>
    <w:p w14:paraId="3936142B" w14:textId="7E5B2985" w:rsidR="00055550" w:rsidRPr="00055550" w:rsidRDefault="00055550" w:rsidP="00055550">
      <w:pPr>
        <w:pStyle w:val="Affiliation"/>
        <w:jc w:val="both"/>
        <w:rPr>
          <w:rFonts w:eastAsia="MS Mincho"/>
        </w:rPr>
      </w:pPr>
      <w:r w:rsidRPr="00055550">
        <w:rPr>
          <w:rFonts w:eastAsia="MS Mincho"/>
        </w:rPr>
        <w:t>Bikash Ranjan Jena</w:t>
      </w:r>
      <w:r w:rsidR="006F28F8">
        <w:rPr>
          <w:rFonts w:eastAsia="MS Mincho"/>
          <w:vertAlign w:val="superscript"/>
        </w:rPr>
        <w:t>3</w:t>
      </w:r>
    </w:p>
    <w:p w14:paraId="6AB08C03" w14:textId="762D592B" w:rsidR="00055550" w:rsidRPr="00055550" w:rsidRDefault="006F28F8" w:rsidP="00055550">
      <w:pPr>
        <w:pStyle w:val="Affiliation"/>
        <w:jc w:val="both"/>
        <w:rPr>
          <w:rFonts w:eastAsia="MS Mincho"/>
        </w:rPr>
      </w:pPr>
      <w:r>
        <w:rPr>
          <w:rFonts w:eastAsia="MS Mincho"/>
          <w:vertAlign w:val="superscript"/>
        </w:rPr>
        <w:t>3</w:t>
      </w:r>
      <w:r w:rsidR="00055550" w:rsidRPr="00055550">
        <w:rPr>
          <w:rFonts w:eastAsia="MS Mincho"/>
        </w:rPr>
        <w:t xml:space="preserve">School of Pharmacy &amp; Life Sciences, </w:t>
      </w:r>
    </w:p>
    <w:p w14:paraId="11F8397E" w14:textId="77777777" w:rsidR="00055550" w:rsidRPr="00055550" w:rsidRDefault="00055550" w:rsidP="00055550">
      <w:pPr>
        <w:pStyle w:val="Affiliation"/>
        <w:jc w:val="both"/>
        <w:rPr>
          <w:rFonts w:eastAsia="MS Mincho"/>
        </w:rPr>
      </w:pPr>
      <w:r w:rsidRPr="00055550">
        <w:rPr>
          <w:rFonts w:eastAsia="MS Mincho"/>
        </w:rPr>
        <w:t>Centurion University of Technology and Management,</w:t>
      </w:r>
    </w:p>
    <w:p w14:paraId="7AC2478C" w14:textId="77777777" w:rsidR="00055550" w:rsidRPr="00055550" w:rsidRDefault="00055550" w:rsidP="00055550">
      <w:pPr>
        <w:pStyle w:val="Affiliation"/>
        <w:jc w:val="both"/>
        <w:rPr>
          <w:rFonts w:eastAsia="MS Mincho"/>
        </w:rPr>
      </w:pPr>
      <w:r w:rsidRPr="00055550">
        <w:rPr>
          <w:rFonts w:eastAsia="MS Mincho"/>
        </w:rPr>
        <w:t>Bhubaneswar, Odisha, India</w:t>
      </w:r>
    </w:p>
    <w:p w14:paraId="497F82CA" w14:textId="0A3FCF95" w:rsidR="00334904" w:rsidRDefault="00055550" w:rsidP="00055550">
      <w:pPr>
        <w:pStyle w:val="Affiliation"/>
        <w:jc w:val="both"/>
        <w:rPr>
          <w:rFonts w:eastAsia="MS Mincho"/>
        </w:rPr>
      </w:pPr>
      <w:r w:rsidRPr="00055550">
        <w:rPr>
          <w:rFonts w:eastAsia="MS Mincho"/>
        </w:rPr>
        <w:t xml:space="preserve">Email: bikashranjan.jena97@gmail.com     </w:t>
      </w:r>
    </w:p>
    <w:p w14:paraId="248DE8F5" w14:textId="77777777" w:rsidR="00334904" w:rsidRDefault="00334904" w:rsidP="00334904">
      <w:pPr>
        <w:rPr>
          <w:rFonts w:ascii="Times New Roman" w:hAnsi="Times New Roman" w:cs="Times New Roman"/>
          <w:b/>
          <w:bCs/>
          <w:sz w:val="24"/>
          <w:szCs w:val="24"/>
        </w:rPr>
      </w:pPr>
    </w:p>
    <w:p w14:paraId="1F63D03A" w14:textId="77777777" w:rsidR="00334904" w:rsidRDefault="00334904" w:rsidP="00334904">
      <w:pPr>
        <w:rPr>
          <w:rFonts w:ascii="Times New Roman" w:hAnsi="Times New Roman" w:cs="Times New Roman"/>
          <w:b/>
          <w:bCs/>
          <w:sz w:val="24"/>
          <w:szCs w:val="24"/>
        </w:rPr>
      </w:pPr>
    </w:p>
    <w:p w14:paraId="69E4A192" w14:textId="5ADE6147" w:rsidR="00577A87" w:rsidRDefault="00CC167F" w:rsidP="00577A87">
      <w:pPr>
        <w:jc w:val="center"/>
        <w:rPr>
          <w:rFonts w:ascii="Times New Roman" w:hAnsi="Times New Roman" w:cs="Times New Roman"/>
          <w:b/>
          <w:bCs/>
          <w:sz w:val="20"/>
        </w:rPr>
      </w:pPr>
      <w:r>
        <w:rPr>
          <w:rFonts w:ascii="Times New Roman" w:hAnsi="Times New Roman" w:cs="Times New Roman"/>
          <w:b/>
          <w:bCs/>
          <w:sz w:val="20"/>
        </w:rPr>
        <w:t>ABSTRACT</w:t>
      </w:r>
    </w:p>
    <w:p w14:paraId="16E31FEA" w14:textId="7AB7E276" w:rsidR="00E647F6" w:rsidRDefault="00B30323" w:rsidP="00577A87">
      <w:pPr>
        <w:ind w:firstLine="720"/>
        <w:jc w:val="both"/>
        <w:rPr>
          <w:rFonts w:ascii="Times New Roman" w:hAnsi="Times New Roman" w:cs="Times New Roman"/>
          <w:sz w:val="20"/>
        </w:rPr>
      </w:pPr>
      <w:r>
        <w:rPr>
          <w:rFonts w:ascii="Times New Roman" w:hAnsi="Times New Roman" w:cs="Times New Roman"/>
          <w:sz w:val="20"/>
        </w:rPr>
        <w:t>Bio</w:t>
      </w:r>
      <w:r w:rsidRPr="00B30323">
        <w:rPr>
          <w:rFonts w:ascii="Times New Roman" w:hAnsi="Times New Roman" w:cs="Times New Roman"/>
          <w:sz w:val="20"/>
        </w:rPr>
        <w:t xml:space="preserve">markers offer an innovative and effective method to </w:t>
      </w:r>
      <w:r w:rsidR="0074475D">
        <w:rPr>
          <w:rFonts w:ascii="Times New Roman" w:hAnsi="Times New Roman" w:cs="Times New Roman"/>
          <w:sz w:val="20"/>
        </w:rPr>
        <w:t>explore</w:t>
      </w:r>
      <w:r w:rsidRPr="00B30323">
        <w:rPr>
          <w:rFonts w:ascii="Times New Roman" w:hAnsi="Times New Roman" w:cs="Times New Roman"/>
          <w:sz w:val="20"/>
        </w:rPr>
        <w:t xml:space="preserve"> the scope of different applications, such as sickness diagnosis.</w:t>
      </w:r>
      <w:r w:rsidR="009B4545" w:rsidRPr="00C2300C">
        <w:rPr>
          <w:rFonts w:ascii="Times New Roman" w:hAnsi="Times New Roman" w:cs="Times New Roman"/>
          <w:sz w:val="20"/>
        </w:rPr>
        <w:t xml:space="preserve"> </w:t>
      </w:r>
      <w:r w:rsidR="0044692D">
        <w:rPr>
          <w:rFonts w:ascii="Times New Roman" w:hAnsi="Times New Roman" w:cs="Times New Roman"/>
          <w:sz w:val="20"/>
        </w:rPr>
        <w:t xml:space="preserve">and </w:t>
      </w:r>
      <w:r w:rsidR="0013065A">
        <w:rPr>
          <w:rFonts w:ascii="Times New Roman" w:hAnsi="Times New Roman" w:cs="Times New Roman"/>
          <w:sz w:val="20"/>
        </w:rPr>
        <w:t xml:space="preserve">various research </w:t>
      </w:r>
      <w:r w:rsidR="0075790A">
        <w:rPr>
          <w:rFonts w:ascii="Times New Roman" w:hAnsi="Times New Roman" w:cs="Times New Roman"/>
          <w:sz w:val="20"/>
        </w:rPr>
        <w:t xml:space="preserve">studies </w:t>
      </w:r>
      <w:r w:rsidR="00545DC0">
        <w:rPr>
          <w:rFonts w:ascii="Times New Roman" w:hAnsi="Times New Roman" w:cs="Times New Roman"/>
          <w:sz w:val="20"/>
        </w:rPr>
        <w:t>requests</w:t>
      </w:r>
      <w:r w:rsidR="0075790A">
        <w:rPr>
          <w:rFonts w:ascii="Times New Roman" w:hAnsi="Times New Roman" w:cs="Times New Roman"/>
          <w:sz w:val="20"/>
        </w:rPr>
        <w:t xml:space="preserve"> </w:t>
      </w:r>
      <w:r w:rsidR="00C572CF" w:rsidRPr="00C572CF">
        <w:rPr>
          <w:rFonts w:ascii="Times New Roman" w:hAnsi="Times New Roman" w:cs="Times New Roman"/>
          <w:sz w:val="20"/>
        </w:rPr>
        <w:t xml:space="preserve">in experimental and </w:t>
      </w:r>
      <w:r w:rsidR="00545DC0" w:rsidRPr="00C572CF">
        <w:rPr>
          <w:rFonts w:ascii="Times New Roman" w:hAnsi="Times New Roman" w:cs="Times New Roman"/>
          <w:sz w:val="20"/>
        </w:rPr>
        <w:t>investigative</w:t>
      </w:r>
      <w:r w:rsidR="00C572CF" w:rsidRPr="00C572CF">
        <w:rPr>
          <w:rFonts w:ascii="Times New Roman" w:hAnsi="Times New Roman" w:cs="Times New Roman"/>
          <w:sz w:val="20"/>
        </w:rPr>
        <w:t xml:space="preserve"> epidemiology, rigorous </w:t>
      </w:r>
      <w:r w:rsidR="00545DC0" w:rsidRPr="00C572CF">
        <w:rPr>
          <w:rFonts w:ascii="Times New Roman" w:hAnsi="Times New Roman" w:cs="Times New Roman"/>
          <w:sz w:val="20"/>
        </w:rPr>
        <w:t>medical</w:t>
      </w:r>
      <w:r w:rsidR="00C572CF" w:rsidRPr="00C572CF">
        <w:rPr>
          <w:rFonts w:ascii="Times New Roman" w:hAnsi="Times New Roman" w:cs="Times New Roman"/>
          <w:sz w:val="20"/>
        </w:rPr>
        <w:t xml:space="preserve"> studies, monitoring, assessment, and prediction</w:t>
      </w:r>
      <w:r w:rsidR="009B4545" w:rsidRPr="00C2300C">
        <w:rPr>
          <w:rFonts w:ascii="Times New Roman" w:hAnsi="Times New Roman" w:cs="Times New Roman"/>
          <w:sz w:val="20"/>
        </w:rPr>
        <w:t xml:space="preserve">. These markers, defined as changes in the constituents of tissues or bodily </w:t>
      </w:r>
      <w:r w:rsidR="00545DC0" w:rsidRPr="00C2300C">
        <w:rPr>
          <w:rFonts w:ascii="Times New Roman" w:hAnsi="Times New Roman" w:cs="Times New Roman"/>
          <w:sz w:val="20"/>
        </w:rPr>
        <w:t>liquids</w:t>
      </w:r>
      <w:r w:rsidR="009B4545" w:rsidRPr="00C2300C">
        <w:rPr>
          <w:rFonts w:ascii="Times New Roman" w:hAnsi="Times New Roman" w:cs="Times New Roman"/>
          <w:sz w:val="20"/>
        </w:rPr>
        <w:t>, allow for</w:t>
      </w:r>
      <w:r w:rsidR="00766693">
        <w:rPr>
          <w:rFonts w:ascii="Times New Roman" w:hAnsi="Times New Roman" w:cs="Times New Roman"/>
          <w:sz w:val="20"/>
        </w:rPr>
        <w:t xml:space="preserve"> </w:t>
      </w:r>
      <w:r w:rsidR="009B4545" w:rsidRPr="00C2300C">
        <w:rPr>
          <w:rFonts w:ascii="Times New Roman" w:hAnsi="Times New Roman" w:cs="Times New Roman"/>
          <w:sz w:val="20"/>
        </w:rPr>
        <w:t xml:space="preserve">homogeneous </w:t>
      </w:r>
      <w:r w:rsidR="00766693" w:rsidRPr="00C2300C">
        <w:rPr>
          <w:rFonts w:ascii="Times New Roman" w:hAnsi="Times New Roman" w:cs="Times New Roman"/>
          <w:sz w:val="20"/>
        </w:rPr>
        <w:t>arrangement</w:t>
      </w:r>
      <w:r w:rsidR="009B4545" w:rsidRPr="00C2300C">
        <w:rPr>
          <w:rFonts w:ascii="Times New Roman" w:hAnsi="Times New Roman" w:cs="Times New Roman"/>
          <w:sz w:val="20"/>
        </w:rPr>
        <w:t xml:space="preserve"> of a </w:t>
      </w:r>
      <w:r w:rsidR="006E5607" w:rsidRPr="00C2300C">
        <w:rPr>
          <w:rFonts w:ascii="Times New Roman" w:hAnsi="Times New Roman" w:cs="Times New Roman"/>
          <w:sz w:val="20"/>
        </w:rPr>
        <w:t>sickness</w:t>
      </w:r>
      <w:r w:rsidR="009B4545" w:rsidRPr="00C2300C">
        <w:rPr>
          <w:rFonts w:ascii="Times New Roman" w:hAnsi="Times New Roman" w:cs="Times New Roman"/>
          <w:sz w:val="20"/>
        </w:rPr>
        <w:t xml:space="preserve"> and risk </w:t>
      </w:r>
      <w:r w:rsidR="006E5607" w:rsidRPr="00C2300C">
        <w:rPr>
          <w:rFonts w:ascii="Times New Roman" w:hAnsi="Times New Roman" w:cs="Times New Roman"/>
          <w:sz w:val="20"/>
        </w:rPr>
        <w:t>aspects</w:t>
      </w:r>
      <w:r w:rsidR="00D2673E">
        <w:rPr>
          <w:rFonts w:ascii="Times New Roman" w:hAnsi="Times New Roman" w:cs="Times New Roman"/>
          <w:sz w:val="20"/>
        </w:rPr>
        <w:t>. They</w:t>
      </w:r>
      <w:r w:rsidR="009B4545" w:rsidRPr="00C2300C">
        <w:rPr>
          <w:rFonts w:ascii="Times New Roman" w:hAnsi="Times New Roman" w:cs="Times New Roman"/>
          <w:sz w:val="20"/>
        </w:rPr>
        <w:t xml:space="preserve"> can help us understand disease </w:t>
      </w:r>
      <w:r w:rsidR="00A4553B" w:rsidRPr="00C2300C">
        <w:rPr>
          <w:rFonts w:ascii="Times New Roman" w:hAnsi="Times New Roman" w:cs="Times New Roman"/>
          <w:sz w:val="20"/>
        </w:rPr>
        <w:t>pathogeni</w:t>
      </w:r>
      <w:r w:rsidR="00A4553B">
        <w:rPr>
          <w:rFonts w:ascii="Times New Roman" w:hAnsi="Times New Roman" w:cs="Times New Roman"/>
          <w:sz w:val="20"/>
        </w:rPr>
        <w:t>city</w:t>
      </w:r>
      <w:r w:rsidR="004F31C8" w:rsidRPr="00C2300C">
        <w:rPr>
          <w:rFonts w:ascii="Times New Roman" w:hAnsi="Times New Roman" w:cs="Times New Roman"/>
          <w:sz w:val="20"/>
        </w:rPr>
        <w:t xml:space="preserve">. </w:t>
      </w:r>
      <w:r w:rsidR="007E4AC2" w:rsidRPr="00C2300C">
        <w:rPr>
          <w:rFonts w:ascii="Times New Roman" w:hAnsi="Times New Roman" w:cs="Times New Roman"/>
          <w:sz w:val="20"/>
        </w:rPr>
        <w:t>Biomarkers</w:t>
      </w:r>
      <w:r w:rsidR="00A4553B">
        <w:rPr>
          <w:rFonts w:ascii="Times New Roman" w:hAnsi="Times New Roman" w:cs="Times New Roman"/>
          <w:sz w:val="20"/>
        </w:rPr>
        <w:t xml:space="preserve"> are</w:t>
      </w:r>
      <w:r w:rsidR="007E4AC2" w:rsidRPr="00C2300C">
        <w:rPr>
          <w:rFonts w:ascii="Times New Roman" w:hAnsi="Times New Roman" w:cs="Times New Roman"/>
          <w:sz w:val="20"/>
        </w:rPr>
        <w:t xml:space="preserve"> also </w:t>
      </w:r>
      <w:r w:rsidR="00BF2FCD" w:rsidRPr="00C2300C">
        <w:rPr>
          <w:rFonts w:ascii="Times New Roman" w:hAnsi="Times New Roman" w:cs="Times New Roman"/>
          <w:sz w:val="20"/>
        </w:rPr>
        <w:t>representing</w:t>
      </w:r>
      <w:r w:rsidR="007E4AC2" w:rsidRPr="00C2300C">
        <w:rPr>
          <w:rFonts w:ascii="Times New Roman" w:hAnsi="Times New Roman" w:cs="Times New Roman"/>
          <w:sz w:val="20"/>
        </w:rPr>
        <w:t xml:space="preserve"> the </w:t>
      </w:r>
      <w:r w:rsidR="00A4553B" w:rsidRPr="00C2300C">
        <w:rPr>
          <w:rFonts w:ascii="Times New Roman" w:hAnsi="Times New Roman" w:cs="Times New Roman"/>
          <w:sz w:val="20"/>
        </w:rPr>
        <w:t>whole</w:t>
      </w:r>
      <w:r w:rsidR="007E4AC2" w:rsidRPr="00C2300C">
        <w:rPr>
          <w:rFonts w:ascii="Times New Roman" w:hAnsi="Times New Roman" w:cs="Times New Roman"/>
          <w:sz w:val="20"/>
        </w:rPr>
        <w:t xml:space="preserve"> disease spectrum, from early to late stages. The primary applications of biomarkers in clinical research are described in this concise overview. The validity of biomarkers must be carefully assessed </w:t>
      </w:r>
      <w:r w:rsidR="0074475D">
        <w:rPr>
          <w:rFonts w:ascii="Times New Roman" w:hAnsi="Times New Roman" w:cs="Times New Roman"/>
          <w:sz w:val="20"/>
        </w:rPr>
        <w:t>concerning</w:t>
      </w:r>
      <w:r w:rsidR="007E4AC2" w:rsidRPr="00C2300C">
        <w:rPr>
          <w:rFonts w:ascii="Times New Roman" w:hAnsi="Times New Roman" w:cs="Times New Roman"/>
          <w:sz w:val="20"/>
        </w:rPr>
        <w:t xml:space="preserve"> </w:t>
      </w:r>
      <w:r w:rsidR="00976EEE">
        <w:rPr>
          <w:rFonts w:ascii="Times New Roman" w:hAnsi="Times New Roman" w:cs="Times New Roman"/>
          <w:sz w:val="20"/>
        </w:rPr>
        <w:t xml:space="preserve">the </w:t>
      </w:r>
      <w:r w:rsidR="007E4AC2" w:rsidRPr="00C2300C">
        <w:rPr>
          <w:rFonts w:ascii="Times New Roman" w:hAnsi="Times New Roman" w:cs="Times New Roman"/>
          <w:sz w:val="20"/>
        </w:rPr>
        <w:t xml:space="preserve">disease stage. Variability in biomarker measurements </w:t>
      </w:r>
      <w:r w:rsidR="009457B3">
        <w:rPr>
          <w:rFonts w:ascii="Times New Roman" w:hAnsi="Times New Roman" w:cs="Times New Roman"/>
          <w:sz w:val="20"/>
        </w:rPr>
        <w:t>varies</w:t>
      </w:r>
      <w:r w:rsidR="0074475D">
        <w:rPr>
          <w:rFonts w:ascii="Times New Roman" w:hAnsi="Times New Roman" w:cs="Times New Roman"/>
          <w:sz w:val="20"/>
        </w:rPr>
        <w:t xml:space="preserve"> due</w:t>
      </w:r>
      <w:r w:rsidR="007E4AC2" w:rsidRPr="00C2300C">
        <w:rPr>
          <w:rFonts w:ascii="Times New Roman" w:hAnsi="Times New Roman" w:cs="Times New Roman"/>
          <w:sz w:val="20"/>
        </w:rPr>
        <w:t xml:space="preserve"> to factors ranging from the individual to the laboratory. </w:t>
      </w:r>
      <w:r w:rsidR="0034251B">
        <w:rPr>
          <w:rFonts w:ascii="Times New Roman" w:hAnsi="Times New Roman" w:cs="Times New Roman"/>
          <w:sz w:val="20"/>
        </w:rPr>
        <w:t xml:space="preserve">In this review, </w:t>
      </w:r>
      <w:r w:rsidR="007E4AC2" w:rsidRPr="00C2300C">
        <w:rPr>
          <w:rFonts w:ascii="Times New Roman" w:hAnsi="Times New Roman" w:cs="Times New Roman"/>
          <w:sz w:val="20"/>
        </w:rPr>
        <w:t xml:space="preserve">Biomarker analysis issues are </w:t>
      </w:r>
      <w:r w:rsidR="0034251B">
        <w:rPr>
          <w:rFonts w:ascii="Times New Roman" w:hAnsi="Times New Roman" w:cs="Times New Roman"/>
          <w:sz w:val="20"/>
        </w:rPr>
        <w:t xml:space="preserve">critically </w:t>
      </w:r>
      <w:r w:rsidR="007E4AC2" w:rsidRPr="00C2300C">
        <w:rPr>
          <w:rFonts w:ascii="Times New Roman" w:hAnsi="Times New Roman" w:cs="Times New Roman"/>
          <w:sz w:val="20"/>
        </w:rPr>
        <w:t xml:space="preserve">discussed, as </w:t>
      </w:r>
      <w:r w:rsidR="0034251B">
        <w:rPr>
          <w:rFonts w:ascii="Times New Roman" w:hAnsi="Times New Roman" w:cs="Times New Roman"/>
          <w:sz w:val="20"/>
        </w:rPr>
        <w:t xml:space="preserve">these </w:t>
      </w:r>
      <w:r w:rsidR="007E4AC2" w:rsidRPr="00C2300C">
        <w:rPr>
          <w:rFonts w:ascii="Times New Roman" w:hAnsi="Times New Roman" w:cs="Times New Roman"/>
          <w:sz w:val="20"/>
        </w:rPr>
        <w:t xml:space="preserve">are </w:t>
      </w:r>
      <w:r w:rsidR="0034251B">
        <w:rPr>
          <w:rFonts w:ascii="Times New Roman" w:hAnsi="Times New Roman" w:cs="Times New Roman"/>
          <w:sz w:val="20"/>
        </w:rPr>
        <w:t xml:space="preserve">systematic </w:t>
      </w:r>
      <w:r w:rsidR="007E4AC2" w:rsidRPr="00C2300C">
        <w:rPr>
          <w:rFonts w:ascii="Times New Roman" w:hAnsi="Times New Roman" w:cs="Times New Roman"/>
          <w:sz w:val="20"/>
        </w:rPr>
        <w:t>recommendations for dealing with bias and confounding.</w:t>
      </w:r>
    </w:p>
    <w:p w14:paraId="4EE59A7E" w14:textId="2AF5A784" w:rsidR="00976EEE" w:rsidRDefault="00976EEE" w:rsidP="00976EEE">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Pr="00236DBA">
        <w:rPr>
          <w:rFonts w:eastAsia="Calibri"/>
          <w:b w:val="0"/>
          <w:bCs w:val="0"/>
          <w:i w:val="0"/>
          <w:iCs w:val="0"/>
          <w:noProof w:val="0"/>
          <w:sz w:val="28"/>
          <w:szCs w:val="28"/>
        </w:rPr>
        <w:t xml:space="preserve"> </w:t>
      </w:r>
      <w:r w:rsidR="00E33E84">
        <w:rPr>
          <w:rFonts w:eastAsia="MS Mincho"/>
          <w:b w:val="0"/>
          <w:i w:val="0"/>
          <w:sz w:val="20"/>
          <w:szCs w:val="20"/>
        </w:rPr>
        <w:t>Bio</w:t>
      </w:r>
      <w:r w:rsidR="00ED1CBE">
        <w:rPr>
          <w:rFonts w:eastAsia="MS Mincho"/>
          <w:b w:val="0"/>
          <w:i w:val="0"/>
          <w:sz w:val="20"/>
          <w:szCs w:val="20"/>
        </w:rPr>
        <w:t>markers</w:t>
      </w:r>
      <w:r w:rsidRPr="00435703">
        <w:rPr>
          <w:rFonts w:eastAsia="MS Mincho"/>
          <w:b w:val="0"/>
          <w:i w:val="0"/>
          <w:sz w:val="20"/>
          <w:szCs w:val="20"/>
        </w:rPr>
        <w:t xml:space="preserve">, </w:t>
      </w:r>
      <w:r w:rsidR="00395ECA">
        <w:rPr>
          <w:rFonts w:eastAsia="MS Mincho"/>
          <w:b w:val="0"/>
          <w:i w:val="0"/>
          <w:sz w:val="20"/>
          <w:szCs w:val="20"/>
        </w:rPr>
        <w:t>C</w:t>
      </w:r>
      <w:r w:rsidR="00DD2FB4">
        <w:rPr>
          <w:rFonts w:eastAsia="MS Mincho"/>
          <w:b w:val="0"/>
          <w:i w:val="0"/>
          <w:sz w:val="20"/>
          <w:szCs w:val="20"/>
        </w:rPr>
        <w:t>linical</w:t>
      </w:r>
      <w:r w:rsidR="00ED1CBE">
        <w:rPr>
          <w:rFonts w:eastAsia="MS Mincho"/>
          <w:b w:val="0"/>
          <w:i w:val="0"/>
          <w:sz w:val="20"/>
          <w:szCs w:val="20"/>
        </w:rPr>
        <w:t xml:space="preserve"> </w:t>
      </w:r>
      <w:r w:rsidR="00DD2FB4">
        <w:rPr>
          <w:rFonts w:eastAsia="MS Mincho"/>
          <w:b w:val="0"/>
          <w:i w:val="0"/>
          <w:sz w:val="20"/>
          <w:szCs w:val="20"/>
        </w:rPr>
        <w:t>studies</w:t>
      </w:r>
      <w:r w:rsidRPr="00435703">
        <w:rPr>
          <w:rFonts w:eastAsia="MS Mincho"/>
          <w:b w:val="0"/>
          <w:i w:val="0"/>
          <w:sz w:val="20"/>
          <w:szCs w:val="20"/>
        </w:rPr>
        <w:t xml:space="preserve">, </w:t>
      </w:r>
      <w:r w:rsidR="009E1DAB">
        <w:rPr>
          <w:rFonts w:eastAsia="MS Mincho"/>
          <w:b w:val="0"/>
          <w:i w:val="0"/>
          <w:sz w:val="20"/>
          <w:szCs w:val="20"/>
        </w:rPr>
        <w:t>Species Identification</w:t>
      </w:r>
      <w:r>
        <w:rPr>
          <w:rFonts w:eastAsia="MS Mincho"/>
          <w:b w:val="0"/>
          <w:i w:val="0"/>
          <w:sz w:val="20"/>
          <w:szCs w:val="20"/>
        </w:rPr>
        <w:t xml:space="preserve">, </w:t>
      </w:r>
      <w:r w:rsidR="009E1DAB">
        <w:rPr>
          <w:rFonts w:eastAsia="MS Mincho"/>
          <w:b w:val="0"/>
          <w:i w:val="0"/>
          <w:sz w:val="20"/>
          <w:szCs w:val="20"/>
        </w:rPr>
        <w:t>Pathogen identific</w:t>
      </w:r>
      <w:r w:rsidR="00395ECA">
        <w:rPr>
          <w:rFonts w:eastAsia="MS Mincho"/>
          <w:b w:val="0"/>
          <w:i w:val="0"/>
          <w:sz w:val="20"/>
          <w:szCs w:val="20"/>
        </w:rPr>
        <w:t>ation</w:t>
      </w:r>
      <w:r>
        <w:rPr>
          <w:rFonts w:eastAsia="MS Mincho"/>
          <w:b w:val="0"/>
          <w:i w:val="0"/>
          <w:sz w:val="20"/>
          <w:szCs w:val="20"/>
        </w:rPr>
        <w:t xml:space="preserve">, </w:t>
      </w:r>
      <w:r w:rsidR="00395ECA">
        <w:rPr>
          <w:rFonts w:eastAsia="MS Mincho"/>
          <w:b w:val="0"/>
          <w:i w:val="0"/>
          <w:sz w:val="20"/>
          <w:szCs w:val="20"/>
        </w:rPr>
        <w:t>Pharmacodynamics</w:t>
      </w:r>
      <w:r>
        <w:rPr>
          <w:rFonts w:eastAsia="MS Mincho"/>
          <w:b w:val="0"/>
          <w:i w:val="0"/>
          <w:sz w:val="20"/>
          <w:szCs w:val="20"/>
        </w:rPr>
        <w:t>.</w:t>
      </w:r>
    </w:p>
    <w:p w14:paraId="5964C54A" w14:textId="77777777" w:rsidR="00976EEE" w:rsidRDefault="00976EEE" w:rsidP="00976EEE">
      <w:pPr>
        <w:pStyle w:val="Heading1"/>
        <w:numPr>
          <w:ilvl w:val="0"/>
          <w:numId w:val="0"/>
        </w:numPr>
        <w:spacing w:before="0" w:after="0"/>
        <w:rPr>
          <w:rFonts w:ascii="Times New Roman" w:eastAsia="MS Mincho" w:hAnsi="Times New Roman"/>
          <w:sz w:val="20"/>
          <w:szCs w:val="20"/>
        </w:rPr>
      </w:pPr>
    </w:p>
    <w:p w14:paraId="15288792" w14:textId="09F188D8" w:rsidR="00976EEE" w:rsidRPr="00976EEE" w:rsidRDefault="00976EEE" w:rsidP="00577A87">
      <w:pPr>
        <w:jc w:val="center"/>
        <w:rPr>
          <w:rFonts w:ascii="Times New Roman" w:hAnsi="Times New Roman" w:cs="Times New Roman"/>
          <w:b/>
          <w:bCs/>
          <w:sz w:val="20"/>
        </w:rPr>
      </w:pPr>
      <w:r w:rsidRPr="00976EEE">
        <w:rPr>
          <w:rFonts w:ascii="Times New Roman" w:eastAsia="MS Mincho" w:hAnsi="Times New Roman"/>
          <w:b/>
          <w:bCs/>
          <w:sz w:val="20"/>
        </w:rPr>
        <w:t>INTRODUCTION</w:t>
      </w:r>
    </w:p>
    <w:p w14:paraId="5F910503" w14:textId="5FC0E7CB" w:rsidR="007D6F1D" w:rsidRDefault="006E7236" w:rsidP="007D6F1D">
      <w:pPr>
        <w:ind w:firstLine="720"/>
        <w:jc w:val="both"/>
        <w:rPr>
          <w:rStyle w:val="topic-highlight"/>
          <w:rFonts w:ascii="Times New Roman" w:hAnsi="Times New Roman" w:cs="Times New Roman"/>
          <w:sz w:val="20"/>
        </w:rPr>
      </w:pPr>
      <w:r w:rsidRPr="00EE1C3F">
        <w:rPr>
          <w:rFonts w:ascii="Times New Roman" w:hAnsi="Times New Roman" w:cs="Times New Roman"/>
          <w:sz w:val="20"/>
        </w:rPr>
        <w:t xml:space="preserve">Biomarkers generally characterized "physiological, biotechnological, or biochemical variations that are identifiable in </w:t>
      </w:r>
      <w:r w:rsidR="00353829" w:rsidRPr="00EE1C3F">
        <w:rPr>
          <w:rFonts w:ascii="Times New Roman" w:hAnsi="Times New Roman" w:cs="Times New Roman"/>
          <w:sz w:val="20"/>
        </w:rPr>
        <w:t xml:space="preserve">various </w:t>
      </w:r>
      <w:r w:rsidRPr="00EE1C3F">
        <w:rPr>
          <w:rFonts w:ascii="Times New Roman" w:hAnsi="Times New Roman" w:cs="Times New Roman"/>
          <w:sz w:val="20"/>
        </w:rPr>
        <w:t>entities</w:t>
      </w:r>
      <w:r w:rsidR="0078561B">
        <w:rPr>
          <w:rFonts w:ascii="Times New Roman" w:hAnsi="Times New Roman" w:cs="Times New Roman"/>
          <w:sz w:val="20"/>
        </w:rPr>
        <w:t>, including</w:t>
      </w:r>
      <w:r w:rsidRPr="00EE1C3F">
        <w:rPr>
          <w:rFonts w:ascii="Times New Roman" w:hAnsi="Times New Roman" w:cs="Times New Roman"/>
          <w:sz w:val="20"/>
        </w:rPr>
        <w:t xml:space="preserve"> body cells, tissues, or secretions."</w:t>
      </w:r>
      <w:r w:rsidR="00926CF8" w:rsidRPr="00EE1C3F">
        <w:rPr>
          <w:rFonts w:ascii="Times New Roman" w:hAnsi="Times New Roman" w:cs="Times New Roman"/>
          <w:sz w:val="20"/>
        </w:rPr>
        <w:t>[</w:t>
      </w:r>
      <w:r w:rsidRPr="00EE1C3F">
        <w:rPr>
          <w:rFonts w:ascii="Times New Roman" w:hAnsi="Times New Roman" w:cs="Times New Roman"/>
          <w:sz w:val="20"/>
        </w:rPr>
        <w:t>1</w:t>
      </w:r>
      <w:r w:rsidR="00926CF8" w:rsidRPr="00EE1C3F">
        <w:rPr>
          <w:rFonts w:ascii="Times New Roman" w:hAnsi="Times New Roman" w:cs="Times New Roman"/>
          <w:sz w:val="20"/>
        </w:rPr>
        <w:t>]</w:t>
      </w:r>
      <w:r w:rsidRPr="00EE1C3F">
        <w:rPr>
          <w:rFonts w:ascii="Times New Roman" w:hAnsi="Times New Roman" w:cs="Times New Roman"/>
          <w:sz w:val="20"/>
        </w:rPr>
        <w:t>. Subsequently, the term was enlarged to incorporate</w:t>
      </w:r>
      <w:r w:rsidR="00353829" w:rsidRPr="00EE1C3F">
        <w:rPr>
          <w:rFonts w:ascii="Times New Roman" w:hAnsi="Times New Roman" w:cs="Times New Roman"/>
          <w:sz w:val="20"/>
        </w:rPr>
        <w:t xml:space="preserve"> </w:t>
      </w:r>
      <w:r w:rsidR="00610CEA" w:rsidRPr="00EE1C3F">
        <w:rPr>
          <w:rFonts w:ascii="Times New Roman" w:hAnsi="Times New Roman" w:cs="Times New Roman"/>
          <w:sz w:val="20"/>
        </w:rPr>
        <w:t>features</w:t>
      </w:r>
      <w:r w:rsidRPr="00EE1C3F">
        <w:rPr>
          <w:rFonts w:ascii="Times New Roman" w:hAnsi="Times New Roman" w:cs="Times New Roman"/>
          <w:sz w:val="20"/>
        </w:rPr>
        <w:t xml:space="preserve"> that could be reliably measured and </w:t>
      </w:r>
      <w:r w:rsidR="00610CEA" w:rsidRPr="00EE1C3F">
        <w:rPr>
          <w:rFonts w:ascii="Times New Roman" w:hAnsi="Times New Roman" w:cs="Times New Roman"/>
          <w:sz w:val="20"/>
        </w:rPr>
        <w:t>assessed</w:t>
      </w:r>
      <w:r w:rsidRPr="00EE1C3F">
        <w:rPr>
          <w:rFonts w:ascii="Times New Roman" w:hAnsi="Times New Roman" w:cs="Times New Roman"/>
          <w:sz w:val="20"/>
        </w:rPr>
        <w:t xml:space="preserve"> as indicator of natural</w:t>
      </w:r>
      <w:r w:rsidR="00353829" w:rsidRPr="00EE1C3F">
        <w:rPr>
          <w:rFonts w:ascii="Times New Roman" w:hAnsi="Times New Roman" w:cs="Times New Roman"/>
          <w:sz w:val="20"/>
        </w:rPr>
        <w:t xml:space="preserve"> </w:t>
      </w:r>
      <w:r w:rsidRPr="00EE1C3F">
        <w:rPr>
          <w:rFonts w:ascii="Times New Roman" w:hAnsi="Times New Roman" w:cs="Times New Roman"/>
          <w:sz w:val="20"/>
        </w:rPr>
        <w:t>systems, pathogenic processes</w:t>
      </w:r>
      <w:r w:rsidR="00BB5ABE">
        <w:rPr>
          <w:rFonts w:ascii="Times New Roman" w:hAnsi="Times New Roman" w:cs="Times New Roman"/>
          <w:sz w:val="20"/>
        </w:rPr>
        <w:t xml:space="preserve"> and</w:t>
      </w:r>
      <w:r w:rsidR="00670FF2">
        <w:rPr>
          <w:rFonts w:ascii="Times New Roman" w:hAnsi="Times New Roman" w:cs="Times New Roman"/>
          <w:sz w:val="20"/>
        </w:rPr>
        <w:t xml:space="preserve"> pharmaceutical</w:t>
      </w:r>
      <w:r w:rsidRPr="00EE1C3F">
        <w:rPr>
          <w:rFonts w:ascii="Times New Roman" w:hAnsi="Times New Roman" w:cs="Times New Roman"/>
          <w:sz w:val="20"/>
        </w:rPr>
        <w:t xml:space="preserve"> reactions to a therapeutic </w:t>
      </w:r>
      <w:r w:rsidR="00BB5ABE" w:rsidRPr="00EE1C3F">
        <w:rPr>
          <w:rFonts w:ascii="Times New Roman" w:hAnsi="Times New Roman" w:cs="Times New Roman"/>
          <w:sz w:val="20"/>
        </w:rPr>
        <w:t>suppository</w:t>
      </w:r>
      <w:r w:rsidRPr="00EE1C3F">
        <w:rPr>
          <w:rFonts w:ascii="Times New Roman" w:hAnsi="Times New Roman" w:cs="Times New Roman"/>
          <w:sz w:val="20"/>
        </w:rPr>
        <w:t xml:space="preserve">. Biomarkers are methods </w:t>
      </w:r>
      <w:r w:rsidR="006E76B7">
        <w:rPr>
          <w:rFonts w:ascii="Times New Roman" w:hAnsi="Times New Roman" w:cs="Times New Roman"/>
          <w:sz w:val="20"/>
        </w:rPr>
        <w:t xml:space="preserve">and tools </w:t>
      </w:r>
      <w:r w:rsidRPr="00EE1C3F">
        <w:rPr>
          <w:rFonts w:ascii="Times New Roman" w:hAnsi="Times New Roman" w:cs="Times New Roman"/>
          <w:sz w:val="20"/>
        </w:rPr>
        <w:t xml:space="preserve">that can </w:t>
      </w:r>
      <w:r w:rsidR="0079276E">
        <w:rPr>
          <w:rFonts w:ascii="Times New Roman" w:hAnsi="Times New Roman" w:cs="Times New Roman"/>
          <w:sz w:val="20"/>
        </w:rPr>
        <w:t>assist</w:t>
      </w:r>
      <w:r w:rsidRPr="00EE1C3F">
        <w:rPr>
          <w:rFonts w:ascii="Times New Roman" w:hAnsi="Times New Roman" w:cs="Times New Roman"/>
          <w:sz w:val="20"/>
        </w:rPr>
        <w:t xml:space="preserve"> in sickness prognosis, causation, diagnosis, advancement, retraction, or treatment result in </w:t>
      </w:r>
      <w:r w:rsidR="00976A68" w:rsidRPr="00EE1C3F">
        <w:rPr>
          <w:rFonts w:ascii="Times New Roman" w:hAnsi="Times New Roman" w:cs="Times New Roman"/>
          <w:sz w:val="20"/>
        </w:rPr>
        <w:t xml:space="preserve">the </w:t>
      </w:r>
      <w:r w:rsidRPr="00EE1C3F">
        <w:rPr>
          <w:rFonts w:ascii="Times New Roman" w:hAnsi="Times New Roman" w:cs="Times New Roman"/>
          <w:sz w:val="20"/>
        </w:rPr>
        <w:t xml:space="preserve">application </w:t>
      </w:r>
      <w:r w:rsidR="00926CF8" w:rsidRPr="00EE1C3F">
        <w:rPr>
          <w:rFonts w:ascii="Times New Roman" w:hAnsi="Times New Roman" w:cs="Times New Roman"/>
          <w:sz w:val="20"/>
        </w:rPr>
        <w:t>[</w:t>
      </w:r>
      <w:r w:rsidR="00426537" w:rsidRPr="00EE1C3F">
        <w:rPr>
          <w:rFonts w:ascii="Times New Roman" w:hAnsi="Times New Roman" w:cs="Times New Roman"/>
          <w:sz w:val="20"/>
        </w:rPr>
        <w:t>2</w:t>
      </w:r>
      <w:r w:rsidR="00926CF8" w:rsidRPr="00EE1C3F">
        <w:rPr>
          <w:rFonts w:ascii="Times New Roman" w:hAnsi="Times New Roman" w:cs="Times New Roman"/>
          <w:sz w:val="20"/>
        </w:rPr>
        <w:t>]</w:t>
      </w:r>
      <w:r w:rsidR="00DC5D8C" w:rsidRPr="00EE1C3F">
        <w:rPr>
          <w:rFonts w:ascii="Times New Roman" w:hAnsi="Times New Roman" w:cs="Times New Roman"/>
          <w:sz w:val="20"/>
        </w:rPr>
        <w:t xml:space="preserve">. </w:t>
      </w:r>
      <w:r w:rsidR="0078561B">
        <w:rPr>
          <w:rFonts w:ascii="Times New Roman" w:hAnsi="Times New Roman" w:cs="Times New Roman"/>
          <w:sz w:val="20"/>
        </w:rPr>
        <w:t>Many different biomarkers are</w:t>
      </w:r>
      <w:r w:rsidR="003E33E4" w:rsidRPr="00EE1C3F">
        <w:rPr>
          <w:rFonts w:ascii="Times New Roman" w:hAnsi="Times New Roman" w:cs="Times New Roman"/>
          <w:sz w:val="20"/>
        </w:rPr>
        <w:t xml:space="preserve"> accessible for acquiring information on the </w:t>
      </w:r>
      <w:r w:rsidR="00D80516" w:rsidRPr="00EE1C3F">
        <w:rPr>
          <w:rFonts w:ascii="Times New Roman" w:hAnsi="Times New Roman" w:cs="Times New Roman"/>
          <w:sz w:val="20"/>
        </w:rPr>
        <w:t>living</w:t>
      </w:r>
      <w:r w:rsidR="003E33E4" w:rsidRPr="00EE1C3F">
        <w:rPr>
          <w:rFonts w:ascii="Times New Roman" w:hAnsi="Times New Roman" w:cs="Times New Roman"/>
          <w:sz w:val="20"/>
        </w:rPr>
        <w:t xml:space="preserve"> systems of diverse animals, both healthy and ill. Measures </w:t>
      </w:r>
      <w:r w:rsidR="007505F5" w:rsidRPr="00EE1C3F">
        <w:rPr>
          <w:rFonts w:ascii="Times New Roman" w:hAnsi="Times New Roman" w:cs="Times New Roman"/>
          <w:sz w:val="20"/>
        </w:rPr>
        <w:t>done</w:t>
      </w:r>
      <w:r w:rsidR="003E33E4" w:rsidRPr="00EE1C3F">
        <w:rPr>
          <w:rFonts w:ascii="Times New Roman" w:hAnsi="Times New Roman" w:cs="Times New Roman"/>
          <w:sz w:val="20"/>
        </w:rPr>
        <w:t xml:space="preserve"> </w:t>
      </w:r>
      <w:r w:rsidR="006E76B7" w:rsidRPr="00EE1C3F">
        <w:rPr>
          <w:rFonts w:ascii="Times New Roman" w:hAnsi="Times New Roman" w:cs="Times New Roman"/>
          <w:sz w:val="20"/>
        </w:rPr>
        <w:t>straight</w:t>
      </w:r>
      <w:r w:rsidR="003E33E4" w:rsidRPr="00EE1C3F">
        <w:rPr>
          <w:rFonts w:ascii="Times New Roman" w:hAnsi="Times New Roman" w:cs="Times New Roman"/>
          <w:sz w:val="20"/>
        </w:rPr>
        <w:t xml:space="preserve"> on natural</w:t>
      </w:r>
      <w:r w:rsidR="003C464F">
        <w:rPr>
          <w:rFonts w:ascii="Times New Roman" w:hAnsi="Times New Roman" w:cs="Times New Roman"/>
          <w:sz w:val="20"/>
        </w:rPr>
        <w:t xml:space="preserve"> fluids </w:t>
      </w:r>
      <w:r w:rsidR="003E33E4" w:rsidRPr="00EE1C3F">
        <w:rPr>
          <w:rFonts w:ascii="Times New Roman" w:hAnsi="Times New Roman" w:cs="Times New Roman"/>
          <w:sz w:val="20"/>
        </w:rPr>
        <w:t xml:space="preserve">e.g., blood or cerebrospinal fluid or measurements like brain </w:t>
      </w:r>
      <w:r w:rsidR="00C45400" w:rsidRPr="00EE1C3F">
        <w:rPr>
          <w:rFonts w:ascii="Times New Roman" w:hAnsi="Times New Roman" w:cs="Times New Roman"/>
          <w:sz w:val="20"/>
        </w:rPr>
        <w:t>tomography</w:t>
      </w:r>
      <w:r w:rsidR="00D80516" w:rsidRPr="00EE1C3F">
        <w:rPr>
          <w:rFonts w:ascii="Times New Roman" w:hAnsi="Times New Roman" w:cs="Times New Roman"/>
          <w:sz w:val="20"/>
        </w:rPr>
        <w:t xml:space="preserve"> and genetic disease identification </w:t>
      </w:r>
      <w:r w:rsidR="003E33E4" w:rsidRPr="00EE1C3F">
        <w:rPr>
          <w:rFonts w:ascii="Times New Roman" w:hAnsi="Times New Roman" w:cs="Times New Roman"/>
          <w:sz w:val="20"/>
        </w:rPr>
        <w:t>that accept direct samples of biological</w:t>
      </w:r>
      <w:r w:rsidR="00D55465">
        <w:rPr>
          <w:rFonts w:ascii="Times New Roman" w:hAnsi="Times New Roman" w:cs="Times New Roman"/>
          <w:sz w:val="20"/>
        </w:rPr>
        <w:t xml:space="preserve"> fluid</w:t>
      </w:r>
      <w:r w:rsidR="003E33E4" w:rsidRPr="00EE1C3F">
        <w:rPr>
          <w:rFonts w:ascii="Times New Roman" w:hAnsi="Times New Roman" w:cs="Times New Roman"/>
          <w:sz w:val="20"/>
        </w:rPr>
        <w:t xml:space="preserve"> but monitor changes in the </w:t>
      </w:r>
      <w:r w:rsidR="00D55465" w:rsidRPr="00EE1C3F">
        <w:rPr>
          <w:rFonts w:ascii="Times New Roman" w:hAnsi="Times New Roman" w:cs="Times New Roman"/>
          <w:sz w:val="20"/>
        </w:rPr>
        <w:t>configuration</w:t>
      </w:r>
      <w:r w:rsidR="003E33E4" w:rsidRPr="00EE1C3F">
        <w:rPr>
          <w:rFonts w:ascii="Times New Roman" w:hAnsi="Times New Roman" w:cs="Times New Roman"/>
          <w:sz w:val="20"/>
        </w:rPr>
        <w:t xml:space="preserve"> or </w:t>
      </w:r>
      <w:r w:rsidR="00826840" w:rsidRPr="00EE1C3F">
        <w:rPr>
          <w:rFonts w:ascii="Times New Roman" w:hAnsi="Times New Roman" w:cs="Times New Roman"/>
          <w:sz w:val="20"/>
        </w:rPr>
        <w:t>purpose</w:t>
      </w:r>
      <w:r w:rsidR="003E33E4" w:rsidRPr="00EE1C3F">
        <w:rPr>
          <w:rFonts w:ascii="Times New Roman" w:hAnsi="Times New Roman" w:cs="Times New Roman"/>
          <w:sz w:val="20"/>
        </w:rPr>
        <w:t xml:space="preserve"> of the</w:t>
      </w:r>
      <w:r w:rsidR="00D11A3E" w:rsidRPr="00EE1C3F">
        <w:rPr>
          <w:rFonts w:ascii="Times New Roman" w:hAnsi="Times New Roman" w:cs="Times New Roman"/>
          <w:sz w:val="20"/>
        </w:rPr>
        <w:t xml:space="preserve"> living</w:t>
      </w:r>
      <w:r w:rsidR="003E33E4" w:rsidRPr="00EE1C3F">
        <w:rPr>
          <w:rFonts w:ascii="Times New Roman" w:hAnsi="Times New Roman" w:cs="Times New Roman"/>
          <w:sz w:val="20"/>
        </w:rPr>
        <w:t xml:space="preserve"> system</w:t>
      </w:r>
      <w:r w:rsidR="007135FF" w:rsidRPr="00EE1C3F">
        <w:rPr>
          <w:rFonts w:ascii="Times New Roman" w:hAnsi="Times New Roman" w:cs="Times New Roman"/>
          <w:sz w:val="20"/>
        </w:rPr>
        <w:t>s</w:t>
      </w:r>
      <w:r w:rsidR="003E33E4" w:rsidRPr="00EE1C3F">
        <w:rPr>
          <w:rFonts w:ascii="Times New Roman" w:hAnsi="Times New Roman" w:cs="Times New Roman"/>
          <w:sz w:val="20"/>
        </w:rPr>
        <w:t xml:space="preserve"> are examples of these.</w:t>
      </w:r>
      <w:r w:rsidR="00FA2588" w:rsidRPr="00EE1C3F">
        <w:rPr>
          <w:rFonts w:ascii="Times New Roman" w:hAnsi="Times New Roman" w:cs="Times New Roman"/>
          <w:sz w:val="20"/>
        </w:rPr>
        <w:t xml:space="preserve"> </w:t>
      </w:r>
      <w:r w:rsidR="00E15D54" w:rsidRPr="00EE1C3F">
        <w:rPr>
          <w:rFonts w:ascii="Times New Roman" w:hAnsi="Times New Roman" w:cs="Times New Roman"/>
          <w:sz w:val="20"/>
          <w:shd w:val="clear" w:color="auto" w:fill="FFFFFF"/>
        </w:rPr>
        <w:t>A biomarker (standing for potential biomarker) seems to be an objective measure of whatever is occurring in an organism or a cell at whichever specific moment</w:t>
      </w:r>
      <w:r w:rsidR="0078561B">
        <w:rPr>
          <w:rFonts w:ascii="Times New Roman" w:hAnsi="Times New Roman" w:cs="Times New Roman"/>
          <w:sz w:val="20"/>
          <w:shd w:val="clear" w:color="auto" w:fill="FFFFFF"/>
        </w:rPr>
        <w:t>; biomarkers</w:t>
      </w:r>
      <w:r w:rsidR="00E15D54" w:rsidRPr="00EE1C3F">
        <w:rPr>
          <w:rFonts w:ascii="Times New Roman" w:hAnsi="Times New Roman" w:cs="Times New Roman"/>
          <w:sz w:val="20"/>
          <w:shd w:val="clear" w:color="auto" w:fill="FFFFFF"/>
        </w:rPr>
        <w:t xml:space="preserve"> may function as wellness systems of early warning</w:t>
      </w:r>
      <w:r w:rsidR="0078561B">
        <w:rPr>
          <w:rFonts w:ascii="Times New Roman" w:hAnsi="Times New Roman" w:cs="Times New Roman"/>
          <w:sz w:val="20"/>
          <w:shd w:val="clear" w:color="auto" w:fill="FFFFFF"/>
        </w:rPr>
        <w:t>,</w:t>
      </w:r>
      <w:r w:rsidR="007505F5" w:rsidRPr="00EE1C3F">
        <w:rPr>
          <w:rFonts w:ascii="Times New Roman" w:hAnsi="Times New Roman" w:cs="Times New Roman"/>
          <w:sz w:val="20"/>
          <w:shd w:val="clear" w:color="auto" w:fill="FFFFFF"/>
        </w:rPr>
        <w:t xml:space="preserve"> i.e., </w:t>
      </w:r>
      <w:r w:rsidR="00191E24" w:rsidRPr="00EE1C3F">
        <w:rPr>
          <w:rStyle w:val="topic-highlight"/>
          <w:rFonts w:ascii="Times New Roman" w:hAnsi="Times New Roman" w:cs="Times New Roman"/>
          <w:sz w:val="20"/>
        </w:rPr>
        <w:t>Tomography</w:t>
      </w:r>
      <w:r w:rsidR="00976A68" w:rsidRPr="00EE1C3F">
        <w:rPr>
          <w:rStyle w:val="topic-highlight"/>
          <w:rFonts w:ascii="Times New Roman" w:hAnsi="Times New Roman" w:cs="Times New Roman"/>
          <w:sz w:val="20"/>
        </w:rPr>
        <w:t xml:space="preserve"> biomarkers (</w:t>
      </w:r>
      <w:r w:rsidR="00191E24" w:rsidRPr="00EE1C3F">
        <w:rPr>
          <w:rStyle w:val="topic-highlight"/>
          <w:rFonts w:ascii="Times New Roman" w:hAnsi="Times New Roman" w:cs="Times New Roman"/>
          <w:sz w:val="20"/>
        </w:rPr>
        <w:t>positron emission tomography</w:t>
      </w:r>
      <w:r w:rsidR="00191E24">
        <w:rPr>
          <w:rStyle w:val="topic-highlight"/>
          <w:rFonts w:ascii="Times New Roman" w:hAnsi="Times New Roman" w:cs="Times New Roman"/>
          <w:sz w:val="20"/>
        </w:rPr>
        <w:t xml:space="preserve">, </w:t>
      </w:r>
      <w:r w:rsidR="00976A68" w:rsidRPr="00EE1C3F">
        <w:rPr>
          <w:rStyle w:val="topic-highlight"/>
          <w:rFonts w:ascii="Times New Roman" w:hAnsi="Times New Roman" w:cs="Times New Roman"/>
          <w:sz w:val="20"/>
        </w:rPr>
        <w:t>computed tomography</w:t>
      </w:r>
      <w:r w:rsidR="00555CE7">
        <w:rPr>
          <w:rStyle w:val="topic-highlight"/>
          <w:rFonts w:ascii="Times New Roman" w:hAnsi="Times New Roman" w:cs="Times New Roman"/>
          <w:sz w:val="20"/>
        </w:rPr>
        <w:t>,</w:t>
      </w:r>
      <w:r w:rsidR="00976A68" w:rsidRPr="00EE1C3F">
        <w:rPr>
          <w:rStyle w:val="topic-highlight"/>
          <w:rFonts w:ascii="Times New Roman" w:hAnsi="Times New Roman" w:cs="Times New Roman"/>
          <w:sz w:val="20"/>
        </w:rPr>
        <w:t xml:space="preserve"> and electromagnetic resonance imaging) and</w:t>
      </w:r>
      <w:r w:rsidR="00555CE7">
        <w:rPr>
          <w:rStyle w:val="topic-highlight"/>
          <w:rFonts w:ascii="Times New Roman" w:hAnsi="Times New Roman" w:cs="Times New Roman"/>
          <w:sz w:val="20"/>
        </w:rPr>
        <w:t xml:space="preserve"> </w:t>
      </w:r>
      <w:r w:rsidR="00976A68" w:rsidRPr="00EE1C3F">
        <w:rPr>
          <w:rStyle w:val="topic-highlight"/>
          <w:rFonts w:ascii="Times New Roman" w:hAnsi="Times New Roman" w:cs="Times New Roman"/>
          <w:sz w:val="20"/>
        </w:rPr>
        <w:t xml:space="preserve">biomarkers can be classified based on </w:t>
      </w:r>
      <w:r w:rsidR="00555CE7" w:rsidRPr="00EE1C3F">
        <w:rPr>
          <w:rStyle w:val="topic-highlight"/>
          <w:rFonts w:ascii="Times New Roman" w:hAnsi="Times New Roman" w:cs="Times New Roman"/>
          <w:sz w:val="20"/>
        </w:rPr>
        <w:t>numerous</w:t>
      </w:r>
      <w:r w:rsidR="00976A68" w:rsidRPr="00EE1C3F">
        <w:rPr>
          <w:rStyle w:val="topic-highlight"/>
          <w:rFonts w:ascii="Times New Roman" w:hAnsi="Times New Roman" w:cs="Times New Roman"/>
          <w:sz w:val="20"/>
        </w:rPr>
        <w:t xml:space="preserve"> </w:t>
      </w:r>
      <w:r w:rsidR="00555CE7" w:rsidRPr="00EE1C3F">
        <w:rPr>
          <w:rStyle w:val="topic-highlight"/>
          <w:rFonts w:ascii="Times New Roman" w:hAnsi="Times New Roman" w:cs="Times New Roman"/>
          <w:sz w:val="20"/>
        </w:rPr>
        <w:t>constraints</w:t>
      </w:r>
      <w:r w:rsidR="00976A68" w:rsidRPr="00EE1C3F">
        <w:rPr>
          <w:rStyle w:val="topic-highlight"/>
          <w:rFonts w:ascii="Times New Roman" w:hAnsi="Times New Roman" w:cs="Times New Roman"/>
          <w:sz w:val="20"/>
        </w:rPr>
        <w:t xml:space="preserve">, </w:t>
      </w:r>
      <w:r w:rsidR="0078561B">
        <w:rPr>
          <w:rStyle w:val="topic-highlight"/>
          <w:rFonts w:ascii="Times New Roman" w:hAnsi="Times New Roman" w:cs="Times New Roman"/>
          <w:sz w:val="20"/>
        </w:rPr>
        <w:t>particular</w:t>
      </w:r>
      <w:r w:rsidR="00976A68" w:rsidRPr="00EE1C3F">
        <w:rPr>
          <w:rStyle w:val="topic-highlight"/>
          <w:rFonts w:ascii="Times New Roman" w:hAnsi="Times New Roman" w:cs="Times New Roman"/>
          <w:sz w:val="20"/>
        </w:rPr>
        <w:t xml:space="preserve"> </w:t>
      </w:r>
      <w:r w:rsidR="00555CE7" w:rsidRPr="00EE1C3F">
        <w:rPr>
          <w:rStyle w:val="topic-highlight"/>
          <w:rFonts w:ascii="Times New Roman" w:hAnsi="Times New Roman" w:cs="Times New Roman"/>
          <w:sz w:val="20"/>
        </w:rPr>
        <w:t>features</w:t>
      </w:r>
      <w:r w:rsidR="00976A68" w:rsidRPr="00EE1C3F">
        <w:rPr>
          <w:rStyle w:val="topic-highlight"/>
          <w:rFonts w:ascii="Times New Roman" w:hAnsi="Times New Roman" w:cs="Times New Roman"/>
          <w:sz w:val="20"/>
        </w:rPr>
        <w:t xml:space="preserve">. Non-Imaging biomarkers with physicochemical </w:t>
      </w:r>
      <w:r w:rsidR="0078561B">
        <w:rPr>
          <w:rStyle w:val="topic-highlight"/>
          <w:rFonts w:ascii="Times New Roman" w:hAnsi="Times New Roman" w:cs="Times New Roman"/>
          <w:sz w:val="20"/>
        </w:rPr>
        <w:t>traits</w:t>
      </w:r>
      <w:r w:rsidR="00976A68" w:rsidRPr="00EE1C3F">
        <w:rPr>
          <w:rStyle w:val="topic-highlight"/>
          <w:rFonts w:ascii="Times New Roman" w:hAnsi="Times New Roman" w:cs="Times New Roman"/>
          <w:sz w:val="20"/>
        </w:rPr>
        <w:t xml:space="preserve"> that enable these to be assessed in biological specimens are known as molecular biomarkers.</w:t>
      </w:r>
      <w:r w:rsidR="00E17E6B">
        <w:rPr>
          <w:rStyle w:val="topic-highlight"/>
          <w:rFonts w:ascii="Times New Roman" w:hAnsi="Times New Roman" w:cs="Times New Roman"/>
          <w:sz w:val="20"/>
        </w:rPr>
        <w:t xml:space="preserve">  </w:t>
      </w:r>
      <w:r w:rsidR="00F73280">
        <w:rPr>
          <w:rStyle w:val="topic-highlight"/>
          <w:rFonts w:ascii="Times New Roman" w:hAnsi="Times New Roman" w:cs="Times New Roman"/>
          <w:sz w:val="20"/>
        </w:rPr>
        <w:t>It</w:t>
      </w:r>
      <w:r w:rsidR="00E17E6B">
        <w:rPr>
          <w:rStyle w:val="topic-highlight"/>
          <w:rFonts w:ascii="Times New Roman" w:hAnsi="Times New Roman" w:cs="Times New Roman"/>
          <w:sz w:val="20"/>
        </w:rPr>
        <w:t xml:space="preserve"> includes</w:t>
      </w:r>
      <w:r w:rsidR="00976A68" w:rsidRPr="00EE1C3F">
        <w:rPr>
          <w:rStyle w:val="topic-highlight"/>
          <w:rFonts w:ascii="Times New Roman" w:hAnsi="Times New Roman" w:cs="Times New Roman"/>
          <w:sz w:val="20"/>
        </w:rPr>
        <w:t xml:space="preserve"> nucleic acid-based biomarkers such as gene </w:t>
      </w:r>
      <w:r w:rsidR="00E17E6B" w:rsidRPr="00EE1C3F">
        <w:rPr>
          <w:rStyle w:val="topic-highlight"/>
          <w:rFonts w:ascii="Times New Roman" w:hAnsi="Times New Roman" w:cs="Times New Roman"/>
          <w:sz w:val="20"/>
        </w:rPr>
        <w:t>alterations</w:t>
      </w:r>
      <w:r w:rsidR="00976A68" w:rsidRPr="00EE1C3F">
        <w:rPr>
          <w:rStyle w:val="topic-highlight"/>
          <w:rFonts w:ascii="Times New Roman" w:hAnsi="Times New Roman" w:cs="Times New Roman"/>
          <w:sz w:val="20"/>
        </w:rPr>
        <w:t xml:space="preserve"> or genetic variants and quantification transcriptomics, proteins, peptides, fatty acid metabolic products, </w:t>
      </w:r>
      <w:r w:rsidR="0078561B">
        <w:rPr>
          <w:rStyle w:val="topic-highlight"/>
          <w:rFonts w:ascii="Times New Roman" w:hAnsi="Times New Roman" w:cs="Times New Roman"/>
          <w:sz w:val="20"/>
        </w:rPr>
        <w:t>and</w:t>
      </w:r>
      <w:r w:rsidR="00976A68" w:rsidRPr="00EE1C3F">
        <w:rPr>
          <w:rStyle w:val="topic-highlight"/>
          <w:rFonts w:ascii="Times New Roman" w:hAnsi="Times New Roman" w:cs="Times New Roman"/>
          <w:sz w:val="20"/>
        </w:rPr>
        <w:t xml:space="preserve"> other organic compounds.</w:t>
      </w:r>
      <w:r w:rsidR="007D6F1D">
        <w:rPr>
          <w:rStyle w:val="topic-highlight"/>
          <w:rFonts w:ascii="Times New Roman" w:hAnsi="Times New Roman" w:cs="Times New Roman"/>
          <w:sz w:val="20"/>
        </w:rPr>
        <w:t xml:space="preserve"> </w:t>
      </w:r>
    </w:p>
    <w:p w14:paraId="5B0DA8C7" w14:textId="2334F839" w:rsidR="00EE1C3F" w:rsidRDefault="00680C01" w:rsidP="00BD0730">
      <w:pPr>
        <w:ind w:firstLine="720"/>
        <w:jc w:val="both"/>
        <w:rPr>
          <w:rFonts w:ascii="Times New Roman" w:hAnsi="Times New Roman" w:cs="Times New Roman"/>
          <w:sz w:val="20"/>
        </w:rPr>
      </w:pPr>
      <w:r w:rsidRPr="00680C01">
        <w:rPr>
          <w:rFonts w:ascii="Times New Roman" w:hAnsi="Times New Roman" w:cs="Times New Roman"/>
          <w:sz w:val="20"/>
        </w:rPr>
        <w:t xml:space="preserve">Diagnostic biomarkers, disease stage biomarkers, illness prognosis biomarkers (cancer biomarkers), and biomarkers for assessing treatment diagnosis to intervention are indeed instances of biomarkers. </w:t>
      </w:r>
      <w:r w:rsidR="00F1657C">
        <w:rPr>
          <w:rFonts w:ascii="Times New Roman" w:hAnsi="Times New Roman" w:cs="Times New Roman"/>
          <w:sz w:val="20"/>
        </w:rPr>
        <w:t>[</w:t>
      </w:r>
      <w:r w:rsidR="00F1657C" w:rsidRPr="0034251B">
        <w:rPr>
          <w:rFonts w:ascii="Times New Roman" w:hAnsi="Times New Roman" w:cs="Times New Roman"/>
          <w:b/>
          <w:bCs/>
          <w:sz w:val="20"/>
        </w:rPr>
        <w:t>Figure 1</w:t>
      </w:r>
      <w:r w:rsidR="00F1657C">
        <w:rPr>
          <w:rFonts w:ascii="Times New Roman" w:hAnsi="Times New Roman" w:cs="Times New Roman"/>
          <w:sz w:val="20"/>
        </w:rPr>
        <w:t>]</w:t>
      </w:r>
      <w:r w:rsidR="00B4449D" w:rsidRPr="00EE1C3F">
        <w:rPr>
          <w:rFonts w:ascii="Times New Roman" w:hAnsi="Times New Roman" w:cs="Times New Roman"/>
          <w:sz w:val="20"/>
        </w:rPr>
        <w:t xml:space="preserve">. </w:t>
      </w:r>
      <w:r w:rsidR="00811594" w:rsidRPr="00EE1C3F">
        <w:rPr>
          <w:rFonts w:ascii="Times New Roman" w:hAnsi="Times New Roman" w:cs="Times New Roman"/>
          <w:sz w:val="20"/>
        </w:rPr>
        <w:t xml:space="preserve">Some other kind of biomarker is the one that is utilized in selection throughout the beginning phases of pharmaceutical discovery. Potential therapeutic biomarkers, for instance, are markers of different pharmacological </w:t>
      </w:r>
      <w:r w:rsidR="0078561B">
        <w:rPr>
          <w:rFonts w:ascii="Times New Roman" w:hAnsi="Times New Roman" w:cs="Times New Roman"/>
          <w:sz w:val="20"/>
        </w:rPr>
        <w:t>responses</w:t>
      </w:r>
      <w:r w:rsidR="00811594" w:rsidRPr="00EE1C3F">
        <w:rPr>
          <w:rFonts w:ascii="Times New Roman" w:hAnsi="Times New Roman" w:cs="Times New Roman"/>
          <w:sz w:val="20"/>
        </w:rPr>
        <w:t xml:space="preserve"> and have </w:t>
      </w:r>
      <w:r w:rsidR="0078561B">
        <w:rPr>
          <w:rFonts w:ascii="Times New Roman" w:hAnsi="Times New Roman" w:cs="Times New Roman"/>
          <w:sz w:val="20"/>
        </w:rPr>
        <w:t>fundamental</w:t>
      </w:r>
      <w:r w:rsidR="00811594" w:rsidRPr="00EE1C3F">
        <w:rPr>
          <w:rFonts w:ascii="Times New Roman" w:hAnsi="Times New Roman" w:cs="Times New Roman"/>
          <w:sz w:val="20"/>
        </w:rPr>
        <w:t xml:space="preserve"> significance in treatment modification research</w:t>
      </w:r>
      <w:r w:rsidR="009428D8">
        <w:rPr>
          <w:rFonts w:ascii="Times New Roman" w:hAnsi="Times New Roman" w:cs="Times New Roman"/>
          <w:sz w:val="20"/>
        </w:rPr>
        <w:t xml:space="preserve"> </w:t>
      </w:r>
      <w:r w:rsidR="00B4449D" w:rsidRPr="00EE1C3F">
        <w:rPr>
          <w:rFonts w:ascii="Times New Roman" w:hAnsi="Times New Roman" w:cs="Times New Roman"/>
          <w:sz w:val="20"/>
        </w:rPr>
        <w:t>[</w:t>
      </w:r>
      <w:r w:rsidR="00811594" w:rsidRPr="00EE1C3F">
        <w:rPr>
          <w:rFonts w:ascii="Times New Roman" w:hAnsi="Times New Roman" w:cs="Times New Roman"/>
          <w:sz w:val="20"/>
        </w:rPr>
        <w:t>3</w:t>
      </w:r>
      <w:r w:rsidR="00B4449D" w:rsidRPr="00EE1C3F">
        <w:rPr>
          <w:rFonts w:ascii="Times New Roman" w:hAnsi="Times New Roman" w:cs="Times New Roman"/>
          <w:sz w:val="20"/>
        </w:rPr>
        <w:t>]</w:t>
      </w:r>
      <w:r w:rsidR="009428D8">
        <w:rPr>
          <w:rFonts w:ascii="Times New Roman" w:hAnsi="Times New Roman" w:cs="Times New Roman"/>
          <w:sz w:val="20"/>
        </w:rPr>
        <w:t>.</w:t>
      </w:r>
    </w:p>
    <w:p w14:paraId="5F4F8500" w14:textId="77777777" w:rsidR="00EE1C3F" w:rsidRPr="00EE1C3F" w:rsidRDefault="00EE1C3F" w:rsidP="00B4449D">
      <w:pPr>
        <w:jc w:val="both"/>
        <w:rPr>
          <w:rFonts w:ascii="Times New Roman" w:hAnsi="Times New Roman" w:cs="Times New Roman"/>
          <w:sz w:val="24"/>
          <w:szCs w:val="24"/>
        </w:rPr>
      </w:pPr>
    </w:p>
    <w:p w14:paraId="684788C5" w14:textId="34384B08" w:rsidR="00015D87" w:rsidRDefault="00015D87" w:rsidP="00643E33">
      <w:pPr>
        <w:rPr>
          <w:noProof/>
        </w:rPr>
      </w:pPr>
      <w:r>
        <w:rPr>
          <w:noProof/>
        </w:rPr>
        <w:drawing>
          <wp:anchor distT="0" distB="0" distL="114300" distR="114300" simplePos="0" relativeHeight="251688960" behindDoc="1" locked="0" layoutInCell="1" allowOverlap="1" wp14:anchorId="7265B63C" wp14:editId="4C8745C0">
            <wp:simplePos x="0" y="0"/>
            <wp:positionH relativeFrom="column">
              <wp:posOffset>927100</wp:posOffset>
            </wp:positionH>
            <wp:positionV relativeFrom="paragraph">
              <wp:posOffset>0</wp:posOffset>
            </wp:positionV>
            <wp:extent cx="3517900" cy="3110865"/>
            <wp:effectExtent l="0" t="0" r="6350" b="0"/>
            <wp:wrapTight wrapText="bothSides">
              <wp:wrapPolygon edited="0">
                <wp:start x="0" y="0"/>
                <wp:lineTo x="0" y="21428"/>
                <wp:lineTo x="21522" y="21428"/>
                <wp:lineTo x="215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1424" t="6566" r="27916" b="10882"/>
                    <a:stretch/>
                  </pic:blipFill>
                  <pic:spPr bwMode="auto">
                    <a:xfrm>
                      <a:off x="0" y="0"/>
                      <a:ext cx="3517900" cy="311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F4E8B" w14:textId="1AF7EC7E" w:rsidR="00D537E4" w:rsidRDefault="00D537E4" w:rsidP="00643E33">
      <w:pPr>
        <w:rPr>
          <w:noProof/>
        </w:rPr>
      </w:pPr>
    </w:p>
    <w:p w14:paraId="54BB3D6E" w14:textId="559C42DA" w:rsidR="00643E33" w:rsidRPr="00643E33" w:rsidRDefault="00643E33" w:rsidP="00643E33">
      <w:pPr>
        <w:rPr>
          <w:rFonts w:ascii="Times New Roman" w:hAnsi="Times New Roman" w:cs="Times New Roman"/>
          <w:sz w:val="24"/>
          <w:szCs w:val="24"/>
        </w:rPr>
      </w:pPr>
    </w:p>
    <w:p w14:paraId="174C1B53" w14:textId="77777777" w:rsidR="00643E33" w:rsidRPr="00643E33" w:rsidRDefault="00643E33" w:rsidP="00643E33">
      <w:pPr>
        <w:rPr>
          <w:rFonts w:ascii="Times New Roman" w:hAnsi="Times New Roman" w:cs="Times New Roman"/>
          <w:sz w:val="24"/>
          <w:szCs w:val="24"/>
        </w:rPr>
      </w:pPr>
    </w:p>
    <w:p w14:paraId="52254E40" w14:textId="77777777" w:rsidR="00643E33" w:rsidRPr="00643E33" w:rsidRDefault="00643E33" w:rsidP="00643E33">
      <w:pPr>
        <w:rPr>
          <w:rFonts w:ascii="Times New Roman" w:hAnsi="Times New Roman" w:cs="Times New Roman"/>
          <w:sz w:val="24"/>
          <w:szCs w:val="24"/>
        </w:rPr>
      </w:pPr>
    </w:p>
    <w:p w14:paraId="6024A8F8" w14:textId="77777777" w:rsidR="005E3E5C" w:rsidRDefault="005E3E5C" w:rsidP="009829A3">
      <w:pPr>
        <w:jc w:val="center"/>
        <w:rPr>
          <w:rFonts w:ascii="Times New Roman" w:hAnsi="Times New Roman" w:cs="Times New Roman"/>
          <w:b/>
          <w:bCs/>
          <w:sz w:val="20"/>
        </w:rPr>
      </w:pPr>
    </w:p>
    <w:p w14:paraId="03BB763E" w14:textId="77777777" w:rsidR="00D537E4" w:rsidRDefault="00D537E4" w:rsidP="009829A3">
      <w:pPr>
        <w:jc w:val="center"/>
        <w:rPr>
          <w:rFonts w:ascii="Times New Roman" w:hAnsi="Times New Roman" w:cs="Times New Roman"/>
          <w:b/>
          <w:bCs/>
          <w:sz w:val="20"/>
        </w:rPr>
      </w:pPr>
    </w:p>
    <w:p w14:paraId="11657331" w14:textId="77777777" w:rsidR="00D537E4" w:rsidRDefault="00D537E4" w:rsidP="009829A3">
      <w:pPr>
        <w:jc w:val="center"/>
        <w:rPr>
          <w:rFonts w:ascii="Times New Roman" w:hAnsi="Times New Roman" w:cs="Times New Roman"/>
          <w:b/>
          <w:bCs/>
          <w:sz w:val="20"/>
        </w:rPr>
      </w:pPr>
    </w:p>
    <w:p w14:paraId="44DDB2FE" w14:textId="77777777" w:rsidR="00D537E4" w:rsidRDefault="00D537E4" w:rsidP="009829A3">
      <w:pPr>
        <w:jc w:val="center"/>
        <w:rPr>
          <w:rFonts w:ascii="Times New Roman" w:hAnsi="Times New Roman" w:cs="Times New Roman"/>
          <w:b/>
          <w:bCs/>
          <w:sz w:val="20"/>
        </w:rPr>
      </w:pPr>
    </w:p>
    <w:p w14:paraId="18FD603E" w14:textId="77777777" w:rsidR="00D537E4" w:rsidRDefault="00D537E4" w:rsidP="009829A3">
      <w:pPr>
        <w:jc w:val="center"/>
        <w:rPr>
          <w:rFonts w:ascii="Times New Roman" w:hAnsi="Times New Roman" w:cs="Times New Roman"/>
          <w:b/>
          <w:bCs/>
          <w:sz w:val="20"/>
        </w:rPr>
      </w:pPr>
    </w:p>
    <w:p w14:paraId="06C79E12" w14:textId="77777777" w:rsidR="00D537E4" w:rsidRDefault="00D537E4" w:rsidP="009829A3">
      <w:pPr>
        <w:jc w:val="center"/>
        <w:rPr>
          <w:rFonts w:ascii="Times New Roman" w:hAnsi="Times New Roman" w:cs="Times New Roman"/>
          <w:b/>
          <w:bCs/>
          <w:sz w:val="20"/>
        </w:rPr>
      </w:pPr>
    </w:p>
    <w:p w14:paraId="69163A7A" w14:textId="77777777" w:rsidR="00D537E4" w:rsidRDefault="00D537E4" w:rsidP="00015D87">
      <w:pPr>
        <w:rPr>
          <w:rFonts w:ascii="Times New Roman" w:hAnsi="Times New Roman" w:cs="Times New Roman"/>
          <w:b/>
          <w:bCs/>
          <w:sz w:val="20"/>
        </w:rPr>
      </w:pPr>
    </w:p>
    <w:p w14:paraId="0714B9A6" w14:textId="159DC70E" w:rsidR="0097457E" w:rsidRDefault="009457B3" w:rsidP="009457B3">
      <w:pPr>
        <w:jc w:val="center"/>
        <w:rPr>
          <w:rFonts w:ascii="Times New Roman" w:hAnsi="Times New Roman" w:cs="Times New Roman"/>
          <w:b/>
          <w:bCs/>
          <w:sz w:val="20"/>
        </w:rPr>
      </w:pPr>
      <w:r>
        <w:rPr>
          <w:rFonts w:ascii="Times New Roman" w:hAnsi="Times New Roman" w:cs="Times New Roman"/>
          <w:b/>
          <w:bCs/>
          <w:sz w:val="20"/>
        </w:rPr>
        <w:t>F</w:t>
      </w:r>
      <w:r w:rsidR="00DD6B64" w:rsidRPr="009829A3">
        <w:rPr>
          <w:rFonts w:ascii="Times New Roman" w:hAnsi="Times New Roman" w:cs="Times New Roman"/>
          <w:b/>
          <w:bCs/>
          <w:sz w:val="20"/>
        </w:rPr>
        <w:t>igure</w:t>
      </w:r>
      <w:r w:rsidR="009829A3" w:rsidRPr="009829A3">
        <w:rPr>
          <w:rFonts w:ascii="Times New Roman" w:hAnsi="Times New Roman" w:cs="Times New Roman"/>
          <w:b/>
          <w:bCs/>
          <w:sz w:val="20"/>
        </w:rPr>
        <w:t>-1</w:t>
      </w:r>
      <w:r w:rsidR="00DD6B64" w:rsidRPr="009829A3">
        <w:rPr>
          <w:rFonts w:ascii="Times New Roman" w:hAnsi="Times New Roman" w:cs="Times New Roman"/>
          <w:b/>
          <w:bCs/>
          <w:sz w:val="20"/>
        </w:rPr>
        <w:t xml:space="preserve">: </w:t>
      </w:r>
      <w:r w:rsidR="00DD6B64" w:rsidRPr="00BD121A">
        <w:rPr>
          <w:rFonts w:ascii="Times New Roman" w:hAnsi="Times New Roman" w:cs="Times New Roman"/>
          <w:sz w:val="20"/>
        </w:rPr>
        <w:t>Classification of Biomarkers</w:t>
      </w:r>
    </w:p>
    <w:p w14:paraId="4EF0D23C" w14:textId="77777777" w:rsidR="005E3E5C" w:rsidRPr="009829A3" w:rsidRDefault="005E3E5C" w:rsidP="009829A3">
      <w:pPr>
        <w:jc w:val="center"/>
        <w:rPr>
          <w:rFonts w:ascii="Times New Roman" w:hAnsi="Times New Roman" w:cs="Times New Roman"/>
          <w:b/>
          <w:bCs/>
          <w:sz w:val="20"/>
        </w:rPr>
      </w:pPr>
    </w:p>
    <w:p w14:paraId="12BE46F2" w14:textId="3D75C4A6" w:rsidR="00292F1D" w:rsidRPr="00292F1D" w:rsidRDefault="0097457E" w:rsidP="008D5F3E">
      <w:pPr>
        <w:pStyle w:val="ListParagraph"/>
        <w:numPr>
          <w:ilvl w:val="0"/>
          <w:numId w:val="4"/>
        </w:numPr>
        <w:jc w:val="both"/>
        <w:rPr>
          <w:rFonts w:ascii="Times New Roman" w:hAnsi="Times New Roman" w:cs="Times New Roman"/>
          <w:sz w:val="20"/>
        </w:rPr>
      </w:pPr>
      <w:r w:rsidRPr="00292F1D">
        <w:rPr>
          <w:rFonts w:ascii="Times New Roman" w:hAnsi="Times New Roman" w:cs="Times New Roman"/>
          <w:b/>
          <w:bCs/>
          <w:sz w:val="20"/>
        </w:rPr>
        <w:t>Diagnostic Biomarker</w:t>
      </w:r>
      <w:r w:rsidR="0079276E">
        <w:rPr>
          <w:rFonts w:ascii="Times New Roman" w:hAnsi="Times New Roman" w:cs="Times New Roman"/>
          <w:b/>
          <w:bCs/>
          <w:sz w:val="20"/>
        </w:rPr>
        <w:t>s</w:t>
      </w:r>
      <w:r w:rsidRPr="00292F1D">
        <w:rPr>
          <w:rFonts w:ascii="Times New Roman" w:hAnsi="Times New Roman" w:cs="Times New Roman"/>
          <w:b/>
          <w:bCs/>
          <w:sz w:val="20"/>
        </w:rPr>
        <w:t>:</w:t>
      </w:r>
      <w:r w:rsidRPr="00292F1D">
        <w:rPr>
          <w:rFonts w:ascii="Times New Roman" w:hAnsi="Times New Roman" w:cs="Times New Roman"/>
          <w:sz w:val="20"/>
        </w:rPr>
        <w:t xml:space="preserve"> </w:t>
      </w:r>
    </w:p>
    <w:p w14:paraId="017717FA" w14:textId="250235D6" w:rsidR="00732F2C" w:rsidRDefault="00732F2C" w:rsidP="00292F1D">
      <w:pPr>
        <w:ind w:firstLine="720"/>
        <w:jc w:val="both"/>
        <w:rPr>
          <w:rFonts w:ascii="Times New Roman" w:hAnsi="Times New Roman" w:cs="Times New Roman"/>
          <w:sz w:val="20"/>
        </w:rPr>
      </w:pPr>
      <w:r w:rsidRPr="00732F2C">
        <w:rPr>
          <w:rFonts w:ascii="Times New Roman" w:hAnsi="Times New Roman" w:cs="Times New Roman"/>
          <w:sz w:val="20"/>
        </w:rPr>
        <w:t xml:space="preserve">A class of biomarkers </w:t>
      </w:r>
      <w:r w:rsidR="00A842E8">
        <w:rPr>
          <w:rFonts w:ascii="Times New Roman" w:hAnsi="Times New Roman" w:cs="Times New Roman"/>
          <w:sz w:val="20"/>
        </w:rPr>
        <w:t xml:space="preserve">is </w:t>
      </w:r>
      <w:r w:rsidRPr="00732F2C">
        <w:rPr>
          <w:rFonts w:ascii="Times New Roman" w:hAnsi="Times New Roman" w:cs="Times New Roman"/>
          <w:sz w:val="20"/>
        </w:rPr>
        <w:t xml:space="preserve">used to diagnose or </w:t>
      </w:r>
      <w:r w:rsidR="0079276E" w:rsidRPr="00732F2C">
        <w:rPr>
          <w:rFonts w:ascii="Times New Roman" w:hAnsi="Times New Roman" w:cs="Times New Roman"/>
          <w:sz w:val="20"/>
        </w:rPr>
        <w:t>authorize</w:t>
      </w:r>
      <w:r w:rsidRPr="00732F2C">
        <w:rPr>
          <w:rFonts w:ascii="Times New Roman" w:hAnsi="Times New Roman" w:cs="Times New Roman"/>
          <w:sz w:val="20"/>
        </w:rPr>
        <w:t xml:space="preserve"> the existence of an illness or disease. This kind of biomarker can be employed to differentiate among disease subgroups. The development of personalized medicine emphasizes the notion </w:t>
      </w:r>
      <w:r w:rsidR="0078561B" w:rsidRPr="0078561B">
        <w:rPr>
          <w:rFonts w:ascii="Times New Roman" w:hAnsi="Times New Roman" w:cs="Times New Roman"/>
          <w:sz w:val="20"/>
        </w:rPr>
        <w:t xml:space="preserve">that diagnostic biomarkers </w:t>
      </w:r>
      <w:r w:rsidR="00CB3F8B">
        <w:rPr>
          <w:rFonts w:ascii="Times New Roman" w:hAnsi="Times New Roman" w:cs="Times New Roman"/>
          <w:sz w:val="20"/>
        </w:rPr>
        <w:t>are</w:t>
      </w:r>
      <w:r w:rsidR="0078561B" w:rsidRPr="0078561B">
        <w:rPr>
          <w:rFonts w:ascii="Times New Roman" w:hAnsi="Times New Roman" w:cs="Times New Roman"/>
          <w:sz w:val="20"/>
        </w:rPr>
        <w:t xml:space="preserve"> helpful for identifying patients with diseases and</w:t>
      </w:r>
      <w:r w:rsidRPr="00732F2C">
        <w:rPr>
          <w:rFonts w:ascii="Times New Roman" w:hAnsi="Times New Roman" w:cs="Times New Roman"/>
          <w:sz w:val="20"/>
        </w:rPr>
        <w:t xml:space="preserve"> reclassifying them. This is critical since many </w:t>
      </w:r>
      <w:r w:rsidR="0078561B">
        <w:rPr>
          <w:rFonts w:ascii="Times New Roman" w:hAnsi="Times New Roman" w:cs="Times New Roman"/>
          <w:sz w:val="20"/>
        </w:rPr>
        <w:t>illnesses</w:t>
      </w:r>
      <w:r w:rsidRPr="00732F2C">
        <w:rPr>
          <w:rFonts w:ascii="Times New Roman" w:hAnsi="Times New Roman" w:cs="Times New Roman"/>
          <w:sz w:val="20"/>
        </w:rPr>
        <w:t xml:space="preserve"> have subcategories having variable prognostications or therapeutic outcomes. Therefore, diagnostics </w:t>
      </w:r>
      <w:r w:rsidR="00FA1BB2">
        <w:rPr>
          <w:rFonts w:ascii="Times New Roman" w:hAnsi="Times New Roman" w:cs="Times New Roman"/>
          <w:sz w:val="20"/>
        </w:rPr>
        <w:t>biomarkers</w:t>
      </w:r>
      <w:r w:rsidRPr="00732F2C">
        <w:rPr>
          <w:rFonts w:ascii="Times New Roman" w:hAnsi="Times New Roman" w:cs="Times New Roman"/>
          <w:sz w:val="20"/>
        </w:rPr>
        <w:t xml:space="preserve"> might assist </w:t>
      </w:r>
      <w:r w:rsidR="00674C63">
        <w:rPr>
          <w:rFonts w:ascii="Times New Roman" w:hAnsi="Times New Roman" w:cs="Times New Roman"/>
          <w:sz w:val="20"/>
        </w:rPr>
        <w:t>in</w:t>
      </w:r>
      <w:r w:rsidRPr="00732F2C">
        <w:rPr>
          <w:rFonts w:ascii="Times New Roman" w:hAnsi="Times New Roman" w:cs="Times New Roman"/>
          <w:sz w:val="20"/>
        </w:rPr>
        <w:t xml:space="preserve"> </w:t>
      </w:r>
      <w:r w:rsidR="00FB60DF">
        <w:rPr>
          <w:rFonts w:ascii="Times New Roman" w:hAnsi="Times New Roman" w:cs="Times New Roman"/>
          <w:sz w:val="20"/>
        </w:rPr>
        <w:t xml:space="preserve">the </w:t>
      </w:r>
      <w:r w:rsidRPr="00732F2C">
        <w:rPr>
          <w:rFonts w:ascii="Times New Roman" w:hAnsi="Times New Roman" w:cs="Times New Roman"/>
          <w:sz w:val="20"/>
        </w:rPr>
        <w:t xml:space="preserve">progression of precision medicine by improving the effectiveness </w:t>
      </w:r>
      <w:r w:rsidR="00FA1BB2">
        <w:rPr>
          <w:rFonts w:ascii="Times New Roman" w:hAnsi="Times New Roman" w:cs="Times New Roman"/>
          <w:sz w:val="20"/>
        </w:rPr>
        <w:t>of</w:t>
      </w:r>
      <w:r w:rsidRPr="00732F2C">
        <w:rPr>
          <w:rFonts w:ascii="Times New Roman" w:hAnsi="Times New Roman" w:cs="Times New Roman"/>
          <w:sz w:val="20"/>
        </w:rPr>
        <w:t xml:space="preserve"> therapy reactions. These biomarkers may be </w:t>
      </w:r>
      <w:r w:rsidR="00CB3F8B">
        <w:rPr>
          <w:rFonts w:ascii="Times New Roman" w:hAnsi="Times New Roman" w:cs="Times New Roman"/>
          <w:sz w:val="20"/>
        </w:rPr>
        <w:t>helpful to</w:t>
      </w:r>
      <w:r w:rsidRPr="00732F2C">
        <w:rPr>
          <w:rFonts w:ascii="Times New Roman" w:hAnsi="Times New Roman" w:cs="Times New Roman"/>
          <w:sz w:val="20"/>
        </w:rPr>
        <w:t xml:space="preserve"> as prognostic biomarkers or predictors of treatment outcome biomarkers </w:t>
      </w:r>
      <w:r w:rsidR="00FA1BB2">
        <w:rPr>
          <w:rFonts w:ascii="Times New Roman" w:hAnsi="Times New Roman" w:cs="Times New Roman"/>
          <w:sz w:val="20"/>
        </w:rPr>
        <w:t>[</w:t>
      </w:r>
      <w:r>
        <w:rPr>
          <w:rFonts w:ascii="Times New Roman" w:hAnsi="Times New Roman" w:cs="Times New Roman"/>
          <w:sz w:val="20"/>
        </w:rPr>
        <w:t>4</w:t>
      </w:r>
      <w:r w:rsidR="00FA1BB2">
        <w:rPr>
          <w:rFonts w:ascii="Times New Roman" w:hAnsi="Times New Roman" w:cs="Times New Roman"/>
          <w:sz w:val="20"/>
        </w:rPr>
        <w:t>]</w:t>
      </w:r>
      <w:r w:rsidRPr="00732F2C">
        <w:rPr>
          <w:rFonts w:ascii="Times New Roman" w:hAnsi="Times New Roman" w:cs="Times New Roman"/>
          <w:sz w:val="20"/>
        </w:rPr>
        <w:t>.</w:t>
      </w:r>
      <w:r w:rsidR="00FB60DF" w:rsidRPr="00FB60DF">
        <w:t xml:space="preserve"> </w:t>
      </w:r>
      <w:r w:rsidR="00FB60DF" w:rsidRPr="00FB60DF">
        <w:rPr>
          <w:rFonts w:ascii="Times New Roman" w:hAnsi="Times New Roman" w:cs="Times New Roman"/>
          <w:sz w:val="20"/>
        </w:rPr>
        <w:t xml:space="preserve">This clinical relevance of biological technologies for </w:t>
      </w:r>
      <w:r w:rsidR="00424831">
        <w:rPr>
          <w:rFonts w:ascii="Times New Roman" w:hAnsi="Times New Roman" w:cs="Times New Roman"/>
          <w:sz w:val="20"/>
        </w:rPr>
        <w:t>biomolecules</w:t>
      </w:r>
      <w:r w:rsidR="00FB60DF" w:rsidRPr="00FB60DF">
        <w:rPr>
          <w:rFonts w:ascii="Times New Roman" w:hAnsi="Times New Roman" w:cs="Times New Roman"/>
          <w:sz w:val="20"/>
        </w:rPr>
        <w:t xml:space="preserve"> research </w:t>
      </w:r>
      <w:r w:rsidR="0078561B">
        <w:rPr>
          <w:rFonts w:ascii="Times New Roman" w:hAnsi="Times New Roman" w:cs="Times New Roman"/>
          <w:sz w:val="20"/>
        </w:rPr>
        <w:t>to</w:t>
      </w:r>
      <w:r w:rsidR="00FB60DF" w:rsidRPr="00FB60DF">
        <w:rPr>
          <w:rFonts w:ascii="Times New Roman" w:hAnsi="Times New Roman" w:cs="Times New Roman"/>
          <w:sz w:val="20"/>
        </w:rPr>
        <w:t xml:space="preserve"> clarify, detect, and </w:t>
      </w:r>
      <w:r w:rsidR="00FB60DF">
        <w:rPr>
          <w:rFonts w:ascii="Times New Roman" w:hAnsi="Times New Roman" w:cs="Times New Roman"/>
          <w:sz w:val="20"/>
        </w:rPr>
        <w:t>monitor</w:t>
      </w:r>
      <w:r w:rsidR="00FB60DF" w:rsidRPr="00FB60DF">
        <w:rPr>
          <w:rFonts w:ascii="Times New Roman" w:hAnsi="Times New Roman" w:cs="Times New Roman"/>
          <w:sz w:val="20"/>
        </w:rPr>
        <w:t xml:space="preserve"> </w:t>
      </w:r>
      <w:r w:rsidR="0079276E">
        <w:rPr>
          <w:rFonts w:ascii="Times New Roman" w:hAnsi="Times New Roman" w:cs="Times New Roman"/>
          <w:sz w:val="20"/>
        </w:rPr>
        <w:t>humanoid</w:t>
      </w:r>
      <w:r w:rsidR="00FB60DF" w:rsidRPr="00FB60DF">
        <w:rPr>
          <w:rFonts w:ascii="Times New Roman" w:hAnsi="Times New Roman" w:cs="Times New Roman"/>
          <w:sz w:val="20"/>
        </w:rPr>
        <w:t xml:space="preserve"> </w:t>
      </w:r>
      <w:r w:rsidR="0079276E" w:rsidRPr="00FB60DF">
        <w:rPr>
          <w:rFonts w:ascii="Times New Roman" w:hAnsi="Times New Roman" w:cs="Times New Roman"/>
          <w:sz w:val="20"/>
        </w:rPr>
        <w:t>sicknesses</w:t>
      </w:r>
      <w:r w:rsidR="00FB60DF" w:rsidRPr="00FB60DF">
        <w:rPr>
          <w:rFonts w:ascii="Times New Roman" w:hAnsi="Times New Roman" w:cs="Times New Roman"/>
          <w:sz w:val="20"/>
        </w:rPr>
        <w:t xml:space="preserve"> is called </w:t>
      </w:r>
      <w:r w:rsidR="00424831">
        <w:rPr>
          <w:rFonts w:ascii="Times New Roman" w:hAnsi="Times New Roman" w:cs="Times New Roman"/>
          <w:sz w:val="20"/>
        </w:rPr>
        <w:t xml:space="preserve">a </w:t>
      </w:r>
      <w:r w:rsidR="00FB60DF" w:rsidRPr="00FB60DF">
        <w:rPr>
          <w:rFonts w:ascii="Times New Roman" w:hAnsi="Times New Roman" w:cs="Times New Roman"/>
          <w:sz w:val="20"/>
        </w:rPr>
        <w:t xml:space="preserve">molecular diagnosis. It's a broad term </w:t>
      </w:r>
      <w:r w:rsidR="0078561B">
        <w:rPr>
          <w:rFonts w:ascii="Times New Roman" w:hAnsi="Times New Roman" w:cs="Times New Roman"/>
          <w:sz w:val="20"/>
        </w:rPr>
        <w:t>encompassing methods employing</w:t>
      </w:r>
      <w:r w:rsidR="00FB60DF" w:rsidRPr="00FB60DF">
        <w:rPr>
          <w:rFonts w:ascii="Times New Roman" w:hAnsi="Times New Roman" w:cs="Times New Roman"/>
          <w:sz w:val="20"/>
        </w:rPr>
        <w:t xml:space="preserve"> DNA, RNA, genes, or proteins as diagnostic test bases. Utilization of monoclonal antibodies (</w:t>
      </w:r>
      <w:proofErr w:type="spellStart"/>
      <w:r w:rsidR="00FB60DF" w:rsidRPr="00FB60DF">
        <w:rPr>
          <w:rFonts w:ascii="Times New Roman" w:hAnsi="Times New Roman" w:cs="Times New Roman"/>
          <w:sz w:val="20"/>
        </w:rPr>
        <w:t>MAbs</w:t>
      </w:r>
      <w:proofErr w:type="spellEnd"/>
      <w:r w:rsidR="00FB60DF" w:rsidRPr="00FB60DF">
        <w:rPr>
          <w:rFonts w:ascii="Times New Roman" w:hAnsi="Times New Roman" w:cs="Times New Roman"/>
          <w:sz w:val="20"/>
        </w:rPr>
        <w:t xml:space="preserve">) and enzyme-linked immunosorbent assays (ELISA) falls under the umbrella term "in vitro diagnostics (IVD)," which encompasses a wide range of applications not always connected to healthcare. This application of molecular diagnostics in a living organism, either human or animal, is known as "in vivo diagnostics." It involves molecular imaging, the use of particular molecules to create picture contrast, </w:t>
      </w:r>
      <w:r w:rsidR="00CB3F8B">
        <w:rPr>
          <w:rFonts w:ascii="Times New Roman" w:hAnsi="Times New Roman" w:cs="Times New Roman"/>
          <w:sz w:val="20"/>
        </w:rPr>
        <w:t>and</w:t>
      </w:r>
      <w:r w:rsidR="00FB60DF" w:rsidRPr="00FB60DF">
        <w:rPr>
          <w:rFonts w:ascii="Times New Roman" w:hAnsi="Times New Roman" w:cs="Times New Roman"/>
          <w:sz w:val="20"/>
        </w:rPr>
        <w:t xml:space="preserve"> in vivo assessment and </w:t>
      </w:r>
      <w:r w:rsidR="0079276E" w:rsidRPr="00FB60DF">
        <w:rPr>
          <w:rFonts w:ascii="Times New Roman" w:hAnsi="Times New Roman" w:cs="Times New Roman"/>
          <w:sz w:val="20"/>
        </w:rPr>
        <w:t>description</w:t>
      </w:r>
      <w:r w:rsidR="00FB60DF" w:rsidRPr="00FB60DF">
        <w:rPr>
          <w:rFonts w:ascii="Times New Roman" w:hAnsi="Times New Roman" w:cs="Times New Roman"/>
          <w:sz w:val="20"/>
        </w:rPr>
        <w:t xml:space="preserve"> of </w:t>
      </w:r>
      <w:r w:rsidR="0079276E">
        <w:rPr>
          <w:rFonts w:ascii="Times New Roman" w:hAnsi="Times New Roman" w:cs="Times New Roman"/>
          <w:sz w:val="20"/>
        </w:rPr>
        <w:t xml:space="preserve">molecular and </w:t>
      </w:r>
      <w:r w:rsidR="00FB60DF" w:rsidRPr="00FB60DF">
        <w:rPr>
          <w:rFonts w:ascii="Times New Roman" w:hAnsi="Times New Roman" w:cs="Times New Roman"/>
          <w:sz w:val="20"/>
        </w:rPr>
        <w:t>cellul</w:t>
      </w:r>
      <w:r w:rsidR="00BF6AF4">
        <w:rPr>
          <w:rFonts w:ascii="Times New Roman" w:hAnsi="Times New Roman" w:cs="Times New Roman"/>
          <w:sz w:val="20"/>
        </w:rPr>
        <w:t xml:space="preserve">ar </w:t>
      </w:r>
      <w:r w:rsidR="00FB60DF" w:rsidRPr="00FB60DF">
        <w:rPr>
          <w:rFonts w:ascii="Times New Roman" w:hAnsi="Times New Roman" w:cs="Times New Roman"/>
          <w:sz w:val="20"/>
        </w:rPr>
        <w:t xml:space="preserve">level </w:t>
      </w:r>
      <w:r w:rsidR="00BF6AF4" w:rsidRPr="00FB60DF">
        <w:rPr>
          <w:rFonts w:ascii="Times New Roman" w:hAnsi="Times New Roman" w:cs="Times New Roman"/>
          <w:sz w:val="20"/>
        </w:rPr>
        <w:t>developments</w:t>
      </w:r>
      <w:r w:rsidR="00FB60DF" w:rsidRPr="00FB60DF">
        <w:rPr>
          <w:rFonts w:ascii="Times New Roman" w:hAnsi="Times New Roman" w:cs="Times New Roman"/>
          <w:sz w:val="20"/>
        </w:rPr>
        <w:t xml:space="preserve"> in</w:t>
      </w:r>
      <w:r w:rsidR="00BF6AF4">
        <w:rPr>
          <w:rFonts w:ascii="Times New Roman" w:hAnsi="Times New Roman" w:cs="Times New Roman"/>
          <w:sz w:val="20"/>
        </w:rPr>
        <w:t xml:space="preserve"> human or</w:t>
      </w:r>
      <w:r w:rsidR="00BF2FCD">
        <w:rPr>
          <w:rFonts w:ascii="Times New Roman" w:hAnsi="Times New Roman" w:cs="Times New Roman"/>
          <w:sz w:val="20"/>
        </w:rPr>
        <w:t xml:space="preserve"> </w:t>
      </w:r>
      <w:r w:rsidR="00FB60DF" w:rsidRPr="00FB60DF">
        <w:rPr>
          <w:rFonts w:ascii="Times New Roman" w:hAnsi="Times New Roman" w:cs="Times New Roman"/>
          <w:sz w:val="20"/>
        </w:rPr>
        <w:t>animal patients</w:t>
      </w:r>
      <w:r w:rsidR="00836666">
        <w:rPr>
          <w:rFonts w:ascii="Times New Roman" w:hAnsi="Times New Roman" w:cs="Times New Roman"/>
          <w:sz w:val="20"/>
        </w:rPr>
        <w:t xml:space="preserve"> [</w:t>
      </w:r>
      <w:r w:rsidR="00926CED">
        <w:rPr>
          <w:rFonts w:ascii="Times New Roman" w:hAnsi="Times New Roman" w:cs="Times New Roman"/>
          <w:sz w:val="20"/>
        </w:rPr>
        <w:t>5</w:t>
      </w:r>
      <w:r w:rsidR="00836666">
        <w:rPr>
          <w:rFonts w:ascii="Times New Roman" w:hAnsi="Times New Roman" w:cs="Times New Roman"/>
          <w:sz w:val="20"/>
        </w:rPr>
        <w:t>].</w:t>
      </w:r>
    </w:p>
    <w:p w14:paraId="6F75289B" w14:textId="4CD67461" w:rsidR="00DB6488" w:rsidRPr="008D5F3E" w:rsidRDefault="00D87506" w:rsidP="008D5F3E">
      <w:pPr>
        <w:pStyle w:val="ListParagraph"/>
        <w:numPr>
          <w:ilvl w:val="0"/>
          <w:numId w:val="4"/>
        </w:numPr>
        <w:jc w:val="both"/>
        <w:rPr>
          <w:rFonts w:ascii="Times New Roman" w:hAnsi="Times New Roman" w:cs="Times New Roman"/>
          <w:b/>
          <w:bCs/>
          <w:sz w:val="20"/>
        </w:rPr>
      </w:pPr>
      <w:r w:rsidRPr="008D5F3E">
        <w:rPr>
          <w:rFonts w:ascii="Times New Roman" w:hAnsi="Times New Roman" w:cs="Times New Roman"/>
          <w:b/>
          <w:bCs/>
          <w:sz w:val="20"/>
        </w:rPr>
        <w:t>Monitoring Biomarkers:</w:t>
      </w:r>
    </w:p>
    <w:p w14:paraId="7E8A2851" w14:textId="00B933B4" w:rsidR="00D87506" w:rsidRPr="00DE3942" w:rsidRDefault="00837C1E" w:rsidP="00DE3942">
      <w:pPr>
        <w:pStyle w:val="halfrhythm"/>
        <w:shd w:val="clear" w:color="auto" w:fill="FFFFFF"/>
        <w:spacing w:before="166" w:beforeAutospacing="0" w:after="166" w:afterAutospacing="0"/>
        <w:ind w:firstLine="720"/>
        <w:jc w:val="both"/>
        <w:rPr>
          <w:color w:val="000000"/>
          <w:sz w:val="20"/>
          <w:szCs w:val="20"/>
        </w:rPr>
      </w:pPr>
      <w:r w:rsidRPr="0014558E">
        <w:rPr>
          <w:color w:val="000000"/>
          <w:sz w:val="20"/>
          <w:szCs w:val="20"/>
        </w:rPr>
        <w:t>A monitoring biomarker is continuously monitored over time</w:t>
      </w:r>
      <w:r w:rsidR="00CB3F8B">
        <w:rPr>
          <w:color w:val="000000"/>
          <w:sz w:val="20"/>
          <w:szCs w:val="20"/>
        </w:rPr>
        <w:t>. It can</w:t>
      </w:r>
      <w:r w:rsidRPr="0014558E">
        <w:rPr>
          <w:color w:val="000000"/>
          <w:sz w:val="20"/>
          <w:szCs w:val="20"/>
        </w:rPr>
        <w:t xml:space="preserve"> be used to identify illness advancements, such as the emergence of a new epidemic, exacerbation of already existent anomalies, or changes in symptom severity or specific malformations. Response</w:t>
      </w:r>
      <w:r w:rsidR="00865515" w:rsidRPr="0014558E">
        <w:rPr>
          <w:color w:val="000000"/>
          <w:sz w:val="20"/>
          <w:szCs w:val="20"/>
        </w:rPr>
        <w:t xml:space="preserve"> of a disease or condition to treatment, either </w:t>
      </w:r>
      <w:proofErr w:type="spellStart"/>
      <w:r w:rsidR="005D361E">
        <w:rPr>
          <w:color w:val="000000"/>
          <w:sz w:val="20"/>
          <w:szCs w:val="20"/>
        </w:rPr>
        <w:t>favorable</w:t>
      </w:r>
      <w:proofErr w:type="spellEnd"/>
      <w:r w:rsidR="00865515" w:rsidRPr="0014558E">
        <w:rPr>
          <w:color w:val="000000"/>
          <w:sz w:val="20"/>
          <w:szCs w:val="20"/>
        </w:rPr>
        <w:t xml:space="preserve"> or </w:t>
      </w:r>
      <w:proofErr w:type="spellStart"/>
      <w:r w:rsidR="005D361E">
        <w:rPr>
          <w:color w:val="000000"/>
          <w:sz w:val="20"/>
          <w:szCs w:val="20"/>
        </w:rPr>
        <w:t>unfavorable</w:t>
      </w:r>
      <w:proofErr w:type="spellEnd"/>
      <w:r w:rsidR="00865515" w:rsidRPr="0014558E">
        <w:rPr>
          <w:color w:val="000000"/>
          <w:sz w:val="20"/>
          <w:szCs w:val="20"/>
        </w:rPr>
        <w:t>.</w:t>
      </w:r>
      <w:r w:rsidR="00927AFF" w:rsidRPr="00927AFF">
        <w:t xml:space="preserve"> </w:t>
      </w:r>
      <w:r w:rsidR="00927AFF" w:rsidRPr="00927AFF">
        <w:rPr>
          <w:color w:val="000000"/>
          <w:sz w:val="20"/>
          <w:szCs w:val="20"/>
        </w:rPr>
        <w:t xml:space="preserve">These can also be used in </w:t>
      </w:r>
      <w:r w:rsidR="0078561B">
        <w:rPr>
          <w:color w:val="000000"/>
          <w:sz w:val="20"/>
          <w:szCs w:val="20"/>
        </w:rPr>
        <w:t>creating</w:t>
      </w:r>
      <w:r w:rsidR="00927AFF" w:rsidRPr="00927AFF">
        <w:rPr>
          <w:color w:val="000000"/>
          <w:sz w:val="20"/>
          <w:szCs w:val="20"/>
        </w:rPr>
        <w:t xml:space="preserve"> healthcare equipment, such as in treatment or prevention trials of new medications, biosimilars, or tools</w:t>
      </w:r>
      <w:r w:rsidR="00926CED">
        <w:rPr>
          <w:color w:val="000000"/>
          <w:sz w:val="20"/>
          <w:szCs w:val="20"/>
        </w:rPr>
        <w:t xml:space="preserve"> [6]</w:t>
      </w:r>
      <w:r w:rsidR="00927AFF" w:rsidRPr="00927AFF">
        <w:rPr>
          <w:color w:val="000000"/>
          <w:sz w:val="20"/>
          <w:szCs w:val="20"/>
        </w:rPr>
        <w:t>. Modifications in biomarker measurements observed during or after medication might indicate a pharmacological effect or an anticipatory response to therapy</w:t>
      </w:r>
      <w:r w:rsidR="00DF2655">
        <w:rPr>
          <w:color w:val="000000"/>
          <w:sz w:val="20"/>
          <w:szCs w:val="20"/>
        </w:rPr>
        <w:t>.</w:t>
      </w:r>
      <w:r w:rsidR="006B5D21" w:rsidRPr="006B5D21">
        <w:t xml:space="preserve"> </w:t>
      </w:r>
      <w:r w:rsidR="006B5D21" w:rsidRPr="006B5D21">
        <w:rPr>
          <w:color w:val="000000"/>
          <w:sz w:val="20"/>
          <w:szCs w:val="20"/>
        </w:rPr>
        <w:t xml:space="preserve">Another safe biomarker that's also measured frequently in initial development clinical studies could be a variety of </w:t>
      </w:r>
      <w:r w:rsidR="00D538F4">
        <w:rPr>
          <w:color w:val="000000"/>
          <w:sz w:val="20"/>
          <w:szCs w:val="20"/>
        </w:rPr>
        <w:t>organ</w:t>
      </w:r>
      <w:r w:rsidR="006B5D21" w:rsidRPr="006B5D21">
        <w:rPr>
          <w:color w:val="000000"/>
          <w:sz w:val="20"/>
          <w:szCs w:val="20"/>
        </w:rPr>
        <w:t xml:space="preserve"> toxic effects surveillance </w:t>
      </w:r>
      <w:r w:rsidR="005D361E">
        <w:rPr>
          <w:color w:val="000000"/>
          <w:sz w:val="20"/>
          <w:szCs w:val="20"/>
        </w:rPr>
        <w:t>biomarkers</w:t>
      </w:r>
      <w:r w:rsidR="0064556A">
        <w:rPr>
          <w:color w:val="000000"/>
          <w:sz w:val="20"/>
          <w:szCs w:val="20"/>
        </w:rPr>
        <w:t xml:space="preserve"> [7]</w:t>
      </w:r>
      <w:r w:rsidR="006B5D21" w:rsidRPr="006B5D21">
        <w:rPr>
          <w:color w:val="000000"/>
          <w:sz w:val="20"/>
          <w:szCs w:val="20"/>
        </w:rPr>
        <w:t>. Monitoring biomarkers</w:t>
      </w:r>
      <w:r w:rsidR="00D538F4">
        <w:rPr>
          <w:color w:val="000000"/>
          <w:sz w:val="20"/>
          <w:szCs w:val="20"/>
        </w:rPr>
        <w:t xml:space="preserve"> </w:t>
      </w:r>
      <w:r w:rsidR="006B5D21" w:rsidRPr="006B5D21">
        <w:rPr>
          <w:color w:val="000000"/>
          <w:sz w:val="20"/>
          <w:szCs w:val="20"/>
        </w:rPr>
        <w:t xml:space="preserve">are applied in medicinal or prevention studies to assess respondent commitment to an allocated treatment. For illustrate, as part of an interventional trial to discourage cigarette consumption, the biomarker may be a bloodstream level of a delivered medication or a serum quantity of cotinine (an indication of tobacco product usage). Measuring biomarkers, as </w:t>
      </w:r>
      <w:r w:rsidR="00DF2655" w:rsidRPr="00DF2655">
        <w:rPr>
          <w:color w:val="000000"/>
          <w:sz w:val="20"/>
          <w:szCs w:val="20"/>
        </w:rPr>
        <w:t xml:space="preserve">well as influencing clinical care, may help </w:t>
      </w:r>
      <w:r w:rsidR="006B5D21" w:rsidRPr="006B5D21">
        <w:rPr>
          <w:color w:val="000000"/>
          <w:sz w:val="20"/>
          <w:szCs w:val="20"/>
        </w:rPr>
        <w:t>enhance the comprehensibility and credibility of intervention investigations.</w:t>
      </w:r>
      <w:r w:rsidR="00563911">
        <w:rPr>
          <w:color w:val="000000"/>
          <w:sz w:val="20"/>
          <w:szCs w:val="20"/>
        </w:rPr>
        <w:t xml:space="preserve"> </w:t>
      </w:r>
      <w:r w:rsidR="00563911" w:rsidRPr="00563911">
        <w:rPr>
          <w:color w:val="000000"/>
          <w:sz w:val="20"/>
          <w:szCs w:val="20"/>
        </w:rPr>
        <w:t xml:space="preserve">Screening biomarkers can be performed </w:t>
      </w:r>
      <w:r w:rsidR="00DF2655" w:rsidRPr="00DF2655">
        <w:rPr>
          <w:color w:val="000000"/>
          <w:sz w:val="20"/>
          <w:szCs w:val="20"/>
        </w:rPr>
        <w:t>at the individual or population level to identify the prevalence of infections or medical complications and</w:t>
      </w:r>
      <w:r w:rsidR="00563911" w:rsidRPr="00563911">
        <w:rPr>
          <w:color w:val="000000"/>
          <w:sz w:val="20"/>
          <w:szCs w:val="20"/>
        </w:rPr>
        <w:t xml:space="preserve"> the likelihood of developing them. Individuals observed might not have any </w:t>
      </w:r>
      <w:r w:rsidR="00563911" w:rsidRPr="00563911">
        <w:rPr>
          <w:color w:val="000000"/>
          <w:sz w:val="20"/>
          <w:szCs w:val="20"/>
        </w:rPr>
        <w:lastRenderedPageBreak/>
        <w:t xml:space="preserve">medically apparent disorders or diseases, or they could have such a medical problem or prior exposures </w:t>
      </w:r>
      <w:r w:rsidR="00DF2655">
        <w:rPr>
          <w:color w:val="000000"/>
          <w:sz w:val="20"/>
          <w:szCs w:val="20"/>
        </w:rPr>
        <w:t>predisposing</w:t>
      </w:r>
      <w:r w:rsidR="00563911" w:rsidRPr="00563911">
        <w:rPr>
          <w:color w:val="000000"/>
          <w:sz w:val="20"/>
          <w:szCs w:val="20"/>
        </w:rPr>
        <w:t xml:space="preserve"> an individual to </w:t>
      </w:r>
      <w:r w:rsidR="00DF2655">
        <w:rPr>
          <w:color w:val="000000"/>
          <w:sz w:val="20"/>
          <w:szCs w:val="20"/>
        </w:rPr>
        <w:t>acquire</w:t>
      </w:r>
      <w:r w:rsidR="00563911" w:rsidRPr="00563911">
        <w:rPr>
          <w:color w:val="000000"/>
          <w:sz w:val="20"/>
          <w:szCs w:val="20"/>
        </w:rPr>
        <w:t xml:space="preserve"> a new ailment or illness. Healthy young adults having undergone annual check-up investigations are monitored continuously for metabolomic levels</w:t>
      </w:r>
      <w:r w:rsidR="00DF2655">
        <w:rPr>
          <w:color w:val="000000"/>
          <w:sz w:val="20"/>
          <w:szCs w:val="20"/>
        </w:rPr>
        <w:t>,</w:t>
      </w:r>
      <w:r w:rsidR="00563911" w:rsidRPr="00563911">
        <w:rPr>
          <w:color w:val="000000"/>
          <w:sz w:val="20"/>
          <w:szCs w:val="20"/>
        </w:rPr>
        <w:t xml:space="preserve"> including blood cholesterol, glucose levels, and urine creatinine</w:t>
      </w:r>
      <w:r w:rsidR="00DF2655">
        <w:rPr>
          <w:color w:val="000000"/>
          <w:sz w:val="20"/>
          <w:szCs w:val="20"/>
        </w:rPr>
        <w:t>,</w:t>
      </w:r>
      <w:r w:rsidR="00563911" w:rsidRPr="00563911">
        <w:rPr>
          <w:color w:val="000000"/>
          <w:sz w:val="20"/>
          <w:szCs w:val="20"/>
        </w:rPr>
        <w:t xml:space="preserve"> to manage risk for and detect the emergence of medical conditions such as hypercholesterolemia, </w:t>
      </w:r>
      <w:r w:rsidR="00CB3F8B">
        <w:rPr>
          <w:color w:val="000000"/>
          <w:sz w:val="20"/>
          <w:szCs w:val="20"/>
        </w:rPr>
        <w:t xml:space="preserve">and </w:t>
      </w:r>
      <w:r w:rsidR="00563911" w:rsidRPr="00563911">
        <w:rPr>
          <w:color w:val="000000"/>
          <w:sz w:val="20"/>
          <w:szCs w:val="20"/>
        </w:rPr>
        <w:t>metabolic syndrome, and diminished kidney function, including both</w:t>
      </w:r>
      <w:r w:rsidR="00926CED">
        <w:rPr>
          <w:color w:val="000000"/>
          <w:sz w:val="20"/>
          <w:szCs w:val="20"/>
        </w:rPr>
        <w:t xml:space="preserve"> [8]</w:t>
      </w:r>
      <w:r w:rsidR="00563911" w:rsidRPr="00563911">
        <w:rPr>
          <w:color w:val="000000"/>
          <w:sz w:val="20"/>
          <w:szCs w:val="20"/>
        </w:rPr>
        <w:t>.</w:t>
      </w:r>
    </w:p>
    <w:p w14:paraId="5DD4679E" w14:textId="77777777" w:rsidR="00DE3942" w:rsidRDefault="00BB46C4" w:rsidP="00DE3942">
      <w:pPr>
        <w:pStyle w:val="ListParagraph"/>
        <w:numPr>
          <w:ilvl w:val="0"/>
          <w:numId w:val="4"/>
        </w:numPr>
        <w:jc w:val="both"/>
        <w:rPr>
          <w:rFonts w:ascii="Times New Roman" w:hAnsi="Times New Roman" w:cs="Times New Roman"/>
          <w:sz w:val="20"/>
        </w:rPr>
      </w:pPr>
      <w:r w:rsidRPr="00DE3942">
        <w:rPr>
          <w:rFonts w:ascii="Times New Roman" w:hAnsi="Times New Roman" w:cs="Times New Roman"/>
          <w:b/>
          <w:bCs/>
          <w:sz w:val="20"/>
        </w:rPr>
        <w:t xml:space="preserve">Predictive </w:t>
      </w:r>
      <w:r w:rsidR="00437DD9" w:rsidRPr="00DE3942">
        <w:rPr>
          <w:rFonts w:ascii="Times New Roman" w:hAnsi="Times New Roman" w:cs="Times New Roman"/>
          <w:b/>
          <w:bCs/>
          <w:sz w:val="20"/>
        </w:rPr>
        <w:t>Biomarker:</w:t>
      </w:r>
      <w:r w:rsidR="00DB6488" w:rsidRPr="00DE3942">
        <w:rPr>
          <w:rFonts w:ascii="Times New Roman" w:hAnsi="Times New Roman" w:cs="Times New Roman"/>
          <w:sz w:val="20"/>
        </w:rPr>
        <w:t xml:space="preserve"> </w:t>
      </w:r>
    </w:p>
    <w:p w14:paraId="645799E7" w14:textId="6CFF7CB0" w:rsidR="00BB46C4" w:rsidRPr="00DE3942" w:rsidRDefault="00DB6488" w:rsidP="004755B0">
      <w:pPr>
        <w:pStyle w:val="ListParagraph"/>
        <w:ind w:left="0" w:firstLine="720"/>
        <w:jc w:val="both"/>
        <w:rPr>
          <w:rFonts w:ascii="Times New Roman" w:hAnsi="Times New Roman" w:cs="Times New Roman"/>
          <w:sz w:val="20"/>
        </w:rPr>
      </w:pPr>
      <w:r w:rsidRPr="00DE3942">
        <w:rPr>
          <w:rFonts w:ascii="Times New Roman" w:hAnsi="Times New Roman" w:cs="Times New Roman"/>
          <w:sz w:val="20"/>
        </w:rPr>
        <w:t xml:space="preserve">This </w:t>
      </w:r>
      <w:r w:rsidR="00F44C98" w:rsidRPr="00DE3942">
        <w:rPr>
          <w:rFonts w:ascii="Times New Roman" w:hAnsi="Times New Roman" w:cs="Times New Roman"/>
          <w:sz w:val="20"/>
        </w:rPr>
        <w:t>group</w:t>
      </w:r>
      <w:r w:rsidRPr="00DE3942">
        <w:rPr>
          <w:rFonts w:ascii="Times New Roman" w:hAnsi="Times New Roman" w:cs="Times New Roman"/>
          <w:sz w:val="20"/>
        </w:rPr>
        <w:t xml:space="preserve"> involves biomarkers</w:t>
      </w:r>
      <w:r w:rsidR="00F44C98">
        <w:rPr>
          <w:rFonts w:ascii="Times New Roman" w:hAnsi="Times New Roman" w:cs="Times New Roman"/>
          <w:sz w:val="20"/>
        </w:rPr>
        <w:t xml:space="preserve"> </w:t>
      </w:r>
      <w:r w:rsidRPr="00DE3942">
        <w:rPr>
          <w:rFonts w:ascii="Times New Roman" w:hAnsi="Times New Roman" w:cs="Times New Roman"/>
          <w:sz w:val="20"/>
        </w:rPr>
        <w:t xml:space="preserve">examined at </w:t>
      </w:r>
      <w:r w:rsidR="00F44C98" w:rsidRPr="00DE3942">
        <w:rPr>
          <w:rFonts w:ascii="Times New Roman" w:hAnsi="Times New Roman" w:cs="Times New Roman"/>
          <w:sz w:val="20"/>
        </w:rPr>
        <w:t>diverse</w:t>
      </w:r>
      <w:r w:rsidRPr="00DE3942">
        <w:rPr>
          <w:rFonts w:ascii="Times New Roman" w:hAnsi="Times New Roman" w:cs="Times New Roman"/>
          <w:sz w:val="20"/>
        </w:rPr>
        <w:t xml:space="preserve"> </w:t>
      </w:r>
      <w:r w:rsidR="00B9168E" w:rsidRPr="00DE3942">
        <w:rPr>
          <w:rFonts w:ascii="Times New Roman" w:hAnsi="Times New Roman" w:cs="Times New Roman"/>
          <w:sz w:val="20"/>
        </w:rPr>
        <w:t>times</w:t>
      </w:r>
      <w:r w:rsidRPr="00DE3942">
        <w:rPr>
          <w:rFonts w:ascii="Times New Roman" w:hAnsi="Times New Roman" w:cs="Times New Roman"/>
          <w:sz w:val="20"/>
        </w:rPr>
        <w:t xml:space="preserve"> to monitor </w:t>
      </w:r>
      <w:r w:rsidR="00680442">
        <w:rPr>
          <w:rFonts w:ascii="Times New Roman" w:hAnsi="Times New Roman" w:cs="Times New Roman"/>
          <w:sz w:val="20"/>
        </w:rPr>
        <w:t>towards</w:t>
      </w:r>
      <w:r w:rsidRPr="00DE3942">
        <w:rPr>
          <w:rFonts w:ascii="Times New Roman" w:hAnsi="Times New Roman" w:cs="Times New Roman"/>
          <w:sz w:val="20"/>
        </w:rPr>
        <w:t xml:space="preserve"> development of sickness or disorder, as well as an indicator of responsiveness to treatment, such as </w:t>
      </w:r>
      <w:r w:rsidR="00A842E8">
        <w:rPr>
          <w:rFonts w:ascii="Times New Roman" w:hAnsi="Times New Roman" w:cs="Times New Roman"/>
          <w:sz w:val="20"/>
        </w:rPr>
        <w:t xml:space="preserve">the </w:t>
      </w:r>
      <w:r w:rsidRPr="00DE3942">
        <w:rPr>
          <w:rFonts w:ascii="Times New Roman" w:hAnsi="Times New Roman" w:cs="Times New Roman"/>
          <w:sz w:val="20"/>
        </w:rPr>
        <w:t xml:space="preserve">administration </w:t>
      </w:r>
      <w:r w:rsidR="00A842E8">
        <w:rPr>
          <w:rFonts w:ascii="Times New Roman" w:hAnsi="Times New Roman" w:cs="Times New Roman"/>
          <w:sz w:val="20"/>
        </w:rPr>
        <w:t>of</w:t>
      </w:r>
      <w:r w:rsidRPr="00DE3942">
        <w:rPr>
          <w:rFonts w:ascii="Times New Roman" w:hAnsi="Times New Roman" w:cs="Times New Roman"/>
          <w:sz w:val="20"/>
        </w:rPr>
        <w:t xml:space="preserve"> a medicinal product or even an ecological pollutant. Biomarker reading modifications are recognized as indications of therapeutic situation progression, in addition to evaluations of pharmaceutical response and other treatment modalities </w:t>
      </w:r>
      <w:r w:rsidR="00C90075" w:rsidRPr="00DE3942">
        <w:rPr>
          <w:rFonts w:ascii="Times New Roman" w:hAnsi="Times New Roman" w:cs="Times New Roman"/>
          <w:sz w:val="20"/>
        </w:rPr>
        <w:t>[9]</w:t>
      </w:r>
      <w:r w:rsidRPr="00DE3942">
        <w:rPr>
          <w:rFonts w:ascii="Times New Roman" w:hAnsi="Times New Roman" w:cs="Times New Roman"/>
          <w:sz w:val="20"/>
        </w:rPr>
        <w:t>.</w:t>
      </w:r>
      <w:r w:rsidR="0097457E" w:rsidRPr="00DE3942">
        <w:rPr>
          <w:rFonts w:ascii="Times New Roman" w:hAnsi="Times New Roman" w:cs="Times New Roman"/>
          <w:sz w:val="20"/>
        </w:rPr>
        <w:t xml:space="preserve"> </w:t>
      </w:r>
      <w:r w:rsidR="0078037B" w:rsidRPr="00DE3942">
        <w:rPr>
          <w:rFonts w:ascii="Times New Roman" w:hAnsi="Times New Roman" w:cs="Times New Roman"/>
          <w:sz w:val="20"/>
        </w:rPr>
        <w:t>A</w:t>
      </w:r>
      <w:r w:rsidR="006577D7" w:rsidRPr="00DE3942">
        <w:rPr>
          <w:rFonts w:ascii="Times New Roman" w:hAnsi="Times New Roman" w:cs="Times New Roman"/>
          <w:sz w:val="20"/>
        </w:rPr>
        <w:t xml:space="preserve"> sample of </w:t>
      </w:r>
      <w:r w:rsidR="00DF2655">
        <w:rPr>
          <w:rFonts w:ascii="Times New Roman" w:hAnsi="Times New Roman" w:cs="Times New Roman"/>
          <w:sz w:val="20"/>
        </w:rPr>
        <w:t>predictive surveillance</w:t>
      </w:r>
      <w:r w:rsidR="006577D7" w:rsidRPr="00DE3942">
        <w:rPr>
          <w:rFonts w:ascii="Times New Roman" w:hAnsi="Times New Roman" w:cs="Times New Roman"/>
          <w:sz w:val="20"/>
        </w:rPr>
        <w:t xml:space="preserve"> </w:t>
      </w:r>
      <w:r w:rsidR="00CB3F8B">
        <w:rPr>
          <w:rFonts w:ascii="Times New Roman" w:hAnsi="Times New Roman" w:cs="Times New Roman"/>
          <w:sz w:val="20"/>
        </w:rPr>
        <w:t>biomarkers’</w:t>
      </w:r>
      <w:r w:rsidR="0078037B" w:rsidRPr="00DE3942">
        <w:rPr>
          <w:rFonts w:ascii="Times New Roman" w:hAnsi="Times New Roman" w:cs="Times New Roman"/>
          <w:sz w:val="20"/>
        </w:rPr>
        <w:t xml:space="preserve"> potentiality </w:t>
      </w:r>
      <w:r w:rsidR="003B5A5F" w:rsidRPr="00DE3942">
        <w:rPr>
          <w:rFonts w:ascii="Times New Roman" w:hAnsi="Times New Roman" w:cs="Times New Roman"/>
          <w:sz w:val="20"/>
        </w:rPr>
        <w:t xml:space="preserve">towards response to various biological treatments </w:t>
      </w:r>
      <w:r w:rsidR="00A842E8">
        <w:rPr>
          <w:rFonts w:ascii="Times New Roman" w:hAnsi="Times New Roman" w:cs="Times New Roman"/>
          <w:sz w:val="20"/>
        </w:rPr>
        <w:t xml:space="preserve">is </w:t>
      </w:r>
      <w:r w:rsidR="006577D7" w:rsidRPr="00DE3942">
        <w:rPr>
          <w:rFonts w:ascii="Times New Roman" w:hAnsi="Times New Roman" w:cs="Times New Roman"/>
          <w:sz w:val="20"/>
        </w:rPr>
        <w:t xml:space="preserve">depicted </w:t>
      </w:r>
      <w:r w:rsidR="00162716">
        <w:rPr>
          <w:rFonts w:ascii="Times New Roman" w:hAnsi="Times New Roman" w:cs="Times New Roman"/>
          <w:sz w:val="20"/>
        </w:rPr>
        <w:t>examples of Juvenile Idiopathic Arthritis</w:t>
      </w:r>
      <w:r w:rsidR="00BB098F">
        <w:rPr>
          <w:rFonts w:ascii="Times New Roman" w:hAnsi="Times New Roman" w:cs="Times New Roman"/>
          <w:sz w:val="20"/>
        </w:rPr>
        <w:t xml:space="preserve"> </w:t>
      </w:r>
      <w:r w:rsidR="00926CED">
        <w:rPr>
          <w:rFonts w:ascii="Times New Roman" w:hAnsi="Times New Roman" w:cs="Times New Roman"/>
          <w:sz w:val="20"/>
        </w:rPr>
        <w:t>[</w:t>
      </w:r>
      <w:r w:rsidR="0060671E" w:rsidRPr="0034251B">
        <w:rPr>
          <w:rFonts w:ascii="Times New Roman" w:hAnsi="Times New Roman" w:cs="Times New Roman"/>
          <w:b/>
          <w:bCs/>
          <w:sz w:val="20"/>
        </w:rPr>
        <w:t>Figure 2</w:t>
      </w:r>
      <w:r w:rsidR="00926CED">
        <w:rPr>
          <w:rFonts w:ascii="Times New Roman" w:hAnsi="Times New Roman" w:cs="Times New Roman"/>
          <w:sz w:val="20"/>
        </w:rPr>
        <w:t>]</w:t>
      </w:r>
      <w:r w:rsidR="00BB098F">
        <w:rPr>
          <w:rFonts w:ascii="Times New Roman" w:hAnsi="Times New Roman" w:cs="Times New Roman"/>
          <w:sz w:val="20"/>
        </w:rPr>
        <w:t xml:space="preserve">: </w:t>
      </w:r>
      <w:r w:rsidR="00F97E08" w:rsidRPr="00DE3942">
        <w:rPr>
          <w:rFonts w:ascii="Times New Roman" w:hAnsi="Times New Roman" w:cs="Times New Roman"/>
          <w:sz w:val="20"/>
        </w:rPr>
        <w:t>CHAQ: childhood health assessment questionnaire</w:t>
      </w:r>
      <w:r w:rsidR="004243BD" w:rsidRPr="00DE3942">
        <w:rPr>
          <w:rFonts w:ascii="Times New Roman" w:hAnsi="Times New Roman" w:cs="Times New Roman"/>
          <w:sz w:val="20"/>
        </w:rPr>
        <w:t xml:space="preserve">, </w:t>
      </w:r>
      <w:r w:rsidR="00B16D3D" w:rsidRPr="00DE3942">
        <w:rPr>
          <w:rFonts w:ascii="Times New Roman" w:hAnsi="Times New Roman" w:cs="Times New Roman"/>
          <w:sz w:val="20"/>
        </w:rPr>
        <w:t>HLA-B27: Human Leukocyte Antigen B27</w:t>
      </w:r>
      <w:r w:rsidR="00B16D3D">
        <w:rPr>
          <w:rFonts w:ascii="Times New Roman" w:hAnsi="Times New Roman" w:cs="Times New Roman"/>
          <w:sz w:val="20"/>
        </w:rPr>
        <w:t xml:space="preserve">, </w:t>
      </w:r>
      <w:r w:rsidR="004243BD" w:rsidRPr="00DE3942">
        <w:rPr>
          <w:rFonts w:ascii="Times New Roman" w:hAnsi="Times New Roman" w:cs="Times New Roman"/>
          <w:sz w:val="20"/>
        </w:rPr>
        <w:t xml:space="preserve">JIA: Juvenile Idiopathic </w:t>
      </w:r>
      <w:r w:rsidR="00DD582B" w:rsidRPr="00DE3942">
        <w:rPr>
          <w:rFonts w:ascii="Times New Roman" w:hAnsi="Times New Roman" w:cs="Times New Roman"/>
          <w:sz w:val="20"/>
        </w:rPr>
        <w:t>Arthritis</w:t>
      </w:r>
      <w:r w:rsidR="005F537D" w:rsidRPr="00DE3942">
        <w:rPr>
          <w:rFonts w:ascii="Times New Roman" w:hAnsi="Times New Roman" w:cs="Times New Roman"/>
          <w:sz w:val="20"/>
        </w:rPr>
        <w:t>, ADC: Apparent Diffusion Coefficient</w:t>
      </w:r>
      <w:r w:rsidR="002E20A8" w:rsidRPr="00DE3942">
        <w:rPr>
          <w:rFonts w:ascii="Times New Roman" w:hAnsi="Times New Roman" w:cs="Times New Roman"/>
          <w:sz w:val="20"/>
        </w:rPr>
        <w:t xml:space="preserve">, MRP8/14: Myeloid Related Protein 8/14, ADA: </w:t>
      </w:r>
      <w:r w:rsidR="003E022A" w:rsidRPr="00DE3942">
        <w:rPr>
          <w:rFonts w:ascii="Times New Roman" w:hAnsi="Times New Roman" w:cs="Times New Roman"/>
          <w:sz w:val="20"/>
        </w:rPr>
        <w:t>Anti-drug Antibodies</w:t>
      </w:r>
      <w:r w:rsidR="0060671E" w:rsidRPr="00DE3942">
        <w:rPr>
          <w:rFonts w:ascii="Times New Roman" w:hAnsi="Times New Roman" w:cs="Times New Roman"/>
          <w:sz w:val="20"/>
        </w:rPr>
        <w:t>.</w:t>
      </w:r>
      <w:r w:rsidR="0097457E" w:rsidRPr="00DE3942">
        <w:rPr>
          <w:rFonts w:ascii="Times New Roman" w:hAnsi="Times New Roman" w:cs="Times New Roman"/>
          <w:sz w:val="20"/>
        </w:rPr>
        <w:t xml:space="preserve"> </w:t>
      </w:r>
    </w:p>
    <w:p w14:paraId="10B15C64" w14:textId="20E349E9" w:rsidR="00121D7A" w:rsidRDefault="00815934" w:rsidP="00291014">
      <w:pPr>
        <w:jc w:val="both"/>
        <w:rPr>
          <w:rFonts w:ascii="Times New Roman" w:hAnsi="Times New Roman" w:cs="Times New Roman"/>
          <w:sz w:val="20"/>
        </w:rPr>
      </w:pPr>
      <w:r>
        <w:rPr>
          <w:noProof/>
        </w:rPr>
        <w:drawing>
          <wp:anchor distT="0" distB="0" distL="114300" distR="114300" simplePos="0" relativeHeight="251691008" behindDoc="1" locked="0" layoutInCell="1" allowOverlap="1" wp14:anchorId="0928A475" wp14:editId="4F20F315">
            <wp:simplePos x="0" y="0"/>
            <wp:positionH relativeFrom="column">
              <wp:posOffset>857250</wp:posOffset>
            </wp:positionH>
            <wp:positionV relativeFrom="paragraph">
              <wp:posOffset>37465</wp:posOffset>
            </wp:positionV>
            <wp:extent cx="4152900" cy="3619500"/>
            <wp:effectExtent l="0" t="0" r="0" b="0"/>
            <wp:wrapTight wrapText="bothSides">
              <wp:wrapPolygon edited="0">
                <wp:start x="0" y="0"/>
                <wp:lineTo x="0" y="21486"/>
                <wp:lineTo x="21501" y="21486"/>
                <wp:lineTo x="215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33" t="4862" r="3333" b="15972"/>
                    <a:stretch/>
                  </pic:blipFill>
                  <pic:spPr bwMode="auto">
                    <a:xfrm>
                      <a:off x="0" y="0"/>
                      <a:ext cx="415290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1DAC8" w14:textId="1690C760" w:rsidR="00121D7A" w:rsidRDefault="00121D7A" w:rsidP="00291014">
      <w:pPr>
        <w:jc w:val="both"/>
        <w:rPr>
          <w:rFonts w:ascii="Times New Roman" w:hAnsi="Times New Roman" w:cs="Times New Roman"/>
          <w:sz w:val="20"/>
        </w:rPr>
      </w:pPr>
    </w:p>
    <w:p w14:paraId="63FADCC7" w14:textId="77777777" w:rsidR="00EE6548" w:rsidRDefault="00EE6548" w:rsidP="00291014">
      <w:pPr>
        <w:jc w:val="both"/>
        <w:rPr>
          <w:rFonts w:ascii="Times New Roman" w:hAnsi="Times New Roman" w:cs="Times New Roman"/>
          <w:sz w:val="20"/>
        </w:rPr>
      </w:pPr>
    </w:p>
    <w:p w14:paraId="28ED1179" w14:textId="77777777" w:rsidR="00EE6548" w:rsidRDefault="00EE6548" w:rsidP="00291014">
      <w:pPr>
        <w:jc w:val="both"/>
        <w:rPr>
          <w:rFonts w:ascii="Times New Roman" w:hAnsi="Times New Roman" w:cs="Times New Roman"/>
          <w:sz w:val="20"/>
        </w:rPr>
      </w:pPr>
    </w:p>
    <w:p w14:paraId="262AAB68" w14:textId="77777777" w:rsidR="00815934" w:rsidRDefault="00815934" w:rsidP="00291014">
      <w:pPr>
        <w:jc w:val="both"/>
        <w:rPr>
          <w:rFonts w:ascii="Times New Roman" w:hAnsi="Times New Roman" w:cs="Times New Roman"/>
          <w:sz w:val="20"/>
        </w:rPr>
      </w:pPr>
    </w:p>
    <w:p w14:paraId="35B5C958" w14:textId="77777777" w:rsidR="00815934" w:rsidRDefault="00815934" w:rsidP="00291014">
      <w:pPr>
        <w:jc w:val="both"/>
        <w:rPr>
          <w:rFonts w:ascii="Times New Roman" w:hAnsi="Times New Roman" w:cs="Times New Roman"/>
          <w:sz w:val="20"/>
        </w:rPr>
      </w:pPr>
    </w:p>
    <w:p w14:paraId="29CC04BA" w14:textId="77777777" w:rsidR="00815934" w:rsidRDefault="00815934" w:rsidP="00291014">
      <w:pPr>
        <w:jc w:val="both"/>
        <w:rPr>
          <w:rFonts w:ascii="Times New Roman" w:hAnsi="Times New Roman" w:cs="Times New Roman"/>
          <w:sz w:val="20"/>
        </w:rPr>
      </w:pPr>
    </w:p>
    <w:p w14:paraId="6C05FA6A" w14:textId="77777777" w:rsidR="00815934" w:rsidRDefault="00815934" w:rsidP="00291014">
      <w:pPr>
        <w:jc w:val="both"/>
        <w:rPr>
          <w:rFonts w:ascii="Times New Roman" w:hAnsi="Times New Roman" w:cs="Times New Roman"/>
          <w:sz w:val="20"/>
        </w:rPr>
      </w:pPr>
    </w:p>
    <w:p w14:paraId="7D9825E5" w14:textId="77777777" w:rsidR="00815934" w:rsidRDefault="00815934" w:rsidP="00291014">
      <w:pPr>
        <w:jc w:val="both"/>
        <w:rPr>
          <w:rFonts w:ascii="Times New Roman" w:hAnsi="Times New Roman" w:cs="Times New Roman"/>
          <w:sz w:val="20"/>
        </w:rPr>
      </w:pPr>
    </w:p>
    <w:p w14:paraId="09EDA77A" w14:textId="77777777" w:rsidR="00815934" w:rsidRDefault="00815934" w:rsidP="00291014">
      <w:pPr>
        <w:jc w:val="both"/>
        <w:rPr>
          <w:rFonts w:ascii="Times New Roman" w:hAnsi="Times New Roman" w:cs="Times New Roman"/>
          <w:sz w:val="20"/>
        </w:rPr>
      </w:pPr>
    </w:p>
    <w:p w14:paraId="680D4C38" w14:textId="77777777" w:rsidR="00815934" w:rsidRDefault="00815934" w:rsidP="00291014">
      <w:pPr>
        <w:jc w:val="both"/>
        <w:rPr>
          <w:rFonts w:ascii="Times New Roman" w:hAnsi="Times New Roman" w:cs="Times New Roman"/>
          <w:sz w:val="20"/>
        </w:rPr>
      </w:pPr>
    </w:p>
    <w:p w14:paraId="52AE362C" w14:textId="77777777" w:rsidR="00815934" w:rsidRDefault="00815934" w:rsidP="00291014">
      <w:pPr>
        <w:jc w:val="both"/>
        <w:rPr>
          <w:rFonts w:ascii="Times New Roman" w:hAnsi="Times New Roman" w:cs="Times New Roman"/>
          <w:sz w:val="20"/>
        </w:rPr>
      </w:pPr>
    </w:p>
    <w:p w14:paraId="29FBBD0C" w14:textId="77777777" w:rsidR="00815934" w:rsidRDefault="00815934" w:rsidP="00291014">
      <w:pPr>
        <w:jc w:val="both"/>
        <w:rPr>
          <w:rFonts w:ascii="Times New Roman" w:hAnsi="Times New Roman" w:cs="Times New Roman"/>
          <w:sz w:val="20"/>
        </w:rPr>
      </w:pPr>
    </w:p>
    <w:p w14:paraId="3252338F" w14:textId="77777777" w:rsidR="00815934" w:rsidRDefault="00815934" w:rsidP="00291014">
      <w:pPr>
        <w:jc w:val="both"/>
        <w:rPr>
          <w:rFonts w:ascii="Times New Roman" w:hAnsi="Times New Roman" w:cs="Times New Roman"/>
          <w:sz w:val="20"/>
        </w:rPr>
      </w:pPr>
    </w:p>
    <w:p w14:paraId="301FF1F5" w14:textId="77777777" w:rsidR="00DD582B" w:rsidRDefault="00DD582B" w:rsidP="00291014">
      <w:pPr>
        <w:jc w:val="both"/>
        <w:rPr>
          <w:rFonts w:ascii="Times New Roman" w:hAnsi="Times New Roman" w:cs="Times New Roman"/>
          <w:sz w:val="20"/>
        </w:rPr>
      </w:pPr>
    </w:p>
    <w:p w14:paraId="2F727C4D" w14:textId="7FA99E7D" w:rsidR="00815934" w:rsidRPr="00DD582B" w:rsidRDefault="00DD582B" w:rsidP="00DD582B">
      <w:pPr>
        <w:jc w:val="center"/>
        <w:rPr>
          <w:rFonts w:ascii="Times New Roman" w:hAnsi="Times New Roman" w:cs="Times New Roman"/>
          <w:b/>
          <w:bCs/>
          <w:sz w:val="20"/>
        </w:rPr>
      </w:pPr>
      <w:r w:rsidRPr="00DD582B">
        <w:rPr>
          <w:rFonts w:ascii="Times New Roman" w:hAnsi="Times New Roman" w:cs="Times New Roman"/>
          <w:b/>
          <w:bCs/>
          <w:sz w:val="20"/>
        </w:rPr>
        <w:t>Figure 2:</w:t>
      </w:r>
      <w:r>
        <w:rPr>
          <w:rFonts w:ascii="Times New Roman" w:hAnsi="Times New Roman" w:cs="Times New Roman"/>
          <w:b/>
          <w:bCs/>
          <w:sz w:val="20"/>
        </w:rPr>
        <w:t xml:space="preserve"> </w:t>
      </w:r>
      <w:r w:rsidRPr="00BD121A">
        <w:rPr>
          <w:rFonts w:ascii="Times New Roman" w:hAnsi="Times New Roman" w:cs="Times New Roman"/>
          <w:sz w:val="20"/>
        </w:rPr>
        <w:t xml:space="preserve">Predictive </w:t>
      </w:r>
      <w:r w:rsidR="00E83195" w:rsidRPr="00BD121A">
        <w:rPr>
          <w:rFonts w:ascii="Times New Roman" w:hAnsi="Times New Roman" w:cs="Times New Roman"/>
          <w:sz w:val="20"/>
        </w:rPr>
        <w:t>biomarker’s</w:t>
      </w:r>
      <w:r w:rsidRPr="00BD121A">
        <w:rPr>
          <w:rFonts w:ascii="Times New Roman" w:hAnsi="Times New Roman" w:cs="Times New Roman"/>
          <w:sz w:val="20"/>
        </w:rPr>
        <w:t xml:space="preserve"> potentiality towards response to </w:t>
      </w:r>
      <w:r w:rsidR="0031731C">
        <w:rPr>
          <w:rFonts w:ascii="Times New Roman" w:hAnsi="Times New Roman" w:cs="Times New Roman"/>
          <w:sz w:val="20"/>
        </w:rPr>
        <w:t xml:space="preserve">selected </w:t>
      </w:r>
      <w:r w:rsidRPr="00BD121A">
        <w:rPr>
          <w:rFonts w:ascii="Times New Roman" w:hAnsi="Times New Roman" w:cs="Times New Roman"/>
          <w:sz w:val="20"/>
        </w:rPr>
        <w:t>biological treatment</w:t>
      </w:r>
    </w:p>
    <w:p w14:paraId="333345C2" w14:textId="77777777" w:rsidR="004D7647" w:rsidRDefault="004D7647" w:rsidP="00291014">
      <w:pPr>
        <w:jc w:val="both"/>
        <w:rPr>
          <w:rFonts w:ascii="Times New Roman" w:hAnsi="Times New Roman" w:cs="Times New Roman"/>
          <w:sz w:val="20"/>
        </w:rPr>
      </w:pPr>
    </w:p>
    <w:p w14:paraId="1B355800" w14:textId="310A1B1C" w:rsidR="00605A5E" w:rsidRDefault="007500BE" w:rsidP="007500BE">
      <w:pPr>
        <w:pStyle w:val="ListParagraph"/>
        <w:numPr>
          <w:ilvl w:val="0"/>
          <w:numId w:val="4"/>
        </w:numPr>
        <w:jc w:val="both"/>
        <w:rPr>
          <w:rFonts w:ascii="Times New Roman" w:hAnsi="Times New Roman" w:cs="Times New Roman"/>
          <w:b/>
          <w:bCs/>
          <w:sz w:val="20"/>
        </w:rPr>
      </w:pPr>
      <w:r w:rsidRPr="007500BE">
        <w:rPr>
          <w:rFonts w:ascii="Times New Roman" w:hAnsi="Times New Roman" w:cs="Times New Roman"/>
          <w:b/>
          <w:bCs/>
          <w:sz w:val="20"/>
        </w:rPr>
        <w:t>Prognostics Biomarkers:</w:t>
      </w:r>
    </w:p>
    <w:p w14:paraId="60B883C9" w14:textId="0A621064" w:rsidR="006E0BE2" w:rsidRDefault="008030DF" w:rsidP="004755B0">
      <w:pPr>
        <w:pStyle w:val="html-p"/>
        <w:ind w:left="360" w:firstLine="360"/>
        <w:jc w:val="both"/>
        <w:rPr>
          <w:rFonts w:eastAsiaTheme="minorHAnsi"/>
          <w:color w:val="000000"/>
          <w:sz w:val="20"/>
          <w:szCs w:val="20"/>
          <w:shd w:val="clear" w:color="auto" w:fill="FFFFFF"/>
          <w:lang w:eastAsia="en-US"/>
        </w:rPr>
      </w:pPr>
      <w:r w:rsidRPr="008030DF">
        <w:rPr>
          <w:rFonts w:eastAsiaTheme="minorHAnsi"/>
          <w:color w:val="000000"/>
          <w:sz w:val="20"/>
          <w:szCs w:val="20"/>
          <w:shd w:val="clear" w:color="auto" w:fill="FFFFFF"/>
          <w:lang w:eastAsia="en-US"/>
        </w:rPr>
        <w:t xml:space="preserve">A prognostic biomarker is a measure that indicates </w:t>
      </w:r>
      <w:r>
        <w:rPr>
          <w:rFonts w:eastAsiaTheme="minorHAnsi"/>
          <w:color w:val="000000"/>
          <w:sz w:val="20"/>
          <w:szCs w:val="20"/>
          <w:shd w:val="clear" w:color="auto" w:fill="FFFFFF"/>
          <w:lang w:eastAsia="en-US"/>
        </w:rPr>
        <w:t>the</w:t>
      </w:r>
      <w:r w:rsidRPr="008030DF">
        <w:rPr>
          <w:rFonts w:eastAsiaTheme="minorHAnsi"/>
          <w:color w:val="000000"/>
          <w:sz w:val="20"/>
          <w:szCs w:val="20"/>
          <w:shd w:val="clear" w:color="auto" w:fill="FFFFFF"/>
          <w:lang w:eastAsia="en-US"/>
        </w:rPr>
        <w:t xml:space="preserve"> probability of future research and evaluation, disease repetition, or development in a specific subgroup. </w:t>
      </w:r>
      <w:r w:rsidR="00DF2655">
        <w:rPr>
          <w:rFonts w:eastAsiaTheme="minorHAnsi"/>
          <w:color w:val="000000"/>
          <w:sz w:val="20"/>
          <w:szCs w:val="20"/>
          <w:shd w:val="clear" w:color="auto" w:fill="FFFFFF"/>
          <w:lang w:eastAsia="en-US"/>
        </w:rPr>
        <w:t>Predictive</w:t>
      </w:r>
      <w:r w:rsidRPr="008030DF">
        <w:rPr>
          <w:rFonts w:eastAsiaTheme="minorHAnsi"/>
          <w:color w:val="000000"/>
          <w:sz w:val="20"/>
          <w:szCs w:val="20"/>
          <w:shd w:val="clear" w:color="auto" w:fill="FFFFFF"/>
          <w:lang w:eastAsia="en-US"/>
        </w:rPr>
        <w:t xml:space="preserve"> biomarkers are evaluated at </w:t>
      </w:r>
      <w:r>
        <w:rPr>
          <w:rFonts w:eastAsiaTheme="minorHAnsi"/>
          <w:color w:val="000000"/>
          <w:sz w:val="20"/>
          <w:szCs w:val="20"/>
          <w:shd w:val="clear" w:color="auto" w:fill="FFFFFF"/>
          <w:lang w:eastAsia="en-US"/>
        </w:rPr>
        <w:t>the</w:t>
      </w:r>
      <w:r w:rsidRPr="008030DF">
        <w:rPr>
          <w:rFonts w:eastAsiaTheme="minorHAnsi"/>
          <w:color w:val="000000"/>
          <w:sz w:val="20"/>
          <w:szCs w:val="20"/>
          <w:shd w:val="clear" w:color="auto" w:fill="FFFFFF"/>
          <w:lang w:eastAsia="en-US"/>
        </w:rPr>
        <w:t xml:space="preserve"> specified benchmark, </w:t>
      </w:r>
      <w:r w:rsidR="00FF7B30">
        <w:rPr>
          <w:rFonts w:eastAsiaTheme="minorHAnsi"/>
          <w:color w:val="000000"/>
          <w:sz w:val="20"/>
          <w:szCs w:val="20"/>
          <w:shd w:val="clear" w:color="auto" w:fill="FFFFFF"/>
          <w:lang w:eastAsia="en-US"/>
        </w:rPr>
        <w:t>it</w:t>
      </w:r>
      <w:r w:rsidR="0034251B">
        <w:rPr>
          <w:rFonts w:eastAsiaTheme="minorHAnsi"/>
          <w:color w:val="000000"/>
          <w:sz w:val="20"/>
          <w:szCs w:val="20"/>
          <w:shd w:val="clear" w:color="auto" w:fill="FFFFFF"/>
          <w:lang w:eastAsia="en-US"/>
        </w:rPr>
        <w:t>’</w:t>
      </w:r>
      <w:r w:rsidR="00FF7B30">
        <w:rPr>
          <w:rFonts w:eastAsiaTheme="minorHAnsi"/>
          <w:color w:val="000000"/>
          <w:sz w:val="20"/>
          <w:szCs w:val="20"/>
          <w:shd w:val="clear" w:color="auto" w:fill="FFFFFF"/>
          <w:lang w:eastAsia="en-US"/>
        </w:rPr>
        <w:t xml:space="preserve">s </w:t>
      </w:r>
      <w:r w:rsidR="00474BF3">
        <w:rPr>
          <w:rFonts w:eastAsiaTheme="minorHAnsi"/>
          <w:color w:val="000000"/>
          <w:sz w:val="20"/>
          <w:szCs w:val="20"/>
          <w:shd w:val="clear" w:color="auto" w:fill="FFFFFF"/>
          <w:lang w:eastAsia="en-US"/>
        </w:rPr>
        <w:t>included</w:t>
      </w:r>
      <w:r w:rsidR="00FF7B30">
        <w:rPr>
          <w:rFonts w:eastAsiaTheme="minorHAnsi"/>
          <w:color w:val="000000"/>
          <w:sz w:val="20"/>
          <w:szCs w:val="20"/>
          <w:shd w:val="clear" w:color="auto" w:fill="FFFFFF"/>
          <w:lang w:eastAsia="en-US"/>
        </w:rPr>
        <w:t xml:space="preserve"> </w:t>
      </w:r>
      <w:r w:rsidRPr="008030DF">
        <w:rPr>
          <w:rFonts w:eastAsiaTheme="minorHAnsi"/>
          <w:color w:val="000000"/>
          <w:sz w:val="20"/>
          <w:szCs w:val="20"/>
          <w:shd w:val="clear" w:color="auto" w:fill="FFFFFF"/>
          <w:lang w:eastAsia="en-US"/>
        </w:rPr>
        <w:t xml:space="preserve">which may </w:t>
      </w:r>
      <w:r w:rsidR="00FF7B30">
        <w:rPr>
          <w:rFonts w:eastAsiaTheme="minorHAnsi"/>
          <w:color w:val="000000"/>
          <w:sz w:val="20"/>
          <w:szCs w:val="20"/>
          <w:shd w:val="clear" w:color="auto" w:fill="FFFFFF"/>
          <w:lang w:eastAsia="en-US"/>
        </w:rPr>
        <w:t>be</w:t>
      </w:r>
      <w:r w:rsidRPr="008030DF">
        <w:rPr>
          <w:rFonts w:eastAsiaTheme="minorHAnsi"/>
          <w:color w:val="000000"/>
          <w:sz w:val="20"/>
          <w:szCs w:val="20"/>
          <w:shd w:val="clear" w:color="auto" w:fill="FFFFFF"/>
          <w:lang w:eastAsia="en-US"/>
        </w:rPr>
        <w:t xml:space="preserve"> a pre-existing </w:t>
      </w:r>
      <w:r w:rsidR="00FF7B30" w:rsidRPr="008030DF">
        <w:rPr>
          <w:rFonts w:eastAsiaTheme="minorHAnsi"/>
          <w:color w:val="000000"/>
          <w:sz w:val="20"/>
          <w:szCs w:val="20"/>
          <w:shd w:val="clear" w:color="auto" w:fill="FFFFFF"/>
          <w:lang w:eastAsia="en-US"/>
        </w:rPr>
        <w:t>action</w:t>
      </w:r>
      <w:r w:rsidRPr="008030DF">
        <w:rPr>
          <w:rFonts w:eastAsiaTheme="minorHAnsi"/>
          <w:color w:val="000000"/>
          <w:sz w:val="20"/>
          <w:szCs w:val="20"/>
          <w:shd w:val="clear" w:color="auto" w:fill="FFFFFF"/>
          <w:lang w:eastAsia="en-US"/>
        </w:rPr>
        <w:t xml:space="preserve">. Several </w:t>
      </w:r>
      <w:r>
        <w:rPr>
          <w:rFonts w:eastAsiaTheme="minorHAnsi"/>
          <w:color w:val="000000"/>
          <w:sz w:val="20"/>
          <w:szCs w:val="20"/>
          <w:shd w:val="clear" w:color="auto" w:fill="FFFFFF"/>
          <w:lang w:eastAsia="en-US"/>
        </w:rPr>
        <w:t>good</w:t>
      </w:r>
      <w:r w:rsidRPr="008030DF">
        <w:rPr>
          <w:rFonts w:eastAsiaTheme="minorHAnsi"/>
          <w:color w:val="000000"/>
          <w:sz w:val="20"/>
          <w:szCs w:val="20"/>
          <w:shd w:val="clear" w:color="auto" w:fill="FFFFFF"/>
          <w:lang w:eastAsia="en-US"/>
        </w:rPr>
        <w:t xml:space="preserve"> examples of</w:t>
      </w:r>
      <w:r w:rsidR="00FF7B30">
        <w:rPr>
          <w:rFonts w:eastAsiaTheme="minorHAnsi"/>
          <w:color w:val="000000"/>
          <w:sz w:val="20"/>
          <w:szCs w:val="20"/>
          <w:shd w:val="clear" w:color="auto" w:fill="FFFFFF"/>
          <w:lang w:eastAsia="en-US"/>
        </w:rPr>
        <w:t xml:space="preserve"> </w:t>
      </w:r>
      <w:r w:rsidRPr="008030DF">
        <w:rPr>
          <w:rFonts w:eastAsiaTheme="minorHAnsi"/>
          <w:color w:val="000000"/>
          <w:sz w:val="20"/>
          <w:szCs w:val="20"/>
          <w:shd w:val="clear" w:color="auto" w:fill="FFFFFF"/>
          <w:lang w:eastAsia="en-US"/>
        </w:rPr>
        <w:t>biomarkers</w:t>
      </w:r>
      <w:r w:rsidR="00FF7B30">
        <w:rPr>
          <w:rFonts w:eastAsiaTheme="minorHAnsi"/>
          <w:color w:val="000000"/>
          <w:sz w:val="20"/>
          <w:szCs w:val="20"/>
          <w:shd w:val="clear" w:color="auto" w:fill="FFFFFF"/>
          <w:lang w:eastAsia="en-US"/>
        </w:rPr>
        <w:t xml:space="preserve"> prognostic</w:t>
      </w:r>
      <w:r w:rsidRPr="008030DF">
        <w:rPr>
          <w:rFonts w:eastAsiaTheme="minorHAnsi"/>
          <w:color w:val="000000"/>
          <w:sz w:val="20"/>
          <w:szCs w:val="20"/>
          <w:shd w:val="clear" w:color="auto" w:fill="FFFFFF"/>
          <w:lang w:eastAsia="en-US"/>
        </w:rPr>
        <w:t xml:space="preserve"> exist within healthcare situations where an individual has also been identified with a disease or disorder</w:t>
      </w:r>
      <w:r w:rsidR="00DF2655">
        <w:rPr>
          <w:rFonts w:eastAsiaTheme="minorHAnsi"/>
          <w:color w:val="000000"/>
          <w:sz w:val="20"/>
          <w:szCs w:val="20"/>
          <w:shd w:val="clear" w:color="auto" w:fill="FFFFFF"/>
          <w:lang w:eastAsia="en-US"/>
        </w:rPr>
        <w:t>,</w:t>
      </w:r>
      <w:r w:rsidRPr="008030DF">
        <w:rPr>
          <w:rFonts w:eastAsiaTheme="minorHAnsi"/>
          <w:color w:val="000000"/>
          <w:sz w:val="20"/>
          <w:szCs w:val="20"/>
          <w:shd w:val="clear" w:color="auto" w:fill="FFFFFF"/>
          <w:lang w:eastAsia="en-US"/>
        </w:rPr>
        <w:t xml:space="preserve"> and it is necessary to anticipate the probability of a future medical outcome</w:t>
      </w:r>
      <w:r w:rsidR="001C63A5">
        <w:rPr>
          <w:rFonts w:eastAsiaTheme="minorHAnsi"/>
          <w:color w:val="000000"/>
          <w:sz w:val="20"/>
          <w:szCs w:val="20"/>
          <w:shd w:val="clear" w:color="auto" w:fill="FFFFFF"/>
          <w:lang w:eastAsia="en-US"/>
        </w:rPr>
        <w:t xml:space="preserve"> </w:t>
      </w:r>
      <w:r w:rsidR="006D272C">
        <w:rPr>
          <w:rFonts w:eastAsiaTheme="minorHAnsi"/>
          <w:color w:val="000000"/>
          <w:sz w:val="20"/>
          <w:szCs w:val="20"/>
          <w:shd w:val="clear" w:color="auto" w:fill="FFFFFF"/>
          <w:lang w:eastAsia="en-US"/>
        </w:rPr>
        <w:t>[</w:t>
      </w:r>
      <w:r w:rsidR="001C63A5">
        <w:rPr>
          <w:rFonts w:eastAsiaTheme="minorHAnsi"/>
          <w:color w:val="000000"/>
          <w:sz w:val="20"/>
          <w:szCs w:val="20"/>
          <w:shd w:val="clear" w:color="auto" w:fill="FFFFFF"/>
          <w:lang w:eastAsia="en-US"/>
        </w:rPr>
        <w:t>Figure 3</w:t>
      </w:r>
      <w:r w:rsidR="006D272C">
        <w:rPr>
          <w:rFonts w:eastAsiaTheme="minorHAnsi"/>
          <w:color w:val="000000"/>
          <w:sz w:val="20"/>
          <w:szCs w:val="20"/>
          <w:shd w:val="clear" w:color="auto" w:fill="FFFFFF"/>
          <w:lang w:eastAsia="en-US"/>
        </w:rPr>
        <w:t>]</w:t>
      </w:r>
      <w:r w:rsidRPr="008030DF">
        <w:rPr>
          <w:rFonts w:eastAsiaTheme="minorHAnsi"/>
          <w:color w:val="000000"/>
          <w:sz w:val="20"/>
          <w:szCs w:val="20"/>
          <w:shd w:val="clear" w:color="auto" w:fill="FFFFFF"/>
          <w:lang w:eastAsia="en-US"/>
        </w:rPr>
        <w:t xml:space="preserve">. Mortality, illness </w:t>
      </w:r>
      <w:r w:rsidR="00FE3DC0" w:rsidRPr="008030DF">
        <w:rPr>
          <w:rFonts w:eastAsiaTheme="minorHAnsi"/>
          <w:color w:val="000000"/>
          <w:sz w:val="20"/>
          <w:szCs w:val="20"/>
          <w:shd w:val="clear" w:color="auto" w:fill="FFFFFF"/>
          <w:lang w:eastAsia="en-US"/>
        </w:rPr>
        <w:t>evolution</w:t>
      </w:r>
      <w:r w:rsidRPr="008030DF">
        <w:rPr>
          <w:rFonts w:eastAsiaTheme="minorHAnsi"/>
          <w:color w:val="000000"/>
          <w:sz w:val="20"/>
          <w:szCs w:val="20"/>
          <w:shd w:val="clear" w:color="auto" w:fill="FFFFFF"/>
          <w:lang w:eastAsia="en-US"/>
        </w:rPr>
        <w:t xml:space="preserve">, disease recurrence, or the </w:t>
      </w:r>
      <w:r w:rsidR="00FE3DC0" w:rsidRPr="008030DF">
        <w:rPr>
          <w:rFonts w:eastAsiaTheme="minorHAnsi"/>
          <w:color w:val="000000"/>
          <w:sz w:val="20"/>
          <w:szCs w:val="20"/>
          <w:shd w:val="clear" w:color="auto" w:fill="FFFFFF"/>
          <w:lang w:eastAsia="en-US"/>
        </w:rPr>
        <w:t>expansion</w:t>
      </w:r>
      <w:r w:rsidRPr="008030DF">
        <w:rPr>
          <w:rFonts w:eastAsiaTheme="minorHAnsi"/>
          <w:color w:val="000000"/>
          <w:sz w:val="20"/>
          <w:szCs w:val="20"/>
          <w:shd w:val="clear" w:color="auto" w:fill="FFFFFF"/>
          <w:lang w:eastAsia="en-US"/>
        </w:rPr>
        <w:t xml:space="preserve"> of a new health issue were examples of future instances.</w:t>
      </w:r>
    </w:p>
    <w:p w14:paraId="4F0FF42E" w14:textId="3611AD7C" w:rsidR="007500BE" w:rsidRPr="008030DF" w:rsidRDefault="006E0BE2" w:rsidP="00A842E8">
      <w:pPr>
        <w:pStyle w:val="html-p"/>
        <w:ind w:left="360"/>
        <w:jc w:val="both"/>
        <w:rPr>
          <w:sz w:val="20"/>
          <w:szCs w:val="20"/>
        </w:rPr>
      </w:pPr>
      <w:r>
        <w:rPr>
          <w:sz w:val="20"/>
          <w:szCs w:val="20"/>
        </w:rPr>
        <w:t>I</w:t>
      </w:r>
      <w:r w:rsidR="00D30590" w:rsidRPr="008030DF">
        <w:rPr>
          <w:sz w:val="20"/>
          <w:szCs w:val="20"/>
        </w:rPr>
        <w:t xml:space="preserve">nvestigation of predictor and </w:t>
      </w:r>
      <w:r w:rsidR="00DF2655">
        <w:rPr>
          <w:sz w:val="20"/>
          <w:szCs w:val="20"/>
        </w:rPr>
        <w:t>predictive</w:t>
      </w:r>
      <w:r w:rsidR="00D30590" w:rsidRPr="008030DF">
        <w:rPr>
          <w:sz w:val="20"/>
          <w:szCs w:val="20"/>
        </w:rPr>
        <w:t xml:space="preserve"> biomarkers is essential </w:t>
      </w:r>
      <w:r w:rsidR="00DF2655">
        <w:rPr>
          <w:sz w:val="20"/>
          <w:szCs w:val="20"/>
        </w:rPr>
        <w:t>for patient assessment and</w:t>
      </w:r>
      <w:r w:rsidR="00D30590" w:rsidRPr="008030DF">
        <w:rPr>
          <w:sz w:val="20"/>
          <w:szCs w:val="20"/>
        </w:rPr>
        <w:t xml:space="preserve"> when scheduling follow-up or deciding on medication in a period of specialized medicines.</w:t>
      </w:r>
      <w:r w:rsidR="00C72F31" w:rsidRPr="008030DF">
        <w:rPr>
          <w:sz w:val="20"/>
          <w:szCs w:val="20"/>
        </w:rPr>
        <w:t xml:space="preserve"> </w:t>
      </w:r>
      <w:r w:rsidR="00D30590" w:rsidRPr="008030DF">
        <w:rPr>
          <w:sz w:val="20"/>
          <w:szCs w:val="20"/>
        </w:rPr>
        <w:t xml:space="preserve">This difference </w:t>
      </w:r>
      <w:r w:rsidR="00C72F31" w:rsidRPr="008030DF">
        <w:rPr>
          <w:sz w:val="20"/>
          <w:szCs w:val="20"/>
        </w:rPr>
        <w:t>between</w:t>
      </w:r>
      <w:r w:rsidR="00D30590" w:rsidRPr="008030DF">
        <w:rPr>
          <w:sz w:val="20"/>
          <w:szCs w:val="20"/>
        </w:rPr>
        <w:t xml:space="preserve"> predictive and prognostic biomarkers has been discussed in detail [</w:t>
      </w:r>
      <w:r w:rsidR="00DE66AC" w:rsidRPr="008030DF">
        <w:rPr>
          <w:sz w:val="20"/>
          <w:szCs w:val="20"/>
        </w:rPr>
        <w:t>10]</w:t>
      </w:r>
      <w:r w:rsidR="00D30590" w:rsidRPr="008030DF">
        <w:rPr>
          <w:sz w:val="20"/>
          <w:szCs w:val="20"/>
        </w:rPr>
        <w:t xml:space="preserve">. </w:t>
      </w:r>
      <w:r w:rsidR="00C72F31" w:rsidRPr="008030DF">
        <w:rPr>
          <w:sz w:val="20"/>
          <w:szCs w:val="20"/>
        </w:rPr>
        <w:t>In</w:t>
      </w:r>
      <w:r w:rsidR="00D30590" w:rsidRPr="008030DF">
        <w:rPr>
          <w:sz w:val="20"/>
          <w:szCs w:val="20"/>
        </w:rPr>
        <w:t xml:space="preserve"> conclusion, prognosis biomarkers differentiate among groups of people who've already different results autonomously of treatment. </w:t>
      </w:r>
      <w:r w:rsidR="00DF2655">
        <w:rPr>
          <w:sz w:val="20"/>
          <w:szCs w:val="20"/>
        </w:rPr>
        <w:t>In contrast, a prognostic biomarker</w:t>
      </w:r>
      <w:r w:rsidR="00D30590" w:rsidRPr="008030DF">
        <w:rPr>
          <w:sz w:val="20"/>
          <w:szCs w:val="20"/>
        </w:rPr>
        <w:t xml:space="preserve"> </w:t>
      </w:r>
      <w:r w:rsidR="00D30590" w:rsidRPr="008030DF">
        <w:rPr>
          <w:sz w:val="20"/>
          <w:szCs w:val="20"/>
        </w:rPr>
        <w:lastRenderedPageBreak/>
        <w:t xml:space="preserve">provides data on the potential </w:t>
      </w:r>
      <w:r w:rsidR="005C6957" w:rsidRPr="008030DF">
        <w:rPr>
          <w:sz w:val="20"/>
          <w:szCs w:val="20"/>
        </w:rPr>
        <w:t>advantage</w:t>
      </w:r>
      <w:r w:rsidR="00D30590" w:rsidRPr="008030DF">
        <w:rPr>
          <w:sz w:val="20"/>
          <w:szCs w:val="20"/>
        </w:rPr>
        <w:t xml:space="preserve"> of </w:t>
      </w:r>
      <w:r w:rsidR="005C6957" w:rsidRPr="008030DF">
        <w:rPr>
          <w:sz w:val="20"/>
          <w:szCs w:val="20"/>
        </w:rPr>
        <w:t>detailed</w:t>
      </w:r>
      <w:r w:rsidR="00D30590" w:rsidRPr="008030DF">
        <w:rPr>
          <w:sz w:val="20"/>
          <w:szCs w:val="20"/>
        </w:rPr>
        <w:t xml:space="preserve"> treatment and might </w:t>
      </w:r>
      <w:r w:rsidR="00177C3C">
        <w:rPr>
          <w:sz w:val="20"/>
          <w:szCs w:val="20"/>
        </w:rPr>
        <w:t>exploit</w:t>
      </w:r>
      <w:r w:rsidR="00D30590" w:rsidRPr="008030DF">
        <w:rPr>
          <w:sz w:val="20"/>
          <w:szCs w:val="20"/>
        </w:rPr>
        <w:t xml:space="preserve"> in diagnostic </w:t>
      </w:r>
      <w:r w:rsidR="00086F19">
        <w:rPr>
          <w:sz w:val="20"/>
          <w:szCs w:val="20"/>
        </w:rPr>
        <w:t>executive</w:t>
      </w:r>
      <w:r w:rsidR="00D30590" w:rsidRPr="008030DF">
        <w:rPr>
          <w:sz w:val="20"/>
          <w:szCs w:val="20"/>
        </w:rPr>
        <w:t xml:space="preserve"> procedure. </w:t>
      </w:r>
      <w:r w:rsidR="00DF2655">
        <w:rPr>
          <w:sz w:val="20"/>
          <w:szCs w:val="20"/>
        </w:rPr>
        <w:t>Most</w:t>
      </w:r>
      <w:r w:rsidR="00D30590" w:rsidRPr="008030DF">
        <w:rPr>
          <w:sz w:val="20"/>
          <w:szCs w:val="20"/>
        </w:rPr>
        <w:t xml:space="preserve"> effective predictive and prognostic biomarkers were discovered during the CIT er</w:t>
      </w:r>
      <w:r w:rsidR="009D6A1F" w:rsidRPr="008030DF">
        <w:rPr>
          <w:sz w:val="20"/>
          <w:szCs w:val="20"/>
        </w:rPr>
        <w:t>a</w:t>
      </w:r>
      <w:r w:rsidR="00DF2655">
        <w:rPr>
          <w:sz w:val="20"/>
          <w:szCs w:val="20"/>
        </w:rPr>
        <w:t>. However</w:t>
      </w:r>
      <w:r w:rsidR="00A842E8" w:rsidRPr="008030DF">
        <w:rPr>
          <w:sz w:val="20"/>
          <w:szCs w:val="20"/>
        </w:rPr>
        <w:t xml:space="preserve">, </w:t>
      </w:r>
      <w:r w:rsidR="00CB3F8B" w:rsidRPr="00CB3F8B">
        <w:rPr>
          <w:sz w:val="20"/>
          <w:szCs w:val="20"/>
        </w:rPr>
        <w:t>conventional approaches have already validated their authenticity</w:t>
      </w:r>
      <w:r w:rsidR="009D6A1F" w:rsidRPr="008030DF">
        <w:rPr>
          <w:sz w:val="20"/>
          <w:szCs w:val="20"/>
        </w:rPr>
        <w:t xml:space="preserve"> </w:t>
      </w:r>
      <w:r w:rsidR="00A842E8" w:rsidRPr="008030DF">
        <w:rPr>
          <w:sz w:val="20"/>
          <w:szCs w:val="20"/>
        </w:rPr>
        <w:t>[</w:t>
      </w:r>
      <w:r w:rsidR="009D6A1F" w:rsidRPr="008030DF">
        <w:rPr>
          <w:sz w:val="20"/>
          <w:szCs w:val="20"/>
        </w:rPr>
        <w:t>1</w:t>
      </w:r>
      <w:r w:rsidR="006D272C">
        <w:rPr>
          <w:sz w:val="20"/>
          <w:szCs w:val="20"/>
        </w:rPr>
        <w:t>1</w:t>
      </w:r>
      <w:r w:rsidR="00A842E8" w:rsidRPr="008030DF">
        <w:rPr>
          <w:sz w:val="20"/>
          <w:szCs w:val="20"/>
        </w:rPr>
        <w:t xml:space="preserve">]. Whereas individual factors can serve as a </w:t>
      </w:r>
      <w:r w:rsidR="00DF2655">
        <w:rPr>
          <w:sz w:val="20"/>
          <w:szCs w:val="20"/>
        </w:rPr>
        <w:t>robust predictive</w:t>
      </w:r>
      <w:r w:rsidR="00A842E8" w:rsidRPr="008030DF">
        <w:rPr>
          <w:sz w:val="20"/>
          <w:szCs w:val="20"/>
        </w:rPr>
        <w:t xml:space="preserve"> tool, the </w:t>
      </w:r>
      <w:r w:rsidR="00086F19" w:rsidRPr="008030DF">
        <w:rPr>
          <w:sz w:val="20"/>
          <w:szCs w:val="20"/>
        </w:rPr>
        <w:t>authenticity</w:t>
      </w:r>
      <w:r w:rsidR="00A842E8" w:rsidRPr="008030DF">
        <w:rPr>
          <w:sz w:val="20"/>
          <w:szCs w:val="20"/>
        </w:rPr>
        <w:t xml:space="preserve"> is more challenging because each disease may have several biomarkers having variable prognostic factors. </w:t>
      </w:r>
      <w:r w:rsidR="00CB3F8B" w:rsidRPr="00CB3F8B">
        <w:rPr>
          <w:sz w:val="20"/>
          <w:szCs w:val="20"/>
        </w:rPr>
        <w:t xml:space="preserve">Prognosis ratings integrating biomarkers within algorithms have been developed to </w:t>
      </w:r>
      <w:r w:rsidR="006F28F8">
        <w:rPr>
          <w:noProof/>
        </w:rPr>
        <w:drawing>
          <wp:anchor distT="0" distB="0" distL="114300" distR="114300" simplePos="0" relativeHeight="251692032" behindDoc="1" locked="0" layoutInCell="1" allowOverlap="1" wp14:anchorId="01804724" wp14:editId="6921DEE6">
            <wp:simplePos x="0" y="0"/>
            <wp:positionH relativeFrom="column">
              <wp:posOffset>1524000</wp:posOffset>
            </wp:positionH>
            <wp:positionV relativeFrom="paragraph">
              <wp:posOffset>1023677</wp:posOffset>
            </wp:positionV>
            <wp:extent cx="2755900" cy="2641600"/>
            <wp:effectExtent l="0" t="0" r="6350" b="6350"/>
            <wp:wrapTight wrapText="bothSides">
              <wp:wrapPolygon edited="0">
                <wp:start x="0" y="0"/>
                <wp:lineTo x="0" y="21496"/>
                <wp:lineTo x="21500" y="21496"/>
                <wp:lineTo x="21500" y="0"/>
                <wp:lineTo x="0" y="0"/>
              </wp:wrapPolygon>
            </wp:wrapTight>
            <wp:docPr id="2" name="Picture 2" descr="Cancers 13 01782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s 13 01782 g001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F8B" w:rsidRPr="00CB3F8B">
        <w:rPr>
          <w:sz w:val="20"/>
          <w:szCs w:val="20"/>
        </w:rPr>
        <w:t>tackle this issue</w:t>
      </w:r>
      <w:r w:rsidR="00A842E8" w:rsidRPr="008030DF">
        <w:rPr>
          <w:sz w:val="20"/>
          <w:szCs w:val="20"/>
        </w:rPr>
        <w:t>.</w:t>
      </w:r>
    </w:p>
    <w:p w14:paraId="39059A89" w14:textId="6F39ADE6" w:rsidR="00605A5E" w:rsidRDefault="00605A5E" w:rsidP="00291014">
      <w:pPr>
        <w:jc w:val="both"/>
        <w:rPr>
          <w:rFonts w:ascii="Times New Roman" w:hAnsi="Times New Roman" w:cs="Times New Roman"/>
          <w:sz w:val="20"/>
        </w:rPr>
      </w:pPr>
    </w:p>
    <w:p w14:paraId="3954F2C0" w14:textId="3CD39AA7" w:rsidR="00605A5E" w:rsidRDefault="00605A5E" w:rsidP="00291014">
      <w:pPr>
        <w:jc w:val="both"/>
        <w:rPr>
          <w:rFonts w:ascii="Times New Roman" w:hAnsi="Times New Roman" w:cs="Times New Roman"/>
          <w:sz w:val="20"/>
        </w:rPr>
      </w:pPr>
    </w:p>
    <w:p w14:paraId="6C66B7FC" w14:textId="48352A67" w:rsidR="00605A5E" w:rsidRDefault="00BF06AD" w:rsidP="00291014">
      <w:pPr>
        <w:jc w:val="both"/>
        <w:rPr>
          <w:rFonts w:ascii="Times New Roman" w:hAnsi="Times New Roman" w:cs="Times New Roman"/>
          <w:sz w:val="20"/>
        </w:rPr>
      </w:pPr>
      <w:r>
        <w:rPr>
          <w:noProof/>
        </w:rPr>
        <w:t>`</w:t>
      </w:r>
    </w:p>
    <w:p w14:paraId="6E543AAD" w14:textId="77777777" w:rsidR="006E0BE2" w:rsidRPr="00540944" w:rsidRDefault="006E0BE2" w:rsidP="00291014">
      <w:pPr>
        <w:jc w:val="both"/>
        <w:rPr>
          <w:rFonts w:ascii="Times New Roman" w:hAnsi="Times New Roman" w:cs="Times New Roman"/>
          <w:sz w:val="20"/>
        </w:rPr>
      </w:pPr>
    </w:p>
    <w:p w14:paraId="6FDC6E2C" w14:textId="77777777" w:rsidR="006F28F8" w:rsidRDefault="006F28F8" w:rsidP="00540944">
      <w:pPr>
        <w:pStyle w:val="Heading1"/>
        <w:numPr>
          <w:ilvl w:val="0"/>
          <w:numId w:val="0"/>
        </w:numPr>
        <w:spacing w:before="0" w:after="225"/>
        <w:ind w:left="216"/>
        <w:jc w:val="left"/>
        <w:rPr>
          <w:rFonts w:ascii="Times New Roman" w:hAnsi="Times New Roman"/>
          <w:color w:val="262626"/>
          <w:sz w:val="20"/>
          <w:szCs w:val="20"/>
        </w:rPr>
      </w:pPr>
    </w:p>
    <w:p w14:paraId="7A6157E8" w14:textId="77777777" w:rsidR="006F28F8" w:rsidRDefault="006F28F8" w:rsidP="00540944">
      <w:pPr>
        <w:pStyle w:val="Heading1"/>
        <w:numPr>
          <w:ilvl w:val="0"/>
          <w:numId w:val="0"/>
        </w:numPr>
        <w:spacing w:before="0" w:after="225"/>
        <w:ind w:left="216"/>
        <w:jc w:val="left"/>
        <w:rPr>
          <w:rFonts w:ascii="Times New Roman" w:hAnsi="Times New Roman"/>
          <w:color w:val="262626"/>
          <w:sz w:val="20"/>
          <w:szCs w:val="20"/>
        </w:rPr>
      </w:pPr>
    </w:p>
    <w:p w14:paraId="6E25F635" w14:textId="77777777" w:rsidR="006F28F8" w:rsidRDefault="006F28F8" w:rsidP="00540944">
      <w:pPr>
        <w:pStyle w:val="Heading1"/>
        <w:numPr>
          <w:ilvl w:val="0"/>
          <w:numId w:val="0"/>
        </w:numPr>
        <w:spacing w:before="0" w:after="225"/>
        <w:ind w:left="216"/>
        <w:jc w:val="left"/>
        <w:rPr>
          <w:rFonts w:ascii="Times New Roman" w:hAnsi="Times New Roman"/>
          <w:color w:val="262626"/>
          <w:sz w:val="20"/>
          <w:szCs w:val="20"/>
        </w:rPr>
      </w:pPr>
    </w:p>
    <w:p w14:paraId="16F24F9A" w14:textId="77777777" w:rsidR="006F28F8" w:rsidRDefault="006F28F8" w:rsidP="00540944">
      <w:pPr>
        <w:pStyle w:val="Heading1"/>
        <w:numPr>
          <w:ilvl w:val="0"/>
          <w:numId w:val="0"/>
        </w:numPr>
        <w:spacing w:before="0" w:after="225"/>
        <w:ind w:left="216"/>
        <w:jc w:val="left"/>
        <w:rPr>
          <w:rFonts w:ascii="Times New Roman" w:hAnsi="Times New Roman"/>
          <w:color w:val="262626"/>
          <w:sz w:val="20"/>
          <w:szCs w:val="20"/>
        </w:rPr>
      </w:pPr>
    </w:p>
    <w:p w14:paraId="1F2DFEF0" w14:textId="77777777" w:rsidR="006F28F8" w:rsidRDefault="006F28F8" w:rsidP="00540944">
      <w:pPr>
        <w:pStyle w:val="Heading1"/>
        <w:numPr>
          <w:ilvl w:val="0"/>
          <w:numId w:val="0"/>
        </w:numPr>
        <w:spacing w:before="0" w:after="225"/>
        <w:ind w:left="216"/>
        <w:jc w:val="left"/>
        <w:rPr>
          <w:rFonts w:ascii="Times New Roman" w:hAnsi="Times New Roman"/>
          <w:color w:val="262626"/>
          <w:sz w:val="20"/>
          <w:szCs w:val="20"/>
        </w:rPr>
      </w:pPr>
    </w:p>
    <w:p w14:paraId="496996C3" w14:textId="77777777" w:rsidR="00FF090E" w:rsidRDefault="00FF090E" w:rsidP="00540944">
      <w:pPr>
        <w:pStyle w:val="Heading1"/>
        <w:numPr>
          <w:ilvl w:val="0"/>
          <w:numId w:val="0"/>
        </w:numPr>
        <w:spacing w:before="0" w:after="225"/>
        <w:ind w:left="216"/>
        <w:jc w:val="left"/>
        <w:rPr>
          <w:rFonts w:ascii="Times New Roman" w:hAnsi="Times New Roman"/>
          <w:color w:val="262626"/>
          <w:sz w:val="20"/>
          <w:szCs w:val="20"/>
        </w:rPr>
      </w:pPr>
    </w:p>
    <w:p w14:paraId="2362BC0C" w14:textId="10F95CCB" w:rsidR="00540944" w:rsidRPr="00540944" w:rsidRDefault="00540944" w:rsidP="00540944">
      <w:pPr>
        <w:pStyle w:val="Heading1"/>
        <w:numPr>
          <w:ilvl w:val="0"/>
          <w:numId w:val="0"/>
        </w:numPr>
        <w:spacing w:before="0" w:after="225"/>
        <w:ind w:left="216"/>
        <w:jc w:val="left"/>
        <w:rPr>
          <w:rFonts w:ascii="Times New Roman" w:hAnsi="Times New Roman"/>
          <w:b w:val="0"/>
          <w:bCs w:val="0"/>
          <w:color w:val="1A1A1A"/>
          <w:sz w:val="20"/>
          <w:szCs w:val="20"/>
        </w:rPr>
      </w:pPr>
      <w:r>
        <w:rPr>
          <w:rFonts w:ascii="Times New Roman" w:hAnsi="Times New Roman"/>
          <w:color w:val="262626"/>
          <w:sz w:val="20"/>
          <w:szCs w:val="20"/>
        </w:rPr>
        <w:t>Figure 3:</w:t>
      </w:r>
      <w:r w:rsidR="00BD484C">
        <w:rPr>
          <w:rFonts w:ascii="Times New Roman" w:hAnsi="Times New Roman"/>
          <w:color w:val="262626"/>
          <w:sz w:val="20"/>
          <w:szCs w:val="20"/>
        </w:rPr>
        <w:t xml:space="preserve"> </w:t>
      </w:r>
      <w:r w:rsidR="00BD484C" w:rsidRPr="00BD121A">
        <w:rPr>
          <w:rFonts w:ascii="Times New Roman" w:hAnsi="Times New Roman"/>
          <w:b w:val="0"/>
          <w:bCs w:val="0"/>
          <w:color w:val="262626"/>
          <w:sz w:val="20"/>
          <w:szCs w:val="20"/>
        </w:rPr>
        <w:t xml:space="preserve">Various types of prognostic Biomarkers </w:t>
      </w:r>
      <w:r w:rsidR="00E00E04" w:rsidRPr="00BD121A">
        <w:rPr>
          <w:rFonts w:ascii="Times New Roman" w:hAnsi="Times New Roman"/>
          <w:b w:val="0"/>
          <w:bCs w:val="0"/>
          <w:color w:val="262626"/>
          <w:sz w:val="20"/>
          <w:szCs w:val="20"/>
        </w:rPr>
        <w:t xml:space="preserve">in </w:t>
      </w:r>
      <w:r w:rsidR="00CC60AC" w:rsidRPr="00BD121A">
        <w:rPr>
          <w:rFonts w:ascii="Times New Roman" w:hAnsi="Times New Roman"/>
          <w:b w:val="0"/>
          <w:bCs w:val="0"/>
          <w:color w:val="262626"/>
          <w:sz w:val="20"/>
          <w:szCs w:val="20"/>
        </w:rPr>
        <w:t xml:space="preserve">selected </w:t>
      </w:r>
      <w:r w:rsidR="00BD121A">
        <w:rPr>
          <w:rFonts w:ascii="Times New Roman" w:hAnsi="Times New Roman"/>
          <w:b w:val="0"/>
          <w:bCs w:val="0"/>
          <w:color w:val="262626"/>
          <w:sz w:val="20"/>
          <w:szCs w:val="20"/>
        </w:rPr>
        <w:t>disease (</w:t>
      </w:r>
      <w:r w:rsidR="0072382F" w:rsidRPr="00540944">
        <w:rPr>
          <w:rFonts w:ascii="Times New Roman" w:hAnsi="Times New Roman"/>
          <w:color w:val="262626"/>
          <w:sz w:val="20"/>
          <w:szCs w:val="20"/>
        </w:rPr>
        <w:t>Source:</w:t>
      </w:r>
      <w:r>
        <w:rPr>
          <w:rFonts w:ascii="Times New Roman" w:hAnsi="Times New Roman"/>
          <w:b w:val="0"/>
          <w:bCs w:val="0"/>
          <w:color w:val="3A3A3A"/>
          <w:sz w:val="20"/>
          <w:szCs w:val="20"/>
          <w:shd w:val="clear" w:color="auto" w:fill="FFFFFF"/>
        </w:rPr>
        <w:t xml:space="preserve"> </w:t>
      </w:r>
      <w:hyperlink r:id="rId11" w:tgtFrame="_blank" w:history="1">
        <w:r w:rsidR="002A2B49" w:rsidRPr="00540944">
          <w:rPr>
            <w:rStyle w:val="sciprofiles-linkname"/>
            <w:rFonts w:ascii="Times New Roman" w:hAnsi="Times New Roman"/>
            <w:b w:val="0"/>
            <w:bCs w:val="0"/>
            <w:sz w:val="20"/>
            <w:szCs w:val="20"/>
            <w:shd w:val="clear" w:color="auto" w:fill="FFFFFF"/>
          </w:rPr>
          <w:t>Isabel Gonz</w:t>
        </w:r>
        <w:r w:rsidR="00F025D4">
          <w:rPr>
            <w:rStyle w:val="sciprofiles-linkname"/>
            <w:rFonts w:ascii="Times New Roman" w:hAnsi="Times New Roman"/>
            <w:b w:val="0"/>
            <w:bCs w:val="0"/>
            <w:sz w:val="20"/>
            <w:szCs w:val="20"/>
            <w:shd w:val="clear" w:color="auto" w:fill="FFFFFF"/>
          </w:rPr>
          <w:t>a</w:t>
        </w:r>
        <w:r w:rsidR="002A2B49" w:rsidRPr="00540944">
          <w:rPr>
            <w:rStyle w:val="sciprofiles-linkname"/>
            <w:rFonts w:ascii="Times New Roman" w:hAnsi="Times New Roman"/>
            <w:b w:val="0"/>
            <w:bCs w:val="0"/>
            <w:sz w:val="20"/>
            <w:szCs w:val="20"/>
            <w:shd w:val="clear" w:color="auto" w:fill="FFFFFF"/>
          </w:rPr>
          <w:t>lez-</w:t>
        </w:r>
        <w:r w:rsidR="00F025D4" w:rsidRPr="00540944">
          <w:rPr>
            <w:rStyle w:val="sciprofiles-linkname"/>
            <w:rFonts w:ascii="Times New Roman" w:hAnsi="Times New Roman"/>
            <w:b w:val="0"/>
            <w:bCs w:val="0"/>
            <w:sz w:val="20"/>
            <w:szCs w:val="20"/>
            <w:shd w:val="clear" w:color="auto" w:fill="FFFFFF"/>
          </w:rPr>
          <w:t>Gascon</w:t>
        </w:r>
        <w:r w:rsidR="002A2B49" w:rsidRPr="00540944">
          <w:rPr>
            <w:rStyle w:val="sciprofiles-linkname"/>
            <w:rFonts w:ascii="Times New Roman" w:hAnsi="Times New Roman"/>
            <w:b w:val="0"/>
            <w:bCs w:val="0"/>
            <w:sz w:val="20"/>
            <w:szCs w:val="20"/>
            <w:shd w:val="clear" w:color="auto" w:fill="FFFFFF"/>
          </w:rPr>
          <w:t>-y-Marín</w:t>
        </w:r>
      </w:hyperlink>
      <w:r w:rsidR="002A2B49" w:rsidRPr="00540944">
        <w:rPr>
          <w:rFonts w:ascii="Times New Roman" w:hAnsi="Times New Roman"/>
          <w:b w:val="0"/>
          <w:bCs w:val="0"/>
          <w:sz w:val="20"/>
          <w:szCs w:val="20"/>
        </w:rPr>
        <w:t xml:space="preserve"> </w:t>
      </w:r>
      <w:r w:rsidR="00CB3F8B">
        <w:rPr>
          <w:rFonts w:ascii="Times New Roman" w:hAnsi="Times New Roman"/>
          <w:b w:val="0"/>
          <w:bCs w:val="0"/>
          <w:sz w:val="20"/>
          <w:szCs w:val="20"/>
        </w:rPr>
        <w:t>et al.</w:t>
      </w:r>
      <w:r w:rsidR="002A2B49" w:rsidRPr="00540944">
        <w:rPr>
          <w:rFonts w:ascii="Times New Roman" w:hAnsi="Times New Roman"/>
          <w:b w:val="0"/>
          <w:bCs w:val="0"/>
          <w:sz w:val="20"/>
          <w:szCs w:val="20"/>
        </w:rPr>
        <w:t xml:space="preserve">: </w:t>
      </w:r>
      <w:r w:rsidRPr="00540944">
        <w:rPr>
          <w:rFonts w:ascii="Times New Roman" w:hAnsi="Times New Roman"/>
          <w:b w:val="0"/>
          <w:bCs w:val="0"/>
          <w:color w:val="1A1A1A"/>
          <w:sz w:val="20"/>
          <w:szCs w:val="20"/>
        </w:rPr>
        <w:t>From Biomarkers to Models in the Changing Landscape of Chronic Lymphocytic Leukemia: Evolve or Become Extinct</w:t>
      </w:r>
      <w:r w:rsidR="002D5BB5">
        <w:rPr>
          <w:rFonts w:ascii="Times New Roman" w:hAnsi="Times New Roman"/>
          <w:b w:val="0"/>
          <w:bCs w:val="0"/>
          <w:color w:val="1A1A1A"/>
          <w:sz w:val="20"/>
          <w:szCs w:val="20"/>
        </w:rPr>
        <w:t xml:space="preserve">; </w:t>
      </w:r>
      <w:r w:rsidR="002D5BB5" w:rsidRPr="002D5BB5">
        <w:rPr>
          <w:rStyle w:val="Emphasis"/>
          <w:rFonts w:ascii="Times New Roman" w:hAnsi="Times New Roman"/>
          <w:b w:val="0"/>
          <w:bCs w:val="0"/>
          <w:i w:val="0"/>
          <w:iCs w:val="0"/>
          <w:color w:val="222222"/>
          <w:sz w:val="20"/>
          <w:szCs w:val="20"/>
          <w:shd w:val="clear" w:color="auto" w:fill="FFFFFF"/>
        </w:rPr>
        <w:t>Cancers</w:t>
      </w:r>
      <w:r w:rsidR="002D5BB5" w:rsidRPr="002D5BB5">
        <w:rPr>
          <w:rFonts w:ascii="Times New Roman" w:hAnsi="Times New Roman"/>
          <w:b w:val="0"/>
          <w:bCs w:val="0"/>
          <w:i/>
          <w:iCs/>
          <w:color w:val="222222"/>
          <w:sz w:val="20"/>
          <w:szCs w:val="20"/>
          <w:shd w:val="clear" w:color="auto" w:fill="FFFFFF"/>
        </w:rPr>
        <w:t> </w:t>
      </w:r>
      <w:r w:rsidR="002D5BB5" w:rsidRPr="002D5BB5">
        <w:rPr>
          <w:rFonts w:ascii="Times New Roman" w:hAnsi="Times New Roman"/>
          <w:b w:val="0"/>
          <w:bCs w:val="0"/>
          <w:color w:val="222222"/>
          <w:sz w:val="20"/>
          <w:szCs w:val="20"/>
          <w:shd w:val="clear" w:color="auto" w:fill="FFFFFF"/>
        </w:rPr>
        <w:t>2021</w:t>
      </w:r>
      <w:r w:rsidR="002D5BB5" w:rsidRPr="002D5BB5">
        <w:rPr>
          <w:rFonts w:ascii="Times New Roman" w:hAnsi="Times New Roman"/>
          <w:b w:val="0"/>
          <w:bCs w:val="0"/>
          <w:i/>
          <w:iCs/>
          <w:color w:val="222222"/>
          <w:sz w:val="20"/>
          <w:szCs w:val="20"/>
          <w:shd w:val="clear" w:color="auto" w:fill="FFFFFF"/>
        </w:rPr>
        <w:t>, </w:t>
      </w:r>
      <w:r w:rsidR="002D5BB5" w:rsidRPr="002D5BB5">
        <w:rPr>
          <w:rStyle w:val="Emphasis"/>
          <w:rFonts w:ascii="Times New Roman" w:hAnsi="Times New Roman"/>
          <w:b w:val="0"/>
          <w:bCs w:val="0"/>
          <w:i w:val="0"/>
          <w:iCs w:val="0"/>
          <w:color w:val="222222"/>
          <w:sz w:val="20"/>
          <w:szCs w:val="20"/>
          <w:shd w:val="clear" w:color="auto" w:fill="FFFFFF"/>
        </w:rPr>
        <w:t>13</w:t>
      </w:r>
      <w:r w:rsidR="002D5BB5" w:rsidRPr="002D5BB5">
        <w:rPr>
          <w:rFonts w:ascii="Times New Roman" w:hAnsi="Times New Roman"/>
          <w:b w:val="0"/>
          <w:bCs w:val="0"/>
          <w:color w:val="222222"/>
          <w:sz w:val="20"/>
          <w:szCs w:val="20"/>
          <w:shd w:val="clear" w:color="auto" w:fill="FFFFFF"/>
        </w:rPr>
        <w:t>(8), 1782</w:t>
      </w:r>
      <w:r w:rsidR="00BD121A">
        <w:rPr>
          <w:rFonts w:ascii="Times New Roman" w:hAnsi="Times New Roman"/>
          <w:b w:val="0"/>
          <w:bCs w:val="0"/>
          <w:color w:val="222222"/>
          <w:sz w:val="20"/>
          <w:szCs w:val="20"/>
          <w:shd w:val="clear" w:color="auto" w:fill="FFFFFF"/>
        </w:rPr>
        <w:t>)</w:t>
      </w:r>
      <w:r w:rsidR="002B149C">
        <w:rPr>
          <w:rFonts w:ascii="Times New Roman" w:hAnsi="Times New Roman"/>
          <w:b w:val="0"/>
          <w:bCs w:val="0"/>
          <w:color w:val="222222"/>
          <w:sz w:val="20"/>
          <w:szCs w:val="20"/>
          <w:shd w:val="clear" w:color="auto" w:fill="FFFFFF"/>
        </w:rPr>
        <w:t xml:space="preserve"> [1</w:t>
      </w:r>
      <w:r w:rsidR="00CF366C">
        <w:rPr>
          <w:rFonts w:ascii="Times New Roman" w:hAnsi="Times New Roman"/>
          <w:b w:val="0"/>
          <w:bCs w:val="0"/>
          <w:color w:val="222222"/>
          <w:sz w:val="20"/>
          <w:szCs w:val="20"/>
          <w:shd w:val="clear" w:color="auto" w:fill="FFFFFF"/>
        </w:rPr>
        <w:t>2</w:t>
      </w:r>
      <w:r w:rsidR="002B149C">
        <w:rPr>
          <w:rFonts w:ascii="Times New Roman" w:hAnsi="Times New Roman"/>
          <w:b w:val="0"/>
          <w:bCs w:val="0"/>
          <w:color w:val="222222"/>
          <w:sz w:val="20"/>
          <w:szCs w:val="20"/>
          <w:shd w:val="clear" w:color="auto" w:fill="FFFFFF"/>
        </w:rPr>
        <w:t>]</w:t>
      </w:r>
      <w:r w:rsidR="002D5BB5">
        <w:rPr>
          <w:rFonts w:ascii="Times New Roman" w:hAnsi="Times New Roman"/>
          <w:b w:val="0"/>
          <w:bCs w:val="0"/>
          <w:color w:val="222222"/>
          <w:sz w:val="20"/>
          <w:szCs w:val="20"/>
          <w:shd w:val="clear" w:color="auto" w:fill="FFFFFF"/>
        </w:rPr>
        <w:t>.</w:t>
      </w:r>
    </w:p>
    <w:p w14:paraId="50078477" w14:textId="3FB1034C" w:rsidR="006E0BE2" w:rsidRPr="002B4173" w:rsidRDefault="004F68F2" w:rsidP="004F68F2">
      <w:pPr>
        <w:pStyle w:val="ListParagraph"/>
        <w:numPr>
          <w:ilvl w:val="0"/>
          <w:numId w:val="4"/>
        </w:numPr>
        <w:rPr>
          <w:rFonts w:ascii="Times New Roman" w:hAnsi="Times New Roman" w:cs="Times New Roman"/>
          <w:b/>
          <w:bCs/>
          <w:sz w:val="20"/>
        </w:rPr>
      </w:pPr>
      <w:r w:rsidRPr="002B4173">
        <w:rPr>
          <w:rFonts w:ascii="Times New Roman" w:hAnsi="Times New Roman" w:cs="Times New Roman"/>
          <w:b/>
          <w:bCs/>
          <w:sz w:val="20"/>
        </w:rPr>
        <w:t>P</w:t>
      </w:r>
      <w:r w:rsidR="004A73D8" w:rsidRPr="002B4173">
        <w:rPr>
          <w:rFonts w:ascii="Times New Roman" w:hAnsi="Times New Roman" w:cs="Times New Roman"/>
          <w:b/>
          <w:bCs/>
          <w:sz w:val="20"/>
        </w:rPr>
        <w:t>harmacodynamic Biomarkers:</w:t>
      </w:r>
    </w:p>
    <w:p w14:paraId="717380E8" w14:textId="35B4B2E0" w:rsidR="009F1297" w:rsidRDefault="003D6432" w:rsidP="009F1297">
      <w:pPr>
        <w:ind w:firstLine="720"/>
        <w:jc w:val="both"/>
        <w:rPr>
          <w:rFonts w:ascii="Times New Roman" w:hAnsi="Times New Roman" w:cs="Times New Roman"/>
          <w:sz w:val="20"/>
        </w:rPr>
      </w:pPr>
      <w:r w:rsidRPr="003D6432">
        <w:rPr>
          <w:rFonts w:ascii="Times New Roman" w:hAnsi="Times New Roman" w:cs="Times New Roman"/>
          <w:sz w:val="20"/>
        </w:rPr>
        <w:t xml:space="preserve">Biomarker classification based on primary clinical relevance. Characteristics were routinely used to predict the likelihood of developing adverse impacts </w:t>
      </w:r>
      <w:r w:rsidR="00270A77">
        <w:rPr>
          <w:rFonts w:ascii="Times New Roman" w:hAnsi="Times New Roman" w:cs="Times New Roman"/>
          <w:sz w:val="20"/>
        </w:rPr>
        <w:t>[1</w:t>
      </w:r>
      <w:r w:rsidR="008E5831">
        <w:rPr>
          <w:rFonts w:ascii="Times New Roman" w:hAnsi="Times New Roman" w:cs="Times New Roman"/>
          <w:sz w:val="20"/>
        </w:rPr>
        <w:t>3</w:t>
      </w:r>
      <w:r w:rsidR="00270A77">
        <w:rPr>
          <w:rFonts w:ascii="Times New Roman" w:hAnsi="Times New Roman" w:cs="Times New Roman"/>
          <w:sz w:val="20"/>
        </w:rPr>
        <w:t>]</w:t>
      </w:r>
      <w:r w:rsidRPr="003D6432">
        <w:rPr>
          <w:rFonts w:ascii="Times New Roman" w:hAnsi="Times New Roman" w:cs="Times New Roman"/>
          <w:sz w:val="20"/>
        </w:rPr>
        <w:t xml:space="preserve">. Screening biomarkers can be employed in </w:t>
      </w:r>
      <w:r w:rsidR="00CB3F8B" w:rsidRPr="00CB3F8B">
        <w:rPr>
          <w:rFonts w:ascii="Times New Roman" w:hAnsi="Times New Roman" w:cs="Times New Roman"/>
          <w:sz w:val="20"/>
        </w:rPr>
        <w:t xml:space="preserve">various contexts, involving clinical practice or preclinical studies, there at the </w:t>
      </w:r>
      <w:r w:rsidRPr="003D6432">
        <w:rPr>
          <w:rFonts w:ascii="Times New Roman" w:hAnsi="Times New Roman" w:cs="Times New Roman"/>
          <w:sz w:val="20"/>
        </w:rPr>
        <w:t xml:space="preserve">beginning of therapy, for medicinal product design, like a measurement of disease severity, or even to assess the pharmacodynamics of therapeutic involvement. Response or Pharmacodynamic biomarker </w:t>
      </w:r>
      <w:r w:rsidR="002B4173">
        <w:rPr>
          <w:rFonts w:ascii="Times New Roman" w:hAnsi="Times New Roman" w:cs="Times New Roman"/>
          <w:sz w:val="20"/>
        </w:rPr>
        <w:t>is a</w:t>
      </w:r>
      <w:r w:rsidRPr="003D6432">
        <w:rPr>
          <w:rFonts w:ascii="Times New Roman" w:hAnsi="Times New Roman" w:cs="Times New Roman"/>
          <w:sz w:val="20"/>
        </w:rPr>
        <w:t xml:space="preserve"> potentially valuable technique in medical care which generates vital information for </w:t>
      </w:r>
      <w:r w:rsidR="002B4173">
        <w:rPr>
          <w:rFonts w:ascii="Times New Roman" w:hAnsi="Times New Roman" w:cs="Times New Roman"/>
          <w:sz w:val="20"/>
        </w:rPr>
        <w:t xml:space="preserve">a </w:t>
      </w:r>
      <w:r w:rsidRPr="003D6432">
        <w:rPr>
          <w:rFonts w:ascii="Times New Roman" w:hAnsi="Times New Roman" w:cs="Times New Roman"/>
          <w:sz w:val="20"/>
        </w:rPr>
        <w:t>treatment plan.</w:t>
      </w:r>
      <w:r w:rsidR="009F1297">
        <w:rPr>
          <w:rFonts w:ascii="Times New Roman" w:hAnsi="Times New Roman" w:cs="Times New Roman"/>
          <w:sz w:val="20"/>
        </w:rPr>
        <w:t xml:space="preserve"> </w:t>
      </w:r>
    </w:p>
    <w:p w14:paraId="6ADE1236" w14:textId="3B41C2D4" w:rsidR="0036000A" w:rsidRDefault="003420A1" w:rsidP="009F1297">
      <w:pPr>
        <w:ind w:firstLine="720"/>
        <w:jc w:val="both"/>
        <w:rPr>
          <w:rFonts w:ascii="Times New Roman" w:hAnsi="Times New Roman" w:cs="Times New Roman"/>
          <w:sz w:val="20"/>
        </w:rPr>
      </w:pPr>
      <w:r w:rsidRPr="003420A1">
        <w:rPr>
          <w:rFonts w:ascii="Times New Roman" w:hAnsi="Times New Roman" w:cs="Times New Roman"/>
          <w:sz w:val="20"/>
        </w:rPr>
        <w:t xml:space="preserve">A pharmacodynamic biomarker changes according to either a health condition or psychosocial approaches, including pharmacological treatment. Due to the complementary flow of their evaluation, this kind of biomarker is commonly considered a surveillance biomarker. The above biomarker's primary value is to assist clinical care, giving critical </w:t>
      </w:r>
      <w:r w:rsidR="00AE6277" w:rsidRPr="003420A1">
        <w:rPr>
          <w:rFonts w:ascii="Times New Roman" w:hAnsi="Times New Roman" w:cs="Times New Roman"/>
          <w:sz w:val="20"/>
        </w:rPr>
        <w:t>data</w:t>
      </w:r>
      <w:r w:rsidRPr="003420A1">
        <w:rPr>
          <w:rFonts w:ascii="Times New Roman" w:hAnsi="Times New Roman" w:cs="Times New Roman"/>
          <w:sz w:val="20"/>
        </w:rPr>
        <w:t xml:space="preserve"> for selecting whether or not to continue medication. Consequently, pharmacodynamic biomarkers dictate therapy progression </w:t>
      </w:r>
      <w:r w:rsidR="009A7D2B">
        <w:rPr>
          <w:rFonts w:ascii="Times New Roman" w:hAnsi="Times New Roman" w:cs="Times New Roman"/>
          <w:sz w:val="20"/>
        </w:rPr>
        <w:t>[1</w:t>
      </w:r>
      <w:r w:rsidR="00B6656A">
        <w:rPr>
          <w:rFonts w:ascii="Times New Roman" w:hAnsi="Times New Roman" w:cs="Times New Roman"/>
          <w:sz w:val="20"/>
        </w:rPr>
        <w:t>4</w:t>
      </w:r>
      <w:r w:rsidR="009A7D2B">
        <w:rPr>
          <w:rFonts w:ascii="Times New Roman" w:hAnsi="Times New Roman" w:cs="Times New Roman"/>
          <w:sz w:val="20"/>
        </w:rPr>
        <w:t>]</w:t>
      </w:r>
      <w:r w:rsidRPr="003420A1">
        <w:rPr>
          <w:rFonts w:ascii="Times New Roman" w:hAnsi="Times New Roman" w:cs="Times New Roman"/>
          <w:sz w:val="20"/>
        </w:rPr>
        <w:t xml:space="preserve">. Additional potential for all these biomarkers is already in new therapeutic developing drugs, where they can assist generate </w:t>
      </w:r>
      <w:r w:rsidR="00934436">
        <w:rPr>
          <w:rFonts w:ascii="Times New Roman" w:hAnsi="Times New Roman" w:cs="Times New Roman"/>
          <w:sz w:val="20"/>
        </w:rPr>
        <w:t xml:space="preserve">a </w:t>
      </w:r>
      <w:r w:rsidRPr="003420A1">
        <w:rPr>
          <w:rFonts w:ascii="Times New Roman" w:hAnsi="Times New Roman" w:cs="Times New Roman"/>
          <w:sz w:val="20"/>
        </w:rPr>
        <w:t xml:space="preserve">confirmation that a medication causes pharmacodynamic alterations in individuals that are associated </w:t>
      </w:r>
      <w:r w:rsidR="00934436">
        <w:rPr>
          <w:rFonts w:ascii="Times New Roman" w:hAnsi="Times New Roman" w:cs="Times New Roman"/>
          <w:sz w:val="20"/>
        </w:rPr>
        <w:t>with</w:t>
      </w:r>
      <w:r w:rsidRPr="003420A1">
        <w:rPr>
          <w:rFonts w:ascii="Times New Roman" w:hAnsi="Times New Roman" w:cs="Times New Roman"/>
          <w:sz w:val="20"/>
        </w:rPr>
        <w:t xml:space="preserve"> its therapeutic value and direct potency investigations</w:t>
      </w:r>
      <w:r w:rsidR="00B6656A">
        <w:rPr>
          <w:rFonts w:ascii="Times New Roman" w:hAnsi="Times New Roman" w:cs="Times New Roman"/>
          <w:sz w:val="20"/>
        </w:rPr>
        <w:t xml:space="preserve"> [15]</w:t>
      </w:r>
      <w:r w:rsidR="0097457E" w:rsidRPr="0097457E">
        <w:rPr>
          <w:rFonts w:ascii="Times New Roman" w:hAnsi="Times New Roman" w:cs="Times New Roman"/>
          <w:sz w:val="20"/>
        </w:rPr>
        <w:t xml:space="preserve">. </w:t>
      </w:r>
    </w:p>
    <w:p w14:paraId="267602D9" w14:textId="53947602" w:rsidR="00DA4D15" w:rsidRDefault="00DA4D15" w:rsidP="00387469">
      <w:pPr>
        <w:pStyle w:val="ListParagraph"/>
        <w:numPr>
          <w:ilvl w:val="0"/>
          <w:numId w:val="4"/>
        </w:numPr>
        <w:spacing w:after="0" w:line="240" w:lineRule="auto"/>
        <w:jc w:val="both"/>
        <w:rPr>
          <w:rFonts w:ascii="Times New Roman" w:hAnsi="Times New Roman" w:cs="Times New Roman"/>
          <w:b/>
          <w:bCs/>
          <w:sz w:val="20"/>
        </w:rPr>
      </w:pPr>
      <w:r w:rsidRPr="00DA4D15">
        <w:rPr>
          <w:rFonts w:ascii="Times New Roman" w:hAnsi="Times New Roman" w:cs="Times New Roman"/>
          <w:b/>
          <w:bCs/>
          <w:sz w:val="20"/>
        </w:rPr>
        <w:t>Safety Biomarkers:</w:t>
      </w:r>
    </w:p>
    <w:p w14:paraId="5C6E12B7" w14:textId="0EF4A39C" w:rsidR="0094389A" w:rsidRPr="0094389A" w:rsidRDefault="00387469" w:rsidP="0094389A">
      <w:pPr>
        <w:pStyle w:val="NormalWeb"/>
        <w:shd w:val="clear" w:color="auto" w:fill="FFFFFF"/>
        <w:spacing w:before="166" w:after="166"/>
        <w:jc w:val="both"/>
        <w:rPr>
          <w:color w:val="000000"/>
          <w:sz w:val="20"/>
          <w:szCs w:val="20"/>
        </w:rPr>
      </w:pPr>
      <w:r w:rsidRPr="00093792">
        <w:rPr>
          <w:rFonts w:eastAsiaTheme="minorHAnsi"/>
          <w:color w:val="000000"/>
          <w:sz w:val="20"/>
          <w:szCs w:val="20"/>
          <w:shd w:val="clear" w:color="auto" w:fill="FFFFFF"/>
        </w:rPr>
        <w:t xml:space="preserve">Healthcare procedures and natural factors can also have unintentional, extremely harmful, or outright hazardous implications. The capacity to identify or anticipate </w:t>
      </w:r>
      <w:r w:rsidR="00934436">
        <w:rPr>
          <w:rFonts w:eastAsiaTheme="minorHAnsi"/>
          <w:color w:val="000000"/>
          <w:sz w:val="20"/>
          <w:szCs w:val="20"/>
          <w:shd w:val="clear" w:color="auto" w:fill="FFFFFF"/>
        </w:rPr>
        <w:t>these adverse medication</w:t>
      </w:r>
      <w:r w:rsidRPr="00093792">
        <w:rPr>
          <w:rFonts w:eastAsiaTheme="minorHAnsi"/>
          <w:color w:val="000000"/>
          <w:sz w:val="20"/>
          <w:szCs w:val="20"/>
          <w:shd w:val="clear" w:color="auto" w:fill="FFFFFF"/>
        </w:rPr>
        <w:t xml:space="preserve"> or </w:t>
      </w:r>
      <w:r w:rsidR="00934436">
        <w:rPr>
          <w:rFonts w:eastAsiaTheme="minorHAnsi"/>
          <w:color w:val="000000"/>
          <w:sz w:val="20"/>
          <w:szCs w:val="20"/>
          <w:shd w:val="clear" w:color="auto" w:fill="FFFFFF"/>
        </w:rPr>
        <w:t>exposure</w:t>
      </w:r>
      <w:r w:rsidRPr="00093792">
        <w:rPr>
          <w:rFonts w:eastAsiaTheme="minorHAnsi"/>
          <w:color w:val="000000"/>
          <w:sz w:val="20"/>
          <w:szCs w:val="20"/>
          <w:shd w:val="clear" w:color="auto" w:fill="FFFFFF"/>
        </w:rPr>
        <w:t xml:space="preserve"> impacts are shared by all safety biomarkers. In certain circumstances, the discovery or change in a biomarker signals toxicity, allowing dosage reduction or therapy termination before the toxicity becomes severe</w:t>
      </w:r>
      <w:r w:rsidR="00B6656A">
        <w:rPr>
          <w:rFonts w:eastAsiaTheme="minorHAnsi"/>
          <w:color w:val="000000"/>
          <w:sz w:val="20"/>
          <w:szCs w:val="20"/>
          <w:shd w:val="clear" w:color="auto" w:fill="FFFFFF"/>
        </w:rPr>
        <w:t xml:space="preserve"> [16]</w:t>
      </w:r>
      <w:r w:rsidRPr="00093792">
        <w:rPr>
          <w:rFonts w:eastAsiaTheme="minorHAnsi"/>
          <w:color w:val="000000"/>
          <w:sz w:val="20"/>
          <w:szCs w:val="20"/>
          <w:shd w:val="clear" w:color="auto" w:fill="FFFFFF"/>
        </w:rPr>
        <w:t xml:space="preserve">. A safety biomarker would ideally detect emerging toxicity, such as </w:t>
      </w:r>
      <w:r w:rsidR="00177C3C">
        <w:rPr>
          <w:rFonts w:eastAsiaTheme="minorHAnsi"/>
          <w:color w:val="000000"/>
          <w:sz w:val="20"/>
          <w:szCs w:val="20"/>
          <w:shd w:val="clear" w:color="auto" w:fill="FFFFFF"/>
        </w:rPr>
        <w:t xml:space="preserve">induced </w:t>
      </w:r>
      <w:r w:rsidRPr="00093792">
        <w:rPr>
          <w:rFonts w:eastAsiaTheme="minorHAnsi"/>
          <w:color w:val="000000"/>
          <w:sz w:val="20"/>
          <w:szCs w:val="20"/>
          <w:shd w:val="clear" w:color="auto" w:fill="FFFFFF"/>
        </w:rPr>
        <w:t>drug</w:t>
      </w:r>
      <w:r w:rsidR="00177C3C">
        <w:rPr>
          <w:rFonts w:eastAsiaTheme="minorHAnsi"/>
          <w:color w:val="000000"/>
          <w:sz w:val="20"/>
          <w:szCs w:val="20"/>
          <w:shd w:val="clear" w:color="auto" w:fill="FFFFFF"/>
        </w:rPr>
        <w:t xml:space="preserve"> </w:t>
      </w:r>
      <w:r w:rsidRPr="00093792">
        <w:rPr>
          <w:rFonts w:eastAsiaTheme="minorHAnsi"/>
          <w:color w:val="000000"/>
          <w:sz w:val="20"/>
          <w:szCs w:val="20"/>
          <w:shd w:val="clear" w:color="auto" w:fill="FFFFFF"/>
        </w:rPr>
        <w:t xml:space="preserve">organ destruction, </w:t>
      </w:r>
      <w:r w:rsidR="003247B7" w:rsidRPr="00093792">
        <w:rPr>
          <w:rFonts w:eastAsiaTheme="minorHAnsi"/>
          <w:color w:val="000000"/>
          <w:sz w:val="20"/>
          <w:szCs w:val="20"/>
          <w:shd w:val="clear" w:color="auto" w:fill="FFFFFF"/>
        </w:rPr>
        <w:t>preceding</w:t>
      </w:r>
      <w:r w:rsidRPr="00093792">
        <w:rPr>
          <w:rFonts w:eastAsiaTheme="minorHAnsi"/>
          <w:color w:val="000000"/>
          <w:sz w:val="20"/>
          <w:szCs w:val="20"/>
          <w:shd w:val="clear" w:color="auto" w:fill="FFFFFF"/>
        </w:rPr>
        <w:t xml:space="preserve"> </w:t>
      </w:r>
      <w:r w:rsidR="003247B7" w:rsidRPr="00093792">
        <w:rPr>
          <w:rFonts w:eastAsiaTheme="minorHAnsi"/>
          <w:color w:val="000000"/>
          <w:sz w:val="20"/>
          <w:szCs w:val="20"/>
          <w:shd w:val="clear" w:color="auto" w:fill="FFFFFF"/>
        </w:rPr>
        <w:t>medical</w:t>
      </w:r>
      <w:r w:rsidRPr="00093792">
        <w:rPr>
          <w:rFonts w:eastAsiaTheme="minorHAnsi"/>
          <w:color w:val="000000"/>
          <w:sz w:val="20"/>
          <w:szCs w:val="20"/>
          <w:shd w:val="clear" w:color="auto" w:fill="FFFFFF"/>
        </w:rPr>
        <w:t xml:space="preserve"> symptoms before permanent </w:t>
      </w:r>
      <w:r w:rsidR="003247B7" w:rsidRPr="00093792">
        <w:rPr>
          <w:rFonts w:eastAsiaTheme="minorHAnsi"/>
          <w:color w:val="000000"/>
          <w:sz w:val="20"/>
          <w:szCs w:val="20"/>
          <w:shd w:val="clear" w:color="auto" w:fill="FFFFFF"/>
        </w:rPr>
        <w:t>impairment</w:t>
      </w:r>
      <w:r w:rsidRPr="00093792">
        <w:rPr>
          <w:rFonts w:eastAsiaTheme="minorHAnsi"/>
          <w:color w:val="000000"/>
          <w:sz w:val="20"/>
          <w:szCs w:val="20"/>
          <w:shd w:val="clear" w:color="auto" w:fill="FFFFFF"/>
        </w:rPr>
        <w:t xml:space="preserve"> occurs. </w:t>
      </w:r>
      <w:r w:rsidR="003247B7" w:rsidRPr="00093792">
        <w:rPr>
          <w:rFonts w:eastAsiaTheme="minorHAnsi"/>
          <w:color w:val="000000"/>
          <w:sz w:val="20"/>
          <w:szCs w:val="20"/>
          <w:shd w:val="clear" w:color="auto" w:fill="FFFFFF"/>
        </w:rPr>
        <w:t>Nursing</w:t>
      </w:r>
      <w:r w:rsidRPr="00093792">
        <w:rPr>
          <w:rFonts w:eastAsiaTheme="minorHAnsi"/>
          <w:color w:val="000000"/>
          <w:sz w:val="20"/>
          <w:szCs w:val="20"/>
          <w:shd w:val="clear" w:color="auto" w:fill="FFFFFF"/>
        </w:rPr>
        <w:t xml:space="preserve"> creatinine phosphokinase </w:t>
      </w:r>
      <w:r w:rsidR="003247B7" w:rsidRPr="00093792">
        <w:rPr>
          <w:rFonts w:eastAsiaTheme="minorHAnsi"/>
          <w:color w:val="000000"/>
          <w:sz w:val="20"/>
          <w:szCs w:val="20"/>
          <w:shd w:val="clear" w:color="auto" w:fill="FFFFFF"/>
        </w:rPr>
        <w:t>aimed at</w:t>
      </w:r>
      <w:r w:rsidRPr="00093792">
        <w:rPr>
          <w:rFonts w:eastAsiaTheme="minorHAnsi"/>
          <w:color w:val="000000"/>
          <w:sz w:val="20"/>
          <w:szCs w:val="20"/>
          <w:shd w:val="clear" w:color="auto" w:fill="FFFFFF"/>
        </w:rPr>
        <w:t xml:space="preserve"> medications that might cause muscle damage, serum creatinine for possibly nephrotoxic pharmaceuticals, and transaminases for potentially hepatotoxic drugs </w:t>
      </w:r>
      <w:r w:rsidR="00066FA2">
        <w:rPr>
          <w:rFonts w:eastAsiaTheme="minorHAnsi"/>
          <w:color w:val="000000"/>
          <w:sz w:val="20"/>
          <w:szCs w:val="20"/>
          <w:shd w:val="clear" w:color="auto" w:fill="FFFFFF"/>
        </w:rPr>
        <w:t>is</w:t>
      </w:r>
      <w:r w:rsidRPr="00093792">
        <w:rPr>
          <w:rFonts w:eastAsiaTheme="minorHAnsi"/>
          <w:color w:val="000000"/>
          <w:sz w:val="20"/>
          <w:szCs w:val="20"/>
          <w:shd w:val="clear" w:color="auto" w:fill="FFFFFF"/>
        </w:rPr>
        <w:t xml:space="preserve"> just a few examples.</w:t>
      </w:r>
      <w:r w:rsidR="00093792" w:rsidRPr="00093792">
        <w:rPr>
          <w:color w:val="000000"/>
          <w:sz w:val="20"/>
          <w:szCs w:val="20"/>
        </w:rPr>
        <w:t xml:space="preserve"> </w:t>
      </w:r>
      <w:r w:rsidR="0094389A" w:rsidRPr="0094389A">
        <w:rPr>
          <w:color w:val="000000"/>
          <w:sz w:val="20"/>
          <w:szCs w:val="20"/>
        </w:rPr>
        <w:t xml:space="preserve">Frequently biomarker symptoms indicate the potential of significant (although uncommon) disaster. Even a few people with </w:t>
      </w:r>
      <w:r w:rsidR="00934436">
        <w:rPr>
          <w:color w:val="000000"/>
          <w:sz w:val="20"/>
          <w:szCs w:val="20"/>
        </w:rPr>
        <w:t>a high plasma level</w:t>
      </w:r>
      <w:r w:rsidR="0094389A" w:rsidRPr="0094389A">
        <w:rPr>
          <w:color w:val="000000"/>
          <w:sz w:val="20"/>
          <w:szCs w:val="20"/>
        </w:rPr>
        <w:t xml:space="preserve"> and bilirubin predict the probability of </w:t>
      </w:r>
      <w:r w:rsidR="00934436">
        <w:rPr>
          <w:color w:val="000000"/>
          <w:sz w:val="20"/>
          <w:szCs w:val="20"/>
        </w:rPr>
        <w:t>significantly</w:t>
      </w:r>
      <w:r w:rsidR="0094389A" w:rsidRPr="0094389A">
        <w:rPr>
          <w:color w:val="000000"/>
          <w:sz w:val="20"/>
          <w:szCs w:val="20"/>
        </w:rPr>
        <w:t xml:space="preserve"> </w:t>
      </w:r>
      <w:r w:rsidR="00934436">
        <w:rPr>
          <w:color w:val="000000"/>
          <w:sz w:val="20"/>
          <w:szCs w:val="20"/>
        </w:rPr>
        <w:t>contributing</w:t>
      </w:r>
      <w:r w:rsidR="0094389A" w:rsidRPr="0094389A">
        <w:rPr>
          <w:color w:val="000000"/>
          <w:sz w:val="20"/>
          <w:szCs w:val="20"/>
        </w:rPr>
        <w:t xml:space="preserve"> to a decrease (i.e., "Hy's Law"), </w:t>
      </w:r>
      <w:r w:rsidR="00934436">
        <w:rPr>
          <w:color w:val="000000"/>
          <w:sz w:val="20"/>
          <w:szCs w:val="20"/>
        </w:rPr>
        <w:t>which</w:t>
      </w:r>
      <w:r w:rsidR="0094389A" w:rsidRPr="0094389A">
        <w:rPr>
          <w:color w:val="000000"/>
          <w:sz w:val="20"/>
          <w:szCs w:val="20"/>
        </w:rPr>
        <w:t xml:space="preserve"> is an unnecessary risk as with most treatments</w:t>
      </w:r>
      <w:r w:rsidR="00E56E54">
        <w:rPr>
          <w:color w:val="000000"/>
          <w:sz w:val="20"/>
          <w:szCs w:val="20"/>
        </w:rPr>
        <w:t xml:space="preserve"> [1</w:t>
      </w:r>
      <w:r w:rsidR="00B6656A">
        <w:rPr>
          <w:color w:val="000000"/>
          <w:sz w:val="20"/>
          <w:szCs w:val="20"/>
        </w:rPr>
        <w:t>7</w:t>
      </w:r>
      <w:r w:rsidR="00E56E54">
        <w:rPr>
          <w:color w:val="000000"/>
          <w:sz w:val="20"/>
          <w:szCs w:val="20"/>
        </w:rPr>
        <w:t>]</w:t>
      </w:r>
      <w:r w:rsidR="0094389A" w:rsidRPr="0094389A">
        <w:rPr>
          <w:color w:val="000000"/>
          <w:sz w:val="20"/>
          <w:szCs w:val="20"/>
        </w:rPr>
        <w:t>.</w:t>
      </w:r>
    </w:p>
    <w:p w14:paraId="11D5D721" w14:textId="71158313" w:rsidR="00387469" w:rsidRDefault="0094389A" w:rsidP="006822F4">
      <w:pPr>
        <w:pStyle w:val="NormalWeb"/>
        <w:shd w:val="clear" w:color="auto" w:fill="FFFFFF"/>
        <w:spacing w:before="166" w:after="166"/>
        <w:jc w:val="both"/>
        <w:rPr>
          <w:color w:val="000000"/>
          <w:sz w:val="20"/>
          <w:szCs w:val="20"/>
        </w:rPr>
      </w:pPr>
      <w:r w:rsidRPr="0094389A">
        <w:rPr>
          <w:color w:val="000000"/>
          <w:sz w:val="20"/>
          <w:szCs w:val="20"/>
        </w:rPr>
        <w:lastRenderedPageBreak/>
        <w:t>Additionally, safety biomarkers can indeed be used to determine sick people among whom certain treatments cannot be commenced because of high workplace accidents.</w:t>
      </w:r>
      <w:r w:rsidR="00093792" w:rsidRPr="00093792">
        <w:rPr>
          <w:color w:val="000000"/>
          <w:sz w:val="20"/>
          <w:szCs w:val="20"/>
        </w:rPr>
        <w:t xml:space="preserve"> </w:t>
      </w:r>
      <w:r w:rsidR="00BC6805" w:rsidRPr="00BC6805">
        <w:rPr>
          <w:color w:val="000000"/>
          <w:sz w:val="20"/>
          <w:szCs w:val="20"/>
        </w:rPr>
        <w:t xml:space="preserve">Imbalances in metabolizing enzymes for example can </w:t>
      </w:r>
      <w:r w:rsidR="00934436">
        <w:rPr>
          <w:color w:val="000000"/>
          <w:sz w:val="20"/>
          <w:szCs w:val="20"/>
        </w:rPr>
        <w:t>recognize</w:t>
      </w:r>
      <w:r w:rsidR="00BC6805" w:rsidRPr="00BC6805">
        <w:rPr>
          <w:color w:val="000000"/>
          <w:sz w:val="20"/>
          <w:szCs w:val="20"/>
        </w:rPr>
        <w:t xml:space="preserve"> vulnerable individuals of intoxication except if the drug dose is whittled down or service users who are unlikely to interact to either a vital rehabilitation because they cannot produce the effective chemical compound (e.g.,</w:t>
      </w:r>
      <w:r w:rsidR="00066FA2" w:rsidRPr="00066FA2">
        <w:rPr>
          <w:color w:val="000000"/>
          <w:sz w:val="20"/>
          <w:szCs w:val="20"/>
        </w:rPr>
        <w:t xml:space="preserve"> </w:t>
      </w:r>
      <w:r w:rsidR="00066FA2" w:rsidRPr="00BC6805">
        <w:rPr>
          <w:color w:val="000000"/>
          <w:sz w:val="20"/>
          <w:szCs w:val="20"/>
        </w:rPr>
        <w:t>azathioprine</w:t>
      </w:r>
      <w:r w:rsidR="00BC6805" w:rsidRPr="00BC6805">
        <w:rPr>
          <w:color w:val="000000"/>
          <w:sz w:val="20"/>
          <w:szCs w:val="20"/>
        </w:rPr>
        <w:t xml:space="preserve"> </w:t>
      </w:r>
      <w:r w:rsidR="002E4DF7">
        <w:rPr>
          <w:color w:val="000000"/>
          <w:sz w:val="20"/>
          <w:szCs w:val="20"/>
        </w:rPr>
        <w:t>or</w:t>
      </w:r>
      <w:r w:rsidR="00BC6805" w:rsidRPr="00BC6805">
        <w:rPr>
          <w:color w:val="000000"/>
          <w:sz w:val="20"/>
          <w:szCs w:val="20"/>
        </w:rPr>
        <w:t xml:space="preserve"> thiopurine methyltransferase (TPMT) nucleotide sequence employed to classify individuals who are unlikely to offered 6-mercaptopurine </w:t>
      </w:r>
      <w:r w:rsidR="002E4DF7" w:rsidRPr="00BC6805">
        <w:rPr>
          <w:color w:val="000000"/>
          <w:sz w:val="20"/>
          <w:szCs w:val="20"/>
        </w:rPr>
        <w:t>since</w:t>
      </w:r>
      <w:r w:rsidR="00BC6805" w:rsidRPr="00BC6805">
        <w:rPr>
          <w:color w:val="000000"/>
          <w:sz w:val="20"/>
          <w:szCs w:val="20"/>
        </w:rPr>
        <w:t xml:space="preserve"> </w:t>
      </w:r>
      <w:r w:rsidR="00785BC5" w:rsidRPr="00BC6805">
        <w:rPr>
          <w:color w:val="000000"/>
          <w:sz w:val="20"/>
          <w:szCs w:val="20"/>
        </w:rPr>
        <w:t>unembellished</w:t>
      </w:r>
      <w:r w:rsidR="00BC6805" w:rsidRPr="00BC6805">
        <w:rPr>
          <w:color w:val="000000"/>
          <w:sz w:val="20"/>
          <w:szCs w:val="20"/>
        </w:rPr>
        <w:t xml:space="preserve"> </w:t>
      </w:r>
      <w:r w:rsidR="00785BC5" w:rsidRPr="00BC6805">
        <w:rPr>
          <w:color w:val="000000"/>
          <w:sz w:val="20"/>
          <w:szCs w:val="20"/>
        </w:rPr>
        <w:t>harmfulness</w:t>
      </w:r>
      <w:r w:rsidR="00BC6805" w:rsidRPr="00BC6805">
        <w:rPr>
          <w:color w:val="000000"/>
          <w:sz w:val="20"/>
          <w:szCs w:val="20"/>
        </w:rPr>
        <w:t xml:space="preserve"> due to high drug </w:t>
      </w:r>
      <w:r w:rsidR="00785BC5" w:rsidRPr="00BC6805">
        <w:rPr>
          <w:color w:val="000000"/>
          <w:sz w:val="20"/>
          <w:szCs w:val="20"/>
        </w:rPr>
        <w:t>absorptions</w:t>
      </w:r>
      <w:r w:rsidR="00BC6805" w:rsidRPr="00BC6805">
        <w:rPr>
          <w:color w:val="000000"/>
          <w:sz w:val="20"/>
          <w:szCs w:val="20"/>
        </w:rPr>
        <w:t xml:space="preserve"> may occur; </w:t>
      </w:r>
      <w:r w:rsidR="00785BC5" w:rsidRPr="00BC6805">
        <w:rPr>
          <w:color w:val="000000"/>
          <w:sz w:val="20"/>
          <w:szCs w:val="20"/>
        </w:rPr>
        <w:t>affected role</w:t>
      </w:r>
      <w:r w:rsidR="00BC6805" w:rsidRPr="00BC6805">
        <w:rPr>
          <w:color w:val="000000"/>
          <w:sz w:val="20"/>
          <w:szCs w:val="20"/>
        </w:rPr>
        <w:t xml:space="preserve"> with H</w:t>
      </w:r>
      <w:r w:rsidR="00934436">
        <w:rPr>
          <w:color w:val="000000"/>
          <w:sz w:val="20"/>
          <w:szCs w:val="20"/>
        </w:rPr>
        <w:t xml:space="preserve"> </w:t>
      </w:r>
      <w:r w:rsidR="00BC6805" w:rsidRPr="00BC6805">
        <w:rPr>
          <w:color w:val="000000"/>
          <w:sz w:val="20"/>
          <w:szCs w:val="20"/>
        </w:rPr>
        <w:t>Biomarker assessments there at populations can identify individuals who have recently been susceptible to various environmental pollutants, necessitating public health programs or actions to restrict or minimize risks</w:t>
      </w:r>
      <w:r w:rsidR="00E56E54">
        <w:rPr>
          <w:color w:val="000000"/>
          <w:sz w:val="20"/>
          <w:szCs w:val="20"/>
        </w:rPr>
        <w:t>[1</w:t>
      </w:r>
      <w:r w:rsidR="00C24AD1">
        <w:rPr>
          <w:color w:val="000000"/>
          <w:sz w:val="20"/>
          <w:szCs w:val="20"/>
        </w:rPr>
        <w:t>8</w:t>
      </w:r>
      <w:r w:rsidR="00E56E54">
        <w:rPr>
          <w:color w:val="000000"/>
          <w:sz w:val="20"/>
          <w:szCs w:val="20"/>
        </w:rPr>
        <w:t>]</w:t>
      </w:r>
      <w:r w:rsidR="00BC6805" w:rsidRPr="00BC6805">
        <w:rPr>
          <w:color w:val="000000"/>
          <w:sz w:val="20"/>
          <w:szCs w:val="20"/>
        </w:rPr>
        <w:t>.</w:t>
      </w:r>
      <w:r w:rsidR="00BC6805">
        <w:rPr>
          <w:color w:val="000000"/>
          <w:sz w:val="20"/>
          <w:szCs w:val="20"/>
        </w:rPr>
        <w:t xml:space="preserve"> </w:t>
      </w:r>
      <w:r w:rsidR="00934436">
        <w:rPr>
          <w:color w:val="000000"/>
          <w:sz w:val="20"/>
          <w:szCs w:val="20"/>
        </w:rPr>
        <w:t>For</w:t>
      </w:r>
      <w:r w:rsidR="006822F4" w:rsidRPr="006822F4">
        <w:rPr>
          <w:color w:val="000000"/>
          <w:sz w:val="20"/>
          <w:szCs w:val="20"/>
        </w:rPr>
        <w:t xml:space="preserve"> instance, plasma, lead quantities can be </w:t>
      </w:r>
      <w:proofErr w:type="spellStart"/>
      <w:r w:rsidR="00BD61C1">
        <w:rPr>
          <w:color w:val="000000"/>
          <w:sz w:val="20"/>
          <w:szCs w:val="20"/>
        </w:rPr>
        <w:t>analyzed</w:t>
      </w:r>
      <w:proofErr w:type="spellEnd"/>
      <w:r w:rsidR="006822F4" w:rsidRPr="006822F4">
        <w:rPr>
          <w:color w:val="000000"/>
          <w:sz w:val="20"/>
          <w:szCs w:val="20"/>
        </w:rPr>
        <w:t xml:space="preserve"> to determine lead levels, whereas urine cotinine levels can indeed be measured to diagnose nicotine vulnerability (i.e., cigarette smoke). The outcomes of environmental protection biomarkers assessments can trigger an examination into the origin of something like the contamination, followed by a public health measure.</w:t>
      </w:r>
    </w:p>
    <w:p w14:paraId="23CE8D9B" w14:textId="144DD9FA" w:rsidR="00B84738" w:rsidRPr="000B40FE" w:rsidRDefault="000B40FE" w:rsidP="00B84738">
      <w:pPr>
        <w:pStyle w:val="NormalWeb"/>
        <w:numPr>
          <w:ilvl w:val="0"/>
          <w:numId w:val="4"/>
        </w:numPr>
        <w:shd w:val="clear" w:color="auto" w:fill="FFFFFF"/>
        <w:spacing w:before="166" w:after="166"/>
        <w:jc w:val="both"/>
        <w:rPr>
          <w:b/>
          <w:bCs/>
          <w:color w:val="000000"/>
          <w:sz w:val="20"/>
          <w:szCs w:val="20"/>
        </w:rPr>
      </w:pPr>
      <w:r w:rsidRPr="000B40FE">
        <w:rPr>
          <w:b/>
          <w:bCs/>
          <w:color w:val="000000"/>
          <w:sz w:val="20"/>
          <w:szCs w:val="20"/>
        </w:rPr>
        <w:t>Susceptibility/Risk Bio Markers</w:t>
      </w:r>
    </w:p>
    <w:p w14:paraId="41858566" w14:textId="07EB97B3" w:rsidR="000B40FE" w:rsidRDefault="00106E5F" w:rsidP="000B40FE">
      <w:pPr>
        <w:pStyle w:val="NormalWeb"/>
        <w:shd w:val="clear" w:color="auto" w:fill="FFFFFF"/>
        <w:spacing w:before="166" w:beforeAutospacing="0" w:after="166" w:afterAutospacing="0"/>
        <w:jc w:val="both"/>
        <w:rPr>
          <w:color w:val="000000"/>
          <w:sz w:val="20"/>
          <w:szCs w:val="20"/>
        </w:rPr>
      </w:pPr>
      <w:r w:rsidRPr="00822856">
        <w:rPr>
          <w:color w:val="000000"/>
          <w:sz w:val="20"/>
          <w:szCs w:val="20"/>
        </w:rPr>
        <w:t>The highly susceptible biomarker is a biomarker correlated with either an enhanced and in some circumstances, diminished risk of catching medical</w:t>
      </w:r>
      <w:r w:rsidR="008C731F">
        <w:rPr>
          <w:color w:val="000000"/>
          <w:sz w:val="20"/>
          <w:szCs w:val="20"/>
        </w:rPr>
        <w:t xml:space="preserve"> or</w:t>
      </w:r>
      <w:r w:rsidR="008C731F" w:rsidRPr="008C731F">
        <w:rPr>
          <w:color w:val="000000"/>
          <w:sz w:val="20"/>
          <w:szCs w:val="20"/>
        </w:rPr>
        <w:t xml:space="preserve"> </w:t>
      </w:r>
      <w:r w:rsidR="008C731F" w:rsidRPr="00822856">
        <w:rPr>
          <w:color w:val="000000"/>
          <w:sz w:val="20"/>
          <w:szCs w:val="20"/>
        </w:rPr>
        <w:t>disease</w:t>
      </w:r>
      <w:r w:rsidR="008C731F">
        <w:rPr>
          <w:color w:val="000000"/>
          <w:sz w:val="20"/>
          <w:szCs w:val="20"/>
        </w:rPr>
        <w:t xml:space="preserve"> </w:t>
      </w:r>
      <w:r w:rsidR="008C731F" w:rsidRPr="00822856">
        <w:rPr>
          <w:color w:val="000000"/>
          <w:sz w:val="20"/>
          <w:szCs w:val="20"/>
        </w:rPr>
        <w:t>problem</w:t>
      </w:r>
      <w:r w:rsidRPr="00822856">
        <w:rPr>
          <w:color w:val="000000"/>
          <w:sz w:val="20"/>
          <w:szCs w:val="20"/>
        </w:rPr>
        <w:t xml:space="preserve"> </w:t>
      </w:r>
      <w:r w:rsidR="008C731F">
        <w:rPr>
          <w:color w:val="000000"/>
          <w:sz w:val="20"/>
          <w:szCs w:val="20"/>
        </w:rPr>
        <w:t xml:space="preserve">on </w:t>
      </w:r>
      <w:r w:rsidRPr="00822856">
        <w:rPr>
          <w:color w:val="000000"/>
          <w:sz w:val="20"/>
          <w:szCs w:val="20"/>
        </w:rPr>
        <w:t>individual</w:t>
      </w:r>
      <w:r w:rsidR="008C731F">
        <w:rPr>
          <w:color w:val="000000"/>
          <w:sz w:val="20"/>
          <w:szCs w:val="20"/>
        </w:rPr>
        <w:t>s</w:t>
      </w:r>
      <w:r w:rsidRPr="00822856">
        <w:rPr>
          <w:color w:val="000000"/>
          <w:sz w:val="20"/>
          <w:szCs w:val="20"/>
        </w:rPr>
        <w:t xml:space="preserve"> who doesn't really necessarily possess ailment or medical problem medically. A susceptibility</w:t>
      </w:r>
      <w:r w:rsidR="008C731F">
        <w:rPr>
          <w:color w:val="000000"/>
          <w:sz w:val="20"/>
          <w:szCs w:val="20"/>
        </w:rPr>
        <w:t xml:space="preserve"> </w:t>
      </w:r>
      <w:r w:rsidRPr="00822856">
        <w:rPr>
          <w:color w:val="000000"/>
          <w:sz w:val="20"/>
          <w:szCs w:val="20"/>
        </w:rPr>
        <w:t>biomarker</w:t>
      </w:r>
      <w:r w:rsidR="00CA28C8">
        <w:rPr>
          <w:color w:val="000000"/>
          <w:sz w:val="20"/>
          <w:szCs w:val="20"/>
        </w:rPr>
        <w:t xml:space="preserve"> </w:t>
      </w:r>
      <w:r w:rsidRPr="00822856">
        <w:rPr>
          <w:color w:val="000000"/>
          <w:sz w:val="20"/>
          <w:szCs w:val="20"/>
        </w:rPr>
        <w:t xml:space="preserve">that tells whether an individual is more likely to acquire a disease later in life. It differentiates from the analysis can be described, that reflects an increased probability of </w:t>
      </w:r>
      <w:proofErr w:type="spellStart"/>
      <w:proofErr w:type="gramStart"/>
      <w:r w:rsidRPr="00822856">
        <w:rPr>
          <w:color w:val="000000"/>
          <w:sz w:val="20"/>
          <w:szCs w:val="20"/>
        </w:rPr>
        <w:t>a</w:t>
      </w:r>
      <w:proofErr w:type="spellEnd"/>
      <w:proofErr w:type="gramEnd"/>
      <w:r w:rsidRPr="00822856">
        <w:rPr>
          <w:color w:val="000000"/>
          <w:sz w:val="20"/>
          <w:szCs w:val="20"/>
        </w:rPr>
        <w:t xml:space="preserve"> </w:t>
      </w:r>
      <w:r w:rsidR="00CA28C8" w:rsidRPr="00822856">
        <w:rPr>
          <w:color w:val="000000"/>
          <w:sz w:val="20"/>
          <w:szCs w:val="20"/>
        </w:rPr>
        <w:t>explicit</w:t>
      </w:r>
      <w:r w:rsidRPr="00822856">
        <w:rPr>
          <w:color w:val="000000"/>
          <w:sz w:val="20"/>
          <w:szCs w:val="20"/>
        </w:rPr>
        <w:t xml:space="preserve"> clinical condition in an </w:t>
      </w:r>
      <w:r w:rsidR="00CA28C8" w:rsidRPr="00822856">
        <w:rPr>
          <w:color w:val="000000"/>
          <w:sz w:val="20"/>
          <w:szCs w:val="20"/>
        </w:rPr>
        <w:t>distinct</w:t>
      </w:r>
      <w:r w:rsidRPr="00822856">
        <w:rPr>
          <w:color w:val="000000"/>
          <w:sz w:val="20"/>
          <w:szCs w:val="20"/>
        </w:rPr>
        <w:t xml:space="preserve"> that has </w:t>
      </w:r>
      <w:r w:rsidR="00CA28C8" w:rsidRPr="00822856">
        <w:rPr>
          <w:color w:val="000000"/>
          <w:sz w:val="20"/>
          <w:szCs w:val="20"/>
        </w:rPr>
        <w:t>previously</w:t>
      </w:r>
      <w:r w:rsidRPr="00822856">
        <w:rPr>
          <w:color w:val="000000"/>
          <w:sz w:val="20"/>
          <w:szCs w:val="20"/>
        </w:rPr>
        <w:t xml:space="preserve"> been treated with a diagnosis or health problem, and diagnostic inflammatory markers, which could also identify the presence of a disorder.</w:t>
      </w:r>
      <w:r w:rsidR="00822856" w:rsidRPr="00822856">
        <w:rPr>
          <w:color w:val="000000"/>
          <w:sz w:val="20"/>
          <w:szCs w:val="20"/>
        </w:rPr>
        <w:t xml:space="preserve"> </w:t>
      </w:r>
      <w:r w:rsidR="00921F3A" w:rsidRPr="00822856">
        <w:rPr>
          <w:color w:val="000000"/>
          <w:sz w:val="20"/>
          <w:szCs w:val="20"/>
        </w:rPr>
        <w:t xml:space="preserve">Highly susceptible biomarkers can be discovered multiple generations, if not decades, before symptoms and clinical signs occur. Highly </w:t>
      </w:r>
      <w:r w:rsidR="00921F3A" w:rsidRPr="009B1EA3">
        <w:rPr>
          <w:color w:val="000000"/>
          <w:sz w:val="20"/>
          <w:szCs w:val="20"/>
        </w:rPr>
        <w:t>susceptible biomarkers are really not associated with any certain therapeutic interventions.</w:t>
      </w:r>
      <w:r w:rsidR="009B1EA3">
        <w:rPr>
          <w:color w:val="000000"/>
          <w:sz w:val="20"/>
          <w:szCs w:val="20"/>
        </w:rPr>
        <w:t xml:space="preserve"> </w:t>
      </w:r>
      <w:r w:rsidR="009B1EA3" w:rsidRPr="009B1EA3">
        <w:rPr>
          <w:color w:val="000000"/>
          <w:sz w:val="20"/>
          <w:szCs w:val="20"/>
        </w:rPr>
        <w:t xml:space="preserve">Excessive low-density lipoprotein (LDL) triglyceride values, especially signify an increase in the risk of cardiovascular disease, have become an indication of a biological predisposition </w:t>
      </w:r>
      <w:r w:rsidR="00364270">
        <w:rPr>
          <w:color w:val="000000"/>
          <w:sz w:val="20"/>
          <w:szCs w:val="20"/>
        </w:rPr>
        <w:t>biomarker [</w:t>
      </w:r>
      <w:r w:rsidR="006D272C">
        <w:rPr>
          <w:color w:val="000000"/>
          <w:sz w:val="20"/>
          <w:szCs w:val="20"/>
        </w:rPr>
        <w:t>19</w:t>
      </w:r>
      <w:r w:rsidR="00364270">
        <w:rPr>
          <w:color w:val="000000"/>
          <w:sz w:val="20"/>
          <w:szCs w:val="20"/>
        </w:rPr>
        <w:t>]</w:t>
      </w:r>
      <w:r w:rsidR="009B1EA3" w:rsidRPr="009B1EA3">
        <w:rPr>
          <w:color w:val="000000"/>
          <w:sz w:val="20"/>
          <w:szCs w:val="20"/>
        </w:rPr>
        <w:t xml:space="preserve">. LDL cholesterol should be included in almost every cardiac risk </w:t>
      </w:r>
      <w:r w:rsidR="00254609">
        <w:rPr>
          <w:color w:val="000000"/>
          <w:sz w:val="20"/>
          <w:szCs w:val="20"/>
        </w:rPr>
        <w:t>scenario</w:t>
      </w:r>
      <w:r w:rsidR="009B1EA3" w:rsidRPr="009B1EA3">
        <w:rPr>
          <w:color w:val="000000"/>
          <w:sz w:val="20"/>
          <w:szCs w:val="20"/>
        </w:rPr>
        <w:t xml:space="preserve"> </w:t>
      </w:r>
      <w:r w:rsidR="00254609">
        <w:rPr>
          <w:color w:val="000000"/>
          <w:sz w:val="20"/>
          <w:szCs w:val="20"/>
        </w:rPr>
        <w:t xml:space="preserve">to </w:t>
      </w:r>
      <w:r w:rsidR="009B1EA3" w:rsidRPr="009B1EA3">
        <w:rPr>
          <w:color w:val="000000"/>
          <w:sz w:val="20"/>
          <w:szCs w:val="20"/>
        </w:rPr>
        <w:t xml:space="preserve">assess the possibility of experiencing a cardiovascular incident at </w:t>
      </w:r>
      <w:r w:rsidR="005E03F2" w:rsidRPr="009B1EA3">
        <w:rPr>
          <w:color w:val="000000"/>
          <w:sz w:val="20"/>
          <w:szCs w:val="20"/>
        </w:rPr>
        <w:t>approximately</w:t>
      </w:r>
      <w:r w:rsidR="009B1EA3" w:rsidRPr="009B1EA3">
        <w:rPr>
          <w:color w:val="000000"/>
          <w:sz w:val="20"/>
          <w:szCs w:val="20"/>
        </w:rPr>
        <w:t xml:space="preserve"> </w:t>
      </w:r>
      <w:r w:rsidR="005E03F2" w:rsidRPr="009B1EA3">
        <w:rPr>
          <w:color w:val="000000"/>
          <w:sz w:val="20"/>
          <w:szCs w:val="20"/>
        </w:rPr>
        <w:t>imminent</w:t>
      </w:r>
      <w:r w:rsidR="009B1EA3" w:rsidRPr="009B1EA3">
        <w:rPr>
          <w:color w:val="000000"/>
          <w:sz w:val="20"/>
          <w:szCs w:val="20"/>
        </w:rPr>
        <w:t xml:space="preserve"> </w:t>
      </w:r>
      <w:r w:rsidR="005E03F2" w:rsidRPr="009B1EA3">
        <w:rPr>
          <w:color w:val="000000"/>
          <w:sz w:val="20"/>
          <w:szCs w:val="20"/>
        </w:rPr>
        <w:t>period</w:t>
      </w:r>
      <w:r w:rsidR="009B1EA3" w:rsidRPr="009B1EA3">
        <w:rPr>
          <w:color w:val="000000"/>
          <w:sz w:val="20"/>
          <w:szCs w:val="20"/>
        </w:rPr>
        <w:t xml:space="preserve"> </w:t>
      </w:r>
      <w:r w:rsidR="005E03F2" w:rsidRPr="009B1EA3">
        <w:rPr>
          <w:color w:val="000000"/>
          <w:sz w:val="20"/>
          <w:szCs w:val="20"/>
        </w:rPr>
        <w:t>opinion</w:t>
      </w:r>
      <w:r w:rsidR="009B1EA3" w:rsidRPr="009B1EA3">
        <w:rPr>
          <w:color w:val="000000"/>
          <w:sz w:val="20"/>
          <w:szCs w:val="20"/>
        </w:rPr>
        <w:t>. Other qualities</w:t>
      </w:r>
      <w:r w:rsidR="009B1EA3" w:rsidRPr="00721216">
        <w:rPr>
          <w:color w:val="000000"/>
          <w:sz w:val="20"/>
          <w:szCs w:val="20"/>
        </w:rPr>
        <w:t xml:space="preserve"> increased lipoprotein cholesterol </w:t>
      </w:r>
      <w:r w:rsidR="005E03F2" w:rsidRPr="00721216">
        <w:rPr>
          <w:color w:val="000000"/>
          <w:sz w:val="20"/>
          <w:szCs w:val="20"/>
        </w:rPr>
        <w:t>stages</w:t>
      </w:r>
      <w:r w:rsidR="009B1EA3" w:rsidRPr="00721216">
        <w:rPr>
          <w:color w:val="000000"/>
          <w:sz w:val="20"/>
          <w:szCs w:val="20"/>
        </w:rPr>
        <w:t>, hypertension, age, gender, health status, &amp; personal history are frequently applied in risk models to increase prediction performance.</w:t>
      </w:r>
      <w:r w:rsidR="00721216">
        <w:rPr>
          <w:color w:val="000000"/>
          <w:sz w:val="20"/>
          <w:szCs w:val="20"/>
        </w:rPr>
        <w:t xml:space="preserve"> </w:t>
      </w:r>
      <w:r w:rsidR="00721216" w:rsidRPr="00721216">
        <w:rPr>
          <w:color w:val="000000"/>
          <w:sz w:val="20"/>
          <w:szCs w:val="20"/>
        </w:rPr>
        <w:t>Susceptibility/risk biomarkers, like prognostic biomarkers</w:t>
      </w:r>
      <w:r w:rsidR="00846ACD">
        <w:rPr>
          <w:color w:val="000000"/>
          <w:sz w:val="20"/>
          <w:szCs w:val="20"/>
        </w:rPr>
        <w:t xml:space="preserve"> </w:t>
      </w:r>
      <w:r w:rsidR="00721216" w:rsidRPr="00721216">
        <w:rPr>
          <w:color w:val="000000"/>
          <w:sz w:val="20"/>
          <w:szCs w:val="20"/>
        </w:rPr>
        <w:t xml:space="preserve">may be valuable for clinical </w:t>
      </w:r>
      <w:r w:rsidR="00846ACD" w:rsidRPr="00721216">
        <w:rPr>
          <w:color w:val="000000"/>
          <w:sz w:val="20"/>
          <w:szCs w:val="20"/>
        </w:rPr>
        <w:t>experimental</w:t>
      </w:r>
      <w:r w:rsidR="00721216" w:rsidRPr="00721216">
        <w:rPr>
          <w:color w:val="000000"/>
          <w:sz w:val="20"/>
          <w:szCs w:val="20"/>
        </w:rPr>
        <w:t xml:space="preserve"> </w:t>
      </w:r>
      <w:r w:rsidR="00846ACD" w:rsidRPr="00721216">
        <w:rPr>
          <w:color w:val="000000"/>
          <w:sz w:val="20"/>
          <w:szCs w:val="20"/>
        </w:rPr>
        <w:t>enhancement</w:t>
      </w:r>
      <w:r w:rsidR="00721216" w:rsidRPr="00721216">
        <w:rPr>
          <w:color w:val="000000"/>
          <w:sz w:val="20"/>
          <w:szCs w:val="20"/>
        </w:rPr>
        <w:t xml:space="preserve"> in a medical product development environment. It is frequently difficult to accumulate enough clinical events in a basic preventative measures context to make clinical trials viable</w:t>
      </w:r>
      <w:r w:rsidR="00FB440F">
        <w:rPr>
          <w:color w:val="000000"/>
          <w:sz w:val="20"/>
          <w:szCs w:val="20"/>
        </w:rPr>
        <w:t xml:space="preserve"> [</w:t>
      </w:r>
      <w:r w:rsidR="006D272C">
        <w:rPr>
          <w:color w:val="000000"/>
          <w:sz w:val="20"/>
          <w:szCs w:val="20"/>
        </w:rPr>
        <w:t>20</w:t>
      </w:r>
      <w:r w:rsidR="00FB440F">
        <w:rPr>
          <w:color w:val="000000"/>
          <w:sz w:val="20"/>
          <w:szCs w:val="20"/>
        </w:rPr>
        <w:t>]</w:t>
      </w:r>
      <w:r w:rsidR="00721216" w:rsidRPr="00721216">
        <w:rPr>
          <w:color w:val="000000"/>
          <w:sz w:val="20"/>
          <w:szCs w:val="20"/>
        </w:rPr>
        <w:t xml:space="preserve">. Enriching preventative clinical trials for participants who are especially vulnerable to </w:t>
      </w:r>
      <w:r w:rsidR="00116729">
        <w:rPr>
          <w:color w:val="000000"/>
          <w:sz w:val="20"/>
          <w:szCs w:val="20"/>
        </w:rPr>
        <w:t>acquiring</w:t>
      </w:r>
      <w:r w:rsidR="00721216" w:rsidRPr="00721216">
        <w:rPr>
          <w:color w:val="000000"/>
          <w:sz w:val="20"/>
          <w:szCs w:val="20"/>
        </w:rPr>
        <w:t xml:space="preserve"> a certain illness may thus be </w:t>
      </w:r>
      <w:r w:rsidR="00721216" w:rsidRPr="00116729">
        <w:rPr>
          <w:color w:val="000000"/>
          <w:sz w:val="20"/>
          <w:szCs w:val="20"/>
        </w:rPr>
        <w:t xml:space="preserve">required, notably for the evaluation of chemoprevention treatments or the focused use of vaccinations. The above helps 1) the study to be done realistically by enrolling people who are more likely to acquire the illness or medical condition 2) preventative therapies with possible side effects </w:t>
      </w:r>
      <w:r w:rsidR="0061653F">
        <w:rPr>
          <w:color w:val="000000"/>
          <w:sz w:val="20"/>
          <w:szCs w:val="20"/>
        </w:rPr>
        <w:t>are</w:t>
      </w:r>
      <w:r w:rsidR="00721216" w:rsidRPr="00116729">
        <w:rPr>
          <w:color w:val="000000"/>
          <w:sz w:val="20"/>
          <w:szCs w:val="20"/>
        </w:rPr>
        <w:t xml:space="preserve"> effectively targeted strike </w:t>
      </w:r>
      <w:r w:rsidR="00F56D2D">
        <w:rPr>
          <w:color w:val="000000"/>
          <w:sz w:val="20"/>
          <w:szCs w:val="20"/>
        </w:rPr>
        <w:t xml:space="preserve">to </w:t>
      </w:r>
      <w:r w:rsidR="00721216" w:rsidRPr="00116729">
        <w:rPr>
          <w:color w:val="000000"/>
          <w:sz w:val="20"/>
          <w:szCs w:val="20"/>
        </w:rPr>
        <w:t>the optimal combination of risks and benefits</w:t>
      </w:r>
      <w:r w:rsidR="00116729" w:rsidRPr="00116729">
        <w:rPr>
          <w:color w:val="000000"/>
          <w:sz w:val="20"/>
          <w:szCs w:val="20"/>
        </w:rPr>
        <w:t xml:space="preserve"> are similar to prognostic biomarkers in that they predict the likelihood of a disease-related event occurring in the future. The primary difference is that </w:t>
      </w:r>
      <w:r w:rsidR="00166283">
        <w:rPr>
          <w:color w:val="000000"/>
          <w:sz w:val="20"/>
          <w:szCs w:val="20"/>
        </w:rPr>
        <w:t>these biomarkers</w:t>
      </w:r>
      <w:r w:rsidR="00116729" w:rsidRPr="00116729">
        <w:rPr>
          <w:color w:val="000000"/>
          <w:sz w:val="20"/>
          <w:szCs w:val="20"/>
        </w:rPr>
        <w:t xml:space="preserve"> utilized in people who have already been </w:t>
      </w:r>
      <w:proofErr w:type="spellStart"/>
      <w:r w:rsidR="00166283" w:rsidRPr="00116729">
        <w:rPr>
          <w:color w:val="000000"/>
          <w:sz w:val="20"/>
          <w:szCs w:val="20"/>
        </w:rPr>
        <w:t>analyzed</w:t>
      </w:r>
      <w:proofErr w:type="spellEnd"/>
      <w:r w:rsidR="00116729" w:rsidRPr="00116729">
        <w:rPr>
          <w:color w:val="000000"/>
          <w:sz w:val="20"/>
          <w:szCs w:val="20"/>
        </w:rPr>
        <w:t xml:space="preserve"> with a disease, whereas susceptibilit</w:t>
      </w:r>
      <w:r w:rsidR="00166283">
        <w:rPr>
          <w:color w:val="000000"/>
          <w:sz w:val="20"/>
          <w:szCs w:val="20"/>
        </w:rPr>
        <w:t>y</w:t>
      </w:r>
      <w:r w:rsidR="00116729" w:rsidRPr="00116729">
        <w:rPr>
          <w:color w:val="000000"/>
          <w:sz w:val="20"/>
          <w:szCs w:val="20"/>
        </w:rPr>
        <w:t xml:space="preserve"> biomarkers might be employed in people who </w:t>
      </w:r>
      <w:r w:rsidR="00166283" w:rsidRPr="00116729">
        <w:rPr>
          <w:color w:val="000000"/>
          <w:sz w:val="20"/>
          <w:szCs w:val="20"/>
        </w:rPr>
        <w:t>else</w:t>
      </w:r>
      <w:r w:rsidR="00116729" w:rsidRPr="00116729">
        <w:rPr>
          <w:color w:val="000000"/>
          <w:sz w:val="20"/>
          <w:szCs w:val="20"/>
        </w:rPr>
        <w:t xml:space="preserve"> look healthy. In certain cases, the distinction between these sorts biomarkers may blurred</w:t>
      </w:r>
      <w:r w:rsidR="006D272C">
        <w:rPr>
          <w:color w:val="000000"/>
          <w:sz w:val="20"/>
          <w:szCs w:val="20"/>
        </w:rPr>
        <w:t xml:space="preserve"> [21]</w:t>
      </w:r>
      <w:r w:rsidR="00116729" w:rsidRPr="00116729">
        <w:rPr>
          <w:color w:val="000000"/>
          <w:sz w:val="20"/>
          <w:szCs w:val="20"/>
        </w:rPr>
        <w:t>.</w:t>
      </w:r>
    </w:p>
    <w:p w14:paraId="5CD31E7B" w14:textId="77777777" w:rsidR="00726A99" w:rsidRPr="00726A99" w:rsidRDefault="00BF2FCD" w:rsidP="00726A99">
      <w:pPr>
        <w:pStyle w:val="NormalWeb"/>
        <w:numPr>
          <w:ilvl w:val="0"/>
          <w:numId w:val="4"/>
        </w:numPr>
        <w:shd w:val="clear" w:color="auto" w:fill="FFFFFF"/>
        <w:spacing w:before="166" w:beforeAutospacing="0" w:after="166" w:afterAutospacing="0"/>
        <w:jc w:val="both"/>
        <w:rPr>
          <w:b/>
          <w:bCs/>
          <w:color w:val="000000"/>
          <w:sz w:val="20"/>
          <w:szCs w:val="20"/>
        </w:rPr>
      </w:pPr>
      <w:r w:rsidRPr="00726A99">
        <w:rPr>
          <w:b/>
          <w:bCs/>
          <w:color w:val="000000"/>
          <w:sz w:val="20"/>
          <w:szCs w:val="20"/>
        </w:rPr>
        <w:t>Other Biomarkers (Genomic Biomarkers)</w:t>
      </w:r>
    </w:p>
    <w:p w14:paraId="63C1D3A5" w14:textId="3F55AFF2" w:rsidR="00947189" w:rsidRDefault="000F4BBA" w:rsidP="004C3DCE">
      <w:pPr>
        <w:pStyle w:val="NormalWeb"/>
        <w:shd w:val="clear" w:color="auto" w:fill="FFFFFF"/>
        <w:spacing w:before="166" w:beforeAutospacing="0" w:after="166" w:afterAutospacing="0"/>
        <w:jc w:val="both"/>
        <w:rPr>
          <w:color w:val="2E2E2E"/>
        </w:rPr>
      </w:pPr>
      <w:r w:rsidRPr="000F4BBA">
        <w:rPr>
          <w:color w:val="212121"/>
          <w:sz w:val="20"/>
          <w:szCs w:val="20"/>
        </w:rPr>
        <w:t xml:space="preserve">Functional genomic biomarkers aim to broaden our </w:t>
      </w:r>
      <w:r w:rsidR="00215742" w:rsidRPr="000F4BBA">
        <w:rPr>
          <w:color w:val="212121"/>
          <w:sz w:val="20"/>
          <w:szCs w:val="20"/>
        </w:rPr>
        <w:t>considerate</w:t>
      </w:r>
      <w:r w:rsidRPr="000F4BBA">
        <w:rPr>
          <w:color w:val="212121"/>
          <w:sz w:val="20"/>
          <w:szCs w:val="20"/>
        </w:rPr>
        <w:t xml:space="preserve"> of </w:t>
      </w:r>
      <w:r w:rsidR="00215742" w:rsidRPr="000F4BBA">
        <w:rPr>
          <w:color w:val="212121"/>
          <w:sz w:val="20"/>
          <w:szCs w:val="20"/>
        </w:rPr>
        <w:t>sickness</w:t>
      </w:r>
      <w:r w:rsidRPr="000F4BBA">
        <w:rPr>
          <w:color w:val="212121"/>
          <w:sz w:val="20"/>
          <w:szCs w:val="20"/>
        </w:rPr>
        <w:t xml:space="preserve"> pathogenesis and progression by providing new </w:t>
      </w:r>
      <w:r w:rsidR="00215742" w:rsidRPr="000F4BBA">
        <w:rPr>
          <w:color w:val="212121"/>
          <w:sz w:val="20"/>
          <w:szCs w:val="20"/>
        </w:rPr>
        <w:t>goals</w:t>
      </w:r>
      <w:r w:rsidRPr="000F4BBA">
        <w:rPr>
          <w:color w:val="212121"/>
          <w:sz w:val="20"/>
          <w:szCs w:val="20"/>
        </w:rPr>
        <w:t xml:space="preserve"> for disease recognition, early detection, and effective therapeutic approaches (drug expansion, drug design, and serious complications) to recommend treatment methods to sick people based on different characteristics </w:t>
      </w:r>
      <w:r w:rsidR="00A804A7">
        <w:rPr>
          <w:color w:val="212121"/>
          <w:sz w:val="20"/>
          <w:szCs w:val="20"/>
        </w:rPr>
        <w:t>[</w:t>
      </w:r>
      <w:r w:rsidR="006D272C">
        <w:rPr>
          <w:color w:val="212121"/>
          <w:sz w:val="20"/>
          <w:szCs w:val="20"/>
        </w:rPr>
        <w:t>22</w:t>
      </w:r>
      <w:r w:rsidR="00A804A7">
        <w:rPr>
          <w:color w:val="212121"/>
          <w:sz w:val="20"/>
          <w:szCs w:val="20"/>
        </w:rPr>
        <w:t>]</w:t>
      </w:r>
      <w:r w:rsidRPr="000F4BBA">
        <w:rPr>
          <w:color w:val="212121"/>
          <w:sz w:val="20"/>
          <w:szCs w:val="20"/>
        </w:rPr>
        <w:t>. A chromosomal biomarker is defined by the European Medicines Agency (EMEA) as "a detectable DN</w:t>
      </w:r>
      <w:r w:rsidR="00EC68F5">
        <w:rPr>
          <w:color w:val="212121"/>
          <w:sz w:val="20"/>
          <w:szCs w:val="20"/>
        </w:rPr>
        <w:t>A/</w:t>
      </w:r>
      <w:r w:rsidRPr="000F4BBA">
        <w:rPr>
          <w:color w:val="212121"/>
          <w:sz w:val="20"/>
          <w:szCs w:val="20"/>
        </w:rPr>
        <w:t xml:space="preserve">RNA </w:t>
      </w:r>
      <w:r w:rsidR="00EC68F5" w:rsidRPr="000F4BBA">
        <w:rPr>
          <w:color w:val="212121"/>
          <w:sz w:val="20"/>
          <w:szCs w:val="20"/>
        </w:rPr>
        <w:t>distinguishing</w:t>
      </w:r>
      <w:r w:rsidRPr="000F4BBA">
        <w:rPr>
          <w:color w:val="212121"/>
          <w:sz w:val="20"/>
          <w:szCs w:val="20"/>
        </w:rPr>
        <w:t xml:space="preserve"> that is a signal of regular biological functioning, pathogenic </w:t>
      </w:r>
      <w:r w:rsidR="008634A9" w:rsidRPr="000F4BBA">
        <w:rPr>
          <w:color w:val="212121"/>
          <w:sz w:val="20"/>
          <w:szCs w:val="20"/>
        </w:rPr>
        <w:t>progressions</w:t>
      </w:r>
      <w:r w:rsidRPr="000F4BBA">
        <w:rPr>
          <w:color w:val="212121"/>
          <w:sz w:val="20"/>
          <w:szCs w:val="20"/>
        </w:rPr>
        <w:t>, and/or reaction to therapeutic or other interventions"</w:t>
      </w:r>
      <w:r w:rsidR="00F633B7">
        <w:rPr>
          <w:color w:val="212121"/>
          <w:sz w:val="20"/>
          <w:szCs w:val="20"/>
        </w:rPr>
        <w:t>[</w:t>
      </w:r>
      <w:r w:rsidR="006D272C">
        <w:rPr>
          <w:color w:val="212121"/>
          <w:sz w:val="20"/>
          <w:szCs w:val="20"/>
        </w:rPr>
        <w:t>23</w:t>
      </w:r>
      <w:r w:rsidR="00F633B7">
        <w:rPr>
          <w:color w:val="212121"/>
          <w:sz w:val="20"/>
          <w:szCs w:val="20"/>
        </w:rPr>
        <w:t>]</w:t>
      </w:r>
      <w:r w:rsidRPr="000F4BBA">
        <w:rPr>
          <w:color w:val="212121"/>
          <w:sz w:val="20"/>
          <w:szCs w:val="20"/>
        </w:rPr>
        <w:t>.</w:t>
      </w:r>
      <w:r w:rsidR="00D90295" w:rsidRPr="00D90295">
        <w:rPr>
          <w:color w:val="212121"/>
          <w:sz w:val="20"/>
          <w:szCs w:val="20"/>
        </w:rPr>
        <w:t xml:space="preserve"> </w:t>
      </w:r>
      <w:r w:rsidR="00BD58FA" w:rsidRPr="00BD58FA">
        <w:rPr>
          <w:color w:val="212121"/>
          <w:sz w:val="20"/>
          <w:szCs w:val="20"/>
        </w:rPr>
        <w:t>Measurable qualities encompass genetically distinct expression, development, and management. Genetic variations (</w:t>
      </w:r>
      <w:r w:rsidR="008634A9">
        <w:rPr>
          <w:color w:val="212121"/>
          <w:sz w:val="20"/>
          <w:szCs w:val="20"/>
        </w:rPr>
        <w:t>S</w:t>
      </w:r>
      <w:r w:rsidR="00BD58FA" w:rsidRPr="00BD58FA">
        <w:rPr>
          <w:color w:val="212121"/>
          <w:sz w:val="20"/>
          <w:szCs w:val="20"/>
        </w:rPr>
        <w:t xml:space="preserve">ingle </w:t>
      </w:r>
      <w:r w:rsidR="008634A9">
        <w:rPr>
          <w:color w:val="212121"/>
          <w:sz w:val="20"/>
          <w:szCs w:val="20"/>
        </w:rPr>
        <w:t>N</w:t>
      </w:r>
      <w:r w:rsidR="00BD58FA" w:rsidRPr="00BD58FA">
        <w:rPr>
          <w:color w:val="212121"/>
          <w:sz w:val="20"/>
          <w:szCs w:val="20"/>
        </w:rPr>
        <w:t xml:space="preserve">ucleotide </w:t>
      </w:r>
      <w:r w:rsidR="008634A9">
        <w:rPr>
          <w:color w:val="212121"/>
          <w:sz w:val="20"/>
          <w:szCs w:val="20"/>
        </w:rPr>
        <w:t>P</w:t>
      </w:r>
      <w:r w:rsidR="00BD58FA" w:rsidRPr="00BD58FA">
        <w:rPr>
          <w:color w:val="212121"/>
          <w:sz w:val="20"/>
          <w:szCs w:val="20"/>
        </w:rPr>
        <w:t xml:space="preserve">olymorphisms), natural variation </w:t>
      </w:r>
      <w:r w:rsidR="0090591F">
        <w:rPr>
          <w:color w:val="212121"/>
          <w:sz w:val="20"/>
          <w:szCs w:val="20"/>
        </w:rPr>
        <w:t>toward</w:t>
      </w:r>
      <w:r w:rsidR="00BD58FA" w:rsidRPr="00BD58FA">
        <w:rPr>
          <w:color w:val="212121"/>
          <w:sz w:val="20"/>
          <w:szCs w:val="20"/>
        </w:rPr>
        <w:t xml:space="preserve"> short palindromic repeats, linkage disequilibrium, deletions or insertions of a </w:t>
      </w:r>
      <w:r w:rsidR="0090591F" w:rsidRPr="00BD58FA">
        <w:rPr>
          <w:color w:val="212121"/>
          <w:sz w:val="20"/>
          <w:szCs w:val="20"/>
        </w:rPr>
        <w:t xml:space="preserve">copy number variations, </w:t>
      </w:r>
      <w:r w:rsidR="00BD58FA" w:rsidRPr="00BD58FA">
        <w:rPr>
          <w:color w:val="212121"/>
          <w:sz w:val="20"/>
          <w:szCs w:val="20"/>
        </w:rPr>
        <w:t xml:space="preserve">single nucleotide (s), and cytogenetic reinterpretations (translocations, replication, </w:t>
      </w:r>
      <w:r w:rsidR="0090591F">
        <w:rPr>
          <w:color w:val="212121"/>
          <w:sz w:val="20"/>
          <w:szCs w:val="20"/>
        </w:rPr>
        <w:t xml:space="preserve">inversions or </w:t>
      </w:r>
      <w:r w:rsidR="00BD58FA" w:rsidRPr="00BD58FA">
        <w:rPr>
          <w:color w:val="212121"/>
          <w:sz w:val="20"/>
          <w:szCs w:val="20"/>
        </w:rPr>
        <w:t xml:space="preserve">deletions) can all be found in DNA </w:t>
      </w:r>
      <w:r w:rsidR="00F633B7">
        <w:rPr>
          <w:color w:val="212121"/>
          <w:sz w:val="20"/>
          <w:szCs w:val="20"/>
        </w:rPr>
        <w:t>[2</w:t>
      </w:r>
      <w:r w:rsidR="006D272C">
        <w:rPr>
          <w:color w:val="212121"/>
          <w:sz w:val="20"/>
          <w:szCs w:val="20"/>
        </w:rPr>
        <w:t>4</w:t>
      </w:r>
      <w:r w:rsidR="00F633B7">
        <w:rPr>
          <w:color w:val="212121"/>
          <w:sz w:val="20"/>
          <w:szCs w:val="20"/>
        </w:rPr>
        <w:t>]</w:t>
      </w:r>
      <w:r w:rsidR="00BD58FA" w:rsidRPr="00BD58FA">
        <w:rPr>
          <w:color w:val="212121"/>
          <w:sz w:val="20"/>
          <w:szCs w:val="20"/>
        </w:rPr>
        <w:t xml:space="preserve">. Recent advances in genetic technology enable the exploration </w:t>
      </w:r>
      <w:r w:rsidR="0098649D">
        <w:rPr>
          <w:color w:val="212121"/>
          <w:sz w:val="20"/>
          <w:szCs w:val="20"/>
        </w:rPr>
        <w:t xml:space="preserve">of </w:t>
      </w:r>
      <w:r w:rsidR="00616BE1">
        <w:rPr>
          <w:color w:val="212121"/>
          <w:sz w:val="20"/>
          <w:szCs w:val="20"/>
        </w:rPr>
        <w:t>genome-wide</w:t>
      </w:r>
      <w:r w:rsidR="0098649D">
        <w:rPr>
          <w:color w:val="212121"/>
          <w:sz w:val="20"/>
          <w:szCs w:val="20"/>
        </w:rPr>
        <w:t xml:space="preserve"> studies,</w:t>
      </w:r>
      <w:r w:rsidR="00BD58FA" w:rsidRPr="00BD58FA">
        <w:rPr>
          <w:color w:val="212121"/>
          <w:sz w:val="20"/>
          <w:szCs w:val="20"/>
        </w:rPr>
        <w:t xml:space="preserve"> candidate genes </w:t>
      </w:r>
      <w:r w:rsidR="0098649D">
        <w:rPr>
          <w:color w:val="212121"/>
          <w:sz w:val="20"/>
          <w:szCs w:val="20"/>
        </w:rPr>
        <w:t>a</w:t>
      </w:r>
      <w:r w:rsidR="00BD58FA" w:rsidRPr="00BD58FA">
        <w:rPr>
          <w:color w:val="212121"/>
          <w:sz w:val="20"/>
          <w:szCs w:val="20"/>
        </w:rPr>
        <w:t xml:space="preserve">nd risk score pattern analysis </w:t>
      </w:r>
      <w:r w:rsidR="00246313">
        <w:rPr>
          <w:color w:val="212121"/>
          <w:sz w:val="20"/>
          <w:szCs w:val="20"/>
        </w:rPr>
        <w:t>are</w:t>
      </w:r>
      <w:r w:rsidR="00BD58FA" w:rsidRPr="00BD58FA">
        <w:rPr>
          <w:color w:val="212121"/>
          <w:sz w:val="20"/>
          <w:szCs w:val="20"/>
        </w:rPr>
        <w:t xml:space="preserve"> better understand diverse mental illnesses </w:t>
      </w:r>
      <w:r w:rsidR="00382904">
        <w:rPr>
          <w:color w:val="212121"/>
          <w:sz w:val="20"/>
          <w:szCs w:val="20"/>
        </w:rPr>
        <w:t>[Figure 4]</w:t>
      </w:r>
      <w:r w:rsidR="00BD58FA" w:rsidRPr="00BD58FA">
        <w:rPr>
          <w:color w:val="212121"/>
          <w:sz w:val="20"/>
          <w:szCs w:val="20"/>
        </w:rPr>
        <w:t>. CGH (Comparative Genomic Hybridization), microarray, transcriptome, and whole genome sequencing were among the techniques used.</w:t>
      </w:r>
      <w:r w:rsidR="00BD58FA">
        <w:rPr>
          <w:color w:val="212121"/>
          <w:sz w:val="20"/>
          <w:szCs w:val="20"/>
        </w:rPr>
        <w:t xml:space="preserve"> </w:t>
      </w:r>
      <w:r w:rsidR="004C3DCE" w:rsidRPr="004C3DCE">
        <w:rPr>
          <w:color w:val="212121"/>
          <w:sz w:val="20"/>
          <w:szCs w:val="20"/>
        </w:rPr>
        <w:t xml:space="preserve">Pharmacogenomics, in especially, is useful in understanding genetic mutations in drug-metabolizing enzymes, exchangers, receptors, and other </w:t>
      </w:r>
      <w:r w:rsidR="004C3DCE" w:rsidRPr="004C3DCE">
        <w:rPr>
          <w:color w:val="212121"/>
          <w:sz w:val="20"/>
          <w:szCs w:val="20"/>
        </w:rPr>
        <w:lastRenderedPageBreak/>
        <w:t xml:space="preserve">chemotherapeutic drugs, which together appear to be significant for both pharmacology research and drug therapeutic </w:t>
      </w:r>
      <w:r w:rsidR="004C3DCE" w:rsidRPr="00947189">
        <w:rPr>
          <w:noProof/>
          <w:sz w:val="20"/>
        </w:rPr>
        <w:drawing>
          <wp:anchor distT="0" distB="0" distL="114300" distR="114300" simplePos="0" relativeHeight="251687936" behindDoc="1" locked="0" layoutInCell="1" allowOverlap="1" wp14:anchorId="64AFDB4B" wp14:editId="185D944D">
            <wp:simplePos x="0" y="0"/>
            <wp:positionH relativeFrom="column">
              <wp:posOffset>1765300</wp:posOffset>
            </wp:positionH>
            <wp:positionV relativeFrom="paragraph">
              <wp:posOffset>396240</wp:posOffset>
            </wp:positionV>
            <wp:extent cx="2245995" cy="2252345"/>
            <wp:effectExtent l="0" t="0" r="1905" b="0"/>
            <wp:wrapTight wrapText="bothSides">
              <wp:wrapPolygon edited="0">
                <wp:start x="0" y="0"/>
                <wp:lineTo x="0" y="21375"/>
                <wp:lineTo x="21435" y="21375"/>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5995"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DCE" w:rsidRPr="004C3DCE">
        <w:rPr>
          <w:color w:val="212121"/>
          <w:sz w:val="20"/>
          <w:szCs w:val="20"/>
        </w:rPr>
        <w:t>applications</w:t>
      </w:r>
      <w:r w:rsidR="006D272C">
        <w:rPr>
          <w:color w:val="212121"/>
          <w:sz w:val="20"/>
          <w:szCs w:val="20"/>
        </w:rPr>
        <w:t xml:space="preserve"> [25]</w:t>
      </w:r>
      <w:r w:rsidR="004C3DCE" w:rsidRPr="004C3DCE">
        <w:rPr>
          <w:color w:val="212121"/>
          <w:sz w:val="20"/>
          <w:szCs w:val="20"/>
        </w:rPr>
        <w:t>.</w:t>
      </w:r>
    </w:p>
    <w:p w14:paraId="6E76E718" w14:textId="77777777" w:rsidR="00643E33" w:rsidRDefault="00643E33" w:rsidP="00643E33">
      <w:pPr>
        <w:shd w:val="clear" w:color="auto" w:fill="FFFFFF"/>
        <w:spacing w:line="240" w:lineRule="auto"/>
        <w:rPr>
          <w:rFonts w:ascii="Cambria" w:eastAsia="Times New Roman" w:hAnsi="Cambria" w:cs="Times New Roman"/>
          <w:color w:val="212121"/>
          <w:sz w:val="26"/>
          <w:szCs w:val="26"/>
          <w:lang w:eastAsia="en-IN"/>
        </w:rPr>
      </w:pPr>
    </w:p>
    <w:p w14:paraId="3356BA5D" w14:textId="77777777" w:rsidR="00947189" w:rsidRDefault="00947189" w:rsidP="00643E33">
      <w:pPr>
        <w:shd w:val="clear" w:color="auto" w:fill="FFFFFF"/>
        <w:spacing w:line="240" w:lineRule="auto"/>
        <w:rPr>
          <w:rFonts w:ascii="Cambria" w:eastAsia="Times New Roman" w:hAnsi="Cambria" w:cs="Times New Roman"/>
          <w:color w:val="212121"/>
          <w:sz w:val="26"/>
          <w:szCs w:val="26"/>
          <w:lang w:eastAsia="en-IN"/>
        </w:rPr>
      </w:pPr>
    </w:p>
    <w:p w14:paraId="0A67B791" w14:textId="77777777" w:rsidR="00947189" w:rsidRDefault="00947189" w:rsidP="00643E33">
      <w:pPr>
        <w:shd w:val="clear" w:color="auto" w:fill="FFFFFF"/>
        <w:spacing w:line="240" w:lineRule="auto"/>
        <w:rPr>
          <w:rFonts w:ascii="Cambria" w:eastAsia="Times New Roman" w:hAnsi="Cambria" w:cs="Times New Roman"/>
          <w:color w:val="212121"/>
          <w:sz w:val="26"/>
          <w:szCs w:val="26"/>
          <w:lang w:eastAsia="en-IN"/>
        </w:rPr>
      </w:pPr>
    </w:p>
    <w:p w14:paraId="5B2FDACB" w14:textId="77777777" w:rsidR="00947189" w:rsidRDefault="00947189" w:rsidP="00643E33">
      <w:pPr>
        <w:shd w:val="clear" w:color="auto" w:fill="FFFFFF"/>
        <w:spacing w:line="240" w:lineRule="auto"/>
        <w:rPr>
          <w:rFonts w:ascii="Cambria" w:eastAsia="Times New Roman" w:hAnsi="Cambria" w:cs="Times New Roman"/>
          <w:color w:val="212121"/>
          <w:sz w:val="26"/>
          <w:szCs w:val="26"/>
          <w:lang w:eastAsia="en-IN"/>
        </w:rPr>
      </w:pPr>
    </w:p>
    <w:p w14:paraId="32D6098B" w14:textId="77777777" w:rsidR="00FC4698" w:rsidRDefault="00FC4698" w:rsidP="00643E33">
      <w:pPr>
        <w:shd w:val="clear" w:color="auto" w:fill="FFFFFF"/>
        <w:spacing w:line="240" w:lineRule="auto"/>
        <w:rPr>
          <w:rFonts w:ascii="Cambria" w:eastAsia="Times New Roman" w:hAnsi="Cambria" w:cs="Times New Roman"/>
          <w:color w:val="212121"/>
          <w:sz w:val="26"/>
          <w:szCs w:val="26"/>
          <w:lang w:eastAsia="en-IN"/>
        </w:rPr>
      </w:pPr>
    </w:p>
    <w:p w14:paraId="219BF642" w14:textId="77777777" w:rsidR="00334904" w:rsidRDefault="00334904" w:rsidP="00BD5251">
      <w:pPr>
        <w:autoSpaceDE w:val="0"/>
        <w:autoSpaceDN w:val="0"/>
        <w:adjustRightInd w:val="0"/>
        <w:spacing w:after="0" w:line="240" w:lineRule="auto"/>
        <w:jc w:val="both"/>
        <w:rPr>
          <w:rFonts w:ascii="Times New Roman" w:eastAsia="Times New Roman" w:hAnsi="Times New Roman" w:cs="Times New Roman"/>
          <w:b/>
          <w:bCs/>
          <w:sz w:val="20"/>
          <w:lang w:eastAsia="en-IN"/>
        </w:rPr>
      </w:pPr>
    </w:p>
    <w:p w14:paraId="62AEE831" w14:textId="77777777" w:rsidR="00334904" w:rsidRDefault="00334904" w:rsidP="00BD5251">
      <w:pPr>
        <w:autoSpaceDE w:val="0"/>
        <w:autoSpaceDN w:val="0"/>
        <w:adjustRightInd w:val="0"/>
        <w:spacing w:after="0" w:line="240" w:lineRule="auto"/>
        <w:jc w:val="both"/>
        <w:rPr>
          <w:rFonts w:ascii="Times New Roman" w:eastAsia="Times New Roman" w:hAnsi="Times New Roman" w:cs="Times New Roman"/>
          <w:b/>
          <w:bCs/>
          <w:sz w:val="20"/>
          <w:lang w:eastAsia="en-IN"/>
        </w:rPr>
      </w:pPr>
    </w:p>
    <w:p w14:paraId="385EA4CA" w14:textId="77777777" w:rsidR="00FF090E" w:rsidRDefault="00FF090E" w:rsidP="00BD5251">
      <w:pPr>
        <w:autoSpaceDE w:val="0"/>
        <w:autoSpaceDN w:val="0"/>
        <w:adjustRightInd w:val="0"/>
        <w:spacing w:after="0" w:line="240" w:lineRule="auto"/>
        <w:jc w:val="both"/>
        <w:rPr>
          <w:rFonts w:ascii="Times New Roman" w:eastAsia="Times New Roman" w:hAnsi="Times New Roman" w:cs="Times New Roman"/>
          <w:b/>
          <w:bCs/>
          <w:sz w:val="20"/>
          <w:lang w:eastAsia="en-IN"/>
        </w:rPr>
      </w:pPr>
    </w:p>
    <w:p w14:paraId="5EE755ED" w14:textId="77777777" w:rsidR="00FF090E" w:rsidRDefault="00FF090E" w:rsidP="00BD5251">
      <w:pPr>
        <w:autoSpaceDE w:val="0"/>
        <w:autoSpaceDN w:val="0"/>
        <w:adjustRightInd w:val="0"/>
        <w:spacing w:after="0" w:line="240" w:lineRule="auto"/>
        <w:jc w:val="both"/>
        <w:rPr>
          <w:rFonts w:ascii="Times New Roman" w:eastAsia="Times New Roman" w:hAnsi="Times New Roman" w:cs="Times New Roman"/>
          <w:b/>
          <w:bCs/>
          <w:sz w:val="20"/>
          <w:lang w:eastAsia="en-IN"/>
        </w:rPr>
      </w:pPr>
    </w:p>
    <w:p w14:paraId="66A4D8CD" w14:textId="77777777" w:rsidR="00FF090E" w:rsidRDefault="00FF090E" w:rsidP="00BD5251">
      <w:pPr>
        <w:autoSpaceDE w:val="0"/>
        <w:autoSpaceDN w:val="0"/>
        <w:adjustRightInd w:val="0"/>
        <w:spacing w:after="0" w:line="240" w:lineRule="auto"/>
        <w:jc w:val="both"/>
        <w:rPr>
          <w:rFonts w:ascii="Times New Roman" w:eastAsia="Times New Roman" w:hAnsi="Times New Roman" w:cs="Times New Roman"/>
          <w:b/>
          <w:bCs/>
          <w:sz w:val="20"/>
          <w:lang w:eastAsia="en-IN"/>
        </w:rPr>
      </w:pPr>
    </w:p>
    <w:p w14:paraId="64FCEB0B" w14:textId="77777777" w:rsidR="00FF090E" w:rsidRDefault="00FF090E" w:rsidP="00BD5251">
      <w:pPr>
        <w:autoSpaceDE w:val="0"/>
        <w:autoSpaceDN w:val="0"/>
        <w:adjustRightInd w:val="0"/>
        <w:spacing w:after="0" w:line="240" w:lineRule="auto"/>
        <w:jc w:val="both"/>
        <w:rPr>
          <w:rFonts w:ascii="Times New Roman" w:eastAsia="Times New Roman" w:hAnsi="Times New Roman" w:cs="Times New Roman"/>
          <w:b/>
          <w:bCs/>
          <w:sz w:val="20"/>
          <w:lang w:eastAsia="en-IN"/>
        </w:rPr>
      </w:pPr>
    </w:p>
    <w:p w14:paraId="2E4C509D" w14:textId="5D1E0D9B" w:rsidR="00934436" w:rsidRPr="00BD5251" w:rsidRDefault="00A25D6F" w:rsidP="00BD5251">
      <w:pPr>
        <w:autoSpaceDE w:val="0"/>
        <w:autoSpaceDN w:val="0"/>
        <w:adjustRightInd w:val="0"/>
        <w:spacing w:after="0" w:line="240" w:lineRule="auto"/>
        <w:jc w:val="both"/>
        <w:rPr>
          <w:rFonts w:ascii="Times New Roman" w:hAnsi="Times New Roman" w:cs="Times New Roman"/>
          <w:sz w:val="20"/>
        </w:rPr>
      </w:pPr>
      <w:r w:rsidRPr="00A25D6F">
        <w:rPr>
          <w:rFonts w:ascii="Times New Roman" w:eastAsia="Times New Roman" w:hAnsi="Times New Roman" w:cs="Times New Roman"/>
          <w:b/>
          <w:bCs/>
          <w:sz w:val="20"/>
          <w:lang w:eastAsia="en-IN"/>
        </w:rPr>
        <w:t>Figure 4:</w:t>
      </w:r>
      <w:r>
        <w:rPr>
          <w:rFonts w:ascii="Times New Roman" w:eastAsia="Times New Roman" w:hAnsi="Times New Roman" w:cs="Times New Roman"/>
          <w:b/>
          <w:bCs/>
          <w:sz w:val="20"/>
          <w:lang w:eastAsia="en-IN"/>
        </w:rPr>
        <w:t xml:space="preserve"> </w:t>
      </w:r>
      <w:r w:rsidR="00616BE1" w:rsidRPr="00616BE1">
        <w:rPr>
          <w:rFonts w:ascii="Times New Roman" w:eastAsia="Times New Roman" w:hAnsi="Times New Roman" w:cs="Times New Roman"/>
          <w:sz w:val="20"/>
          <w:lang w:eastAsia="en-IN"/>
        </w:rPr>
        <w:t>D</w:t>
      </w:r>
      <w:r w:rsidRPr="00A25D6F">
        <w:rPr>
          <w:rFonts w:ascii="Times New Roman" w:hAnsi="Times New Roman" w:cs="Times New Roman"/>
          <w:sz w:val="20"/>
        </w:rPr>
        <w:t xml:space="preserve">iscovery and validation of biomarkers to probe multidimensional phases of the disease. CGH, comparative genomic hybridization; </w:t>
      </w:r>
      <w:proofErr w:type="spellStart"/>
      <w:r w:rsidRPr="00A25D6F">
        <w:rPr>
          <w:rFonts w:ascii="Times New Roman" w:hAnsi="Times New Roman" w:cs="Times New Roman"/>
          <w:sz w:val="20"/>
        </w:rPr>
        <w:t>Seq</w:t>
      </w:r>
      <w:proofErr w:type="spellEnd"/>
      <w:r w:rsidRPr="00A25D6F">
        <w:rPr>
          <w:rFonts w:ascii="Times New Roman" w:hAnsi="Times New Roman" w:cs="Times New Roman"/>
          <w:sz w:val="20"/>
        </w:rPr>
        <w:t xml:space="preserve">, sequencing; </w:t>
      </w:r>
      <w:proofErr w:type="spellStart"/>
      <w:r w:rsidRPr="00A25D6F">
        <w:rPr>
          <w:rFonts w:ascii="Times New Roman" w:hAnsi="Times New Roman" w:cs="Times New Roman"/>
          <w:sz w:val="20"/>
        </w:rPr>
        <w:t>qRT</w:t>
      </w:r>
      <w:proofErr w:type="spellEnd"/>
      <w:r w:rsidRPr="00A25D6F">
        <w:rPr>
          <w:rFonts w:ascii="Times New Roman" w:hAnsi="Times New Roman" w:cs="Times New Roman"/>
          <w:sz w:val="20"/>
        </w:rPr>
        <w:t xml:space="preserve">-PCR, quantitative </w:t>
      </w:r>
      <w:r>
        <w:rPr>
          <w:rFonts w:ascii="Times New Roman" w:hAnsi="Times New Roman" w:cs="Times New Roman"/>
          <w:sz w:val="20"/>
        </w:rPr>
        <w:t>real-time</w:t>
      </w:r>
      <w:r w:rsidRPr="00A25D6F">
        <w:rPr>
          <w:rFonts w:ascii="Times New Roman" w:hAnsi="Times New Roman" w:cs="Times New Roman"/>
          <w:sz w:val="20"/>
        </w:rPr>
        <w:t xml:space="preserve"> PCR; qPCR, semiquantitative </w:t>
      </w:r>
      <w:r>
        <w:rPr>
          <w:rFonts w:ascii="Times New Roman" w:hAnsi="Times New Roman" w:cs="Times New Roman"/>
          <w:sz w:val="20"/>
        </w:rPr>
        <w:t>real-time</w:t>
      </w:r>
      <w:r w:rsidRPr="00A25D6F">
        <w:rPr>
          <w:rFonts w:ascii="Times New Roman" w:hAnsi="Times New Roman" w:cs="Times New Roman"/>
          <w:sz w:val="20"/>
        </w:rPr>
        <w:t xml:space="preserve"> PCR; HPLC, </w:t>
      </w:r>
      <w:r>
        <w:rPr>
          <w:rFonts w:ascii="Times New Roman" w:hAnsi="Times New Roman" w:cs="Times New Roman"/>
          <w:sz w:val="20"/>
        </w:rPr>
        <w:t>high-performance</w:t>
      </w:r>
      <w:r w:rsidRPr="00A25D6F">
        <w:rPr>
          <w:rFonts w:ascii="Times New Roman" w:hAnsi="Times New Roman" w:cs="Times New Roman"/>
          <w:sz w:val="20"/>
        </w:rPr>
        <w:t xml:space="preserve"> liquid chromatography; NMR, nuclear magnetic resonance spectroscopy</w:t>
      </w:r>
      <w:r w:rsidRPr="00BD5251">
        <w:rPr>
          <w:rFonts w:ascii="Times New Roman" w:hAnsi="Times New Roman" w:cs="Times New Roman"/>
          <w:sz w:val="20"/>
        </w:rPr>
        <w:t>. (</w:t>
      </w:r>
      <w:r w:rsidRPr="00BD5251">
        <w:rPr>
          <w:rFonts w:ascii="Times New Roman" w:hAnsi="Times New Roman" w:cs="Times New Roman"/>
          <w:b/>
          <w:bCs/>
          <w:sz w:val="20"/>
        </w:rPr>
        <w:t>Source</w:t>
      </w:r>
      <w:r w:rsidRPr="00BD5251">
        <w:rPr>
          <w:rFonts w:ascii="Times New Roman" w:hAnsi="Times New Roman" w:cs="Times New Roman"/>
          <w:sz w:val="20"/>
        </w:rPr>
        <w:t xml:space="preserve">: </w:t>
      </w:r>
      <w:proofErr w:type="spellStart"/>
      <w:r w:rsidR="00BD5251" w:rsidRPr="00BD5251">
        <w:rPr>
          <w:rFonts w:ascii="Times New Roman" w:hAnsi="Times New Roman" w:cs="Times New Roman"/>
          <w:sz w:val="20"/>
        </w:rPr>
        <w:t>Garcıa-Gutie</w:t>
      </w:r>
      <w:proofErr w:type="spellEnd"/>
      <w:r w:rsidR="00BD5251" w:rsidRPr="00BD5251">
        <w:rPr>
          <w:rFonts w:ascii="Times New Roman" w:hAnsi="Times New Roman" w:cs="Times New Roman"/>
          <w:sz w:val="20"/>
        </w:rPr>
        <w:t xml:space="preserve"> </w:t>
      </w:r>
      <w:proofErr w:type="spellStart"/>
      <w:r w:rsidR="00BD5251" w:rsidRPr="00BD5251">
        <w:rPr>
          <w:rFonts w:ascii="Times New Roman" w:hAnsi="Times New Roman" w:cs="Times New Roman"/>
          <w:sz w:val="20"/>
        </w:rPr>
        <w:t>rrez</w:t>
      </w:r>
      <w:proofErr w:type="spellEnd"/>
      <w:r w:rsidR="00BD5251" w:rsidRPr="00BD5251">
        <w:rPr>
          <w:rFonts w:ascii="Times New Roman" w:hAnsi="Times New Roman" w:cs="Times New Roman"/>
          <w:sz w:val="20"/>
        </w:rPr>
        <w:t xml:space="preserve"> MS, Navarrete F, Sala F, Gasparyan A, </w:t>
      </w:r>
      <w:proofErr w:type="spellStart"/>
      <w:r w:rsidR="00BD5251" w:rsidRPr="00BD5251">
        <w:rPr>
          <w:rFonts w:ascii="Times New Roman" w:hAnsi="Times New Roman" w:cs="Times New Roman"/>
          <w:sz w:val="20"/>
        </w:rPr>
        <w:t>Austrich</w:t>
      </w:r>
      <w:proofErr w:type="spellEnd"/>
      <w:r w:rsidR="00BD5251" w:rsidRPr="00BD5251">
        <w:rPr>
          <w:rFonts w:ascii="Times New Roman" w:hAnsi="Times New Roman" w:cs="Times New Roman"/>
          <w:sz w:val="20"/>
        </w:rPr>
        <w:t>-Olivares A and Manzanares J (2020) Biomarkers in Psychiatry: Concept, Definition, Types and Relevance to the Clinical Reality. Front. Psychiatry 11:432.</w:t>
      </w:r>
      <w:r w:rsidR="006D272C">
        <w:rPr>
          <w:rFonts w:ascii="Times New Roman" w:hAnsi="Times New Roman" w:cs="Times New Roman"/>
          <w:sz w:val="20"/>
        </w:rPr>
        <w:t>[12]</w:t>
      </w:r>
      <w:r w:rsidR="00BD5251" w:rsidRPr="00BD5251">
        <w:rPr>
          <w:rFonts w:ascii="Times New Roman" w:hAnsi="Times New Roman" w:cs="Times New Roman"/>
          <w:sz w:val="20"/>
        </w:rPr>
        <w:t>)</w:t>
      </w:r>
    </w:p>
    <w:p w14:paraId="3A41E55B" w14:textId="77777777" w:rsidR="00934436" w:rsidRDefault="00934436" w:rsidP="00643E33">
      <w:pPr>
        <w:shd w:val="clear" w:color="auto" w:fill="FFFFFF"/>
        <w:spacing w:line="240" w:lineRule="auto"/>
        <w:rPr>
          <w:rFonts w:ascii="Times New Roman" w:eastAsia="Times New Roman" w:hAnsi="Times New Roman" w:cs="Times New Roman"/>
          <w:b/>
          <w:bCs/>
          <w:color w:val="212121"/>
          <w:sz w:val="20"/>
          <w:lang w:eastAsia="en-IN"/>
        </w:rPr>
      </w:pPr>
    </w:p>
    <w:p w14:paraId="1C043A1B" w14:textId="05EDC2A3" w:rsidR="00FC4698" w:rsidRPr="00FC4698" w:rsidRDefault="00926CED" w:rsidP="00926CED">
      <w:pPr>
        <w:shd w:val="clear" w:color="auto" w:fill="FFFFFF"/>
        <w:spacing w:line="240" w:lineRule="auto"/>
        <w:jc w:val="center"/>
        <w:rPr>
          <w:rFonts w:ascii="Times New Roman" w:eastAsia="Times New Roman" w:hAnsi="Times New Roman" w:cs="Times New Roman"/>
          <w:b/>
          <w:bCs/>
          <w:color w:val="212121"/>
          <w:sz w:val="20"/>
          <w:lang w:eastAsia="en-IN"/>
        </w:rPr>
      </w:pPr>
      <w:r w:rsidRPr="00FC4698">
        <w:rPr>
          <w:rFonts w:ascii="Times New Roman" w:eastAsia="Times New Roman" w:hAnsi="Times New Roman" w:cs="Times New Roman"/>
          <w:b/>
          <w:bCs/>
          <w:color w:val="212121"/>
          <w:sz w:val="20"/>
          <w:lang w:eastAsia="en-IN"/>
        </w:rPr>
        <w:t>CONCLUSION</w:t>
      </w:r>
    </w:p>
    <w:p w14:paraId="06A4ABD9" w14:textId="47844E9B" w:rsidR="006C319D" w:rsidRDefault="006C319D" w:rsidP="0074372E">
      <w:pPr>
        <w:pStyle w:val="p"/>
        <w:shd w:val="clear" w:color="auto" w:fill="FFFFFF"/>
        <w:spacing w:before="400" w:after="400"/>
        <w:jc w:val="both"/>
        <w:rPr>
          <w:color w:val="212121"/>
          <w:sz w:val="20"/>
          <w:szCs w:val="20"/>
        </w:rPr>
      </w:pPr>
      <w:r w:rsidRPr="006C319D">
        <w:rPr>
          <w:color w:val="212121"/>
          <w:sz w:val="20"/>
          <w:szCs w:val="20"/>
        </w:rPr>
        <w:t xml:space="preserve">Both the process of developing new drugs and the larger field of biomedical research place a significant emphasis on the use of biomarkers. It is essential to do research into the connections that may be made between quantifiable biological systems and clinical outcomes in order to broaden our toolbox of treatments for a variety of conditions and improve our knowledge of the physiological processes that underlie a state of health. At the very least since the 1980s, there has been a lively discussion going on over whether or not large-scale clinical trials of major illnesses, such as cancer and heart disease, should employ biomarkers as surrogate outcomes. As a result, the FDA maintains its support for the utilization of biomarkers in both fundamental and clinical research, in addition to research on possible novel biomarkers that could be used as surrogates in subsequent studies [Figure 5]. However, despite the potential benefits of biomarkers in clinical trials, such as minimizing exposure to ineffective investigational therapies and so on, biomarkers can present considerable risks if the designers of the studies mistake them for clinical criteria. If we fully understood the metabolic homeostasis of a natural system, the pathophysiological of that process when disease is present, and the consequences of a pharmacologic, device, or other manipulation on these mechanisms, biomarkers might be able to serve as effective equivalents to important clinical endpoints. Because we rarely, if ever, have a complete picture of these processes, and because there are always more aspects that we do not know or comprehend, biomarkers as surrogate endpoints need to be regularly assessed. At the very least for the purpose of doing a retrospective analysis of the success of biomarker linkage, clinical outcomes should always be the end measure in biomarker research. If the connection between surrogate endpoints and actual clinical endpoints is not continually </w:t>
      </w:r>
      <w:proofErr w:type="spellStart"/>
      <w:r w:rsidRPr="006C319D">
        <w:rPr>
          <w:color w:val="212121"/>
          <w:sz w:val="20"/>
          <w:szCs w:val="20"/>
        </w:rPr>
        <w:t>reevaluated</w:t>
      </w:r>
      <w:proofErr w:type="spellEnd"/>
      <w:r w:rsidRPr="006C319D">
        <w:rPr>
          <w:color w:val="212121"/>
          <w:sz w:val="20"/>
          <w:szCs w:val="20"/>
        </w:rPr>
        <w:t>, we run the risk of approving entire classes of drugs that offer patients either no significant gain or, even worse, cause patients harm.</w:t>
      </w:r>
    </w:p>
    <w:p w14:paraId="7BF3B333" w14:textId="77777777" w:rsidR="00F63B3F" w:rsidRDefault="00F63B3F" w:rsidP="00F63B3F">
      <w:pPr>
        <w:shd w:val="clear" w:color="auto" w:fill="FFFFFF"/>
        <w:spacing w:after="0" w:line="240" w:lineRule="auto"/>
        <w:jc w:val="center"/>
        <w:rPr>
          <w:rFonts w:ascii="Times New Roman" w:eastAsia="Times New Roman" w:hAnsi="Times New Roman" w:cs="Times New Roman"/>
          <w:b/>
          <w:bCs/>
          <w:color w:val="212121"/>
          <w:sz w:val="20"/>
          <w:lang w:eastAsia="en-IN"/>
        </w:rPr>
      </w:pPr>
      <w:r>
        <w:rPr>
          <w:rFonts w:ascii="Times New Roman" w:eastAsia="Times New Roman" w:hAnsi="Times New Roman" w:cs="Times New Roman"/>
          <w:b/>
          <w:bCs/>
          <w:color w:val="212121"/>
          <w:sz w:val="20"/>
          <w:lang w:eastAsia="en-IN"/>
        </w:rPr>
        <w:t>REFERENCES</w:t>
      </w:r>
    </w:p>
    <w:p w14:paraId="4F2E9480" w14:textId="77777777" w:rsidR="00F63B3F" w:rsidRDefault="00F63B3F" w:rsidP="00F63B3F">
      <w:pPr>
        <w:shd w:val="clear" w:color="auto" w:fill="FFFFFF"/>
        <w:spacing w:after="0" w:line="240" w:lineRule="auto"/>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t>[1] </w:t>
      </w:r>
      <w:proofErr w:type="spellStart"/>
      <w:r>
        <w:rPr>
          <w:rFonts w:ascii="Times New Roman" w:eastAsia="Times New Roman" w:hAnsi="Times New Roman" w:cs="Times New Roman"/>
          <w:sz w:val="20"/>
          <w:lang w:eastAsia="en-IN"/>
        </w:rPr>
        <w:t>Hulka</w:t>
      </w:r>
      <w:proofErr w:type="spellEnd"/>
      <w:r>
        <w:rPr>
          <w:rFonts w:ascii="Times New Roman" w:eastAsia="Times New Roman" w:hAnsi="Times New Roman" w:cs="Times New Roman"/>
          <w:sz w:val="20"/>
          <w:lang w:eastAsia="en-IN"/>
        </w:rPr>
        <w:t xml:space="preserve"> BS. Overview of biological markers. In: Biological markers in epidemiology (</w:t>
      </w:r>
      <w:proofErr w:type="spellStart"/>
      <w:r>
        <w:rPr>
          <w:rFonts w:ascii="Times New Roman" w:eastAsia="Times New Roman" w:hAnsi="Times New Roman" w:cs="Times New Roman"/>
          <w:sz w:val="20"/>
          <w:lang w:eastAsia="en-IN"/>
        </w:rPr>
        <w:t>Hulka</w:t>
      </w:r>
      <w:proofErr w:type="spellEnd"/>
      <w:r>
        <w:rPr>
          <w:rFonts w:ascii="Times New Roman" w:eastAsia="Times New Roman" w:hAnsi="Times New Roman" w:cs="Times New Roman"/>
          <w:sz w:val="20"/>
          <w:lang w:eastAsia="en-IN"/>
        </w:rPr>
        <w:t xml:space="preserve"> BS, Griffith JD, </w:t>
      </w:r>
      <w:proofErr w:type="spellStart"/>
      <w:r>
        <w:rPr>
          <w:rFonts w:ascii="Times New Roman" w:eastAsia="Times New Roman" w:hAnsi="Times New Roman" w:cs="Times New Roman"/>
          <w:sz w:val="20"/>
          <w:lang w:eastAsia="en-IN"/>
        </w:rPr>
        <w:t>Wilcosky</w:t>
      </w:r>
      <w:proofErr w:type="spellEnd"/>
      <w:r>
        <w:rPr>
          <w:rFonts w:ascii="Times New Roman" w:eastAsia="Times New Roman" w:hAnsi="Times New Roman" w:cs="Times New Roman"/>
          <w:sz w:val="20"/>
          <w:lang w:eastAsia="en-IN"/>
        </w:rPr>
        <w:t xml:space="preserve"> TC, eds), pp 3–15. New York: Oxford University Press, 1990.</w:t>
      </w:r>
    </w:p>
    <w:p w14:paraId="4903DEC5" w14:textId="77777777" w:rsidR="00F63B3F" w:rsidRDefault="00F63B3F" w:rsidP="00F63B3F">
      <w:pPr>
        <w:shd w:val="clear" w:color="auto" w:fill="FFFFFF"/>
        <w:spacing w:after="0" w:line="240" w:lineRule="auto"/>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t xml:space="preserve">[2] Naylor S. Biomarkers: current perspectives and future prospects. Expert Rev Mol </w:t>
      </w:r>
      <w:proofErr w:type="spellStart"/>
      <w:r>
        <w:rPr>
          <w:rFonts w:ascii="Times New Roman" w:eastAsia="Times New Roman" w:hAnsi="Times New Roman" w:cs="Times New Roman"/>
          <w:sz w:val="20"/>
          <w:lang w:eastAsia="en-IN"/>
        </w:rPr>
        <w:t>Diagn</w:t>
      </w:r>
      <w:proofErr w:type="spellEnd"/>
      <w:r>
        <w:rPr>
          <w:rFonts w:ascii="Times New Roman" w:eastAsia="Times New Roman" w:hAnsi="Times New Roman" w:cs="Times New Roman"/>
          <w:sz w:val="20"/>
          <w:lang w:eastAsia="en-IN"/>
        </w:rPr>
        <w:t> 3: 525–529, 2003.</w:t>
      </w:r>
    </w:p>
    <w:p w14:paraId="34861777" w14:textId="77777777" w:rsidR="00F63B3F" w:rsidRDefault="00F63B3F" w:rsidP="00F63B3F">
      <w:pPr>
        <w:pStyle w:val="ListParagraph"/>
        <w:shd w:val="clear" w:color="auto" w:fill="FFFFFF"/>
        <w:spacing w:after="0" w:line="240" w:lineRule="auto"/>
        <w:ind w:left="0"/>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t xml:space="preserve">[3] Rossi, D.; Gerber, B.; Stassi, G. Predictive and prognostic biomarkers in the era of new targeted therapies for chronic lymphocytic </w:t>
      </w:r>
      <w:proofErr w:type="spellStart"/>
      <w:r>
        <w:rPr>
          <w:rFonts w:ascii="Times New Roman" w:eastAsia="Times New Roman" w:hAnsi="Times New Roman" w:cs="Times New Roman"/>
          <w:sz w:val="20"/>
          <w:lang w:eastAsia="en-IN"/>
        </w:rPr>
        <w:t>leukemia</w:t>
      </w:r>
      <w:proofErr w:type="spellEnd"/>
      <w:r>
        <w:rPr>
          <w:rFonts w:ascii="Times New Roman" w:eastAsia="Times New Roman" w:hAnsi="Times New Roman" w:cs="Times New Roman"/>
          <w:sz w:val="20"/>
          <w:lang w:eastAsia="en-IN"/>
        </w:rPr>
        <w:t>. Leuk. Lymphoma 2017, 58, 1548–1560.</w:t>
      </w:r>
    </w:p>
    <w:p w14:paraId="173EF94A"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[4] Biomarker Working Group F-N. BEST (Biomarkers, Endpoints, and other Tools) Resource. In: Spring S, editor. BEST (Biomarkers, Endpoints, and other Tools) Resource. Silver Spring (MD): FDA-NIH (2016).</w:t>
      </w:r>
    </w:p>
    <w:p w14:paraId="65EE432E"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[5] Aronson JK, </w:t>
      </w:r>
      <w:proofErr w:type="spellStart"/>
      <w:r>
        <w:rPr>
          <w:rFonts w:ascii="Times New Roman" w:hAnsi="Times New Roman" w:cs="Times New Roman"/>
          <w:sz w:val="20"/>
        </w:rPr>
        <w:t>Ferner</w:t>
      </w:r>
      <w:proofErr w:type="spellEnd"/>
      <w:r>
        <w:rPr>
          <w:rFonts w:ascii="Times New Roman" w:hAnsi="Times New Roman" w:cs="Times New Roman"/>
          <w:sz w:val="20"/>
        </w:rPr>
        <w:t xml:space="preserve"> RE. Biomarkers-A General Review. </w:t>
      </w:r>
      <w:proofErr w:type="spellStart"/>
      <w:r>
        <w:rPr>
          <w:rFonts w:ascii="Times New Roman" w:hAnsi="Times New Roman" w:cs="Times New Roman"/>
          <w:sz w:val="20"/>
        </w:rPr>
        <w:t>Curr</w:t>
      </w:r>
      <w:proofErr w:type="spellEnd"/>
      <w:r>
        <w:rPr>
          <w:rFonts w:ascii="Times New Roman" w:hAnsi="Times New Roman" w:cs="Times New Roman"/>
          <w:sz w:val="20"/>
        </w:rPr>
        <w:t xml:space="preserve"> </w:t>
      </w:r>
      <w:proofErr w:type="spellStart"/>
      <w:r>
        <w:rPr>
          <w:rFonts w:ascii="Times New Roman" w:hAnsi="Times New Roman" w:cs="Times New Roman"/>
          <w:sz w:val="20"/>
        </w:rPr>
        <w:t>Protoc</w:t>
      </w:r>
      <w:proofErr w:type="spellEnd"/>
      <w:r>
        <w:rPr>
          <w:rFonts w:ascii="Times New Roman" w:hAnsi="Times New Roman" w:cs="Times New Roman"/>
          <w:sz w:val="20"/>
        </w:rPr>
        <w:t xml:space="preserve"> </w:t>
      </w:r>
      <w:proofErr w:type="spellStart"/>
      <w:r>
        <w:rPr>
          <w:rFonts w:ascii="Times New Roman" w:hAnsi="Times New Roman" w:cs="Times New Roman"/>
          <w:sz w:val="20"/>
        </w:rPr>
        <w:t>Pharmacol</w:t>
      </w:r>
      <w:proofErr w:type="spellEnd"/>
      <w:r>
        <w:rPr>
          <w:rFonts w:ascii="Times New Roman" w:hAnsi="Times New Roman" w:cs="Times New Roman"/>
          <w:sz w:val="20"/>
        </w:rPr>
        <w:t xml:space="preserve"> (2017) 76:9 23:1–9 17. DOI: 10.1002/cpph.19</w:t>
      </w:r>
    </w:p>
    <w:p w14:paraId="00941781" w14:textId="77777777" w:rsidR="00F63B3F" w:rsidRDefault="00F63B3F" w:rsidP="00F63B3F">
      <w:pPr>
        <w:shd w:val="clear" w:color="auto" w:fill="FFFFFF"/>
        <w:spacing w:after="0" w:line="240" w:lineRule="auto"/>
        <w:jc w:val="both"/>
        <w:rPr>
          <w:rFonts w:ascii="Times New Roman" w:hAnsi="Times New Roman" w:cs="Times New Roman"/>
          <w:sz w:val="20"/>
        </w:rPr>
      </w:pPr>
      <w:r>
        <w:rPr>
          <w:rFonts w:ascii="Times New Roman" w:hAnsi="Times New Roman" w:cs="Times New Roman"/>
          <w:sz w:val="20"/>
        </w:rPr>
        <w:t>[6] </w:t>
      </w:r>
      <w:proofErr w:type="spellStart"/>
      <w:r>
        <w:rPr>
          <w:rStyle w:val="mixed-citation"/>
          <w:rFonts w:ascii="Times New Roman" w:hAnsi="Times New Roman" w:cs="Times New Roman"/>
          <w:sz w:val="20"/>
        </w:rPr>
        <w:t>Novelli</w:t>
      </w:r>
      <w:proofErr w:type="spellEnd"/>
      <w:r>
        <w:rPr>
          <w:rStyle w:val="mixed-citation"/>
          <w:rFonts w:ascii="Times New Roman" w:hAnsi="Times New Roman" w:cs="Times New Roman"/>
          <w:sz w:val="20"/>
        </w:rPr>
        <w:t xml:space="preserve"> G, </w:t>
      </w:r>
      <w:proofErr w:type="spellStart"/>
      <w:r>
        <w:rPr>
          <w:rStyle w:val="mixed-citation"/>
          <w:rFonts w:ascii="Times New Roman" w:hAnsi="Times New Roman" w:cs="Times New Roman"/>
          <w:sz w:val="20"/>
        </w:rPr>
        <w:t>Ciccacci</w:t>
      </w:r>
      <w:proofErr w:type="spellEnd"/>
      <w:r>
        <w:rPr>
          <w:rStyle w:val="mixed-citation"/>
          <w:rFonts w:ascii="Times New Roman" w:hAnsi="Times New Roman" w:cs="Times New Roman"/>
          <w:sz w:val="20"/>
        </w:rPr>
        <w:t xml:space="preserve"> C, </w:t>
      </w:r>
      <w:proofErr w:type="spellStart"/>
      <w:r>
        <w:rPr>
          <w:rStyle w:val="mixed-citation"/>
          <w:rFonts w:ascii="Times New Roman" w:hAnsi="Times New Roman" w:cs="Times New Roman"/>
          <w:sz w:val="20"/>
        </w:rPr>
        <w:t>Borgiani</w:t>
      </w:r>
      <w:proofErr w:type="spellEnd"/>
      <w:r>
        <w:rPr>
          <w:rStyle w:val="mixed-citation"/>
          <w:rFonts w:ascii="Times New Roman" w:hAnsi="Times New Roman" w:cs="Times New Roman"/>
          <w:sz w:val="20"/>
        </w:rPr>
        <w:t xml:space="preserve"> P, </w:t>
      </w:r>
      <w:proofErr w:type="spellStart"/>
      <w:r>
        <w:rPr>
          <w:rStyle w:val="mixed-citation"/>
          <w:rFonts w:ascii="Times New Roman" w:hAnsi="Times New Roman" w:cs="Times New Roman"/>
          <w:sz w:val="20"/>
        </w:rPr>
        <w:t>Papaluca</w:t>
      </w:r>
      <w:proofErr w:type="spellEnd"/>
      <w:r>
        <w:rPr>
          <w:rStyle w:val="mixed-citation"/>
          <w:rFonts w:ascii="Times New Roman" w:hAnsi="Times New Roman" w:cs="Times New Roman"/>
          <w:sz w:val="20"/>
        </w:rPr>
        <w:t xml:space="preserve"> Amati M, Abadie E. </w:t>
      </w:r>
      <w:r>
        <w:rPr>
          <w:rStyle w:val="ref-title"/>
          <w:rFonts w:ascii="Times New Roman" w:hAnsi="Times New Roman" w:cs="Times New Roman"/>
          <w:sz w:val="20"/>
        </w:rPr>
        <w:t>Genetic tests and genomic biomarkers: regulation, qualification and validation</w:t>
      </w:r>
      <w:r>
        <w:rPr>
          <w:rStyle w:val="mixed-citation"/>
          <w:rFonts w:ascii="Times New Roman" w:hAnsi="Times New Roman" w:cs="Times New Roman"/>
          <w:sz w:val="20"/>
        </w:rPr>
        <w:t>. </w:t>
      </w:r>
      <w:r>
        <w:rPr>
          <w:rStyle w:val="ref-journal"/>
          <w:rFonts w:ascii="Times New Roman" w:hAnsi="Times New Roman" w:cs="Times New Roman"/>
          <w:sz w:val="20"/>
        </w:rPr>
        <w:t xml:space="preserve">Clin cases Miner Bone </w:t>
      </w:r>
      <w:proofErr w:type="spellStart"/>
      <w:r>
        <w:rPr>
          <w:rStyle w:val="ref-journal"/>
          <w:rFonts w:ascii="Times New Roman" w:hAnsi="Times New Roman" w:cs="Times New Roman"/>
          <w:sz w:val="20"/>
        </w:rPr>
        <w:t>Metab</w:t>
      </w:r>
      <w:proofErr w:type="spellEnd"/>
      <w:r>
        <w:rPr>
          <w:rStyle w:val="mixed-citation"/>
          <w:rFonts w:ascii="Times New Roman" w:hAnsi="Times New Roman" w:cs="Times New Roman"/>
          <w:sz w:val="20"/>
        </w:rPr>
        <w:t> (2008) </w:t>
      </w:r>
      <w:r>
        <w:rPr>
          <w:rStyle w:val="ref-vol"/>
          <w:rFonts w:ascii="Times New Roman" w:hAnsi="Times New Roman" w:cs="Times New Roman"/>
          <w:sz w:val="20"/>
        </w:rPr>
        <w:t>5</w:t>
      </w:r>
      <w:r>
        <w:rPr>
          <w:rStyle w:val="mixed-citation"/>
          <w:rFonts w:ascii="Times New Roman" w:hAnsi="Times New Roman" w:cs="Times New Roman"/>
          <w:sz w:val="20"/>
        </w:rPr>
        <w:t>(</w:t>
      </w:r>
      <w:r>
        <w:rPr>
          <w:rStyle w:val="ref-iss"/>
          <w:rFonts w:ascii="Times New Roman" w:hAnsi="Times New Roman" w:cs="Times New Roman"/>
          <w:sz w:val="20"/>
        </w:rPr>
        <w:t>2</w:t>
      </w:r>
      <w:r>
        <w:rPr>
          <w:rStyle w:val="mixed-citation"/>
          <w:rFonts w:ascii="Times New Roman" w:hAnsi="Times New Roman" w:cs="Times New Roman"/>
          <w:sz w:val="20"/>
        </w:rPr>
        <w:t>):149–54.</w:t>
      </w:r>
    </w:p>
    <w:p w14:paraId="4C565088" w14:textId="77777777" w:rsidR="00F63B3F" w:rsidRDefault="00F63B3F" w:rsidP="00F63B3F">
      <w:pPr>
        <w:shd w:val="clear" w:color="auto" w:fill="FFFFFF"/>
        <w:spacing w:after="0" w:line="240" w:lineRule="auto"/>
        <w:jc w:val="both"/>
        <w:rPr>
          <w:rFonts w:ascii="Times New Roman" w:hAnsi="Times New Roman" w:cs="Times New Roman"/>
          <w:sz w:val="20"/>
        </w:rPr>
      </w:pPr>
      <w:r>
        <w:rPr>
          <w:rFonts w:ascii="Times New Roman" w:hAnsi="Times New Roman" w:cs="Times New Roman"/>
          <w:sz w:val="20"/>
        </w:rPr>
        <w:lastRenderedPageBreak/>
        <w:t xml:space="preserve">[7] </w:t>
      </w:r>
      <w:r>
        <w:rPr>
          <w:rStyle w:val="mixed-citation"/>
          <w:rFonts w:ascii="Times New Roman" w:hAnsi="Times New Roman" w:cs="Times New Roman"/>
          <w:sz w:val="20"/>
        </w:rPr>
        <w:t>European Medicines Agency (EMA) </w:t>
      </w:r>
      <w:r>
        <w:rPr>
          <w:rStyle w:val="ref-journal"/>
          <w:rFonts w:ascii="Times New Roman" w:hAnsi="Times New Roman" w:cs="Times New Roman"/>
          <w:sz w:val="20"/>
        </w:rPr>
        <w:t>ICH Topic E15 Definitions for genomic biomarkers, pharmacogenomics, pharmacogenetics, genomic data and sample coding categories.</w:t>
      </w:r>
      <w:r>
        <w:rPr>
          <w:rStyle w:val="mixed-citation"/>
          <w:rFonts w:ascii="Times New Roman" w:hAnsi="Times New Roman" w:cs="Times New Roman"/>
          <w:sz w:val="20"/>
        </w:rPr>
        <w:t> (2007).</w:t>
      </w:r>
    </w:p>
    <w:p w14:paraId="265C52BE" w14:textId="77777777" w:rsidR="00F63B3F" w:rsidRDefault="00F63B3F" w:rsidP="00F63B3F">
      <w:pPr>
        <w:shd w:val="clear" w:color="auto" w:fill="FFFFFF"/>
        <w:spacing w:after="0" w:line="240" w:lineRule="auto"/>
        <w:jc w:val="both"/>
        <w:rPr>
          <w:rFonts w:ascii="Times New Roman" w:hAnsi="Times New Roman" w:cs="Times New Roman"/>
          <w:sz w:val="20"/>
        </w:rPr>
      </w:pPr>
      <w:r>
        <w:rPr>
          <w:rFonts w:ascii="Times New Roman" w:hAnsi="Times New Roman" w:cs="Times New Roman"/>
          <w:sz w:val="20"/>
        </w:rPr>
        <w:t xml:space="preserve">[8] </w:t>
      </w:r>
      <w:r>
        <w:rPr>
          <w:rStyle w:val="mixed-citation"/>
          <w:rFonts w:ascii="Times New Roman" w:hAnsi="Times New Roman" w:cs="Times New Roman"/>
          <w:sz w:val="20"/>
        </w:rPr>
        <w:t>European Medicines Agency (EMA) </w:t>
      </w:r>
      <w:r>
        <w:rPr>
          <w:rStyle w:val="ref-title"/>
          <w:rFonts w:ascii="Times New Roman" w:hAnsi="Times New Roman" w:cs="Times New Roman"/>
          <w:sz w:val="20"/>
        </w:rPr>
        <w:t>Definitions for genomic biomarkers, pharmacogenomics, pharmacogenetics, genomic data and sample coding categories</w:t>
      </w:r>
      <w:r>
        <w:rPr>
          <w:rStyle w:val="mixed-citation"/>
          <w:rFonts w:ascii="Times New Roman" w:hAnsi="Times New Roman" w:cs="Times New Roman"/>
          <w:sz w:val="20"/>
        </w:rPr>
        <w:t>. (2007).</w:t>
      </w:r>
    </w:p>
    <w:p w14:paraId="3EDF0017" w14:textId="77777777" w:rsidR="00F63B3F" w:rsidRDefault="00F63B3F" w:rsidP="00F63B3F">
      <w:pPr>
        <w:shd w:val="clear" w:color="auto" w:fill="FFFFFF"/>
        <w:spacing w:after="0" w:line="240" w:lineRule="auto"/>
        <w:jc w:val="both"/>
        <w:rPr>
          <w:rStyle w:val="mixed-citation"/>
        </w:rPr>
      </w:pPr>
      <w:r>
        <w:rPr>
          <w:rFonts w:ascii="Times New Roman" w:hAnsi="Times New Roman" w:cs="Times New Roman"/>
          <w:sz w:val="20"/>
        </w:rPr>
        <w:t xml:space="preserve">[9] </w:t>
      </w:r>
      <w:r>
        <w:rPr>
          <w:rStyle w:val="mixed-citation"/>
          <w:rFonts w:ascii="Times New Roman" w:hAnsi="Times New Roman" w:cs="Times New Roman"/>
          <w:sz w:val="20"/>
        </w:rPr>
        <w:t>Jiang W, King TZ, Turner JA. </w:t>
      </w:r>
      <w:r>
        <w:rPr>
          <w:rStyle w:val="ref-title"/>
          <w:rFonts w:ascii="Times New Roman" w:hAnsi="Times New Roman" w:cs="Times New Roman"/>
          <w:sz w:val="20"/>
        </w:rPr>
        <w:t>Imaging Genetics Towards a Refined Diagnosis of Schizophrenia</w:t>
      </w:r>
      <w:r>
        <w:rPr>
          <w:rStyle w:val="mixed-citation"/>
          <w:rFonts w:ascii="Times New Roman" w:hAnsi="Times New Roman" w:cs="Times New Roman"/>
          <w:sz w:val="20"/>
        </w:rPr>
        <w:t>. </w:t>
      </w:r>
      <w:r>
        <w:rPr>
          <w:rStyle w:val="ref-journal"/>
          <w:rFonts w:ascii="Times New Roman" w:hAnsi="Times New Roman" w:cs="Times New Roman"/>
          <w:sz w:val="20"/>
        </w:rPr>
        <w:t>Front Psychiatry</w:t>
      </w:r>
      <w:r>
        <w:rPr>
          <w:rStyle w:val="mixed-citation"/>
          <w:rFonts w:ascii="Times New Roman" w:hAnsi="Times New Roman" w:cs="Times New Roman"/>
          <w:sz w:val="20"/>
        </w:rPr>
        <w:t> (2019) </w:t>
      </w:r>
      <w:r>
        <w:rPr>
          <w:rStyle w:val="ref-vol"/>
          <w:rFonts w:ascii="Times New Roman" w:hAnsi="Times New Roman" w:cs="Times New Roman"/>
          <w:sz w:val="20"/>
        </w:rPr>
        <w:t>10</w:t>
      </w:r>
      <w:r>
        <w:rPr>
          <w:rStyle w:val="mixed-citation"/>
          <w:rFonts w:ascii="Times New Roman" w:hAnsi="Times New Roman" w:cs="Times New Roman"/>
          <w:sz w:val="20"/>
        </w:rPr>
        <w:t>:494.   10.3389/fpsyt.2019.00494.</w:t>
      </w:r>
    </w:p>
    <w:p w14:paraId="0C134D9F" w14:textId="77777777" w:rsidR="00F63B3F" w:rsidRDefault="00F63B3F" w:rsidP="00F63B3F">
      <w:pPr>
        <w:shd w:val="clear" w:color="auto" w:fill="FFFFFF"/>
        <w:spacing w:after="0" w:line="240" w:lineRule="auto"/>
        <w:jc w:val="both"/>
        <w:rPr>
          <w:rFonts w:eastAsia="Times New Roman"/>
          <w:lang w:eastAsia="en-IN"/>
        </w:rPr>
      </w:pPr>
      <w:r>
        <w:rPr>
          <w:rStyle w:val="mixed-citation"/>
          <w:rFonts w:ascii="Times New Roman" w:hAnsi="Times New Roman" w:cs="Times New Roman"/>
          <w:sz w:val="20"/>
        </w:rPr>
        <w:t xml:space="preserve">[10] </w:t>
      </w:r>
      <w:r>
        <w:rPr>
          <w:rFonts w:ascii="Times New Roman" w:eastAsia="Times New Roman" w:hAnsi="Times New Roman" w:cs="Times New Roman"/>
          <w:sz w:val="20"/>
          <w:lang w:eastAsia="en-IN"/>
        </w:rPr>
        <w:t xml:space="preserve">Montserrat, E.; Gale, R.P. Predicting the outcome of patients with chronic lymphocytic </w:t>
      </w:r>
      <w:proofErr w:type="spellStart"/>
      <w:r>
        <w:rPr>
          <w:rFonts w:ascii="Times New Roman" w:eastAsia="Times New Roman" w:hAnsi="Times New Roman" w:cs="Times New Roman"/>
          <w:sz w:val="20"/>
          <w:lang w:eastAsia="en-IN"/>
        </w:rPr>
        <w:t>leukemia</w:t>
      </w:r>
      <w:proofErr w:type="spellEnd"/>
      <w:r>
        <w:rPr>
          <w:rFonts w:ascii="Times New Roman" w:eastAsia="Times New Roman" w:hAnsi="Times New Roman" w:cs="Times New Roman"/>
          <w:sz w:val="20"/>
          <w:lang w:eastAsia="en-IN"/>
        </w:rPr>
        <w:t>: Progress and uncertainty. Cancer 2019, 125, 3699–3705.</w:t>
      </w:r>
    </w:p>
    <w:p w14:paraId="5B958961" w14:textId="77777777" w:rsidR="00F63B3F" w:rsidRDefault="00F63B3F" w:rsidP="00F63B3F">
      <w:pPr>
        <w:shd w:val="clear" w:color="auto" w:fill="FFFFFF"/>
        <w:spacing w:after="0" w:line="240" w:lineRule="auto"/>
        <w:jc w:val="both"/>
        <w:rPr>
          <w:rFonts w:ascii="Times New Roman" w:eastAsia="Times New Roman" w:hAnsi="Times New Roman" w:cs="Times New Roman"/>
          <w:sz w:val="20"/>
          <w:lang w:eastAsia="en-IN"/>
        </w:rPr>
      </w:pPr>
      <w:r>
        <w:rPr>
          <w:rFonts w:ascii="Times New Roman" w:eastAsia="Times New Roman" w:hAnsi="Times New Roman" w:cs="Times New Roman"/>
          <w:sz w:val="20"/>
          <w:lang w:eastAsia="en-IN"/>
        </w:rPr>
        <w:t xml:space="preserve">[11] </w:t>
      </w:r>
      <w:proofErr w:type="spellStart"/>
      <w:r>
        <w:rPr>
          <w:rFonts w:ascii="Times New Roman" w:eastAsia="Times New Roman" w:hAnsi="Times New Roman" w:cs="Times New Roman"/>
          <w:sz w:val="20"/>
          <w:lang w:eastAsia="en-IN"/>
        </w:rPr>
        <w:t>Tausch</w:t>
      </w:r>
      <w:proofErr w:type="spellEnd"/>
      <w:r>
        <w:rPr>
          <w:rFonts w:ascii="Times New Roman" w:eastAsia="Times New Roman" w:hAnsi="Times New Roman" w:cs="Times New Roman"/>
          <w:sz w:val="20"/>
          <w:lang w:eastAsia="en-IN"/>
        </w:rPr>
        <w:t xml:space="preserve">, E.; Schneider, C.; </w:t>
      </w:r>
      <w:proofErr w:type="spellStart"/>
      <w:r>
        <w:rPr>
          <w:rFonts w:ascii="Times New Roman" w:eastAsia="Times New Roman" w:hAnsi="Times New Roman" w:cs="Times New Roman"/>
          <w:sz w:val="20"/>
          <w:lang w:eastAsia="en-IN"/>
        </w:rPr>
        <w:t>Robrecht</w:t>
      </w:r>
      <w:proofErr w:type="spellEnd"/>
      <w:r>
        <w:rPr>
          <w:rFonts w:ascii="Times New Roman" w:eastAsia="Times New Roman" w:hAnsi="Times New Roman" w:cs="Times New Roman"/>
          <w:sz w:val="20"/>
          <w:lang w:eastAsia="en-IN"/>
        </w:rPr>
        <w:t xml:space="preserve">, S.; Zhang, C.; </w:t>
      </w:r>
      <w:proofErr w:type="spellStart"/>
      <w:r>
        <w:rPr>
          <w:rFonts w:ascii="Times New Roman" w:eastAsia="Times New Roman" w:hAnsi="Times New Roman" w:cs="Times New Roman"/>
          <w:sz w:val="20"/>
          <w:lang w:eastAsia="en-IN"/>
        </w:rPr>
        <w:t>Dolnik</w:t>
      </w:r>
      <w:proofErr w:type="spellEnd"/>
      <w:r>
        <w:rPr>
          <w:rFonts w:ascii="Times New Roman" w:eastAsia="Times New Roman" w:hAnsi="Times New Roman" w:cs="Times New Roman"/>
          <w:sz w:val="20"/>
          <w:lang w:eastAsia="en-IN"/>
        </w:rPr>
        <w:t xml:space="preserve">, A.; </w:t>
      </w:r>
      <w:proofErr w:type="spellStart"/>
      <w:r>
        <w:rPr>
          <w:rFonts w:ascii="Times New Roman" w:eastAsia="Times New Roman" w:hAnsi="Times New Roman" w:cs="Times New Roman"/>
          <w:sz w:val="20"/>
          <w:lang w:eastAsia="en-IN"/>
        </w:rPr>
        <w:t>Bloehdorn</w:t>
      </w:r>
      <w:proofErr w:type="spellEnd"/>
      <w:r>
        <w:rPr>
          <w:rFonts w:ascii="Times New Roman" w:eastAsia="Times New Roman" w:hAnsi="Times New Roman" w:cs="Times New Roman"/>
          <w:sz w:val="20"/>
          <w:lang w:eastAsia="en-IN"/>
        </w:rPr>
        <w:t xml:space="preserve">, J.; </w:t>
      </w:r>
      <w:proofErr w:type="spellStart"/>
      <w:r>
        <w:rPr>
          <w:rFonts w:ascii="Times New Roman" w:eastAsia="Times New Roman" w:hAnsi="Times New Roman" w:cs="Times New Roman"/>
          <w:sz w:val="20"/>
          <w:lang w:eastAsia="en-IN"/>
        </w:rPr>
        <w:t>Bahlo</w:t>
      </w:r>
      <w:proofErr w:type="spellEnd"/>
      <w:r>
        <w:rPr>
          <w:rFonts w:ascii="Times New Roman" w:eastAsia="Times New Roman" w:hAnsi="Times New Roman" w:cs="Times New Roman"/>
          <w:sz w:val="20"/>
          <w:lang w:eastAsia="en-IN"/>
        </w:rPr>
        <w:t>, J.; Al-</w:t>
      </w:r>
      <w:proofErr w:type="spellStart"/>
      <w:r>
        <w:rPr>
          <w:rFonts w:ascii="Times New Roman" w:eastAsia="Times New Roman" w:hAnsi="Times New Roman" w:cs="Times New Roman"/>
          <w:sz w:val="20"/>
          <w:lang w:eastAsia="en-IN"/>
        </w:rPr>
        <w:t>Sawaf</w:t>
      </w:r>
      <w:proofErr w:type="spellEnd"/>
      <w:r>
        <w:rPr>
          <w:rFonts w:ascii="Times New Roman" w:eastAsia="Times New Roman" w:hAnsi="Times New Roman" w:cs="Times New Roman"/>
          <w:sz w:val="20"/>
          <w:lang w:eastAsia="en-IN"/>
        </w:rPr>
        <w:t xml:space="preserve">, O.; </w:t>
      </w:r>
      <w:proofErr w:type="spellStart"/>
      <w:r>
        <w:rPr>
          <w:rFonts w:ascii="Times New Roman" w:eastAsia="Times New Roman" w:hAnsi="Times New Roman" w:cs="Times New Roman"/>
          <w:sz w:val="20"/>
          <w:lang w:eastAsia="en-IN"/>
        </w:rPr>
        <w:t>Ritgen</w:t>
      </w:r>
      <w:proofErr w:type="spellEnd"/>
      <w:r>
        <w:rPr>
          <w:rFonts w:ascii="Times New Roman" w:eastAsia="Times New Roman" w:hAnsi="Times New Roman" w:cs="Times New Roman"/>
          <w:sz w:val="20"/>
          <w:lang w:eastAsia="en-IN"/>
        </w:rPr>
        <w:t xml:space="preserve">, M.; Fink, A.-M.; et al. Prognostic and predictive impact of genetic markers in patients with CLL treated with </w:t>
      </w:r>
      <w:proofErr w:type="spellStart"/>
      <w:r>
        <w:rPr>
          <w:rFonts w:ascii="Times New Roman" w:eastAsia="Times New Roman" w:hAnsi="Times New Roman" w:cs="Times New Roman"/>
          <w:sz w:val="20"/>
          <w:lang w:eastAsia="en-IN"/>
        </w:rPr>
        <w:t>obinutuzumab</w:t>
      </w:r>
      <w:proofErr w:type="spellEnd"/>
      <w:r>
        <w:rPr>
          <w:rFonts w:ascii="Times New Roman" w:eastAsia="Times New Roman" w:hAnsi="Times New Roman" w:cs="Times New Roman"/>
          <w:sz w:val="20"/>
          <w:lang w:eastAsia="en-IN"/>
        </w:rPr>
        <w:t xml:space="preserve"> and </w:t>
      </w:r>
      <w:proofErr w:type="spellStart"/>
      <w:r>
        <w:rPr>
          <w:rFonts w:ascii="Times New Roman" w:eastAsia="Times New Roman" w:hAnsi="Times New Roman" w:cs="Times New Roman"/>
          <w:sz w:val="20"/>
          <w:lang w:eastAsia="en-IN"/>
        </w:rPr>
        <w:t>venetoclax</w:t>
      </w:r>
      <w:proofErr w:type="spellEnd"/>
      <w:r>
        <w:rPr>
          <w:rFonts w:ascii="Times New Roman" w:eastAsia="Times New Roman" w:hAnsi="Times New Roman" w:cs="Times New Roman"/>
          <w:sz w:val="20"/>
          <w:lang w:eastAsia="en-IN"/>
        </w:rPr>
        <w:t>. Blood 2020.</w:t>
      </w:r>
    </w:p>
    <w:p w14:paraId="12C4260F" w14:textId="77777777" w:rsidR="00F63B3F" w:rsidRDefault="00F63B3F" w:rsidP="00F63B3F">
      <w:pPr>
        <w:shd w:val="clear" w:color="auto" w:fill="FFFFFF"/>
        <w:spacing w:after="0" w:line="240" w:lineRule="auto"/>
        <w:jc w:val="both"/>
        <w:rPr>
          <w:rFonts w:ascii="Times New Roman" w:hAnsi="Times New Roman" w:cs="Times New Roman"/>
          <w:sz w:val="20"/>
          <w:shd w:val="clear" w:color="auto" w:fill="FFFFFF"/>
        </w:rPr>
      </w:pPr>
      <w:r>
        <w:rPr>
          <w:rFonts w:ascii="Times New Roman" w:eastAsia="Times New Roman" w:hAnsi="Times New Roman" w:cs="Times New Roman"/>
          <w:sz w:val="20"/>
          <w:lang w:eastAsia="en-IN"/>
        </w:rPr>
        <w:t xml:space="preserve">[12] </w:t>
      </w:r>
      <w:hyperlink r:id="rId13" w:tgtFrame="_blank" w:history="1">
        <w:r>
          <w:rPr>
            <w:rStyle w:val="sciprofiles-linkname"/>
            <w:rFonts w:ascii="Times New Roman" w:hAnsi="Times New Roman"/>
            <w:sz w:val="20"/>
            <w:shd w:val="clear" w:color="auto" w:fill="FFFFFF"/>
          </w:rPr>
          <w:t>Isabel González-</w:t>
        </w:r>
        <w:proofErr w:type="spellStart"/>
        <w:r>
          <w:rPr>
            <w:rStyle w:val="sciprofiles-linkname"/>
            <w:rFonts w:ascii="Times New Roman" w:hAnsi="Times New Roman"/>
            <w:sz w:val="20"/>
            <w:shd w:val="clear" w:color="auto" w:fill="FFFFFF"/>
          </w:rPr>
          <w:t>Gascón</w:t>
        </w:r>
        <w:proofErr w:type="spellEnd"/>
        <w:r>
          <w:rPr>
            <w:rStyle w:val="sciprofiles-linkname"/>
            <w:rFonts w:ascii="Times New Roman" w:hAnsi="Times New Roman"/>
            <w:sz w:val="20"/>
            <w:shd w:val="clear" w:color="auto" w:fill="FFFFFF"/>
          </w:rPr>
          <w:t>-y-Marín</w:t>
        </w:r>
      </w:hyperlink>
      <w:r>
        <w:rPr>
          <w:rFonts w:ascii="Times New Roman" w:hAnsi="Times New Roman" w:cs="Times New Roman"/>
          <w:sz w:val="20"/>
        </w:rPr>
        <w:t xml:space="preserve"> et.al: From Biomarkers to Models in the Changing Landscape of Chronic Lymphocytic </w:t>
      </w:r>
      <w:proofErr w:type="spellStart"/>
      <w:r>
        <w:rPr>
          <w:rFonts w:ascii="Times New Roman" w:hAnsi="Times New Roman" w:cs="Times New Roman"/>
          <w:sz w:val="20"/>
        </w:rPr>
        <w:t>Leukemia</w:t>
      </w:r>
      <w:proofErr w:type="spellEnd"/>
      <w:r>
        <w:rPr>
          <w:rFonts w:ascii="Times New Roman" w:hAnsi="Times New Roman" w:cs="Times New Roman"/>
          <w:sz w:val="20"/>
        </w:rPr>
        <w:t xml:space="preserve">: Evolve or Become Extinct; </w:t>
      </w:r>
      <w:r>
        <w:rPr>
          <w:rStyle w:val="Emphasis"/>
          <w:shd w:val="clear" w:color="auto" w:fill="FFFFFF"/>
        </w:rPr>
        <w:t>Cancers</w:t>
      </w:r>
      <w:r>
        <w:rPr>
          <w:rFonts w:ascii="Times New Roman" w:hAnsi="Times New Roman" w:cs="Times New Roman"/>
          <w:sz w:val="20"/>
          <w:shd w:val="clear" w:color="auto" w:fill="FFFFFF"/>
        </w:rPr>
        <w:t> 2021, </w:t>
      </w:r>
      <w:r>
        <w:rPr>
          <w:rStyle w:val="Emphasis"/>
          <w:shd w:val="clear" w:color="auto" w:fill="FFFFFF"/>
        </w:rPr>
        <w:t>13</w:t>
      </w:r>
      <w:r>
        <w:rPr>
          <w:rFonts w:ascii="Times New Roman" w:hAnsi="Times New Roman" w:cs="Times New Roman"/>
          <w:sz w:val="20"/>
          <w:shd w:val="clear" w:color="auto" w:fill="FFFFFF"/>
        </w:rPr>
        <w:t>(8), 1782.</w:t>
      </w:r>
    </w:p>
    <w:p w14:paraId="09F4BC6F"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[13] </w:t>
      </w:r>
      <w:proofErr w:type="spellStart"/>
      <w:r>
        <w:rPr>
          <w:rFonts w:ascii="Times New Roman" w:hAnsi="Times New Roman" w:cs="Times New Roman"/>
          <w:sz w:val="20"/>
        </w:rPr>
        <w:t>Califf</w:t>
      </w:r>
      <w:proofErr w:type="spellEnd"/>
      <w:r>
        <w:rPr>
          <w:rFonts w:ascii="Times New Roman" w:hAnsi="Times New Roman" w:cs="Times New Roman"/>
          <w:sz w:val="20"/>
        </w:rPr>
        <w:t xml:space="preserve"> RM. Biomarker definitions and their applications. Exp </w:t>
      </w:r>
      <w:proofErr w:type="spellStart"/>
      <w:r>
        <w:rPr>
          <w:rFonts w:ascii="Times New Roman" w:hAnsi="Times New Roman" w:cs="Times New Roman"/>
          <w:sz w:val="20"/>
        </w:rPr>
        <w:t>Biol</w:t>
      </w:r>
      <w:proofErr w:type="spellEnd"/>
      <w:r>
        <w:rPr>
          <w:rFonts w:ascii="Times New Roman" w:hAnsi="Times New Roman" w:cs="Times New Roman"/>
          <w:sz w:val="20"/>
        </w:rPr>
        <w:t xml:space="preserve"> Med (Maywood) (2018) 243(3):213–21. DOI: 10.1177/1535370217750088</w:t>
      </w:r>
    </w:p>
    <w:p w14:paraId="0CED9D88"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[14] Kraus VB. Biomarkers as drug development tools: discovery, validation, qualification and use. Nat Rev </w:t>
      </w:r>
      <w:proofErr w:type="spellStart"/>
      <w:r>
        <w:rPr>
          <w:rFonts w:ascii="Times New Roman" w:hAnsi="Times New Roman" w:cs="Times New Roman"/>
          <w:sz w:val="20"/>
        </w:rPr>
        <w:t>Rheumatol</w:t>
      </w:r>
      <w:proofErr w:type="spellEnd"/>
      <w:r>
        <w:rPr>
          <w:rFonts w:ascii="Times New Roman" w:hAnsi="Times New Roman" w:cs="Times New Roman"/>
          <w:sz w:val="20"/>
        </w:rPr>
        <w:t xml:space="preserve"> (2018) 14(6):354–362. DOI: 10.1038/s41584-018-0005-9</w:t>
      </w:r>
    </w:p>
    <w:p w14:paraId="12C12E85"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[15] </w:t>
      </w:r>
      <w:proofErr w:type="spellStart"/>
      <w:r>
        <w:rPr>
          <w:rFonts w:ascii="Times New Roman" w:hAnsi="Times New Roman" w:cs="Times New Roman"/>
          <w:sz w:val="20"/>
        </w:rPr>
        <w:t>Prata</w:t>
      </w:r>
      <w:proofErr w:type="spellEnd"/>
      <w:r>
        <w:rPr>
          <w:rFonts w:ascii="Times New Roman" w:hAnsi="Times New Roman" w:cs="Times New Roman"/>
          <w:sz w:val="20"/>
        </w:rPr>
        <w:t xml:space="preserve"> J, Santos SG, Almeida MI, Coelho R, Barbosa MA. Bridging Autism Spectrum Disorders and Schizophrenia through inflammation and biomarkers - pre-clinical and clinical investigations. J Neuroinflammation (2017) 14(1):179. DOI: 10.1186/s12974-017-0938-y</w:t>
      </w:r>
    </w:p>
    <w:p w14:paraId="18225C11"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[16] Olsson B, Lautner R, </w:t>
      </w:r>
      <w:proofErr w:type="spellStart"/>
      <w:r>
        <w:rPr>
          <w:rFonts w:ascii="Times New Roman" w:hAnsi="Times New Roman" w:cs="Times New Roman"/>
          <w:sz w:val="20"/>
        </w:rPr>
        <w:t>Andreasson</w:t>
      </w:r>
      <w:proofErr w:type="spellEnd"/>
      <w:r>
        <w:rPr>
          <w:rFonts w:ascii="Times New Roman" w:hAnsi="Times New Roman" w:cs="Times New Roman"/>
          <w:sz w:val="20"/>
        </w:rPr>
        <w:t xml:space="preserve"> U, </w:t>
      </w:r>
      <w:proofErr w:type="spellStart"/>
      <w:r>
        <w:rPr>
          <w:rFonts w:ascii="Times New Roman" w:hAnsi="Times New Roman" w:cs="Times New Roman"/>
          <w:sz w:val="20"/>
        </w:rPr>
        <w:t>Ohrfelt</w:t>
      </w:r>
      <w:proofErr w:type="spellEnd"/>
      <w:r>
        <w:rPr>
          <w:rFonts w:ascii="Times New Roman" w:hAnsi="Times New Roman" w:cs="Times New Roman"/>
          <w:sz w:val="20"/>
        </w:rPr>
        <w:t xml:space="preserve"> A, </w:t>
      </w:r>
      <w:proofErr w:type="spellStart"/>
      <w:r>
        <w:rPr>
          <w:rFonts w:ascii="Times New Roman" w:hAnsi="Times New Roman" w:cs="Times New Roman"/>
          <w:sz w:val="20"/>
        </w:rPr>
        <w:t>Portelius</w:t>
      </w:r>
      <w:proofErr w:type="spellEnd"/>
      <w:r>
        <w:rPr>
          <w:rFonts w:ascii="Times New Roman" w:hAnsi="Times New Roman" w:cs="Times New Roman"/>
          <w:sz w:val="20"/>
        </w:rPr>
        <w:t xml:space="preserve"> E, Bjerke M, et al. CSF and blood biomarkers for the diagnosis of Alzheimer's disease: a systematic review and meta-analysis. Lancet </w:t>
      </w:r>
      <w:proofErr w:type="spellStart"/>
      <w:r>
        <w:rPr>
          <w:rFonts w:ascii="Times New Roman" w:hAnsi="Times New Roman" w:cs="Times New Roman"/>
          <w:sz w:val="20"/>
        </w:rPr>
        <w:t>Neurol</w:t>
      </w:r>
      <w:proofErr w:type="spellEnd"/>
      <w:r>
        <w:rPr>
          <w:rFonts w:ascii="Times New Roman" w:hAnsi="Times New Roman" w:cs="Times New Roman"/>
          <w:sz w:val="20"/>
        </w:rPr>
        <w:t xml:space="preserve"> (2016) 15(7):673–84. DOI: 10.1016/S1474-4422(16)00070-3. </w:t>
      </w:r>
    </w:p>
    <w:p w14:paraId="7932B10B"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[17] Kraus VB. Biomarkers as drug development tools: discovery, validation, qualification and use. Nat Rev </w:t>
      </w:r>
      <w:proofErr w:type="spellStart"/>
      <w:r>
        <w:rPr>
          <w:rFonts w:ascii="Times New Roman" w:hAnsi="Times New Roman" w:cs="Times New Roman"/>
          <w:sz w:val="20"/>
        </w:rPr>
        <w:t>Rheumatol</w:t>
      </w:r>
      <w:proofErr w:type="spellEnd"/>
      <w:r>
        <w:rPr>
          <w:rFonts w:ascii="Times New Roman" w:hAnsi="Times New Roman" w:cs="Times New Roman"/>
          <w:sz w:val="20"/>
        </w:rPr>
        <w:t xml:space="preserve"> (2018) 14(6):354–362. DOI: 10.1038/s41584-018-0005-9.</w:t>
      </w:r>
    </w:p>
    <w:p w14:paraId="28BEEE08"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[18] Wu TN, Lee CS, Wu BJ, Sun HJ, Chang CH, Chen CY, et al. Immunophenotypes associated with bipolar disorder and lithium treatment. Sci Rep (2019) 9(1):17453. DOI: 10.1038/s41598-019-53745-7.</w:t>
      </w:r>
    </w:p>
    <w:p w14:paraId="3FBE6646"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w:t>
      </w:r>
      <w:proofErr w:type="gramStart"/>
      <w:r>
        <w:rPr>
          <w:rFonts w:ascii="Times New Roman" w:hAnsi="Times New Roman" w:cs="Times New Roman"/>
          <w:sz w:val="20"/>
        </w:rPr>
        <w:t>19]Schizophrenia</w:t>
      </w:r>
      <w:proofErr w:type="gramEnd"/>
      <w:r>
        <w:rPr>
          <w:rFonts w:ascii="Times New Roman" w:hAnsi="Times New Roman" w:cs="Times New Roman"/>
          <w:sz w:val="20"/>
        </w:rPr>
        <w:t xml:space="preserve"> Working Group of the Psychiatric Genomics Consortium. Biological insights from 108 schizophrenia-associated genetic loci. Nature (2014) 511(7510):421–7. DOI: 10.1038/nature13595.</w:t>
      </w:r>
    </w:p>
    <w:p w14:paraId="06665C35"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[20] </w:t>
      </w:r>
      <w:proofErr w:type="spellStart"/>
      <w:r>
        <w:rPr>
          <w:rFonts w:ascii="Times New Roman" w:hAnsi="Times New Roman" w:cs="Times New Roman"/>
          <w:sz w:val="20"/>
        </w:rPr>
        <w:t>Ripke</w:t>
      </w:r>
      <w:proofErr w:type="spellEnd"/>
      <w:r>
        <w:rPr>
          <w:rFonts w:ascii="Times New Roman" w:hAnsi="Times New Roman" w:cs="Times New Roman"/>
          <w:sz w:val="20"/>
        </w:rPr>
        <w:t xml:space="preserve"> S, </w:t>
      </w:r>
      <w:proofErr w:type="spellStart"/>
      <w:r>
        <w:rPr>
          <w:rFonts w:ascii="Times New Roman" w:hAnsi="Times New Roman" w:cs="Times New Roman"/>
          <w:sz w:val="20"/>
        </w:rPr>
        <w:t>O'Dushlaine</w:t>
      </w:r>
      <w:proofErr w:type="spellEnd"/>
      <w:r>
        <w:rPr>
          <w:rFonts w:ascii="Times New Roman" w:hAnsi="Times New Roman" w:cs="Times New Roman"/>
          <w:sz w:val="20"/>
        </w:rPr>
        <w:t xml:space="preserve"> C, </w:t>
      </w:r>
      <w:proofErr w:type="spellStart"/>
      <w:r>
        <w:rPr>
          <w:rFonts w:ascii="Times New Roman" w:hAnsi="Times New Roman" w:cs="Times New Roman"/>
          <w:sz w:val="20"/>
        </w:rPr>
        <w:t>Chambert</w:t>
      </w:r>
      <w:proofErr w:type="spellEnd"/>
      <w:r>
        <w:rPr>
          <w:rFonts w:ascii="Times New Roman" w:hAnsi="Times New Roman" w:cs="Times New Roman"/>
          <w:sz w:val="20"/>
        </w:rPr>
        <w:t xml:space="preserve"> K, Moran JL, Kahler AK, </w:t>
      </w:r>
      <w:proofErr w:type="spellStart"/>
      <w:r>
        <w:rPr>
          <w:rFonts w:ascii="Times New Roman" w:hAnsi="Times New Roman" w:cs="Times New Roman"/>
          <w:sz w:val="20"/>
        </w:rPr>
        <w:t>Akterin</w:t>
      </w:r>
      <w:proofErr w:type="spellEnd"/>
      <w:r>
        <w:rPr>
          <w:rFonts w:ascii="Times New Roman" w:hAnsi="Times New Roman" w:cs="Times New Roman"/>
          <w:sz w:val="20"/>
        </w:rPr>
        <w:t xml:space="preserve"> S, et al. Genome-wide association analysis identifies 13 new risk loci for schizophrenia. Nat Genet (2013) 45(10):1150–9. </w:t>
      </w:r>
      <w:proofErr w:type="spellStart"/>
      <w:r>
        <w:rPr>
          <w:rFonts w:ascii="Times New Roman" w:hAnsi="Times New Roman" w:cs="Times New Roman"/>
          <w:sz w:val="20"/>
        </w:rPr>
        <w:t>doi</w:t>
      </w:r>
      <w:proofErr w:type="spellEnd"/>
      <w:r>
        <w:rPr>
          <w:rFonts w:ascii="Times New Roman" w:hAnsi="Times New Roman" w:cs="Times New Roman"/>
          <w:sz w:val="20"/>
        </w:rPr>
        <w:t>: 10.1038/ng.2742.</w:t>
      </w:r>
    </w:p>
    <w:p w14:paraId="1FEC0964"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[21] Pu S, </w:t>
      </w:r>
      <w:proofErr w:type="spellStart"/>
      <w:r>
        <w:rPr>
          <w:rFonts w:ascii="Times New Roman" w:hAnsi="Times New Roman" w:cs="Times New Roman"/>
          <w:sz w:val="20"/>
        </w:rPr>
        <w:t>Setoyama</w:t>
      </w:r>
      <w:proofErr w:type="spellEnd"/>
      <w:r>
        <w:rPr>
          <w:rFonts w:ascii="Times New Roman" w:hAnsi="Times New Roman" w:cs="Times New Roman"/>
          <w:sz w:val="20"/>
        </w:rPr>
        <w:t xml:space="preserve"> S, Noda T. Association between cognitive deficits and suicidal ideation in patients with major depressive disorder. Sci Rep 2017 7(1):11637. </w:t>
      </w:r>
      <w:proofErr w:type="spellStart"/>
      <w:r>
        <w:rPr>
          <w:rFonts w:ascii="Times New Roman" w:hAnsi="Times New Roman" w:cs="Times New Roman"/>
          <w:sz w:val="20"/>
        </w:rPr>
        <w:t>doi</w:t>
      </w:r>
      <w:proofErr w:type="spellEnd"/>
      <w:r>
        <w:rPr>
          <w:rFonts w:ascii="Times New Roman" w:hAnsi="Times New Roman" w:cs="Times New Roman"/>
          <w:sz w:val="20"/>
        </w:rPr>
        <w:t>: 10.1038/s41598-017-12142-8. PMID: 28912439.</w:t>
      </w:r>
    </w:p>
    <w:p w14:paraId="3D30F448"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[22] Rosen C, Zetterberg H. Cerebrospinal fluid biomarkers for pathological processes in Alzheimer's disease. </w:t>
      </w:r>
      <w:proofErr w:type="spellStart"/>
      <w:r>
        <w:rPr>
          <w:rFonts w:ascii="Times New Roman" w:hAnsi="Times New Roman" w:cs="Times New Roman"/>
          <w:sz w:val="20"/>
        </w:rPr>
        <w:t>Curr</w:t>
      </w:r>
      <w:proofErr w:type="spellEnd"/>
      <w:r>
        <w:rPr>
          <w:rFonts w:ascii="Times New Roman" w:hAnsi="Times New Roman" w:cs="Times New Roman"/>
          <w:sz w:val="20"/>
        </w:rPr>
        <w:t xml:space="preserve"> </w:t>
      </w:r>
      <w:proofErr w:type="spellStart"/>
      <w:r>
        <w:rPr>
          <w:rFonts w:ascii="Times New Roman" w:hAnsi="Times New Roman" w:cs="Times New Roman"/>
          <w:sz w:val="20"/>
        </w:rPr>
        <w:t>Opin</w:t>
      </w:r>
      <w:proofErr w:type="spellEnd"/>
      <w:r>
        <w:rPr>
          <w:rFonts w:ascii="Times New Roman" w:hAnsi="Times New Roman" w:cs="Times New Roman"/>
          <w:sz w:val="20"/>
        </w:rPr>
        <w:t xml:space="preserve"> Psychiatry 2013 26(3):276–282. </w:t>
      </w:r>
      <w:proofErr w:type="spellStart"/>
      <w:r>
        <w:rPr>
          <w:rFonts w:ascii="Times New Roman" w:hAnsi="Times New Roman" w:cs="Times New Roman"/>
          <w:sz w:val="20"/>
        </w:rPr>
        <w:t>doi</w:t>
      </w:r>
      <w:proofErr w:type="spellEnd"/>
      <w:r>
        <w:rPr>
          <w:rFonts w:ascii="Times New Roman" w:hAnsi="Times New Roman" w:cs="Times New Roman"/>
          <w:sz w:val="20"/>
        </w:rPr>
        <w:t>: 10.1097/YCO.0b013e32835f6747.</w:t>
      </w:r>
    </w:p>
    <w:p w14:paraId="1A18356A"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[23] </w:t>
      </w:r>
      <w:proofErr w:type="spellStart"/>
      <w:r>
        <w:rPr>
          <w:rFonts w:ascii="Times New Roman" w:hAnsi="Times New Roman" w:cs="Times New Roman"/>
          <w:sz w:val="20"/>
        </w:rPr>
        <w:t>Wiecki</w:t>
      </w:r>
      <w:proofErr w:type="spellEnd"/>
      <w:r>
        <w:rPr>
          <w:rFonts w:ascii="Times New Roman" w:hAnsi="Times New Roman" w:cs="Times New Roman"/>
          <w:sz w:val="20"/>
        </w:rPr>
        <w:t xml:space="preserve"> TV, </w:t>
      </w:r>
      <w:proofErr w:type="spellStart"/>
      <w:r>
        <w:rPr>
          <w:rFonts w:ascii="Times New Roman" w:hAnsi="Times New Roman" w:cs="Times New Roman"/>
          <w:sz w:val="20"/>
        </w:rPr>
        <w:t>Antoniades</w:t>
      </w:r>
      <w:proofErr w:type="spellEnd"/>
      <w:r>
        <w:rPr>
          <w:rFonts w:ascii="Times New Roman" w:hAnsi="Times New Roman" w:cs="Times New Roman"/>
          <w:sz w:val="20"/>
        </w:rPr>
        <w:t xml:space="preserve"> CA, Stevenson A, Kennard C, </w:t>
      </w:r>
      <w:proofErr w:type="spellStart"/>
      <w:r>
        <w:rPr>
          <w:rFonts w:ascii="Times New Roman" w:hAnsi="Times New Roman" w:cs="Times New Roman"/>
          <w:sz w:val="20"/>
        </w:rPr>
        <w:t>Borowsky</w:t>
      </w:r>
      <w:proofErr w:type="spellEnd"/>
      <w:r>
        <w:rPr>
          <w:rFonts w:ascii="Times New Roman" w:hAnsi="Times New Roman" w:cs="Times New Roman"/>
          <w:sz w:val="20"/>
        </w:rPr>
        <w:t xml:space="preserve"> B, Owen G, et al. A Computational Cognitive Biomarker for Early-Stage Huntington's Disease. </w:t>
      </w:r>
      <w:proofErr w:type="spellStart"/>
      <w:r>
        <w:rPr>
          <w:rFonts w:ascii="Times New Roman" w:hAnsi="Times New Roman" w:cs="Times New Roman"/>
          <w:sz w:val="20"/>
        </w:rPr>
        <w:t>PLoS</w:t>
      </w:r>
      <w:proofErr w:type="spellEnd"/>
      <w:r>
        <w:rPr>
          <w:rFonts w:ascii="Times New Roman" w:hAnsi="Times New Roman" w:cs="Times New Roman"/>
          <w:sz w:val="20"/>
        </w:rPr>
        <w:t xml:space="preserve"> One 2016 11(2</w:t>
      </w:r>
      <w:proofErr w:type="gramStart"/>
      <w:r>
        <w:rPr>
          <w:rFonts w:ascii="Times New Roman" w:hAnsi="Times New Roman" w:cs="Times New Roman"/>
          <w:sz w:val="20"/>
        </w:rPr>
        <w:t>):e</w:t>
      </w:r>
      <w:proofErr w:type="gramEnd"/>
      <w:r>
        <w:rPr>
          <w:rFonts w:ascii="Times New Roman" w:hAnsi="Times New Roman" w:cs="Times New Roman"/>
          <w:sz w:val="20"/>
        </w:rPr>
        <w:t xml:space="preserve">0148409. </w:t>
      </w:r>
      <w:proofErr w:type="spellStart"/>
      <w:r>
        <w:rPr>
          <w:rFonts w:ascii="Times New Roman" w:hAnsi="Times New Roman" w:cs="Times New Roman"/>
          <w:sz w:val="20"/>
        </w:rPr>
        <w:t>doi</w:t>
      </w:r>
      <w:proofErr w:type="spellEnd"/>
      <w:r>
        <w:rPr>
          <w:rFonts w:ascii="Times New Roman" w:hAnsi="Times New Roman" w:cs="Times New Roman"/>
          <w:sz w:val="20"/>
        </w:rPr>
        <w:t xml:space="preserve">: 10.1371/ </w:t>
      </w:r>
      <w:proofErr w:type="gramStart"/>
      <w:r>
        <w:rPr>
          <w:rFonts w:ascii="Times New Roman" w:hAnsi="Times New Roman" w:cs="Times New Roman"/>
          <w:sz w:val="20"/>
        </w:rPr>
        <w:t>journal.pone</w:t>
      </w:r>
      <w:proofErr w:type="gramEnd"/>
      <w:r>
        <w:rPr>
          <w:rFonts w:ascii="Times New Roman" w:hAnsi="Times New Roman" w:cs="Times New Roman"/>
          <w:sz w:val="20"/>
        </w:rPr>
        <w:t>.0148409.</w:t>
      </w:r>
    </w:p>
    <w:p w14:paraId="2DC5F362"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[24] Rosen C, Zetterberg H. Cerebrospinal fluid biomarkers for pathological processes in Alzheimer's disease. </w:t>
      </w:r>
      <w:proofErr w:type="spellStart"/>
      <w:r>
        <w:rPr>
          <w:rFonts w:ascii="Times New Roman" w:hAnsi="Times New Roman" w:cs="Times New Roman"/>
          <w:sz w:val="20"/>
        </w:rPr>
        <w:t>Curr</w:t>
      </w:r>
      <w:proofErr w:type="spellEnd"/>
      <w:r>
        <w:rPr>
          <w:rFonts w:ascii="Times New Roman" w:hAnsi="Times New Roman" w:cs="Times New Roman"/>
          <w:sz w:val="20"/>
        </w:rPr>
        <w:t xml:space="preserve"> </w:t>
      </w:r>
      <w:proofErr w:type="spellStart"/>
      <w:r>
        <w:rPr>
          <w:rFonts w:ascii="Times New Roman" w:hAnsi="Times New Roman" w:cs="Times New Roman"/>
          <w:sz w:val="20"/>
        </w:rPr>
        <w:t>Opin</w:t>
      </w:r>
      <w:proofErr w:type="spellEnd"/>
      <w:r>
        <w:rPr>
          <w:rFonts w:ascii="Times New Roman" w:hAnsi="Times New Roman" w:cs="Times New Roman"/>
          <w:sz w:val="20"/>
        </w:rPr>
        <w:t xml:space="preserve"> Psychiatry 2013 26(3):276–282. </w:t>
      </w:r>
      <w:proofErr w:type="spellStart"/>
      <w:r>
        <w:rPr>
          <w:rFonts w:ascii="Times New Roman" w:hAnsi="Times New Roman" w:cs="Times New Roman"/>
          <w:sz w:val="20"/>
        </w:rPr>
        <w:t>doi</w:t>
      </w:r>
      <w:proofErr w:type="spellEnd"/>
      <w:r>
        <w:rPr>
          <w:rFonts w:ascii="Times New Roman" w:hAnsi="Times New Roman" w:cs="Times New Roman"/>
          <w:sz w:val="20"/>
        </w:rPr>
        <w:t>: 10.1097/YCO.0b013e32835f6747</w:t>
      </w:r>
    </w:p>
    <w:p w14:paraId="1E16C235"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[25] </w:t>
      </w:r>
      <w:proofErr w:type="spellStart"/>
      <w:r>
        <w:rPr>
          <w:rFonts w:ascii="Times New Roman" w:hAnsi="Times New Roman" w:cs="Times New Roman"/>
          <w:sz w:val="20"/>
        </w:rPr>
        <w:t>Wiecki</w:t>
      </w:r>
      <w:proofErr w:type="spellEnd"/>
      <w:r>
        <w:rPr>
          <w:rFonts w:ascii="Times New Roman" w:hAnsi="Times New Roman" w:cs="Times New Roman"/>
          <w:sz w:val="20"/>
        </w:rPr>
        <w:t xml:space="preserve"> TV, </w:t>
      </w:r>
      <w:proofErr w:type="spellStart"/>
      <w:r>
        <w:rPr>
          <w:rFonts w:ascii="Times New Roman" w:hAnsi="Times New Roman" w:cs="Times New Roman"/>
          <w:sz w:val="20"/>
        </w:rPr>
        <w:t>Antoniades</w:t>
      </w:r>
      <w:proofErr w:type="spellEnd"/>
      <w:r>
        <w:rPr>
          <w:rFonts w:ascii="Times New Roman" w:hAnsi="Times New Roman" w:cs="Times New Roman"/>
          <w:sz w:val="20"/>
        </w:rPr>
        <w:t xml:space="preserve"> CA, Stevenson A, Kennard C, </w:t>
      </w:r>
      <w:proofErr w:type="spellStart"/>
      <w:r>
        <w:rPr>
          <w:rFonts w:ascii="Times New Roman" w:hAnsi="Times New Roman" w:cs="Times New Roman"/>
          <w:sz w:val="20"/>
        </w:rPr>
        <w:t>Borowsky</w:t>
      </w:r>
      <w:proofErr w:type="spellEnd"/>
      <w:r>
        <w:rPr>
          <w:rFonts w:ascii="Times New Roman" w:hAnsi="Times New Roman" w:cs="Times New Roman"/>
          <w:sz w:val="20"/>
        </w:rPr>
        <w:t xml:space="preserve"> B, Owen G, et al. A Computational Cognitive Biomarker for Early-Stage Huntington's Disease. </w:t>
      </w:r>
      <w:proofErr w:type="spellStart"/>
      <w:r>
        <w:rPr>
          <w:rFonts w:ascii="Times New Roman" w:hAnsi="Times New Roman" w:cs="Times New Roman"/>
          <w:sz w:val="20"/>
        </w:rPr>
        <w:t>PLoS</w:t>
      </w:r>
      <w:proofErr w:type="spellEnd"/>
      <w:r>
        <w:rPr>
          <w:rFonts w:ascii="Times New Roman" w:hAnsi="Times New Roman" w:cs="Times New Roman"/>
          <w:sz w:val="20"/>
        </w:rPr>
        <w:t xml:space="preserve"> One 2016 11(2</w:t>
      </w:r>
      <w:proofErr w:type="gramStart"/>
      <w:r>
        <w:rPr>
          <w:rFonts w:ascii="Times New Roman" w:hAnsi="Times New Roman" w:cs="Times New Roman"/>
          <w:sz w:val="20"/>
        </w:rPr>
        <w:t>):e</w:t>
      </w:r>
      <w:proofErr w:type="gramEnd"/>
      <w:r>
        <w:rPr>
          <w:rFonts w:ascii="Times New Roman" w:hAnsi="Times New Roman" w:cs="Times New Roman"/>
          <w:sz w:val="20"/>
        </w:rPr>
        <w:t xml:space="preserve">0148409. </w:t>
      </w:r>
      <w:proofErr w:type="spellStart"/>
      <w:r>
        <w:rPr>
          <w:rFonts w:ascii="Times New Roman" w:hAnsi="Times New Roman" w:cs="Times New Roman"/>
          <w:sz w:val="20"/>
        </w:rPr>
        <w:t>doi</w:t>
      </w:r>
      <w:proofErr w:type="spellEnd"/>
      <w:r>
        <w:rPr>
          <w:rFonts w:ascii="Times New Roman" w:hAnsi="Times New Roman" w:cs="Times New Roman"/>
          <w:sz w:val="20"/>
        </w:rPr>
        <w:t xml:space="preserve">: 10.1371/ </w:t>
      </w:r>
      <w:proofErr w:type="gramStart"/>
      <w:r>
        <w:rPr>
          <w:rFonts w:ascii="Times New Roman" w:hAnsi="Times New Roman" w:cs="Times New Roman"/>
          <w:sz w:val="20"/>
        </w:rPr>
        <w:t>journal.pone</w:t>
      </w:r>
      <w:proofErr w:type="gramEnd"/>
      <w:r>
        <w:rPr>
          <w:rFonts w:ascii="Times New Roman" w:hAnsi="Times New Roman" w:cs="Times New Roman"/>
          <w:sz w:val="20"/>
        </w:rPr>
        <w:t>.0148409</w:t>
      </w:r>
    </w:p>
    <w:p w14:paraId="6A25294B"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p>
    <w:p w14:paraId="2EAE0B5F" w14:textId="77777777" w:rsidR="00F63B3F" w:rsidRDefault="00F63B3F" w:rsidP="00F63B3F">
      <w:pPr>
        <w:autoSpaceDE w:val="0"/>
        <w:autoSpaceDN w:val="0"/>
        <w:adjustRightInd w:val="0"/>
        <w:spacing w:after="0" w:line="240" w:lineRule="auto"/>
        <w:jc w:val="both"/>
        <w:rPr>
          <w:rFonts w:ascii="Times New Roman" w:hAnsi="Times New Roman" w:cs="Times New Roman"/>
          <w:sz w:val="20"/>
        </w:rPr>
      </w:pPr>
    </w:p>
    <w:p w14:paraId="39C85FA9" w14:textId="77777777" w:rsidR="00F63B3F" w:rsidRPr="00926CED" w:rsidRDefault="00F63B3F" w:rsidP="0074372E">
      <w:pPr>
        <w:pStyle w:val="p"/>
        <w:shd w:val="clear" w:color="auto" w:fill="FFFFFF"/>
        <w:spacing w:before="400" w:after="400"/>
        <w:jc w:val="both"/>
        <w:rPr>
          <w:color w:val="212121"/>
          <w:sz w:val="20"/>
          <w:szCs w:val="20"/>
        </w:rPr>
      </w:pPr>
    </w:p>
    <w:sectPr w:rsidR="00F63B3F" w:rsidRPr="00926CED" w:rsidSect="00324841">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2DC80" w14:textId="77777777" w:rsidR="00C47CF5" w:rsidRDefault="00C47CF5" w:rsidP="0097457E">
      <w:pPr>
        <w:spacing w:after="0" w:line="240" w:lineRule="auto"/>
      </w:pPr>
      <w:r>
        <w:separator/>
      </w:r>
    </w:p>
  </w:endnote>
  <w:endnote w:type="continuationSeparator" w:id="0">
    <w:p w14:paraId="08760A25" w14:textId="77777777" w:rsidR="00C47CF5" w:rsidRDefault="00C47CF5" w:rsidP="00974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28C2" w14:textId="77777777" w:rsidR="00C47CF5" w:rsidRDefault="00C47CF5" w:rsidP="0097457E">
      <w:pPr>
        <w:spacing w:after="0" w:line="240" w:lineRule="auto"/>
      </w:pPr>
      <w:r>
        <w:separator/>
      </w:r>
    </w:p>
  </w:footnote>
  <w:footnote w:type="continuationSeparator" w:id="0">
    <w:p w14:paraId="31F75E6B" w14:textId="77777777" w:rsidR="00C47CF5" w:rsidRDefault="00C47CF5" w:rsidP="00974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18AF"/>
    <w:multiLevelType w:val="multilevel"/>
    <w:tmpl w:val="7340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D6FD4"/>
    <w:multiLevelType w:val="hybridMultilevel"/>
    <w:tmpl w:val="C5AC1186"/>
    <w:lvl w:ilvl="0" w:tplc="1042255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189603E"/>
    <w:multiLevelType w:val="multilevel"/>
    <w:tmpl w:val="3124B35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val="0"/>
        <w:iCs w:val="0"/>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489243C9"/>
    <w:multiLevelType w:val="multilevel"/>
    <w:tmpl w:val="57C0C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A45E22"/>
    <w:multiLevelType w:val="hybridMultilevel"/>
    <w:tmpl w:val="E5E4DB36"/>
    <w:lvl w:ilvl="0" w:tplc="36027886">
      <w:start w:val="1"/>
      <w:numFmt w:val="decimal"/>
      <w:lvlText w:val="%1."/>
      <w:lvlJc w:val="left"/>
      <w:pPr>
        <w:ind w:left="1080" w:hanging="360"/>
      </w:pPr>
      <w:rPr>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6867FF0"/>
    <w:multiLevelType w:val="hybridMultilevel"/>
    <w:tmpl w:val="24B46718"/>
    <w:lvl w:ilvl="0" w:tplc="E2742998">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75502D5"/>
    <w:multiLevelType w:val="multilevel"/>
    <w:tmpl w:val="B0E01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3776608">
    <w:abstractNumId w:val="2"/>
  </w:num>
  <w:num w:numId="2" w16cid:durableId="1713579303">
    <w:abstractNumId w:val="0"/>
  </w:num>
  <w:num w:numId="3" w16cid:durableId="2124299744">
    <w:abstractNumId w:val="1"/>
  </w:num>
  <w:num w:numId="4" w16cid:durableId="450052432">
    <w:abstractNumId w:val="4"/>
  </w:num>
  <w:num w:numId="5" w16cid:durableId="2022926020">
    <w:abstractNumId w:val="6"/>
  </w:num>
  <w:num w:numId="6" w16cid:durableId="287712424">
    <w:abstractNumId w:val="5"/>
  </w:num>
  <w:num w:numId="7" w16cid:durableId="11569977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96"/>
    <w:rsid w:val="00015D87"/>
    <w:rsid w:val="00045B36"/>
    <w:rsid w:val="00055550"/>
    <w:rsid w:val="00056370"/>
    <w:rsid w:val="00066FA2"/>
    <w:rsid w:val="000745D2"/>
    <w:rsid w:val="00086F19"/>
    <w:rsid w:val="00093792"/>
    <w:rsid w:val="000A350F"/>
    <w:rsid w:val="000B40FE"/>
    <w:rsid w:val="000C3A22"/>
    <w:rsid w:val="000D3C68"/>
    <w:rsid w:val="000E7F8E"/>
    <w:rsid w:val="000F4BBA"/>
    <w:rsid w:val="000F51E7"/>
    <w:rsid w:val="00106E5F"/>
    <w:rsid w:val="0011384E"/>
    <w:rsid w:val="00116729"/>
    <w:rsid w:val="001203F3"/>
    <w:rsid w:val="00121D7A"/>
    <w:rsid w:val="0012246D"/>
    <w:rsid w:val="00123558"/>
    <w:rsid w:val="0013065A"/>
    <w:rsid w:val="00142983"/>
    <w:rsid w:val="0014558E"/>
    <w:rsid w:val="001514B0"/>
    <w:rsid w:val="00162716"/>
    <w:rsid w:val="00164EE2"/>
    <w:rsid w:val="00166283"/>
    <w:rsid w:val="00176919"/>
    <w:rsid w:val="00177C3C"/>
    <w:rsid w:val="0018097C"/>
    <w:rsid w:val="00191E24"/>
    <w:rsid w:val="001B0C22"/>
    <w:rsid w:val="001C63A5"/>
    <w:rsid w:val="001E4549"/>
    <w:rsid w:val="0020343D"/>
    <w:rsid w:val="00207BC1"/>
    <w:rsid w:val="00212CA6"/>
    <w:rsid w:val="00213DD6"/>
    <w:rsid w:val="00215742"/>
    <w:rsid w:val="00217F73"/>
    <w:rsid w:val="0022536E"/>
    <w:rsid w:val="00246313"/>
    <w:rsid w:val="00247E3D"/>
    <w:rsid w:val="00254609"/>
    <w:rsid w:val="00270A77"/>
    <w:rsid w:val="00277F38"/>
    <w:rsid w:val="00281B64"/>
    <w:rsid w:val="002831FB"/>
    <w:rsid w:val="002849C8"/>
    <w:rsid w:val="00291014"/>
    <w:rsid w:val="00292F1D"/>
    <w:rsid w:val="002976D3"/>
    <w:rsid w:val="002A2B49"/>
    <w:rsid w:val="002B149C"/>
    <w:rsid w:val="002B2D09"/>
    <w:rsid w:val="002B4173"/>
    <w:rsid w:val="002C50B2"/>
    <w:rsid w:val="002C647D"/>
    <w:rsid w:val="002C7303"/>
    <w:rsid w:val="002D5BB5"/>
    <w:rsid w:val="002E20A8"/>
    <w:rsid w:val="002E4DF7"/>
    <w:rsid w:val="002F393A"/>
    <w:rsid w:val="002F58CA"/>
    <w:rsid w:val="0031731C"/>
    <w:rsid w:val="003247B7"/>
    <w:rsid w:val="00324841"/>
    <w:rsid w:val="00330E8C"/>
    <w:rsid w:val="00334904"/>
    <w:rsid w:val="003420A1"/>
    <w:rsid w:val="0034251B"/>
    <w:rsid w:val="0035212D"/>
    <w:rsid w:val="00353829"/>
    <w:rsid w:val="0036000A"/>
    <w:rsid w:val="00364270"/>
    <w:rsid w:val="00365BB6"/>
    <w:rsid w:val="003661C0"/>
    <w:rsid w:val="003808EE"/>
    <w:rsid w:val="00382904"/>
    <w:rsid w:val="00387469"/>
    <w:rsid w:val="00395ECA"/>
    <w:rsid w:val="003B5A5F"/>
    <w:rsid w:val="003C26F4"/>
    <w:rsid w:val="003C464F"/>
    <w:rsid w:val="003D6432"/>
    <w:rsid w:val="003E022A"/>
    <w:rsid w:val="003E33E4"/>
    <w:rsid w:val="00400653"/>
    <w:rsid w:val="00403915"/>
    <w:rsid w:val="00412D15"/>
    <w:rsid w:val="00421D1E"/>
    <w:rsid w:val="00422A35"/>
    <w:rsid w:val="004243BD"/>
    <w:rsid w:val="00424831"/>
    <w:rsid w:val="00426537"/>
    <w:rsid w:val="00437D72"/>
    <w:rsid w:val="00437DD9"/>
    <w:rsid w:val="0044692D"/>
    <w:rsid w:val="00474BF3"/>
    <w:rsid w:val="004755B0"/>
    <w:rsid w:val="0047720B"/>
    <w:rsid w:val="00482053"/>
    <w:rsid w:val="004901C1"/>
    <w:rsid w:val="0049702C"/>
    <w:rsid w:val="0049755F"/>
    <w:rsid w:val="004A73D8"/>
    <w:rsid w:val="004B0A9C"/>
    <w:rsid w:val="004C3DCE"/>
    <w:rsid w:val="004C7379"/>
    <w:rsid w:val="004D3644"/>
    <w:rsid w:val="004D7647"/>
    <w:rsid w:val="004F31C8"/>
    <w:rsid w:val="004F490A"/>
    <w:rsid w:val="004F68F2"/>
    <w:rsid w:val="004F6E7D"/>
    <w:rsid w:val="00512980"/>
    <w:rsid w:val="005370B1"/>
    <w:rsid w:val="00537D8B"/>
    <w:rsid w:val="00540944"/>
    <w:rsid w:val="00545DC0"/>
    <w:rsid w:val="00555CE7"/>
    <w:rsid w:val="00557888"/>
    <w:rsid w:val="00563911"/>
    <w:rsid w:val="00577A87"/>
    <w:rsid w:val="0058323D"/>
    <w:rsid w:val="005B0D35"/>
    <w:rsid w:val="005C6957"/>
    <w:rsid w:val="005D0369"/>
    <w:rsid w:val="005D1C76"/>
    <w:rsid w:val="005D361E"/>
    <w:rsid w:val="005E03F2"/>
    <w:rsid w:val="005E3E5C"/>
    <w:rsid w:val="005F3F51"/>
    <w:rsid w:val="005F537D"/>
    <w:rsid w:val="00605A5E"/>
    <w:rsid w:val="0060671E"/>
    <w:rsid w:val="00610CEA"/>
    <w:rsid w:val="0061554E"/>
    <w:rsid w:val="0061653F"/>
    <w:rsid w:val="00616BE1"/>
    <w:rsid w:val="00616C2A"/>
    <w:rsid w:val="0062132B"/>
    <w:rsid w:val="00643E33"/>
    <w:rsid w:val="0064556A"/>
    <w:rsid w:val="006577D7"/>
    <w:rsid w:val="00670FF2"/>
    <w:rsid w:val="00674C63"/>
    <w:rsid w:val="00676C50"/>
    <w:rsid w:val="00680442"/>
    <w:rsid w:val="00680C01"/>
    <w:rsid w:val="006822F4"/>
    <w:rsid w:val="0069458D"/>
    <w:rsid w:val="006A1ED0"/>
    <w:rsid w:val="006B5CE5"/>
    <w:rsid w:val="006B5D21"/>
    <w:rsid w:val="006C319D"/>
    <w:rsid w:val="006D272C"/>
    <w:rsid w:val="006E0BE2"/>
    <w:rsid w:val="006E5607"/>
    <w:rsid w:val="006E7236"/>
    <w:rsid w:val="006E76B7"/>
    <w:rsid w:val="006F28F8"/>
    <w:rsid w:val="006F66B4"/>
    <w:rsid w:val="00701828"/>
    <w:rsid w:val="007135FF"/>
    <w:rsid w:val="00721216"/>
    <w:rsid w:val="0072382F"/>
    <w:rsid w:val="00726A99"/>
    <w:rsid w:val="0073128B"/>
    <w:rsid w:val="00732F2C"/>
    <w:rsid w:val="00736501"/>
    <w:rsid w:val="007410FD"/>
    <w:rsid w:val="0074372E"/>
    <w:rsid w:val="0074475D"/>
    <w:rsid w:val="007500BE"/>
    <w:rsid w:val="007505F5"/>
    <w:rsid w:val="00756FAC"/>
    <w:rsid w:val="0075790A"/>
    <w:rsid w:val="007616A6"/>
    <w:rsid w:val="00766693"/>
    <w:rsid w:val="00766DA6"/>
    <w:rsid w:val="0077421B"/>
    <w:rsid w:val="0078037B"/>
    <w:rsid w:val="0078561B"/>
    <w:rsid w:val="00785BC5"/>
    <w:rsid w:val="0079276E"/>
    <w:rsid w:val="007B7796"/>
    <w:rsid w:val="007C2367"/>
    <w:rsid w:val="007D5A12"/>
    <w:rsid w:val="007D6F1D"/>
    <w:rsid w:val="007E4AC2"/>
    <w:rsid w:val="007F0DCD"/>
    <w:rsid w:val="008030DF"/>
    <w:rsid w:val="00811594"/>
    <w:rsid w:val="00815934"/>
    <w:rsid w:val="00822856"/>
    <w:rsid w:val="00826840"/>
    <w:rsid w:val="00836666"/>
    <w:rsid w:val="00837C1E"/>
    <w:rsid w:val="00843501"/>
    <w:rsid w:val="00846ACD"/>
    <w:rsid w:val="008516F2"/>
    <w:rsid w:val="0085452E"/>
    <w:rsid w:val="008634A9"/>
    <w:rsid w:val="00865515"/>
    <w:rsid w:val="00883165"/>
    <w:rsid w:val="00885995"/>
    <w:rsid w:val="00887721"/>
    <w:rsid w:val="00893742"/>
    <w:rsid w:val="008C731F"/>
    <w:rsid w:val="008D5F3E"/>
    <w:rsid w:val="008E5831"/>
    <w:rsid w:val="0090591F"/>
    <w:rsid w:val="00921F3A"/>
    <w:rsid w:val="00926CED"/>
    <w:rsid w:val="00926CF8"/>
    <w:rsid w:val="00927674"/>
    <w:rsid w:val="00927AFF"/>
    <w:rsid w:val="00933C83"/>
    <w:rsid w:val="00934436"/>
    <w:rsid w:val="009413CB"/>
    <w:rsid w:val="009428D8"/>
    <w:rsid w:val="009432E7"/>
    <w:rsid w:val="0094389A"/>
    <w:rsid w:val="009457B3"/>
    <w:rsid w:val="00945890"/>
    <w:rsid w:val="00947189"/>
    <w:rsid w:val="0097457E"/>
    <w:rsid w:val="00976A68"/>
    <w:rsid w:val="00976EEE"/>
    <w:rsid w:val="0098032D"/>
    <w:rsid w:val="009829A3"/>
    <w:rsid w:val="0098649D"/>
    <w:rsid w:val="009A54CD"/>
    <w:rsid w:val="009A7D2B"/>
    <w:rsid w:val="009B1EA3"/>
    <w:rsid w:val="009B4545"/>
    <w:rsid w:val="009B63E4"/>
    <w:rsid w:val="009D6A1F"/>
    <w:rsid w:val="009E1DAB"/>
    <w:rsid w:val="009F1297"/>
    <w:rsid w:val="009F7E97"/>
    <w:rsid w:val="00A25D6F"/>
    <w:rsid w:val="00A44FDA"/>
    <w:rsid w:val="00A4553B"/>
    <w:rsid w:val="00A51EA5"/>
    <w:rsid w:val="00A804A7"/>
    <w:rsid w:val="00A842E8"/>
    <w:rsid w:val="00AA38FB"/>
    <w:rsid w:val="00AA4098"/>
    <w:rsid w:val="00AA6D82"/>
    <w:rsid w:val="00AD687B"/>
    <w:rsid w:val="00AE5425"/>
    <w:rsid w:val="00AE5A28"/>
    <w:rsid w:val="00AE6277"/>
    <w:rsid w:val="00B019E4"/>
    <w:rsid w:val="00B01A4A"/>
    <w:rsid w:val="00B16D3D"/>
    <w:rsid w:val="00B30323"/>
    <w:rsid w:val="00B4449D"/>
    <w:rsid w:val="00B6656A"/>
    <w:rsid w:val="00B84738"/>
    <w:rsid w:val="00B86D5D"/>
    <w:rsid w:val="00B9168E"/>
    <w:rsid w:val="00B9418F"/>
    <w:rsid w:val="00BB098F"/>
    <w:rsid w:val="00BB46C4"/>
    <w:rsid w:val="00BB5ABE"/>
    <w:rsid w:val="00BC6805"/>
    <w:rsid w:val="00BD06BE"/>
    <w:rsid w:val="00BD0730"/>
    <w:rsid w:val="00BD121A"/>
    <w:rsid w:val="00BD18AD"/>
    <w:rsid w:val="00BD484C"/>
    <w:rsid w:val="00BD5251"/>
    <w:rsid w:val="00BD58FA"/>
    <w:rsid w:val="00BD61C1"/>
    <w:rsid w:val="00BF06AD"/>
    <w:rsid w:val="00BF2FCD"/>
    <w:rsid w:val="00BF47EA"/>
    <w:rsid w:val="00BF6AF4"/>
    <w:rsid w:val="00C2300C"/>
    <w:rsid w:val="00C24AD1"/>
    <w:rsid w:val="00C25AD8"/>
    <w:rsid w:val="00C326B4"/>
    <w:rsid w:val="00C45400"/>
    <w:rsid w:val="00C47CF5"/>
    <w:rsid w:val="00C50484"/>
    <w:rsid w:val="00C572CF"/>
    <w:rsid w:val="00C64345"/>
    <w:rsid w:val="00C72F31"/>
    <w:rsid w:val="00C73AB0"/>
    <w:rsid w:val="00C90075"/>
    <w:rsid w:val="00C93646"/>
    <w:rsid w:val="00CA28C8"/>
    <w:rsid w:val="00CB3F8B"/>
    <w:rsid w:val="00CC167F"/>
    <w:rsid w:val="00CC60AC"/>
    <w:rsid w:val="00CF366C"/>
    <w:rsid w:val="00CF3B1C"/>
    <w:rsid w:val="00D014C7"/>
    <w:rsid w:val="00D05633"/>
    <w:rsid w:val="00D11A3E"/>
    <w:rsid w:val="00D262E3"/>
    <w:rsid w:val="00D2673E"/>
    <w:rsid w:val="00D30590"/>
    <w:rsid w:val="00D537E4"/>
    <w:rsid w:val="00D538F4"/>
    <w:rsid w:val="00D55465"/>
    <w:rsid w:val="00D67594"/>
    <w:rsid w:val="00D80516"/>
    <w:rsid w:val="00D84B53"/>
    <w:rsid w:val="00D87506"/>
    <w:rsid w:val="00D90295"/>
    <w:rsid w:val="00DA4D15"/>
    <w:rsid w:val="00DB6488"/>
    <w:rsid w:val="00DC5D8C"/>
    <w:rsid w:val="00DC7082"/>
    <w:rsid w:val="00DD2FB4"/>
    <w:rsid w:val="00DD51EB"/>
    <w:rsid w:val="00DD582B"/>
    <w:rsid w:val="00DD6B64"/>
    <w:rsid w:val="00DE3942"/>
    <w:rsid w:val="00DE66AC"/>
    <w:rsid w:val="00DF2655"/>
    <w:rsid w:val="00E00E04"/>
    <w:rsid w:val="00E15D54"/>
    <w:rsid w:val="00E173EF"/>
    <w:rsid w:val="00E17E6B"/>
    <w:rsid w:val="00E21FC0"/>
    <w:rsid w:val="00E2201F"/>
    <w:rsid w:val="00E33E84"/>
    <w:rsid w:val="00E56E54"/>
    <w:rsid w:val="00E647F6"/>
    <w:rsid w:val="00E67218"/>
    <w:rsid w:val="00E725B4"/>
    <w:rsid w:val="00E83195"/>
    <w:rsid w:val="00EA202F"/>
    <w:rsid w:val="00EB7911"/>
    <w:rsid w:val="00EC62DD"/>
    <w:rsid w:val="00EC68F5"/>
    <w:rsid w:val="00ED1048"/>
    <w:rsid w:val="00ED1CBE"/>
    <w:rsid w:val="00ED6DA9"/>
    <w:rsid w:val="00EE1C3F"/>
    <w:rsid w:val="00EE6548"/>
    <w:rsid w:val="00EE6557"/>
    <w:rsid w:val="00F025D4"/>
    <w:rsid w:val="00F04D43"/>
    <w:rsid w:val="00F1657C"/>
    <w:rsid w:val="00F2037D"/>
    <w:rsid w:val="00F20D18"/>
    <w:rsid w:val="00F44C98"/>
    <w:rsid w:val="00F56D2D"/>
    <w:rsid w:val="00F63225"/>
    <w:rsid w:val="00F633B7"/>
    <w:rsid w:val="00F63B3F"/>
    <w:rsid w:val="00F64F2C"/>
    <w:rsid w:val="00F73280"/>
    <w:rsid w:val="00F774AB"/>
    <w:rsid w:val="00F841E3"/>
    <w:rsid w:val="00F846D8"/>
    <w:rsid w:val="00F848E2"/>
    <w:rsid w:val="00F97E08"/>
    <w:rsid w:val="00FA1BB2"/>
    <w:rsid w:val="00FA2588"/>
    <w:rsid w:val="00FB440F"/>
    <w:rsid w:val="00FB60DF"/>
    <w:rsid w:val="00FC4698"/>
    <w:rsid w:val="00FD75AA"/>
    <w:rsid w:val="00FE3DC0"/>
    <w:rsid w:val="00FF090E"/>
    <w:rsid w:val="00FF7B3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930AF"/>
  <w15:chartTrackingRefBased/>
  <w15:docId w15:val="{BCDC10BC-55A6-4916-9D7A-8102BBB21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EEE"/>
    <w:pPr>
      <w:keepNext/>
      <w:keepLines/>
      <w:numPr>
        <w:numId w:val="1"/>
      </w:numPr>
      <w:tabs>
        <w:tab w:val="left" w:pos="216"/>
      </w:tabs>
      <w:spacing w:before="160" w:after="80" w:line="240" w:lineRule="auto"/>
      <w:jc w:val="center"/>
      <w:outlineLvl w:val="0"/>
    </w:pPr>
    <w:rPr>
      <w:rFonts w:ascii="Cambria" w:eastAsia="Times New Roman" w:hAnsi="Cambria" w:cs="Times New Roman"/>
      <w:b/>
      <w:bCs/>
      <w:kern w:val="32"/>
      <w:sz w:val="32"/>
      <w:szCs w:val="32"/>
      <w:lang w:val="en-US" w:bidi="ar-SA"/>
    </w:rPr>
  </w:style>
  <w:style w:type="paragraph" w:styleId="Heading2">
    <w:name w:val="heading 2"/>
    <w:basedOn w:val="Normal"/>
    <w:next w:val="Normal"/>
    <w:link w:val="Heading2Char"/>
    <w:uiPriority w:val="99"/>
    <w:qFormat/>
    <w:rsid w:val="00976EEE"/>
    <w:pPr>
      <w:keepNext/>
      <w:keepLines/>
      <w:numPr>
        <w:ilvl w:val="1"/>
        <w:numId w:val="1"/>
      </w:numPr>
      <w:tabs>
        <w:tab w:val="clear" w:pos="360"/>
        <w:tab w:val="num" w:pos="288"/>
      </w:tabs>
      <w:spacing w:before="120" w:after="60" w:line="240" w:lineRule="auto"/>
      <w:outlineLvl w:val="1"/>
    </w:pPr>
    <w:rPr>
      <w:rFonts w:ascii="Times New Roman" w:eastAsia="MS Mincho" w:hAnsi="Times New Roman" w:cs="Times New Roman"/>
      <w:i/>
      <w:iCs/>
      <w:noProof/>
      <w:sz w:val="20"/>
      <w:lang w:val="en-US" w:bidi="ar-SA"/>
    </w:rPr>
  </w:style>
  <w:style w:type="paragraph" w:styleId="Heading3">
    <w:name w:val="heading 3"/>
    <w:basedOn w:val="Normal"/>
    <w:next w:val="Normal"/>
    <w:link w:val="Heading3Char"/>
    <w:uiPriority w:val="99"/>
    <w:qFormat/>
    <w:rsid w:val="00976EEE"/>
    <w:pPr>
      <w:numPr>
        <w:ilvl w:val="2"/>
        <w:numId w:val="1"/>
      </w:numPr>
      <w:spacing w:after="0" w:line="240" w:lineRule="exact"/>
      <w:ind w:firstLine="288"/>
      <w:jc w:val="both"/>
      <w:outlineLvl w:val="2"/>
    </w:pPr>
    <w:rPr>
      <w:rFonts w:ascii="Times New Roman" w:eastAsia="MS Mincho" w:hAnsi="Times New Roman" w:cs="Times New Roman"/>
      <w:i/>
      <w:iCs/>
      <w:noProof/>
      <w:sz w:val="20"/>
      <w:lang w:val="en-US" w:bidi="ar-SA"/>
    </w:rPr>
  </w:style>
  <w:style w:type="paragraph" w:styleId="Heading4">
    <w:name w:val="heading 4"/>
    <w:basedOn w:val="Normal"/>
    <w:next w:val="Normal"/>
    <w:link w:val="Heading4Char"/>
    <w:uiPriority w:val="99"/>
    <w:qFormat/>
    <w:rsid w:val="00976EEE"/>
    <w:pPr>
      <w:numPr>
        <w:ilvl w:val="3"/>
        <w:numId w:val="1"/>
      </w:numPr>
      <w:tabs>
        <w:tab w:val="left" w:pos="821"/>
      </w:tabs>
      <w:spacing w:before="40" w:after="40" w:line="240" w:lineRule="auto"/>
      <w:ind w:firstLine="504"/>
      <w:jc w:val="both"/>
      <w:outlineLvl w:val="3"/>
    </w:pPr>
    <w:rPr>
      <w:rFonts w:ascii="Times New Roman" w:eastAsia="MS Mincho" w:hAnsi="Times New Roman" w:cs="Times New Roman"/>
      <w:i/>
      <w:iCs/>
      <w:noProof/>
      <w:sz w:val="20"/>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pic-highlight">
    <w:name w:val="topic-highlight"/>
    <w:basedOn w:val="DefaultParagraphFont"/>
    <w:rsid w:val="00B4449D"/>
  </w:style>
  <w:style w:type="character" w:styleId="Hyperlink">
    <w:name w:val="Hyperlink"/>
    <w:basedOn w:val="DefaultParagraphFont"/>
    <w:uiPriority w:val="99"/>
    <w:unhideWhenUsed/>
    <w:rsid w:val="00B4449D"/>
    <w:rPr>
      <w:color w:val="0000FF"/>
      <w:u w:val="single"/>
    </w:rPr>
  </w:style>
  <w:style w:type="character" w:customStyle="1" w:styleId="citation">
    <w:name w:val="citation"/>
    <w:basedOn w:val="DefaultParagraphFont"/>
    <w:rsid w:val="00643E33"/>
  </w:style>
  <w:style w:type="character" w:customStyle="1" w:styleId="ref-journal">
    <w:name w:val="ref-journal"/>
    <w:basedOn w:val="DefaultParagraphFont"/>
    <w:rsid w:val="00643E33"/>
  </w:style>
  <w:style w:type="character" w:customStyle="1" w:styleId="ref-vol">
    <w:name w:val="ref-vol"/>
    <w:basedOn w:val="DefaultParagraphFont"/>
    <w:rsid w:val="00643E33"/>
  </w:style>
  <w:style w:type="paragraph" w:customStyle="1" w:styleId="Affiliation">
    <w:name w:val="Affiliation"/>
    <w:uiPriority w:val="99"/>
    <w:rsid w:val="00E173EF"/>
    <w:pPr>
      <w:spacing w:after="0" w:line="240" w:lineRule="auto"/>
      <w:jc w:val="center"/>
    </w:pPr>
    <w:rPr>
      <w:rFonts w:ascii="Times New Roman" w:eastAsia="Times New Roman" w:hAnsi="Times New Roman" w:cs="Times New Roman"/>
      <w:sz w:val="20"/>
      <w:lang w:val="en-US" w:bidi="ar-SA"/>
    </w:rPr>
  </w:style>
  <w:style w:type="paragraph" w:customStyle="1" w:styleId="Author">
    <w:name w:val="Author"/>
    <w:uiPriority w:val="99"/>
    <w:rsid w:val="00E173EF"/>
    <w:pPr>
      <w:spacing w:before="360" w:after="40" w:line="240" w:lineRule="auto"/>
      <w:jc w:val="center"/>
    </w:pPr>
    <w:rPr>
      <w:rFonts w:ascii="Times New Roman" w:eastAsia="Times New Roman" w:hAnsi="Times New Roman" w:cs="Times New Roman"/>
      <w:noProof/>
      <w:szCs w:val="22"/>
      <w:lang w:val="en-US" w:bidi="ar-SA"/>
    </w:rPr>
  </w:style>
  <w:style w:type="character" w:customStyle="1" w:styleId="Heading1Char">
    <w:name w:val="Heading 1 Char"/>
    <w:basedOn w:val="DefaultParagraphFont"/>
    <w:link w:val="Heading1"/>
    <w:uiPriority w:val="9"/>
    <w:rsid w:val="00976EEE"/>
    <w:rPr>
      <w:rFonts w:ascii="Cambria" w:eastAsia="Times New Roman" w:hAnsi="Cambria" w:cs="Times New Roman"/>
      <w:b/>
      <w:bCs/>
      <w:kern w:val="32"/>
      <w:sz w:val="32"/>
      <w:szCs w:val="32"/>
      <w:lang w:val="en-US" w:bidi="ar-SA"/>
    </w:rPr>
  </w:style>
  <w:style w:type="character" w:customStyle="1" w:styleId="Heading2Char">
    <w:name w:val="Heading 2 Char"/>
    <w:basedOn w:val="DefaultParagraphFont"/>
    <w:link w:val="Heading2"/>
    <w:uiPriority w:val="99"/>
    <w:rsid w:val="00976EEE"/>
    <w:rPr>
      <w:rFonts w:ascii="Times New Roman" w:eastAsia="MS Mincho" w:hAnsi="Times New Roman" w:cs="Times New Roman"/>
      <w:i/>
      <w:iCs/>
      <w:noProof/>
      <w:sz w:val="20"/>
      <w:lang w:val="en-US" w:bidi="ar-SA"/>
    </w:rPr>
  </w:style>
  <w:style w:type="character" w:customStyle="1" w:styleId="Heading3Char">
    <w:name w:val="Heading 3 Char"/>
    <w:basedOn w:val="DefaultParagraphFont"/>
    <w:link w:val="Heading3"/>
    <w:uiPriority w:val="99"/>
    <w:rsid w:val="00976EEE"/>
    <w:rPr>
      <w:rFonts w:ascii="Times New Roman" w:eastAsia="MS Mincho" w:hAnsi="Times New Roman" w:cs="Times New Roman"/>
      <w:i/>
      <w:iCs/>
      <w:noProof/>
      <w:sz w:val="20"/>
      <w:lang w:val="en-US" w:bidi="ar-SA"/>
    </w:rPr>
  </w:style>
  <w:style w:type="character" w:customStyle="1" w:styleId="Heading4Char">
    <w:name w:val="Heading 4 Char"/>
    <w:basedOn w:val="DefaultParagraphFont"/>
    <w:link w:val="Heading4"/>
    <w:uiPriority w:val="99"/>
    <w:rsid w:val="00976EEE"/>
    <w:rPr>
      <w:rFonts w:ascii="Times New Roman" w:eastAsia="MS Mincho" w:hAnsi="Times New Roman" w:cs="Times New Roman"/>
      <w:i/>
      <w:iCs/>
      <w:noProof/>
      <w:sz w:val="20"/>
      <w:lang w:val="en-US" w:bidi="ar-SA"/>
    </w:rPr>
  </w:style>
  <w:style w:type="paragraph" w:customStyle="1" w:styleId="keywords">
    <w:name w:val="key words"/>
    <w:uiPriority w:val="99"/>
    <w:rsid w:val="00976EEE"/>
    <w:pPr>
      <w:spacing w:after="120" w:line="240" w:lineRule="auto"/>
      <w:ind w:firstLine="274"/>
      <w:jc w:val="both"/>
    </w:pPr>
    <w:rPr>
      <w:rFonts w:ascii="Times New Roman" w:eastAsia="Times New Roman" w:hAnsi="Times New Roman" w:cs="Times New Roman"/>
      <w:b/>
      <w:bCs/>
      <w:i/>
      <w:iCs/>
      <w:noProof/>
      <w:sz w:val="18"/>
      <w:szCs w:val="18"/>
      <w:lang w:val="en-US" w:bidi="ar-SA"/>
    </w:rPr>
  </w:style>
  <w:style w:type="paragraph" w:customStyle="1" w:styleId="p">
    <w:name w:val="p"/>
    <w:basedOn w:val="Normal"/>
    <w:rsid w:val="0049755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ixed-citation">
    <w:name w:val="mixed-citation"/>
    <w:basedOn w:val="DefaultParagraphFont"/>
    <w:rsid w:val="004B0A9C"/>
  </w:style>
  <w:style w:type="character" w:customStyle="1" w:styleId="ref-title">
    <w:name w:val="ref-title"/>
    <w:basedOn w:val="DefaultParagraphFont"/>
    <w:rsid w:val="004B0A9C"/>
  </w:style>
  <w:style w:type="character" w:customStyle="1" w:styleId="ref-iss">
    <w:name w:val="ref-iss"/>
    <w:basedOn w:val="DefaultParagraphFont"/>
    <w:rsid w:val="004B0A9C"/>
  </w:style>
  <w:style w:type="character" w:customStyle="1" w:styleId="nowrap">
    <w:name w:val="nowrap"/>
    <w:basedOn w:val="DefaultParagraphFont"/>
    <w:rsid w:val="004B0A9C"/>
  </w:style>
  <w:style w:type="paragraph" w:styleId="Header">
    <w:name w:val="header"/>
    <w:basedOn w:val="Normal"/>
    <w:link w:val="HeaderChar"/>
    <w:uiPriority w:val="99"/>
    <w:unhideWhenUsed/>
    <w:rsid w:val="00974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7E"/>
  </w:style>
  <w:style w:type="paragraph" w:styleId="Footer">
    <w:name w:val="footer"/>
    <w:basedOn w:val="Normal"/>
    <w:link w:val="FooterChar"/>
    <w:uiPriority w:val="99"/>
    <w:unhideWhenUsed/>
    <w:rsid w:val="00974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457E"/>
  </w:style>
  <w:style w:type="paragraph" w:styleId="NormalWeb">
    <w:name w:val="Normal (Web)"/>
    <w:basedOn w:val="Normal"/>
    <w:uiPriority w:val="99"/>
    <w:unhideWhenUsed/>
    <w:rsid w:val="0086551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alfrhythm">
    <w:name w:val="half_rhythm"/>
    <w:basedOn w:val="Normal"/>
    <w:rsid w:val="0086551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292F1D"/>
    <w:pPr>
      <w:ind w:left="720"/>
      <w:contextualSpacing/>
    </w:pPr>
  </w:style>
  <w:style w:type="paragraph" w:customStyle="1" w:styleId="html-p">
    <w:name w:val="html-p"/>
    <w:basedOn w:val="Normal"/>
    <w:rsid w:val="007500B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ciprofiles-linkname">
    <w:name w:val="sciprofiles-link__name"/>
    <w:basedOn w:val="DefaultParagraphFont"/>
    <w:rsid w:val="002A2B49"/>
  </w:style>
  <w:style w:type="character" w:styleId="Emphasis">
    <w:name w:val="Emphasis"/>
    <w:basedOn w:val="DefaultParagraphFont"/>
    <w:uiPriority w:val="20"/>
    <w:qFormat/>
    <w:rsid w:val="002D5BB5"/>
    <w:rPr>
      <w:i/>
      <w:iCs/>
    </w:rPr>
  </w:style>
  <w:style w:type="character" w:styleId="UnresolvedMention">
    <w:name w:val="Unresolved Mention"/>
    <w:basedOn w:val="DefaultParagraphFont"/>
    <w:uiPriority w:val="99"/>
    <w:semiHidden/>
    <w:unhideWhenUsed/>
    <w:rsid w:val="00055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0888">
      <w:bodyDiv w:val="1"/>
      <w:marLeft w:val="0"/>
      <w:marRight w:val="0"/>
      <w:marTop w:val="0"/>
      <w:marBottom w:val="0"/>
      <w:divBdr>
        <w:top w:val="none" w:sz="0" w:space="0" w:color="auto"/>
        <w:left w:val="none" w:sz="0" w:space="0" w:color="auto"/>
        <w:bottom w:val="none" w:sz="0" w:space="0" w:color="auto"/>
        <w:right w:val="none" w:sz="0" w:space="0" w:color="auto"/>
      </w:divBdr>
    </w:div>
    <w:div w:id="285965655">
      <w:bodyDiv w:val="1"/>
      <w:marLeft w:val="0"/>
      <w:marRight w:val="0"/>
      <w:marTop w:val="0"/>
      <w:marBottom w:val="0"/>
      <w:divBdr>
        <w:top w:val="none" w:sz="0" w:space="0" w:color="auto"/>
        <w:left w:val="none" w:sz="0" w:space="0" w:color="auto"/>
        <w:bottom w:val="none" w:sz="0" w:space="0" w:color="auto"/>
        <w:right w:val="none" w:sz="0" w:space="0" w:color="auto"/>
      </w:divBdr>
    </w:div>
    <w:div w:id="568423458">
      <w:bodyDiv w:val="1"/>
      <w:marLeft w:val="0"/>
      <w:marRight w:val="0"/>
      <w:marTop w:val="0"/>
      <w:marBottom w:val="0"/>
      <w:divBdr>
        <w:top w:val="none" w:sz="0" w:space="0" w:color="auto"/>
        <w:left w:val="none" w:sz="0" w:space="0" w:color="auto"/>
        <w:bottom w:val="none" w:sz="0" w:space="0" w:color="auto"/>
        <w:right w:val="none" w:sz="0" w:space="0" w:color="auto"/>
      </w:divBdr>
      <w:divsChild>
        <w:div w:id="238441650">
          <w:marLeft w:val="0"/>
          <w:marRight w:val="0"/>
          <w:marTop w:val="200"/>
          <w:marBottom w:val="200"/>
          <w:divBdr>
            <w:top w:val="none" w:sz="0" w:space="0" w:color="auto"/>
            <w:left w:val="none" w:sz="0" w:space="0" w:color="auto"/>
            <w:bottom w:val="none" w:sz="0" w:space="0" w:color="auto"/>
            <w:right w:val="none" w:sz="0" w:space="0" w:color="auto"/>
          </w:divBdr>
        </w:div>
        <w:div w:id="1582182936">
          <w:marLeft w:val="0"/>
          <w:marRight w:val="0"/>
          <w:marTop w:val="200"/>
          <w:marBottom w:val="200"/>
          <w:divBdr>
            <w:top w:val="none" w:sz="0" w:space="0" w:color="auto"/>
            <w:left w:val="none" w:sz="0" w:space="0" w:color="auto"/>
            <w:bottom w:val="none" w:sz="0" w:space="0" w:color="auto"/>
            <w:right w:val="none" w:sz="0" w:space="0" w:color="auto"/>
          </w:divBdr>
        </w:div>
        <w:div w:id="1293173585">
          <w:marLeft w:val="0"/>
          <w:marRight w:val="0"/>
          <w:marTop w:val="200"/>
          <w:marBottom w:val="200"/>
          <w:divBdr>
            <w:top w:val="none" w:sz="0" w:space="0" w:color="auto"/>
            <w:left w:val="none" w:sz="0" w:space="0" w:color="auto"/>
            <w:bottom w:val="none" w:sz="0" w:space="0" w:color="auto"/>
            <w:right w:val="none" w:sz="0" w:space="0" w:color="auto"/>
          </w:divBdr>
        </w:div>
        <w:div w:id="525217929">
          <w:marLeft w:val="0"/>
          <w:marRight w:val="0"/>
          <w:marTop w:val="200"/>
          <w:marBottom w:val="200"/>
          <w:divBdr>
            <w:top w:val="none" w:sz="0" w:space="0" w:color="auto"/>
            <w:left w:val="none" w:sz="0" w:space="0" w:color="auto"/>
            <w:bottom w:val="none" w:sz="0" w:space="0" w:color="auto"/>
            <w:right w:val="none" w:sz="0" w:space="0" w:color="auto"/>
          </w:divBdr>
        </w:div>
        <w:div w:id="217477182">
          <w:marLeft w:val="0"/>
          <w:marRight w:val="0"/>
          <w:marTop w:val="200"/>
          <w:marBottom w:val="200"/>
          <w:divBdr>
            <w:top w:val="none" w:sz="0" w:space="0" w:color="auto"/>
            <w:left w:val="none" w:sz="0" w:space="0" w:color="auto"/>
            <w:bottom w:val="none" w:sz="0" w:space="0" w:color="auto"/>
            <w:right w:val="none" w:sz="0" w:space="0" w:color="auto"/>
          </w:divBdr>
        </w:div>
        <w:div w:id="670181265">
          <w:marLeft w:val="0"/>
          <w:marRight w:val="0"/>
          <w:marTop w:val="200"/>
          <w:marBottom w:val="200"/>
          <w:divBdr>
            <w:top w:val="none" w:sz="0" w:space="0" w:color="auto"/>
            <w:left w:val="none" w:sz="0" w:space="0" w:color="auto"/>
            <w:bottom w:val="none" w:sz="0" w:space="0" w:color="auto"/>
            <w:right w:val="none" w:sz="0" w:space="0" w:color="auto"/>
          </w:divBdr>
        </w:div>
        <w:div w:id="2030984580">
          <w:marLeft w:val="0"/>
          <w:marRight w:val="0"/>
          <w:marTop w:val="200"/>
          <w:marBottom w:val="200"/>
          <w:divBdr>
            <w:top w:val="none" w:sz="0" w:space="0" w:color="auto"/>
            <w:left w:val="none" w:sz="0" w:space="0" w:color="auto"/>
            <w:bottom w:val="none" w:sz="0" w:space="0" w:color="auto"/>
            <w:right w:val="none" w:sz="0" w:space="0" w:color="auto"/>
          </w:divBdr>
        </w:div>
      </w:divsChild>
    </w:div>
    <w:div w:id="776682923">
      <w:bodyDiv w:val="1"/>
      <w:marLeft w:val="0"/>
      <w:marRight w:val="0"/>
      <w:marTop w:val="0"/>
      <w:marBottom w:val="0"/>
      <w:divBdr>
        <w:top w:val="none" w:sz="0" w:space="0" w:color="auto"/>
        <w:left w:val="none" w:sz="0" w:space="0" w:color="auto"/>
        <w:bottom w:val="none" w:sz="0" w:space="0" w:color="auto"/>
        <w:right w:val="none" w:sz="0" w:space="0" w:color="auto"/>
      </w:divBdr>
    </w:div>
    <w:div w:id="1015033266">
      <w:bodyDiv w:val="1"/>
      <w:marLeft w:val="0"/>
      <w:marRight w:val="0"/>
      <w:marTop w:val="0"/>
      <w:marBottom w:val="0"/>
      <w:divBdr>
        <w:top w:val="none" w:sz="0" w:space="0" w:color="auto"/>
        <w:left w:val="none" w:sz="0" w:space="0" w:color="auto"/>
        <w:bottom w:val="none" w:sz="0" w:space="0" w:color="auto"/>
        <w:right w:val="none" w:sz="0" w:space="0" w:color="auto"/>
      </w:divBdr>
    </w:div>
    <w:div w:id="1036076297">
      <w:bodyDiv w:val="1"/>
      <w:marLeft w:val="0"/>
      <w:marRight w:val="0"/>
      <w:marTop w:val="0"/>
      <w:marBottom w:val="0"/>
      <w:divBdr>
        <w:top w:val="none" w:sz="0" w:space="0" w:color="auto"/>
        <w:left w:val="none" w:sz="0" w:space="0" w:color="auto"/>
        <w:bottom w:val="none" w:sz="0" w:space="0" w:color="auto"/>
        <w:right w:val="none" w:sz="0" w:space="0" w:color="auto"/>
      </w:divBdr>
    </w:div>
    <w:div w:id="1157184998">
      <w:bodyDiv w:val="1"/>
      <w:marLeft w:val="0"/>
      <w:marRight w:val="0"/>
      <w:marTop w:val="0"/>
      <w:marBottom w:val="0"/>
      <w:divBdr>
        <w:top w:val="none" w:sz="0" w:space="0" w:color="auto"/>
        <w:left w:val="none" w:sz="0" w:space="0" w:color="auto"/>
        <w:bottom w:val="none" w:sz="0" w:space="0" w:color="auto"/>
        <w:right w:val="none" w:sz="0" w:space="0" w:color="auto"/>
      </w:divBdr>
    </w:div>
    <w:div w:id="1327899552">
      <w:bodyDiv w:val="1"/>
      <w:marLeft w:val="0"/>
      <w:marRight w:val="0"/>
      <w:marTop w:val="0"/>
      <w:marBottom w:val="0"/>
      <w:divBdr>
        <w:top w:val="none" w:sz="0" w:space="0" w:color="auto"/>
        <w:left w:val="none" w:sz="0" w:space="0" w:color="auto"/>
        <w:bottom w:val="none" w:sz="0" w:space="0" w:color="auto"/>
        <w:right w:val="none" w:sz="0" w:space="0" w:color="auto"/>
      </w:divBdr>
    </w:div>
    <w:div w:id="1703821947">
      <w:bodyDiv w:val="1"/>
      <w:marLeft w:val="0"/>
      <w:marRight w:val="0"/>
      <w:marTop w:val="0"/>
      <w:marBottom w:val="0"/>
      <w:divBdr>
        <w:top w:val="none" w:sz="0" w:space="0" w:color="auto"/>
        <w:left w:val="none" w:sz="0" w:space="0" w:color="auto"/>
        <w:bottom w:val="none" w:sz="0" w:space="0" w:color="auto"/>
        <w:right w:val="none" w:sz="0" w:space="0" w:color="auto"/>
      </w:divBdr>
      <w:divsChild>
        <w:div w:id="1930116672">
          <w:marLeft w:val="0"/>
          <w:marRight w:val="0"/>
          <w:marTop w:val="0"/>
          <w:marBottom w:val="0"/>
          <w:divBdr>
            <w:top w:val="none" w:sz="0" w:space="0" w:color="auto"/>
            <w:left w:val="none" w:sz="0" w:space="0" w:color="auto"/>
            <w:bottom w:val="none" w:sz="0" w:space="0" w:color="auto"/>
            <w:right w:val="none" w:sz="0" w:space="0" w:color="auto"/>
          </w:divBdr>
        </w:div>
        <w:div w:id="1051416044">
          <w:marLeft w:val="0"/>
          <w:marRight w:val="0"/>
          <w:marTop w:val="0"/>
          <w:marBottom w:val="0"/>
          <w:divBdr>
            <w:top w:val="none" w:sz="0" w:space="0" w:color="auto"/>
            <w:left w:val="none" w:sz="0" w:space="0" w:color="auto"/>
            <w:bottom w:val="none" w:sz="0" w:space="0" w:color="auto"/>
            <w:right w:val="none" w:sz="0" w:space="0" w:color="auto"/>
          </w:divBdr>
        </w:div>
      </w:divsChild>
    </w:div>
    <w:div w:id="1791243742">
      <w:bodyDiv w:val="1"/>
      <w:marLeft w:val="0"/>
      <w:marRight w:val="0"/>
      <w:marTop w:val="0"/>
      <w:marBottom w:val="0"/>
      <w:divBdr>
        <w:top w:val="none" w:sz="0" w:space="0" w:color="auto"/>
        <w:left w:val="none" w:sz="0" w:space="0" w:color="auto"/>
        <w:bottom w:val="none" w:sz="0" w:space="0" w:color="auto"/>
        <w:right w:val="none" w:sz="0" w:space="0" w:color="auto"/>
      </w:divBdr>
    </w:div>
    <w:div w:id="1917666969">
      <w:bodyDiv w:val="1"/>
      <w:marLeft w:val="0"/>
      <w:marRight w:val="0"/>
      <w:marTop w:val="0"/>
      <w:marBottom w:val="0"/>
      <w:divBdr>
        <w:top w:val="none" w:sz="0" w:space="0" w:color="auto"/>
        <w:left w:val="none" w:sz="0" w:space="0" w:color="auto"/>
        <w:bottom w:val="none" w:sz="0" w:space="0" w:color="auto"/>
        <w:right w:val="none" w:sz="0" w:space="0" w:color="auto"/>
      </w:divBdr>
    </w:div>
    <w:div w:id="1992369086">
      <w:bodyDiv w:val="1"/>
      <w:marLeft w:val="0"/>
      <w:marRight w:val="0"/>
      <w:marTop w:val="0"/>
      <w:marBottom w:val="0"/>
      <w:divBdr>
        <w:top w:val="none" w:sz="0" w:space="0" w:color="auto"/>
        <w:left w:val="none" w:sz="0" w:space="0" w:color="auto"/>
        <w:bottom w:val="none" w:sz="0" w:space="0" w:color="auto"/>
        <w:right w:val="none" w:sz="0" w:space="0" w:color="auto"/>
      </w:divBdr>
    </w:div>
    <w:div w:id="2125035642">
      <w:bodyDiv w:val="1"/>
      <w:marLeft w:val="0"/>
      <w:marRight w:val="0"/>
      <w:marTop w:val="0"/>
      <w:marBottom w:val="0"/>
      <w:divBdr>
        <w:top w:val="none" w:sz="0" w:space="0" w:color="auto"/>
        <w:left w:val="none" w:sz="0" w:space="0" w:color="auto"/>
        <w:bottom w:val="none" w:sz="0" w:space="0" w:color="auto"/>
        <w:right w:val="none" w:sz="0" w:space="0" w:color="auto"/>
      </w:divBdr>
      <w:divsChild>
        <w:div w:id="1742212635">
          <w:marLeft w:val="0"/>
          <w:marRight w:val="0"/>
          <w:marTop w:val="200"/>
          <w:marBottom w:val="200"/>
          <w:divBdr>
            <w:top w:val="none" w:sz="0" w:space="0" w:color="auto"/>
            <w:left w:val="none" w:sz="0" w:space="0" w:color="auto"/>
            <w:bottom w:val="none" w:sz="0" w:space="0" w:color="auto"/>
            <w:right w:val="none" w:sz="0" w:space="0" w:color="auto"/>
          </w:divBdr>
        </w:div>
        <w:div w:id="509224349">
          <w:marLeft w:val="0"/>
          <w:marRight w:val="0"/>
          <w:marTop w:val="20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iprofiles.com/profile/1428821" TargetMode="External"/><Relationship Id="rId3" Type="http://schemas.openxmlformats.org/officeDocument/2006/relationships/settings" Target="settings.xml"/><Relationship Id="rId7" Type="http://schemas.openxmlformats.org/officeDocument/2006/relationships/hyperlink" Target="mailto:knjbiotech@gmail.com"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iprofiles.com/profile/142882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3980</Words>
  <Characters>22690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 jogayya k</dc:creator>
  <cp:keywords/>
  <dc:description/>
  <cp:lastModifiedBy>bikashsims2020@hotmail.com</cp:lastModifiedBy>
  <cp:revision>5</cp:revision>
  <dcterms:created xsi:type="dcterms:W3CDTF">2022-08-16T10:27:00Z</dcterms:created>
  <dcterms:modified xsi:type="dcterms:W3CDTF">2022-08-16T11:22:00Z</dcterms:modified>
</cp:coreProperties>
</file>