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5052" w:rsidRDefault="00A57830">
      <w:pPr>
        <w:jc w:val="center"/>
        <w:rPr>
          <w:rFonts w:ascii="Times New Roman" w:eastAsia="Times New Roman" w:hAnsi="Times New Roman" w:cs="Times New Roman"/>
          <w:b/>
          <w:sz w:val="24"/>
          <w:szCs w:val="24"/>
        </w:rPr>
      </w:pPr>
      <w:r>
        <w:rPr>
          <w:rFonts w:ascii="Times New Roman" w:eastAsia="Times New Roman" w:hAnsi="Times New Roman" w:cs="Times New Roman"/>
          <w:b/>
          <w:sz w:val="48"/>
          <w:szCs w:val="48"/>
        </w:rPr>
        <w:t>Post Restructuring Performance of State Level Public Enterprises in</w:t>
      </w:r>
      <w:r>
        <w:rPr>
          <w:rFonts w:ascii="Times New Roman" w:eastAsia="Times New Roman" w:hAnsi="Times New Roman" w:cs="Times New Roman"/>
          <w:b/>
          <w:sz w:val="48"/>
          <w:szCs w:val="48"/>
        </w:rPr>
        <w:t xml:space="preserve"> West Bengal–A Case</w:t>
      </w:r>
      <w:r>
        <w:rPr>
          <w:rFonts w:ascii="Times New Roman" w:eastAsia="Times New Roman" w:hAnsi="Times New Roman" w:cs="Times New Roman"/>
          <w:b/>
          <w:sz w:val="48"/>
          <w:szCs w:val="48"/>
        </w:rPr>
        <w:t xml:space="preserve"> Study</w:t>
      </w:r>
    </w:p>
    <w:p w:rsidR="007D5052" w:rsidRDefault="00A57830">
      <w:pPr>
        <w:tabs>
          <w:tab w:val="left" w:pos="6379"/>
        </w:tabs>
        <w:spacing w:after="0" w:line="240" w:lineRule="auto"/>
        <w:jc w:val="right"/>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Dr.Rama</w:t>
      </w:r>
      <w:proofErr w:type="spellEnd"/>
      <w:r>
        <w:rPr>
          <w:rFonts w:ascii="Times New Roman" w:eastAsia="Times New Roman" w:hAnsi="Times New Roman" w:cs="Times New Roman"/>
          <w:b/>
          <w:sz w:val="28"/>
          <w:szCs w:val="28"/>
        </w:rPr>
        <w:t xml:space="preserve"> Nag (De)</w:t>
      </w:r>
    </w:p>
    <w:p w:rsidR="007D5052" w:rsidRDefault="00A57830">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Associate Professor </w:t>
      </w:r>
    </w:p>
    <w:p w:rsidR="007D5052" w:rsidRDefault="00A57830">
      <w:pPr>
        <w:spacing w:after="0" w:line="240" w:lineRule="auto"/>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Umeschandra</w:t>
      </w:r>
      <w:proofErr w:type="spellEnd"/>
      <w:r>
        <w:rPr>
          <w:rFonts w:ascii="Times New Roman" w:eastAsia="Times New Roman" w:hAnsi="Times New Roman" w:cs="Times New Roman"/>
          <w:b/>
          <w:sz w:val="24"/>
          <w:szCs w:val="24"/>
        </w:rPr>
        <w:t xml:space="preserve"> College   </w:t>
      </w:r>
    </w:p>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7D5052" w:rsidRDefault="00A578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Government of India introduced a new ‘Economic Industrial Policy’</w:t>
      </w:r>
      <w:r>
        <w:rPr>
          <w:rFonts w:ascii="Times New Roman" w:eastAsia="Times New Roman" w:hAnsi="Times New Roman" w:cs="Times New Roman"/>
          <w:sz w:val="20"/>
          <w:szCs w:val="20"/>
        </w:rPr>
        <w:t xml:space="preserve"> in the mid of 1991 after getting over through the old </w:t>
      </w:r>
      <w:proofErr w:type="spellStart"/>
      <w:r>
        <w:rPr>
          <w:rFonts w:ascii="Times New Roman" w:eastAsia="Times New Roman" w:hAnsi="Times New Roman" w:cs="Times New Roman"/>
          <w:sz w:val="20"/>
          <w:szCs w:val="20"/>
        </w:rPr>
        <w:t>Nehruvian</w:t>
      </w:r>
      <w:proofErr w:type="spellEnd"/>
      <w:r>
        <w:rPr>
          <w:rFonts w:ascii="Times New Roman" w:eastAsia="Times New Roman" w:hAnsi="Times New Roman" w:cs="Times New Roman"/>
          <w:sz w:val="20"/>
          <w:szCs w:val="20"/>
        </w:rPr>
        <w:t xml:space="preserve"> line of socialistic pattern. Considering the various implementation statements pronounced by the Government of India, the</w:t>
      </w:r>
      <w:r>
        <w:rPr>
          <w:rFonts w:ascii="Times New Roman" w:eastAsia="Times New Roman" w:hAnsi="Times New Roman" w:cs="Times New Roman"/>
          <w:sz w:val="20"/>
          <w:szCs w:val="20"/>
        </w:rPr>
        <w:t xml:space="preserve">re raised a thrust towards deregulation, globalization and </w:t>
      </w:r>
      <w:proofErr w:type="spellStart"/>
      <w:r>
        <w:rPr>
          <w:rFonts w:ascii="Times New Roman" w:eastAsia="Times New Roman" w:hAnsi="Times New Roman" w:cs="Times New Roman"/>
          <w:sz w:val="20"/>
          <w:szCs w:val="20"/>
        </w:rPr>
        <w:t>liberisation</w:t>
      </w:r>
      <w:proofErr w:type="spellEnd"/>
      <w:r>
        <w:rPr>
          <w:rFonts w:ascii="Times New Roman" w:eastAsia="Times New Roman" w:hAnsi="Times New Roman" w:cs="Times New Roman"/>
          <w:sz w:val="20"/>
          <w:szCs w:val="20"/>
        </w:rPr>
        <w:t xml:space="preserve"> within the nation </w:t>
      </w:r>
      <w:proofErr w:type="gramStart"/>
      <w:r>
        <w:rPr>
          <w:rFonts w:ascii="Times New Roman" w:eastAsia="Times New Roman" w:hAnsi="Times New Roman" w:cs="Times New Roman"/>
          <w:sz w:val="20"/>
          <w:szCs w:val="20"/>
        </w:rPr>
        <w:t>It</w:t>
      </w:r>
      <w:proofErr w:type="gramEnd"/>
      <w:r>
        <w:rPr>
          <w:rFonts w:ascii="Times New Roman" w:eastAsia="Times New Roman" w:hAnsi="Times New Roman" w:cs="Times New Roman"/>
          <w:sz w:val="20"/>
          <w:szCs w:val="20"/>
        </w:rPr>
        <w:t xml:space="preserve"> is also a fact that the Private sector is totally dependent on PSUs for their infrastructural needs, like coal, iron, steel, power etc. The word “Disinvestment`` r</w:t>
      </w:r>
      <w:r>
        <w:rPr>
          <w:rFonts w:ascii="Times New Roman" w:eastAsia="Times New Roman" w:hAnsi="Times New Roman" w:cs="Times New Roman"/>
          <w:sz w:val="20"/>
          <w:szCs w:val="20"/>
        </w:rPr>
        <w:t>efers to liquidation of investments by way of sale or transfer of ownership rights in an institution and it is the reverse process of investments</w:t>
      </w:r>
    </w:p>
    <w:p w:rsidR="007D5052" w:rsidRDefault="00A5783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Key words</w:t>
      </w:r>
      <w:r>
        <w:rPr>
          <w:rFonts w:ascii="Times New Roman" w:eastAsia="Times New Roman" w:hAnsi="Times New Roman" w:cs="Times New Roman"/>
          <w:sz w:val="20"/>
          <w:szCs w:val="20"/>
        </w:rPr>
        <w:t xml:space="preserve">: Infrastructure, Disinvestment, </w:t>
      </w:r>
      <w:proofErr w:type="spellStart"/>
      <w:r>
        <w:rPr>
          <w:rFonts w:ascii="Times New Roman" w:eastAsia="Times New Roman" w:hAnsi="Times New Roman" w:cs="Times New Roman"/>
          <w:sz w:val="20"/>
          <w:szCs w:val="20"/>
        </w:rPr>
        <w:t>Liberalisation</w:t>
      </w:r>
      <w:proofErr w:type="spellEnd"/>
      <w:r>
        <w:rPr>
          <w:rFonts w:ascii="Times New Roman" w:eastAsia="Times New Roman" w:hAnsi="Times New Roman" w:cs="Times New Roman"/>
          <w:sz w:val="20"/>
          <w:szCs w:val="20"/>
        </w:rPr>
        <w:t xml:space="preserve">, Restructuring </w:t>
      </w:r>
    </w:p>
    <w:p w:rsidR="007D5052" w:rsidRDefault="00A57830">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bookmarkStart w:id="0" w:name="_GoBack"/>
      <w:bookmarkEnd w:id="0"/>
    </w:p>
    <w:p w:rsidR="007D5052" w:rsidRDefault="00A578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word “Disinvestmen</w:t>
      </w:r>
      <w:r>
        <w:rPr>
          <w:rFonts w:ascii="Times New Roman" w:eastAsia="Times New Roman" w:hAnsi="Times New Roman" w:cs="Times New Roman"/>
          <w:sz w:val="20"/>
          <w:szCs w:val="20"/>
        </w:rPr>
        <w:t xml:space="preserve">t `` with reference to public Sector Undertakings (PSUs) means selling of shares in big or </w:t>
      </w:r>
      <w:proofErr w:type="gramStart"/>
      <w:r>
        <w:rPr>
          <w:rFonts w:ascii="Times New Roman" w:eastAsia="Times New Roman" w:hAnsi="Times New Roman" w:cs="Times New Roman"/>
          <w:sz w:val="20"/>
          <w:szCs w:val="20"/>
        </w:rPr>
        <w:t>small</w:t>
      </w:r>
      <w:proofErr w:type="gramEnd"/>
      <w:r>
        <w:rPr>
          <w:rFonts w:ascii="Times New Roman" w:eastAsia="Times New Roman" w:hAnsi="Times New Roman" w:cs="Times New Roman"/>
          <w:sz w:val="20"/>
          <w:szCs w:val="20"/>
        </w:rPr>
        <w:t xml:space="preserve"> lots to one or more buyers by the state holding the shares in a PSU</w:t>
      </w:r>
      <w:r>
        <w:rPr>
          <w:rFonts w:ascii="Times New Roman" w:eastAsia="Times New Roman" w:hAnsi="Times New Roman" w:cs="Times New Roman"/>
          <w:sz w:val="20"/>
          <w:szCs w:val="20"/>
          <w:vertAlign w:val="superscript"/>
        </w:rPr>
        <w:t xml:space="preserve"> </w:t>
      </w:r>
      <w:r>
        <w:rPr>
          <w:rFonts w:ascii="Times New Roman" w:eastAsia="Times New Roman" w:hAnsi="Times New Roman" w:cs="Times New Roman"/>
          <w:sz w:val="20"/>
          <w:szCs w:val="20"/>
        </w:rPr>
        <w:t>. Privatization is mainly of two types (</w:t>
      </w:r>
      <w:proofErr w:type="spellStart"/>
      <w:r>
        <w:rPr>
          <w:rFonts w:ascii="Times New Roman" w:eastAsia="Times New Roman" w:hAnsi="Times New Roman" w:cs="Times New Roman"/>
          <w:sz w:val="20"/>
          <w:szCs w:val="20"/>
        </w:rPr>
        <w:t>i</w:t>
      </w:r>
      <w:proofErr w:type="spellEnd"/>
      <w:r>
        <w:rPr>
          <w:rFonts w:ascii="Times New Roman" w:eastAsia="Times New Roman" w:hAnsi="Times New Roman" w:cs="Times New Roman"/>
          <w:sz w:val="20"/>
          <w:szCs w:val="20"/>
        </w:rPr>
        <w:t xml:space="preserve">) change of ownership i.e. disinvestment and (ii) </w:t>
      </w:r>
      <w:r>
        <w:rPr>
          <w:rFonts w:ascii="Times New Roman" w:eastAsia="Times New Roman" w:hAnsi="Times New Roman" w:cs="Times New Roman"/>
          <w:sz w:val="20"/>
          <w:szCs w:val="20"/>
        </w:rPr>
        <w:t>deregulation, liberalization i.e. entry of private sector into different fields of commercial activities reserved so far for public sector. So, “Disinvestment`` is one of the ways for privatization. But all disinvestment may not lead to privatization, in t</w:t>
      </w:r>
      <w:r>
        <w:rPr>
          <w:rFonts w:ascii="Times New Roman" w:eastAsia="Times New Roman" w:hAnsi="Times New Roman" w:cs="Times New Roman"/>
          <w:sz w:val="20"/>
          <w:szCs w:val="20"/>
        </w:rPr>
        <w:t>rue sense of the latter term. Disinvestment up to 49% of government holding will not bring in change in ownership or control. So, this is not privatization. But when the disinvestment crosses the said limit, it may not be so much different from privatizati</w:t>
      </w:r>
      <w:r>
        <w:rPr>
          <w:rFonts w:ascii="Times New Roman" w:eastAsia="Times New Roman" w:hAnsi="Times New Roman" w:cs="Times New Roman"/>
          <w:sz w:val="20"/>
          <w:szCs w:val="20"/>
        </w:rPr>
        <w:t xml:space="preserve">on. In accordance with the SEBI (substantial Acquisition of shares and Takeovers) Regulation, 1997, “Disinvestment`` is the sale of its shares or voting rights and/ or control, in the listed Public Sector Undertakings by the Central/ State Government. The </w:t>
      </w:r>
      <w:r>
        <w:rPr>
          <w:rFonts w:ascii="Times New Roman" w:eastAsia="Times New Roman" w:hAnsi="Times New Roman" w:cs="Times New Roman"/>
          <w:sz w:val="20"/>
          <w:szCs w:val="20"/>
        </w:rPr>
        <w:t xml:space="preserve">reasons for which we have resorted to this way of privatization are given in the next section. </w:t>
      </w:r>
    </w:p>
    <w:p w:rsidR="007D5052" w:rsidRDefault="00A57830">
      <w:pPr>
        <w:pBdr>
          <w:top w:val="nil"/>
          <w:left w:val="nil"/>
          <w:bottom w:val="nil"/>
          <w:right w:val="nil"/>
          <w:between w:val="nil"/>
        </w:pBd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Hence, it is high time to evaluate the financial performance of the </w:t>
      </w:r>
      <w:proofErr w:type="gramStart"/>
      <w:r>
        <w:rPr>
          <w:rFonts w:ascii="Times New Roman" w:eastAsia="Times New Roman" w:hAnsi="Times New Roman" w:cs="Times New Roman"/>
          <w:color w:val="000000"/>
          <w:sz w:val="20"/>
          <w:szCs w:val="20"/>
        </w:rPr>
        <w:t>restructured  and</w:t>
      </w:r>
      <w:proofErr w:type="gramEnd"/>
      <w:r>
        <w:rPr>
          <w:rFonts w:ascii="Times New Roman" w:eastAsia="Times New Roman" w:hAnsi="Times New Roman" w:cs="Times New Roman"/>
          <w:color w:val="000000"/>
          <w:sz w:val="20"/>
          <w:szCs w:val="20"/>
        </w:rPr>
        <w:t xml:space="preserve"> disinvested SLPEs in the post –restructuring and disinvestment period. In </w:t>
      </w:r>
      <w:proofErr w:type="gramStart"/>
      <w:r>
        <w:rPr>
          <w:rFonts w:ascii="Times New Roman" w:eastAsia="Times New Roman" w:hAnsi="Times New Roman" w:cs="Times New Roman"/>
          <w:color w:val="000000"/>
          <w:sz w:val="20"/>
          <w:szCs w:val="20"/>
        </w:rPr>
        <w:t>this  backdrop</w:t>
      </w:r>
      <w:proofErr w:type="gramEnd"/>
      <w:r>
        <w:rPr>
          <w:rFonts w:ascii="Times New Roman" w:eastAsia="Times New Roman" w:hAnsi="Times New Roman" w:cs="Times New Roman"/>
          <w:color w:val="000000"/>
          <w:sz w:val="20"/>
          <w:szCs w:val="20"/>
        </w:rPr>
        <w:t>, this paper seeks to examine the financial performance of SLPEs in pre and post restructuring and  disinvestment period.</w:t>
      </w:r>
    </w:p>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paper is divided into four sections. Section I deals with the objectives of the study. Section II explains the methodology of the study. Section III is concerned with the empirical results. In Section IV concluding remarks are given. </w:t>
      </w:r>
    </w:p>
    <w:p w:rsidR="007D5052" w:rsidRDefault="00A57830">
      <w:pP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I: Objectives of</w:t>
      </w:r>
      <w:r>
        <w:rPr>
          <w:rFonts w:ascii="Times New Roman" w:eastAsia="Times New Roman" w:hAnsi="Times New Roman" w:cs="Times New Roman"/>
          <w:b/>
          <w:sz w:val="20"/>
          <w:szCs w:val="20"/>
          <w:u w:val="single"/>
        </w:rPr>
        <w:t xml:space="preserve"> the case study</w:t>
      </w:r>
    </w:p>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 To measure the profitability of selected SLPEs in terms of profit/sales and profit / capital employed.</w:t>
      </w:r>
    </w:p>
    <w:p w:rsidR="007D5052" w:rsidRDefault="00A57830">
      <w:pPr>
        <w:numPr>
          <w:ilvl w:val="0"/>
          <w:numId w:val="11"/>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To compare profitability of SLPEs after post-- restructuring and disinvestment periods.</w:t>
      </w:r>
    </w:p>
    <w:p w:rsidR="007D5052" w:rsidRDefault="00A57830">
      <w:pPr>
        <w:numPr>
          <w:ilvl w:val="0"/>
          <w:numId w:val="11"/>
        </w:numPr>
        <w:pBdr>
          <w:top w:val="nil"/>
          <w:left w:val="nil"/>
          <w:bottom w:val="nil"/>
          <w:right w:val="nil"/>
          <w:between w:val="nil"/>
        </w:pBdr>
        <w:spacing w:after="0"/>
        <w:rPr>
          <w:color w:val="000000"/>
          <w:sz w:val="20"/>
          <w:szCs w:val="20"/>
        </w:rPr>
      </w:pPr>
      <w:r>
        <w:rPr>
          <w:rFonts w:ascii="Times New Roman" w:eastAsia="Times New Roman" w:hAnsi="Times New Roman" w:cs="Times New Roman"/>
          <w:color w:val="000000"/>
          <w:sz w:val="20"/>
          <w:szCs w:val="20"/>
        </w:rPr>
        <w:t xml:space="preserve"> Observe the impact of new economic environment on restructured and disinvested SLPEs in West Bengal</w:t>
      </w:r>
    </w:p>
    <w:p w:rsidR="007D5052" w:rsidRDefault="00A57830">
      <w:pPr>
        <w:numPr>
          <w:ilvl w:val="0"/>
          <w:numId w:val="11"/>
        </w:numPr>
        <w:pBdr>
          <w:top w:val="nil"/>
          <w:left w:val="nil"/>
          <w:bottom w:val="nil"/>
          <w:right w:val="nil"/>
          <w:between w:val="nil"/>
        </w:pBdr>
        <w:rPr>
          <w:color w:val="000000"/>
          <w:sz w:val="20"/>
          <w:szCs w:val="20"/>
        </w:rPr>
      </w:pPr>
      <w:r>
        <w:rPr>
          <w:rFonts w:ascii="Times New Roman" w:eastAsia="Times New Roman" w:hAnsi="Times New Roman" w:cs="Times New Roman"/>
          <w:color w:val="000000"/>
          <w:sz w:val="20"/>
          <w:szCs w:val="20"/>
        </w:rPr>
        <w:t>To identify the progress, if any, of the privatized SLPEs.</w:t>
      </w:r>
    </w:p>
    <w:p w:rsidR="007D5052" w:rsidRDefault="007D5052">
      <w:pPr>
        <w:rPr>
          <w:rFonts w:ascii="Times New Roman" w:eastAsia="Times New Roman" w:hAnsi="Times New Roman" w:cs="Times New Roman"/>
          <w:b/>
          <w:sz w:val="20"/>
          <w:szCs w:val="20"/>
        </w:rPr>
      </w:pPr>
    </w:p>
    <w:p w:rsidR="007D5052" w:rsidRDefault="007D5052">
      <w:pPr>
        <w:rPr>
          <w:rFonts w:ascii="Times New Roman" w:eastAsia="Times New Roman" w:hAnsi="Times New Roman" w:cs="Times New Roman"/>
          <w:b/>
          <w:sz w:val="20"/>
          <w:szCs w:val="20"/>
        </w:rPr>
      </w:pPr>
    </w:p>
    <w:p w:rsidR="007D5052" w:rsidRDefault="00A57830">
      <w:pPr>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lastRenderedPageBreak/>
        <w:t>II :</w:t>
      </w:r>
      <w:proofErr w:type="gramEnd"/>
      <w:r>
        <w:rPr>
          <w:rFonts w:ascii="Times New Roman" w:eastAsia="Times New Roman" w:hAnsi="Times New Roman" w:cs="Times New Roman"/>
          <w:b/>
          <w:sz w:val="20"/>
          <w:szCs w:val="20"/>
        </w:rPr>
        <w:t xml:space="preserve"> Methodology of the study:</w:t>
      </w:r>
    </w:p>
    <w:p w:rsidR="007D5052" w:rsidRDefault="00A578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study has been conducted mainly based on secondary sources </w:t>
      </w:r>
      <w:r>
        <w:rPr>
          <w:rFonts w:ascii="Times New Roman" w:eastAsia="Times New Roman" w:hAnsi="Times New Roman" w:cs="Times New Roman"/>
          <w:sz w:val="20"/>
          <w:szCs w:val="20"/>
        </w:rPr>
        <w:t xml:space="preserve">of information and for that matter Annual Reports of the selected companies have been considered and </w:t>
      </w:r>
      <w:proofErr w:type="spellStart"/>
      <w:r>
        <w:rPr>
          <w:rFonts w:ascii="Times New Roman" w:eastAsia="Times New Roman" w:hAnsi="Times New Roman" w:cs="Times New Roman"/>
          <w:sz w:val="20"/>
          <w:szCs w:val="20"/>
        </w:rPr>
        <w:t>analised</w:t>
      </w:r>
      <w:proofErr w:type="spellEnd"/>
      <w:r>
        <w:rPr>
          <w:rFonts w:ascii="Times New Roman" w:eastAsia="Times New Roman" w:hAnsi="Times New Roman" w:cs="Times New Roman"/>
          <w:sz w:val="20"/>
          <w:szCs w:val="20"/>
        </w:rPr>
        <w:t>. The period of study chosen for this project is from 2010-11 to 2019-20. For the purpose of the study the researcher has selected five SLPEs and t</w:t>
      </w:r>
      <w:r>
        <w:rPr>
          <w:rFonts w:ascii="Times New Roman" w:eastAsia="Times New Roman" w:hAnsi="Times New Roman" w:cs="Times New Roman"/>
          <w:sz w:val="20"/>
          <w:szCs w:val="20"/>
        </w:rPr>
        <w:t>hese are Durgapur chemical Ltd (DCL), Britannia Engineering Ltd (BEL), Westinghouse Saxby Farmer Ltd (WSFL), West Bengal Agro Textile Corporation Ltd (WBATCL) and West Bengal chemicals industries ltd (WBCIL). The rationale behind the selection of such comp</w:t>
      </w:r>
      <w:r>
        <w:rPr>
          <w:rFonts w:ascii="Times New Roman" w:eastAsia="Times New Roman" w:hAnsi="Times New Roman" w:cs="Times New Roman"/>
          <w:sz w:val="20"/>
          <w:szCs w:val="20"/>
        </w:rPr>
        <w:t>anies is restructuring process has already been completed in case of DCL, BEL and WSFL where as WBATCL and WBCIL became joint venture. So in terms of comparison the researcher wants to explore what is the financial performance of restructured SLPEs and con</w:t>
      </w:r>
      <w:r>
        <w:rPr>
          <w:rFonts w:ascii="Times New Roman" w:eastAsia="Times New Roman" w:hAnsi="Times New Roman" w:cs="Times New Roman"/>
          <w:sz w:val="20"/>
          <w:szCs w:val="20"/>
        </w:rPr>
        <w:t>verted in joint venture SLPEs under reference. For analyzing the data the technique of ratio analysis have been used.</w:t>
      </w:r>
    </w:p>
    <w:p w:rsidR="007D5052" w:rsidRDefault="007D5052">
      <w:pPr>
        <w:pBdr>
          <w:top w:val="nil"/>
          <w:left w:val="nil"/>
          <w:bottom w:val="nil"/>
          <w:right w:val="nil"/>
          <w:between w:val="nil"/>
        </w:pBdr>
        <w:spacing w:after="0"/>
        <w:ind w:left="142" w:hanging="142"/>
        <w:jc w:val="both"/>
        <w:rPr>
          <w:rFonts w:ascii="Times New Roman" w:eastAsia="Times New Roman" w:hAnsi="Times New Roman" w:cs="Times New Roman"/>
          <w:color w:val="000000"/>
          <w:sz w:val="20"/>
          <w:szCs w:val="20"/>
        </w:rPr>
      </w:pPr>
    </w:p>
    <w:p w:rsidR="007D5052" w:rsidRDefault="00A57830">
      <w:pPr>
        <w:ind w:left="360"/>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 Empirical Results:</w:t>
      </w:r>
    </w:p>
    <w:p w:rsidR="007D5052" w:rsidRDefault="00A57830">
      <w:pPr>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The observation on the findings of the study are as follows:</w:t>
      </w:r>
    </w:p>
    <w:p w:rsidR="007D5052" w:rsidRDefault="00A5783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u w:val="single"/>
        </w:rPr>
        <w:t>Assessment of Performance of restructured SLPEs and Privatized SLPEs in West Bengal</w:t>
      </w:r>
    </w:p>
    <w:p w:rsidR="007D5052" w:rsidRDefault="00A57830">
      <w:pPr>
        <w:spacing w:after="0"/>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financial performance of SLPEs and Privatized SLPEs in West Bengal has been evaluated on the following basis:</w:t>
      </w:r>
    </w:p>
    <w:p w:rsidR="007D5052" w:rsidRDefault="00A57830">
      <w:pPr>
        <w:numPr>
          <w:ilvl w:val="0"/>
          <w:numId w:val="18"/>
        </w:numPr>
        <w:pBdr>
          <w:top w:val="nil"/>
          <w:left w:val="nil"/>
          <w:bottom w:val="nil"/>
          <w:right w:val="nil"/>
          <w:between w:val="nil"/>
        </w:pBdr>
        <w:spacing w:after="0"/>
        <w:jc w:val="both"/>
        <w:rPr>
          <w:b/>
          <w:color w:val="000000"/>
          <w:sz w:val="20"/>
          <w:szCs w:val="20"/>
          <w:u w:val="single"/>
        </w:rPr>
      </w:pPr>
      <w:r>
        <w:rPr>
          <w:rFonts w:ascii="Times New Roman" w:eastAsia="Times New Roman" w:hAnsi="Times New Roman" w:cs="Times New Roman"/>
          <w:color w:val="000000"/>
          <w:sz w:val="20"/>
          <w:szCs w:val="20"/>
        </w:rPr>
        <w:t>By comparing various ratios</w:t>
      </w:r>
    </w:p>
    <w:p w:rsidR="007D5052" w:rsidRDefault="00A57830">
      <w:pPr>
        <w:ind w:left="360"/>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by</w:t>
      </w:r>
      <w:proofErr w:type="gramEnd"/>
      <w:r>
        <w:rPr>
          <w:rFonts w:ascii="Times New Roman" w:eastAsia="Times New Roman" w:hAnsi="Times New Roman" w:cs="Times New Roman"/>
          <w:sz w:val="20"/>
          <w:szCs w:val="20"/>
        </w:rPr>
        <w:t xml:space="preserve"> one, after considering infl</w:t>
      </w:r>
      <w:r>
        <w:rPr>
          <w:rFonts w:ascii="Times New Roman" w:eastAsia="Times New Roman" w:hAnsi="Times New Roman" w:cs="Times New Roman"/>
          <w:sz w:val="20"/>
          <w:szCs w:val="20"/>
        </w:rPr>
        <w:t>ation-adjusted figures, considering 2010-2011 as the base year.</w:t>
      </w:r>
    </w:p>
    <w:p w:rsidR="007D5052" w:rsidRDefault="00A5783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Durgapur Chemicals Ltd. (DCL)</w:t>
      </w:r>
    </w:p>
    <w:p w:rsidR="007D5052" w:rsidRDefault="00A578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highlights of the company are given in detail in table I</w:t>
      </w:r>
    </w:p>
    <w:p w:rsidR="007D5052" w:rsidRDefault="00A5783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Efficiency:</w:t>
      </w:r>
    </w:p>
    <w:p w:rsidR="007D5052" w:rsidRDefault="00A57830">
      <w:p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Efficiency in operation is evaluated on the basis of the following</w:t>
      </w:r>
    </w:p>
    <w:p w:rsidR="007D5052" w:rsidRDefault="00A57830">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Growth in Sales</w:t>
      </w:r>
      <w:r>
        <w:rPr>
          <w:rFonts w:ascii="Times New Roman" w:eastAsia="Times New Roman" w:hAnsi="Times New Roman" w:cs="Times New Roman"/>
          <w:color w:val="000000"/>
          <w:sz w:val="20"/>
          <w:szCs w:val="20"/>
        </w:rPr>
        <w:t>:</w:t>
      </w:r>
    </w:p>
    <w:p w:rsidR="007D5052" w:rsidRDefault="00A57830">
      <w:pPr>
        <w:spacing w:after="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may be seen from table I that the enterprise has shown increasing growth in turnover. The increase in turnover during this period works out to 30%. Highest value of turnover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45.7943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2016-17 and lowest value of turnover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32.6799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2010-11.</w:t>
      </w:r>
    </w:p>
    <w:p w:rsidR="007D5052" w:rsidRDefault="00A57830">
      <w:pPr>
        <w:numPr>
          <w:ilvl w:val="0"/>
          <w:numId w:val="8"/>
        </w:numPr>
        <w:pBdr>
          <w:top w:val="nil"/>
          <w:left w:val="nil"/>
          <w:bottom w:val="nil"/>
          <w:right w:val="nil"/>
          <w:between w:val="nil"/>
        </w:pBdr>
        <w:spacing w:after="0"/>
        <w:ind w:right="-630"/>
        <w:jc w:val="both"/>
        <w:rPr>
          <w:color w:val="000000"/>
        </w:rPr>
      </w:pPr>
      <w:r>
        <w:rPr>
          <w:rFonts w:ascii="Times New Roman" w:eastAsia="Times New Roman" w:hAnsi="Times New Roman" w:cs="Times New Roman"/>
          <w:color w:val="000000"/>
          <w:sz w:val="20"/>
          <w:szCs w:val="20"/>
          <w:u w:val="single"/>
        </w:rPr>
        <w:t>Gross value added per rupee wages</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is shown from table I total gross value added recorded a fluctuating trend. It was worsened in the year 2015-16 &amp; 2018-19 with negative value addition due to negative PBT. </w:t>
      </w:r>
    </w:p>
    <w:p w:rsidR="007D5052" w:rsidRDefault="00A57830">
      <w:pPr>
        <w:numPr>
          <w:ilvl w:val="0"/>
          <w:numId w:val="6"/>
        </w:numPr>
        <w:pBdr>
          <w:top w:val="nil"/>
          <w:left w:val="nil"/>
          <w:bottom w:val="nil"/>
          <w:right w:val="nil"/>
          <w:between w:val="nil"/>
        </w:pBdr>
        <w:spacing w:after="0"/>
        <w:ind w:right="-630"/>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Utilization of Resources:</w:t>
      </w:r>
    </w:p>
    <w:p w:rsidR="007D5052" w:rsidRDefault="00A57830">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Internal Resources Generation</w:t>
      </w:r>
      <w:r>
        <w:rPr>
          <w:rFonts w:ascii="Times New Roman" w:eastAsia="Times New Roman" w:hAnsi="Times New Roman" w:cs="Times New Roman"/>
          <w:color w:val="000000"/>
          <w:sz w:val="20"/>
          <w:szCs w:val="20"/>
        </w:rPr>
        <w:t>:</w:t>
      </w:r>
    </w:p>
    <w:p w:rsidR="007D5052" w:rsidRDefault="00A57830">
      <w:pPr>
        <w:pBdr>
          <w:top w:val="nil"/>
          <w:left w:val="nil"/>
          <w:bottom w:val="nil"/>
          <w:right w:val="nil"/>
          <w:between w:val="nil"/>
        </w:pBdr>
        <w:spacing w:after="0"/>
        <w:ind w:left="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From table I it is shown that internal resource generation has a fluctuating trend. Again in some year it registered negative value which indicates cash losses.</w:t>
      </w:r>
    </w:p>
    <w:p w:rsidR="007D5052" w:rsidRDefault="00A57830">
      <w:pPr>
        <w:numPr>
          <w:ilvl w:val="0"/>
          <w:numId w:val="8"/>
        </w:numPr>
        <w:pBdr>
          <w:top w:val="nil"/>
          <w:left w:val="nil"/>
          <w:bottom w:val="nil"/>
          <w:right w:val="nil"/>
          <w:between w:val="nil"/>
        </w:pBdr>
        <w:spacing w:after="0"/>
        <w:ind w:right="-630"/>
        <w:jc w:val="both"/>
        <w:rPr>
          <w:color w:val="000000"/>
        </w:rPr>
      </w:pPr>
      <w:r>
        <w:rPr>
          <w:rFonts w:ascii="Times New Roman" w:eastAsia="Times New Roman" w:hAnsi="Times New Roman" w:cs="Times New Roman"/>
          <w:color w:val="000000"/>
          <w:sz w:val="20"/>
          <w:szCs w:val="20"/>
          <w:u w:val="single"/>
        </w:rPr>
        <w:t>Contribution to Exchequer</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was however a significant decrease in total contribution to the State Exchequer which decrease from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26.7422 core in 2010-11 to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3.9086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2019-20. .</w:t>
      </w:r>
    </w:p>
    <w:p w:rsidR="007D5052" w:rsidRDefault="00A57830">
      <w:pPr>
        <w:numPr>
          <w:ilvl w:val="0"/>
          <w:numId w:val="6"/>
        </w:numPr>
        <w:pBdr>
          <w:top w:val="nil"/>
          <w:left w:val="nil"/>
          <w:bottom w:val="nil"/>
          <w:right w:val="nil"/>
          <w:between w:val="nil"/>
        </w:pBdr>
        <w:spacing w:after="0"/>
        <w:ind w:right="-630"/>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Liquidity Analysis:</w:t>
      </w:r>
    </w:p>
    <w:p w:rsidR="007D5052" w:rsidRDefault="00A57830">
      <w:pPr>
        <w:numPr>
          <w:ilvl w:val="0"/>
          <w:numId w:val="8"/>
        </w:numPr>
        <w:pBdr>
          <w:top w:val="nil"/>
          <w:left w:val="nil"/>
          <w:bottom w:val="nil"/>
          <w:right w:val="nil"/>
          <w:between w:val="nil"/>
        </w:pBdr>
        <w:spacing w:after="0"/>
        <w:ind w:right="-630"/>
        <w:jc w:val="both"/>
        <w:rPr>
          <w:color w:val="000000"/>
        </w:rPr>
      </w:pPr>
      <w:r>
        <w:rPr>
          <w:rFonts w:ascii="Times New Roman" w:eastAsia="Times New Roman" w:hAnsi="Times New Roman" w:cs="Times New Roman"/>
          <w:color w:val="000000"/>
          <w:sz w:val="20"/>
          <w:szCs w:val="20"/>
          <w:u w:val="single"/>
        </w:rPr>
        <w:t>Current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Current ratio of the enterprise showed an increasing </w:t>
      </w:r>
      <w:r>
        <w:rPr>
          <w:rFonts w:ascii="Times New Roman" w:eastAsia="Times New Roman" w:hAnsi="Times New Roman" w:cs="Times New Roman"/>
          <w:sz w:val="20"/>
          <w:szCs w:val="20"/>
        </w:rPr>
        <w:t xml:space="preserve">trend up to 2014-015 </w:t>
      </w:r>
      <w:proofErr w:type="gramStart"/>
      <w:r>
        <w:rPr>
          <w:rFonts w:ascii="Times New Roman" w:eastAsia="Times New Roman" w:hAnsi="Times New Roman" w:cs="Times New Roman"/>
          <w:sz w:val="20"/>
          <w:szCs w:val="20"/>
        </w:rPr>
        <w:t>But</w:t>
      </w:r>
      <w:proofErr w:type="gramEnd"/>
      <w:r>
        <w:rPr>
          <w:rFonts w:ascii="Times New Roman" w:eastAsia="Times New Roman" w:hAnsi="Times New Roman" w:cs="Times New Roman"/>
          <w:sz w:val="20"/>
          <w:szCs w:val="20"/>
        </w:rPr>
        <w:t xml:space="preserve"> after that, it showed a declining trend. It has been worsened from the year 2016-17 to 2019-20 which indicate below the acceptable range. Hence it can be concluded that short-term solvency position is not satisfactory.</w:t>
      </w:r>
    </w:p>
    <w:p w:rsidR="007D5052" w:rsidRDefault="00A57830">
      <w:pPr>
        <w:numPr>
          <w:ilvl w:val="0"/>
          <w:numId w:val="8"/>
        </w:numPr>
        <w:pBdr>
          <w:top w:val="nil"/>
          <w:left w:val="nil"/>
          <w:bottom w:val="nil"/>
          <w:right w:val="nil"/>
          <w:between w:val="nil"/>
        </w:pBdr>
        <w:spacing w:after="0"/>
        <w:ind w:right="-630"/>
        <w:jc w:val="both"/>
        <w:rPr>
          <w:b/>
          <w:color w:val="000000"/>
        </w:rPr>
      </w:pPr>
      <w:r>
        <w:rPr>
          <w:rFonts w:ascii="Times New Roman" w:eastAsia="Times New Roman" w:hAnsi="Times New Roman" w:cs="Times New Roman"/>
          <w:b/>
          <w:color w:val="000000"/>
          <w:sz w:val="20"/>
          <w:szCs w:val="20"/>
          <w:u w:val="single"/>
        </w:rPr>
        <w:t>Quick Ratio</w:t>
      </w:r>
      <w:r>
        <w:rPr>
          <w:rFonts w:ascii="Times New Roman" w:eastAsia="Times New Roman" w:hAnsi="Times New Roman" w:cs="Times New Roman"/>
          <w:b/>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It shows an increasing trend up to 2014-15. After that, it showed a declining trend and decrease from 0.5159 in 2010-11 to 0.3649 in 2019-20.</w:t>
      </w:r>
    </w:p>
    <w:p w:rsidR="007D5052" w:rsidRDefault="00A57830">
      <w:pPr>
        <w:numPr>
          <w:ilvl w:val="0"/>
          <w:numId w:val="6"/>
        </w:numPr>
        <w:pBdr>
          <w:top w:val="nil"/>
          <w:left w:val="nil"/>
          <w:bottom w:val="nil"/>
          <w:right w:val="nil"/>
          <w:between w:val="nil"/>
        </w:pBdr>
        <w:spacing w:after="0"/>
        <w:ind w:right="-630"/>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Leverage:</w:t>
      </w:r>
    </w:p>
    <w:p w:rsidR="007D5052" w:rsidRDefault="00A57830">
      <w:pPr>
        <w:numPr>
          <w:ilvl w:val="0"/>
          <w:numId w:val="8"/>
        </w:numPr>
        <w:pBdr>
          <w:top w:val="nil"/>
          <w:left w:val="nil"/>
          <w:bottom w:val="nil"/>
          <w:right w:val="nil"/>
          <w:between w:val="nil"/>
        </w:pBdr>
        <w:spacing w:after="0"/>
        <w:ind w:right="-630"/>
        <w:jc w:val="both"/>
        <w:rPr>
          <w:color w:val="000000"/>
        </w:rPr>
      </w:pPr>
      <w:r>
        <w:rPr>
          <w:rFonts w:ascii="Times New Roman" w:eastAsia="Times New Roman" w:hAnsi="Times New Roman" w:cs="Times New Roman"/>
          <w:color w:val="000000"/>
          <w:sz w:val="20"/>
          <w:szCs w:val="20"/>
          <w:u w:val="single"/>
        </w:rPr>
        <w:t>Debt Equity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the table I it can be seen that from the year 2011-12 to 2013-14 it is less than 1. But after that it showed an increasing trend which indicate that outsiders’ contribution is more than owners’ equity.</w:t>
      </w:r>
    </w:p>
    <w:p w:rsidR="007D5052" w:rsidRDefault="00A57830">
      <w:pPr>
        <w:numPr>
          <w:ilvl w:val="0"/>
          <w:numId w:val="6"/>
        </w:numPr>
        <w:pBdr>
          <w:top w:val="nil"/>
          <w:left w:val="nil"/>
          <w:bottom w:val="nil"/>
          <w:right w:val="nil"/>
          <w:between w:val="nil"/>
        </w:pBdr>
        <w:spacing w:after="0"/>
        <w:ind w:right="-630"/>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u w:val="single"/>
        </w:rPr>
        <w:t>Utilization of Assets</w:t>
      </w:r>
      <w:r>
        <w:rPr>
          <w:rFonts w:ascii="Times New Roman" w:eastAsia="Times New Roman" w:hAnsi="Times New Roman" w:cs="Times New Roman"/>
          <w:b/>
          <w:color w:val="000000"/>
          <w:sz w:val="20"/>
          <w:szCs w:val="20"/>
        </w:rPr>
        <w:t>:</w:t>
      </w:r>
    </w:p>
    <w:p w:rsidR="007D5052" w:rsidRDefault="00A57830">
      <w:pPr>
        <w:numPr>
          <w:ilvl w:val="0"/>
          <w:numId w:val="8"/>
        </w:numPr>
        <w:pBdr>
          <w:top w:val="nil"/>
          <w:left w:val="nil"/>
          <w:bottom w:val="nil"/>
          <w:right w:val="nil"/>
          <w:between w:val="nil"/>
        </w:pBdr>
        <w:spacing w:after="0"/>
        <w:ind w:right="-630"/>
        <w:jc w:val="both"/>
        <w:rPr>
          <w:color w:val="000000"/>
        </w:rPr>
      </w:pPr>
      <w:r>
        <w:rPr>
          <w:rFonts w:ascii="Times New Roman" w:eastAsia="Times New Roman" w:hAnsi="Times New Roman" w:cs="Times New Roman"/>
          <w:color w:val="000000"/>
          <w:sz w:val="20"/>
          <w:szCs w:val="20"/>
          <w:u w:val="single"/>
        </w:rPr>
        <w:t>Net Assets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can be seen from table I that net asset turnover ratio of the company was very low. In 2010-11 it was 1.4017 and it was 0.7593 in 2017-18.</w:t>
      </w:r>
    </w:p>
    <w:p w:rsidR="007D5052" w:rsidRDefault="00A57830">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Fixed Assets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It measures the degree of efficiency in utilization of fixed assets of the company. </w:t>
      </w:r>
      <w:r>
        <w:rPr>
          <w:rFonts w:ascii="Times New Roman" w:eastAsia="Times New Roman" w:hAnsi="Times New Roman" w:cs="Times New Roman"/>
          <w:sz w:val="20"/>
          <w:szCs w:val="20"/>
        </w:rPr>
        <w:t>Higher the fixed assets turnover ratio then management is more efficient for utilization of the fixed assets. Table 4.16 shows a fluctuating trend in Fixed Assets Turnover Ratio.</w:t>
      </w:r>
    </w:p>
    <w:p w:rsidR="007D5052" w:rsidRDefault="00A57830">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Working Capital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ratio indicates the velocity of the util</w:t>
      </w:r>
      <w:r>
        <w:rPr>
          <w:rFonts w:ascii="Times New Roman" w:eastAsia="Times New Roman" w:hAnsi="Times New Roman" w:cs="Times New Roman"/>
          <w:sz w:val="20"/>
          <w:szCs w:val="20"/>
        </w:rPr>
        <w:t xml:space="preserve">ization of net working capital. From table I it is observed a fluctuating trend in the working capital turnover ratio. From the year 2016-17 to 2019-20 it </w:t>
      </w:r>
      <w:proofErr w:type="spellStart"/>
      <w:r>
        <w:rPr>
          <w:rFonts w:ascii="Times New Roman" w:eastAsia="Times New Roman" w:hAnsi="Times New Roman" w:cs="Times New Roman"/>
          <w:sz w:val="20"/>
          <w:szCs w:val="20"/>
        </w:rPr>
        <w:t>recordea</w:t>
      </w:r>
      <w:proofErr w:type="spellEnd"/>
      <w:r>
        <w:rPr>
          <w:rFonts w:ascii="Times New Roman" w:eastAsia="Times New Roman" w:hAnsi="Times New Roman" w:cs="Times New Roman"/>
          <w:sz w:val="20"/>
          <w:szCs w:val="20"/>
        </w:rPr>
        <w:t xml:space="preserve"> d negative ratio due to negative working capital.</w:t>
      </w:r>
    </w:p>
    <w:p w:rsidR="007D5052" w:rsidRDefault="00A57830">
      <w:pPr>
        <w:numPr>
          <w:ilvl w:val="0"/>
          <w:numId w:val="6"/>
        </w:numPr>
        <w:pBdr>
          <w:top w:val="nil"/>
          <w:left w:val="nil"/>
          <w:bottom w:val="nil"/>
          <w:right w:val="nil"/>
          <w:between w:val="nil"/>
        </w:pBdr>
        <w:spacing w:after="0"/>
        <w:jc w:val="both"/>
        <w:rPr>
          <w:rFonts w:ascii="Times New Roman" w:eastAsia="Times New Roman" w:hAnsi="Times New Roman" w:cs="Times New Roman"/>
          <w:color w:val="000000"/>
          <w:sz w:val="20"/>
          <w:szCs w:val="20"/>
          <w:u w:val="single"/>
        </w:rPr>
      </w:pPr>
      <w:r>
        <w:rPr>
          <w:rFonts w:ascii="Times New Roman" w:eastAsia="Times New Roman" w:hAnsi="Times New Roman" w:cs="Times New Roman"/>
          <w:b/>
          <w:color w:val="000000"/>
          <w:sz w:val="20"/>
          <w:szCs w:val="20"/>
          <w:u w:val="single"/>
        </w:rPr>
        <w:t>Profitability Ratio:</w:t>
      </w:r>
    </w:p>
    <w:p w:rsidR="007D5052" w:rsidRDefault="00A57830">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Operating Profit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table I it is observed that it registered negative ratio throughout the study period except 2011-12, 2012-13 &amp; 2013-14. It can be concluded that profitability of the enterprise measured by operating profit was not satisfactory.</w:t>
      </w:r>
    </w:p>
    <w:p w:rsidR="007D5052" w:rsidRDefault="00A57830">
      <w:pPr>
        <w:numPr>
          <w:ilvl w:val="0"/>
          <w:numId w:val="8"/>
        </w:numPr>
        <w:pBdr>
          <w:top w:val="nil"/>
          <w:left w:val="nil"/>
          <w:bottom w:val="nil"/>
          <w:right w:val="nil"/>
          <w:between w:val="nil"/>
        </w:pBdr>
        <w:spacing w:after="0"/>
        <w:jc w:val="both"/>
        <w:rPr>
          <w:color w:val="000000"/>
          <w:u w:val="single"/>
        </w:rPr>
      </w:pPr>
      <w:r>
        <w:rPr>
          <w:rFonts w:ascii="Times New Roman" w:eastAsia="Times New Roman" w:hAnsi="Times New Roman" w:cs="Times New Roman"/>
          <w:color w:val="000000"/>
          <w:sz w:val="20"/>
          <w:szCs w:val="20"/>
          <w:u w:val="single"/>
        </w:rPr>
        <w:t>Interest Coverage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observed from the Table I that it recorded negative ratio all the year except 2012-13, 2013-14 &amp; 2014-15. Hence it can be concluded that interest is covered by EBIT only for the period 2012-13, 2013-14 &amp; 2014-15.</w:t>
      </w:r>
    </w:p>
    <w:p w:rsidR="007D5052" w:rsidRDefault="00A57830">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Return on I</w:t>
      </w:r>
      <w:r>
        <w:rPr>
          <w:rFonts w:ascii="Times New Roman" w:eastAsia="Times New Roman" w:hAnsi="Times New Roman" w:cs="Times New Roman"/>
          <w:color w:val="000000"/>
          <w:sz w:val="20"/>
          <w:szCs w:val="20"/>
          <w:u w:val="single"/>
        </w:rPr>
        <w:t>nvestment</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higher the ROI larger is the earning capacity of the enterprise and the wider is the future prospects of the enterprise. Table I shows that DCL registered negative ratio throughout the study period except 2011-12 &amp; 2013-14.</w:t>
      </w:r>
    </w:p>
    <w:p w:rsidR="007D5052" w:rsidRDefault="00A57830">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Return on Equity</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I indicates that return on share holders’ fund varied from year to year. Again in the year 2014-15, 2015-16, 2018-1* &amp; 2019-20 the enterprise registered a negative ratio. The fluctuating trend in this ratio could be attributed to the difference in g</w:t>
      </w:r>
      <w:r>
        <w:rPr>
          <w:rFonts w:ascii="Times New Roman" w:eastAsia="Times New Roman" w:hAnsi="Times New Roman" w:cs="Times New Roman"/>
          <w:sz w:val="20"/>
          <w:szCs w:val="20"/>
        </w:rPr>
        <w:t>rowth rates of profit after tax &amp; shareholders’ fund.</w:t>
      </w:r>
    </w:p>
    <w:p w:rsidR="007D5052" w:rsidRDefault="007D5052">
      <w:pPr>
        <w:spacing w:after="0" w:line="240" w:lineRule="auto"/>
        <w:jc w:val="center"/>
        <w:rPr>
          <w:rFonts w:ascii="Times New Roman" w:eastAsia="Times New Roman" w:hAnsi="Times New Roman" w:cs="Times New Roman"/>
          <w:b/>
          <w:sz w:val="20"/>
          <w:szCs w:val="20"/>
        </w:rPr>
      </w:pPr>
    </w:p>
    <w:p w:rsidR="007D5052" w:rsidRDefault="007D5052">
      <w:pPr>
        <w:spacing w:after="0" w:line="240" w:lineRule="auto"/>
        <w:jc w:val="center"/>
        <w:rPr>
          <w:rFonts w:ascii="Times New Roman" w:eastAsia="Times New Roman" w:hAnsi="Times New Roman" w:cs="Times New Roman"/>
          <w:b/>
          <w:sz w:val="20"/>
          <w:szCs w:val="20"/>
        </w:rPr>
        <w:sectPr w:rsidR="007D5052">
          <w:pgSz w:w="11907" w:h="16839"/>
          <w:pgMar w:top="1582" w:right="907" w:bottom="1474" w:left="1531" w:header="720" w:footer="720" w:gutter="0"/>
          <w:pgNumType w:start="80"/>
          <w:cols w:space="720"/>
        </w:sectPr>
      </w:pPr>
    </w:p>
    <w:p w:rsidR="007D5052" w:rsidRDefault="00A578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TABLE – I</w:t>
      </w:r>
    </w:p>
    <w:p w:rsidR="007D5052" w:rsidRDefault="00A57830">
      <w:pPr>
        <w:spacing w:after="0" w:line="240" w:lineRule="auto"/>
        <w:jc w:val="right"/>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FINANCIAL HIGHLIGHTS OF DCL </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spellStart"/>
      <w:r>
        <w:rPr>
          <w:rFonts w:ascii="Times New Roman" w:eastAsia="Times New Roman" w:hAnsi="Times New Roman" w:cs="Times New Roman"/>
          <w:b/>
          <w:sz w:val="20"/>
          <w:szCs w:val="20"/>
        </w:rPr>
        <w:t>Rs</w:t>
      </w:r>
      <w:proofErr w:type="spellEnd"/>
      <w:r>
        <w:rPr>
          <w:rFonts w:ascii="Times New Roman" w:eastAsia="Times New Roman" w:hAnsi="Times New Roman" w:cs="Times New Roman"/>
          <w:b/>
          <w:sz w:val="20"/>
          <w:szCs w:val="20"/>
        </w:rPr>
        <w:t xml:space="preserve">. In </w:t>
      </w:r>
      <w:proofErr w:type="spellStart"/>
      <w:r>
        <w:rPr>
          <w:rFonts w:ascii="Times New Roman" w:eastAsia="Times New Roman" w:hAnsi="Times New Roman" w:cs="Times New Roman"/>
          <w:b/>
          <w:sz w:val="20"/>
          <w:szCs w:val="20"/>
        </w:rPr>
        <w:t>Crore</w:t>
      </w:r>
      <w:proofErr w:type="spellEnd"/>
    </w:p>
    <w:tbl>
      <w:tblPr>
        <w:tblStyle w:val="a"/>
        <w:tblW w:w="14043" w:type="dxa"/>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3"/>
        <w:gridCol w:w="2992"/>
        <w:gridCol w:w="1088"/>
        <w:gridCol w:w="1039"/>
        <w:gridCol w:w="952"/>
        <w:gridCol w:w="1076"/>
        <w:gridCol w:w="1134"/>
        <w:gridCol w:w="1088"/>
        <w:gridCol w:w="1038"/>
        <w:gridCol w:w="993"/>
        <w:gridCol w:w="1017"/>
        <w:gridCol w:w="993"/>
      </w:tblGrid>
      <w:tr w:rsidR="007D5052">
        <w:trPr>
          <w:trHeight w:val="269"/>
        </w:trPr>
        <w:tc>
          <w:tcPr>
            <w:tcW w:w="634"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Sl. No.</w:t>
            </w:r>
          </w:p>
        </w:tc>
        <w:tc>
          <w:tcPr>
            <w:tcW w:w="2992" w:type="dxa"/>
          </w:tcPr>
          <w:p w:rsidR="007D5052" w:rsidRDefault="007D5052">
            <w:pPr>
              <w:rPr>
                <w:rFonts w:ascii="Times New Roman" w:eastAsia="Times New Roman" w:hAnsi="Times New Roman" w:cs="Times New Roman"/>
                <w:sz w:val="20"/>
                <w:szCs w:val="20"/>
              </w:rPr>
            </w:pPr>
          </w:p>
          <w:p w:rsidR="007D5052" w:rsidRDefault="007D5052">
            <w:pPr>
              <w:rPr>
                <w:rFonts w:ascii="Times New Roman" w:eastAsia="Times New Roman" w:hAnsi="Times New Roman" w:cs="Times New Roman"/>
                <w:sz w:val="20"/>
                <w:szCs w:val="20"/>
              </w:rPr>
            </w:pPr>
          </w:p>
        </w:tc>
        <w:tc>
          <w:tcPr>
            <w:tcW w:w="1088"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2010-11</w:t>
            </w:r>
          </w:p>
        </w:tc>
        <w:tc>
          <w:tcPr>
            <w:tcW w:w="1039"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2011-12</w:t>
            </w:r>
          </w:p>
        </w:tc>
        <w:tc>
          <w:tcPr>
            <w:tcW w:w="952"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2012-13</w:t>
            </w:r>
          </w:p>
        </w:tc>
        <w:tc>
          <w:tcPr>
            <w:tcW w:w="1076"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2013-14</w:t>
            </w:r>
          </w:p>
        </w:tc>
        <w:tc>
          <w:tcPr>
            <w:tcW w:w="1134"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2014-15</w:t>
            </w:r>
          </w:p>
        </w:tc>
        <w:tc>
          <w:tcPr>
            <w:tcW w:w="1088"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2015-16</w:t>
            </w:r>
          </w:p>
        </w:tc>
        <w:tc>
          <w:tcPr>
            <w:tcW w:w="1038"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2016-17</w:t>
            </w:r>
          </w:p>
        </w:tc>
        <w:tc>
          <w:tcPr>
            <w:tcW w:w="993"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2017-18</w:t>
            </w:r>
          </w:p>
        </w:tc>
        <w:tc>
          <w:tcPr>
            <w:tcW w:w="1017"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2018-19</w:t>
            </w:r>
          </w:p>
        </w:tc>
        <w:tc>
          <w:tcPr>
            <w:tcW w:w="993"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2019-20</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Growth in Sales</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32.6799</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37.3975</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39.5512</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35.6820</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35.7928</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33.4354</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45.7943</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42.9458</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39.5715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42.6256</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Wages and Salaries Paid out</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9.1571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2.8395</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2.8181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2.8489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3.8161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3.7197</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6.8436</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5.8965</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4.5851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4.2847</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Gross Value Added</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2.3293</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5.3812</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7.2406</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4.8927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2.7873</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-0.3112</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0.0144</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3.4549</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-0.3344</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1.7942</w:t>
            </w:r>
          </w:p>
        </w:tc>
      </w:tr>
      <w:tr w:rsidR="007D5052">
        <w:trPr>
          <w:trHeight w:val="72"/>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Capital Employed</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23.3141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32.2376</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33.3231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46.9479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82.8166</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94.6496</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69.9922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56.5594</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38.0270</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28.3168</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Borrowing</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355.2794</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4.7301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5.3408</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5.5719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42.0880</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53.5931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49.4164</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48.4178</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28.3803</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21.7011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Worth</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-331.9628</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29.2537</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29.3278</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42.3408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41.3326</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41.3415</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20.5758</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8.3620</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6.9182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3.4801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Sales and Other Income</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33.2130</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38.2747</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40.2037</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36.4636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37.3174</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34.1268</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47.7347</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43.6761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39.9413</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43.0718</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33.5434</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31.3724</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28.8615</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34.6511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64.4186</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91.6443</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79.9972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69.2471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59.3751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51.7202</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Net  Working Capital</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-10.2293</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0.8652</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4.4617</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12.2968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18.3980</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3.0053</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-10.0049</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-12.6877</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-21.3481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-23.4034</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992" w:type="dxa"/>
            <w:tcBorders>
              <w:bottom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PBIT</w:t>
            </w:r>
          </w:p>
        </w:tc>
        <w:tc>
          <w:tcPr>
            <w:tcW w:w="1088" w:type="dxa"/>
            <w:tcBorders>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-8.4802</w:t>
            </w:r>
          </w:p>
        </w:tc>
        <w:tc>
          <w:tcPr>
            <w:tcW w:w="1039" w:type="dxa"/>
            <w:tcBorders>
              <w:left w:val="single" w:sz="4" w:space="0" w:color="000000"/>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1.0850</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2.7221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0.9198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-2.0127</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-5.3940</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-10.9353</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-6.2856</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-8.4142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-5.7586</w:t>
            </w:r>
          </w:p>
        </w:tc>
      </w:tr>
      <w:tr w:rsidR="007D5052">
        <w:trPr>
          <w:trHeight w:val="216"/>
        </w:trPr>
        <w:tc>
          <w:tcPr>
            <w:tcW w:w="634" w:type="dxa"/>
            <w:tcBorders>
              <w:left w:val="single" w:sz="4" w:space="0" w:color="000000"/>
              <w:right w:val="single" w:sz="4" w:space="0" w:color="000000"/>
            </w:tcBorders>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992" w:type="dxa"/>
            <w:tcBorders>
              <w:top w:val="single" w:sz="4" w:space="0" w:color="000000"/>
              <w:left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PBDIT</w:t>
            </w:r>
          </w:p>
        </w:tc>
        <w:tc>
          <w:tcPr>
            <w:tcW w:w="1088"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-6.8278</w:t>
            </w:r>
          </w:p>
        </w:tc>
        <w:tc>
          <w:tcPr>
            <w:tcW w:w="1039"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2.5416</w:t>
            </w:r>
          </w:p>
        </w:tc>
        <w:tc>
          <w:tcPr>
            <w:tcW w:w="95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4.4225</w:t>
            </w:r>
          </w:p>
        </w:tc>
        <w:tc>
          <w:tcPr>
            <w:tcW w:w="1076"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2.0437</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-1.0288</w:t>
            </w:r>
          </w:p>
        </w:tc>
        <w:tc>
          <w:tcPr>
            <w:tcW w:w="108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-4.0309</w:t>
            </w:r>
          </w:p>
        </w:tc>
        <w:tc>
          <w:tcPr>
            <w:tcW w:w="103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-6.8291</w:t>
            </w:r>
          </w:p>
        </w:tc>
        <w:tc>
          <w:tcPr>
            <w:tcW w:w="993"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-2.4416</w:t>
            </w:r>
          </w:p>
        </w:tc>
        <w:tc>
          <w:tcPr>
            <w:tcW w:w="1017"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-4.9195</w:t>
            </w:r>
          </w:p>
        </w:tc>
        <w:tc>
          <w:tcPr>
            <w:tcW w:w="993"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-2.4905</w:t>
            </w:r>
          </w:p>
        </w:tc>
      </w:tr>
      <w:tr w:rsidR="007D5052">
        <w:trPr>
          <w:trHeight w:val="233"/>
        </w:trPr>
        <w:tc>
          <w:tcPr>
            <w:tcW w:w="634" w:type="dxa"/>
            <w:tcBorders>
              <w:right w:val="single" w:sz="4" w:space="0" w:color="000000"/>
            </w:tcBorders>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992" w:type="dxa"/>
            <w:tcBorders>
              <w:lef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Interest</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21.1096</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0.1863</w:t>
            </w:r>
          </w:p>
        </w:tc>
        <w:tc>
          <w:tcPr>
            <w:tcW w:w="95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0.5871</w:t>
            </w:r>
          </w:p>
        </w:tc>
        <w:tc>
          <w:tcPr>
            <w:tcW w:w="1076"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0.7665</w:t>
            </w:r>
          </w:p>
        </w:tc>
        <w:tc>
          <w:tcPr>
            <w:tcW w:w="1134"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0.0249</w:t>
            </w:r>
          </w:p>
        </w:tc>
        <w:tc>
          <w:tcPr>
            <w:tcW w:w="1088"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1.0672</w:t>
            </w:r>
          </w:p>
        </w:tc>
        <w:tc>
          <w:tcPr>
            <w:tcW w:w="103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5.6159</w:t>
            </w:r>
          </w:p>
        </w:tc>
        <w:tc>
          <w:tcPr>
            <w:tcW w:w="993"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5.4191</w:t>
            </w:r>
          </w:p>
        </w:tc>
        <w:tc>
          <w:tcPr>
            <w:tcW w:w="1017"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5.2996</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5.5261</w:t>
            </w:r>
          </w:p>
        </w:tc>
      </w:tr>
      <w:tr w:rsidR="007D5052">
        <w:trPr>
          <w:trHeight w:val="233"/>
        </w:trPr>
        <w:tc>
          <w:tcPr>
            <w:tcW w:w="634" w:type="dxa"/>
            <w:tcBorders>
              <w:right w:val="single" w:sz="4" w:space="0" w:color="000000"/>
            </w:tcBorders>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992" w:type="dxa"/>
            <w:tcBorders>
              <w:lef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PBT</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-29.5898</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0.8987</w:t>
            </w:r>
          </w:p>
        </w:tc>
        <w:tc>
          <w:tcPr>
            <w:tcW w:w="95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2.1350</w:t>
            </w:r>
          </w:p>
        </w:tc>
        <w:tc>
          <w:tcPr>
            <w:tcW w:w="1076"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0.1534</w:t>
            </w:r>
          </w:p>
        </w:tc>
        <w:tc>
          <w:tcPr>
            <w:tcW w:w="1134"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-2.0376</w:t>
            </w:r>
          </w:p>
        </w:tc>
        <w:tc>
          <w:tcPr>
            <w:tcW w:w="1088"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-6.4612</w:t>
            </w:r>
          </w:p>
        </w:tc>
        <w:tc>
          <w:tcPr>
            <w:tcW w:w="103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-16.5512</w:t>
            </w:r>
          </w:p>
        </w:tc>
        <w:tc>
          <w:tcPr>
            <w:tcW w:w="993"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-11.7047</w:t>
            </w:r>
          </w:p>
        </w:tc>
        <w:tc>
          <w:tcPr>
            <w:tcW w:w="1017"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-13.7139</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-11.2847</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PAT</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-37.1078</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0.4232</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1.5187</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0.2919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-2.2278</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-6.7276</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-19.4021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-11.7113</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-14.0055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-11.3032</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Assets</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52.9675</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50.2805</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51.1160</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63.9275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102.7506</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121.6017</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101.7025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86.3322</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75.0433</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73.0196</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Assets</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19.4241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18.9081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22.2545</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29.2765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38.3320</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29.9574</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21.7053</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17.0851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15.6682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21.2994</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Liabilities</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29.6534</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18.0429</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17.7929</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16.9796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19.9340</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26.9521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31.7102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29.7728</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37.0163</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44.7028</w:t>
            </w:r>
          </w:p>
        </w:tc>
      </w:tr>
      <w:tr w:rsidR="007D5052">
        <w:trPr>
          <w:trHeight w:val="441"/>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Cash Loss</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-27.9374</w:t>
            </w:r>
          </w:p>
        </w:tc>
        <w:tc>
          <w:tcPr>
            <w:tcW w:w="1039"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52"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76"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-1.0537</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-5.0980</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-12.4450</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-7.8607</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-10.2192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-8.0165</w:t>
            </w:r>
          </w:p>
        </w:tc>
      </w:tr>
      <w:tr w:rsidR="007D5052">
        <w:trPr>
          <w:trHeight w:val="233"/>
        </w:trPr>
        <w:tc>
          <w:tcPr>
            <w:tcW w:w="634" w:type="dxa"/>
            <w:tcBorders>
              <w:right w:val="single" w:sz="4" w:space="0" w:color="000000"/>
            </w:tcBorders>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992" w:type="dxa"/>
            <w:tcBorders>
              <w:left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 to Exchequer</w:t>
            </w:r>
          </w:p>
        </w:tc>
        <w:tc>
          <w:tcPr>
            <w:tcW w:w="108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26.7422</w:t>
            </w:r>
          </w:p>
        </w:tc>
        <w:tc>
          <w:tcPr>
            <w:tcW w:w="1039"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6.7059</w:t>
            </w:r>
          </w:p>
        </w:tc>
        <w:tc>
          <w:tcPr>
            <w:tcW w:w="95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7.6848</w:t>
            </w:r>
          </w:p>
        </w:tc>
        <w:tc>
          <w:tcPr>
            <w:tcW w:w="1076"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7.3596</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6.2975</w:t>
            </w:r>
          </w:p>
        </w:tc>
        <w:tc>
          <w:tcPr>
            <w:tcW w:w="108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4.9725</w:t>
            </w:r>
          </w:p>
        </w:tc>
        <w:tc>
          <w:tcPr>
            <w:tcW w:w="103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7.4057</w:t>
            </w:r>
          </w:p>
        </w:tc>
        <w:tc>
          <w:tcPr>
            <w:tcW w:w="993"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7.7430</w:t>
            </w:r>
          </w:p>
        </w:tc>
        <w:tc>
          <w:tcPr>
            <w:tcW w:w="1017"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3.4906</w:t>
            </w:r>
          </w:p>
        </w:tc>
        <w:tc>
          <w:tcPr>
            <w:tcW w:w="993"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3.9086</w:t>
            </w:r>
          </w:p>
        </w:tc>
      </w:tr>
      <w:tr w:rsidR="007D5052">
        <w:trPr>
          <w:trHeight w:val="70"/>
        </w:trPr>
        <w:tc>
          <w:tcPr>
            <w:tcW w:w="14044" w:type="dxa"/>
            <w:gridSpan w:val="12"/>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FINANCIAL RATIO</w:t>
            </w:r>
          </w:p>
        </w:tc>
      </w:tr>
      <w:tr w:rsidR="007D5052">
        <w:trPr>
          <w:trHeight w:val="72"/>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a</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Gross Value Added Per Rupee Wages Paid</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0.2544:1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1.8951:1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2.5693:1</w:t>
            </w:r>
          </w:p>
        </w:tc>
        <w:tc>
          <w:tcPr>
            <w:tcW w:w="1076"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1.7174:1</w:t>
            </w:r>
          </w:p>
        </w:tc>
        <w:tc>
          <w:tcPr>
            <w:tcW w:w="1134"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0.7304:1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(0.0837):1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0.0021:1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0.5859:1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(0.0729):1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0.4187:1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b</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Internal Resource Generation</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(0.2220):1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0.1240:1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0.1837:1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0.0675:1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(0.0005):1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(0.0282):1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(0.0389):1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0.0248:1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(0.0375):1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0.0275:1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c</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Current Ratio</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0.6550:1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1.0480:1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1.2508:1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1.7242:1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1.9229:1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1.1115:1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0.8361:1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0.5738:1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0.8466:1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0.9529:1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d</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Acid Test Ratio</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0.5159:1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0.7844:1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0.9897:1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1.7242:1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1.9229:1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1.1115:1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0.5739:1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0.4525:1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0.3386:1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0.3649:1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e</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Debt Equity Ratio</w:t>
            </w:r>
          </w:p>
        </w:tc>
        <w:tc>
          <w:tcPr>
            <w:tcW w:w="1088"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(1.0702):1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0.1617:1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0.1821:1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0.1316:1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1.0183:1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1.2964:1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2.4017:1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5.7902:1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4.1023:1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6.2358:1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f</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Assets Turn Over Ratio</w:t>
            </w:r>
          </w:p>
        </w:tc>
        <w:tc>
          <w:tcPr>
            <w:tcW w:w="1088"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1.4017:1</w:t>
            </w:r>
          </w:p>
        </w:tc>
        <w:tc>
          <w:tcPr>
            <w:tcW w:w="1039"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1.1601:1</w:t>
            </w:r>
          </w:p>
        </w:tc>
        <w:tc>
          <w:tcPr>
            <w:tcW w:w="95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1.1869:1</w:t>
            </w:r>
          </w:p>
        </w:tc>
        <w:tc>
          <w:tcPr>
            <w:tcW w:w="1076"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0.7600:1</w:t>
            </w:r>
          </w:p>
        </w:tc>
        <w:tc>
          <w:tcPr>
            <w:tcW w:w="1134"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0.4322:1</w:t>
            </w:r>
          </w:p>
        </w:tc>
        <w:tc>
          <w:tcPr>
            <w:tcW w:w="1088"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0.3533:1</w:t>
            </w:r>
          </w:p>
        </w:tc>
        <w:tc>
          <w:tcPr>
            <w:tcW w:w="1038"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0.6543:1</w:t>
            </w:r>
          </w:p>
        </w:tc>
        <w:tc>
          <w:tcPr>
            <w:tcW w:w="993"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0.7593:1</w:t>
            </w:r>
          </w:p>
        </w:tc>
        <w:tc>
          <w:tcPr>
            <w:tcW w:w="1017"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1.0406:1</w:t>
            </w:r>
          </w:p>
        </w:tc>
        <w:tc>
          <w:tcPr>
            <w:tcW w:w="993"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1.5053:1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g</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 Ratio</w:t>
            </w:r>
          </w:p>
        </w:tc>
        <w:tc>
          <w:tcPr>
            <w:tcW w:w="1088"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0.9902:1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1.2200:1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1.3930:1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1.0523:1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0.5793:1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0.3724:1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0.5967:1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0.6307:1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0.6727:1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0.8328:1</w:t>
            </w:r>
          </w:p>
        </w:tc>
      </w:tr>
      <w:tr w:rsidR="007D5052">
        <w:trPr>
          <w:trHeight w:val="158"/>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h</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Working Capital Turnover Ratio</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(3.1947):1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43.2245:1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8.8647:1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2.9017:1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1.9455:1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11.1256:1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(4.5772):1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(3.3848):1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(1.8536):1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(1.8213):1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proofErr w:type="spellStart"/>
            <w:r>
              <w:rPr>
                <w:rFonts w:ascii="Times New Roman" w:eastAsia="Times New Roman" w:hAnsi="Times New Roman" w:cs="Times New Roman"/>
                <w:sz w:val="20"/>
                <w:szCs w:val="20"/>
              </w:rPr>
              <w:t>i</w:t>
            </w:r>
            <w:proofErr w:type="spellEnd"/>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Operating Profit Ratio</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(0.2595):1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0.0290:1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0.0688:1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0.0258:1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(0.0562):1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(0.1613):1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(0.2388):1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(0.1464):1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(0.2126):1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(0.1351):1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 j</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Coverage Ratio</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(0.4017):1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5.8225:1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4.6363:1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1.2001:1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(80.7759):1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(5.0545):1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(1.9472):1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(1.1599):1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(1.5877):1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(1.0421):1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k</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Investment</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(0.1601):1</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0.0216:1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0.0533:1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0.0144:1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(0.0196):1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(0.0444):1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(0.1075):1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(0.0728):1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(0.1121):1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(0.0789):1</w:t>
            </w:r>
          </w:p>
        </w:tc>
      </w:tr>
      <w:tr w:rsidR="007D5052">
        <w:trPr>
          <w:trHeight w:val="233"/>
        </w:trPr>
        <w:tc>
          <w:tcPr>
            <w:tcW w:w="634"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l</w:t>
            </w:r>
          </w:p>
        </w:tc>
        <w:tc>
          <w:tcPr>
            <w:tcW w:w="299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Equity</w:t>
            </w:r>
          </w:p>
        </w:tc>
        <w:tc>
          <w:tcPr>
            <w:tcW w:w="1088"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39"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0.0145:1</w:t>
            </w:r>
          </w:p>
        </w:tc>
        <w:tc>
          <w:tcPr>
            <w:tcW w:w="95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0.0518:1</w:t>
            </w:r>
          </w:p>
        </w:tc>
        <w:tc>
          <w:tcPr>
            <w:tcW w:w="10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0.0069:1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(0.0539):1</w:t>
            </w:r>
          </w:p>
        </w:tc>
        <w:tc>
          <w:tcPr>
            <w:tcW w:w="108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(0.1627):1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0.9430:1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1.4005:1</w:t>
            </w:r>
          </w:p>
        </w:tc>
        <w:tc>
          <w:tcPr>
            <w:tcW w:w="10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(2.0244):1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(3.2480):1</w:t>
            </w:r>
          </w:p>
        </w:tc>
      </w:tr>
    </w:tbl>
    <w:p w:rsidR="007D5052" w:rsidRDefault="007D5052">
      <w:pPr>
        <w:jc w:val="center"/>
        <w:rPr>
          <w:rFonts w:ascii="Times New Roman" w:eastAsia="Times New Roman" w:hAnsi="Times New Roman" w:cs="Times New Roman"/>
          <w:sz w:val="20"/>
          <w:szCs w:val="20"/>
        </w:rPr>
      </w:pPr>
    </w:p>
    <w:p w:rsidR="007D5052" w:rsidRDefault="00A5783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Britannia Engineering Ltd. (BEL)</w:t>
      </w:r>
    </w:p>
    <w:p w:rsidR="007D5052" w:rsidRDefault="00A57830">
      <w:pPr>
        <w:pBdr>
          <w:top w:val="nil"/>
          <w:left w:val="nil"/>
          <w:bottom w:val="nil"/>
          <w:right w:val="nil"/>
          <w:between w:val="nil"/>
        </w:pBdr>
        <w:spacing w:after="0"/>
        <w:ind w:left="720"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Financial highlights of the company are given in detail in table II</w:t>
      </w:r>
    </w:p>
    <w:p w:rsidR="007D5052" w:rsidRDefault="00A5783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Efficiency:</w:t>
      </w:r>
    </w:p>
    <w:p w:rsidR="007D5052" w:rsidRDefault="00A57830">
      <w:pPr>
        <w:pBdr>
          <w:top w:val="nil"/>
          <w:left w:val="nil"/>
          <w:bottom w:val="nil"/>
          <w:right w:val="nil"/>
          <w:between w:val="nil"/>
        </w:pBdr>
        <w:spacing w:after="0"/>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Efficiency evaluated on the basis of the followings:</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Growth in sales</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II reveals that total sales of this enterprise increased from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10.2592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2012-13 to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14.8899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2019-20 which was </w:t>
      </w:r>
      <w:proofErr w:type="spellStart"/>
      <w:r>
        <w:rPr>
          <w:rFonts w:ascii="Times New Roman" w:eastAsia="Times New Roman" w:hAnsi="Times New Roman" w:cs="Times New Roman"/>
          <w:sz w:val="20"/>
          <w:szCs w:val="20"/>
        </w:rPr>
        <w:t>nearabout</w:t>
      </w:r>
      <w:proofErr w:type="spellEnd"/>
      <w:r>
        <w:rPr>
          <w:rFonts w:ascii="Times New Roman" w:eastAsia="Times New Roman" w:hAnsi="Times New Roman" w:cs="Times New Roman"/>
          <w:sz w:val="20"/>
          <w:szCs w:val="20"/>
        </w:rPr>
        <w:t xml:space="preserve"> 45% increase in sale.</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Gross Value Added Per Rupee Of Wages</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Total gross value added steadily increased from</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0.5764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2011-12 to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7.0344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2016-17. After that it shows a decreasing trend. Gross value added per rupee wages paid was more or less same throughout the study period except in the year 2018-19 and 2019-20.</w:t>
      </w:r>
    </w:p>
    <w:p w:rsidR="007D5052" w:rsidRDefault="00A5783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Utilization of Resources:</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Internal Resource Generation</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table II it is seen that internal resource generation maintains same level throughout the entire study period except in the year 2010-11, 2011-12 and 2019-20 which recorded negative value due to negative PBDIT.</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Contributi</w:t>
      </w:r>
      <w:r>
        <w:rPr>
          <w:rFonts w:ascii="Times New Roman" w:eastAsia="Times New Roman" w:hAnsi="Times New Roman" w:cs="Times New Roman"/>
          <w:color w:val="000000"/>
          <w:sz w:val="20"/>
          <w:szCs w:val="20"/>
          <w:u w:val="single"/>
        </w:rPr>
        <w:t>on to Exchequer</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seen from table II that the enterprise under study made remarkable contribution to the exchequer from 2012-13 to 2014-15. After that its shows downswing due to lower amount of interest on loan paid to State Govt.</w:t>
      </w:r>
    </w:p>
    <w:p w:rsidR="007D5052" w:rsidRDefault="00A5783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Liquidity Analysis:</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Current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evidenced in table 11 the current ratio had always an increasing trend and was above the 2:1 level signifying that the enterprise is solvent to pay short-term credit.</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Acid Test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 1:1 quick ratio is considered ideal. Table II reveal</w:t>
      </w:r>
      <w:r>
        <w:rPr>
          <w:rFonts w:ascii="Times New Roman" w:eastAsia="Times New Roman" w:hAnsi="Times New Roman" w:cs="Times New Roman"/>
          <w:sz w:val="20"/>
          <w:szCs w:val="20"/>
        </w:rPr>
        <w:t>s an upward trend in quick ratio which indicate that the enterprise has enough current assets to meet their obligations of maturing current liabilities.</w:t>
      </w:r>
    </w:p>
    <w:p w:rsidR="007D5052" w:rsidRDefault="00A5783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Leverage:</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Debt Equity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debt equity ratio should be 1:1 as per the government policy. Table II however shows that this ratio was not satisfactory throughout the study period as either it was negative or higher than the ideal ratio. It was negative due to heavy accumulated los</w:t>
      </w:r>
      <w:r>
        <w:rPr>
          <w:rFonts w:ascii="Times New Roman" w:eastAsia="Times New Roman" w:hAnsi="Times New Roman" w:cs="Times New Roman"/>
          <w:sz w:val="20"/>
          <w:szCs w:val="20"/>
        </w:rPr>
        <w:t xml:space="preserve">s. Again it has been worsened in the year 2018-19 as in that year value of equity share decreased from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2000/share to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165/share.</w:t>
      </w:r>
    </w:p>
    <w:p w:rsidR="007D5052" w:rsidRDefault="00A5783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Utilization Of Assets:</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Net Assets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II reveals a fluctuating trend in net assets turnover ratio. The</w:t>
      </w:r>
      <w:r>
        <w:rPr>
          <w:rFonts w:ascii="Times New Roman" w:eastAsia="Times New Roman" w:hAnsi="Times New Roman" w:cs="Times New Roman"/>
          <w:sz w:val="20"/>
          <w:szCs w:val="20"/>
        </w:rPr>
        <w:t xml:space="preserve"> highest ratio was 1.5928 in 2013-14 and the lowest was 0.2268 in 2011-12 which showed </w:t>
      </w:r>
      <w:proofErr w:type="spellStart"/>
      <w:r>
        <w:rPr>
          <w:rFonts w:ascii="Times New Roman" w:eastAsia="Times New Roman" w:hAnsi="Times New Roman" w:cs="Times New Roman"/>
          <w:sz w:val="20"/>
          <w:szCs w:val="20"/>
        </w:rPr>
        <w:t>under utilization</w:t>
      </w:r>
      <w:proofErr w:type="spellEnd"/>
      <w:r>
        <w:rPr>
          <w:rFonts w:ascii="Times New Roman" w:eastAsia="Times New Roman" w:hAnsi="Times New Roman" w:cs="Times New Roman"/>
          <w:sz w:val="20"/>
          <w:szCs w:val="20"/>
        </w:rPr>
        <w:t xml:space="preserve"> of capital employed.</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Fixed Assets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utilization of fixed assets to produce sale is measured by this ratio. As evidenced from the tabl</w:t>
      </w:r>
      <w:r>
        <w:rPr>
          <w:rFonts w:ascii="Times New Roman" w:eastAsia="Times New Roman" w:hAnsi="Times New Roman" w:cs="Times New Roman"/>
          <w:sz w:val="20"/>
          <w:szCs w:val="20"/>
        </w:rPr>
        <w:t>e II this ratio has an increasing trend. In the year 2012-13 it was 2.7081 and it increased to 5.5746 in the year 2019-20.</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Working Capital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ratio shows how efficiently working capital is used to produce sale. Table II reveals more or le</w:t>
      </w:r>
      <w:r>
        <w:rPr>
          <w:rFonts w:ascii="Times New Roman" w:eastAsia="Times New Roman" w:hAnsi="Times New Roman" w:cs="Times New Roman"/>
          <w:sz w:val="20"/>
          <w:szCs w:val="20"/>
        </w:rPr>
        <w:t>ss same trend but it is always very low. Highest ratio was just 2.5013 in 2013-14 and lowest ratio was 0.3929 in 2011-12.</w:t>
      </w:r>
    </w:p>
    <w:p w:rsidR="007D5052" w:rsidRDefault="00A57830">
      <w:pPr>
        <w:numPr>
          <w:ilvl w:val="0"/>
          <w:numId w:val="7"/>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Profitability Ratio:</w:t>
      </w:r>
    </w:p>
    <w:p w:rsidR="007D5052" w:rsidRDefault="00A57830">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Operating Profit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II shows a fluctuating trend in the operating profit margin ratio throughout the study period. Hence it can be concluded that profitability of the company measured by operating profit margin ratio was not at all stable.</w:t>
      </w:r>
    </w:p>
    <w:p w:rsidR="007D5052" w:rsidRDefault="00A57830">
      <w:pPr>
        <w:numPr>
          <w:ilvl w:val="0"/>
          <w:numId w:val="1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Interest Coverage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From </w:t>
      </w:r>
      <w:r>
        <w:rPr>
          <w:rFonts w:ascii="Times New Roman" w:eastAsia="Times New Roman" w:hAnsi="Times New Roman" w:cs="Times New Roman"/>
          <w:sz w:val="20"/>
          <w:szCs w:val="20"/>
        </w:rPr>
        <w:t xml:space="preserve">the table II It seen that interest coverage ratio has an increasing trend, but after 2018-19 it recorded a negative ratio due to negative PBIT.  </w:t>
      </w:r>
    </w:p>
    <w:p w:rsidR="007D5052" w:rsidRDefault="00A57830">
      <w:pPr>
        <w:numPr>
          <w:ilvl w:val="0"/>
          <w:numId w:val="1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Return on Investment</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II shows that there is a stable trend in Return on Investment from the year 2012-13 to2017-2018, but it is very low. Again it has been worsened in the year 2018-19, 2019-20 hence ratio was negative.</w:t>
      </w:r>
    </w:p>
    <w:p w:rsidR="007D5052" w:rsidRDefault="00A57830">
      <w:pPr>
        <w:numPr>
          <w:ilvl w:val="0"/>
          <w:numId w:val="1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Return on Equity</w:t>
      </w:r>
      <w:r>
        <w:rPr>
          <w:rFonts w:ascii="Times New Roman" w:eastAsia="Times New Roman" w:hAnsi="Times New Roman" w:cs="Times New Roman"/>
          <w:color w:val="000000"/>
          <w:sz w:val="20"/>
          <w:szCs w:val="20"/>
        </w:rPr>
        <w:t>:</w:t>
      </w:r>
    </w:p>
    <w:p w:rsidR="007D5052" w:rsidRDefault="00A57830">
      <w:pPr>
        <w:spacing w:after="0"/>
        <w:ind w:left="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This company incurred losses from 2010-11 to 2014-15 and 2017-18 to 2019-20. So this ratio was not good.</w:t>
      </w:r>
    </w:p>
    <w:p w:rsidR="007D5052" w:rsidRDefault="007D5052">
      <w:pPr>
        <w:spacing w:after="0" w:line="240" w:lineRule="auto"/>
        <w:jc w:val="center"/>
        <w:rPr>
          <w:rFonts w:ascii="Times New Roman" w:eastAsia="Times New Roman" w:hAnsi="Times New Roman" w:cs="Times New Roman"/>
          <w:b/>
          <w:sz w:val="20"/>
          <w:szCs w:val="20"/>
        </w:rPr>
      </w:pPr>
    </w:p>
    <w:p w:rsidR="007D5052" w:rsidRDefault="00A5783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 II</w:t>
      </w:r>
    </w:p>
    <w:p w:rsidR="007D5052" w:rsidRDefault="00A57830">
      <w:pPr>
        <w:spacing w:after="0"/>
        <w:jc w:val="right"/>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FINANCIAL HIGHLIGHTS OF BEL</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                   </w:t>
      </w:r>
      <w:proofErr w:type="spellStart"/>
      <w:r>
        <w:rPr>
          <w:rFonts w:ascii="Times New Roman" w:eastAsia="Times New Roman" w:hAnsi="Times New Roman" w:cs="Times New Roman"/>
          <w:b/>
          <w:sz w:val="20"/>
          <w:szCs w:val="20"/>
        </w:rPr>
        <w:t>Rs</w:t>
      </w:r>
      <w:proofErr w:type="spellEnd"/>
      <w:r>
        <w:rPr>
          <w:rFonts w:ascii="Times New Roman" w:eastAsia="Times New Roman" w:hAnsi="Times New Roman" w:cs="Times New Roman"/>
          <w:b/>
          <w:sz w:val="20"/>
          <w:szCs w:val="20"/>
        </w:rPr>
        <w:t xml:space="preserve">. In </w:t>
      </w:r>
      <w:proofErr w:type="spellStart"/>
      <w:r>
        <w:rPr>
          <w:rFonts w:ascii="Times New Roman" w:eastAsia="Times New Roman" w:hAnsi="Times New Roman" w:cs="Times New Roman"/>
          <w:b/>
          <w:sz w:val="20"/>
          <w:szCs w:val="20"/>
        </w:rPr>
        <w:t>Crore</w:t>
      </w:r>
      <w:proofErr w:type="spellEnd"/>
      <w:r>
        <w:rPr>
          <w:rFonts w:ascii="Times New Roman" w:eastAsia="Times New Roman" w:hAnsi="Times New Roman" w:cs="Times New Roman"/>
          <w:b/>
          <w:sz w:val="20"/>
          <w:szCs w:val="20"/>
          <w:u w:val="single"/>
        </w:rPr>
        <w:t xml:space="preserve">                                      </w:t>
      </w:r>
    </w:p>
    <w:tbl>
      <w:tblPr>
        <w:tblStyle w:val="a0"/>
        <w:tblW w:w="14593"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30"/>
        <w:gridCol w:w="3429"/>
        <w:gridCol w:w="1036"/>
        <w:gridCol w:w="1080"/>
        <w:gridCol w:w="1080"/>
        <w:gridCol w:w="1080"/>
        <w:gridCol w:w="1080"/>
        <w:gridCol w:w="990"/>
        <w:gridCol w:w="990"/>
        <w:gridCol w:w="1080"/>
        <w:gridCol w:w="1080"/>
        <w:gridCol w:w="1038"/>
      </w:tblGrid>
      <w:tr w:rsidR="007D5052">
        <w:tc>
          <w:tcPr>
            <w:tcW w:w="63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Sl. No.</w:t>
            </w:r>
          </w:p>
        </w:tc>
        <w:tc>
          <w:tcPr>
            <w:tcW w:w="3429" w:type="dxa"/>
          </w:tcPr>
          <w:p w:rsidR="007D5052" w:rsidRDefault="007D5052">
            <w:pPr>
              <w:rPr>
                <w:rFonts w:ascii="Times New Roman" w:eastAsia="Times New Roman" w:hAnsi="Times New Roman" w:cs="Times New Roman"/>
                <w:sz w:val="20"/>
                <w:szCs w:val="20"/>
              </w:rPr>
            </w:pPr>
          </w:p>
          <w:p w:rsidR="007D5052" w:rsidRDefault="007D5052">
            <w:pPr>
              <w:rPr>
                <w:rFonts w:ascii="Times New Roman" w:eastAsia="Times New Roman" w:hAnsi="Times New Roman" w:cs="Times New Roman"/>
                <w:sz w:val="20"/>
                <w:szCs w:val="20"/>
              </w:rPr>
            </w:pPr>
          </w:p>
        </w:tc>
        <w:tc>
          <w:tcPr>
            <w:tcW w:w="1036"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2010-11</w:t>
            </w:r>
          </w:p>
        </w:tc>
        <w:tc>
          <w:tcPr>
            <w:tcW w:w="108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2011-12</w:t>
            </w:r>
          </w:p>
        </w:tc>
        <w:tc>
          <w:tcPr>
            <w:tcW w:w="108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2012-13</w:t>
            </w:r>
          </w:p>
        </w:tc>
        <w:tc>
          <w:tcPr>
            <w:tcW w:w="108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2013-</w:t>
            </w:r>
            <w:r>
              <w:rPr>
                <w:rFonts w:ascii="Times New Roman" w:eastAsia="Times New Roman" w:hAnsi="Times New Roman" w:cs="Times New Roman"/>
                <w:b/>
                <w:sz w:val="20"/>
                <w:szCs w:val="20"/>
              </w:rPr>
              <w:t>14</w:t>
            </w:r>
          </w:p>
        </w:tc>
        <w:tc>
          <w:tcPr>
            <w:tcW w:w="108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2014-15</w:t>
            </w:r>
          </w:p>
        </w:tc>
        <w:tc>
          <w:tcPr>
            <w:tcW w:w="99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2015-16</w:t>
            </w:r>
          </w:p>
        </w:tc>
        <w:tc>
          <w:tcPr>
            <w:tcW w:w="99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2016-17</w:t>
            </w:r>
          </w:p>
        </w:tc>
        <w:tc>
          <w:tcPr>
            <w:tcW w:w="108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2017-18</w:t>
            </w:r>
          </w:p>
        </w:tc>
        <w:tc>
          <w:tcPr>
            <w:tcW w:w="108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2018-19</w:t>
            </w:r>
          </w:p>
        </w:tc>
        <w:tc>
          <w:tcPr>
            <w:tcW w:w="1038"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2019-20</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Growth in Sales</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3.7167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2.4487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10.2592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15.8098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17.2607</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18.3436</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16.4885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9.8018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11.2955</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14.8899</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Wages and Salaries Paid out</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3.9165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3.0420</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2.5777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2.6719</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2.9496</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3.0324</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4.3503</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4.7188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4.2116</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4.0132</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Gross Value Added</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-1.0960</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0.5764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4.0973</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4.0387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5.1197</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5.4689</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7.0344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4.5812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0.4971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0.0628</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Capital Employed</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11.7017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11.2221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12.9829</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9.9260</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13.2188</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15.2754</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17.2359</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19.4450</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17.4854</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13.2185</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Borrowing</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99.8238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106.8919</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112.4852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111.8957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113.5819</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8.6668</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9.0708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13.1136</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16.8162</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18.2724</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Worth</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-84.5868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-92.2704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-99.5022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-101.9696</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-100.3630</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6.6087</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8.1651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6.3314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0.7204</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-5.0066</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Sales and Other Income</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4.4148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3.9854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11.2073</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17.3299</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20.5824</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22.9454</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22.1701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11.9656</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11.9635</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16.0456</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5.5023</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4.7455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4.1384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3.6055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3.1076</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3.2098</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3.4324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3.9375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3.2629</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2.8783</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Net  Working Capital</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6.1994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6.4766</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8.8444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6.3205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10.1112</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12.0656</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13.8035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15.5075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14.2226</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10.3402</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429" w:type="dxa"/>
            <w:tcBorders>
              <w:bottom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PBIT</w:t>
            </w:r>
          </w:p>
        </w:tc>
        <w:tc>
          <w:tcPr>
            <w:tcW w:w="1036" w:type="dxa"/>
            <w:tcBorders>
              <w:left w:val="single" w:sz="4" w:space="0" w:color="000000"/>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-5.6706</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-3.0278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1.0348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0.9513</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1.8025</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2.0832</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2.3237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-0.5152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-4.1206</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-4.3502</w:t>
            </w:r>
          </w:p>
        </w:tc>
      </w:tr>
      <w:tr w:rsidR="007D5052">
        <w:trPr>
          <w:trHeight w:val="70"/>
        </w:trPr>
        <w:tc>
          <w:tcPr>
            <w:tcW w:w="630" w:type="dxa"/>
            <w:tcBorders>
              <w:left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429" w:type="dxa"/>
            <w:tcBorders>
              <w:top w:val="single" w:sz="4" w:space="0" w:color="000000"/>
              <w:left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PBDIT</w:t>
            </w:r>
          </w:p>
        </w:tc>
        <w:tc>
          <w:tcPr>
            <w:tcW w:w="1036"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-5.0125</w:t>
            </w:r>
          </w:p>
        </w:tc>
        <w:tc>
          <w:tcPr>
            <w:tcW w:w="108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-2.4656</w:t>
            </w:r>
          </w:p>
        </w:tc>
        <w:tc>
          <w:tcPr>
            <w:tcW w:w="108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1.5196</w:t>
            </w:r>
          </w:p>
        </w:tc>
        <w:tc>
          <w:tcPr>
            <w:tcW w:w="108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1.3668</w:t>
            </w:r>
          </w:p>
        </w:tc>
        <w:tc>
          <w:tcPr>
            <w:tcW w:w="108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2.1701</w:t>
            </w:r>
          </w:p>
        </w:tc>
        <w:tc>
          <w:tcPr>
            <w:tcW w:w="99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2.4365</w:t>
            </w:r>
          </w:p>
        </w:tc>
        <w:tc>
          <w:tcPr>
            <w:tcW w:w="99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2.6841</w:t>
            </w:r>
          </w:p>
        </w:tc>
        <w:tc>
          <w:tcPr>
            <w:tcW w:w="108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-0.1377</w:t>
            </w:r>
          </w:p>
        </w:tc>
        <w:tc>
          <w:tcPr>
            <w:tcW w:w="108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-3.7145</w:t>
            </w:r>
          </w:p>
        </w:tc>
        <w:tc>
          <w:tcPr>
            <w:tcW w:w="103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-3.9504</w:t>
            </w:r>
          </w:p>
        </w:tc>
      </w:tr>
      <w:tr w:rsidR="007D5052">
        <w:tc>
          <w:tcPr>
            <w:tcW w:w="630" w:type="dxa"/>
            <w:tcBorders>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429" w:type="dxa"/>
            <w:tcBorders>
              <w:lef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Interest</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7.4435</w:t>
            </w:r>
          </w:p>
        </w:tc>
        <w:tc>
          <w:tcPr>
            <w:tcW w:w="108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7.7024</w:t>
            </w:r>
          </w:p>
        </w:tc>
        <w:tc>
          <w:tcPr>
            <w:tcW w:w="108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7.9193</w:t>
            </w:r>
          </w:p>
        </w:tc>
        <w:tc>
          <w:tcPr>
            <w:tcW w:w="1080"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7.6598</w:t>
            </w:r>
          </w:p>
        </w:tc>
        <w:tc>
          <w:tcPr>
            <w:tcW w:w="108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7.2064</w:t>
            </w:r>
          </w:p>
        </w:tc>
        <w:tc>
          <w:tcPr>
            <w:tcW w:w="99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0.2455</w:t>
            </w:r>
          </w:p>
        </w:tc>
        <w:tc>
          <w:tcPr>
            <w:tcW w:w="990"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0.2576</w:t>
            </w:r>
          </w:p>
        </w:tc>
        <w:tc>
          <w:tcPr>
            <w:tcW w:w="1080"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0.5469</w:t>
            </w:r>
          </w:p>
        </w:tc>
        <w:tc>
          <w:tcPr>
            <w:tcW w:w="108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0.8980</w:t>
            </w:r>
          </w:p>
        </w:tc>
        <w:tc>
          <w:tcPr>
            <w:tcW w:w="1038"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1.3222</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PBT</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-13.1141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-10.7302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-6.8844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-6.7085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-5.4039</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1.8377</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2.0661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-1.0621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-5.0186</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-5.6724</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PAT</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-13.1588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-10.9370</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-7.3757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-6.8638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-4.3416</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1.8201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2.0833</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-0.9382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-5.0186</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-5.6724</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Assets</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16.9378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15.0915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17.2845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15.2342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19.0406</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21.0723</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21.8659</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23.2812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21.1543</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21.2111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Assets</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11.4355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10.3461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13.1461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11.6288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15.9330</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17.8624</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18.4335</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19.3437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17.8914</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18.3328</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Liabilities</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5.2361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3.8694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4.3017</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5.3082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5.8218</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5.7969</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4.6300</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3.8361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3.6688</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7.9926</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Cash Loss</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-12.4560</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-10.1680</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-6.3996</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-6.2930</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-5.0363</w:t>
            </w:r>
          </w:p>
        </w:tc>
        <w:tc>
          <w:tcPr>
            <w:tcW w:w="990"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-0.6846</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-4.6125</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-5.2726</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 to Exchequer</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7.3892</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7.5168</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7.9783</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8.3744</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8.1024</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0.8283</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0.8696</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0.6561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0.8400</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1.0574</w:t>
            </w:r>
          </w:p>
        </w:tc>
      </w:tr>
      <w:tr w:rsidR="007D5052">
        <w:tc>
          <w:tcPr>
            <w:tcW w:w="14593" w:type="dxa"/>
            <w:gridSpan w:val="12"/>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RATIOS</w:t>
            </w:r>
          </w:p>
        </w:tc>
      </w:tr>
      <w:tr w:rsidR="007D5052">
        <w:trPr>
          <w:trHeight w:val="225"/>
        </w:trPr>
        <w:tc>
          <w:tcPr>
            <w:tcW w:w="630" w:type="dxa"/>
            <w:tcBorders>
              <w:bottom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 a</w:t>
            </w:r>
          </w:p>
        </w:tc>
        <w:tc>
          <w:tcPr>
            <w:tcW w:w="3429" w:type="dxa"/>
            <w:tcBorders>
              <w:bottom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Gross Value Added Per Rupee Wages Paid</w:t>
            </w:r>
          </w:p>
        </w:tc>
        <w:tc>
          <w:tcPr>
            <w:tcW w:w="1036"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(0.2798):1</w:t>
            </w:r>
          </w:p>
        </w:tc>
        <w:tc>
          <w:tcPr>
            <w:tcW w:w="1080"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0.1895:1</w:t>
            </w:r>
          </w:p>
        </w:tc>
        <w:tc>
          <w:tcPr>
            <w:tcW w:w="1080"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1.2890:1</w:t>
            </w:r>
          </w:p>
        </w:tc>
        <w:tc>
          <w:tcPr>
            <w:tcW w:w="1080"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1.4534:1</w:t>
            </w:r>
          </w:p>
        </w:tc>
        <w:tc>
          <w:tcPr>
            <w:tcW w:w="1080"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2.0861:1</w:t>
            </w:r>
          </w:p>
        </w:tc>
        <w:tc>
          <w:tcPr>
            <w:tcW w:w="990"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1.8035:1</w:t>
            </w:r>
          </w:p>
        </w:tc>
        <w:tc>
          <w:tcPr>
            <w:tcW w:w="990"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1.4637:1</w:t>
            </w:r>
          </w:p>
        </w:tc>
        <w:tc>
          <w:tcPr>
            <w:tcW w:w="1080"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1.1667:1</w:t>
            </w:r>
          </w:p>
        </w:tc>
        <w:tc>
          <w:tcPr>
            <w:tcW w:w="1080"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0.1180:1</w:t>
            </w:r>
          </w:p>
        </w:tc>
        <w:tc>
          <w:tcPr>
            <w:tcW w:w="1038"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0.0157:1</w:t>
            </w:r>
          </w:p>
        </w:tc>
      </w:tr>
      <w:tr w:rsidR="007D5052">
        <w:trPr>
          <w:trHeight w:val="210"/>
        </w:trPr>
        <w:tc>
          <w:tcPr>
            <w:tcW w:w="630" w:type="dxa"/>
            <w:tcBorders>
              <w:top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2. b</w:t>
            </w:r>
          </w:p>
        </w:tc>
        <w:tc>
          <w:tcPr>
            <w:tcW w:w="3429" w:type="dxa"/>
            <w:tcBorders>
              <w:top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Internal Resource Generation</w:t>
            </w:r>
          </w:p>
        </w:tc>
        <w:tc>
          <w:tcPr>
            <w:tcW w:w="1036"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(0.3721):1</w:t>
            </w:r>
          </w:p>
        </w:tc>
        <w:tc>
          <w:tcPr>
            <w:tcW w:w="1080"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(0.1696):1</w:t>
            </w:r>
          </w:p>
        </w:tc>
        <w:tc>
          <w:tcPr>
            <w:tcW w:w="1080"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0.0724:1</w:t>
            </w:r>
          </w:p>
        </w:tc>
        <w:tc>
          <w:tcPr>
            <w:tcW w:w="1080"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0.1639:1</w:t>
            </w:r>
          </w:p>
        </w:tc>
        <w:tc>
          <w:tcPr>
            <w:tcW w:w="1080"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0.2745:1</w:t>
            </w:r>
          </w:p>
        </w:tc>
        <w:tc>
          <w:tcPr>
            <w:tcW w:w="990"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0.1826:1</w:t>
            </w:r>
          </w:p>
        </w:tc>
        <w:tc>
          <w:tcPr>
            <w:tcW w:w="990"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0.1379:1</w:t>
            </w:r>
          </w:p>
        </w:tc>
        <w:tc>
          <w:tcPr>
            <w:tcW w:w="1080"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0.0599:1</w:t>
            </w:r>
          </w:p>
        </w:tc>
        <w:tc>
          <w:tcPr>
            <w:tcW w:w="1080"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(0.1892):1</w:t>
            </w:r>
          </w:p>
        </w:tc>
        <w:tc>
          <w:tcPr>
            <w:tcW w:w="1038" w:type="dxa"/>
            <w:tcBorders>
              <w:top w:val="single" w:sz="4" w:space="0" w:color="000000"/>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(0.2686):1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3. c</w:t>
            </w:r>
          </w:p>
        </w:tc>
        <w:tc>
          <w:tcPr>
            <w:tcW w:w="3429" w:type="dxa"/>
            <w:tcBorders>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Current Ratio</w:t>
            </w:r>
          </w:p>
        </w:tc>
        <w:tc>
          <w:tcPr>
            <w:tcW w:w="1036"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2.1840:1</w:t>
            </w:r>
          </w:p>
        </w:tc>
        <w:tc>
          <w:tcPr>
            <w:tcW w:w="108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2.6738:1</w:t>
            </w:r>
          </w:p>
        </w:tc>
        <w:tc>
          <w:tcPr>
            <w:tcW w:w="108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3.0561:1</w:t>
            </w:r>
          </w:p>
        </w:tc>
        <w:tc>
          <w:tcPr>
            <w:tcW w:w="108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2.1907:1</w:t>
            </w:r>
          </w:p>
        </w:tc>
        <w:tc>
          <w:tcPr>
            <w:tcW w:w="108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2.7368:1</w:t>
            </w:r>
          </w:p>
        </w:tc>
        <w:tc>
          <w:tcPr>
            <w:tcW w:w="99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3.0814:1</w:t>
            </w:r>
          </w:p>
        </w:tc>
        <w:tc>
          <w:tcPr>
            <w:tcW w:w="99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3.9803:1</w:t>
            </w:r>
          </w:p>
        </w:tc>
        <w:tc>
          <w:tcPr>
            <w:tcW w:w="108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5.0425:1</w:t>
            </w:r>
          </w:p>
        </w:tc>
        <w:tc>
          <w:tcPr>
            <w:tcW w:w="108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4.8766:1</w:t>
            </w:r>
          </w:p>
        </w:tc>
        <w:tc>
          <w:tcPr>
            <w:tcW w:w="1038"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2.2937:1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4. d</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Acid Test Ratio</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1.7789:1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2.1313:1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2.0727:1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1.2662:1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1.8140:1</w:t>
            </w:r>
          </w:p>
        </w:tc>
        <w:tc>
          <w:tcPr>
            <w:tcW w:w="990"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2.1558:1</w:t>
            </w:r>
          </w:p>
        </w:tc>
        <w:tc>
          <w:tcPr>
            <w:tcW w:w="990"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2.6142:1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3.0776:1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3.6748:1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1.7813:1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5. e</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Debt Equity Ratio</w:t>
            </w:r>
          </w:p>
        </w:tc>
        <w:tc>
          <w:tcPr>
            <w:tcW w:w="1036"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(1.1801):1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0.1153:1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(1.1305):1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(1.0973):1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(1.1317):1</w:t>
            </w:r>
          </w:p>
        </w:tc>
        <w:tc>
          <w:tcPr>
            <w:tcW w:w="99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1.3114:1</w:t>
            </w:r>
          </w:p>
        </w:tc>
        <w:tc>
          <w:tcPr>
            <w:tcW w:w="99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1.1109:1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2.0712:1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23.3445:1</w:t>
            </w:r>
          </w:p>
        </w:tc>
        <w:tc>
          <w:tcPr>
            <w:tcW w:w="1038"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(3.6496):1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6. f</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Assets Turn Over Ratio</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0.3176:1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0.2268:1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0.7902:1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1.5928:1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1.3058:1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1.2009:1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0.9566:1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0.5041:1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0.6622:1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1.1264:1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7. g</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 Ratio</w:t>
            </w:r>
          </w:p>
        </w:tc>
        <w:tc>
          <w:tcPr>
            <w:tcW w:w="1036"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0.8024:1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0.8601:1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2.7081:1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4.8065:1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6.9820:1</w:t>
            </w:r>
          </w:p>
        </w:tc>
        <w:tc>
          <w:tcPr>
            <w:tcW w:w="99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7.1484:1</w:t>
            </w:r>
          </w:p>
        </w:tc>
        <w:tc>
          <w:tcPr>
            <w:tcW w:w="99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6.0847:1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3.0389:1</w:t>
            </w:r>
          </w:p>
        </w:tc>
        <w:tc>
          <w:tcPr>
            <w:tcW w:w="1080"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3.7533:1</w:t>
            </w:r>
          </w:p>
        </w:tc>
        <w:tc>
          <w:tcPr>
            <w:tcW w:w="1038"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5.5746:1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8. h</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Working Capital Turnover Ratio</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0.5995:1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0.3929:1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1.1600:1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2.5013:1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1.7071:1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1.5203:1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1.1945:1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0.6321:1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0.8141:1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1.4400:1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proofErr w:type="spellStart"/>
            <w:r>
              <w:rPr>
                <w:rFonts w:ascii="Times New Roman" w:eastAsia="Times New Roman" w:hAnsi="Times New Roman" w:cs="Times New Roman"/>
                <w:sz w:val="20"/>
                <w:szCs w:val="20"/>
              </w:rPr>
              <w:t>i</w:t>
            </w:r>
            <w:proofErr w:type="spellEnd"/>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Operating Profit Ratio</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(1.5257):1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(1.1898):1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0.0536:1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0.0503:1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0.1676:1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0.1136:1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0.1005:1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0.0418:1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(0.3559):1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(0.2922):1</w:t>
            </w:r>
          </w:p>
        </w:tc>
      </w:tr>
      <w:tr w:rsidR="007D5052">
        <w:trPr>
          <w:trHeight w:val="188"/>
        </w:trPr>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 j</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Coverage Ratio</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(0.7618):1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(0.3931):1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0.0695:1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0.1039:1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0.4028:1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8.4852:1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6.4307:1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0.7484:1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(4.5889):1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(3.2901):1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11. k</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Investment</w:t>
            </w:r>
          </w:p>
        </w:tc>
        <w:tc>
          <w:tcPr>
            <w:tcW w:w="103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(0.3348):1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(0.2006):1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0.0318:1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0.0523:1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0.1520:1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0.0989:1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0.0758:1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0.0176:1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(0.1948):1</w:t>
            </w:r>
          </w:p>
        </w:tc>
        <w:tc>
          <w:tcPr>
            <w:tcW w:w="103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(0.2051):1</w:t>
            </w:r>
          </w:p>
        </w:tc>
      </w:tr>
      <w:tr w:rsidR="007D5052">
        <w:tc>
          <w:tcPr>
            <w:tcW w:w="63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12. l</w:t>
            </w:r>
          </w:p>
        </w:tc>
        <w:tc>
          <w:tcPr>
            <w:tcW w:w="3429"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Equity</w:t>
            </w:r>
          </w:p>
        </w:tc>
        <w:tc>
          <w:tcPr>
            <w:tcW w:w="1036"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80"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0.2754:1</w:t>
            </w:r>
          </w:p>
        </w:tc>
        <w:tc>
          <w:tcPr>
            <w:tcW w:w="99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0.2551:1</w:t>
            </w:r>
          </w:p>
        </w:tc>
        <w:tc>
          <w:tcPr>
            <w:tcW w:w="1080"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(0.1482):1</w:t>
            </w:r>
          </w:p>
        </w:tc>
        <w:tc>
          <w:tcPr>
            <w:tcW w:w="1080"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038"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7D5052" w:rsidRDefault="007D5052">
      <w:pPr>
        <w:jc w:val="both"/>
        <w:rPr>
          <w:rFonts w:ascii="Times New Roman" w:eastAsia="Times New Roman" w:hAnsi="Times New Roman" w:cs="Times New Roman"/>
          <w:sz w:val="20"/>
          <w:szCs w:val="20"/>
        </w:rPr>
      </w:pPr>
    </w:p>
    <w:p w:rsidR="007D5052" w:rsidRDefault="00A57830">
      <w:pPr>
        <w:jc w:val="both"/>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Westinghouse Saxby Farmer Limited (WSFL)</w:t>
      </w:r>
    </w:p>
    <w:p w:rsidR="007D5052" w:rsidRDefault="00A57830">
      <w:pPr>
        <w:ind w:left="360"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highlight of the company has been given in detail in table III.</w:t>
      </w:r>
    </w:p>
    <w:p w:rsidR="007D5052" w:rsidRDefault="00A5783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Efficiency: </w:t>
      </w:r>
    </w:p>
    <w:p w:rsidR="007D5052" w:rsidRDefault="00A57830">
      <w:pPr>
        <w:pBdr>
          <w:top w:val="nil"/>
          <w:left w:val="nil"/>
          <w:bottom w:val="nil"/>
          <w:right w:val="nil"/>
          <w:between w:val="nil"/>
        </w:pBdr>
        <w:spacing w:after="0"/>
        <w:ind w:left="108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Efficiency in operation is evaluated on the following basis:</w:t>
      </w:r>
    </w:p>
    <w:p w:rsidR="007D5052" w:rsidRDefault="00A57830">
      <w:pPr>
        <w:numPr>
          <w:ilvl w:val="0"/>
          <w:numId w:val="4"/>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Growth in Sales</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During the study period growth in sales recorded an increasing trend up to the year 2014-15 after that it gradually decreased. Highest sale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84.1941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the year 2014-15 and the lowest sale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48.9473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2019-20. </w:t>
      </w:r>
    </w:p>
    <w:p w:rsidR="007D5052" w:rsidRDefault="00A57830">
      <w:pPr>
        <w:numPr>
          <w:ilvl w:val="0"/>
          <w:numId w:val="4"/>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Gross value added per Rupee Wages</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III shows that gross value added recorded a fluctuating trend throughout the study period. Similarly, gross value added per rupee wages paid showed a fluctuating trend and also in some years it recorded negative value.</w:t>
      </w:r>
    </w:p>
    <w:p w:rsidR="007D5052" w:rsidRDefault="00A5783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Utilization of Resources:</w:t>
      </w:r>
    </w:p>
    <w:p w:rsidR="007D5052" w:rsidRDefault="00A57830">
      <w:pPr>
        <w:numPr>
          <w:ilvl w:val="0"/>
          <w:numId w:val="4"/>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Inter</w:t>
      </w:r>
      <w:r>
        <w:rPr>
          <w:rFonts w:ascii="Times New Roman" w:eastAsia="Times New Roman" w:hAnsi="Times New Roman" w:cs="Times New Roman"/>
          <w:color w:val="000000"/>
          <w:sz w:val="20"/>
          <w:szCs w:val="20"/>
          <w:u w:val="single"/>
        </w:rPr>
        <w:t>nal Resource Generation</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most of the year it recorded negative ratio except in the years 2012-13, 2014-15. This company was unable to generate any resources in the year 2018-19 and 2019-20.</w:t>
      </w:r>
    </w:p>
    <w:p w:rsidR="007D5052" w:rsidRDefault="00A57830">
      <w:pPr>
        <w:numPr>
          <w:ilvl w:val="0"/>
          <w:numId w:val="4"/>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Contribution to Exchequer</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There is widely prevalent assumption</w:t>
      </w:r>
      <w:r>
        <w:rPr>
          <w:rFonts w:ascii="Times New Roman" w:eastAsia="Times New Roman" w:hAnsi="Times New Roman" w:cs="Times New Roman"/>
          <w:sz w:val="20"/>
          <w:szCs w:val="20"/>
        </w:rPr>
        <w:t xml:space="preserve"> that public enterprise makes heavy contribution to exchequer in the form of interest paid on Government loans, Sales Tax, VAT, Dividend and other taxes and duties. Table III shows that the enterprise under study made highest contribution of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22.8447 </w:t>
      </w:r>
      <w:proofErr w:type="spellStart"/>
      <w:r>
        <w:rPr>
          <w:rFonts w:ascii="Times New Roman" w:eastAsia="Times New Roman" w:hAnsi="Times New Roman" w:cs="Times New Roman"/>
          <w:sz w:val="20"/>
          <w:szCs w:val="20"/>
        </w:rPr>
        <w:t>cr</w:t>
      </w:r>
      <w:r>
        <w:rPr>
          <w:rFonts w:ascii="Times New Roman" w:eastAsia="Times New Roman" w:hAnsi="Times New Roman" w:cs="Times New Roman"/>
          <w:sz w:val="20"/>
          <w:szCs w:val="20"/>
        </w:rPr>
        <w:t>ore</w:t>
      </w:r>
      <w:proofErr w:type="spellEnd"/>
      <w:r>
        <w:rPr>
          <w:rFonts w:ascii="Times New Roman" w:eastAsia="Times New Roman" w:hAnsi="Times New Roman" w:cs="Times New Roman"/>
          <w:sz w:val="20"/>
          <w:szCs w:val="20"/>
        </w:rPr>
        <w:t xml:space="preserve"> in 2010-11 due to higher amount of payment towards interest. After that it also showed more or less same trend throughout the study period.</w:t>
      </w:r>
    </w:p>
    <w:p w:rsidR="007D5052" w:rsidRDefault="00A5783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Liquidity Ratio:</w:t>
      </w:r>
    </w:p>
    <w:p w:rsidR="007D5052" w:rsidRDefault="00A57830">
      <w:pPr>
        <w:numPr>
          <w:ilvl w:val="0"/>
          <w:numId w:val="5"/>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Current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III shows that overall current ratio was good from the year 2011-12 to 201</w:t>
      </w:r>
      <w:r>
        <w:rPr>
          <w:rFonts w:ascii="Times New Roman" w:eastAsia="Times New Roman" w:hAnsi="Times New Roman" w:cs="Times New Roman"/>
          <w:sz w:val="20"/>
          <w:szCs w:val="20"/>
        </w:rPr>
        <w:t>5-16. After that it has been worsened. Current ratio was varying from 0.8284 to 1.9938.</w:t>
      </w:r>
    </w:p>
    <w:p w:rsidR="007D5052" w:rsidRDefault="00A57830">
      <w:pPr>
        <w:numPr>
          <w:ilvl w:val="0"/>
          <w:numId w:val="5"/>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Quick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Quick ratio or Acid Test Ratio is an important index of firm’s liquidity. From the table III it is seen that these ratios are above acceptable limit during 2011-12 to 2015-16. After that it has been worsened.</w:t>
      </w:r>
    </w:p>
    <w:p w:rsidR="007D5052" w:rsidRDefault="00A5783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Leverage:</w:t>
      </w:r>
    </w:p>
    <w:p w:rsidR="007D5052" w:rsidRDefault="00A57830">
      <w:pPr>
        <w:numPr>
          <w:ilvl w:val="0"/>
          <w:numId w:val="5"/>
        </w:numPr>
        <w:pBdr>
          <w:top w:val="nil"/>
          <w:left w:val="nil"/>
          <w:bottom w:val="nil"/>
          <w:right w:val="nil"/>
          <w:between w:val="nil"/>
        </w:pBdr>
        <w:spacing w:after="0"/>
        <w:jc w:val="both"/>
        <w:rPr>
          <w:color w:val="000000"/>
          <w:sz w:val="20"/>
          <w:szCs w:val="20"/>
          <w:u w:val="single"/>
        </w:rPr>
      </w:pPr>
      <w:r>
        <w:rPr>
          <w:rFonts w:ascii="Times New Roman" w:eastAsia="Times New Roman" w:hAnsi="Times New Roman" w:cs="Times New Roman"/>
          <w:color w:val="000000"/>
          <w:sz w:val="20"/>
          <w:szCs w:val="20"/>
          <w:u w:val="single"/>
        </w:rPr>
        <w:t>Debt Equity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Debt equity ratio increased from 0.4546 in 2011-12 to 4.1417 in 2015-16. In some of the years it recorded negative ratio due to negative net worth.</w:t>
      </w:r>
    </w:p>
    <w:p w:rsidR="007D5052" w:rsidRDefault="00A5783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Utilization of Resources:</w:t>
      </w:r>
    </w:p>
    <w:p w:rsidR="007D5052" w:rsidRDefault="00A57830">
      <w:pPr>
        <w:numPr>
          <w:ilvl w:val="0"/>
          <w:numId w:val="5"/>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Net assets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evidenced from the table III it recorded upswing and</w:t>
      </w:r>
      <w:r>
        <w:rPr>
          <w:rFonts w:ascii="Times New Roman" w:eastAsia="Times New Roman" w:hAnsi="Times New Roman" w:cs="Times New Roman"/>
          <w:sz w:val="20"/>
          <w:szCs w:val="20"/>
        </w:rPr>
        <w:t xml:space="preserve"> downswing. It has been worsened in the year 2018-19 &amp; 2019-20 due to negative working capital. Highest ratio was 16.4546 in the year2017-18 and lowest ratio was (-) 19.4891 in the year 2018-19.</w:t>
      </w:r>
    </w:p>
    <w:p w:rsidR="007D5052" w:rsidRDefault="00A57830">
      <w:pPr>
        <w:numPr>
          <w:ilvl w:val="0"/>
          <w:numId w:val="5"/>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Fixed Assets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ratio measures the efficien</w:t>
      </w:r>
      <w:r>
        <w:rPr>
          <w:rFonts w:ascii="Times New Roman" w:eastAsia="Times New Roman" w:hAnsi="Times New Roman" w:cs="Times New Roman"/>
          <w:sz w:val="20"/>
          <w:szCs w:val="20"/>
        </w:rPr>
        <w:t>cy of the use of fixed assets to produce sales. From the table III it is seen that this ratio has an increasing trend. In the year 2010-11 it was 7.6373 and is increased to 12.4323 in 2019-20 which indicates that highest sale is obtained without increasing</w:t>
      </w:r>
      <w:r>
        <w:rPr>
          <w:rFonts w:ascii="Times New Roman" w:eastAsia="Times New Roman" w:hAnsi="Times New Roman" w:cs="Times New Roman"/>
          <w:sz w:val="20"/>
          <w:szCs w:val="20"/>
        </w:rPr>
        <w:t xml:space="preserve"> the investment in fixed assets and the firm has the fullest utilization of Fixed Assets. Highest ratio was registered in the year 2018-19 which was 19.6951.</w:t>
      </w:r>
    </w:p>
    <w:p w:rsidR="007D5052" w:rsidRDefault="00A57830">
      <w:pPr>
        <w:numPr>
          <w:ilvl w:val="0"/>
          <w:numId w:val="5"/>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Working Capital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the table III it is revealed that this ratio had a fluctuatin</w:t>
      </w:r>
      <w:r>
        <w:rPr>
          <w:rFonts w:ascii="Times New Roman" w:eastAsia="Times New Roman" w:hAnsi="Times New Roman" w:cs="Times New Roman"/>
          <w:sz w:val="20"/>
          <w:szCs w:val="20"/>
        </w:rPr>
        <w:t>g trend throughout the study period. In some years i.e. 2010-11, 2018-19, 19-20 it recorded negative ratio.</w:t>
      </w:r>
    </w:p>
    <w:p w:rsidR="007D5052" w:rsidRDefault="00A57830">
      <w:pPr>
        <w:numPr>
          <w:ilvl w:val="0"/>
          <w:numId w:val="2"/>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Profitability Ratio:</w:t>
      </w:r>
    </w:p>
    <w:p w:rsidR="007D5052" w:rsidRDefault="00A57830">
      <w:pPr>
        <w:numPr>
          <w:ilvl w:val="0"/>
          <w:numId w:val="5"/>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Operating Profit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table III shows negative ratio in all the years except in the year 2014-15. This negativity charact</w:t>
      </w:r>
      <w:r>
        <w:rPr>
          <w:rFonts w:ascii="Times New Roman" w:eastAsia="Times New Roman" w:hAnsi="Times New Roman" w:cs="Times New Roman"/>
          <w:sz w:val="20"/>
          <w:szCs w:val="20"/>
        </w:rPr>
        <w:t>er was due to negative PBT which is due to cash losses throughout the period.</w:t>
      </w:r>
    </w:p>
    <w:p w:rsidR="007D5052" w:rsidRDefault="00A57830">
      <w:pPr>
        <w:numPr>
          <w:ilvl w:val="0"/>
          <w:numId w:val="5"/>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Interest Coverage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Throughout the study period it shows negative ratio due to negative EBIT except the year 2014-15. Hence it is concluded that interest charges are not covered by EBIT due to negative or low EBIT.</w:t>
      </w:r>
    </w:p>
    <w:p w:rsidR="007D5052" w:rsidRDefault="00A57830">
      <w:pPr>
        <w:numPr>
          <w:ilvl w:val="0"/>
          <w:numId w:val="5"/>
        </w:numPr>
        <w:pBdr>
          <w:top w:val="nil"/>
          <w:left w:val="nil"/>
          <w:bottom w:val="nil"/>
          <w:right w:val="nil"/>
          <w:between w:val="nil"/>
        </w:pBdr>
        <w:spacing w:after="0"/>
        <w:jc w:val="both"/>
        <w:rPr>
          <w:color w:val="000000"/>
          <w:sz w:val="20"/>
          <w:szCs w:val="20"/>
          <w:u w:val="single"/>
        </w:rPr>
      </w:pPr>
      <w:r>
        <w:rPr>
          <w:rFonts w:ascii="Times New Roman" w:eastAsia="Times New Roman" w:hAnsi="Times New Roman" w:cs="Times New Roman"/>
          <w:color w:val="000000"/>
          <w:sz w:val="20"/>
          <w:szCs w:val="20"/>
          <w:u w:val="single"/>
        </w:rPr>
        <w:t>Return on Investment</w:t>
      </w:r>
      <w:r>
        <w:rPr>
          <w:rFonts w:ascii="Times New Roman" w:eastAsia="Times New Roman" w:hAnsi="Times New Roman" w:cs="Times New Roman"/>
          <w:color w:val="000000"/>
          <w:sz w:val="20"/>
          <w:szCs w:val="20"/>
        </w:rPr>
        <w:t>:</w:t>
      </w:r>
    </w:p>
    <w:p w:rsidR="007D5052" w:rsidRDefault="00A57830">
      <w:pPr>
        <w:spacing w:after="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From the table III it is seen that this ratio was negative throughout the study period except the year 2014-15 due to negative PBT. This poor performance could be attributed to the </w:t>
      </w:r>
      <w:proofErr w:type="spellStart"/>
      <w:r>
        <w:rPr>
          <w:rFonts w:ascii="Times New Roman" w:eastAsia="Times New Roman" w:hAnsi="Times New Roman" w:cs="Times New Roman"/>
          <w:sz w:val="20"/>
          <w:szCs w:val="20"/>
        </w:rPr>
        <w:t>under utilization</w:t>
      </w:r>
      <w:proofErr w:type="spellEnd"/>
      <w:r>
        <w:rPr>
          <w:rFonts w:ascii="Times New Roman" w:eastAsia="Times New Roman" w:hAnsi="Times New Roman" w:cs="Times New Roman"/>
          <w:sz w:val="20"/>
          <w:szCs w:val="20"/>
        </w:rPr>
        <w:t xml:space="preserve"> of assets.</w:t>
      </w:r>
    </w:p>
    <w:p w:rsidR="007D5052" w:rsidRDefault="007D5052">
      <w:pPr>
        <w:spacing w:after="0"/>
        <w:ind w:left="720"/>
        <w:jc w:val="both"/>
        <w:rPr>
          <w:rFonts w:ascii="Times New Roman" w:eastAsia="Times New Roman" w:hAnsi="Times New Roman" w:cs="Times New Roman"/>
          <w:sz w:val="20"/>
          <w:szCs w:val="20"/>
        </w:rPr>
      </w:pPr>
    </w:p>
    <w:p w:rsidR="007D5052" w:rsidRDefault="00A57830">
      <w:pPr>
        <w:numPr>
          <w:ilvl w:val="0"/>
          <w:numId w:val="5"/>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Return on Equity</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the table III it may b</w:t>
      </w:r>
      <w:r>
        <w:rPr>
          <w:rFonts w:ascii="Times New Roman" w:eastAsia="Times New Roman" w:hAnsi="Times New Roman" w:cs="Times New Roman"/>
          <w:sz w:val="20"/>
          <w:szCs w:val="20"/>
        </w:rPr>
        <w:t>e inferred that company failed to attract the future investment due to its negative ratio throughout the study period.</w:t>
      </w:r>
    </w:p>
    <w:p w:rsidR="007D5052" w:rsidRDefault="00A57830">
      <w:pPr>
        <w:ind w:left="72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Table III</w:t>
      </w:r>
    </w:p>
    <w:p w:rsidR="007D5052" w:rsidRDefault="00A57830">
      <w:pPr>
        <w:spacing w:after="0"/>
        <w:jc w:val="right"/>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FINANCIAL HIGHLIGHTS OF WSFL</w:t>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t xml:space="preserve">                                                  </w:t>
      </w:r>
      <w:proofErr w:type="spellStart"/>
      <w:r>
        <w:rPr>
          <w:rFonts w:ascii="Times New Roman" w:eastAsia="Times New Roman" w:hAnsi="Times New Roman" w:cs="Times New Roman"/>
          <w:b/>
          <w:sz w:val="20"/>
          <w:szCs w:val="20"/>
        </w:rPr>
        <w:t>Rs</w:t>
      </w:r>
      <w:proofErr w:type="spellEnd"/>
      <w:r>
        <w:rPr>
          <w:rFonts w:ascii="Times New Roman" w:eastAsia="Times New Roman" w:hAnsi="Times New Roman" w:cs="Times New Roman"/>
          <w:b/>
          <w:sz w:val="20"/>
          <w:szCs w:val="20"/>
        </w:rPr>
        <w:t xml:space="preserve">. In </w:t>
      </w:r>
      <w:proofErr w:type="spellStart"/>
      <w:r>
        <w:rPr>
          <w:rFonts w:ascii="Times New Roman" w:eastAsia="Times New Roman" w:hAnsi="Times New Roman" w:cs="Times New Roman"/>
          <w:b/>
          <w:sz w:val="20"/>
          <w:szCs w:val="20"/>
        </w:rPr>
        <w:t>Crore</w:t>
      </w:r>
      <w:proofErr w:type="spellEnd"/>
      <w:r>
        <w:rPr>
          <w:rFonts w:ascii="Times New Roman" w:eastAsia="Times New Roman" w:hAnsi="Times New Roman" w:cs="Times New Roman"/>
          <w:b/>
          <w:sz w:val="20"/>
          <w:szCs w:val="20"/>
          <w:u w:val="single"/>
        </w:rPr>
        <w:t xml:space="preserve">                                </w:t>
      </w:r>
      <w:r>
        <w:rPr>
          <w:rFonts w:ascii="Times New Roman" w:eastAsia="Times New Roman" w:hAnsi="Times New Roman" w:cs="Times New Roman"/>
          <w:b/>
          <w:sz w:val="20"/>
          <w:szCs w:val="20"/>
          <w:u w:val="single"/>
        </w:rPr>
        <w:t xml:space="preserve">   </w:t>
      </w:r>
    </w:p>
    <w:tbl>
      <w:tblPr>
        <w:tblStyle w:val="a1"/>
        <w:tblW w:w="14178"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0"/>
        <w:gridCol w:w="2987"/>
        <w:gridCol w:w="1135"/>
        <w:gridCol w:w="992"/>
        <w:gridCol w:w="993"/>
        <w:gridCol w:w="992"/>
        <w:gridCol w:w="992"/>
        <w:gridCol w:w="992"/>
        <w:gridCol w:w="993"/>
        <w:gridCol w:w="1134"/>
        <w:gridCol w:w="1134"/>
        <w:gridCol w:w="1134"/>
      </w:tblGrid>
      <w:tr w:rsidR="007D5052">
        <w:trPr>
          <w:trHeight w:val="440"/>
        </w:trPr>
        <w:tc>
          <w:tcPr>
            <w:tcW w:w="700"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Sl. No.</w:t>
            </w:r>
          </w:p>
        </w:tc>
        <w:tc>
          <w:tcPr>
            <w:tcW w:w="2987" w:type="dxa"/>
          </w:tcPr>
          <w:p w:rsidR="007D5052" w:rsidRDefault="007D5052">
            <w:pPr>
              <w:rPr>
                <w:rFonts w:ascii="Times New Roman" w:eastAsia="Times New Roman" w:hAnsi="Times New Roman" w:cs="Times New Roman"/>
                <w:sz w:val="20"/>
                <w:szCs w:val="20"/>
              </w:rPr>
            </w:pPr>
          </w:p>
        </w:tc>
        <w:tc>
          <w:tcPr>
            <w:tcW w:w="1135"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2010-11</w:t>
            </w:r>
          </w:p>
        </w:tc>
        <w:tc>
          <w:tcPr>
            <w:tcW w:w="992"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2011-12</w:t>
            </w:r>
          </w:p>
        </w:tc>
        <w:tc>
          <w:tcPr>
            <w:tcW w:w="993"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2012-13</w:t>
            </w:r>
          </w:p>
        </w:tc>
        <w:tc>
          <w:tcPr>
            <w:tcW w:w="992"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2013-14</w:t>
            </w:r>
          </w:p>
        </w:tc>
        <w:tc>
          <w:tcPr>
            <w:tcW w:w="992"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2014-15</w:t>
            </w:r>
          </w:p>
        </w:tc>
        <w:tc>
          <w:tcPr>
            <w:tcW w:w="992"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2015-16</w:t>
            </w:r>
          </w:p>
        </w:tc>
        <w:tc>
          <w:tcPr>
            <w:tcW w:w="993"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2016-17</w:t>
            </w:r>
          </w:p>
        </w:tc>
        <w:tc>
          <w:tcPr>
            <w:tcW w:w="1134"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2017-18</w:t>
            </w:r>
          </w:p>
        </w:tc>
        <w:tc>
          <w:tcPr>
            <w:tcW w:w="1134"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2018-19</w:t>
            </w:r>
          </w:p>
        </w:tc>
        <w:tc>
          <w:tcPr>
            <w:tcW w:w="1134"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2019-20</w:t>
            </w:r>
          </w:p>
        </w:tc>
      </w:tr>
      <w:tr w:rsidR="007D5052">
        <w:trPr>
          <w:trHeight w:val="228"/>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Growth in Sales</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52.0195</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67.3988</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68.6236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80.7666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84.1941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80.2144</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64.4872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74.3364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73.4329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48.9473</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Wages and Salaries Paid out</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6.7887</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4.8016</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4.7262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4.8488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4.9654</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4.9031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8.1586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6.2232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3.1548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2.8477</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Gross Value Added</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-4.1226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3.2979</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4.8604</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1.0712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5.6201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4.0644</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-2.5037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3.0855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1.5997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1.0622</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Capital Employed</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5.6662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24.5865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23.5606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18.8608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20.4498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19.3509</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7.5636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4.5177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-3.7679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-3.4261</w:t>
            </w:r>
          </w:p>
        </w:tc>
      </w:tr>
      <w:tr w:rsidR="007D5052">
        <w:trPr>
          <w:trHeight w:val="228"/>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Borrowing</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371.8747</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8.3881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10.4592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11.6426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13.6595</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15.6240</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19.5983</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20.6748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17.9184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19.0778</w:t>
            </w:r>
          </w:p>
        </w:tc>
      </w:tr>
      <w:tr w:rsidR="007D5052">
        <w:trPr>
          <w:trHeight w:val="228"/>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Worth</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-365.3125</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18.4520</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14.8032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8.4658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7.6082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3.7724</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-9.4078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-13.2346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-15.4638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-18.1543</w:t>
            </w:r>
          </w:p>
        </w:tc>
      </w:tr>
      <w:tr w:rsidR="007D5052">
        <w:trPr>
          <w:trHeight w:val="228"/>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Sales and Other Income</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52.3790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68.1055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71.8498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83.8836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85.8468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80.3253</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64.6326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74.8032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74.5834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49.4550</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6.8583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6.4548</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6.0863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5.7357</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5.3973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5.0150</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4.6870</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4.0805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3.7869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3.9779</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Net  Working Capital</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-1.1921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18.1317</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17.4744</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13.1251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15.0524</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14.3358</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2.8766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0.4372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-7.5548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-7.4040</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2987" w:type="dxa"/>
            <w:tcBorders>
              <w:bottom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PBIT</w:t>
            </w:r>
          </w:p>
        </w:tc>
        <w:tc>
          <w:tcPr>
            <w:tcW w:w="1135" w:type="dxa"/>
            <w:tcBorders>
              <w:left w:val="single" w:sz="4" w:space="0" w:color="000000"/>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-11.2102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-1.7665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-0.0844</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-3.9768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0.4578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-1.0062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-10.8196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-3.2542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-1.6577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-1.9076</w:t>
            </w:r>
          </w:p>
        </w:tc>
      </w:tr>
      <w:tr w:rsidR="007D5052">
        <w:trPr>
          <w:trHeight w:val="76"/>
        </w:trPr>
        <w:tc>
          <w:tcPr>
            <w:tcW w:w="700" w:type="dxa"/>
            <w:tcBorders>
              <w:left w:val="single" w:sz="4" w:space="0" w:color="000000"/>
              <w:right w:val="single" w:sz="4" w:space="0" w:color="000000"/>
            </w:tcBorders>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2987" w:type="dxa"/>
            <w:tcBorders>
              <w:top w:val="single" w:sz="4" w:space="0" w:color="000000"/>
              <w:left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PBDIT</w:t>
            </w:r>
          </w:p>
        </w:tc>
        <w:tc>
          <w:tcPr>
            <w:tcW w:w="1135"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-10.9113</w:t>
            </w:r>
          </w:p>
        </w:tc>
        <w:tc>
          <w:tcPr>
            <w:tcW w:w="99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-1.5038</w:t>
            </w:r>
          </w:p>
        </w:tc>
        <w:tc>
          <w:tcPr>
            <w:tcW w:w="993"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0.1342</w:t>
            </w:r>
          </w:p>
        </w:tc>
        <w:tc>
          <w:tcPr>
            <w:tcW w:w="99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-3.7775</w:t>
            </w:r>
          </w:p>
        </w:tc>
        <w:tc>
          <w:tcPr>
            <w:tcW w:w="99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0.6547</w:t>
            </w:r>
          </w:p>
        </w:tc>
        <w:tc>
          <w:tcPr>
            <w:tcW w:w="99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-0.8387</w:t>
            </w:r>
          </w:p>
        </w:tc>
        <w:tc>
          <w:tcPr>
            <w:tcW w:w="993"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-10.6622</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-3.1376</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-1.5551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-1.7855</w:t>
            </w:r>
          </w:p>
        </w:tc>
      </w:tr>
      <w:tr w:rsidR="007D5052">
        <w:trPr>
          <w:trHeight w:val="212"/>
        </w:trPr>
        <w:tc>
          <w:tcPr>
            <w:tcW w:w="700" w:type="dxa"/>
            <w:tcBorders>
              <w:right w:val="single" w:sz="4" w:space="0" w:color="000000"/>
            </w:tcBorders>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2987" w:type="dxa"/>
            <w:tcBorders>
              <w:lef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Interest</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23.0240</w:t>
            </w:r>
          </w:p>
        </w:tc>
        <w:tc>
          <w:tcPr>
            <w:tcW w:w="99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0.9755</w:t>
            </w:r>
          </w:p>
        </w:tc>
        <w:tc>
          <w:tcPr>
            <w:tcW w:w="993"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1.2642</w:t>
            </w:r>
          </w:p>
        </w:tc>
        <w:tc>
          <w:tcPr>
            <w:tcW w:w="992"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1.4212</w:t>
            </w:r>
          </w:p>
        </w:tc>
        <w:tc>
          <w:tcPr>
            <w:tcW w:w="99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1.4431</w:t>
            </w:r>
          </w:p>
        </w:tc>
        <w:tc>
          <w:tcPr>
            <w:tcW w:w="99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1.6202</w:t>
            </w:r>
          </w:p>
        </w:tc>
        <w:tc>
          <w:tcPr>
            <w:tcW w:w="993"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1.6853</w:t>
            </w:r>
          </w:p>
        </w:tc>
        <w:tc>
          <w:tcPr>
            <w:tcW w:w="1134"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1.6149</w:t>
            </w:r>
          </w:p>
        </w:tc>
        <w:tc>
          <w:tcPr>
            <w:tcW w:w="1134"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1.8092</w:t>
            </w:r>
          </w:p>
        </w:tc>
        <w:tc>
          <w:tcPr>
            <w:tcW w:w="1134"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1.8895</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PBT</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-34.2342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-2.7420</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-1.3486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-5.3980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-0.9853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-2.6265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-12.5049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-4.8691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-3.4668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-3.7971</w:t>
            </w:r>
          </w:p>
        </w:tc>
      </w:tr>
      <w:tr w:rsidR="007D5052">
        <w:trPr>
          <w:trHeight w:val="228"/>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PAT</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-34.4200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-1.4316</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-2.9652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-5.6824</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-0.3638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-2.6435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-12.8795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-4.8586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-3.4668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-3.8606</w:t>
            </w:r>
          </w:p>
        </w:tc>
      </w:tr>
      <w:tr w:rsidR="007D5052">
        <w:trPr>
          <w:trHeight w:val="228"/>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Assets</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47.5572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42.8310</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61.7338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49.6665</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45.0547</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50.3835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43.2450</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46.7585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40.2563</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48.6390</w:t>
            </w:r>
          </w:p>
        </w:tc>
      </w:tr>
      <w:tr w:rsidR="007D5052">
        <w:trPr>
          <w:trHeight w:val="228"/>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Assets</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40.6989</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36.3762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55.6475</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43.9309</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39.6573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45.3685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38.5580</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42.6779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36.4688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44.6605</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Liabilities</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41.8910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18.2444</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38.1731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30.8058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24.6049</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31.0327</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35.6814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42.2408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44.0236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52.0645</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Cash Loss</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-33.9353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-2.4792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-1.1300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-5.1987</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-0.7884</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-2.4589</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-12.3475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-4.7525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-3.3643</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-3.6750</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 to Exchequer</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22.8447</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1.7578</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2.2781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2.2596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2.1848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2.3828</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2.2364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2.0848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2.4637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2.6348</w:t>
            </w:r>
          </w:p>
        </w:tc>
      </w:tr>
      <w:tr w:rsidR="007D5052">
        <w:trPr>
          <w:trHeight w:val="195"/>
        </w:trPr>
        <w:tc>
          <w:tcPr>
            <w:tcW w:w="14178" w:type="dxa"/>
            <w:gridSpan w:val="12"/>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RATIOS</w:t>
            </w:r>
          </w:p>
        </w:tc>
      </w:tr>
      <w:tr w:rsidR="007D5052">
        <w:trPr>
          <w:trHeight w:val="244"/>
        </w:trPr>
        <w:tc>
          <w:tcPr>
            <w:tcW w:w="700" w:type="dxa"/>
            <w:tcBorders>
              <w:bottom w:val="single" w:sz="4" w:space="0" w:color="000000"/>
            </w:tcBorders>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a</w:t>
            </w:r>
          </w:p>
        </w:tc>
        <w:tc>
          <w:tcPr>
            <w:tcW w:w="2987" w:type="dxa"/>
            <w:tcBorders>
              <w:bottom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Gross Value Added Per Rupee Wages Paid</w:t>
            </w:r>
          </w:p>
        </w:tc>
        <w:tc>
          <w:tcPr>
            <w:tcW w:w="1135"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(0.6073):1</w:t>
            </w:r>
          </w:p>
        </w:tc>
        <w:tc>
          <w:tcPr>
            <w:tcW w:w="992"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0.6868:1</w:t>
            </w:r>
          </w:p>
        </w:tc>
        <w:tc>
          <w:tcPr>
            <w:tcW w:w="993"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1.0284:1</w:t>
            </w:r>
          </w:p>
        </w:tc>
        <w:tc>
          <w:tcPr>
            <w:tcW w:w="992"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0.2209:1</w:t>
            </w:r>
          </w:p>
        </w:tc>
        <w:tc>
          <w:tcPr>
            <w:tcW w:w="992"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1.1318:1</w:t>
            </w:r>
          </w:p>
        </w:tc>
        <w:tc>
          <w:tcPr>
            <w:tcW w:w="992"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0.8290:1</w:t>
            </w:r>
          </w:p>
        </w:tc>
        <w:tc>
          <w:tcPr>
            <w:tcW w:w="993"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(0.3069):1</w:t>
            </w:r>
          </w:p>
        </w:tc>
        <w:tc>
          <w:tcPr>
            <w:tcW w:w="1134"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0.4958:1</w:t>
            </w:r>
          </w:p>
        </w:tc>
        <w:tc>
          <w:tcPr>
            <w:tcW w:w="1134"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0.5071:1</w:t>
            </w:r>
          </w:p>
        </w:tc>
        <w:tc>
          <w:tcPr>
            <w:tcW w:w="1134" w:type="dxa"/>
            <w:tcBorders>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0.3730:1</w:t>
            </w:r>
          </w:p>
        </w:tc>
      </w:tr>
      <w:tr w:rsidR="007D5052">
        <w:trPr>
          <w:trHeight w:val="228"/>
        </w:trPr>
        <w:tc>
          <w:tcPr>
            <w:tcW w:w="700" w:type="dxa"/>
            <w:tcBorders>
              <w:top w:val="single" w:sz="4" w:space="0" w:color="000000"/>
            </w:tcBorders>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b</w:t>
            </w:r>
          </w:p>
        </w:tc>
        <w:tc>
          <w:tcPr>
            <w:tcW w:w="2987" w:type="dxa"/>
            <w:tcBorders>
              <w:top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Internal Resource Generation</w:t>
            </w:r>
          </w:p>
        </w:tc>
        <w:tc>
          <w:tcPr>
            <w:tcW w:w="1135"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(1.8729):1</w:t>
            </w:r>
          </w:p>
        </w:tc>
        <w:tc>
          <w:tcPr>
            <w:tcW w:w="992" w:type="dxa"/>
            <w:tcBorders>
              <w:top w:val="single" w:sz="4" w:space="0" w:color="000000"/>
              <w:left w:val="single" w:sz="4" w:space="0" w:color="000000"/>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(0.0505):1</w:t>
            </w:r>
          </w:p>
        </w:tc>
        <w:tc>
          <w:tcPr>
            <w:tcW w:w="993"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0.0150:1</w:t>
            </w:r>
          </w:p>
        </w:tc>
        <w:tc>
          <w:tcPr>
            <w:tcW w:w="992"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(0.1897):1</w:t>
            </w:r>
          </w:p>
        </w:tc>
        <w:tc>
          <w:tcPr>
            <w:tcW w:w="992"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0.0416:1</w:t>
            </w:r>
          </w:p>
        </w:tc>
        <w:tc>
          <w:tcPr>
            <w:tcW w:w="992"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(0.0347):1</w:t>
            </w:r>
          </w:p>
        </w:tc>
        <w:tc>
          <w:tcPr>
            <w:tcW w:w="993"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(1.3889):1</w:t>
            </w:r>
          </w:p>
        </w:tc>
        <w:tc>
          <w:tcPr>
            <w:tcW w:w="1134"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(0.6687):1</w:t>
            </w:r>
          </w:p>
        </w:tc>
        <w:tc>
          <w:tcPr>
            <w:tcW w:w="1134" w:type="dxa"/>
            <w:tcBorders>
              <w:top w:val="single" w:sz="4" w:space="0" w:color="000000"/>
              <w:left w:val="single" w:sz="4" w:space="0" w:color="000000"/>
              <w:right w:val="single" w:sz="4" w:space="0" w:color="000000"/>
            </w:tcBorders>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tcBorders>
              <w:top w:val="single" w:sz="4" w:space="0" w:color="000000"/>
              <w:left w:val="single" w:sz="4" w:space="0" w:color="000000"/>
            </w:tcBorders>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D5052">
        <w:trPr>
          <w:trHeight w:val="85"/>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 c</w:t>
            </w:r>
          </w:p>
        </w:tc>
        <w:tc>
          <w:tcPr>
            <w:tcW w:w="2987" w:type="dxa"/>
            <w:tcBorders>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Current Ratio</w:t>
            </w:r>
          </w:p>
        </w:tc>
        <w:tc>
          <w:tcPr>
            <w:tcW w:w="1135"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0.9715:1</w:t>
            </w:r>
          </w:p>
        </w:tc>
        <w:tc>
          <w:tcPr>
            <w:tcW w:w="99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1.9938:1</w:t>
            </w:r>
          </w:p>
        </w:tc>
        <w:tc>
          <w:tcPr>
            <w:tcW w:w="993"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1.4578:1</w:t>
            </w:r>
          </w:p>
        </w:tc>
        <w:tc>
          <w:tcPr>
            <w:tcW w:w="99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1.4261:1</w:t>
            </w:r>
          </w:p>
        </w:tc>
        <w:tc>
          <w:tcPr>
            <w:tcW w:w="99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1.6118:1</w:t>
            </w:r>
          </w:p>
        </w:tc>
        <w:tc>
          <w:tcPr>
            <w:tcW w:w="99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1.4620:1</w:t>
            </w:r>
          </w:p>
        </w:tc>
        <w:tc>
          <w:tcPr>
            <w:tcW w:w="993"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1.0806:1</w:t>
            </w:r>
          </w:p>
        </w:tc>
        <w:tc>
          <w:tcPr>
            <w:tcW w:w="1134"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1.0103:1</w:t>
            </w:r>
          </w:p>
        </w:tc>
        <w:tc>
          <w:tcPr>
            <w:tcW w:w="1134"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0.8284:1</w:t>
            </w:r>
          </w:p>
        </w:tc>
        <w:tc>
          <w:tcPr>
            <w:tcW w:w="1134"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0.8578:1</w:t>
            </w:r>
          </w:p>
        </w:tc>
      </w:tr>
      <w:tr w:rsidR="007D5052">
        <w:trPr>
          <w:trHeight w:val="228"/>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 d</w:t>
            </w:r>
          </w:p>
        </w:tc>
        <w:tc>
          <w:tcPr>
            <w:tcW w:w="2987" w:type="dxa"/>
            <w:tcBorders>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Acid Test Ratio</w:t>
            </w:r>
          </w:p>
        </w:tc>
        <w:tc>
          <w:tcPr>
            <w:tcW w:w="1135"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0.7137:1</w:t>
            </w:r>
          </w:p>
        </w:tc>
        <w:tc>
          <w:tcPr>
            <w:tcW w:w="992"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1.2371:1</w:t>
            </w:r>
          </w:p>
        </w:tc>
        <w:tc>
          <w:tcPr>
            <w:tcW w:w="993"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1.0381:1</w:t>
            </w:r>
          </w:p>
        </w:tc>
        <w:tc>
          <w:tcPr>
            <w:tcW w:w="992" w:type="dxa"/>
            <w:tcBorders>
              <w:top w:val="single" w:sz="4" w:space="0" w:color="000000"/>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1.0989:1</w:t>
            </w:r>
          </w:p>
        </w:tc>
        <w:tc>
          <w:tcPr>
            <w:tcW w:w="992"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1.2875:1</w:t>
            </w:r>
          </w:p>
        </w:tc>
        <w:tc>
          <w:tcPr>
            <w:tcW w:w="99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1.2459:1</w:t>
            </w:r>
          </w:p>
        </w:tc>
        <w:tc>
          <w:tcPr>
            <w:tcW w:w="993"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0.9710:1</w:t>
            </w:r>
          </w:p>
        </w:tc>
        <w:tc>
          <w:tcPr>
            <w:tcW w:w="1134"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0.7846:1</w:t>
            </w:r>
          </w:p>
        </w:tc>
        <w:tc>
          <w:tcPr>
            <w:tcW w:w="1134"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0.7580:1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0.7918:1</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 e</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Debt Equity Ratio</w:t>
            </w:r>
          </w:p>
        </w:tc>
        <w:tc>
          <w:tcPr>
            <w:tcW w:w="1135"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(1.0180):1</w:t>
            </w:r>
          </w:p>
        </w:tc>
        <w:tc>
          <w:tcPr>
            <w:tcW w:w="99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0.4546:1</w:t>
            </w:r>
          </w:p>
        </w:tc>
        <w:tc>
          <w:tcPr>
            <w:tcW w:w="993"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0.7065:1</w:t>
            </w:r>
          </w:p>
        </w:tc>
        <w:tc>
          <w:tcPr>
            <w:tcW w:w="99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1.3753:1</w:t>
            </w:r>
          </w:p>
        </w:tc>
        <w:tc>
          <w:tcPr>
            <w:tcW w:w="99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1.7954:1</w:t>
            </w:r>
          </w:p>
        </w:tc>
        <w:tc>
          <w:tcPr>
            <w:tcW w:w="99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4.1417:1</w:t>
            </w:r>
          </w:p>
        </w:tc>
        <w:tc>
          <w:tcPr>
            <w:tcW w:w="993"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(1.8084):1</w:t>
            </w:r>
          </w:p>
        </w:tc>
        <w:tc>
          <w:tcPr>
            <w:tcW w:w="1134"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(1.5622):1</w:t>
            </w:r>
          </w:p>
        </w:tc>
        <w:tc>
          <w:tcPr>
            <w:tcW w:w="1134"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(1.1587):1</w:t>
            </w:r>
          </w:p>
        </w:tc>
        <w:tc>
          <w:tcPr>
            <w:tcW w:w="1134"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(1.0509):1</w:t>
            </w:r>
          </w:p>
        </w:tc>
      </w:tr>
      <w:tr w:rsidR="007D5052">
        <w:trPr>
          <w:trHeight w:val="16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 f</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Assets Turn Over Ratio</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9.1807:1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2.7413:1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2.9126:1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4.2822:1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4.1171:1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4.1453:1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8.5260:1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16.4546:1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(19.4891):1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(14.2868):1</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 g</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 Ratio</w:t>
            </w:r>
          </w:p>
        </w:tc>
        <w:tc>
          <w:tcPr>
            <w:tcW w:w="1135"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7.6373:1</w:t>
            </w:r>
          </w:p>
        </w:tc>
        <w:tc>
          <w:tcPr>
            <w:tcW w:w="99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10.5511:1</w:t>
            </w:r>
          </w:p>
        </w:tc>
        <w:tc>
          <w:tcPr>
            <w:tcW w:w="993"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11.8052:1</w:t>
            </w:r>
          </w:p>
        </w:tc>
        <w:tc>
          <w:tcPr>
            <w:tcW w:w="99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14.6249:1</w:t>
            </w:r>
          </w:p>
        </w:tc>
        <w:tc>
          <w:tcPr>
            <w:tcW w:w="99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15.9054:1</w:t>
            </w:r>
          </w:p>
        </w:tc>
        <w:tc>
          <w:tcPr>
            <w:tcW w:w="99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16.0169:1</w:t>
            </w:r>
          </w:p>
        </w:tc>
        <w:tc>
          <w:tcPr>
            <w:tcW w:w="993"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13.7897:1</w:t>
            </w:r>
          </w:p>
        </w:tc>
        <w:tc>
          <w:tcPr>
            <w:tcW w:w="1134"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18.3318:1</w:t>
            </w:r>
          </w:p>
        </w:tc>
        <w:tc>
          <w:tcPr>
            <w:tcW w:w="1134"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19.6951:1</w:t>
            </w:r>
          </w:p>
        </w:tc>
        <w:tc>
          <w:tcPr>
            <w:tcW w:w="1134"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12.4323:1</w:t>
            </w:r>
          </w:p>
        </w:tc>
      </w:tr>
      <w:tr w:rsidR="007D5052">
        <w:trPr>
          <w:trHeight w:val="139"/>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 h</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Working Capital Turnover Ratio</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(43.6369):1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3.7172:1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3.9271:1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6.1536:1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5.5934:1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5.5954:1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22.4179:1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170.0434:1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(9.7200):1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(6.6109):1</w:t>
            </w:r>
          </w:p>
        </w:tc>
      </w:tr>
      <w:tr w:rsidR="007D5052">
        <w:trPr>
          <w:trHeight w:val="212"/>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9. </w:t>
            </w:r>
            <w:proofErr w:type="spellStart"/>
            <w:r>
              <w:rPr>
                <w:rFonts w:ascii="Times New Roman" w:eastAsia="Times New Roman" w:hAnsi="Times New Roman" w:cs="Times New Roman"/>
                <w:sz w:val="20"/>
                <w:szCs w:val="20"/>
              </w:rPr>
              <w:t>i</w:t>
            </w:r>
            <w:proofErr w:type="spellEnd"/>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Operating Profit Ratio</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(0.2155):1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(0.0262):1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(0.0012):1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(0.0492):1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0.0054:1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(0.0125):1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(0.1678):1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(0.0438):1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(0.0226):1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(0.0390):1</w:t>
            </w:r>
          </w:p>
        </w:tc>
      </w:tr>
      <w:tr w:rsidR="007D5052">
        <w:trPr>
          <w:trHeight w:val="143"/>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 j</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Coverage Ratio</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(0.4869):1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(1.8109):1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(0.0668):1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(2.7983):1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0.3172:1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(0.6210):1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(6.4200):1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(2.0151):1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(0.9162):1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(1.0096):1</w:t>
            </w:r>
          </w:p>
        </w:tc>
      </w:tr>
      <w:tr w:rsidR="007D5052">
        <w:trPr>
          <w:trHeight w:val="228"/>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 k</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Investment</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(0.2357):1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(0.0412):1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(0.0014):1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(0.0801):1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0.0102:1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(0.0200):1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(0.2502):1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(0.0696):1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(0.0412):1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(0.0392):1</w:t>
            </w:r>
          </w:p>
        </w:tc>
      </w:tr>
      <w:tr w:rsidR="007D5052">
        <w:trPr>
          <w:trHeight w:val="215"/>
        </w:trPr>
        <w:tc>
          <w:tcPr>
            <w:tcW w:w="700" w:type="dxa"/>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 l</w:t>
            </w:r>
          </w:p>
        </w:tc>
        <w:tc>
          <w:tcPr>
            <w:tcW w:w="2987"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Equity</w:t>
            </w:r>
          </w:p>
        </w:tc>
        <w:tc>
          <w:tcPr>
            <w:tcW w:w="1135"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(0.0776):1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(0.2003):1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(0.6712):1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(0.0478):1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(0.7007):1</w:t>
            </w:r>
          </w:p>
        </w:tc>
        <w:tc>
          <w:tcPr>
            <w:tcW w:w="993"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rsidR="007D5052" w:rsidRDefault="007D5052">
      <w:pPr>
        <w:jc w:val="center"/>
        <w:rPr>
          <w:rFonts w:ascii="Times New Roman" w:eastAsia="Times New Roman" w:hAnsi="Times New Roman" w:cs="Times New Roman"/>
          <w:sz w:val="20"/>
          <w:szCs w:val="20"/>
        </w:rPr>
      </w:pPr>
    </w:p>
    <w:p w:rsidR="007D5052" w:rsidRDefault="00A578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the summarized result of selected restructured SLPEs following results are found:</w:t>
      </w:r>
    </w:p>
    <w:p w:rsidR="007D5052" w:rsidRDefault="00A5783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year 2010-11 to 2014-15 represent pre restructuring period while the year 2015-16 to 2019-20 have been taken as the post restructuring period. It is found on the bas</w:t>
      </w:r>
      <w:r>
        <w:rPr>
          <w:rFonts w:ascii="Times New Roman" w:eastAsia="Times New Roman" w:hAnsi="Times New Roman" w:cs="Times New Roman"/>
          <w:sz w:val="20"/>
          <w:szCs w:val="20"/>
        </w:rPr>
        <w:t>is of above table that the post restructuring performance of all the SLPEs except Britannia Engineering has not been satisfactory.</w:t>
      </w:r>
    </w:p>
    <w:p w:rsidR="007D5052" w:rsidRDefault="00A57830">
      <w:pPr>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u w:val="single"/>
        </w:rPr>
        <w:t>West Bengal Agro Textiles Corporation Ltd.: (WBATCL)</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highlights of the company are given in detail in table IV. Fro</w:t>
      </w:r>
      <w:r>
        <w:rPr>
          <w:rFonts w:ascii="Times New Roman" w:eastAsia="Times New Roman" w:hAnsi="Times New Roman" w:cs="Times New Roman"/>
          <w:sz w:val="20"/>
          <w:szCs w:val="20"/>
        </w:rPr>
        <w:t>m which following analysis has been made.</w:t>
      </w:r>
    </w:p>
    <w:p w:rsidR="007D5052" w:rsidRDefault="00A5783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Efficiency: </w:t>
      </w:r>
      <w:r>
        <w:rPr>
          <w:rFonts w:ascii="Times New Roman" w:eastAsia="Times New Roman" w:hAnsi="Times New Roman" w:cs="Times New Roman"/>
          <w:color w:val="000000"/>
          <w:sz w:val="20"/>
          <w:szCs w:val="20"/>
        </w:rPr>
        <w:t>Efficiency in operation is evaluated on the basis of the followings:</w:t>
      </w:r>
    </w:p>
    <w:p w:rsidR="007D5052" w:rsidRDefault="00A57830">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Growth in sales</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Net sales of W.B.A.T.C.L. has decreased from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11.4509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2010-11 to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0.2113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01/04/14-20/04/14 just before disinvestment where as it showed an increasing trend after disinvestment i.e. during 2014-15 to 2016-17. After disinvestment high</w:t>
      </w:r>
      <w:r>
        <w:rPr>
          <w:rFonts w:ascii="Times New Roman" w:eastAsia="Times New Roman" w:hAnsi="Times New Roman" w:cs="Times New Roman"/>
          <w:sz w:val="20"/>
          <w:szCs w:val="20"/>
        </w:rPr>
        <w:t xml:space="preserve">est sale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11.8762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2016-17 and lowest net sales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7.8480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2014-15. But before disinvestment highest net sales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12.4066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2011-12 &amp; lowest sales was Rs4.5911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the year 2013-14.</w:t>
      </w:r>
    </w:p>
    <w:p w:rsidR="007D5052" w:rsidRDefault="00A57830">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Gross Value Added per rupee o</w:t>
      </w:r>
      <w:r>
        <w:rPr>
          <w:rFonts w:ascii="Times New Roman" w:eastAsia="Times New Roman" w:hAnsi="Times New Roman" w:cs="Times New Roman"/>
          <w:color w:val="000000"/>
          <w:sz w:val="20"/>
          <w:szCs w:val="20"/>
          <w:u w:val="single"/>
        </w:rPr>
        <w:t>f Wages</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IV exhibits that gross value added per rupee of wages recorded a fluctuating during the pre-disinvestment period where as a clear upward trend during the post disinvestment period. This rapid increase in gross value added of the company witn</w:t>
      </w:r>
      <w:r>
        <w:rPr>
          <w:rFonts w:ascii="Times New Roman" w:eastAsia="Times New Roman" w:hAnsi="Times New Roman" w:cs="Times New Roman"/>
          <w:sz w:val="20"/>
          <w:szCs w:val="20"/>
        </w:rPr>
        <w:t>esses a considerable increase in the average efficiency of its capital funds during post-disinvestment period.</w:t>
      </w:r>
    </w:p>
    <w:p w:rsidR="007D5052" w:rsidRDefault="00A5783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Utilization of Resources</w:t>
      </w:r>
      <w:r>
        <w:rPr>
          <w:rFonts w:ascii="Times New Roman" w:eastAsia="Times New Roman" w:hAnsi="Times New Roman" w:cs="Times New Roman"/>
          <w:color w:val="000000"/>
          <w:sz w:val="20"/>
          <w:szCs w:val="20"/>
        </w:rPr>
        <w:t>:</w:t>
      </w:r>
    </w:p>
    <w:p w:rsidR="007D5052" w:rsidRDefault="00A57830">
      <w:pPr>
        <w:numPr>
          <w:ilvl w:val="0"/>
          <w:numId w:val="16"/>
        </w:numPr>
        <w:pBdr>
          <w:top w:val="nil"/>
          <w:left w:val="nil"/>
          <w:bottom w:val="nil"/>
          <w:right w:val="nil"/>
          <w:between w:val="nil"/>
        </w:pBdr>
        <w:spacing w:after="0"/>
        <w:jc w:val="both"/>
        <w:rPr>
          <w:color w:val="000000"/>
          <w:u w:val="single"/>
        </w:rPr>
      </w:pPr>
      <w:r>
        <w:rPr>
          <w:rFonts w:ascii="Times New Roman" w:eastAsia="Times New Roman" w:hAnsi="Times New Roman" w:cs="Times New Roman"/>
          <w:color w:val="000000"/>
          <w:sz w:val="20"/>
          <w:szCs w:val="20"/>
          <w:u w:val="single"/>
        </w:rPr>
        <w:t>Contribution to Exchequer</w:t>
      </w:r>
      <w:r>
        <w:rPr>
          <w:rFonts w:ascii="Times New Roman" w:eastAsia="Times New Roman" w:hAnsi="Times New Roman" w:cs="Times New Roman"/>
          <w:color w:val="000000"/>
          <w:sz w:val="20"/>
          <w:szCs w:val="20"/>
        </w:rPr>
        <w:t>:</w:t>
      </w:r>
    </w:p>
    <w:p w:rsidR="007D5052" w:rsidRDefault="00A57830">
      <w:pPr>
        <w:spacing w:after="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evidenced from the table IV throughout pre-disinvestment period it showed more or less sa</w:t>
      </w:r>
      <w:r>
        <w:rPr>
          <w:rFonts w:ascii="Times New Roman" w:eastAsia="Times New Roman" w:hAnsi="Times New Roman" w:cs="Times New Roman"/>
          <w:sz w:val="20"/>
          <w:szCs w:val="20"/>
        </w:rPr>
        <w:t xml:space="preserve">me picture. During Pre-disinvestment period highest contribution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8.8544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2011-12 and lowest contribution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8.5135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Whereas after disinvestment it showed downward trend. Highest contribution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0.0371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2015-16 and lo</w:t>
      </w:r>
      <w:r>
        <w:rPr>
          <w:rFonts w:ascii="Times New Roman" w:eastAsia="Times New Roman" w:hAnsi="Times New Roman" w:cs="Times New Roman"/>
          <w:sz w:val="20"/>
          <w:szCs w:val="20"/>
        </w:rPr>
        <w:t xml:space="preserve">west contribution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0.0299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2016-17. This downward trend was mainly due to the conversion of outstanding interest on unsecured Govt. Loan to equity share and repayment of accrued interest on Govt. loan by pre-matured encashment of fixed depos</w:t>
      </w:r>
      <w:r>
        <w:rPr>
          <w:rFonts w:ascii="Times New Roman" w:eastAsia="Times New Roman" w:hAnsi="Times New Roman" w:cs="Times New Roman"/>
          <w:sz w:val="20"/>
          <w:szCs w:val="20"/>
        </w:rPr>
        <w:t xml:space="preserve">its lying with the bank. </w:t>
      </w:r>
    </w:p>
    <w:p w:rsidR="007D5052" w:rsidRDefault="00A5783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Liquidity Analysis</w:t>
      </w:r>
      <w:r>
        <w:rPr>
          <w:rFonts w:ascii="Times New Roman" w:eastAsia="Times New Roman" w:hAnsi="Times New Roman" w:cs="Times New Roman"/>
          <w:color w:val="000000"/>
          <w:sz w:val="20"/>
          <w:szCs w:val="20"/>
        </w:rPr>
        <w:t>:</w:t>
      </w:r>
    </w:p>
    <w:p w:rsidR="007D5052" w:rsidRDefault="00A57830">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lastRenderedPageBreak/>
        <w:t>Current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It is observed from table IV that during the period under study (2010-11 to 2013-14) WBATC Ltd. registered a decreasing trend regarding its current ratio and it was far below acceptable limit. In</w:t>
      </w:r>
      <w:r>
        <w:rPr>
          <w:rFonts w:ascii="Times New Roman" w:eastAsia="Times New Roman" w:hAnsi="Times New Roman" w:cs="Times New Roman"/>
          <w:sz w:val="20"/>
          <w:szCs w:val="20"/>
        </w:rPr>
        <w:t xml:space="preserve"> this period highest ratio was 0.8423 in 2010-11 &amp; lowest ratio was 0.5158 though it showed decreasing trend in post disinvestment period, it was always above acceptable limit during that period.</w:t>
      </w:r>
    </w:p>
    <w:p w:rsidR="007D5052" w:rsidRDefault="00A5783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Leverage:</w:t>
      </w:r>
    </w:p>
    <w:p w:rsidR="007D5052" w:rsidRDefault="00A57830">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Debt equity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high debt equity ratio implie</w:t>
      </w:r>
      <w:r>
        <w:rPr>
          <w:rFonts w:ascii="Times New Roman" w:eastAsia="Times New Roman" w:hAnsi="Times New Roman" w:cs="Times New Roman"/>
          <w:sz w:val="20"/>
          <w:szCs w:val="20"/>
        </w:rPr>
        <w:t>s a large share of financing by the long term creditors. Table IV depicts that WBATC Ltd. registered negative debt equity ratio throughout the pre-disinvestment period (2010-11 to 2013-14) while the figures for post-disinvestment period (2014-15 to 2016-17</w:t>
      </w:r>
      <w:r>
        <w:rPr>
          <w:rFonts w:ascii="Times New Roman" w:eastAsia="Times New Roman" w:hAnsi="Times New Roman" w:cs="Times New Roman"/>
          <w:sz w:val="20"/>
          <w:szCs w:val="20"/>
        </w:rPr>
        <w:t>) varied from 0.1686 to 0.3429.</w:t>
      </w:r>
    </w:p>
    <w:p w:rsidR="007D5052" w:rsidRDefault="00A5783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Utilization of Resources:</w:t>
      </w:r>
    </w:p>
    <w:p w:rsidR="007D5052" w:rsidRDefault="00A57830">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Net Assets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IV shows that WATC Ltd. registered a fluctuating trend throughout the pre-disinvestment period (2010-11 to 2013-14) whereas it recorded an increasing trend during post- disinvestment period. This table also depicts that average Net Assets Turnover Ra</w:t>
      </w:r>
      <w:r>
        <w:rPr>
          <w:rFonts w:ascii="Times New Roman" w:eastAsia="Times New Roman" w:hAnsi="Times New Roman" w:cs="Times New Roman"/>
          <w:sz w:val="20"/>
          <w:szCs w:val="20"/>
        </w:rPr>
        <w:t>tio of the company decreased from 9.3575 in pre-disinvestment period to 1.5801 in post-disinvestment period.</w:t>
      </w:r>
    </w:p>
    <w:p w:rsidR="007D5052" w:rsidRDefault="00A57830">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Fixed assets turnover ratio</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IV shows a fluctuating trend in fixed assets turnover ratio of the company. </w:t>
      </w:r>
      <w:proofErr w:type="gramStart"/>
      <w:r>
        <w:rPr>
          <w:rFonts w:ascii="Times New Roman" w:eastAsia="Times New Roman" w:hAnsi="Times New Roman" w:cs="Times New Roman"/>
          <w:sz w:val="20"/>
          <w:szCs w:val="20"/>
        </w:rPr>
        <w:t>and</w:t>
      </w:r>
      <w:proofErr w:type="gramEnd"/>
      <w:r>
        <w:rPr>
          <w:rFonts w:ascii="Times New Roman" w:eastAsia="Times New Roman" w:hAnsi="Times New Roman" w:cs="Times New Roman"/>
          <w:sz w:val="20"/>
          <w:szCs w:val="20"/>
        </w:rPr>
        <w:t xml:space="preserve"> an upward trend during the post d</w:t>
      </w:r>
      <w:r>
        <w:rPr>
          <w:rFonts w:ascii="Times New Roman" w:eastAsia="Times New Roman" w:hAnsi="Times New Roman" w:cs="Times New Roman"/>
          <w:sz w:val="20"/>
          <w:szCs w:val="20"/>
        </w:rPr>
        <w:t>isinvestment period . In pre-disinvestment period highest ratio was 5.3913 in 2011-12 and in post disinvestment period highest ratio was 6.2588 in 2019-20.</w:t>
      </w:r>
    </w:p>
    <w:p w:rsidR="007D5052" w:rsidRDefault="00A57830">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Working Capital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IV shows negative ratio during pre-disinvestment period wherea</w:t>
      </w:r>
      <w:r>
        <w:rPr>
          <w:rFonts w:ascii="Times New Roman" w:eastAsia="Times New Roman" w:hAnsi="Times New Roman" w:cs="Times New Roman"/>
          <w:sz w:val="20"/>
          <w:szCs w:val="20"/>
        </w:rPr>
        <w:t>s it shows an increasing trend during post-disinvestment with positive ratio.</w:t>
      </w:r>
    </w:p>
    <w:p w:rsidR="007D5052" w:rsidRDefault="00A57830">
      <w:pPr>
        <w:numPr>
          <w:ilvl w:val="0"/>
          <w:numId w:val="14"/>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Profitability Ratio:</w:t>
      </w:r>
    </w:p>
    <w:p w:rsidR="007D5052" w:rsidRDefault="00A57830">
      <w:pPr>
        <w:numPr>
          <w:ilvl w:val="0"/>
          <w:numId w:val="16"/>
        </w:numPr>
        <w:pBdr>
          <w:top w:val="nil"/>
          <w:left w:val="nil"/>
          <w:bottom w:val="nil"/>
          <w:right w:val="nil"/>
          <w:between w:val="nil"/>
        </w:pBdr>
        <w:spacing w:after="0"/>
        <w:jc w:val="both"/>
        <w:rPr>
          <w:b/>
          <w:color w:val="000000"/>
        </w:rPr>
      </w:pPr>
      <w:r>
        <w:rPr>
          <w:rFonts w:ascii="Times New Roman" w:eastAsia="Times New Roman" w:hAnsi="Times New Roman" w:cs="Times New Roman"/>
          <w:color w:val="000000"/>
          <w:sz w:val="20"/>
          <w:szCs w:val="20"/>
          <w:u w:val="single"/>
        </w:rPr>
        <w:t>Operating Profit Ratio</w:t>
      </w:r>
      <w:r>
        <w:rPr>
          <w:rFonts w:ascii="Times New Roman" w:eastAsia="Times New Roman" w:hAnsi="Times New Roman" w:cs="Times New Roman"/>
          <w:b/>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evidenced from the table IV throughout the study period it recorded a negative ratio. However in pre-disinvestment period it showe</w:t>
      </w:r>
      <w:r>
        <w:rPr>
          <w:rFonts w:ascii="Times New Roman" w:eastAsia="Times New Roman" w:hAnsi="Times New Roman" w:cs="Times New Roman"/>
          <w:sz w:val="20"/>
          <w:szCs w:val="20"/>
        </w:rPr>
        <w:t>d an increasing trend and in post-disinvestment period it showed a declining trend.</w:t>
      </w:r>
    </w:p>
    <w:p w:rsidR="007D5052" w:rsidRDefault="007D5052">
      <w:pPr>
        <w:ind w:left="720"/>
        <w:jc w:val="both"/>
        <w:rPr>
          <w:rFonts w:ascii="Times New Roman" w:eastAsia="Times New Roman" w:hAnsi="Times New Roman" w:cs="Times New Roman"/>
          <w:sz w:val="20"/>
          <w:szCs w:val="20"/>
        </w:rPr>
      </w:pPr>
    </w:p>
    <w:p w:rsidR="007D5052" w:rsidRDefault="00A57830">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Return on Investment</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the table it is seen that this ratio was negative throughout the study period but during pre-disinvestment period its rate of negativity increas</w:t>
      </w:r>
      <w:r>
        <w:rPr>
          <w:rFonts w:ascii="Times New Roman" w:eastAsia="Times New Roman" w:hAnsi="Times New Roman" w:cs="Times New Roman"/>
          <w:sz w:val="20"/>
          <w:szCs w:val="20"/>
        </w:rPr>
        <w:t xml:space="preserve">ed whereas during post-disinvestment its rate of negativity decreased. </w:t>
      </w:r>
    </w:p>
    <w:p w:rsidR="007D5052" w:rsidRDefault="00A57830">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Return on Equity</w:t>
      </w:r>
      <w:r>
        <w:rPr>
          <w:rFonts w:ascii="Times New Roman" w:eastAsia="Times New Roman" w:hAnsi="Times New Roman" w:cs="Times New Roman"/>
          <w:color w:val="000000"/>
          <w:sz w:val="20"/>
          <w:szCs w:val="20"/>
        </w:rPr>
        <w:t>:</w:t>
      </w:r>
    </w:p>
    <w:p w:rsidR="007D5052" w:rsidRDefault="00A57830">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Throughout the study period it did not give any return to its shareholders.</w:t>
      </w:r>
    </w:p>
    <w:p w:rsidR="007D5052" w:rsidRDefault="00A57830">
      <w:pPr>
        <w:spacing w:after="0"/>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TABLE – IV</w:t>
      </w:r>
    </w:p>
    <w:p w:rsidR="007D5052" w:rsidRDefault="00A57830">
      <w:pPr>
        <w:spacing w:after="0"/>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                                                         FINANCIAL HIGHLIGHTS OF WBATCL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Crores</w:t>
      </w:r>
      <w:proofErr w:type="spellEnd"/>
    </w:p>
    <w:tbl>
      <w:tblPr>
        <w:tblStyle w:val="a2"/>
        <w:tblW w:w="12725" w:type="dxa"/>
        <w:tblInd w:w="4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5"/>
        <w:gridCol w:w="3260"/>
        <w:gridCol w:w="1134"/>
        <w:gridCol w:w="1134"/>
        <w:gridCol w:w="1135"/>
        <w:gridCol w:w="1134"/>
        <w:gridCol w:w="1134"/>
        <w:gridCol w:w="1134"/>
        <w:gridCol w:w="992"/>
        <w:gridCol w:w="993"/>
      </w:tblGrid>
      <w:tr w:rsidR="007D5052">
        <w:trPr>
          <w:trHeight w:val="64"/>
        </w:trPr>
        <w:tc>
          <w:tcPr>
            <w:tcW w:w="675"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Sl. No</w:t>
            </w:r>
          </w:p>
        </w:tc>
        <w:tc>
          <w:tcPr>
            <w:tcW w:w="3260" w:type="dxa"/>
          </w:tcPr>
          <w:p w:rsidR="007D5052" w:rsidRDefault="007D5052">
            <w:pPr>
              <w:rPr>
                <w:rFonts w:ascii="Times New Roman" w:eastAsia="Times New Roman" w:hAnsi="Times New Roman" w:cs="Times New Roman"/>
                <w:sz w:val="20"/>
                <w:szCs w:val="20"/>
              </w:rPr>
            </w:pPr>
          </w:p>
          <w:p w:rsidR="007D5052" w:rsidRDefault="007D5052">
            <w:pPr>
              <w:rPr>
                <w:rFonts w:ascii="Times New Roman" w:eastAsia="Times New Roman" w:hAnsi="Times New Roman" w:cs="Times New Roman"/>
                <w:sz w:val="20"/>
                <w:szCs w:val="20"/>
              </w:rPr>
            </w:pPr>
          </w:p>
        </w:tc>
        <w:tc>
          <w:tcPr>
            <w:tcW w:w="1134"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2010-11</w:t>
            </w:r>
          </w:p>
        </w:tc>
        <w:tc>
          <w:tcPr>
            <w:tcW w:w="1134"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2011-12</w:t>
            </w:r>
          </w:p>
        </w:tc>
        <w:tc>
          <w:tcPr>
            <w:tcW w:w="1135"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2012-13</w:t>
            </w:r>
          </w:p>
        </w:tc>
        <w:tc>
          <w:tcPr>
            <w:tcW w:w="1134"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2013-14</w:t>
            </w:r>
          </w:p>
        </w:tc>
        <w:tc>
          <w:tcPr>
            <w:tcW w:w="1134" w:type="dxa"/>
          </w:tcPr>
          <w:p w:rsidR="007D5052" w:rsidRDefault="00A57830">
            <w:pP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rPr>
              <w:t>2014-15</w:t>
            </w:r>
          </w:p>
        </w:tc>
        <w:tc>
          <w:tcPr>
            <w:tcW w:w="1134"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2015-16</w:t>
            </w:r>
          </w:p>
        </w:tc>
        <w:tc>
          <w:tcPr>
            <w:tcW w:w="992"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2016-17</w:t>
            </w:r>
          </w:p>
        </w:tc>
        <w:tc>
          <w:tcPr>
            <w:tcW w:w="993"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2017-18</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Sales</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11.4509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12.4066</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8.9941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4.5911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0.2113</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7.8480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11.2787</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11.8762</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Wages and Salaries Paid out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4.3009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4.6949</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4.2938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1.8695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0.0836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2.1480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2.5990</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2.4034</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Gross Value Added</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2.8765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2.9556</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1.8659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1.0192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-0.0952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1.9916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2.7615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2.1211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Capital Employed</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1.1740</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0.3357</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-1.4649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-2.7065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6.3997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7.0653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7.3288</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5.6245</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Borrowing</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136.9304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142.2705</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147.1554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147.1144</w:t>
            </w:r>
          </w:p>
        </w:tc>
        <w:tc>
          <w:tcPr>
            <w:tcW w:w="1134"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1.0193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1.9702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1.4363</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Worth</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-16.0776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-26.3783</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-37.3435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-45.7312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6.3998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6.0460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5.3586</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4.1882</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Sales and Other Income</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11.4509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12.4066</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8.9941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4.5911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0.2113</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7.8480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11.2787</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11.8762</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11.4509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12.4066</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8.9941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4.5911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0.2113</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7.8480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11.2787</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11.8762</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Net  Working Capital</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-1.5522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-1.9656</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-3.4047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-4.2735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4.9338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5.1874</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5.0073</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3.7270</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PBIT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-1.7709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-2.0754</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-2.7056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-1.0766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-0.1884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-0.3432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-0.1346</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-0.5333</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PBDIT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-1.4244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-1.7393</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-2.4279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-0.8503</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-0.1788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-0.1559</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0.1625</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-0.2823</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Interest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8.7306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8.7781</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8.7328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8.4565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0.0065</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0.2142</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0.2099</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-10.5015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-10.8535</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-11.4384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-9.5332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-0.1884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-0.3492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-0.3487</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-0.7433</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PAT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-10.8127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-11.3998</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-12.0765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-9.5974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-0.1884</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-0.3537</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-0.3541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-0.7433</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Assets</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11.0152</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10.4459</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8.0325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6.1189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6.6758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9.1794</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10.5499</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9.2707</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Assets</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8.2890</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8.1446</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6.0927</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4.5519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5.2099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7.3016</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8.2284</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7.3731</w:t>
            </w:r>
          </w:p>
        </w:tc>
      </w:tr>
      <w:tr w:rsidR="007D5052">
        <w:tc>
          <w:tcPr>
            <w:tcW w:w="675" w:type="dxa"/>
            <w:tcBorders>
              <w:top w:val="nil"/>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3260" w:type="dxa"/>
            <w:tcBorders>
              <w:top w:val="nil"/>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Liabilities</w:t>
            </w:r>
          </w:p>
        </w:tc>
        <w:tc>
          <w:tcPr>
            <w:tcW w:w="1134" w:type="dxa"/>
            <w:tcBorders>
              <w:top w:val="nil"/>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9.8412</w:t>
            </w:r>
          </w:p>
        </w:tc>
        <w:tc>
          <w:tcPr>
            <w:tcW w:w="1134" w:type="dxa"/>
            <w:tcBorders>
              <w:top w:val="nil"/>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10.1102</w:t>
            </w:r>
          </w:p>
        </w:tc>
        <w:tc>
          <w:tcPr>
            <w:tcW w:w="1135" w:type="dxa"/>
            <w:tcBorders>
              <w:top w:val="nil"/>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9.4974</w:t>
            </w:r>
          </w:p>
        </w:tc>
        <w:tc>
          <w:tcPr>
            <w:tcW w:w="1134" w:type="dxa"/>
            <w:tcBorders>
              <w:top w:val="nil"/>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8.8254</w:t>
            </w:r>
          </w:p>
        </w:tc>
        <w:tc>
          <w:tcPr>
            <w:tcW w:w="1134" w:type="dxa"/>
            <w:tcBorders>
              <w:top w:val="nil"/>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0.2762</w:t>
            </w:r>
          </w:p>
        </w:tc>
        <w:tc>
          <w:tcPr>
            <w:tcW w:w="1134" w:type="dxa"/>
            <w:tcBorders>
              <w:top w:val="nil"/>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2.1142</w:t>
            </w:r>
          </w:p>
        </w:tc>
        <w:tc>
          <w:tcPr>
            <w:tcW w:w="992" w:type="dxa"/>
            <w:tcBorders>
              <w:top w:val="nil"/>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3.2211</w:t>
            </w:r>
          </w:p>
        </w:tc>
        <w:tc>
          <w:tcPr>
            <w:tcW w:w="993" w:type="dxa"/>
            <w:tcBorders>
              <w:top w:val="nil"/>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3.6462</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Cash Loss</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-10.1550</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-10.5174</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-11.1606</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-9.3068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-0.1788</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-0.1629</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-0.0517</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-0.4922</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 to Exchequer</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8.8015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8.8544</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8.7889</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8.5135</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0.0000</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0.0358</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0.0371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0.0299</w:t>
            </w:r>
          </w:p>
        </w:tc>
      </w:tr>
      <w:tr w:rsidR="007D5052">
        <w:tc>
          <w:tcPr>
            <w:tcW w:w="12725" w:type="dxa"/>
            <w:gridSpan w:val="10"/>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RATIOS</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 a</w:t>
            </w:r>
          </w:p>
        </w:tc>
        <w:tc>
          <w:tcPr>
            <w:tcW w:w="3260" w:type="dxa"/>
            <w:tcBorders>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Gross Value Added per Rupee Wages Paid</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0.6688:1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0.6295:1</w:t>
            </w:r>
          </w:p>
        </w:tc>
        <w:tc>
          <w:tcPr>
            <w:tcW w:w="1135"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0.4346:1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0.5452:1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(1.1386):1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0.9274:1</w:t>
            </w:r>
          </w:p>
        </w:tc>
        <w:tc>
          <w:tcPr>
            <w:tcW w:w="99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1.0625:1</w:t>
            </w:r>
          </w:p>
        </w:tc>
        <w:tc>
          <w:tcPr>
            <w:tcW w:w="993"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0.8825:1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2. b</w:t>
            </w:r>
          </w:p>
        </w:tc>
        <w:tc>
          <w:tcPr>
            <w:tcW w:w="3260" w:type="dxa"/>
            <w:tcBorders>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Current Ratio</w:t>
            </w:r>
          </w:p>
        </w:tc>
        <w:tc>
          <w:tcPr>
            <w:tcW w:w="1134"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0.8423:1</w:t>
            </w:r>
          </w:p>
        </w:tc>
        <w:tc>
          <w:tcPr>
            <w:tcW w:w="1134"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0.8056:1</w:t>
            </w:r>
          </w:p>
        </w:tc>
        <w:tc>
          <w:tcPr>
            <w:tcW w:w="1135"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0.6415:1</w:t>
            </w:r>
          </w:p>
        </w:tc>
        <w:tc>
          <w:tcPr>
            <w:tcW w:w="1134"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0.5158:1</w:t>
            </w:r>
          </w:p>
        </w:tc>
        <w:tc>
          <w:tcPr>
            <w:tcW w:w="1134"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18.8651:1</w:t>
            </w:r>
          </w:p>
        </w:tc>
        <w:tc>
          <w:tcPr>
            <w:tcW w:w="1134"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3.4536:1</w:t>
            </w:r>
          </w:p>
        </w:tc>
        <w:tc>
          <w:tcPr>
            <w:tcW w:w="992" w:type="dxa"/>
            <w:tcBorders>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2.5545:1</w:t>
            </w:r>
          </w:p>
        </w:tc>
        <w:tc>
          <w:tcPr>
            <w:tcW w:w="993"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2.0222:1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3. c</w:t>
            </w:r>
          </w:p>
        </w:tc>
        <w:tc>
          <w:tcPr>
            <w:tcW w:w="3260" w:type="dxa"/>
            <w:tcBorders>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Acid Test Ratio</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0.6348:1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0.6579:1</w:t>
            </w:r>
          </w:p>
        </w:tc>
        <w:tc>
          <w:tcPr>
            <w:tcW w:w="1135"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0.5902:1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0.4357:1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17.1823:1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2.8129:1</w:t>
            </w:r>
          </w:p>
        </w:tc>
        <w:tc>
          <w:tcPr>
            <w:tcW w:w="99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1.9481:1</w:t>
            </w:r>
          </w:p>
        </w:tc>
        <w:tc>
          <w:tcPr>
            <w:tcW w:w="993"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1.2232:1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4. d</w:t>
            </w:r>
          </w:p>
        </w:tc>
        <w:tc>
          <w:tcPr>
            <w:tcW w:w="3260" w:type="dxa"/>
            <w:tcBorders>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Debt Equity Ratio</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-8.5168:1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-5.3935:1</w:t>
            </w:r>
          </w:p>
        </w:tc>
        <w:tc>
          <w:tcPr>
            <w:tcW w:w="1135"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-3.9406:1</w:t>
            </w: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-3.2169:1</w:t>
            </w:r>
          </w:p>
        </w:tc>
        <w:tc>
          <w:tcPr>
            <w:tcW w:w="1134" w:type="dxa"/>
            <w:tcBorders>
              <w:left w:val="single" w:sz="4" w:space="0" w:color="000000"/>
              <w:right w:val="single" w:sz="4" w:space="0" w:color="000000"/>
            </w:tcBorders>
            <w:vAlign w:val="bottom"/>
          </w:tcPr>
          <w:p w:rsidR="007D5052" w:rsidRDefault="007D5052">
            <w:pPr>
              <w:rPr>
                <w:rFonts w:ascii="Times New Roman" w:eastAsia="Times New Roman" w:hAnsi="Times New Roman" w:cs="Times New Roman"/>
                <w:color w:val="000000"/>
                <w:sz w:val="20"/>
                <w:szCs w:val="20"/>
              </w:rPr>
            </w:pPr>
          </w:p>
        </w:tc>
        <w:tc>
          <w:tcPr>
            <w:tcW w:w="1134"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0.1686:1</w:t>
            </w:r>
          </w:p>
        </w:tc>
        <w:tc>
          <w:tcPr>
            <w:tcW w:w="99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0.3677:1</w:t>
            </w:r>
          </w:p>
        </w:tc>
        <w:tc>
          <w:tcPr>
            <w:tcW w:w="993" w:type="dxa"/>
            <w:tcBorders>
              <w:lef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0.3429:1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5. e</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Assets Turn Over Ratio</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9.1118:1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34.9842:1</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-5.5008:1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-1.1677:1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0.0324:1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1.1070:1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1.5235:1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2.1098:1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6. f</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 Ratio</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4.2003:1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5.3913:1</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4.6366:1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2.9299:1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0.1442:1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4.1793:1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4.8584:1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6.2588:1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7. g</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Working Capital Turnover Ratio</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-6.8917:1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-5.9745:1</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-2.3668:1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-0.7396:1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0.0420:1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1.5077:1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2.2299:1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3.1839:1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8. h</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Operating Profit Ratio</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(0.1655):1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(0.1767):1</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(0.3358):1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(0.3407):1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(0.9099):1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(0.0438):1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(0.0121):1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(0.0449):1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proofErr w:type="spellStart"/>
            <w:r>
              <w:rPr>
                <w:rFonts w:ascii="Times New Roman" w:eastAsia="Times New Roman" w:hAnsi="Times New Roman" w:cs="Times New Roman"/>
                <w:sz w:val="20"/>
                <w:szCs w:val="20"/>
              </w:rPr>
              <w:t>i</w:t>
            </w:r>
            <w:proofErr w:type="spellEnd"/>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Coverage Ratio</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(0.0228):1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(0.2364):1</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(0.3098):1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(0.1273):1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(52.7179):1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(0.6283):1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(2.5406):1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10. j</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Investment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(0.1608):1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(0.1987):1</w:t>
            </w:r>
          </w:p>
        </w:tc>
        <w:tc>
          <w:tcPr>
            <w:tcW w:w="113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(0.3368):1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(0.1760):1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(0.0282):1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(0.0373):1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(0.0128):1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(0.0575):1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11. k</w:t>
            </w:r>
          </w:p>
        </w:tc>
        <w:tc>
          <w:tcPr>
            <w:tcW w:w="3260"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Equity</w:t>
            </w:r>
          </w:p>
        </w:tc>
        <w:tc>
          <w:tcPr>
            <w:tcW w:w="1134"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5"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-0.0294:1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-0.0585:1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-0.0661:1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-0.1775:1</w:t>
            </w:r>
          </w:p>
        </w:tc>
      </w:tr>
      <w:tr w:rsidR="007D5052">
        <w:tc>
          <w:tcPr>
            <w:tcW w:w="675"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12.l</w:t>
            </w:r>
          </w:p>
        </w:tc>
        <w:tc>
          <w:tcPr>
            <w:tcW w:w="3260" w:type="dxa"/>
          </w:tcPr>
          <w:p w:rsidR="007D5052" w:rsidRDefault="00A57830">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Return On  Capital Employed </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-1.7735:1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-7.8104:1</w:t>
            </w:r>
          </w:p>
        </w:tc>
        <w:tc>
          <w:tcPr>
            <w:tcW w:w="1135"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-0.0294:1</w:t>
            </w:r>
          </w:p>
        </w:tc>
        <w:tc>
          <w:tcPr>
            <w:tcW w:w="1134"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-0.0491:1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-0.0191:1</w:t>
            </w:r>
          </w:p>
        </w:tc>
        <w:tc>
          <w:tcPr>
            <w:tcW w:w="993"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-0.0948:1</w:t>
            </w:r>
          </w:p>
        </w:tc>
      </w:tr>
    </w:tbl>
    <w:p w:rsidR="007D5052" w:rsidRDefault="00A57830">
      <w:pPr>
        <w:ind w:right="-63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 </w:t>
      </w:r>
    </w:p>
    <w:p w:rsidR="007D5052" w:rsidRDefault="007D5052">
      <w:pPr>
        <w:ind w:right="-630"/>
        <w:jc w:val="both"/>
        <w:rPr>
          <w:rFonts w:ascii="Times New Roman" w:eastAsia="Times New Roman" w:hAnsi="Times New Roman" w:cs="Times New Roman"/>
          <w:b/>
          <w:sz w:val="20"/>
          <w:szCs w:val="20"/>
          <w:u w:val="single"/>
        </w:rPr>
      </w:pPr>
    </w:p>
    <w:p w:rsidR="007D5052" w:rsidRDefault="00A57830">
      <w:pPr>
        <w:ind w:right="-63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u w:val="single"/>
        </w:rPr>
        <w:t>West Bengal Chemical Industries Limited. (WBCIL)</w:t>
      </w:r>
    </w:p>
    <w:p w:rsidR="007D5052" w:rsidRDefault="00A57830">
      <w:pPr>
        <w:ind w:right="-630" w:firstLine="720"/>
        <w:jc w:val="both"/>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Financial Highlights of the company are given in details in table V</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period 2010-11 to 2013-14 refers to pre-disinvestment period and 2013-14 to 2016-17 represents post-disinvestment era.</w:t>
      </w:r>
    </w:p>
    <w:p w:rsidR="007D5052" w:rsidRDefault="00A5783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Efficiency in operation is evaluated on the basis of the following</w:t>
      </w:r>
      <w:r>
        <w:rPr>
          <w:rFonts w:ascii="Times New Roman" w:eastAsia="Times New Roman" w:hAnsi="Times New Roman" w:cs="Times New Roman"/>
          <w:color w:val="000000"/>
          <w:sz w:val="20"/>
          <w:szCs w:val="20"/>
        </w:rPr>
        <w:t>:</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Growth in sale</w:t>
      </w:r>
      <w:r>
        <w:rPr>
          <w:rFonts w:ascii="Times New Roman" w:eastAsia="Times New Roman" w:hAnsi="Times New Roman" w:cs="Times New Roman"/>
          <w:color w:val="000000"/>
          <w:sz w:val="20"/>
          <w:szCs w:val="20"/>
        </w:rPr>
        <w:t xml:space="preserve"> :</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Net sale of WBCIL showed more or less same trend throughout pre-disinvestment period but in post-disinvestment period i.e. from 2013-14 to 2016-17 it showed an upward trend.</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Gross Value added per rupee of wages</w:t>
      </w:r>
      <w:r>
        <w:rPr>
          <w:rFonts w:ascii="Times New Roman" w:eastAsia="Times New Roman" w:hAnsi="Times New Roman" w:cs="Times New Roman"/>
          <w:color w:val="000000"/>
          <w:sz w:val="20"/>
          <w:szCs w:val="20"/>
        </w:rPr>
        <w:t xml:space="preserve">: </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evidenced from table V it recorded negat</w:t>
      </w:r>
      <w:r>
        <w:rPr>
          <w:rFonts w:ascii="Times New Roman" w:eastAsia="Times New Roman" w:hAnsi="Times New Roman" w:cs="Times New Roman"/>
          <w:sz w:val="20"/>
          <w:szCs w:val="20"/>
        </w:rPr>
        <w:t>ive value added during pre-disinvestment period and during post-disinvestment period it showed upward trend.</w:t>
      </w:r>
    </w:p>
    <w:p w:rsidR="007D5052" w:rsidRDefault="00A5783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Utilization of Resources:</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Internal Resource Generation</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evidenced from table V, during pre-disinvestment period it showed negative ratio. But during the post-disinvestment period it showed positive ratio with fluctuating trend.</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Contribution to exchequer</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During post- disinvestment period it showed downward t</w:t>
      </w:r>
      <w:r>
        <w:rPr>
          <w:rFonts w:ascii="Times New Roman" w:eastAsia="Times New Roman" w:hAnsi="Times New Roman" w:cs="Times New Roman"/>
          <w:sz w:val="20"/>
          <w:szCs w:val="20"/>
        </w:rPr>
        <w:t xml:space="preserve">rend. Highest contribution was Rs.0.3176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the year 2013-14 and lowest contribution was </w:t>
      </w:r>
      <w:proofErr w:type="spellStart"/>
      <w:r>
        <w:rPr>
          <w:rFonts w:ascii="Times New Roman" w:eastAsia="Times New Roman" w:hAnsi="Times New Roman" w:cs="Times New Roman"/>
          <w:sz w:val="20"/>
          <w:szCs w:val="20"/>
        </w:rPr>
        <w:t>Rs</w:t>
      </w:r>
      <w:proofErr w:type="spellEnd"/>
      <w:r>
        <w:rPr>
          <w:rFonts w:ascii="Times New Roman" w:eastAsia="Times New Roman" w:hAnsi="Times New Roman" w:cs="Times New Roman"/>
          <w:sz w:val="20"/>
          <w:szCs w:val="20"/>
        </w:rPr>
        <w:t xml:space="preserve">. 0.2045 </w:t>
      </w:r>
      <w:proofErr w:type="spellStart"/>
      <w:r>
        <w:rPr>
          <w:rFonts w:ascii="Times New Roman" w:eastAsia="Times New Roman" w:hAnsi="Times New Roman" w:cs="Times New Roman"/>
          <w:sz w:val="20"/>
          <w:szCs w:val="20"/>
        </w:rPr>
        <w:t>crore</w:t>
      </w:r>
      <w:proofErr w:type="spellEnd"/>
      <w:r>
        <w:rPr>
          <w:rFonts w:ascii="Times New Roman" w:eastAsia="Times New Roman" w:hAnsi="Times New Roman" w:cs="Times New Roman"/>
          <w:sz w:val="20"/>
          <w:szCs w:val="20"/>
        </w:rPr>
        <w:t xml:space="preserve"> in the year 2017-18.</w:t>
      </w:r>
    </w:p>
    <w:p w:rsidR="007D5052" w:rsidRDefault="00A5783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Liquidity Analysis:</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Current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It is observed from the table V that during pre-disinvestment period it recorded a decre</w:t>
      </w:r>
      <w:r>
        <w:rPr>
          <w:rFonts w:ascii="Times New Roman" w:eastAsia="Times New Roman" w:hAnsi="Times New Roman" w:cs="Times New Roman"/>
          <w:sz w:val="20"/>
          <w:szCs w:val="20"/>
        </w:rPr>
        <w:t>asing trend whereas during post-disinvestment period it showed an increasing trend. But only in the year 2017-18 it was above the acceptable range.</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Quick Ratio</w:t>
      </w:r>
      <w:r>
        <w:rPr>
          <w:rFonts w:ascii="Times New Roman" w:eastAsia="Times New Roman" w:hAnsi="Times New Roman" w:cs="Times New Roman"/>
          <w:color w:val="000000"/>
          <w:sz w:val="20"/>
          <w:szCs w:val="20"/>
        </w:rPr>
        <w:t>:</w:t>
      </w:r>
    </w:p>
    <w:p w:rsidR="007D5052" w:rsidRDefault="00A57830">
      <w:pPr>
        <w:spacing w:after="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Table V shows that it recorded a decreasing trend in quick ratio of the company in pre-disinves</w:t>
      </w:r>
      <w:r>
        <w:rPr>
          <w:rFonts w:ascii="Times New Roman" w:eastAsia="Times New Roman" w:hAnsi="Times New Roman" w:cs="Times New Roman"/>
          <w:sz w:val="20"/>
          <w:szCs w:val="20"/>
        </w:rPr>
        <w:t>tment period and upward trend in post-disinvestment period.</w:t>
      </w:r>
    </w:p>
    <w:p w:rsidR="007D5052" w:rsidRDefault="007D5052">
      <w:pPr>
        <w:spacing w:after="0"/>
        <w:ind w:left="720"/>
        <w:jc w:val="both"/>
        <w:rPr>
          <w:rFonts w:ascii="Times New Roman" w:eastAsia="Times New Roman" w:hAnsi="Times New Roman" w:cs="Times New Roman"/>
          <w:sz w:val="20"/>
          <w:szCs w:val="20"/>
        </w:rPr>
      </w:pPr>
    </w:p>
    <w:p w:rsidR="007D5052" w:rsidRDefault="00A5783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Leverage:</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Debt Equity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V depicts that WBCIL registered negative debt equity ratio throughout the pre-disinvestment period. During post-disinvestment period it showed a decreasing trend which indicates less dependence on outsiders’ fund.</w:t>
      </w:r>
    </w:p>
    <w:p w:rsidR="007D5052" w:rsidRDefault="00A5783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Utilization of Resources:</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Net Assets Turnover Ratio</w:t>
      </w:r>
      <w:r>
        <w:rPr>
          <w:rFonts w:ascii="Times New Roman" w:eastAsia="Times New Roman" w:hAnsi="Times New Roman" w:cs="Times New Roman"/>
          <w:color w:val="000000"/>
          <w:sz w:val="20"/>
          <w:szCs w:val="20"/>
        </w:rPr>
        <w:t>:</w:t>
      </w:r>
    </w:p>
    <w:p w:rsidR="007D5052" w:rsidRDefault="00A57830">
      <w:pPr>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both pre-disinvestment period and post-disinvestment period it showed fluctuating trend.</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Fixed Assets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V shows a fluctuating trend in fixed assets turnover ratio of the company during pre-disinvestment per</w:t>
      </w:r>
      <w:r>
        <w:rPr>
          <w:rFonts w:ascii="Times New Roman" w:eastAsia="Times New Roman" w:hAnsi="Times New Roman" w:cs="Times New Roman"/>
          <w:sz w:val="20"/>
          <w:szCs w:val="20"/>
        </w:rPr>
        <w:t>iod and upward trend in this ratio during the post-disinvestment period. In pre-disinvestment period highest ratio was 2.4355 in the year 2012-13 and in post-disinvestment period highest ratio was 13.7173 in the year 2016-17</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Working Capital Turnover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Table V shows a fluctuating trend in pre-disinvestment period whereas it shows a decreasing trend during post-disinvestment period.</w:t>
      </w:r>
    </w:p>
    <w:p w:rsidR="007D5052" w:rsidRDefault="00A57830">
      <w:pPr>
        <w:numPr>
          <w:ilvl w:val="0"/>
          <w:numId w:val="1"/>
        </w:numPr>
        <w:pBdr>
          <w:top w:val="nil"/>
          <w:left w:val="nil"/>
          <w:bottom w:val="nil"/>
          <w:right w:val="nil"/>
          <w:between w:val="nil"/>
        </w:pBdr>
        <w:spacing w:after="0"/>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Profitability Analysis:</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Operating profit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evidenced from the table V, it recorded negative ratio in pre-disinvestment period. But in post-disinvestment period it showed a positive ratio with negative trend.</w:t>
      </w: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Interest Coverage Ratio</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From the above table it is seen that this ratio was negative du</w:t>
      </w:r>
      <w:r>
        <w:rPr>
          <w:rFonts w:ascii="Times New Roman" w:eastAsia="Times New Roman" w:hAnsi="Times New Roman" w:cs="Times New Roman"/>
          <w:sz w:val="20"/>
          <w:szCs w:val="20"/>
        </w:rPr>
        <w:t xml:space="preserve">ring pre-disinvestment period whereas during post-disinvestment period it recorded </w:t>
      </w:r>
      <w:proofErr w:type="spellStart"/>
      <w:proofErr w:type="gramStart"/>
      <w:r>
        <w:rPr>
          <w:rFonts w:ascii="Times New Roman" w:eastAsia="Times New Roman" w:hAnsi="Times New Roman" w:cs="Times New Roman"/>
          <w:sz w:val="20"/>
          <w:szCs w:val="20"/>
        </w:rPr>
        <w:t>a</w:t>
      </w:r>
      <w:proofErr w:type="spellEnd"/>
      <w:proofErr w:type="gramEnd"/>
      <w:r>
        <w:rPr>
          <w:rFonts w:ascii="Times New Roman" w:eastAsia="Times New Roman" w:hAnsi="Times New Roman" w:cs="Times New Roman"/>
          <w:sz w:val="20"/>
          <w:szCs w:val="20"/>
        </w:rPr>
        <w:t xml:space="preserve"> increasing trend with positive ratio.</w:t>
      </w:r>
    </w:p>
    <w:p w:rsidR="007D5052" w:rsidRDefault="007D5052">
      <w:pPr>
        <w:ind w:left="720"/>
        <w:jc w:val="both"/>
        <w:rPr>
          <w:rFonts w:ascii="Times New Roman" w:eastAsia="Times New Roman" w:hAnsi="Times New Roman" w:cs="Times New Roman"/>
          <w:sz w:val="20"/>
          <w:szCs w:val="20"/>
        </w:rPr>
      </w:pPr>
    </w:p>
    <w:p w:rsidR="007D5052" w:rsidRDefault="00A57830">
      <w:pPr>
        <w:numPr>
          <w:ilvl w:val="0"/>
          <w:numId w:val="1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sz w:val="20"/>
          <w:szCs w:val="20"/>
          <w:u w:val="single"/>
        </w:rPr>
        <w:t>Return on Investment</w:t>
      </w:r>
      <w:r>
        <w:rPr>
          <w:rFonts w:ascii="Times New Roman" w:eastAsia="Times New Roman" w:hAnsi="Times New Roman" w:cs="Times New Roman"/>
          <w:color w:val="000000"/>
          <w:sz w:val="20"/>
          <w:szCs w:val="20"/>
        </w:rPr>
        <w:t>:</w:t>
      </w:r>
    </w:p>
    <w:p w:rsidR="007D5052" w:rsidRDefault="00A57830">
      <w:pPr>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 evidenced from table V, in pre-disinvestment period it registered negative ratio whereas in post-disinvestm</w:t>
      </w:r>
      <w:r>
        <w:rPr>
          <w:rFonts w:ascii="Times New Roman" w:eastAsia="Times New Roman" w:hAnsi="Times New Roman" w:cs="Times New Roman"/>
          <w:sz w:val="20"/>
          <w:szCs w:val="20"/>
        </w:rPr>
        <w:t>ent period, it recorded a fluctuating trend with positive ratio.</w:t>
      </w:r>
    </w:p>
    <w:p w:rsidR="007D5052" w:rsidRDefault="00A57830">
      <w:pPr>
        <w:numPr>
          <w:ilvl w:val="0"/>
          <w:numId w:val="3"/>
        </w:numPr>
        <w:pBdr>
          <w:top w:val="nil"/>
          <w:left w:val="nil"/>
          <w:bottom w:val="nil"/>
          <w:right w:val="nil"/>
          <w:between w:val="nil"/>
        </w:pBdr>
        <w:spacing w:after="0"/>
        <w:jc w:val="both"/>
        <w:rPr>
          <w:color w:val="000000"/>
          <w:sz w:val="20"/>
          <w:szCs w:val="20"/>
        </w:rPr>
      </w:pPr>
      <w:r>
        <w:rPr>
          <w:rFonts w:ascii="Times New Roman" w:eastAsia="Times New Roman" w:hAnsi="Times New Roman" w:cs="Times New Roman"/>
          <w:color w:val="000000"/>
          <w:sz w:val="20"/>
          <w:szCs w:val="20"/>
          <w:u w:val="single"/>
        </w:rPr>
        <w:t>Return on Equity</w:t>
      </w:r>
      <w:r>
        <w:rPr>
          <w:rFonts w:ascii="Times New Roman" w:eastAsia="Times New Roman" w:hAnsi="Times New Roman" w:cs="Times New Roman"/>
          <w:color w:val="000000"/>
          <w:sz w:val="20"/>
          <w:szCs w:val="20"/>
        </w:rPr>
        <w:t xml:space="preserve">: </w:t>
      </w:r>
    </w:p>
    <w:p w:rsidR="007D5052" w:rsidRDefault="00A57830">
      <w:pPr>
        <w:spacing w:after="0"/>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As evidenced from table V, in pre- disinvestment period it did not give any return to its shareholders due to negative PAT, but during post- disinvestment period it could </w:t>
      </w:r>
      <w:proofErr w:type="spellStart"/>
      <w:r>
        <w:rPr>
          <w:rFonts w:ascii="Times New Roman" w:eastAsia="Times New Roman" w:hAnsi="Times New Roman" w:cs="Times New Roman"/>
          <w:sz w:val="20"/>
          <w:szCs w:val="20"/>
        </w:rPr>
        <w:t>given</w:t>
      </w:r>
      <w:proofErr w:type="spellEnd"/>
      <w:r>
        <w:rPr>
          <w:rFonts w:ascii="Times New Roman" w:eastAsia="Times New Roman" w:hAnsi="Times New Roman" w:cs="Times New Roman"/>
          <w:sz w:val="20"/>
          <w:szCs w:val="20"/>
        </w:rPr>
        <w:t xml:space="preserve"> positive return to its shareholders.</w:t>
      </w:r>
    </w:p>
    <w:p w:rsidR="007D5052" w:rsidRDefault="00A57830">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TABLE – V                                 </w:t>
      </w:r>
      <w:r>
        <w:rPr>
          <w:rFonts w:ascii="Times New Roman" w:eastAsia="Times New Roman" w:hAnsi="Times New Roman" w:cs="Times New Roman"/>
          <w:b/>
          <w:sz w:val="20"/>
          <w:szCs w:val="20"/>
        </w:rPr>
        <w:t xml:space="preserve">                                              </w:t>
      </w:r>
    </w:p>
    <w:p w:rsidR="007D5052" w:rsidRDefault="00A57830">
      <w:pPr>
        <w:spacing w:after="0"/>
        <w:ind w:left="-426" w:right="-343"/>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rPr>
        <w:t xml:space="preserve">                                                                        FINANCIAL HIGHLIGHTS OF WBCIL                                                          </w:t>
      </w:r>
      <w:proofErr w:type="spellStart"/>
      <w:r>
        <w:rPr>
          <w:rFonts w:ascii="Times New Roman" w:eastAsia="Times New Roman" w:hAnsi="Times New Roman" w:cs="Times New Roman"/>
          <w:b/>
          <w:sz w:val="20"/>
          <w:szCs w:val="20"/>
        </w:rPr>
        <w:t>Rs</w:t>
      </w:r>
      <w:proofErr w:type="spellEnd"/>
      <w:r>
        <w:rPr>
          <w:rFonts w:ascii="Times New Roman" w:eastAsia="Times New Roman" w:hAnsi="Times New Roman" w:cs="Times New Roman"/>
          <w:b/>
          <w:sz w:val="20"/>
          <w:szCs w:val="20"/>
        </w:rPr>
        <w:t xml:space="preserve">. In </w:t>
      </w:r>
      <w:proofErr w:type="spellStart"/>
      <w:r>
        <w:rPr>
          <w:rFonts w:ascii="Times New Roman" w:eastAsia="Times New Roman" w:hAnsi="Times New Roman" w:cs="Times New Roman"/>
          <w:b/>
          <w:sz w:val="20"/>
          <w:szCs w:val="20"/>
        </w:rPr>
        <w:t>Crore</w:t>
      </w:r>
      <w:proofErr w:type="spellEnd"/>
    </w:p>
    <w:tbl>
      <w:tblPr>
        <w:tblStyle w:val="a3"/>
        <w:tblW w:w="15129" w:type="dxa"/>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3402"/>
        <w:gridCol w:w="1276"/>
        <w:gridCol w:w="1417"/>
        <w:gridCol w:w="1418"/>
        <w:gridCol w:w="1351"/>
        <w:gridCol w:w="1342"/>
        <w:gridCol w:w="1276"/>
        <w:gridCol w:w="419"/>
        <w:gridCol w:w="715"/>
        <w:gridCol w:w="992"/>
        <w:gridCol w:w="841"/>
      </w:tblGrid>
      <w:tr w:rsidR="007D5052">
        <w:trPr>
          <w:trHeight w:val="222"/>
        </w:trPr>
        <w:tc>
          <w:tcPr>
            <w:tcW w:w="681" w:type="dxa"/>
          </w:tcPr>
          <w:p w:rsidR="007D5052" w:rsidRDefault="00A57830">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Sl. No.</w:t>
            </w:r>
          </w:p>
        </w:tc>
        <w:tc>
          <w:tcPr>
            <w:tcW w:w="3402" w:type="dxa"/>
          </w:tcPr>
          <w:p w:rsidR="007D5052" w:rsidRDefault="007D5052">
            <w:pPr>
              <w:rPr>
                <w:rFonts w:ascii="Times New Roman" w:eastAsia="Times New Roman" w:hAnsi="Times New Roman" w:cs="Times New Roman"/>
                <w:sz w:val="20"/>
                <w:szCs w:val="20"/>
              </w:rPr>
            </w:pPr>
          </w:p>
        </w:tc>
        <w:tc>
          <w:tcPr>
            <w:tcW w:w="1276"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2011-12</w:t>
            </w:r>
          </w:p>
        </w:tc>
        <w:tc>
          <w:tcPr>
            <w:tcW w:w="1417"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2012-13</w:t>
            </w:r>
          </w:p>
        </w:tc>
        <w:tc>
          <w:tcPr>
            <w:tcW w:w="1418"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2013-14</w:t>
            </w:r>
          </w:p>
        </w:tc>
        <w:tc>
          <w:tcPr>
            <w:tcW w:w="1351"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2014-15</w:t>
            </w:r>
          </w:p>
        </w:tc>
        <w:tc>
          <w:tcPr>
            <w:tcW w:w="1342"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2015-16</w:t>
            </w:r>
          </w:p>
        </w:tc>
        <w:tc>
          <w:tcPr>
            <w:tcW w:w="1276"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2016-17</w:t>
            </w:r>
          </w:p>
        </w:tc>
        <w:tc>
          <w:tcPr>
            <w:tcW w:w="1134" w:type="dxa"/>
            <w:gridSpan w:val="2"/>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2017-18</w:t>
            </w:r>
          </w:p>
        </w:tc>
        <w:tc>
          <w:tcPr>
            <w:tcW w:w="992" w:type="dxa"/>
          </w:tcPr>
          <w:p w:rsidR="007D5052" w:rsidRDefault="00A57830">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2018-19</w:t>
            </w:r>
          </w:p>
        </w:tc>
        <w:tc>
          <w:tcPr>
            <w:tcW w:w="841" w:type="dxa"/>
            <w:vMerge w:val="restart"/>
            <w:tcBorders>
              <w:top w:val="nil"/>
              <w:right w:val="nil"/>
            </w:tcBorders>
          </w:tcPr>
          <w:p w:rsidR="007D5052" w:rsidRDefault="007D5052">
            <w:pPr>
              <w:jc w:val="center"/>
              <w:rPr>
                <w:rFonts w:ascii="Times New Roman" w:eastAsia="Times New Roman" w:hAnsi="Times New Roman" w:cs="Times New Roman"/>
                <w:b/>
                <w:sz w:val="20"/>
                <w:szCs w:val="20"/>
              </w:rPr>
            </w:pPr>
          </w:p>
        </w:tc>
      </w:tr>
      <w:tr w:rsidR="007D5052">
        <w:trPr>
          <w:trHeight w:val="193"/>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Growth in Sales</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1.3081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1.1225</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1.3652</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2.4227</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2.9711</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5.1307</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6.7573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7.6792</w:t>
            </w:r>
          </w:p>
        </w:tc>
        <w:tc>
          <w:tcPr>
            <w:tcW w:w="841" w:type="dxa"/>
            <w:vMerge/>
            <w:tcBorders>
              <w:top w:val="nil"/>
              <w:right w:val="nil"/>
            </w:tcBorders>
          </w:tcPr>
          <w:p w:rsidR="007D5052" w:rsidRDefault="007D5052">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D5052">
        <w:trPr>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Wages and Salaries Paid out</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1.9321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0.6684</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0.2724</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0.2325</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0.2321</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0.2269</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0.2570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0.2930</w:t>
            </w:r>
          </w:p>
        </w:tc>
        <w:tc>
          <w:tcPr>
            <w:tcW w:w="841" w:type="dxa"/>
            <w:vMerge/>
            <w:tcBorders>
              <w:top w:val="nil"/>
              <w:right w:val="nil"/>
            </w:tcBorders>
          </w:tcPr>
          <w:p w:rsidR="007D5052" w:rsidRDefault="007D5052">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D5052">
        <w:trPr>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Gross Value Added</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-0.2997</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-0.9925</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-0.0670</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0.7370</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0.7417</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0.9194</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1.0732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1.1201</w:t>
            </w:r>
          </w:p>
        </w:tc>
        <w:tc>
          <w:tcPr>
            <w:tcW w:w="841" w:type="dxa"/>
            <w:vMerge/>
            <w:tcBorders>
              <w:top w:val="nil"/>
              <w:right w:val="nil"/>
            </w:tcBorders>
          </w:tcPr>
          <w:p w:rsidR="007D5052" w:rsidRDefault="007D5052">
            <w:pPr>
              <w:widowControl w:val="0"/>
              <w:pBdr>
                <w:top w:val="nil"/>
                <w:left w:val="nil"/>
                <w:bottom w:val="nil"/>
                <w:right w:val="nil"/>
                <w:between w:val="nil"/>
              </w:pBdr>
              <w:spacing w:line="276" w:lineRule="auto"/>
              <w:rPr>
                <w:rFonts w:ascii="Times New Roman" w:eastAsia="Times New Roman" w:hAnsi="Times New Roman" w:cs="Times New Roman"/>
                <w:color w:val="000000"/>
                <w:sz w:val="20"/>
                <w:szCs w:val="20"/>
              </w:rPr>
            </w:pP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Capital Employed</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0.8767</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0.7797</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0.1802</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0.7758</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0.9798</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1.1317</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2.2640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2.8670</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5</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Borrowing</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22.0122</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23.9458</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2.9917</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3.3335</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2.9102</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2.3079</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2.1239</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2.2801</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Worth</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-20.6721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-21.1786</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-0.9436</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-0.7736</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-0.2437</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0.4208</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1.6103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1.8952</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Sales and Other Income</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1.3491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1.1527</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1.3907</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2.4820</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2.9940</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5.1413</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6.7642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7.6939</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0.7233</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0.6634</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0.5710</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0.5117</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0.4808</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0.4106</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0.4931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0.5837</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9</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Net  Working Capital</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0.1534</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0.1163</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-0.3908</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0.2641</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0.4989</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0.7211</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1.7709</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2.2833</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PBIT</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-2.3306</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-1.7529</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-0.4141</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0.4418</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0.4567</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0.6450</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0.7675</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0.7630</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PBDIT</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-2.2318</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-1.6609</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-0.3394</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0.5045</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0.5096</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0.6925</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0.8162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0.8270</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Interest</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1.2305</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1.4589</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0.7037</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0.2944</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0.3110</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0.2588</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0.2422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0.1914</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13</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PBT</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-3.5611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-3.2118</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-1.1178</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0.1473</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0.1457</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0.3861</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0.5253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0.5716</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14</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PAT</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-3.1012</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-3.2266</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-1.6128</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0.1282</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0.1504</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0.3878</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0.4983</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0.4615</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15</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Assets</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2.3636</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1.9777</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1.1918</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2.2367</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2.4568</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3.7108</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4.0540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4.9827</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16</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Assets</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1.6403</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1.3143</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0.6207</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1.7250</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1.9759</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3.3002</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3.5609</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4.3990</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Total Current Liabilities</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1.4869</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1.1980</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1.0116</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1.4610</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1.4770</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2.5791</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1.7900</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2.1157</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Cash Loss</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-3.4623</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-3.1198</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-1.0431</w:t>
            </w:r>
          </w:p>
        </w:tc>
        <w:tc>
          <w:tcPr>
            <w:tcW w:w="1351"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342"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276"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1134" w:type="dxa"/>
            <w:gridSpan w:val="2"/>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92" w:type="dxa"/>
            <w:vAlign w:val="bottom"/>
          </w:tcPr>
          <w:p w:rsidR="007D5052" w:rsidRDefault="00A57830">
            <w:pP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Contribution to Exchequer</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1.2328</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1.4641</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1.0469</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0.3176</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0.2964</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0.2766</w:t>
            </w:r>
          </w:p>
        </w:tc>
        <w:tc>
          <w:tcPr>
            <w:tcW w:w="1134"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0.2312</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0.2045</w:t>
            </w:r>
          </w:p>
        </w:tc>
      </w:tr>
      <w:tr w:rsidR="007D5052">
        <w:trPr>
          <w:gridAfter w:val="1"/>
          <w:wAfter w:w="841" w:type="dxa"/>
          <w:trHeight w:val="64"/>
        </w:trPr>
        <w:tc>
          <w:tcPr>
            <w:tcW w:w="14289" w:type="dxa"/>
            <w:gridSpan w:val="11"/>
          </w:tcPr>
          <w:p w:rsidR="007D5052" w:rsidRDefault="00A5783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FINANCIAL RATIOS</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 a</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Gross Value Added Per Rupee Wages Paid</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(0.1551):1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(1.4850):1</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(0.2461):1</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3.1702:1</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3.1957:1</w:t>
            </w:r>
          </w:p>
        </w:tc>
        <w:tc>
          <w:tcPr>
            <w:tcW w:w="1695"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4.0517:1</w:t>
            </w:r>
          </w:p>
        </w:tc>
        <w:tc>
          <w:tcPr>
            <w:tcW w:w="71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4.1754:1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3.8223:1</w:t>
            </w:r>
          </w:p>
        </w:tc>
      </w:tr>
      <w:tr w:rsidR="007D5052">
        <w:trPr>
          <w:gridAfter w:val="1"/>
          <w:wAfter w:w="841" w:type="dxa"/>
          <w:trHeight w:val="210"/>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2. b</w:t>
            </w:r>
          </w:p>
        </w:tc>
        <w:tc>
          <w:tcPr>
            <w:tcW w:w="3402" w:type="dxa"/>
            <w:tcBorders>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Internal Resource Generation</w:t>
            </w:r>
          </w:p>
        </w:tc>
        <w:tc>
          <w:tcPr>
            <w:tcW w:w="1276"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(2.4330):1</w:t>
            </w:r>
          </w:p>
        </w:tc>
        <w:tc>
          <w:tcPr>
            <w:tcW w:w="1417"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(2.0121):1</w:t>
            </w:r>
          </w:p>
        </w:tc>
        <w:tc>
          <w:tcPr>
            <w:tcW w:w="141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(1.4697):1</w:t>
            </w:r>
          </w:p>
        </w:tc>
        <w:tc>
          <w:tcPr>
            <w:tcW w:w="1351"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0.7312:1</w:t>
            </w:r>
          </w:p>
        </w:tc>
        <w:tc>
          <w:tcPr>
            <w:tcW w:w="1342"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0.5741:1</w:t>
            </w:r>
          </w:p>
        </w:tc>
        <w:tc>
          <w:tcPr>
            <w:tcW w:w="1695" w:type="dxa"/>
            <w:gridSpan w:val="2"/>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0.6540:1</w:t>
            </w:r>
          </w:p>
        </w:tc>
        <w:tc>
          <w:tcPr>
            <w:tcW w:w="715"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0.3820:1</w:t>
            </w:r>
          </w:p>
        </w:tc>
        <w:tc>
          <w:tcPr>
            <w:tcW w:w="992" w:type="dxa"/>
            <w:tcBorders>
              <w:left w:val="single" w:sz="4" w:space="0" w:color="000000"/>
              <w:bottom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0.3108:1</w:t>
            </w:r>
          </w:p>
        </w:tc>
      </w:tr>
      <w:tr w:rsidR="007D5052">
        <w:trPr>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3. c</w:t>
            </w:r>
          </w:p>
        </w:tc>
        <w:tc>
          <w:tcPr>
            <w:tcW w:w="3402" w:type="dxa"/>
            <w:tcBorders>
              <w:bottom w:val="single" w:sz="4" w:space="0" w:color="000000"/>
              <w:right w:val="single" w:sz="4" w:space="0" w:color="000000"/>
            </w:tcBorders>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Current Ratio</w:t>
            </w:r>
          </w:p>
        </w:tc>
        <w:tc>
          <w:tcPr>
            <w:tcW w:w="1276" w:type="dxa"/>
            <w:tcBorders>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1.1032:1</w:t>
            </w:r>
          </w:p>
        </w:tc>
        <w:tc>
          <w:tcPr>
            <w:tcW w:w="1417" w:type="dxa"/>
            <w:tcBorders>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1.0971:1</w:t>
            </w:r>
          </w:p>
        </w:tc>
        <w:tc>
          <w:tcPr>
            <w:tcW w:w="1418" w:type="dxa"/>
            <w:tcBorders>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0.6136:1</w:t>
            </w:r>
          </w:p>
        </w:tc>
        <w:tc>
          <w:tcPr>
            <w:tcW w:w="1351" w:type="dxa"/>
            <w:tcBorders>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1.1807:1</w:t>
            </w:r>
          </w:p>
        </w:tc>
        <w:tc>
          <w:tcPr>
            <w:tcW w:w="1342" w:type="dxa"/>
            <w:tcBorders>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1.3378:1</w:t>
            </w:r>
          </w:p>
        </w:tc>
        <w:tc>
          <w:tcPr>
            <w:tcW w:w="1695" w:type="dxa"/>
            <w:gridSpan w:val="2"/>
            <w:tcBorders>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1.2796:1</w:t>
            </w:r>
          </w:p>
        </w:tc>
        <w:tc>
          <w:tcPr>
            <w:tcW w:w="715" w:type="dxa"/>
            <w:tcBorders>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1.9893:1</w:t>
            </w:r>
          </w:p>
        </w:tc>
        <w:tc>
          <w:tcPr>
            <w:tcW w:w="992" w:type="dxa"/>
            <w:tcBorders>
              <w:bottom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2.0792:1</w:t>
            </w:r>
          </w:p>
        </w:tc>
        <w:tc>
          <w:tcPr>
            <w:tcW w:w="841" w:type="dxa"/>
            <w:tcBorders>
              <w:top w:val="nil"/>
              <w:left w:val="single" w:sz="4" w:space="0" w:color="000000"/>
              <w:right w:val="nil"/>
            </w:tcBorders>
          </w:tcPr>
          <w:p w:rsidR="007D5052" w:rsidRDefault="007D5052">
            <w:pPr>
              <w:jc w:val="right"/>
              <w:rPr>
                <w:rFonts w:ascii="Times New Roman" w:eastAsia="Times New Roman" w:hAnsi="Times New Roman" w:cs="Times New Roman"/>
                <w:sz w:val="20"/>
                <w:szCs w:val="20"/>
              </w:rPr>
            </w:pPr>
          </w:p>
        </w:tc>
      </w:tr>
      <w:tr w:rsidR="007D5052">
        <w:trPr>
          <w:trHeight w:val="64"/>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4. d</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Acid Test Ratio</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0.9870:1</w:t>
            </w:r>
          </w:p>
        </w:tc>
        <w:tc>
          <w:tcPr>
            <w:tcW w:w="1417" w:type="dxa"/>
            <w:tcBorders>
              <w:top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0.9721:1</w:t>
            </w:r>
          </w:p>
        </w:tc>
        <w:tc>
          <w:tcPr>
            <w:tcW w:w="1418" w:type="dxa"/>
            <w:tcBorders>
              <w:top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0.4126:1</w:t>
            </w:r>
          </w:p>
        </w:tc>
        <w:tc>
          <w:tcPr>
            <w:tcW w:w="1351" w:type="dxa"/>
            <w:tcBorders>
              <w:top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0.7231:1</w:t>
            </w:r>
          </w:p>
        </w:tc>
        <w:tc>
          <w:tcPr>
            <w:tcW w:w="1342" w:type="dxa"/>
            <w:tcBorders>
              <w:top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0.9105:1</w:t>
            </w:r>
          </w:p>
        </w:tc>
        <w:tc>
          <w:tcPr>
            <w:tcW w:w="1695" w:type="dxa"/>
            <w:gridSpan w:val="2"/>
            <w:tcBorders>
              <w:top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0.9313:1</w:t>
            </w:r>
          </w:p>
        </w:tc>
        <w:tc>
          <w:tcPr>
            <w:tcW w:w="715" w:type="dxa"/>
            <w:tcBorders>
              <w:top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1.2501:1</w:t>
            </w:r>
          </w:p>
        </w:tc>
        <w:tc>
          <w:tcPr>
            <w:tcW w:w="992" w:type="dxa"/>
            <w:tcBorders>
              <w:top w:val="single" w:sz="4" w:space="0" w:color="000000"/>
              <w:right w:val="single" w:sz="4" w:space="0" w:color="000000"/>
            </w:tcBorders>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1.3482:1</w:t>
            </w:r>
          </w:p>
        </w:tc>
        <w:tc>
          <w:tcPr>
            <w:tcW w:w="841" w:type="dxa"/>
            <w:tcBorders>
              <w:left w:val="single" w:sz="4" w:space="0" w:color="000000"/>
              <w:bottom w:val="nil"/>
              <w:right w:val="nil"/>
            </w:tcBorders>
            <w:vAlign w:val="bottom"/>
          </w:tcPr>
          <w:p w:rsidR="007D5052" w:rsidRDefault="007D5052">
            <w:pPr>
              <w:jc w:val="right"/>
              <w:rPr>
                <w:rFonts w:ascii="Times New Roman" w:eastAsia="Times New Roman" w:hAnsi="Times New Roman" w:cs="Times New Roman"/>
                <w:b/>
                <w:color w:val="000000"/>
                <w:sz w:val="20"/>
                <w:szCs w:val="20"/>
              </w:rPr>
            </w:pP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5. e</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Debt Equity Ratio</w:t>
            </w:r>
          </w:p>
        </w:tc>
        <w:tc>
          <w:tcPr>
            <w:tcW w:w="1276"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(1.0648):1</w:t>
            </w:r>
          </w:p>
        </w:tc>
        <w:tc>
          <w:tcPr>
            <w:tcW w:w="1417" w:type="dxa"/>
            <w:tcBorders>
              <w:right w:val="single" w:sz="4" w:space="0" w:color="000000"/>
            </w:tcBorders>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(1.1307):1</w:t>
            </w:r>
          </w:p>
        </w:tc>
        <w:tc>
          <w:tcPr>
            <w:tcW w:w="1418"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(3.1704):1</w:t>
            </w:r>
          </w:p>
        </w:tc>
        <w:tc>
          <w:tcPr>
            <w:tcW w:w="1351" w:type="dxa"/>
            <w:tcBorders>
              <w:left w:val="single" w:sz="4" w:space="0" w:color="000000"/>
            </w:tcBorders>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(4.3089):1</w:t>
            </w:r>
          </w:p>
        </w:tc>
        <w:tc>
          <w:tcPr>
            <w:tcW w:w="134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(11.9432):1</w:t>
            </w:r>
          </w:p>
        </w:tc>
        <w:tc>
          <w:tcPr>
            <w:tcW w:w="1695" w:type="dxa"/>
            <w:gridSpan w:val="2"/>
            <w:tcBorders>
              <w:right w:val="single" w:sz="4" w:space="0" w:color="000000"/>
            </w:tcBorders>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5.4847:1</w:t>
            </w:r>
          </w:p>
        </w:tc>
        <w:tc>
          <w:tcPr>
            <w:tcW w:w="715" w:type="dxa"/>
            <w:tcBorders>
              <w:left w:val="single" w:sz="4" w:space="0" w:color="000000"/>
              <w:right w:val="single" w:sz="4" w:space="0" w:color="000000"/>
            </w:tcBorders>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1.3190:1</w:t>
            </w:r>
          </w:p>
        </w:tc>
        <w:tc>
          <w:tcPr>
            <w:tcW w:w="992" w:type="dxa"/>
            <w:tcBorders>
              <w:left w:val="single" w:sz="4" w:space="0" w:color="000000"/>
            </w:tcBorders>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1.2031:1</w:t>
            </w:r>
          </w:p>
        </w:tc>
      </w:tr>
      <w:tr w:rsidR="007D5052">
        <w:trPr>
          <w:gridAfter w:val="1"/>
          <w:wAfter w:w="841" w:type="dxa"/>
          <w:trHeight w:val="193"/>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6. f</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Assets Turn Over Ratio</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1.4921:1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1.4396:1</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7.5766:1</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3.1231:1</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3.0325:1</w:t>
            </w:r>
          </w:p>
        </w:tc>
        <w:tc>
          <w:tcPr>
            <w:tcW w:w="1695"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4.5338:1</w:t>
            </w:r>
          </w:p>
        </w:tc>
        <w:tc>
          <w:tcPr>
            <w:tcW w:w="71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2.9847:1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2.6785:1</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 g</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Net Fixed Assets Ratio</w:t>
            </w:r>
          </w:p>
        </w:tc>
        <w:tc>
          <w:tcPr>
            <w:tcW w:w="1276"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1.8652:1</w:t>
            </w:r>
          </w:p>
        </w:tc>
        <w:tc>
          <w:tcPr>
            <w:tcW w:w="1417"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1.7376:1</w:t>
            </w:r>
          </w:p>
        </w:tc>
        <w:tc>
          <w:tcPr>
            <w:tcW w:w="1418"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2.4355:1</w:t>
            </w:r>
          </w:p>
        </w:tc>
        <w:tc>
          <w:tcPr>
            <w:tcW w:w="1351"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4.8507:1</w:t>
            </w:r>
          </w:p>
        </w:tc>
        <w:tc>
          <w:tcPr>
            <w:tcW w:w="134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6.2267:1</w:t>
            </w:r>
          </w:p>
        </w:tc>
        <w:tc>
          <w:tcPr>
            <w:tcW w:w="1695" w:type="dxa"/>
            <w:gridSpan w:val="2"/>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12.5228:1</w:t>
            </w:r>
          </w:p>
        </w:tc>
        <w:tc>
          <w:tcPr>
            <w:tcW w:w="715"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13.7173:1</w:t>
            </w:r>
          </w:p>
        </w:tc>
        <w:tc>
          <w:tcPr>
            <w:tcW w:w="992" w:type="dxa"/>
            <w:vAlign w:val="bottom"/>
          </w:tcPr>
          <w:p w:rsidR="007D5052" w:rsidRDefault="00A57830">
            <w:pPr>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13.1803:1</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8. h</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Working Capital Turnover Ratio</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8.5274:1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9.6479:1</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(3.4930):1</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9.1746:1</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5.9551:1</w:t>
            </w:r>
          </w:p>
        </w:tc>
        <w:tc>
          <w:tcPr>
            <w:tcW w:w="1695"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7.1151:1</w:t>
            </w:r>
          </w:p>
        </w:tc>
        <w:tc>
          <w:tcPr>
            <w:tcW w:w="71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3.8158:1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3.3632:1</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proofErr w:type="spellStart"/>
            <w:r>
              <w:rPr>
                <w:rFonts w:ascii="Times New Roman" w:eastAsia="Times New Roman" w:hAnsi="Times New Roman" w:cs="Times New Roman"/>
                <w:sz w:val="20"/>
                <w:szCs w:val="20"/>
              </w:rPr>
              <w:t>i</w:t>
            </w:r>
            <w:proofErr w:type="spellEnd"/>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Operating Profit Ratio</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(1.7817):1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(1.5616):1</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(0.3033):1</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0.1823:1</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0.1537:1</w:t>
            </w:r>
          </w:p>
        </w:tc>
        <w:tc>
          <w:tcPr>
            <w:tcW w:w="1695"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0.1257:1</w:t>
            </w:r>
          </w:p>
        </w:tc>
        <w:tc>
          <w:tcPr>
            <w:tcW w:w="71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0.1136:1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0.0994:1</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10. j</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Interest Coverage Ratio</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(1.8940):1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(1.2015):1</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(0.5884):1</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1.5005:1</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1.4684:1</w:t>
            </w:r>
          </w:p>
        </w:tc>
        <w:tc>
          <w:tcPr>
            <w:tcW w:w="1695"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2.4919:1</w:t>
            </w:r>
          </w:p>
        </w:tc>
        <w:tc>
          <w:tcPr>
            <w:tcW w:w="71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3.1691:1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3.9872:1</w:t>
            </w:r>
          </w:p>
        </w:tc>
      </w:tr>
      <w:tr w:rsidR="007D5052">
        <w:trPr>
          <w:gridAfter w:val="1"/>
          <w:wAfter w:w="841" w:type="dxa"/>
          <w:trHeight w:val="207"/>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11. k</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Investment</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(0.9860):1</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(0.8863):1</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(0.3474):1</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0.1975:1</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0.1859:1</w:t>
            </w:r>
          </w:p>
        </w:tc>
        <w:tc>
          <w:tcPr>
            <w:tcW w:w="1695"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0.1738:1</w:t>
            </w:r>
          </w:p>
        </w:tc>
        <w:tc>
          <w:tcPr>
            <w:tcW w:w="71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0.1893:1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0.1531:1</w:t>
            </w:r>
          </w:p>
        </w:tc>
      </w:tr>
      <w:tr w:rsidR="007D5052">
        <w:trPr>
          <w:gridAfter w:val="1"/>
          <w:wAfter w:w="841" w:type="dxa"/>
          <w:trHeight w:val="148"/>
        </w:trPr>
        <w:tc>
          <w:tcPr>
            <w:tcW w:w="681"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12. l</w:t>
            </w:r>
          </w:p>
        </w:tc>
        <w:tc>
          <w:tcPr>
            <w:tcW w:w="3402" w:type="dxa"/>
          </w:tcPr>
          <w:p w:rsidR="007D5052" w:rsidRDefault="00A57830">
            <w:pPr>
              <w:rPr>
                <w:rFonts w:ascii="Times New Roman" w:eastAsia="Times New Roman" w:hAnsi="Times New Roman" w:cs="Times New Roman"/>
                <w:sz w:val="20"/>
                <w:szCs w:val="20"/>
              </w:rPr>
            </w:pPr>
            <w:r>
              <w:rPr>
                <w:rFonts w:ascii="Times New Roman" w:eastAsia="Times New Roman" w:hAnsi="Times New Roman" w:cs="Times New Roman"/>
                <w:sz w:val="20"/>
                <w:szCs w:val="20"/>
              </w:rPr>
              <w:t>Return on Equity</w:t>
            </w:r>
          </w:p>
        </w:tc>
        <w:tc>
          <w:tcPr>
            <w:tcW w:w="1276"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w:t>
            </w:r>
          </w:p>
        </w:tc>
        <w:tc>
          <w:tcPr>
            <w:tcW w:w="1417"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w:t>
            </w:r>
          </w:p>
        </w:tc>
        <w:tc>
          <w:tcPr>
            <w:tcW w:w="1418"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   </w:t>
            </w:r>
          </w:p>
        </w:tc>
        <w:tc>
          <w:tcPr>
            <w:tcW w:w="1351"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(0.1658):1</w:t>
            </w:r>
          </w:p>
        </w:tc>
        <w:tc>
          <w:tcPr>
            <w:tcW w:w="134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(0.6173):1</w:t>
            </w:r>
          </w:p>
        </w:tc>
        <w:tc>
          <w:tcPr>
            <w:tcW w:w="1695" w:type="dxa"/>
            <w:gridSpan w:val="2"/>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0.9216:1</w:t>
            </w:r>
          </w:p>
        </w:tc>
        <w:tc>
          <w:tcPr>
            <w:tcW w:w="715"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0.3095:1</w:t>
            </w:r>
          </w:p>
        </w:tc>
        <w:tc>
          <w:tcPr>
            <w:tcW w:w="992" w:type="dxa"/>
            <w:vAlign w:val="bottom"/>
          </w:tcPr>
          <w:p w:rsidR="007D5052" w:rsidRDefault="00A57830">
            <w:pPr>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0.2435:1</w:t>
            </w:r>
          </w:p>
        </w:tc>
      </w:tr>
    </w:tbl>
    <w:p w:rsidR="007D5052" w:rsidRDefault="007D5052">
      <w:pPr>
        <w:rPr>
          <w:rFonts w:ascii="Times New Roman" w:eastAsia="Times New Roman" w:hAnsi="Times New Roman" w:cs="Times New Roman"/>
          <w:sz w:val="20"/>
          <w:szCs w:val="20"/>
        </w:rPr>
      </w:pPr>
    </w:p>
    <w:p w:rsidR="007D5052" w:rsidRDefault="007D5052">
      <w:pPr>
        <w:jc w:val="both"/>
        <w:rPr>
          <w:rFonts w:ascii="Times New Roman" w:eastAsia="Times New Roman" w:hAnsi="Times New Roman" w:cs="Times New Roman"/>
          <w:sz w:val="20"/>
          <w:szCs w:val="20"/>
        </w:rPr>
      </w:pPr>
    </w:p>
    <w:p w:rsidR="007D5052" w:rsidRDefault="00A57830">
      <w:pPr>
        <w:spacing w:after="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From the summarized result of selected privatized SLPEs which are restructured, following results are found:</w:t>
      </w:r>
    </w:p>
    <w:p w:rsidR="007D5052" w:rsidRDefault="007D5052">
      <w:pPr>
        <w:spacing w:after="0"/>
        <w:jc w:val="both"/>
        <w:rPr>
          <w:rFonts w:ascii="Times New Roman" w:eastAsia="Times New Roman" w:hAnsi="Times New Roman" w:cs="Times New Roman"/>
          <w:b/>
          <w:sz w:val="20"/>
          <w:szCs w:val="20"/>
        </w:rPr>
      </w:pPr>
    </w:p>
    <w:p w:rsidR="007D5052" w:rsidRDefault="00A57830">
      <w:pPr>
        <w:spacing w:after="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most of the cases post-privatization result of both privatized units were better except the</w:t>
      </w:r>
      <w:r>
        <w:rPr>
          <w:rFonts w:ascii="Times New Roman" w:eastAsia="Times New Roman" w:hAnsi="Times New Roman" w:cs="Times New Roman"/>
          <w:sz w:val="20"/>
          <w:szCs w:val="20"/>
        </w:rPr>
        <w:t xml:space="preserve"> debt equity ratio of West Bengal Chemical Ltd. which was not good in pre or post period and West Bengal Agro Textile Corporation Limited did not give any return either in pre or in post disinvestment period.</w:t>
      </w:r>
    </w:p>
    <w:p w:rsidR="007D5052" w:rsidRDefault="007D5052">
      <w:pPr>
        <w:jc w:val="both"/>
        <w:rPr>
          <w:rFonts w:ascii="Times New Roman" w:eastAsia="Times New Roman" w:hAnsi="Times New Roman" w:cs="Times New Roman"/>
          <w:sz w:val="20"/>
          <w:szCs w:val="20"/>
        </w:rPr>
      </w:pPr>
    </w:p>
    <w:p w:rsidR="007D5052" w:rsidRDefault="007D5052">
      <w:pPr>
        <w:jc w:val="both"/>
        <w:rPr>
          <w:rFonts w:ascii="Times New Roman" w:eastAsia="Times New Roman" w:hAnsi="Times New Roman" w:cs="Times New Roman"/>
          <w:sz w:val="20"/>
          <w:szCs w:val="20"/>
        </w:rPr>
        <w:sectPr w:rsidR="007D5052">
          <w:pgSz w:w="16839" w:h="11907" w:orient="landscape"/>
          <w:pgMar w:top="907" w:right="1474" w:bottom="1531" w:left="1582" w:header="720" w:footer="720" w:gutter="0"/>
          <w:pgNumType w:start="80"/>
          <w:cols w:space="720"/>
        </w:sectPr>
      </w:pPr>
    </w:p>
    <w:p w:rsidR="007D5052" w:rsidRDefault="00A57830">
      <w:pPr>
        <w:ind w:left="360"/>
        <w:rPr>
          <w:rFonts w:ascii="Times New Roman" w:eastAsia="Times New Roman" w:hAnsi="Times New Roman" w:cs="Times New Roman"/>
          <w:b/>
          <w:sz w:val="20"/>
          <w:szCs w:val="20"/>
        </w:rPr>
      </w:pPr>
      <w:r>
        <w:rPr>
          <w:rFonts w:ascii="Times New Roman" w:eastAsia="Times New Roman" w:hAnsi="Times New Roman" w:cs="Times New Roman"/>
          <w:sz w:val="20"/>
          <w:szCs w:val="20"/>
        </w:rPr>
        <w:lastRenderedPageBreak/>
        <w:t>IV:</w:t>
      </w:r>
      <w:r>
        <w:rPr>
          <w:rFonts w:ascii="Times New Roman" w:eastAsia="Times New Roman" w:hAnsi="Times New Roman" w:cs="Times New Roman"/>
          <w:b/>
          <w:sz w:val="20"/>
          <w:szCs w:val="20"/>
        </w:rPr>
        <w:t xml:space="preserve"> Conclusion </w:t>
      </w:r>
    </w:p>
    <w:p w:rsidR="007D5052" w:rsidRDefault="00A57830">
      <w:pPr>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performance regarding financial affairs of restructured SLPEs were not very significant in the post restructuring </w:t>
      </w:r>
      <w:proofErr w:type="spellStart"/>
      <w:r>
        <w:rPr>
          <w:rFonts w:ascii="Times New Roman" w:eastAsia="Times New Roman" w:hAnsi="Times New Roman" w:cs="Times New Roman"/>
          <w:sz w:val="20"/>
          <w:szCs w:val="20"/>
        </w:rPr>
        <w:t>period.But</w:t>
      </w:r>
      <w:proofErr w:type="spellEnd"/>
      <w:r>
        <w:rPr>
          <w:rFonts w:ascii="Times New Roman" w:eastAsia="Times New Roman" w:hAnsi="Times New Roman" w:cs="Times New Roman"/>
          <w:sz w:val="20"/>
          <w:szCs w:val="20"/>
        </w:rPr>
        <w:t xml:space="preserve"> the company Britannia Engineering </w:t>
      </w:r>
      <w:proofErr w:type="spellStart"/>
      <w:r>
        <w:rPr>
          <w:rFonts w:ascii="Times New Roman" w:eastAsia="Times New Roman" w:hAnsi="Times New Roman" w:cs="Times New Roman"/>
          <w:sz w:val="20"/>
          <w:szCs w:val="20"/>
        </w:rPr>
        <w:t>Ltd.performed</w:t>
      </w:r>
      <w:proofErr w:type="spellEnd"/>
      <w:r>
        <w:rPr>
          <w:rFonts w:ascii="Times New Roman" w:eastAsia="Times New Roman" w:hAnsi="Times New Roman" w:cs="Times New Roman"/>
          <w:sz w:val="20"/>
          <w:szCs w:val="20"/>
        </w:rPr>
        <w:t xml:space="preserve"> better in terms of </w:t>
      </w:r>
      <w:proofErr w:type="spellStart"/>
      <w:r>
        <w:rPr>
          <w:rFonts w:ascii="Times New Roman" w:eastAsia="Times New Roman" w:hAnsi="Times New Roman" w:cs="Times New Roman"/>
          <w:sz w:val="20"/>
          <w:szCs w:val="20"/>
        </w:rPr>
        <w:t>itsprofitability</w:t>
      </w:r>
      <w:proofErr w:type="spellEnd"/>
      <w:r>
        <w:rPr>
          <w:rFonts w:ascii="Times New Roman" w:eastAsia="Times New Roman" w:hAnsi="Times New Roman" w:cs="Times New Roman"/>
          <w:sz w:val="20"/>
          <w:szCs w:val="20"/>
        </w:rPr>
        <w:t xml:space="preserve"> in the post restructuring period as compare</w:t>
      </w:r>
      <w:r>
        <w:rPr>
          <w:rFonts w:ascii="Times New Roman" w:eastAsia="Times New Roman" w:hAnsi="Times New Roman" w:cs="Times New Roman"/>
          <w:sz w:val="20"/>
          <w:szCs w:val="20"/>
        </w:rPr>
        <w:t>d to the pre restructuring period.</w:t>
      </w:r>
    </w:p>
    <w:p w:rsidR="007D5052" w:rsidRDefault="00A57830">
      <w:pPr>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performance of disinvested units in West Bengal has been satisfactory after </w:t>
      </w:r>
      <w:proofErr w:type="spellStart"/>
      <w:r>
        <w:rPr>
          <w:rFonts w:ascii="Times New Roman" w:eastAsia="Times New Roman" w:hAnsi="Times New Roman" w:cs="Times New Roman"/>
          <w:sz w:val="20"/>
          <w:szCs w:val="20"/>
        </w:rPr>
        <w:t>disinvestment.By</w:t>
      </w:r>
      <w:proofErr w:type="spell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applying  various</w:t>
      </w:r>
      <w:proofErr w:type="gramEnd"/>
      <w:r>
        <w:rPr>
          <w:rFonts w:ascii="Times New Roman" w:eastAsia="Times New Roman" w:hAnsi="Times New Roman" w:cs="Times New Roman"/>
          <w:sz w:val="20"/>
          <w:szCs w:val="20"/>
        </w:rPr>
        <w:t xml:space="preserve"> profitability, liquidity and efficiency ratio it has been seen that privatized units showed better result </w:t>
      </w:r>
      <w:r>
        <w:rPr>
          <w:rFonts w:ascii="Times New Roman" w:eastAsia="Times New Roman" w:hAnsi="Times New Roman" w:cs="Times New Roman"/>
          <w:sz w:val="20"/>
          <w:szCs w:val="20"/>
        </w:rPr>
        <w:t>after privatization.</w:t>
      </w:r>
    </w:p>
    <w:p w:rsidR="007D5052" w:rsidRDefault="00A57830">
      <w:pPr>
        <w:ind w:left="36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From the study and analysis it is found that all selected restructured SLPEs need “Nursing on Emergency </w:t>
      </w:r>
      <w:proofErr w:type="spellStart"/>
      <w:r>
        <w:rPr>
          <w:rFonts w:ascii="Times New Roman" w:eastAsia="Times New Roman" w:hAnsi="Times New Roman" w:cs="Times New Roman"/>
          <w:sz w:val="20"/>
          <w:szCs w:val="20"/>
        </w:rPr>
        <w:t>Basis”,whereas</w:t>
      </w:r>
      <w:proofErr w:type="spellEnd"/>
      <w:r>
        <w:rPr>
          <w:rFonts w:ascii="Times New Roman" w:eastAsia="Times New Roman" w:hAnsi="Times New Roman" w:cs="Times New Roman"/>
          <w:sz w:val="20"/>
          <w:szCs w:val="20"/>
        </w:rPr>
        <w:t xml:space="preserve"> selected disinvested SLPEs are considered as” Good” .</w:t>
      </w:r>
    </w:p>
    <w:p w:rsidR="007D5052" w:rsidRDefault="00A57830">
      <w:pPr>
        <w:ind w:firstLine="720"/>
        <w:jc w:val="both"/>
        <w:rPr>
          <w:rFonts w:ascii="Times New Roman" w:eastAsia="Times New Roman" w:hAnsi="Times New Roman" w:cs="Times New Roman"/>
          <w:b/>
          <w:i/>
          <w:sz w:val="24"/>
          <w:szCs w:val="24"/>
          <w:u w:val="single"/>
        </w:rPr>
      </w:pPr>
      <w:r>
        <w:rPr>
          <w:rFonts w:ascii="Times New Roman" w:eastAsia="Times New Roman" w:hAnsi="Times New Roman" w:cs="Times New Roman"/>
          <w:b/>
          <w:i/>
          <w:sz w:val="24"/>
          <w:szCs w:val="24"/>
          <w:u w:val="single"/>
        </w:rPr>
        <w:t>References</w:t>
      </w:r>
    </w:p>
    <w:p w:rsidR="007D5052" w:rsidRDefault="00A57830">
      <w:pPr>
        <w:ind w:firstLine="720"/>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Books, Journal, Research Work</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Bhunia</w:t>
      </w:r>
      <w:proofErr w:type="spellEnd"/>
      <w:r>
        <w:rPr>
          <w:rFonts w:ascii="Times New Roman" w:eastAsia="Times New Roman" w:hAnsi="Times New Roman" w:cs="Times New Roman"/>
          <w:sz w:val="16"/>
          <w:szCs w:val="16"/>
        </w:rPr>
        <w:t xml:space="preserve">. A ‘Liquidity Management of Public Sector Iron and Steel Enterprises in India’, </w:t>
      </w:r>
      <w:proofErr w:type="spellStart"/>
      <w:r>
        <w:rPr>
          <w:rFonts w:ascii="Times New Roman" w:eastAsia="Times New Roman" w:hAnsi="Times New Roman" w:cs="Times New Roman"/>
          <w:sz w:val="16"/>
          <w:szCs w:val="16"/>
        </w:rPr>
        <w:t>Vidyasagar</w:t>
      </w:r>
      <w:proofErr w:type="spellEnd"/>
      <w:r>
        <w:rPr>
          <w:rFonts w:ascii="Times New Roman" w:eastAsia="Times New Roman" w:hAnsi="Times New Roman" w:cs="Times New Roman"/>
          <w:sz w:val="16"/>
          <w:szCs w:val="16"/>
        </w:rPr>
        <w:t xml:space="preserve"> University. Journal of Commerce, 2007.</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Chakravorty</w:t>
      </w:r>
      <w:proofErr w:type="spellEnd"/>
      <w:r>
        <w:rPr>
          <w:rFonts w:ascii="Times New Roman" w:eastAsia="Times New Roman" w:hAnsi="Times New Roman" w:cs="Times New Roman"/>
          <w:sz w:val="16"/>
          <w:szCs w:val="16"/>
        </w:rPr>
        <w:t>, D. K. ‘Indian Public Enterprises in the Emerging Economic Environment’, Economic Environment and human Res</w:t>
      </w:r>
      <w:r>
        <w:rPr>
          <w:rFonts w:ascii="Times New Roman" w:eastAsia="Times New Roman" w:hAnsi="Times New Roman" w:cs="Times New Roman"/>
          <w:sz w:val="16"/>
          <w:szCs w:val="16"/>
        </w:rPr>
        <w:t>ource Management, Banerjee et.al. (</w:t>
      </w:r>
      <w:proofErr w:type="spellStart"/>
      <w:proofErr w:type="gramStart"/>
      <w:r>
        <w:rPr>
          <w:rFonts w:ascii="Times New Roman" w:eastAsia="Times New Roman" w:hAnsi="Times New Roman" w:cs="Times New Roman"/>
          <w:sz w:val="16"/>
          <w:szCs w:val="16"/>
        </w:rPr>
        <w:t>ed</w:t>
      </w:r>
      <w:proofErr w:type="spellEnd"/>
      <w:proofErr w:type="gramEnd"/>
      <w:r>
        <w:rPr>
          <w:rFonts w:ascii="Times New Roman" w:eastAsia="Times New Roman" w:hAnsi="Times New Roman" w:cs="Times New Roman"/>
          <w:sz w:val="16"/>
          <w:szCs w:val="16"/>
        </w:rPr>
        <w:t>), Dept. of Commerce, CU 2002.</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Chakravorty</w:t>
      </w:r>
      <w:proofErr w:type="spellEnd"/>
      <w:r>
        <w:rPr>
          <w:rFonts w:ascii="Times New Roman" w:eastAsia="Times New Roman" w:hAnsi="Times New Roman" w:cs="Times New Roman"/>
          <w:sz w:val="16"/>
          <w:szCs w:val="16"/>
        </w:rPr>
        <w:t xml:space="preserve"> D. K.  ‘Post-Privatization Scenario in India: A study on privatized PSUs’-The Management Accounting August Vol. 41 </w:t>
      </w:r>
      <w:proofErr w:type="gramStart"/>
      <w:r>
        <w:rPr>
          <w:rFonts w:ascii="Times New Roman" w:eastAsia="Times New Roman" w:hAnsi="Times New Roman" w:cs="Times New Roman"/>
          <w:sz w:val="16"/>
          <w:szCs w:val="16"/>
        </w:rPr>
        <w:t>No.8 ,</w:t>
      </w:r>
      <w:proofErr w:type="gramEnd"/>
      <w:r>
        <w:rPr>
          <w:rFonts w:ascii="Times New Roman" w:eastAsia="Times New Roman" w:hAnsi="Times New Roman" w:cs="Times New Roman"/>
          <w:sz w:val="16"/>
          <w:szCs w:val="16"/>
        </w:rPr>
        <w:t xml:space="preserve"> 2006.</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Chowdaru</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Nagendra</w:t>
      </w:r>
      <w:proofErr w:type="spellEnd"/>
      <w:r>
        <w:rPr>
          <w:rFonts w:ascii="Times New Roman" w:eastAsia="Times New Roman" w:hAnsi="Times New Roman" w:cs="Times New Roman"/>
          <w:sz w:val="16"/>
          <w:szCs w:val="16"/>
        </w:rPr>
        <w:t xml:space="preserve"> V.</w:t>
      </w:r>
      <w:proofErr w:type="gramStart"/>
      <w:r>
        <w:rPr>
          <w:rFonts w:ascii="Times New Roman" w:eastAsia="Times New Roman" w:hAnsi="Times New Roman" w:cs="Times New Roman"/>
          <w:sz w:val="16"/>
          <w:szCs w:val="16"/>
        </w:rPr>
        <w:t>, ,</w:t>
      </w:r>
      <w:proofErr w:type="gramEnd"/>
      <w:r>
        <w:rPr>
          <w:rFonts w:ascii="Times New Roman" w:eastAsia="Times New Roman" w:hAnsi="Times New Roman" w:cs="Times New Roman"/>
          <w:sz w:val="16"/>
          <w:szCs w:val="16"/>
        </w:rPr>
        <w:t xml:space="preserve"> ‘PSU Disinvestment: Con</w:t>
      </w:r>
      <w:r>
        <w:rPr>
          <w:rFonts w:ascii="Times New Roman" w:eastAsia="Times New Roman" w:hAnsi="Times New Roman" w:cs="Times New Roman"/>
          <w:sz w:val="16"/>
          <w:szCs w:val="16"/>
        </w:rPr>
        <w:t>cept and Cases’, ICFAI University ,2002.</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Dattagupta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Arun</w:t>
      </w:r>
      <w:proofErr w:type="spellEnd"/>
      <w:r>
        <w:rPr>
          <w:rFonts w:ascii="Times New Roman" w:eastAsia="Times New Roman" w:hAnsi="Times New Roman" w:cs="Times New Roman"/>
          <w:sz w:val="16"/>
          <w:szCs w:val="16"/>
        </w:rPr>
        <w:t>. K., ‘Public Enterprise Profitability: The Issue Involved’, Indian Journal of Accounting, Vol.-xv, June and December 1985.</w:t>
      </w:r>
    </w:p>
    <w:p w:rsidR="007D5052" w:rsidRDefault="007D5052">
      <w:pPr>
        <w:spacing w:after="0" w:line="240" w:lineRule="auto"/>
        <w:ind w:left="1213"/>
        <w:jc w:val="both"/>
        <w:rPr>
          <w:rFonts w:ascii="Times New Roman" w:eastAsia="Times New Roman" w:hAnsi="Times New Roman" w:cs="Times New Roman"/>
          <w:sz w:val="16"/>
          <w:szCs w:val="16"/>
        </w:rPr>
      </w:pP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Dhameja</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Nand</w:t>
      </w:r>
      <w:proofErr w:type="spellEnd"/>
      <w:r>
        <w:rPr>
          <w:rFonts w:ascii="Times New Roman" w:eastAsia="Times New Roman" w:hAnsi="Times New Roman" w:cs="Times New Roman"/>
          <w:sz w:val="16"/>
          <w:szCs w:val="16"/>
        </w:rPr>
        <w:t xml:space="preserve"> and </w:t>
      </w:r>
      <w:proofErr w:type="spellStart"/>
      <w:r>
        <w:rPr>
          <w:rFonts w:ascii="Times New Roman" w:eastAsia="Times New Roman" w:hAnsi="Times New Roman" w:cs="Times New Roman"/>
          <w:sz w:val="16"/>
          <w:szCs w:val="16"/>
        </w:rPr>
        <w:t>Sastry</w:t>
      </w:r>
      <w:proofErr w:type="spellEnd"/>
      <w:r>
        <w:rPr>
          <w:rFonts w:ascii="Times New Roman" w:eastAsia="Times New Roman" w:hAnsi="Times New Roman" w:cs="Times New Roman"/>
          <w:sz w:val="16"/>
          <w:szCs w:val="16"/>
        </w:rPr>
        <w:t>, K.S</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‘Public Sector Restructuring and Privatiza</w:t>
      </w:r>
      <w:r>
        <w:rPr>
          <w:rFonts w:ascii="Times New Roman" w:eastAsia="Times New Roman" w:hAnsi="Times New Roman" w:cs="Times New Roman"/>
          <w:sz w:val="16"/>
          <w:szCs w:val="16"/>
        </w:rPr>
        <w:t xml:space="preserve">tion’ </w:t>
      </w:r>
      <w:proofErr w:type="spellStart"/>
      <w:r>
        <w:rPr>
          <w:rFonts w:ascii="Times New Roman" w:eastAsia="Times New Roman" w:hAnsi="Times New Roman" w:cs="Times New Roman"/>
          <w:sz w:val="16"/>
          <w:szCs w:val="16"/>
        </w:rPr>
        <w:t>Kanishka</w:t>
      </w:r>
      <w:proofErr w:type="spellEnd"/>
      <w:r>
        <w:rPr>
          <w:rFonts w:ascii="Times New Roman" w:eastAsia="Times New Roman" w:hAnsi="Times New Roman" w:cs="Times New Roman"/>
          <w:sz w:val="16"/>
          <w:szCs w:val="16"/>
        </w:rPr>
        <w:t xml:space="preserve"> Publisher, Distributors, New Delhi 2002.</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Enthoven</w:t>
      </w:r>
      <w:proofErr w:type="spellEnd"/>
      <w:r>
        <w:rPr>
          <w:rFonts w:ascii="Times New Roman" w:eastAsia="Times New Roman" w:hAnsi="Times New Roman" w:cs="Times New Roman"/>
          <w:sz w:val="16"/>
          <w:szCs w:val="16"/>
        </w:rPr>
        <w:t>, A. J. H. ‘Privatization and the Role and Impact of Accounting and Auditing’, Indian Accounting Review, June 2000.</w:t>
      </w:r>
    </w:p>
    <w:p w:rsidR="007D5052" w:rsidRDefault="00A57830">
      <w:pPr>
        <w:numPr>
          <w:ilvl w:val="0"/>
          <w:numId w:val="10"/>
        </w:numPr>
        <w:spacing w:after="0" w:line="240" w:lineRule="auto"/>
        <w:ind w:left="1213"/>
        <w:jc w:val="both"/>
        <w:rPr>
          <w:rFonts w:ascii="Times New Roman" w:eastAsia="Times New Roman" w:hAnsi="Times New Roman" w:cs="Times New Roman"/>
        </w:rPr>
      </w:pPr>
      <w:r>
        <w:rPr>
          <w:rFonts w:ascii="Times New Roman" w:eastAsia="Times New Roman" w:hAnsi="Times New Roman" w:cs="Times New Roman"/>
          <w:sz w:val="16"/>
          <w:szCs w:val="16"/>
        </w:rPr>
        <w:t xml:space="preserve">Ghosh T. </w:t>
      </w:r>
      <w:proofErr w:type="spellStart"/>
      <w:r>
        <w:rPr>
          <w:rFonts w:ascii="Times New Roman" w:eastAsia="Times New Roman" w:hAnsi="Times New Roman" w:cs="Times New Roman"/>
          <w:sz w:val="16"/>
          <w:szCs w:val="16"/>
        </w:rPr>
        <w:t>K.</w:t>
      </w:r>
      <w:proofErr w:type="gramStart"/>
      <w:r>
        <w:rPr>
          <w:rFonts w:ascii="Times New Roman" w:eastAsia="Times New Roman" w:hAnsi="Times New Roman" w:cs="Times New Roman"/>
          <w:sz w:val="16"/>
          <w:szCs w:val="16"/>
        </w:rPr>
        <w:t>,‘State</w:t>
      </w:r>
      <w:proofErr w:type="spellEnd"/>
      <w:proofErr w:type="gramEnd"/>
      <w:r>
        <w:rPr>
          <w:rFonts w:ascii="Times New Roman" w:eastAsia="Times New Roman" w:hAnsi="Times New Roman" w:cs="Times New Roman"/>
          <w:sz w:val="16"/>
          <w:szCs w:val="16"/>
        </w:rPr>
        <w:t xml:space="preserve"> Level Government Companies in West Bengal – An Assessment</w:t>
      </w:r>
      <w:r>
        <w:rPr>
          <w:rFonts w:ascii="Times New Roman" w:eastAsia="Times New Roman" w:hAnsi="Times New Roman" w:cs="Times New Roman"/>
          <w:sz w:val="16"/>
          <w:szCs w:val="16"/>
        </w:rPr>
        <w:t xml:space="preserve"> of performance with particular Reference to Selected Units’, </w:t>
      </w:r>
      <w:proofErr w:type="spellStart"/>
      <w:r>
        <w:rPr>
          <w:rFonts w:ascii="Times New Roman" w:eastAsia="Times New Roman" w:hAnsi="Times New Roman" w:cs="Times New Roman"/>
          <w:sz w:val="16"/>
          <w:szCs w:val="16"/>
        </w:rPr>
        <w:t>Vidyasagar</w:t>
      </w:r>
      <w:proofErr w:type="spellEnd"/>
      <w:r>
        <w:rPr>
          <w:rFonts w:ascii="Times New Roman" w:eastAsia="Times New Roman" w:hAnsi="Times New Roman" w:cs="Times New Roman"/>
          <w:sz w:val="16"/>
          <w:szCs w:val="16"/>
        </w:rPr>
        <w:t xml:space="preserve"> University, Journal of Commerce, 2006.</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sz w:val="16"/>
          <w:szCs w:val="16"/>
        </w:rPr>
        <w:t>Ghuman</w:t>
      </w:r>
      <w:proofErr w:type="spellEnd"/>
      <w:r>
        <w:rPr>
          <w:rFonts w:ascii="Times New Roman" w:eastAsia="Times New Roman" w:hAnsi="Times New Roman" w:cs="Times New Roman"/>
          <w:sz w:val="16"/>
          <w:szCs w:val="16"/>
        </w:rPr>
        <w:t xml:space="preserve"> ,B.S</w:t>
      </w:r>
      <w:proofErr w:type="gramEnd"/>
      <w:r>
        <w:rPr>
          <w:rFonts w:ascii="Times New Roman" w:eastAsia="Times New Roman" w:hAnsi="Times New Roman" w:cs="Times New Roman"/>
          <w:sz w:val="16"/>
          <w:szCs w:val="16"/>
        </w:rPr>
        <w:t>. ‘Public Enterprises- The Punjab Experience’, The Economic Times ,June 1,1990.</w:t>
      </w:r>
    </w:p>
    <w:p w:rsidR="007D5052" w:rsidRDefault="00A57830">
      <w:pPr>
        <w:numPr>
          <w:ilvl w:val="0"/>
          <w:numId w:val="10"/>
        </w:numPr>
        <w:spacing w:after="0" w:line="240" w:lineRule="auto"/>
        <w:ind w:left="1213"/>
        <w:jc w:val="both"/>
        <w:rPr>
          <w:rFonts w:ascii="Times New Roman" w:eastAsia="Times New Roman" w:hAnsi="Times New Roman" w:cs="Times New Roman"/>
        </w:rPr>
      </w:pPr>
      <w:r>
        <w:rPr>
          <w:rFonts w:ascii="Times New Roman" w:eastAsia="Times New Roman" w:hAnsi="Times New Roman" w:cs="Times New Roman"/>
          <w:sz w:val="16"/>
          <w:szCs w:val="16"/>
        </w:rPr>
        <w:t>Gupta L.C., ‘Financial Ratios as forewarning Indicato</w:t>
      </w:r>
      <w:r>
        <w:rPr>
          <w:rFonts w:ascii="Times New Roman" w:eastAsia="Times New Roman" w:hAnsi="Times New Roman" w:cs="Times New Roman"/>
          <w:sz w:val="16"/>
          <w:szCs w:val="16"/>
        </w:rPr>
        <w:t>rs of Corporate Sickness’ ICICI, Bombay, 1979.</w:t>
      </w:r>
    </w:p>
    <w:p w:rsidR="007D5052" w:rsidRDefault="00A57830">
      <w:pPr>
        <w:numPr>
          <w:ilvl w:val="0"/>
          <w:numId w:val="10"/>
        </w:numPr>
        <w:spacing w:after="0" w:line="240" w:lineRule="auto"/>
        <w:ind w:left="1213"/>
        <w:jc w:val="both"/>
        <w:rPr>
          <w:rFonts w:ascii="Times New Roman" w:eastAsia="Times New Roman" w:hAnsi="Times New Roman" w:cs="Times New Roman"/>
        </w:rPr>
      </w:pPr>
      <w:r>
        <w:rPr>
          <w:rFonts w:ascii="Times New Roman" w:eastAsia="Times New Roman" w:hAnsi="Times New Roman" w:cs="Times New Roman"/>
          <w:sz w:val="16"/>
          <w:szCs w:val="16"/>
        </w:rPr>
        <w:t xml:space="preserve">Gupta, S.P.  ‘Need for New Strategy to Strengthen PE in India,’ The Chartered Accountant, </w:t>
      </w:r>
      <w:proofErr w:type="gramStart"/>
      <w:r>
        <w:rPr>
          <w:rFonts w:ascii="Times New Roman" w:eastAsia="Times New Roman" w:hAnsi="Times New Roman" w:cs="Times New Roman"/>
          <w:sz w:val="16"/>
          <w:szCs w:val="16"/>
        </w:rPr>
        <w:t>February ,</w:t>
      </w:r>
      <w:proofErr w:type="gramEnd"/>
      <w:r>
        <w:rPr>
          <w:rFonts w:ascii="Times New Roman" w:eastAsia="Times New Roman" w:hAnsi="Times New Roman" w:cs="Times New Roman"/>
          <w:sz w:val="16"/>
          <w:szCs w:val="16"/>
        </w:rPr>
        <w:t>2002.</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Gangadhar</w:t>
      </w:r>
      <w:proofErr w:type="spellEnd"/>
      <w:r>
        <w:rPr>
          <w:rFonts w:ascii="Times New Roman" w:eastAsia="Times New Roman" w:hAnsi="Times New Roman" w:cs="Times New Roman"/>
          <w:sz w:val="16"/>
          <w:szCs w:val="16"/>
        </w:rPr>
        <w:t xml:space="preserve">, V. &amp; </w:t>
      </w:r>
      <w:proofErr w:type="spellStart"/>
      <w:r>
        <w:rPr>
          <w:rFonts w:ascii="Times New Roman" w:eastAsia="Times New Roman" w:hAnsi="Times New Roman" w:cs="Times New Roman"/>
          <w:sz w:val="16"/>
          <w:szCs w:val="16"/>
        </w:rPr>
        <w:t>Yadagiri</w:t>
      </w:r>
      <w:proofErr w:type="spellEnd"/>
      <w:r>
        <w:rPr>
          <w:rFonts w:ascii="Times New Roman" w:eastAsia="Times New Roman" w:hAnsi="Times New Roman" w:cs="Times New Roman"/>
          <w:sz w:val="16"/>
          <w:szCs w:val="16"/>
        </w:rPr>
        <w:t xml:space="preserve">, M., ‘Disinvestment in Public Sector </w:t>
      </w:r>
      <w:proofErr w:type="gramStart"/>
      <w:r>
        <w:rPr>
          <w:rFonts w:ascii="Times New Roman" w:eastAsia="Times New Roman" w:hAnsi="Times New Roman" w:cs="Times New Roman"/>
          <w:sz w:val="16"/>
          <w:szCs w:val="16"/>
        </w:rPr>
        <w:t>Enterprise,’  The</w:t>
      </w:r>
      <w:proofErr w:type="gramEnd"/>
      <w:r>
        <w:rPr>
          <w:rFonts w:ascii="Times New Roman" w:eastAsia="Times New Roman" w:hAnsi="Times New Roman" w:cs="Times New Roman"/>
          <w:sz w:val="16"/>
          <w:szCs w:val="16"/>
        </w:rPr>
        <w:t xml:space="preserve"> Management Accountant, </w:t>
      </w:r>
      <w:r>
        <w:rPr>
          <w:rFonts w:ascii="Times New Roman" w:eastAsia="Times New Roman" w:hAnsi="Times New Roman" w:cs="Times New Roman"/>
          <w:sz w:val="16"/>
          <w:szCs w:val="16"/>
        </w:rPr>
        <w:t>May 2003.</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Jeyaraj</w:t>
      </w:r>
      <w:proofErr w:type="spellEnd"/>
      <w:r>
        <w:rPr>
          <w:rFonts w:ascii="Times New Roman" w:eastAsia="Times New Roman" w:hAnsi="Times New Roman" w:cs="Times New Roman"/>
          <w:sz w:val="16"/>
          <w:szCs w:val="16"/>
        </w:rPr>
        <w:t xml:space="preserve"> S. ‘Cost Management Key to Survival in current Global </w:t>
      </w:r>
      <w:proofErr w:type="spellStart"/>
      <w:r>
        <w:rPr>
          <w:rFonts w:ascii="Times New Roman" w:eastAsia="Times New Roman" w:hAnsi="Times New Roman" w:cs="Times New Roman"/>
          <w:sz w:val="16"/>
          <w:szCs w:val="16"/>
        </w:rPr>
        <w:t>Mealt</w:t>
      </w:r>
      <w:proofErr w:type="spellEnd"/>
      <w:r>
        <w:rPr>
          <w:rFonts w:ascii="Times New Roman" w:eastAsia="Times New Roman" w:hAnsi="Times New Roman" w:cs="Times New Roman"/>
          <w:sz w:val="16"/>
          <w:szCs w:val="16"/>
        </w:rPr>
        <w:t>-down’ The Management Accountant</w:t>
      </w:r>
      <w:proofErr w:type="gramStart"/>
      <w:r>
        <w:rPr>
          <w:rFonts w:ascii="Times New Roman" w:eastAsia="Times New Roman" w:hAnsi="Times New Roman" w:cs="Times New Roman"/>
          <w:sz w:val="16"/>
          <w:szCs w:val="16"/>
        </w:rPr>
        <w:t>,  Vol.45</w:t>
      </w:r>
      <w:proofErr w:type="gramEnd"/>
      <w:r>
        <w:rPr>
          <w:rFonts w:ascii="Times New Roman" w:eastAsia="Times New Roman" w:hAnsi="Times New Roman" w:cs="Times New Roman"/>
          <w:sz w:val="16"/>
          <w:szCs w:val="16"/>
        </w:rPr>
        <w:t>, No.5 May, 2010.</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Kanwaljit</w:t>
      </w:r>
      <w:proofErr w:type="spellEnd"/>
      <w:r>
        <w:rPr>
          <w:rFonts w:ascii="Times New Roman" w:eastAsia="Times New Roman" w:hAnsi="Times New Roman" w:cs="Times New Roman"/>
          <w:sz w:val="16"/>
          <w:szCs w:val="16"/>
        </w:rPr>
        <w:t xml:space="preserve"> </w:t>
      </w:r>
      <w:proofErr w:type="gramStart"/>
      <w:r>
        <w:rPr>
          <w:rFonts w:ascii="Times New Roman" w:eastAsia="Times New Roman" w:hAnsi="Times New Roman" w:cs="Times New Roman"/>
          <w:sz w:val="16"/>
          <w:szCs w:val="16"/>
        </w:rPr>
        <w:t>Kaur  ‘Industrial</w:t>
      </w:r>
      <w:proofErr w:type="gramEnd"/>
      <w:r>
        <w:rPr>
          <w:rFonts w:ascii="Times New Roman" w:eastAsia="Times New Roman" w:hAnsi="Times New Roman" w:cs="Times New Roman"/>
          <w:sz w:val="16"/>
          <w:szCs w:val="16"/>
        </w:rPr>
        <w:t xml:space="preserve"> Development Performance and Role of State Promotional and Financial Enterprises’, Deep &amp; Dee</w:t>
      </w:r>
      <w:r>
        <w:rPr>
          <w:rFonts w:ascii="Times New Roman" w:eastAsia="Times New Roman" w:hAnsi="Times New Roman" w:cs="Times New Roman"/>
          <w:sz w:val="16"/>
          <w:szCs w:val="16"/>
        </w:rPr>
        <w:t>p Publications Pvt. Ltd, 2007.</w:t>
      </w:r>
    </w:p>
    <w:p w:rsidR="007D5052" w:rsidRDefault="00A57830">
      <w:pPr>
        <w:numPr>
          <w:ilvl w:val="0"/>
          <w:numId w:val="10"/>
        </w:numPr>
        <w:spacing w:after="0" w:line="240" w:lineRule="auto"/>
        <w:ind w:left="1213"/>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Khatik</w:t>
      </w:r>
      <w:proofErr w:type="spellEnd"/>
      <w:r>
        <w:rPr>
          <w:rFonts w:ascii="Times New Roman" w:eastAsia="Times New Roman" w:hAnsi="Times New Roman" w:cs="Times New Roman"/>
          <w:sz w:val="16"/>
          <w:szCs w:val="16"/>
        </w:rPr>
        <w:t xml:space="preserve"> S. K, Singh P. Kr. ‘Two Tier Analysis of Bharat Heavy Electricals Ltd (BHEL) in India.’  The Management Accountant</w:t>
      </w:r>
      <w:proofErr w:type="gramStart"/>
      <w:r>
        <w:rPr>
          <w:rFonts w:ascii="Times New Roman" w:eastAsia="Times New Roman" w:hAnsi="Times New Roman" w:cs="Times New Roman"/>
          <w:sz w:val="16"/>
          <w:szCs w:val="16"/>
        </w:rPr>
        <w:t>,.</w:t>
      </w:r>
      <w:proofErr w:type="gramEnd"/>
      <w:r>
        <w:rPr>
          <w:rFonts w:ascii="Times New Roman" w:eastAsia="Times New Roman" w:hAnsi="Times New Roman" w:cs="Times New Roman"/>
          <w:sz w:val="16"/>
          <w:szCs w:val="16"/>
        </w:rPr>
        <w:t xml:space="preserve"> Vol.41, No.10, October 2006.</w:t>
      </w:r>
    </w:p>
    <w:p w:rsidR="007D5052" w:rsidRDefault="00A57830">
      <w:pPr>
        <w:numPr>
          <w:ilvl w:val="0"/>
          <w:numId w:val="10"/>
        </w:numPr>
        <w:spacing w:after="0"/>
        <w:jc w:val="both"/>
        <w:rPr>
          <w:rFonts w:ascii="Times New Roman" w:eastAsia="Times New Roman" w:hAnsi="Times New Roman" w:cs="Times New Roman"/>
        </w:rPr>
      </w:pPr>
      <w:r>
        <w:rPr>
          <w:rFonts w:ascii="Times New Roman" w:eastAsia="Times New Roman" w:hAnsi="Times New Roman" w:cs="Times New Roman"/>
          <w:sz w:val="16"/>
          <w:szCs w:val="16"/>
        </w:rPr>
        <w:t>Kothari, C.R. ‘Research Methodology’ 2</w:t>
      </w:r>
      <w:r>
        <w:rPr>
          <w:rFonts w:ascii="Times New Roman" w:eastAsia="Times New Roman" w:hAnsi="Times New Roman" w:cs="Times New Roman"/>
          <w:sz w:val="16"/>
          <w:szCs w:val="16"/>
          <w:vertAlign w:val="superscript"/>
        </w:rPr>
        <w:t>nd</w:t>
      </w:r>
      <w:r>
        <w:rPr>
          <w:rFonts w:ascii="Times New Roman" w:eastAsia="Times New Roman" w:hAnsi="Times New Roman" w:cs="Times New Roman"/>
          <w:sz w:val="16"/>
          <w:szCs w:val="16"/>
        </w:rPr>
        <w:t xml:space="preserve"> Edition, New Age International </w:t>
      </w:r>
      <w:r>
        <w:rPr>
          <w:rFonts w:ascii="Times New Roman" w:eastAsia="Times New Roman" w:hAnsi="Times New Roman" w:cs="Times New Roman"/>
          <w:sz w:val="16"/>
          <w:szCs w:val="16"/>
        </w:rPr>
        <w:t>(P) Ltd. Publisher, 2004.</w:t>
      </w:r>
    </w:p>
    <w:p w:rsidR="007D5052" w:rsidRDefault="00A57830">
      <w:pPr>
        <w:numPr>
          <w:ilvl w:val="0"/>
          <w:numId w:val="10"/>
        </w:numPr>
        <w:spacing w:after="240"/>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Laxmikant</w:t>
      </w:r>
      <w:proofErr w:type="spellEnd"/>
      <w:r>
        <w:rPr>
          <w:rFonts w:ascii="Times New Roman" w:eastAsia="Times New Roman" w:hAnsi="Times New Roman" w:cs="Times New Roman"/>
          <w:sz w:val="16"/>
          <w:szCs w:val="16"/>
        </w:rPr>
        <w:t xml:space="preserve"> </w:t>
      </w:r>
      <w:proofErr w:type="spellStart"/>
      <w:r>
        <w:rPr>
          <w:rFonts w:ascii="Times New Roman" w:eastAsia="Times New Roman" w:hAnsi="Times New Roman" w:cs="Times New Roman"/>
          <w:sz w:val="16"/>
          <w:szCs w:val="16"/>
        </w:rPr>
        <w:t>Jhawar</w:t>
      </w:r>
      <w:proofErr w:type="spellEnd"/>
      <w:r>
        <w:rPr>
          <w:rFonts w:ascii="Times New Roman" w:eastAsia="Times New Roman" w:hAnsi="Times New Roman" w:cs="Times New Roman"/>
          <w:sz w:val="16"/>
          <w:szCs w:val="16"/>
        </w:rPr>
        <w:t xml:space="preserve"> ‘A study on Restructuring of State Level Public Sector sick companies in Karnataka’, Project Report submitted to Christ University, June 2010.</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16"/>
          <w:szCs w:val="16"/>
        </w:rPr>
        <w:t>Mallik</w:t>
      </w:r>
      <w:proofErr w:type="spellEnd"/>
      <w:r>
        <w:rPr>
          <w:rFonts w:ascii="Times New Roman" w:eastAsia="Times New Roman" w:hAnsi="Times New Roman" w:cs="Times New Roman"/>
          <w:color w:val="000000"/>
          <w:sz w:val="16"/>
          <w:szCs w:val="16"/>
        </w:rPr>
        <w:t xml:space="preserve"> A.K. and Sur D., ‘Financial performance of Indian Public Enterprises in the post Liberalization Era-A Case Study of National Thermal Power Corporation Ltd.’ Research </w:t>
      </w:r>
      <w:proofErr w:type="gramStart"/>
      <w:r>
        <w:rPr>
          <w:rFonts w:ascii="Times New Roman" w:eastAsia="Times New Roman" w:hAnsi="Times New Roman" w:cs="Times New Roman"/>
          <w:color w:val="000000"/>
          <w:sz w:val="16"/>
          <w:szCs w:val="16"/>
        </w:rPr>
        <w:t>Bulletin ,</w:t>
      </w:r>
      <w:proofErr w:type="gramEnd"/>
      <w:r>
        <w:rPr>
          <w:rFonts w:ascii="Times New Roman" w:eastAsia="Times New Roman" w:hAnsi="Times New Roman" w:cs="Times New Roman"/>
          <w:color w:val="000000"/>
          <w:sz w:val="16"/>
          <w:szCs w:val="16"/>
        </w:rPr>
        <w:t xml:space="preserve">  Vol.-XXV, July 2004.</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Mishra, R.K. “Disinvestment: 1992-2001,” The Chart</w:t>
      </w:r>
      <w:r>
        <w:rPr>
          <w:rFonts w:ascii="Times New Roman" w:eastAsia="Times New Roman" w:hAnsi="Times New Roman" w:cs="Times New Roman"/>
          <w:color w:val="000000"/>
          <w:sz w:val="16"/>
          <w:szCs w:val="16"/>
        </w:rPr>
        <w:t xml:space="preserve">ered </w:t>
      </w:r>
      <w:proofErr w:type="gramStart"/>
      <w:r>
        <w:rPr>
          <w:rFonts w:ascii="Times New Roman" w:eastAsia="Times New Roman" w:hAnsi="Times New Roman" w:cs="Times New Roman"/>
          <w:color w:val="000000"/>
          <w:sz w:val="16"/>
          <w:szCs w:val="16"/>
        </w:rPr>
        <w:t>Accountant.’,</w:t>
      </w:r>
      <w:proofErr w:type="gramEnd"/>
      <w:r>
        <w:rPr>
          <w:rFonts w:ascii="Times New Roman" w:eastAsia="Times New Roman" w:hAnsi="Times New Roman" w:cs="Times New Roman"/>
          <w:color w:val="000000"/>
          <w:sz w:val="16"/>
          <w:szCs w:val="16"/>
        </w:rPr>
        <w:t xml:space="preserve"> June 2001.</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Mishra R.K. ‘Performance Evaluation of Public Enterprises’, </w:t>
      </w:r>
      <w:proofErr w:type="spellStart"/>
      <w:r>
        <w:rPr>
          <w:rFonts w:ascii="Times New Roman" w:eastAsia="Times New Roman" w:hAnsi="Times New Roman" w:cs="Times New Roman"/>
          <w:color w:val="000000"/>
          <w:sz w:val="16"/>
          <w:szCs w:val="16"/>
        </w:rPr>
        <w:t>Anmol</w:t>
      </w:r>
      <w:proofErr w:type="spellEnd"/>
      <w:r>
        <w:rPr>
          <w:rFonts w:ascii="Times New Roman" w:eastAsia="Times New Roman" w:hAnsi="Times New Roman" w:cs="Times New Roman"/>
          <w:color w:val="000000"/>
          <w:sz w:val="16"/>
          <w:szCs w:val="16"/>
        </w:rPr>
        <w:t xml:space="preserve"> Publications Pvt. Ltd., New Delhi, 2003.</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Mishra R.K, </w:t>
      </w:r>
      <w:proofErr w:type="spellStart"/>
      <w:r>
        <w:rPr>
          <w:rFonts w:ascii="Times New Roman" w:eastAsia="Times New Roman" w:hAnsi="Times New Roman" w:cs="Times New Roman"/>
          <w:color w:val="000000"/>
          <w:sz w:val="16"/>
          <w:szCs w:val="16"/>
        </w:rPr>
        <w:t>Geeta</w:t>
      </w:r>
      <w:proofErr w:type="spellEnd"/>
      <w:r>
        <w:rPr>
          <w:rFonts w:ascii="Times New Roman" w:eastAsia="Times New Roman" w:hAnsi="Times New Roman" w:cs="Times New Roman"/>
          <w:color w:val="000000"/>
          <w:sz w:val="16"/>
          <w:szCs w:val="16"/>
        </w:rPr>
        <w:t xml:space="preserve"> P and </w:t>
      </w:r>
      <w:proofErr w:type="spellStart"/>
      <w:r>
        <w:rPr>
          <w:rFonts w:ascii="Times New Roman" w:eastAsia="Times New Roman" w:hAnsi="Times New Roman" w:cs="Times New Roman"/>
          <w:color w:val="000000"/>
          <w:sz w:val="16"/>
          <w:szCs w:val="16"/>
        </w:rPr>
        <w:t>Navin</w:t>
      </w:r>
      <w:proofErr w:type="spellEnd"/>
      <w:proofErr w:type="gramStart"/>
      <w:r>
        <w:rPr>
          <w:rFonts w:ascii="Times New Roman" w:eastAsia="Times New Roman" w:hAnsi="Times New Roman" w:cs="Times New Roman"/>
          <w:color w:val="000000"/>
          <w:sz w:val="16"/>
          <w:szCs w:val="16"/>
        </w:rPr>
        <w:t>,,</w:t>
      </w:r>
      <w:proofErr w:type="gramEnd"/>
      <w:r>
        <w:rPr>
          <w:rFonts w:ascii="Times New Roman" w:eastAsia="Times New Roman" w:hAnsi="Times New Roman" w:cs="Times New Roman"/>
          <w:color w:val="000000"/>
          <w:sz w:val="16"/>
          <w:szCs w:val="16"/>
        </w:rPr>
        <w:t xml:space="preserve"> ‘The Role of Memorandum of Understanding in Public Enterprise Management,’ </w:t>
      </w:r>
      <w:proofErr w:type="spellStart"/>
      <w:r>
        <w:rPr>
          <w:rFonts w:ascii="Times New Roman" w:eastAsia="Times New Roman" w:hAnsi="Times New Roman" w:cs="Times New Roman"/>
          <w:color w:val="000000"/>
          <w:sz w:val="16"/>
          <w:szCs w:val="16"/>
        </w:rPr>
        <w:t>Vikas</w:t>
      </w:r>
      <w:proofErr w:type="spellEnd"/>
      <w:r>
        <w:rPr>
          <w:rFonts w:ascii="Times New Roman" w:eastAsia="Times New Roman" w:hAnsi="Times New Roman" w:cs="Times New Roman"/>
          <w:color w:val="000000"/>
          <w:sz w:val="16"/>
          <w:szCs w:val="16"/>
        </w:rPr>
        <w:t xml:space="preserve"> Publis</w:t>
      </w:r>
      <w:r>
        <w:rPr>
          <w:rFonts w:ascii="Times New Roman" w:eastAsia="Times New Roman" w:hAnsi="Times New Roman" w:cs="Times New Roman"/>
          <w:color w:val="000000"/>
          <w:sz w:val="16"/>
          <w:szCs w:val="16"/>
        </w:rPr>
        <w:t>hing House, New Delhi, 2002.</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Mishra R.K, </w:t>
      </w:r>
      <w:proofErr w:type="spellStart"/>
      <w:r>
        <w:rPr>
          <w:rFonts w:ascii="Times New Roman" w:eastAsia="Times New Roman" w:hAnsi="Times New Roman" w:cs="Times New Roman"/>
          <w:color w:val="000000"/>
          <w:sz w:val="16"/>
          <w:szCs w:val="16"/>
        </w:rPr>
        <w:t>Geeta</w:t>
      </w:r>
      <w:proofErr w:type="spellEnd"/>
      <w:r>
        <w:rPr>
          <w:rFonts w:ascii="Times New Roman" w:eastAsia="Times New Roman" w:hAnsi="Times New Roman" w:cs="Times New Roman"/>
          <w:color w:val="000000"/>
          <w:sz w:val="16"/>
          <w:szCs w:val="16"/>
        </w:rPr>
        <w:t xml:space="preserve"> P and </w:t>
      </w:r>
      <w:proofErr w:type="spellStart"/>
      <w:r>
        <w:rPr>
          <w:rFonts w:ascii="Times New Roman" w:eastAsia="Times New Roman" w:hAnsi="Times New Roman" w:cs="Times New Roman"/>
          <w:color w:val="000000"/>
          <w:sz w:val="16"/>
          <w:szCs w:val="16"/>
        </w:rPr>
        <w:t>Navin</w:t>
      </w:r>
      <w:proofErr w:type="spellEnd"/>
      <w:r>
        <w:rPr>
          <w:rFonts w:ascii="Times New Roman" w:eastAsia="Times New Roman" w:hAnsi="Times New Roman" w:cs="Times New Roman"/>
          <w:color w:val="000000"/>
          <w:sz w:val="16"/>
          <w:szCs w:val="16"/>
        </w:rPr>
        <w:t>, ‘Economic Liberation and Public Enterprises’, Concept Publishing Company, New Delhi, 2006.</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Mishra R.K., and </w:t>
      </w:r>
      <w:proofErr w:type="spellStart"/>
      <w:r>
        <w:rPr>
          <w:rFonts w:ascii="Times New Roman" w:eastAsia="Times New Roman" w:hAnsi="Times New Roman" w:cs="Times New Roman"/>
          <w:color w:val="000000"/>
          <w:sz w:val="16"/>
          <w:szCs w:val="16"/>
        </w:rPr>
        <w:t>Nabin</w:t>
      </w:r>
      <w:proofErr w:type="spellEnd"/>
      <w:r>
        <w:rPr>
          <w:rFonts w:ascii="Times New Roman" w:eastAsia="Times New Roman" w:hAnsi="Times New Roman" w:cs="Times New Roman"/>
          <w:color w:val="000000"/>
          <w:sz w:val="16"/>
          <w:szCs w:val="16"/>
        </w:rPr>
        <w:t xml:space="preserve"> B. “Public Enterprises Reforms: A Study of Madhya Pradesh 2006.”</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Mishra R.K., Ch. </w:t>
      </w:r>
      <w:r>
        <w:rPr>
          <w:rFonts w:ascii="Times New Roman" w:eastAsia="Times New Roman" w:hAnsi="Times New Roman" w:cs="Times New Roman"/>
          <w:color w:val="000000"/>
          <w:sz w:val="16"/>
          <w:szCs w:val="16"/>
        </w:rPr>
        <w:t xml:space="preserve">Lakshmi </w:t>
      </w:r>
      <w:proofErr w:type="spellStart"/>
      <w:r>
        <w:rPr>
          <w:rFonts w:ascii="Times New Roman" w:eastAsia="Times New Roman" w:hAnsi="Times New Roman" w:cs="Times New Roman"/>
          <w:color w:val="000000"/>
          <w:sz w:val="16"/>
          <w:szCs w:val="16"/>
        </w:rPr>
        <w:t>Kumari</w:t>
      </w:r>
      <w:proofErr w:type="spellEnd"/>
      <w:r>
        <w:rPr>
          <w:rFonts w:ascii="Times New Roman" w:eastAsia="Times New Roman" w:hAnsi="Times New Roman" w:cs="Times New Roman"/>
          <w:color w:val="000000"/>
          <w:sz w:val="16"/>
          <w:szCs w:val="16"/>
        </w:rPr>
        <w:t xml:space="preserve">, ‘Privatization of State level Public Enterprises in India’, </w:t>
      </w:r>
      <w:proofErr w:type="spellStart"/>
      <w:r>
        <w:rPr>
          <w:rFonts w:ascii="Times New Roman" w:eastAsia="Times New Roman" w:hAnsi="Times New Roman" w:cs="Times New Roman"/>
          <w:color w:val="000000"/>
          <w:sz w:val="16"/>
          <w:szCs w:val="16"/>
        </w:rPr>
        <w:t>Anmol</w:t>
      </w:r>
      <w:proofErr w:type="spellEnd"/>
      <w:r>
        <w:rPr>
          <w:rFonts w:ascii="Times New Roman" w:eastAsia="Times New Roman" w:hAnsi="Times New Roman" w:cs="Times New Roman"/>
          <w:color w:val="000000"/>
          <w:sz w:val="16"/>
          <w:szCs w:val="16"/>
        </w:rPr>
        <w:t xml:space="preserve"> Publications Pvt. Ltd., New Delhi, 2004.</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Mishra R.K., Ch. Lakshmi </w:t>
      </w:r>
      <w:proofErr w:type="spellStart"/>
      <w:r>
        <w:rPr>
          <w:rFonts w:ascii="Times New Roman" w:eastAsia="Times New Roman" w:hAnsi="Times New Roman" w:cs="Times New Roman"/>
          <w:color w:val="000000"/>
          <w:sz w:val="16"/>
          <w:szCs w:val="16"/>
        </w:rPr>
        <w:t>Kumari</w:t>
      </w:r>
      <w:proofErr w:type="spellEnd"/>
      <w:r>
        <w:rPr>
          <w:rFonts w:ascii="Times New Roman" w:eastAsia="Times New Roman" w:hAnsi="Times New Roman" w:cs="Times New Roman"/>
          <w:color w:val="000000"/>
          <w:sz w:val="16"/>
          <w:szCs w:val="16"/>
        </w:rPr>
        <w:t xml:space="preserve">, K. </w:t>
      </w:r>
      <w:proofErr w:type="spellStart"/>
      <w:r>
        <w:rPr>
          <w:rFonts w:ascii="Times New Roman" w:eastAsia="Times New Roman" w:hAnsi="Times New Roman" w:cs="Times New Roman"/>
          <w:color w:val="000000"/>
          <w:sz w:val="16"/>
          <w:szCs w:val="16"/>
        </w:rPr>
        <w:t>Srinivas</w:t>
      </w:r>
      <w:proofErr w:type="spellEnd"/>
      <w:r>
        <w:rPr>
          <w:rFonts w:ascii="Times New Roman" w:eastAsia="Times New Roman" w:hAnsi="Times New Roman" w:cs="Times New Roman"/>
          <w:color w:val="000000"/>
          <w:sz w:val="16"/>
          <w:szCs w:val="16"/>
        </w:rPr>
        <w:t>, ‘State Level Public Enterprises in India.’ Academic Foundation, New Delhi, 2014.</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 xml:space="preserve">Mohan, T.T Ram, ‘Privatization in India Challenging Economic Orthodoxy’, </w:t>
      </w:r>
      <w:proofErr w:type="spellStart"/>
      <w:r>
        <w:rPr>
          <w:rFonts w:ascii="Times New Roman" w:eastAsia="Times New Roman" w:hAnsi="Times New Roman" w:cs="Times New Roman"/>
          <w:color w:val="000000"/>
          <w:sz w:val="16"/>
          <w:szCs w:val="16"/>
        </w:rPr>
        <w:t>Routledge</w:t>
      </w:r>
      <w:proofErr w:type="spellEnd"/>
      <w:r>
        <w:rPr>
          <w:rFonts w:ascii="Times New Roman" w:eastAsia="Times New Roman" w:hAnsi="Times New Roman" w:cs="Times New Roman"/>
          <w:color w:val="000000"/>
          <w:sz w:val="16"/>
          <w:szCs w:val="16"/>
        </w:rPr>
        <w:t xml:space="preserve"> Curzon, London, 2005.</w:t>
      </w:r>
    </w:p>
    <w:p w:rsidR="007D5052" w:rsidRDefault="007D5052">
      <w:pPr>
        <w:pBdr>
          <w:top w:val="nil"/>
          <w:left w:val="nil"/>
          <w:bottom w:val="nil"/>
          <w:right w:val="nil"/>
          <w:between w:val="nil"/>
        </w:pBdr>
        <w:spacing w:after="0"/>
        <w:ind w:left="1211"/>
        <w:jc w:val="both"/>
        <w:rPr>
          <w:rFonts w:ascii="Times New Roman" w:eastAsia="Times New Roman" w:hAnsi="Times New Roman" w:cs="Times New Roman"/>
          <w:color w:val="000000"/>
          <w:sz w:val="16"/>
          <w:szCs w:val="16"/>
        </w:rPr>
      </w:pP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16"/>
          <w:szCs w:val="16"/>
        </w:rPr>
        <w:t>Mondal</w:t>
      </w:r>
      <w:proofErr w:type="spellEnd"/>
      <w:r>
        <w:rPr>
          <w:rFonts w:ascii="Times New Roman" w:eastAsia="Times New Roman" w:hAnsi="Times New Roman" w:cs="Times New Roman"/>
          <w:color w:val="000000"/>
          <w:sz w:val="16"/>
          <w:szCs w:val="16"/>
        </w:rPr>
        <w:t xml:space="preserve"> T, ‘Public Sector Enterprises in India Reforms and Restructured’, Serial Publication, 2012.</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16"/>
          <w:szCs w:val="16"/>
        </w:rPr>
        <w:t>Mondal</w:t>
      </w:r>
      <w:proofErr w:type="spellEnd"/>
      <w:r>
        <w:rPr>
          <w:rFonts w:ascii="Times New Roman" w:eastAsia="Times New Roman" w:hAnsi="Times New Roman" w:cs="Times New Roman"/>
          <w:color w:val="000000"/>
          <w:sz w:val="16"/>
          <w:szCs w:val="16"/>
        </w:rPr>
        <w:t xml:space="preserve"> T, ‘Recent Trends </w:t>
      </w:r>
      <w:proofErr w:type="gramStart"/>
      <w:r>
        <w:rPr>
          <w:rFonts w:ascii="Times New Roman" w:eastAsia="Times New Roman" w:hAnsi="Times New Roman" w:cs="Times New Roman"/>
          <w:color w:val="000000"/>
          <w:sz w:val="16"/>
          <w:szCs w:val="16"/>
        </w:rPr>
        <w:t>Towards</w:t>
      </w:r>
      <w:proofErr w:type="gramEnd"/>
      <w:r>
        <w:rPr>
          <w:rFonts w:ascii="Times New Roman" w:eastAsia="Times New Roman" w:hAnsi="Times New Roman" w:cs="Times New Roman"/>
          <w:color w:val="000000"/>
          <w:sz w:val="16"/>
          <w:szCs w:val="16"/>
        </w:rPr>
        <w:t xml:space="preserve"> Disinvestment in I</w:t>
      </w:r>
      <w:r>
        <w:rPr>
          <w:rFonts w:ascii="Times New Roman" w:eastAsia="Times New Roman" w:hAnsi="Times New Roman" w:cs="Times New Roman"/>
          <w:color w:val="000000"/>
          <w:sz w:val="16"/>
          <w:szCs w:val="16"/>
        </w:rPr>
        <w:t xml:space="preserve">ndia’, </w:t>
      </w:r>
      <w:proofErr w:type="spellStart"/>
      <w:r>
        <w:rPr>
          <w:rFonts w:ascii="Times New Roman" w:eastAsia="Times New Roman" w:hAnsi="Times New Roman" w:cs="Times New Roman"/>
          <w:color w:val="000000"/>
          <w:sz w:val="16"/>
          <w:szCs w:val="16"/>
        </w:rPr>
        <w:t>Abhijeet</w:t>
      </w:r>
      <w:proofErr w:type="spellEnd"/>
      <w:r>
        <w:rPr>
          <w:rFonts w:ascii="Times New Roman" w:eastAsia="Times New Roman" w:hAnsi="Times New Roman" w:cs="Times New Roman"/>
          <w:color w:val="000000"/>
          <w:sz w:val="16"/>
          <w:szCs w:val="16"/>
        </w:rPr>
        <w:t xml:space="preserve"> Publication, 2013.</w:t>
      </w:r>
    </w:p>
    <w:p w:rsidR="007D5052" w:rsidRDefault="00A57830">
      <w:pPr>
        <w:numPr>
          <w:ilvl w:val="0"/>
          <w:numId w:val="10"/>
        </w:numPr>
        <w:pBdr>
          <w:top w:val="nil"/>
          <w:left w:val="nil"/>
          <w:bottom w:val="nil"/>
          <w:right w:val="nil"/>
          <w:between w:val="nil"/>
        </w:pBdr>
        <w:spacing w:after="24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16"/>
          <w:szCs w:val="16"/>
        </w:rPr>
        <w:t>Prashad</w:t>
      </w:r>
      <w:proofErr w:type="spellEnd"/>
      <w:r>
        <w:rPr>
          <w:rFonts w:ascii="Times New Roman" w:eastAsia="Times New Roman" w:hAnsi="Times New Roman" w:cs="Times New Roman"/>
          <w:color w:val="000000"/>
          <w:sz w:val="16"/>
          <w:szCs w:val="16"/>
        </w:rPr>
        <w:t xml:space="preserve"> Chandra </w:t>
      </w:r>
      <w:proofErr w:type="spellStart"/>
      <w:r>
        <w:rPr>
          <w:rFonts w:ascii="Times New Roman" w:eastAsia="Times New Roman" w:hAnsi="Times New Roman" w:cs="Times New Roman"/>
          <w:color w:val="000000"/>
          <w:sz w:val="16"/>
          <w:szCs w:val="16"/>
        </w:rPr>
        <w:t>Shekhar</w:t>
      </w:r>
      <w:proofErr w:type="spellEnd"/>
      <w:r>
        <w:rPr>
          <w:rFonts w:ascii="Times New Roman" w:eastAsia="Times New Roman" w:hAnsi="Times New Roman" w:cs="Times New Roman"/>
          <w:color w:val="000000"/>
          <w:sz w:val="16"/>
          <w:szCs w:val="16"/>
        </w:rPr>
        <w:t>, “Economic Survey of India, 1947-48 to 2008-09.”</w:t>
      </w:r>
    </w:p>
    <w:p w:rsidR="007D5052" w:rsidRDefault="00A57830">
      <w:pPr>
        <w:numPr>
          <w:ilvl w:val="0"/>
          <w:numId w:val="10"/>
        </w:numPr>
        <w:spacing w:after="0"/>
        <w:jc w:val="both"/>
        <w:rPr>
          <w:rFonts w:ascii="Times New Roman" w:eastAsia="Times New Roman" w:hAnsi="Times New Roman" w:cs="Times New Roman"/>
        </w:rPr>
      </w:pPr>
      <w:proofErr w:type="spellStart"/>
      <w:r>
        <w:rPr>
          <w:rFonts w:ascii="Times New Roman" w:eastAsia="Times New Roman" w:hAnsi="Times New Roman" w:cs="Times New Roman"/>
          <w:sz w:val="16"/>
          <w:szCs w:val="16"/>
        </w:rPr>
        <w:t>Sengupta</w:t>
      </w:r>
      <w:proofErr w:type="spellEnd"/>
      <w:r>
        <w:rPr>
          <w:rFonts w:ascii="Times New Roman" w:eastAsia="Times New Roman" w:hAnsi="Times New Roman" w:cs="Times New Roman"/>
          <w:sz w:val="16"/>
          <w:szCs w:val="16"/>
        </w:rPr>
        <w:t xml:space="preserve"> N.K. ‘Government and Business’, </w:t>
      </w:r>
      <w:proofErr w:type="spellStart"/>
      <w:r>
        <w:rPr>
          <w:rFonts w:ascii="Times New Roman" w:eastAsia="Times New Roman" w:hAnsi="Times New Roman" w:cs="Times New Roman"/>
          <w:sz w:val="16"/>
          <w:szCs w:val="16"/>
        </w:rPr>
        <w:t>Vikas</w:t>
      </w:r>
      <w:proofErr w:type="spellEnd"/>
      <w:r>
        <w:rPr>
          <w:rFonts w:ascii="Times New Roman" w:eastAsia="Times New Roman" w:hAnsi="Times New Roman" w:cs="Times New Roman"/>
          <w:sz w:val="16"/>
          <w:szCs w:val="16"/>
        </w:rPr>
        <w:t xml:space="preserve"> Publishing House Pvt. Ltd, 2001.</w:t>
      </w:r>
    </w:p>
    <w:p w:rsidR="007D5052" w:rsidRDefault="00A57830">
      <w:pPr>
        <w:numPr>
          <w:ilvl w:val="0"/>
          <w:numId w:val="10"/>
        </w:numPr>
        <w:pBdr>
          <w:top w:val="nil"/>
          <w:left w:val="nil"/>
          <w:bottom w:val="nil"/>
          <w:right w:val="nil"/>
          <w:between w:val="nil"/>
        </w:pBd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sz w:val="16"/>
          <w:szCs w:val="16"/>
        </w:rPr>
        <w:t>Singh P ‘Social Performance through Value Added Reporting’ The Management Accountant, Vol.-43, No.8, August 2008.</w:t>
      </w:r>
    </w:p>
    <w:p w:rsidR="007D5052" w:rsidRDefault="007D5052">
      <w:pPr>
        <w:pBdr>
          <w:top w:val="nil"/>
          <w:left w:val="nil"/>
          <w:bottom w:val="nil"/>
          <w:right w:val="nil"/>
          <w:between w:val="nil"/>
        </w:pBdr>
        <w:spacing w:after="240"/>
        <w:ind w:left="1211"/>
        <w:jc w:val="both"/>
        <w:rPr>
          <w:rFonts w:ascii="Times New Roman" w:eastAsia="Times New Roman" w:hAnsi="Times New Roman" w:cs="Times New Roman"/>
          <w:color w:val="000000"/>
          <w:sz w:val="16"/>
          <w:szCs w:val="16"/>
        </w:rPr>
      </w:pPr>
    </w:p>
    <w:p w:rsidR="007D5052" w:rsidRDefault="00A57830">
      <w:pPr>
        <w:jc w:val="both"/>
        <w:rPr>
          <w:rFonts w:ascii="Times New Roman" w:eastAsia="Times New Roman" w:hAnsi="Times New Roman" w:cs="Times New Roman"/>
          <w:b/>
          <w:sz w:val="16"/>
          <w:szCs w:val="16"/>
          <w:u w:val="single"/>
        </w:rPr>
      </w:pPr>
      <w:r>
        <w:rPr>
          <w:rFonts w:ascii="Times New Roman" w:eastAsia="Times New Roman" w:hAnsi="Times New Roman" w:cs="Times New Roman"/>
          <w:b/>
          <w:sz w:val="16"/>
          <w:szCs w:val="16"/>
          <w:u w:val="single"/>
        </w:rPr>
        <w:t>Reports:</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Report of the Comptroller and Auditor General of India on Public Sector Undertakings, Government of West Bengal from 2004-05 to 2011-12.</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Industrial Policy Resolution of 1956.</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Planning Commission, 1</w:t>
      </w:r>
      <w:r>
        <w:rPr>
          <w:rFonts w:ascii="Times New Roman" w:eastAsia="Times New Roman" w:hAnsi="Times New Roman" w:cs="Times New Roman"/>
          <w:color w:val="000000"/>
          <w:sz w:val="16"/>
          <w:szCs w:val="16"/>
          <w:vertAlign w:val="superscript"/>
        </w:rPr>
        <w:t>st</w:t>
      </w:r>
      <w:r>
        <w:rPr>
          <w:rFonts w:ascii="Times New Roman" w:eastAsia="Times New Roman" w:hAnsi="Times New Roman" w:cs="Times New Roman"/>
          <w:color w:val="000000"/>
          <w:sz w:val="16"/>
          <w:szCs w:val="16"/>
        </w:rPr>
        <w:t xml:space="preserve"> Five Year Plan</w:t>
      </w:r>
      <w:r>
        <w:rPr>
          <w:rFonts w:ascii="Times New Roman" w:eastAsia="Times New Roman" w:hAnsi="Times New Roman" w:cs="Times New Roman"/>
          <w:color w:val="000000"/>
          <w:sz w:val="16"/>
          <w:szCs w:val="16"/>
        </w:rPr>
        <w:t>, 1950-51, 2</w:t>
      </w:r>
      <w:r>
        <w:rPr>
          <w:rFonts w:ascii="Times New Roman" w:eastAsia="Times New Roman" w:hAnsi="Times New Roman" w:cs="Times New Roman"/>
          <w:color w:val="000000"/>
          <w:sz w:val="16"/>
          <w:szCs w:val="16"/>
          <w:vertAlign w:val="superscript"/>
        </w:rPr>
        <w:t>nd</w:t>
      </w:r>
      <w:r>
        <w:rPr>
          <w:rFonts w:ascii="Times New Roman" w:eastAsia="Times New Roman" w:hAnsi="Times New Roman" w:cs="Times New Roman"/>
          <w:color w:val="000000"/>
          <w:sz w:val="16"/>
          <w:szCs w:val="16"/>
        </w:rPr>
        <w:t xml:space="preserve"> Five Plan, 1955-56.</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Third Five Year Plan, 1960-61</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Annual Plan, 1966-69.</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Fourth Five Year Plan, 1969-73</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Fifth Five Plan, 1974-79.</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Sixth Five Plan, 1980-85.</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Seventh Five Year Plan 1985-90.</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Eighth Five Year Plan 1992-97.</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Ninth Five Year Plan 1997-02</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Tenth Five Year Plan 2002-07</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w:t>
      </w:r>
      <w:r>
        <w:rPr>
          <w:rFonts w:ascii="Times New Roman" w:eastAsia="Times New Roman" w:hAnsi="Times New Roman" w:cs="Times New Roman"/>
          <w:color w:val="000000"/>
          <w:sz w:val="16"/>
          <w:szCs w:val="16"/>
        </w:rPr>
        <w:t>rnment of India, Eleventh Five Year Plan 2007-12.</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Twelfth Five Year Plan 2012-17.</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India, Economic Survey, Various Issues.</w:t>
      </w:r>
    </w:p>
    <w:p w:rsidR="007D5052" w:rsidRDefault="00A57830">
      <w:pPr>
        <w:numPr>
          <w:ilvl w:val="0"/>
          <w:numId w:val="13"/>
        </w:numPr>
        <w:pBdr>
          <w:top w:val="nil"/>
          <w:left w:val="nil"/>
          <w:bottom w:val="nil"/>
          <w:right w:val="nil"/>
          <w:between w:val="nil"/>
        </w:pBdr>
        <w:spacing w:after="0" w:line="360" w:lineRule="auto"/>
        <w:jc w:val="both"/>
        <w:rPr>
          <w:color w:val="000000"/>
          <w:sz w:val="16"/>
          <w:szCs w:val="16"/>
        </w:rPr>
      </w:pPr>
      <w:r>
        <w:rPr>
          <w:rFonts w:ascii="Times New Roman" w:eastAsia="Times New Roman" w:hAnsi="Times New Roman" w:cs="Times New Roman"/>
          <w:color w:val="000000"/>
          <w:sz w:val="16"/>
          <w:szCs w:val="16"/>
        </w:rPr>
        <w:t>Government of West Bengal, Economic Reviews, Various Issues.</w:t>
      </w:r>
    </w:p>
    <w:p w:rsidR="007D5052" w:rsidRDefault="007D5052">
      <w:pPr>
        <w:jc w:val="both"/>
        <w:rPr>
          <w:rFonts w:ascii="Times New Roman" w:eastAsia="Times New Roman" w:hAnsi="Times New Roman" w:cs="Times New Roman"/>
          <w:sz w:val="16"/>
          <w:szCs w:val="16"/>
        </w:rPr>
      </w:pPr>
    </w:p>
    <w:p w:rsidR="007D5052" w:rsidRDefault="00A57830">
      <w:pPr>
        <w:jc w:val="both"/>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Website </w:t>
      </w:r>
      <w:proofErr w:type="gramStart"/>
      <w:r>
        <w:rPr>
          <w:rFonts w:ascii="Times New Roman" w:eastAsia="Times New Roman" w:hAnsi="Times New Roman" w:cs="Times New Roman"/>
          <w:b/>
          <w:sz w:val="16"/>
          <w:szCs w:val="16"/>
        </w:rPr>
        <w:t>Visited :</w:t>
      </w:r>
      <w:proofErr w:type="gramEnd"/>
    </w:p>
    <w:p w:rsidR="007D5052" w:rsidRDefault="00A57830">
      <w:pPr>
        <w:numPr>
          <w:ilvl w:val="0"/>
          <w:numId w:val="15"/>
        </w:numPr>
        <w:pBdr>
          <w:top w:val="nil"/>
          <w:left w:val="nil"/>
          <w:bottom w:val="nil"/>
          <w:right w:val="nil"/>
          <w:between w:val="nil"/>
        </w:pBdr>
        <w:spacing w:after="0"/>
        <w:jc w:val="both"/>
        <w:rPr>
          <w:color w:val="000000"/>
          <w:sz w:val="16"/>
          <w:szCs w:val="16"/>
        </w:rPr>
      </w:pPr>
      <w:r>
        <w:rPr>
          <w:rFonts w:ascii="Times New Roman" w:eastAsia="Times New Roman" w:hAnsi="Times New Roman" w:cs="Times New Roman"/>
          <w:color w:val="000000"/>
          <w:sz w:val="16"/>
          <w:szCs w:val="16"/>
        </w:rPr>
        <w:t xml:space="preserve">Department of Public Enterprises. </w:t>
      </w:r>
      <w:hyperlink r:id="rId5">
        <w:r>
          <w:rPr>
            <w:rFonts w:ascii="Times New Roman" w:eastAsia="Times New Roman" w:hAnsi="Times New Roman" w:cs="Times New Roman"/>
            <w:color w:val="0000FF"/>
            <w:sz w:val="16"/>
            <w:szCs w:val="16"/>
            <w:u w:val="single"/>
          </w:rPr>
          <w:t>http://dpe.nic.in/</w:t>
        </w:r>
      </w:hyperlink>
    </w:p>
    <w:p w:rsidR="007D5052" w:rsidRDefault="00A57830">
      <w:pPr>
        <w:numPr>
          <w:ilvl w:val="0"/>
          <w:numId w:val="15"/>
        </w:numPr>
        <w:pBdr>
          <w:top w:val="nil"/>
          <w:left w:val="nil"/>
          <w:bottom w:val="nil"/>
          <w:right w:val="nil"/>
          <w:between w:val="nil"/>
        </w:pBdr>
        <w:spacing w:after="0"/>
        <w:rPr>
          <w:color w:val="000000"/>
          <w:sz w:val="16"/>
          <w:szCs w:val="16"/>
        </w:rPr>
      </w:pPr>
      <w:r>
        <w:rPr>
          <w:rFonts w:ascii="Times New Roman" w:eastAsia="Times New Roman" w:hAnsi="Times New Roman" w:cs="Times New Roman"/>
          <w:color w:val="000000"/>
          <w:sz w:val="16"/>
          <w:szCs w:val="16"/>
        </w:rPr>
        <w:t xml:space="preserve">State Development Reports Available at </w:t>
      </w:r>
      <w:hyperlink r:id="rId6">
        <w:r>
          <w:rPr>
            <w:rFonts w:ascii="Times New Roman" w:eastAsia="Times New Roman" w:hAnsi="Times New Roman" w:cs="Times New Roman"/>
            <w:color w:val="0000FF"/>
            <w:sz w:val="16"/>
            <w:szCs w:val="16"/>
            <w:u w:val="single"/>
          </w:rPr>
          <w:t>http://planningcommission.nic,in/plans/sdrbody.html</w:t>
        </w:r>
      </w:hyperlink>
    </w:p>
    <w:p w:rsidR="007D5052" w:rsidRDefault="00A57830">
      <w:pPr>
        <w:numPr>
          <w:ilvl w:val="0"/>
          <w:numId w:val="15"/>
        </w:numPr>
        <w:pBdr>
          <w:top w:val="nil"/>
          <w:left w:val="nil"/>
          <w:bottom w:val="nil"/>
          <w:right w:val="nil"/>
          <w:between w:val="nil"/>
        </w:pBdr>
        <w:jc w:val="both"/>
        <w:rPr>
          <w:color w:val="000000"/>
          <w:sz w:val="16"/>
          <w:szCs w:val="16"/>
        </w:rPr>
      </w:pPr>
      <w:r>
        <w:rPr>
          <w:rFonts w:ascii="Times New Roman" w:eastAsia="Times New Roman" w:hAnsi="Times New Roman" w:cs="Times New Roman"/>
          <w:color w:val="000000"/>
          <w:sz w:val="16"/>
          <w:szCs w:val="16"/>
        </w:rPr>
        <w:t xml:space="preserve">CAG Report (Commercial) </w:t>
      </w:r>
      <w:hyperlink r:id="rId7">
        <w:r>
          <w:rPr>
            <w:rFonts w:ascii="Times New Roman" w:eastAsia="Times New Roman" w:hAnsi="Times New Roman" w:cs="Times New Roman"/>
            <w:color w:val="0000FF"/>
            <w:sz w:val="16"/>
            <w:szCs w:val="16"/>
            <w:u w:val="single"/>
          </w:rPr>
          <w:t>www.cag.gov.in</w:t>
        </w:r>
      </w:hyperlink>
    </w:p>
    <w:p w:rsidR="007D5052" w:rsidRDefault="007D5052">
      <w:pPr>
        <w:ind w:left="360"/>
        <w:rPr>
          <w:sz w:val="16"/>
          <w:szCs w:val="16"/>
        </w:rPr>
      </w:pPr>
    </w:p>
    <w:sectPr w:rsidR="007D5052">
      <w:pgSz w:w="11907" w:h="16839"/>
      <w:pgMar w:top="1582" w:right="907" w:bottom="1474" w:left="1531" w:header="720" w:footer="720" w:gutter="0"/>
      <w:pgNumType w:start="8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E73F5"/>
    <w:multiLevelType w:val="multilevel"/>
    <w:tmpl w:val="AA726E28"/>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DE66DA8"/>
    <w:multiLevelType w:val="multilevel"/>
    <w:tmpl w:val="449438B2"/>
    <w:lvl w:ilvl="0">
      <w:start w:val="1"/>
      <w:numFmt w:val="decimal"/>
      <w:lvlText w:val="%1."/>
      <w:lvlJc w:val="left"/>
      <w:pPr>
        <w:ind w:left="1211" w:hanging="360"/>
      </w:pPr>
      <w:rPr>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FF27BC5"/>
    <w:multiLevelType w:val="multilevel"/>
    <w:tmpl w:val="2A2AFD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5F00EDC"/>
    <w:multiLevelType w:val="multilevel"/>
    <w:tmpl w:val="805857D6"/>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46138E"/>
    <w:multiLevelType w:val="multilevel"/>
    <w:tmpl w:val="EA3247D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6DB3793"/>
    <w:multiLevelType w:val="multilevel"/>
    <w:tmpl w:val="758E6720"/>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8997DA1"/>
    <w:multiLevelType w:val="multilevel"/>
    <w:tmpl w:val="DCAAE7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70D05D1"/>
    <w:multiLevelType w:val="multilevel"/>
    <w:tmpl w:val="83E0A04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4ADA4982"/>
    <w:multiLevelType w:val="multilevel"/>
    <w:tmpl w:val="6762AA0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B106C21"/>
    <w:multiLevelType w:val="multilevel"/>
    <w:tmpl w:val="EEEA3D42"/>
    <w:lvl w:ilvl="0">
      <w:start w:val="1"/>
      <w:numFmt w:val="decimal"/>
      <w:lvlText w:val="%1."/>
      <w:lvlJc w:val="left"/>
      <w:pPr>
        <w:ind w:left="270" w:hanging="360"/>
      </w:pPr>
      <w:rPr>
        <w:rFonts w:ascii="Times New Roman" w:eastAsia="Times New Roman" w:hAnsi="Times New Roman" w:cs="Times New Roman"/>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10">
    <w:nsid w:val="4E71796E"/>
    <w:multiLevelType w:val="multilevel"/>
    <w:tmpl w:val="9BA2392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61E0077"/>
    <w:multiLevelType w:val="multilevel"/>
    <w:tmpl w:val="0FFC94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6A531DF"/>
    <w:multiLevelType w:val="multilevel"/>
    <w:tmpl w:val="F0C8CD4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5E6F0DE0"/>
    <w:multiLevelType w:val="multilevel"/>
    <w:tmpl w:val="FA7297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21E6507"/>
    <w:multiLevelType w:val="multilevel"/>
    <w:tmpl w:val="0CA69A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625E7E18"/>
    <w:multiLevelType w:val="multilevel"/>
    <w:tmpl w:val="6E3095F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nsid w:val="68BF26EB"/>
    <w:multiLevelType w:val="multilevel"/>
    <w:tmpl w:val="9D622ED4"/>
    <w:lvl w:ilvl="0">
      <w:start w:val="1"/>
      <w:numFmt w:val="bullet"/>
      <w:lvlText w:val="▪"/>
      <w:lvlJc w:val="left"/>
      <w:pPr>
        <w:ind w:left="720" w:hanging="360"/>
      </w:pPr>
      <w:rPr>
        <w:rFonts w:ascii="Noto Sans Symbols" w:eastAsia="Noto Sans Symbols" w:hAnsi="Noto Sans Symbols" w:cs="Noto Sans Symbols"/>
        <w:sz w:val="28"/>
        <w:szCs w:val="2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nsid w:val="7907474E"/>
    <w:multiLevelType w:val="multilevel"/>
    <w:tmpl w:val="7F042A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num>
  <w:num w:numId="2">
    <w:abstractNumId w:val="12"/>
  </w:num>
  <w:num w:numId="3">
    <w:abstractNumId w:val="14"/>
  </w:num>
  <w:num w:numId="4">
    <w:abstractNumId w:val="2"/>
  </w:num>
  <w:num w:numId="5">
    <w:abstractNumId w:val="11"/>
  </w:num>
  <w:num w:numId="6">
    <w:abstractNumId w:val="10"/>
  </w:num>
  <w:num w:numId="7">
    <w:abstractNumId w:val="4"/>
  </w:num>
  <w:num w:numId="8">
    <w:abstractNumId w:val="0"/>
  </w:num>
  <w:num w:numId="9">
    <w:abstractNumId w:val="3"/>
  </w:num>
  <w:num w:numId="10">
    <w:abstractNumId w:val="1"/>
  </w:num>
  <w:num w:numId="11">
    <w:abstractNumId w:val="6"/>
  </w:num>
  <w:num w:numId="12">
    <w:abstractNumId w:val="8"/>
  </w:num>
  <w:num w:numId="13">
    <w:abstractNumId w:val="17"/>
  </w:num>
  <w:num w:numId="14">
    <w:abstractNumId w:val="13"/>
  </w:num>
  <w:num w:numId="15">
    <w:abstractNumId w:val="9"/>
  </w:num>
  <w:num w:numId="16">
    <w:abstractNumId w:val="7"/>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52"/>
    <w:rsid w:val="007D5052"/>
    <w:rsid w:val="00A578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00E9CF-F555-4AEB-A938-EA149F44C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g.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http://dpe.ni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6915</Words>
  <Characters>39422</Characters>
  <Application>Microsoft Office Word</Application>
  <DocSecurity>0</DocSecurity>
  <Lines>328</Lines>
  <Paragraphs>92</Paragraphs>
  <ScaleCrop>false</ScaleCrop>
  <Company/>
  <LinksUpToDate>false</LinksUpToDate>
  <CharactersWithSpaces>46245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2022-08-30T16:10:00Z</dcterms:created>
  <dcterms:modified xsi:type="dcterms:W3CDTF">2022-08-30T16:10:00Z</dcterms:modified>
</cp:coreProperties>
</file>