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C72C" w14:textId="1AC95532" w:rsidR="0084257C" w:rsidRDefault="0084257C" w:rsidP="00D73C85">
      <w:pPr>
        <w:jc w:val="center"/>
        <w:rPr>
          <w:rFonts w:ascii="Times New Roman" w:hAnsi="Times New Roman" w:cs="Times New Roman"/>
          <w:b/>
          <w:bCs/>
          <w:sz w:val="48"/>
          <w:szCs w:val="48"/>
        </w:rPr>
      </w:pPr>
      <w:proofErr w:type="spellStart"/>
      <w:r w:rsidRPr="00347785">
        <w:rPr>
          <w:rFonts w:ascii="Times New Roman" w:hAnsi="Times New Roman" w:cs="Times New Roman"/>
          <w:b/>
          <w:bCs/>
          <w:sz w:val="48"/>
          <w:szCs w:val="48"/>
        </w:rPr>
        <w:t>Behavioral</w:t>
      </w:r>
      <w:proofErr w:type="spellEnd"/>
      <w:r w:rsidRPr="00347785">
        <w:rPr>
          <w:rFonts w:ascii="Times New Roman" w:hAnsi="Times New Roman" w:cs="Times New Roman"/>
          <w:b/>
          <w:bCs/>
          <w:sz w:val="48"/>
          <w:szCs w:val="48"/>
        </w:rPr>
        <w:t xml:space="preserve"> Finance: A Financ</w:t>
      </w:r>
      <w:r w:rsidR="00CD18D0">
        <w:rPr>
          <w:rFonts w:ascii="Times New Roman" w:hAnsi="Times New Roman" w:cs="Times New Roman"/>
          <w:b/>
          <w:bCs/>
          <w:sz w:val="48"/>
          <w:szCs w:val="48"/>
        </w:rPr>
        <w:t>ial</w:t>
      </w:r>
      <w:r w:rsidRPr="00347785">
        <w:rPr>
          <w:rFonts w:ascii="Times New Roman" w:hAnsi="Times New Roman" w:cs="Times New Roman"/>
          <w:b/>
          <w:bCs/>
          <w:sz w:val="48"/>
          <w:szCs w:val="48"/>
        </w:rPr>
        <w:t xml:space="preserve"> Choice</w:t>
      </w:r>
      <w:r w:rsidR="008925EA">
        <w:rPr>
          <w:rFonts w:ascii="Times New Roman" w:hAnsi="Times New Roman" w:cs="Times New Roman"/>
          <w:b/>
          <w:bCs/>
          <w:sz w:val="48"/>
          <w:szCs w:val="48"/>
        </w:rPr>
        <w:t xml:space="preserve"> of the Investors</w:t>
      </w:r>
    </w:p>
    <w:p w14:paraId="5542302C" w14:textId="55937CE2" w:rsidR="00347785" w:rsidRDefault="00347785" w:rsidP="00347785">
      <w:pPr>
        <w:rPr>
          <w:rFonts w:ascii="Times New Roman" w:hAnsi="Times New Roman" w:cs="Times New Roman"/>
          <w:b/>
          <w:bCs/>
          <w:sz w:val="20"/>
          <w:szCs w:val="20"/>
        </w:rPr>
      </w:pPr>
    </w:p>
    <w:p w14:paraId="162ADADF" w14:textId="051B5EA7" w:rsidR="00347785" w:rsidRDefault="00347785" w:rsidP="00347785">
      <w:pPr>
        <w:rPr>
          <w:rFonts w:ascii="Times New Roman" w:hAnsi="Times New Roman" w:cs="Times New Roman"/>
          <w:b/>
          <w:bCs/>
          <w:sz w:val="20"/>
          <w:szCs w:val="20"/>
        </w:rPr>
      </w:pPr>
    </w:p>
    <w:p w14:paraId="060AE4A5" w14:textId="5B5E504A" w:rsidR="00347785" w:rsidRDefault="00347785" w:rsidP="00347785">
      <w:pPr>
        <w:rPr>
          <w:rFonts w:ascii="Times New Roman" w:hAnsi="Times New Roman" w:cs="Times New Roman"/>
          <w:b/>
          <w:bCs/>
          <w:sz w:val="20"/>
          <w:szCs w:val="20"/>
        </w:rPr>
      </w:pPr>
    </w:p>
    <w:p w14:paraId="4C3B03F1" w14:textId="7844234F" w:rsidR="00347785" w:rsidRPr="005B754A" w:rsidRDefault="00347785" w:rsidP="00347785">
      <w:pPr>
        <w:rPr>
          <w:rFonts w:ascii="Times New Roman" w:hAnsi="Times New Roman" w:cs="Times New Roman"/>
          <w:sz w:val="20"/>
          <w:szCs w:val="20"/>
        </w:rPr>
      </w:pPr>
      <w:r w:rsidRPr="005B754A">
        <w:rPr>
          <w:rFonts w:ascii="Times New Roman" w:hAnsi="Times New Roman" w:cs="Times New Roman"/>
          <w:sz w:val="20"/>
          <w:szCs w:val="20"/>
        </w:rPr>
        <w:t>Name: Devdeep Banerjee</w:t>
      </w:r>
    </w:p>
    <w:p w14:paraId="690B86A2" w14:textId="682CFB84" w:rsidR="00347785" w:rsidRPr="005B754A" w:rsidRDefault="00702383" w:rsidP="00347785">
      <w:pPr>
        <w:rPr>
          <w:rFonts w:ascii="Times New Roman" w:hAnsi="Times New Roman" w:cs="Times New Roman"/>
          <w:sz w:val="20"/>
          <w:szCs w:val="20"/>
        </w:rPr>
      </w:pPr>
      <w:r>
        <w:rPr>
          <w:rFonts w:ascii="Times New Roman" w:hAnsi="Times New Roman" w:cs="Times New Roman"/>
          <w:sz w:val="20"/>
          <w:szCs w:val="20"/>
        </w:rPr>
        <w:t xml:space="preserve">Research Scholar, University of </w:t>
      </w:r>
      <w:proofErr w:type="spellStart"/>
      <w:r>
        <w:rPr>
          <w:rFonts w:ascii="Times New Roman" w:hAnsi="Times New Roman" w:cs="Times New Roman"/>
          <w:sz w:val="20"/>
          <w:szCs w:val="20"/>
        </w:rPr>
        <w:t>Gour</w:t>
      </w:r>
      <w:proofErr w:type="spellEnd"/>
      <w:r>
        <w:rPr>
          <w:rFonts w:ascii="Times New Roman" w:hAnsi="Times New Roman" w:cs="Times New Roman"/>
          <w:sz w:val="20"/>
          <w:szCs w:val="20"/>
        </w:rPr>
        <w:t xml:space="preserve"> Banga, </w:t>
      </w:r>
      <w:proofErr w:type="spellStart"/>
      <w:r>
        <w:rPr>
          <w:rFonts w:ascii="Times New Roman" w:hAnsi="Times New Roman" w:cs="Times New Roman"/>
          <w:sz w:val="20"/>
          <w:szCs w:val="20"/>
        </w:rPr>
        <w:t>Malda</w:t>
      </w:r>
      <w:proofErr w:type="spellEnd"/>
      <w:r>
        <w:rPr>
          <w:rFonts w:ascii="Times New Roman" w:hAnsi="Times New Roman" w:cs="Times New Roman"/>
          <w:sz w:val="20"/>
          <w:szCs w:val="20"/>
        </w:rPr>
        <w:t xml:space="preserve">, (West Bengal) &amp; </w:t>
      </w:r>
      <w:r w:rsidR="00CD18D0">
        <w:rPr>
          <w:rFonts w:ascii="Times New Roman" w:hAnsi="Times New Roman" w:cs="Times New Roman"/>
          <w:sz w:val="20"/>
          <w:szCs w:val="20"/>
        </w:rPr>
        <w:t xml:space="preserve">Faculty, </w:t>
      </w:r>
      <w:r w:rsidR="00347785" w:rsidRPr="005B754A">
        <w:rPr>
          <w:rFonts w:ascii="Times New Roman" w:hAnsi="Times New Roman" w:cs="Times New Roman"/>
          <w:sz w:val="20"/>
          <w:szCs w:val="20"/>
        </w:rPr>
        <w:t>State Aided College Teacher,</w:t>
      </w:r>
      <w:r w:rsidR="005B754A" w:rsidRPr="005B754A">
        <w:rPr>
          <w:rFonts w:ascii="Times New Roman" w:hAnsi="Times New Roman" w:cs="Times New Roman"/>
          <w:sz w:val="20"/>
          <w:szCs w:val="20"/>
        </w:rPr>
        <w:t xml:space="preserve"> </w:t>
      </w:r>
      <w:r w:rsidR="00347785" w:rsidRPr="005B754A">
        <w:rPr>
          <w:rFonts w:ascii="Times New Roman" w:hAnsi="Times New Roman" w:cs="Times New Roman"/>
          <w:sz w:val="20"/>
          <w:szCs w:val="20"/>
        </w:rPr>
        <w:t xml:space="preserve">Department of Commerce, </w:t>
      </w:r>
      <w:proofErr w:type="spellStart"/>
      <w:r w:rsidR="00347785" w:rsidRPr="005B754A">
        <w:rPr>
          <w:rFonts w:ascii="Times New Roman" w:hAnsi="Times New Roman" w:cs="Times New Roman"/>
          <w:sz w:val="20"/>
          <w:szCs w:val="20"/>
        </w:rPr>
        <w:t>Jogamaya</w:t>
      </w:r>
      <w:proofErr w:type="spellEnd"/>
      <w:r w:rsidR="00347785" w:rsidRPr="005B754A">
        <w:rPr>
          <w:rFonts w:ascii="Times New Roman" w:hAnsi="Times New Roman" w:cs="Times New Roman"/>
          <w:sz w:val="20"/>
          <w:szCs w:val="20"/>
        </w:rPr>
        <w:t xml:space="preserve"> Devi College,</w:t>
      </w:r>
    </w:p>
    <w:p w14:paraId="210E0869" w14:textId="2F20BEBA" w:rsidR="00347785" w:rsidRPr="005B754A" w:rsidRDefault="00347785" w:rsidP="00347785">
      <w:pPr>
        <w:rPr>
          <w:rFonts w:ascii="Times New Roman" w:hAnsi="Times New Roman" w:cs="Times New Roman"/>
          <w:sz w:val="20"/>
          <w:szCs w:val="20"/>
        </w:rPr>
      </w:pPr>
      <w:r w:rsidRPr="005B754A">
        <w:rPr>
          <w:rFonts w:ascii="Times New Roman" w:hAnsi="Times New Roman" w:cs="Times New Roman"/>
          <w:sz w:val="20"/>
          <w:szCs w:val="20"/>
        </w:rPr>
        <w:t>Affiliated under University of Calcutta,</w:t>
      </w:r>
    </w:p>
    <w:p w14:paraId="1641C003" w14:textId="58CC41F9" w:rsidR="00347785" w:rsidRDefault="00347785" w:rsidP="00347785">
      <w:pPr>
        <w:rPr>
          <w:rFonts w:ascii="Times New Roman" w:hAnsi="Times New Roman" w:cs="Times New Roman"/>
          <w:sz w:val="20"/>
          <w:szCs w:val="20"/>
        </w:rPr>
      </w:pPr>
      <w:r w:rsidRPr="005B754A">
        <w:rPr>
          <w:rFonts w:ascii="Times New Roman" w:hAnsi="Times New Roman" w:cs="Times New Roman"/>
          <w:sz w:val="20"/>
          <w:szCs w:val="20"/>
        </w:rPr>
        <w:t>Kolkata, India</w:t>
      </w:r>
    </w:p>
    <w:p w14:paraId="2F0BCF51" w14:textId="48D34711" w:rsidR="00CD18D0" w:rsidRPr="005B754A" w:rsidRDefault="00CD18D0" w:rsidP="00347785">
      <w:pPr>
        <w:rPr>
          <w:rFonts w:ascii="Times New Roman" w:hAnsi="Times New Roman" w:cs="Times New Roman"/>
          <w:sz w:val="20"/>
          <w:szCs w:val="20"/>
        </w:rPr>
      </w:pPr>
      <w:r>
        <w:rPr>
          <w:rFonts w:ascii="Times New Roman" w:hAnsi="Times New Roman" w:cs="Times New Roman"/>
          <w:sz w:val="20"/>
          <w:szCs w:val="20"/>
        </w:rPr>
        <w:t>Email id: devdeepbanerjee.banerjee@gmail.com</w:t>
      </w:r>
    </w:p>
    <w:p w14:paraId="140ABBD6" w14:textId="7AD4B723" w:rsidR="005B754A" w:rsidRDefault="005B754A" w:rsidP="00347785">
      <w:pPr>
        <w:rPr>
          <w:rFonts w:ascii="Times New Roman" w:hAnsi="Times New Roman" w:cs="Times New Roman"/>
          <w:b/>
          <w:bCs/>
          <w:sz w:val="20"/>
          <w:szCs w:val="20"/>
        </w:rPr>
      </w:pPr>
    </w:p>
    <w:p w14:paraId="4D82B4F9" w14:textId="2A6586A8" w:rsidR="005B754A" w:rsidRDefault="005B754A" w:rsidP="00347785">
      <w:pPr>
        <w:rPr>
          <w:rFonts w:ascii="Times New Roman" w:hAnsi="Times New Roman" w:cs="Times New Roman"/>
          <w:b/>
          <w:bCs/>
          <w:sz w:val="20"/>
          <w:szCs w:val="20"/>
        </w:rPr>
      </w:pPr>
    </w:p>
    <w:p w14:paraId="13EB987A" w14:textId="504531B3" w:rsidR="005B754A" w:rsidRDefault="005B754A" w:rsidP="00347785">
      <w:pPr>
        <w:rPr>
          <w:rFonts w:ascii="Times New Roman" w:hAnsi="Times New Roman" w:cs="Times New Roman"/>
          <w:b/>
          <w:bCs/>
          <w:sz w:val="20"/>
          <w:szCs w:val="20"/>
        </w:rPr>
      </w:pPr>
    </w:p>
    <w:p w14:paraId="09906E68" w14:textId="25F3ED8A" w:rsidR="005B754A" w:rsidRDefault="005B754A" w:rsidP="005B754A">
      <w:pPr>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19EC8879" w14:textId="77777777" w:rsidR="00CB3C23" w:rsidRDefault="00CB3C23" w:rsidP="005B754A">
      <w:pPr>
        <w:jc w:val="center"/>
        <w:rPr>
          <w:rFonts w:ascii="Times New Roman" w:hAnsi="Times New Roman" w:cs="Times New Roman"/>
          <w:b/>
          <w:bCs/>
          <w:sz w:val="20"/>
          <w:szCs w:val="20"/>
        </w:rPr>
      </w:pPr>
    </w:p>
    <w:p w14:paraId="6EFCC683" w14:textId="10620749" w:rsidR="00690ED3" w:rsidRPr="00690ED3" w:rsidRDefault="005B754A" w:rsidP="007A585D">
      <w:pPr>
        <w:pStyle w:val="Default"/>
        <w:rPr>
          <w:color w:val="auto"/>
          <w:sz w:val="20"/>
          <w:szCs w:val="20"/>
        </w:rPr>
      </w:pPr>
      <w:r>
        <w:rPr>
          <w:b/>
          <w:bCs/>
          <w:sz w:val="20"/>
          <w:szCs w:val="20"/>
        </w:rPr>
        <w:tab/>
      </w:r>
      <w:r w:rsidR="00690ED3" w:rsidRPr="00690ED3">
        <w:rPr>
          <w:color w:val="auto"/>
          <w:sz w:val="20"/>
          <w:szCs w:val="20"/>
        </w:rPr>
        <w:t xml:space="preserve">Finance is the life blood of business. Now-a-days for the past couple of years, </w:t>
      </w:r>
      <w:proofErr w:type="spellStart"/>
      <w:r w:rsidR="00690ED3" w:rsidRPr="00690ED3">
        <w:rPr>
          <w:color w:val="auto"/>
          <w:sz w:val="20"/>
          <w:szCs w:val="20"/>
        </w:rPr>
        <w:t>behavioral</w:t>
      </w:r>
      <w:proofErr w:type="spellEnd"/>
      <w:r w:rsidR="00690ED3" w:rsidRPr="00690ED3">
        <w:rPr>
          <w:color w:val="auto"/>
          <w:sz w:val="20"/>
          <w:szCs w:val="20"/>
        </w:rPr>
        <w:t xml:space="preserve"> finance is a name which every industry specially finance industry is known for. It is a study of which influence the </w:t>
      </w:r>
      <w:proofErr w:type="spellStart"/>
      <w:r w:rsidR="00690ED3" w:rsidRPr="00690ED3">
        <w:rPr>
          <w:color w:val="auto"/>
          <w:sz w:val="20"/>
          <w:szCs w:val="20"/>
        </w:rPr>
        <w:t>behavior</w:t>
      </w:r>
      <w:proofErr w:type="spellEnd"/>
      <w:r w:rsidR="00690ED3" w:rsidRPr="00690ED3">
        <w:rPr>
          <w:color w:val="auto"/>
          <w:sz w:val="20"/>
          <w:szCs w:val="20"/>
        </w:rPr>
        <w:t xml:space="preserve"> of the investors by means of psychology, intermediaries of finance and financial analysts. It tries to explain the patterns of </w:t>
      </w:r>
      <w:proofErr w:type="spellStart"/>
      <w:r w:rsidR="00690ED3" w:rsidRPr="00690ED3">
        <w:rPr>
          <w:color w:val="auto"/>
          <w:sz w:val="20"/>
          <w:szCs w:val="20"/>
        </w:rPr>
        <w:t>behavior</w:t>
      </w:r>
      <w:proofErr w:type="spellEnd"/>
      <w:r w:rsidR="00690ED3" w:rsidRPr="00690ED3">
        <w:rPr>
          <w:color w:val="auto"/>
          <w:sz w:val="20"/>
          <w:szCs w:val="20"/>
        </w:rPr>
        <w:t xml:space="preserve"> of investors and investment service providers which includes the emotional processes involved while taking decisions. By the name itself, it talks about the aim and the way to improve the understanding of financial markets and its participants by going insights from </w:t>
      </w:r>
      <w:proofErr w:type="spellStart"/>
      <w:r w:rsidR="00690ED3" w:rsidRPr="00690ED3">
        <w:rPr>
          <w:color w:val="auto"/>
          <w:sz w:val="20"/>
          <w:szCs w:val="20"/>
        </w:rPr>
        <w:t>behavioral</w:t>
      </w:r>
      <w:proofErr w:type="spellEnd"/>
      <w:r w:rsidR="00690ED3" w:rsidRPr="00690ED3">
        <w:rPr>
          <w:color w:val="auto"/>
          <w:sz w:val="20"/>
          <w:szCs w:val="20"/>
        </w:rPr>
        <w:t xml:space="preserve"> sciences. It is actually a sub-field of </w:t>
      </w:r>
      <w:proofErr w:type="spellStart"/>
      <w:r w:rsidR="00690ED3" w:rsidRPr="00690ED3">
        <w:rPr>
          <w:color w:val="auto"/>
          <w:sz w:val="20"/>
          <w:szCs w:val="20"/>
        </w:rPr>
        <w:t>behavioral</w:t>
      </w:r>
      <w:proofErr w:type="spellEnd"/>
      <w:r w:rsidR="00690ED3" w:rsidRPr="00690ED3">
        <w:rPr>
          <w:color w:val="auto"/>
          <w:sz w:val="20"/>
          <w:szCs w:val="20"/>
        </w:rPr>
        <w:t xml:space="preserve"> economics which has been developed in the early 1980s. It proposed a psychological-based theories to explain the stock market anomalies. Although, we have seen many theories have been contributed in the field of economics and finance during these years but it could not explain what is the reason that people sometimes take decisions irrationally. The study in this field also includes, studies on financial markets and providing explanations to certain types of stock market anomalies, studies on stock market clashes &amp; speculative market bubbles and so on. The present paper primarily aims to find out the proportion of investment in riskless instruments and risky instruments of the selected investors on certain areas of West Bengal</w:t>
      </w:r>
      <w:r w:rsidR="000410D8">
        <w:rPr>
          <w:color w:val="auto"/>
          <w:sz w:val="20"/>
          <w:szCs w:val="20"/>
        </w:rPr>
        <w:t xml:space="preserve"> classified from various angles and to find out the reasons behind such </w:t>
      </w:r>
      <w:proofErr w:type="spellStart"/>
      <w:r w:rsidR="000410D8">
        <w:rPr>
          <w:color w:val="auto"/>
          <w:sz w:val="20"/>
          <w:szCs w:val="20"/>
        </w:rPr>
        <w:t>behavioral</w:t>
      </w:r>
      <w:proofErr w:type="spellEnd"/>
      <w:r w:rsidR="000410D8">
        <w:rPr>
          <w:color w:val="auto"/>
          <w:sz w:val="20"/>
          <w:szCs w:val="20"/>
        </w:rPr>
        <w:t xml:space="preserve"> pattern</w:t>
      </w:r>
      <w:r w:rsidR="00690ED3" w:rsidRPr="00690ED3">
        <w:rPr>
          <w:color w:val="auto"/>
          <w:sz w:val="20"/>
          <w:szCs w:val="20"/>
        </w:rPr>
        <w:t xml:space="preserve">. By way of doing this, different statistical tools (SPSS </w:t>
      </w:r>
      <w:r w:rsidR="000410D8">
        <w:rPr>
          <w:color w:val="auto"/>
          <w:sz w:val="20"/>
          <w:szCs w:val="20"/>
        </w:rPr>
        <w:t>20</w:t>
      </w:r>
      <w:r w:rsidR="00690ED3" w:rsidRPr="00690ED3">
        <w:rPr>
          <w:color w:val="auto"/>
          <w:sz w:val="20"/>
          <w:szCs w:val="20"/>
        </w:rPr>
        <w:t>) have been used and inferences are drawn accordingly.</w:t>
      </w:r>
    </w:p>
    <w:p w14:paraId="71332804" w14:textId="77777777" w:rsidR="00690ED3" w:rsidRDefault="00690ED3" w:rsidP="007A585D">
      <w:pPr>
        <w:pStyle w:val="Default"/>
        <w:rPr>
          <w:color w:val="111111"/>
          <w:sz w:val="20"/>
          <w:szCs w:val="20"/>
        </w:rPr>
      </w:pPr>
    </w:p>
    <w:p w14:paraId="7716E0CF" w14:textId="1BBE3D16" w:rsidR="00690ED3" w:rsidRDefault="00690ED3" w:rsidP="007A585D">
      <w:pPr>
        <w:pStyle w:val="Default"/>
        <w:rPr>
          <w:color w:val="111111"/>
          <w:sz w:val="20"/>
          <w:szCs w:val="20"/>
        </w:rPr>
      </w:pPr>
      <w:r w:rsidRPr="00690ED3">
        <w:rPr>
          <w:b/>
          <w:bCs/>
          <w:color w:val="111111"/>
          <w:sz w:val="20"/>
          <w:szCs w:val="20"/>
        </w:rPr>
        <w:t>Keywords-</w:t>
      </w:r>
      <w:r>
        <w:rPr>
          <w:b/>
          <w:bCs/>
          <w:color w:val="111111"/>
          <w:sz w:val="20"/>
          <w:szCs w:val="20"/>
        </w:rPr>
        <w:t xml:space="preserve"> </w:t>
      </w:r>
      <w:proofErr w:type="spellStart"/>
      <w:r w:rsidRPr="00690ED3">
        <w:rPr>
          <w:color w:val="111111"/>
          <w:sz w:val="20"/>
          <w:szCs w:val="20"/>
        </w:rPr>
        <w:t>Behavioral</w:t>
      </w:r>
      <w:proofErr w:type="spellEnd"/>
      <w:r w:rsidRPr="00690ED3">
        <w:rPr>
          <w:color w:val="111111"/>
          <w:sz w:val="20"/>
          <w:szCs w:val="20"/>
        </w:rPr>
        <w:t xml:space="preserve"> Finance, emotional process, Mental Accounting, Herd </w:t>
      </w:r>
      <w:proofErr w:type="spellStart"/>
      <w:r w:rsidRPr="00690ED3">
        <w:rPr>
          <w:color w:val="111111"/>
          <w:sz w:val="20"/>
          <w:szCs w:val="20"/>
        </w:rPr>
        <w:t>Behavior</w:t>
      </w:r>
      <w:proofErr w:type="spellEnd"/>
      <w:r w:rsidRPr="00690ED3">
        <w:rPr>
          <w:color w:val="111111"/>
          <w:sz w:val="20"/>
          <w:szCs w:val="20"/>
        </w:rPr>
        <w:t>, Loss Aversion, Anchoring, etc.</w:t>
      </w:r>
    </w:p>
    <w:p w14:paraId="04B6161E" w14:textId="77777777" w:rsidR="00AA041C" w:rsidRDefault="00AA041C" w:rsidP="000138E2">
      <w:pPr>
        <w:pStyle w:val="Default"/>
        <w:spacing w:line="360" w:lineRule="auto"/>
        <w:rPr>
          <w:color w:val="111111"/>
          <w:sz w:val="20"/>
          <w:szCs w:val="20"/>
        </w:rPr>
      </w:pPr>
    </w:p>
    <w:p w14:paraId="760514BD" w14:textId="4DB16E1C" w:rsidR="00AA041C" w:rsidRDefault="00AA041C" w:rsidP="00AA041C">
      <w:pPr>
        <w:pStyle w:val="Default"/>
        <w:numPr>
          <w:ilvl w:val="0"/>
          <w:numId w:val="1"/>
        </w:numPr>
        <w:spacing w:line="360" w:lineRule="auto"/>
        <w:jc w:val="center"/>
        <w:rPr>
          <w:b/>
          <w:bCs/>
          <w:color w:val="111111"/>
          <w:sz w:val="20"/>
          <w:szCs w:val="20"/>
        </w:rPr>
      </w:pPr>
      <w:r w:rsidRPr="00AA041C">
        <w:rPr>
          <w:b/>
          <w:bCs/>
          <w:color w:val="111111"/>
          <w:sz w:val="20"/>
          <w:szCs w:val="20"/>
        </w:rPr>
        <w:t>INTRODUCTION</w:t>
      </w:r>
    </w:p>
    <w:p w14:paraId="603F2A02" w14:textId="50181B9B" w:rsidR="00A26C98" w:rsidRDefault="00A26C98" w:rsidP="007A585D">
      <w:pPr>
        <w:ind w:firstLine="284"/>
        <w:rPr>
          <w:rFonts w:ascii="Times New Roman" w:hAnsi="Times New Roman" w:cs="Times New Roman"/>
          <w:sz w:val="20"/>
          <w:szCs w:val="20"/>
        </w:rPr>
      </w:pPr>
      <w:r>
        <w:rPr>
          <w:b/>
          <w:bCs/>
          <w:color w:val="111111"/>
          <w:sz w:val="20"/>
          <w:szCs w:val="20"/>
        </w:rPr>
        <w:t xml:space="preserve">  </w:t>
      </w:r>
      <w:r w:rsidRPr="00A26C98">
        <w:rPr>
          <w:rFonts w:ascii="Times New Roman" w:hAnsi="Times New Roman" w:cs="Times New Roman"/>
          <w:sz w:val="20"/>
          <w:szCs w:val="20"/>
        </w:rPr>
        <w:t xml:space="preserve">For the past couple of years,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is a name which every industry specially finance industry is known for. It is a study of which influence the </w:t>
      </w:r>
      <w:proofErr w:type="spellStart"/>
      <w:r w:rsidRPr="00A26C98">
        <w:rPr>
          <w:rFonts w:ascii="Times New Roman" w:hAnsi="Times New Roman" w:cs="Times New Roman"/>
          <w:sz w:val="20"/>
          <w:szCs w:val="20"/>
        </w:rPr>
        <w:t>behavior</w:t>
      </w:r>
      <w:proofErr w:type="spellEnd"/>
      <w:r w:rsidRPr="00A26C98">
        <w:rPr>
          <w:rFonts w:ascii="Times New Roman" w:hAnsi="Times New Roman" w:cs="Times New Roman"/>
          <w:sz w:val="20"/>
          <w:szCs w:val="20"/>
        </w:rPr>
        <w:t xml:space="preserve"> of the investors by means of psychology, intermediaries of finance and financial analysts.</w:t>
      </w:r>
      <w:r w:rsidRPr="00A26C98">
        <w:rPr>
          <w:rFonts w:ascii="Times New Roman" w:hAnsi="Times New Roman" w:cs="Times New Roman"/>
        </w:rPr>
        <w:t xml:space="preserve"> </w:t>
      </w:r>
      <w:r w:rsidRPr="00A26C98">
        <w:rPr>
          <w:rFonts w:ascii="Times New Roman" w:hAnsi="Times New Roman" w:cs="Times New Roman"/>
          <w:sz w:val="20"/>
          <w:szCs w:val="20"/>
        </w:rPr>
        <w:t xml:space="preserve">It tries to explain the patterns of </w:t>
      </w:r>
      <w:proofErr w:type="spellStart"/>
      <w:r w:rsidRPr="00A26C98">
        <w:rPr>
          <w:rFonts w:ascii="Times New Roman" w:hAnsi="Times New Roman" w:cs="Times New Roman"/>
          <w:sz w:val="20"/>
          <w:szCs w:val="20"/>
        </w:rPr>
        <w:t>behavior</w:t>
      </w:r>
      <w:proofErr w:type="spellEnd"/>
      <w:r w:rsidRPr="00A26C98">
        <w:rPr>
          <w:rFonts w:ascii="Times New Roman" w:hAnsi="Times New Roman" w:cs="Times New Roman"/>
          <w:sz w:val="20"/>
          <w:szCs w:val="20"/>
        </w:rPr>
        <w:t xml:space="preserve"> of investors and investment service providers which includes the emotional processes involved while taking decisions. By the name itself, it talks about the aim and the way to improve the understanding of financial markets and its participants by going insights from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sciences. Now-a-days, most of financial houses offer their services based on the psychology and findings beached in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Say for an example, the market players, use the findings of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to help the retired pension-holders money to improve the investment strategies. Also, the actions many asset managers are based on the strategies originating in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It is actually a sub-field of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economics which has been developed in the early 1980s. It proposed a psychological-based theories to explain the stock market anomalies. Although, we have seen many theories have been contributed in the field of economics and finance during these years but it could not explain what is the reason that people sometimes take decisions irrationally. The studies in this field includes the following areas:</w:t>
      </w:r>
    </w:p>
    <w:p w14:paraId="47E7F08F" w14:textId="77777777" w:rsidR="00704A69" w:rsidRPr="00A26C98" w:rsidRDefault="00704A69" w:rsidP="007A585D">
      <w:pPr>
        <w:ind w:firstLine="284"/>
        <w:rPr>
          <w:rFonts w:ascii="Times New Roman" w:hAnsi="Times New Roman" w:cs="Times New Roman"/>
          <w:sz w:val="20"/>
          <w:szCs w:val="20"/>
        </w:rPr>
      </w:pPr>
    </w:p>
    <w:p w14:paraId="723B8436" w14:textId="1E773BFA" w:rsidR="00A26C98" w:rsidRDefault="00A26C98" w:rsidP="007A585D">
      <w:pPr>
        <w:pStyle w:val="ListParagraph"/>
        <w:numPr>
          <w:ilvl w:val="0"/>
          <w:numId w:val="2"/>
        </w:numPr>
        <w:rPr>
          <w:rFonts w:ascii="Times New Roman" w:hAnsi="Times New Roman" w:cs="Times New Roman"/>
          <w:sz w:val="20"/>
          <w:szCs w:val="20"/>
        </w:rPr>
      </w:pPr>
      <w:r w:rsidRPr="00A26C98">
        <w:rPr>
          <w:rFonts w:ascii="Times New Roman" w:hAnsi="Times New Roman" w:cs="Times New Roman"/>
          <w:sz w:val="20"/>
          <w:szCs w:val="20"/>
        </w:rPr>
        <w:t>Studies on financial markets and providing explanations to certain type of stock market anomalies, namely, “January Effect”.</w:t>
      </w:r>
    </w:p>
    <w:p w14:paraId="5F4499D2" w14:textId="77777777" w:rsidR="00212309" w:rsidRPr="00A26C98" w:rsidRDefault="00212309" w:rsidP="00212309">
      <w:pPr>
        <w:pStyle w:val="ListParagraph"/>
        <w:ind w:left="1004"/>
        <w:rPr>
          <w:rFonts w:ascii="Times New Roman" w:hAnsi="Times New Roman" w:cs="Times New Roman"/>
          <w:sz w:val="20"/>
          <w:szCs w:val="20"/>
        </w:rPr>
      </w:pPr>
    </w:p>
    <w:p w14:paraId="704C04A0" w14:textId="65CDE960" w:rsidR="00A26C98" w:rsidRDefault="00A26C98" w:rsidP="007A585D">
      <w:pPr>
        <w:pStyle w:val="ListParagraph"/>
        <w:numPr>
          <w:ilvl w:val="0"/>
          <w:numId w:val="2"/>
        </w:numPr>
        <w:rPr>
          <w:rFonts w:ascii="Times New Roman" w:hAnsi="Times New Roman" w:cs="Times New Roman"/>
          <w:sz w:val="20"/>
          <w:szCs w:val="20"/>
        </w:rPr>
      </w:pPr>
      <w:r w:rsidRPr="00A26C98">
        <w:rPr>
          <w:rFonts w:ascii="Times New Roman" w:hAnsi="Times New Roman" w:cs="Times New Roman"/>
          <w:sz w:val="20"/>
          <w:szCs w:val="20"/>
        </w:rPr>
        <w:t>Studies on the basis of market (speculative) bubbles.</w:t>
      </w:r>
    </w:p>
    <w:p w14:paraId="4B01CB81" w14:textId="77777777" w:rsidR="00212309" w:rsidRPr="00212309" w:rsidRDefault="00212309" w:rsidP="00212309">
      <w:pPr>
        <w:pStyle w:val="ListParagraph"/>
        <w:rPr>
          <w:rFonts w:ascii="Times New Roman" w:hAnsi="Times New Roman" w:cs="Times New Roman"/>
          <w:sz w:val="20"/>
          <w:szCs w:val="20"/>
        </w:rPr>
      </w:pPr>
    </w:p>
    <w:p w14:paraId="277EEAC8" w14:textId="77777777" w:rsidR="00212309" w:rsidRPr="00A26C98" w:rsidRDefault="00212309" w:rsidP="00212309">
      <w:pPr>
        <w:pStyle w:val="ListParagraph"/>
        <w:ind w:left="1004"/>
        <w:rPr>
          <w:rFonts w:ascii="Times New Roman" w:hAnsi="Times New Roman" w:cs="Times New Roman"/>
          <w:sz w:val="20"/>
          <w:szCs w:val="20"/>
        </w:rPr>
      </w:pPr>
    </w:p>
    <w:p w14:paraId="2F5A5574" w14:textId="63E8E61C" w:rsidR="00A26C98" w:rsidRDefault="00A26C98" w:rsidP="007A585D">
      <w:pPr>
        <w:pStyle w:val="ListParagraph"/>
        <w:numPr>
          <w:ilvl w:val="0"/>
          <w:numId w:val="2"/>
        </w:numPr>
        <w:rPr>
          <w:rFonts w:ascii="Times New Roman" w:hAnsi="Times New Roman" w:cs="Times New Roman"/>
          <w:sz w:val="20"/>
          <w:szCs w:val="20"/>
        </w:rPr>
      </w:pPr>
      <w:r w:rsidRPr="00A26C98">
        <w:rPr>
          <w:rFonts w:ascii="Times New Roman" w:hAnsi="Times New Roman" w:cs="Times New Roman"/>
          <w:sz w:val="20"/>
          <w:szCs w:val="20"/>
        </w:rPr>
        <w:t>Studies (other than fundamental) on stock market crashes, etc.</w:t>
      </w:r>
    </w:p>
    <w:p w14:paraId="5CDBA5B6" w14:textId="77777777" w:rsidR="00212309" w:rsidRDefault="00212309" w:rsidP="007A585D">
      <w:pPr>
        <w:rPr>
          <w:rFonts w:ascii="Times New Roman" w:hAnsi="Times New Roman" w:cs="Times New Roman"/>
          <w:sz w:val="20"/>
          <w:szCs w:val="20"/>
        </w:rPr>
      </w:pPr>
    </w:p>
    <w:p w14:paraId="378D0933" w14:textId="7B17D88D" w:rsidR="00A26C98" w:rsidRPr="00A26C98" w:rsidRDefault="00A26C98" w:rsidP="00212309">
      <w:pPr>
        <w:ind w:firstLine="284"/>
        <w:rPr>
          <w:rFonts w:ascii="Times New Roman" w:hAnsi="Times New Roman" w:cs="Times New Roman"/>
          <w:sz w:val="20"/>
          <w:szCs w:val="20"/>
        </w:rPr>
      </w:pPr>
      <w:r w:rsidRPr="00A26C98">
        <w:rPr>
          <w:rFonts w:ascii="Times New Roman" w:hAnsi="Times New Roman" w:cs="Times New Roman"/>
          <w:sz w:val="20"/>
          <w:szCs w:val="20"/>
        </w:rPr>
        <w:t xml:space="preserve">It is debatable regarding the actual and validity in terms of the definition of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as it is in the developing stage. Thus, we can say,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studies the psychological, organizational, accounting, marketing, financial and sociological factors the influence the financial decision-making process of the parties, viz;</w:t>
      </w:r>
    </w:p>
    <w:p w14:paraId="38A6BD00" w14:textId="71712722" w:rsidR="00A26C98" w:rsidRDefault="00A26C98" w:rsidP="007A585D">
      <w:pPr>
        <w:pStyle w:val="ListParagraph"/>
        <w:numPr>
          <w:ilvl w:val="0"/>
          <w:numId w:val="3"/>
        </w:numPr>
        <w:rPr>
          <w:rFonts w:ascii="Times New Roman" w:hAnsi="Times New Roman" w:cs="Times New Roman"/>
          <w:sz w:val="20"/>
          <w:szCs w:val="20"/>
        </w:rPr>
      </w:pPr>
      <w:r w:rsidRPr="00A26C98">
        <w:rPr>
          <w:rFonts w:ascii="Times New Roman" w:hAnsi="Times New Roman" w:cs="Times New Roman"/>
          <w:sz w:val="20"/>
          <w:szCs w:val="20"/>
        </w:rPr>
        <w:t>The Investors - namely, portfolio managers, financial analysts, etc.</w:t>
      </w:r>
    </w:p>
    <w:p w14:paraId="1CF73266" w14:textId="77777777" w:rsidR="00212309" w:rsidRPr="00A26C98" w:rsidRDefault="00212309" w:rsidP="00212309">
      <w:pPr>
        <w:pStyle w:val="ListParagraph"/>
        <w:ind w:left="644"/>
        <w:rPr>
          <w:rFonts w:ascii="Times New Roman" w:hAnsi="Times New Roman" w:cs="Times New Roman"/>
          <w:sz w:val="20"/>
          <w:szCs w:val="20"/>
        </w:rPr>
      </w:pPr>
    </w:p>
    <w:p w14:paraId="6FAD69CF" w14:textId="52552E06" w:rsidR="00A26C98" w:rsidRDefault="00A26C98" w:rsidP="007A585D">
      <w:pPr>
        <w:pStyle w:val="ListParagraph"/>
        <w:numPr>
          <w:ilvl w:val="0"/>
          <w:numId w:val="3"/>
        </w:numPr>
        <w:rPr>
          <w:rFonts w:ascii="Times New Roman" w:hAnsi="Times New Roman" w:cs="Times New Roman"/>
          <w:sz w:val="20"/>
          <w:szCs w:val="20"/>
        </w:rPr>
      </w:pPr>
      <w:r w:rsidRPr="00A26C98">
        <w:rPr>
          <w:rFonts w:ascii="Times New Roman" w:hAnsi="Times New Roman" w:cs="Times New Roman"/>
          <w:sz w:val="20"/>
          <w:szCs w:val="20"/>
        </w:rPr>
        <w:lastRenderedPageBreak/>
        <w:t>The Group- such as, the Mutual Fund.</w:t>
      </w:r>
    </w:p>
    <w:p w14:paraId="531B92B8" w14:textId="77777777" w:rsidR="00212309" w:rsidRPr="00212309" w:rsidRDefault="00212309" w:rsidP="00212309">
      <w:pPr>
        <w:pStyle w:val="ListParagraph"/>
        <w:rPr>
          <w:rFonts w:ascii="Times New Roman" w:hAnsi="Times New Roman" w:cs="Times New Roman"/>
          <w:sz w:val="20"/>
          <w:szCs w:val="20"/>
        </w:rPr>
      </w:pPr>
    </w:p>
    <w:p w14:paraId="28D37426" w14:textId="77777777" w:rsidR="00212309" w:rsidRPr="00A26C98" w:rsidRDefault="00212309" w:rsidP="00212309">
      <w:pPr>
        <w:pStyle w:val="ListParagraph"/>
        <w:ind w:left="644"/>
        <w:rPr>
          <w:rFonts w:ascii="Times New Roman" w:hAnsi="Times New Roman" w:cs="Times New Roman"/>
          <w:sz w:val="20"/>
          <w:szCs w:val="20"/>
        </w:rPr>
      </w:pPr>
    </w:p>
    <w:p w14:paraId="6AC12EF8" w14:textId="3F22C3F9" w:rsidR="00A26C98" w:rsidRDefault="00A26C98" w:rsidP="007A585D">
      <w:pPr>
        <w:pStyle w:val="ListParagraph"/>
        <w:numPr>
          <w:ilvl w:val="0"/>
          <w:numId w:val="3"/>
        </w:numPr>
        <w:rPr>
          <w:rFonts w:ascii="Times New Roman" w:hAnsi="Times New Roman" w:cs="Times New Roman"/>
          <w:sz w:val="20"/>
          <w:szCs w:val="20"/>
        </w:rPr>
      </w:pPr>
      <w:r w:rsidRPr="00A26C98">
        <w:rPr>
          <w:rFonts w:ascii="Times New Roman" w:hAnsi="Times New Roman" w:cs="Times New Roman"/>
          <w:sz w:val="20"/>
          <w:szCs w:val="20"/>
        </w:rPr>
        <w:t>An organization – namely, financial institutions, banks, non-profit organizations involved in investments, etc.</w:t>
      </w:r>
    </w:p>
    <w:p w14:paraId="33C50066" w14:textId="27AD13D6" w:rsidR="00A26C98" w:rsidRDefault="00A26C98" w:rsidP="00A26C98">
      <w:pPr>
        <w:pStyle w:val="ListParagraph"/>
        <w:spacing w:line="360" w:lineRule="auto"/>
        <w:ind w:left="644"/>
        <w:jc w:val="center"/>
        <w:rPr>
          <w:rFonts w:ascii="Times New Roman" w:hAnsi="Times New Roman" w:cs="Times New Roman"/>
          <w:sz w:val="20"/>
          <w:szCs w:val="20"/>
        </w:rPr>
      </w:pPr>
    </w:p>
    <w:p w14:paraId="35DEB6DC" w14:textId="25478315" w:rsidR="00A26C98" w:rsidRDefault="00A26C98" w:rsidP="00A26C98">
      <w:pPr>
        <w:pStyle w:val="ListParagraph"/>
        <w:numPr>
          <w:ilvl w:val="0"/>
          <w:numId w:val="1"/>
        </w:numPr>
        <w:spacing w:line="360" w:lineRule="auto"/>
        <w:jc w:val="center"/>
        <w:rPr>
          <w:rFonts w:ascii="Times New Roman" w:hAnsi="Times New Roman" w:cs="Times New Roman"/>
          <w:b/>
          <w:bCs/>
          <w:sz w:val="20"/>
          <w:szCs w:val="20"/>
        </w:rPr>
      </w:pPr>
      <w:r w:rsidRPr="00A26C98">
        <w:rPr>
          <w:rFonts w:ascii="Times New Roman" w:hAnsi="Times New Roman" w:cs="Times New Roman"/>
          <w:b/>
          <w:bCs/>
          <w:sz w:val="20"/>
          <w:szCs w:val="20"/>
        </w:rPr>
        <w:t>LITERATURE REVIEW</w:t>
      </w:r>
    </w:p>
    <w:p w14:paraId="13468B56" w14:textId="223C4C6C" w:rsidR="00A26C98" w:rsidRDefault="00A26C98" w:rsidP="007A585D">
      <w:pPr>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b/>
          <w:bCs/>
          <w:sz w:val="20"/>
          <w:szCs w:val="20"/>
        </w:rPr>
        <w:tab/>
      </w:r>
      <w:r w:rsidRPr="00A26C98">
        <w:rPr>
          <w:rFonts w:ascii="Times New Roman" w:hAnsi="Times New Roman" w:cs="Times New Roman"/>
          <w:b/>
          <w:bCs/>
          <w:sz w:val="16"/>
          <w:szCs w:val="16"/>
        </w:rPr>
        <w:t xml:space="preserve"> </w:t>
      </w:r>
      <w:r w:rsidRPr="00A26C98">
        <w:rPr>
          <w:rFonts w:ascii="Times New Roman" w:hAnsi="Times New Roman" w:cs="Times New Roman"/>
          <w:sz w:val="20"/>
          <w:szCs w:val="20"/>
        </w:rPr>
        <w:t xml:space="preserve">Many studies have been conducted worldwide over the years now, but in India the number of studies has been limited so far. Some of the important studies in this area are summarised below: </w:t>
      </w:r>
    </w:p>
    <w:p w14:paraId="7E4C8321" w14:textId="77777777" w:rsidR="00CB3C23" w:rsidRPr="00A26C98" w:rsidRDefault="00CB3C23" w:rsidP="007A585D">
      <w:pPr>
        <w:rPr>
          <w:rFonts w:ascii="Times New Roman" w:hAnsi="Times New Roman" w:cs="Times New Roman"/>
          <w:sz w:val="20"/>
          <w:szCs w:val="20"/>
        </w:rPr>
      </w:pPr>
    </w:p>
    <w:p w14:paraId="145C2C20" w14:textId="6FAC83BC"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 xml:space="preserve">Edwards (1955) </w:t>
      </w:r>
      <w:r w:rsidRPr="00A26C98">
        <w:rPr>
          <w:rFonts w:ascii="Times New Roman" w:hAnsi="Times New Roman" w:cs="Times New Roman"/>
          <w:sz w:val="20"/>
          <w:szCs w:val="20"/>
        </w:rPr>
        <w:t xml:space="preserve">in his research opined that, on the basis of collected data, in parallel to theoretical developments and explanations, individuals often do not take decisions flawlessly. </w:t>
      </w:r>
    </w:p>
    <w:p w14:paraId="4846C49F" w14:textId="77777777" w:rsidR="00212309" w:rsidRPr="00A26C98" w:rsidRDefault="00212309" w:rsidP="007A585D">
      <w:pPr>
        <w:rPr>
          <w:rFonts w:ascii="Times New Roman" w:hAnsi="Times New Roman" w:cs="Times New Roman"/>
          <w:sz w:val="20"/>
          <w:szCs w:val="20"/>
        </w:rPr>
      </w:pPr>
    </w:p>
    <w:p w14:paraId="2F157ED9" w14:textId="5DF1F561"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 xml:space="preserve">Paul (1972) </w:t>
      </w:r>
      <w:r w:rsidRPr="00A26C98">
        <w:rPr>
          <w:rFonts w:ascii="Times New Roman" w:hAnsi="Times New Roman" w:cs="Times New Roman"/>
          <w:sz w:val="20"/>
          <w:szCs w:val="20"/>
        </w:rPr>
        <w:t xml:space="preserve">said that, almost all the investors investing on equity shares bears a tendency of a good return that can be established by means of reputed companies equity shares before investment decision making. </w:t>
      </w:r>
    </w:p>
    <w:p w14:paraId="265F807A" w14:textId="77777777" w:rsidR="00212309" w:rsidRPr="00A26C98" w:rsidRDefault="00212309" w:rsidP="007A585D">
      <w:pPr>
        <w:rPr>
          <w:rFonts w:ascii="Times New Roman" w:hAnsi="Times New Roman" w:cs="Times New Roman"/>
          <w:sz w:val="20"/>
          <w:szCs w:val="20"/>
        </w:rPr>
      </w:pPr>
    </w:p>
    <w:p w14:paraId="66B01FA6" w14:textId="38D093EC"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Kahneman and Tversky (1979)</w:t>
      </w:r>
      <w:r w:rsidRPr="00A26C98">
        <w:rPr>
          <w:rFonts w:ascii="Times New Roman" w:hAnsi="Times New Roman" w:cs="Times New Roman"/>
          <w:sz w:val="20"/>
          <w:szCs w:val="20"/>
        </w:rPr>
        <w:t xml:space="preserve">, coined the term “prospect theory” in behavioural finance which has been considered as an alternative option to many theories, namely, expected utility theory, rational expectations theory and efficient market hypothesis. </w:t>
      </w:r>
    </w:p>
    <w:p w14:paraId="34C7A924" w14:textId="77777777" w:rsidR="00212309" w:rsidRPr="00A26C98" w:rsidRDefault="00212309" w:rsidP="007A585D">
      <w:pPr>
        <w:rPr>
          <w:rFonts w:ascii="Times New Roman" w:hAnsi="Times New Roman" w:cs="Times New Roman"/>
          <w:sz w:val="20"/>
          <w:szCs w:val="20"/>
        </w:rPr>
      </w:pPr>
    </w:p>
    <w:p w14:paraId="1217E7E1" w14:textId="77777777" w:rsidR="00212309" w:rsidRDefault="00A26C98" w:rsidP="007A585D">
      <w:pPr>
        <w:rPr>
          <w:rFonts w:ascii="Times New Roman" w:hAnsi="Times New Roman" w:cs="Times New Roman"/>
          <w:sz w:val="20"/>
          <w:szCs w:val="20"/>
        </w:rPr>
      </w:pPr>
      <w:proofErr w:type="spellStart"/>
      <w:r w:rsidRPr="00A26C98">
        <w:rPr>
          <w:rFonts w:ascii="Times New Roman" w:hAnsi="Times New Roman" w:cs="Times New Roman"/>
          <w:b/>
          <w:bCs/>
          <w:sz w:val="20"/>
          <w:szCs w:val="20"/>
        </w:rPr>
        <w:t>Barberis</w:t>
      </w:r>
      <w:proofErr w:type="spellEnd"/>
      <w:r w:rsidRPr="00A26C98">
        <w:rPr>
          <w:rFonts w:ascii="Times New Roman" w:hAnsi="Times New Roman" w:cs="Times New Roman"/>
          <w:b/>
          <w:bCs/>
          <w:sz w:val="20"/>
          <w:szCs w:val="20"/>
        </w:rPr>
        <w:t xml:space="preserve"> (2003)</w:t>
      </w:r>
      <w:r w:rsidRPr="00A26C98">
        <w:rPr>
          <w:rFonts w:ascii="Times New Roman" w:hAnsi="Times New Roman" w:cs="Times New Roman"/>
          <w:sz w:val="20"/>
          <w:szCs w:val="20"/>
        </w:rPr>
        <w:t>, in his study pointed out that, the theory of behavioural finance can be understood by means of financial phenomena using some models that can be specified the investment decision making approach. The study has two groups: one, to limit to arbitrage process and the other one is psychology.</w:t>
      </w:r>
    </w:p>
    <w:p w14:paraId="0DBB14D3" w14:textId="6AB08CD6" w:rsidR="00A26C98" w:rsidRPr="00A26C98" w:rsidRDefault="00A26C98" w:rsidP="007A585D">
      <w:pPr>
        <w:rPr>
          <w:rFonts w:ascii="Times New Roman" w:hAnsi="Times New Roman" w:cs="Times New Roman"/>
          <w:sz w:val="20"/>
          <w:szCs w:val="20"/>
        </w:rPr>
      </w:pPr>
      <w:r w:rsidRPr="00A26C98">
        <w:rPr>
          <w:rFonts w:ascii="Times New Roman" w:hAnsi="Times New Roman" w:cs="Times New Roman"/>
          <w:sz w:val="20"/>
          <w:szCs w:val="20"/>
        </w:rPr>
        <w:t xml:space="preserve"> </w:t>
      </w:r>
    </w:p>
    <w:p w14:paraId="5D1A9D3F" w14:textId="3A275910" w:rsidR="00A26C98" w:rsidRDefault="00A26C98" w:rsidP="007A585D">
      <w:pPr>
        <w:rPr>
          <w:rFonts w:ascii="Times New Roman" w:hAnsi="Times New Roman" w:cs="Times New Roman"/>
          <w:sz w:val="20"/>
          <w:szCs w:val="20"/>
        </w:rPr>
      </w:pPr>
      <w:proofErr w:type="spellStart"/>
      <w:r w:rsidRPr="00A26C98">
        <w:rPr>
          <w:rFonts w:ascii="Times New Roman" w:hAnsi="Times New Roman" w:cs="Times New Roman"/>
          <w:b/>
          <w:bCs/>
          <w:sz w:val="20"/>
          <w:szCs w:val="20"/>
        </w:rPr>
        <w:t>Diacon</w:t>
      </w:r>
      <w:proofErr w:type="spellEnd"/>
      <w:r w:rsidRPr="00A26C98">
        <w:rPr>
          <w:rFonts w:ascii="Times New Roman" w:hAnsi="Times New Roman" w:cs="Times New Roman"/>
          <w:b/>
          <w:bCs/>
          <w:sz w:val="20"/>
          <w:szCs w:val="20"/>
        </w:rPr>
        <w:t xml:space="preserve"> S. (2002)</w:t>
      </w:r>
      <w:r w:rsidRPr="00A26C98">
        <w:rPr>
          <w:rFonts w:ascii="Times New Roman" w:hAnsi="Times New Roman" w:cs="Times New Roman"/>
          <w:sz w:val="20"/>
          <w:szCs w:val="20"/>
        </w:rPr>
        <w:t xml:space="preserve">, in his research article observed that, prospective investors seek for equity investment, is suitable to achieve the long-term goals and hence their needs are arising is less than three years of investment prefer to invest on securities bearing fixed income. </w:t>
      </w:r>
    </w:p>
    <w:p w14:paraId="129088BE" w14:textId="77777777" w:rsidR="00212309" w:rsidRPr="00A26C98" w:rsidRDefault="00212309" w:rsidP="007A585D">
      <w:pPr>
        <w:rPr>
          <w:rFonts w:ascii="Times New Roman" w:hAnsi="Times New Roman" w:cs="Times New Roman"/>
          <w:sz w:val="20"/>
          <w:szCs w:val="20"/>
        </w:rPr>
      </w:pPr>
    </w:p>
    <w:p w14:paraId="610F555F" w14:textId="4DDA90E7"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 xml:space="preserve">M. </w:t>
      </w:r>
      <w:proofErr w:type="spellStart"/>
      <w:r w:rsidRPr="00A26C98">
        <w:rPr>
          <w:rFonts w:ascii="Times New Roman" w:hAnsi="Times New Roman" w:cs="Times New Roman"/>
          <w:b/>
          <w:bCs/>
          <w:sz w:val="20"/>
          <w:szCs w:val="20"/>
        </w:rPr>
        <w:t>Kannadhasan</w:t>
      </w:r>
      <w:proofErr w:type="spellEnd"/>
      <w:r w:rsidRPr="00A26C98">
        <w:rPr>
          <w:rFonts w:ascii="Times New Roman" w:hAnsi="Times New Roman" w:cs="Times New Roman"/>
          <w:b/>
          <w:bCs/>
          <w:sz w:val="20"/>
          <w:szCs w:val="20"/>
        </w:rPr>
        <w:t xml:space="preserve"> (2006) </w:t>
      </w:r>
      <w:r w:rsidRPr="00A26C98">
        <w:rPr>
          <w:rFonts w:ascii="Times New Roman" w:hAnsi="Times New Roman" w:cs="Times New Roman"/>
          <w:sz w:val="20"/>
          <w:szCs w:val="20"/>
        </w:rPr>
        <w:t xml:space="preserve">in his study said that, taking a decision is a complex activity. It cannot be made on the basis of some facts and figures based on personal resources and complex models. </w:t>
      </w:r>
    </w:p>
    <w:p w14:paraId="54F5CA61" w14:textId="77777777" w:rsidR="00212309" w:rsidRPr="00A26C98" w:rsidRDefault="00212309" w:rsidP="007A585D">
      <w:pPr>
        <w:rPr>
          <w:rFonts w:ascii="Times New Roman" w:hAnsi="Times New Roman" w:cs="Times New Roman"/>
          <w:sz w:val="20"/>
          <w:szCs w:val="20"/>
        </w:rPr>
      </w:pPr>
    </w:p>
    <w:p w14:paraId="244B1566" w14:textId="7461CA9E" w:rsidR="00A26C98" w:rsidRDefault="00A26C98" w:rsidP="007A585D">
      <w:pPr>
        <w:rPr>
          <w:rFonts w:ascii="Times New Roman" w:hAnsi="Times New Roman" w:cs="Times New Roman"/>
          <w:sz w:val="20"/>
          <w:szCs w:val="20"/>
        </w:rPr>
      </w:pPr>
      <w:proofErr w:type="spellStart"/>
      <w:r w:rsidRPr="00A26C98">
        <w:rPr>
          <w:rFonts w:ascii="Times New Roman" w:hAnsi="Times New Roman" w:cs="Times New Roman"/>
          <w:b/>
          <w:bCs/>
          <w:sz w:val="20"/>
          <w:szCs w:val="20"/>
        </w:rPr>
        <w:t>Sahni</w:t>
      </w:r>
      <w:proofErr w:type="spellEnd"/>
      <w:r w:rsidRPr="00A26C98">
        <w:rPr>
          <w:rFonts w:ascii="Times New Roman" w:hAnsi="Times New Roman" w:cs="Times New Roman"/>
          <w:b/>
          <w:bCs/>
          <w:sz w:val="20"/>
          <w:szCs w:val="20"/>
        </w:rPr>
        <w:t xml:space="preserve"> (2012) </w:t>
      </w:r>
      <w:r w:rsidRPr="00A26C98">
        <w:rPr>
          <w:rFonts w:ascii="Times New Roman" w:hAnsi="Times New Roman" w:cs="Times New Roman"/>
          <w:sz w:val="20"/>
          <w:szCs w:val="20"/>
        </w:rPr>
        <w:t xml:space="preserve">concluded that, the majority of the investors expects ideal returns on their investment and depends on elementary analysis of company to make their investment decisions. It was found that risk averse behaviour of investors invokes them to trade in gaining shares. Investors’ perceptions are greatly influenced by the past performance of stock market. </w:t>
      </w:r>
    </w:p>
    <w:p w14:paraId="66A7185E" w14:textId="77777777" w:rsidR="00212309" w:rsidRPr="00A26C98" w:rsidRDefault="00212309" w:rsidP="007A585D">
      <w:pPr>
        <w:rPr>
          <w:rFonts w:ascii="Times New Roman" w:hAnsi="Times New Roman" w:cs="Times New Roman"/>
          <w:sz w:val="20"/>
          <w:szCs w:val="20"/>
        </w:rPr>
      </w:pPr>
    </w:p>
    <w:p w14:paraId="6F80B581" w14:textId="335EA97D" w:rsidR="00A26C98" w:rsidRDefault="00A26C98" w:rsidP="007A585D">
      <w:pPr>
        <w:rPr>
          <w:rFonts w:ascii="Times New Roman" w:hAnsi="Times New Roman" w:cs="Times New Roman"/>
          <w:sz w:val="20"/>
          <w:szCs w:val="20"/>
        </w:rPr>
      </w:pPr>
      <w:proofErr w:type="spellStart"/>
      <w:r w:rsidRPr="00A26C98">
        <w:rPr>
          <w:rFonts w:ascii="Times New Roman" w:hAnsi="Times New Roman" w:cs="Times New Roman"/>
          <w:b/>
          <w:bCs/>
          <w:sz w:val="20"/>
          <w:szCs w:val="20"/>
        </w:rPr>
        <w:t>Jagongo</w:t>
      </w:r>
      <w:proofErr w:type="spellEnd"/>
      <w:r w:rsidRPr="00A26C98">
        <w:rPr>
          <w:rFonts w:ascii="Times New Roman" w:hAnsi="Times New Roman" w:cs="Times New Roman"/>
          <w:b/>
          <w:bCs/>
          <w:sz w:val="20"/>
          <w:szCs w:val="20"/>
        </w:rPr>
        <w:t xml:space="preserve"> and </w:t>
      </w:r>
      <w:proofErr w:type="spellStart"/>
      <w:r w:rsidRPr="00A26C98">
        <w:rPr>
          <w:rFonts w:ascii="Times New Roman" w:hAnsi="Times New Roman" w:cs="Times New Roman"/>
          <w:b/>
          <w:bCs/>
          <w:sz w:val="20"/>
          <w:szCs w:val="20"/>
        </w:rPr>
        <w:t>Mutswenje</w:t>
      </w:r>
      <w:proofErr w:type="spellEnd"/>
      <w:r w:rsidRPr="00A26C98">
        <w:rPr>
          <w:rFonts w:ascii="Times New Roman" w:hAnsi="Times New Roman" w:cs="Times New Roman"/>
          <w:b/>
          <w:bCs/>
          <w:sz w:val="20"/>
          <w:szCs w:val="20"/>
        </w:rPr>
        <w:t xml:space="preserve"> (2014)</w:t>
      </w:r>
      <w:r w:rsidRPr="00A26C98">
        <w:rPr>
          <w:rFonts w:ascii="Times New Roman" w:hAnsi="Times New Roman" w:cs="Times New Roman"/>
          <w:sz w:val="20"/>
          <w:szCs w:val="20"/>
        </w:rPr>
        <w:t xml:space="preserve">, in their article expressed that, taking investment decision is cosmopolitan and more over it also demands creativity, since investors often takes decisions which are not favourable of investments in order to minimize the losses. </w:t>
      </w:r>
    </w:p>
    <w:p w14:paraId="5198E3FF" w14:textId="77777777" w:rsidR="00212309" w:rsidRPr="00A26C98" w:rsidRDefault="00212309" w:rsidP="007A585D">
      <w:pPr>
        <w:rPr>
          <w:rFonts w:ascii="Times New Roman" w:hAnsi="Times New Roman" w:cs="Times New Roman"/>
          <w:sz w:val="20"/>
          <w:szCs w:val="20"/>
        </w:rPr>
      </w:pPr>
    </w:p>
    <w:p w14:paraId="37C012B2" w14:textId="716F8154"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 xml:space="preserve">Nair and Antony (2015) </w:t>
      </w:r>
      <w:r w:rsidRPr="00A26C98">
        <w:rPr>
          <w:rFonts w:ascii="Times New Roman" w:hAnsi="Times New Roman" w:cs="Times New Roman"/>
          <w:sz w:val="20"/>
          <w:szCs w:val="20"/>
        </w:rPr>
        <w:t xml:space="preserve">in their research article said that,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cannot be considered as a replacement to the classical financial theories but, it is a way to understand the irrational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approach of the investors and also explains the reasons for a sudden rise and fall in the market.</w:t>
      </w:r>
    </w:p>
    <w:p w14:paraId="5DC16F98" w14:textId="77777777" w:rsidR="00212309" w:rsidRPr="00A26C98" w:rsidRDefault="00212309" w:rsidP="007A585D">
      <w:pPr>
        <w:rPr>
          <w:rFonts w:ascii="Times New Roman" w:hAnsi="Times New Roman" w:cs="Times New Roman"/>
          <w:sz w:val="20"/>
          <w:szCs w:val="20"/>
        </w:rPr>
      </w:pPr>
    </w:p>
    <w:p w14:paraId="5E9A01D1" w14:textId="60E312A0" w:rsidR="00A26C98" w:rsidRDefault="00A26C98" w:rsidP="007A585D">
      <w:pPr>
        <w:rPr>
          <w:rFonts w:ascii="Times New Roman" w:hAnsi="Times New Roman" w:cs="Times New Roman"/>
          <w:sz w:val="20"/>
          <w:szCs w:val="20"/>
        </w:rPr>
      </w:pPr>
      <w:r w:rsidRPr="00A26C98">
        <w:rPr>
          <w:rFonts w:ascii="Times New Roman" w:hAnsi="Times New Roman" w:cs="Times New Roman"/>
          <w:b/>
          <w:bCs/>
          <w:sz w:val="20"/>
          <w:szCs w:val="20"/>
        </w:rPr>
        <w:t>Kevin Brady, (2018)</w:t>
      </w:r>
      <w:r w:rsidRPr="00A26C98">
        <w:rPr>
          <w:rFonts w:ascii="Times New Roman" w:hAnsi="Times New Roman" w:cs="Times New Roman"/>
          <w:sz w:val="20"/>
          <w:szCs w:val="20"/>
        </w:rPr>
        <w:t xml:space="preserve"> express his opinion, that most of the well reputed companies sudden shock in the stock market could not be traced by any means, not even information available to the public at large. By analysing, it has been found that most of the investors basically rely on reference points and their private information signals.</w:t>
      </w:r>
    </w:p>
    <w:p w14:paraId="024E805C" w14:textId="77777777" w:rsidR="00212309" w:rsidRPr="00A26C98" w:rsidRDefault="00212309" w:rsidP="007A585D">
      <w:pPr>
        <w:rPr>
          <w:rFonts w:ascii="Times New Roman" w:hAnsi="Times New Roman" w:cs="Times New Roman"/>
          <w:sz w:val="20"/>
          <w:szCs w:val="20"/>
        </w:rPr>
      </w:pPr>
    </w:p>
    <w:p w14:paraId="55448FE2" w14:textId="189F030B" w:rsidR="00A26C98" w:rsidRDefault="00A26C98" w:rsidP="007A585D">
      <w:pPr>
        <w:rPr>
          <w:rFonts w:ascii="Times New Roman" w:hAnsi="Times New Roman" w:cs="Times New Roman"/>
          <w:sz w:val="20"/>
          <w:szCs w:val="20"/>
        </w:rPr>
      </w:pPr>
      <w:r w:rsidRPr="00A26C98">
        <w:rPr>
          <w:rFonts w:ascii="Times New Roman" w:hAnsi="Times New Roman" w:cs="Times New Roman"/>
          <w:sz w:val="20"/>
          <w:szCs w:val="20"/>
        </w:rPr>
        <w:t>In the article of</w:t>
      </w:r>
      <w:r w:rsidRPr="00A26C98">
        <w:rPr>
          <w:rFonts w:ascii="TimesNewRomanPSMT" w:eastAsia="TimesNewRomanPSMT" w:cs="TimesNewRomanPSMT"/>
          <w:sz w:val="20"/>
          <w:szCs w:val="20"/>
        </w:rPr>
        <w:t xml:space="preserve"> </w:t>
      </w:r>
      <w:r w:rsidRPr="00A26C98">
        <w:rPr>
          <w:rFonts w:ascii="Times New Roman" w:eastAsia="TimesNewRomanPSMT" w:hAnsi="Times New Roman" w:cs="Times New Roman"/>
          <w:b/>
          <w:bCs/>
          <w:sz w:val="20"/>
          <w:szCs w:val="20"/>
        </w:rPr>
        <w:t>BIRĂU</w:t>
      </w:r>
      <w:r w:rsidRPr="00A26C98">
        <w:rPr>
          <w:rFonts w:ascii="Times New Roman" w:hAnsi="Times New Roman" w:cs="Times New Roman"/>
          <w:b/>
          <w:bCs/>
          <w:sz w:val="20"/>
          <w:szCs w:val="20"/>
        </w:rPr>
        <w:t>, F.R. (2019)</w:t>
      </w:r>
      <w:r w:rsidRPr="00A26C98">
        <w:rPr>
          <w:rFonts w:ascii="Times New Roman" w:hAnsi="Times New Roman" w:cs="Times New Roman"/>
          <w:sz w:val="20"/>
          <w:szCs w:val="20"/>
        </w:rPr>
        <w:t xml:space="preserve">, a new approach has been noticed while analysing Capital Markets, namely,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According to him,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is the psychological based study which mainly focusses on the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pattern of the individual through financial markets evolution.</w:t>
      </w:r>
    </w:p>
    <w:p w14:paraId="52520504" w14:textId="77777777" w:rsidR="00212309" w:rsidRDefault="00212309" w:rsidP="007A585D">
      <w:pPr>
        <w:rPr>
          <w:rFonts w:ascii="Times New Roman" w:hAnsi="Times New Roman" w:cs="Times New Roman"/>
          <w:sz w:val="20"/>
          <w:szCs w:val="20"/>
        </w:rPr>
      </w:pPr>
    </w:p>
    <w:p w14:paraId="4250AC97" w14:textId="0B86ED80" w:rsidR="00A26C98" w:rsidRDefault="00A26C98" w:rsidP="00212309">
      <w:pPr>
        <w:ind w:firstLine="360"/>
        <w:rPr>
          <w:rFonts w:ascii="Times New Roman" w:hAnsi="Times New Roman" w:cs="Times New Roman"/>
          <w:sz w:val="20"/>
          <w:szCs w:val="20"/>
        </w:rPr>
      </w:pPr>
      <w:r w:rsidRPr="00A26C98">
        <w:rPr>
          <w:rFonts w:ascii="Times New Roman" w:hAnsi="Times New Roman" w:cs="Times New Roman"/>
          <w:sz w:val="20"/>
          <w:szCs w:val="20"/>
        </w:rPr>
        <w:t xml:space="preserve">Thus, the studies on </w:t>
      </w:r>
      <w:proofErr w:type="spellStart"/>
      <w:r w:rsidRPr="00A26C98">
        <w:rPr>
          <w:rFonts w:ascii="Times New Roman" w:hAnsi="Times New Roman" w:cs="Times New Roman"/>
          <w:sz w:val="20"/>
          <w:szCs w:val="20"/>
        </w:rPr>
        <w:t>behavioral</w:t>
      </w:r>
      <w:proofErr w:type="spellEnd"/>
      <w:r w:rsidRPr="00A26C98">
        <w:rPr>
          <w:rFonts w:ascii="Times New Roman" w:hAnsi="Times New Roman" w:cs="Times New Roman"/>
          <w:sz w:val="20"/>
          <w:szCs w:val="20"/>
        </w:rPr>
        <w:t xml:space="preserve"> finance conducted so far are on the basis on human perceptions, opinions and financial facts, explains, either partly or mostly, the reasons behind investment decisions, which may look sub-optimal from the view point of standard finance.</w:t>
      </w:r>
    </w:p>
    <w:p w14:paraId="0BFE5551" w14:textId="77777777" w:rsidR="007A7776" w:rsidRDefault="007A7776" w:rsidP="007A585D">
      <w:pPr>
        <w:rPr>
          <w:rFonts w:ascii="Times New Roman" w:hAnsi="Times New Roman" w:cs="Times New Roman"/>
          <w:sz w:val="20"/>
          <w:szCs w:val="20"/>
        </w:rPr>
      </w:pPr>
    </w:p>
    <w:p w14:paraId="0B999BF3" w14:textId="0CBF96B9" w:rsidR="00A26C98" w:rsidRPr="00A26C98" w:rsidRDefault="00A26C98" w:rsidP="00A26C98">
      <w:pPr>
        <w:pStyle w:val="ListParagraph"/>
        <w:numPr>
          <w:ilvl w:val="0"/>
          <w:numId w:val="1"/>
        </w:numPr>
        <w:spacing w:line="360" w:lineRule="auto"/>
        <w:jc w:val="center"/>
        <w:rPr>
          <w:rFonts w:ascii="Times New Roman" w:hAnsi="Times New Roman" w:cs="Times New Roman"/>
          <w:b/>
          <w:bCs/>
          <w:sz w:val="20"/>
          <w:szCs w:val="20"/>
        </w:rPr>
      </w:pPr>
      <w:r w:rsidRPr="00A26C98">
        <w:rPr>
          <w:rFonts w:ascii="Times New Roman" w:hAnsi="Times New Roman" w:cs="Times New Roman"/>
          <w:b/>
          <w:bCs/>
          <w:sz w:val="20"/>
          <w:szCs w:val="20"/>
        </w:rPr>
        <w:t>OBJECTIVES OF THE STUDY</w:t>
      </w:r>
    </w:p>
    <w:p w14:paraId="41072852" w14:textId="2A8D80CF" w:rsidR="00CF5297" w:rsidRDefault="00CF5297" w:rsidP="007A585D">
      <w:pPr>
        <w:ind w:firstLine="360"/>
        <w:rPr>
          <w:rFonts w:ascii="Times New Roman" w:hAnsi="Times New Roman" w:cs="Times New Roman"/>
          <w:sz w:val="20"/>
          <w:szCs w:val="20"/>
        </w:rPr>
      </w:pPr>
      <w:r>
        <w:rPr>
          <w:rFonts w:ascii="Times New Roman" w:hAnsi="Times New Roman" w:cs="Times New Roman"/>
          <w:sz w:val="20"/>
          <w:szCs w:val="20"/>
        </w:rPr>
        <w:t xml:space="preserve"> </w:t>
      </w:r>
      <w:r w:rsidRPr="00CF5297">
        <w:rPr>
          <w:rFonts w:ascii="Times New Roman" w:hAnsi="Times New Roman" w:cs="Times New Roman"/>
          <w:sz w:val="20"/>
          <w:szCs w:val="20"/>
        </w:rPr>
        <w:t xml:space="preserve">The present study aims to figure out the investment percentage in risk free instruments [such as, savings bank deposit account (S.B.A/C), fixed deposit account (F.D.A/C), senior citizen savings scheme, public provident fund, etc.] and in risky instruments (such as, equity shares, preference shares, debentures, mutual funds, etc.) of the investors, their age-wise and income-wise investment behaviour through the responses generated by way of answers to the structured questionnaire. It also describes, from the existing literature, the different fundamental factors behind </w:t>
      </w:r>
      <w:proofErr w:type="spellStart"/>
      <w:r w:rsidRPr="00CF5297">
        <w:rPr>
          <w:rFonts w:ascii="Times New Roman" w:hAnsi="Times New Roman" w:cs="Times New Roman"/>
          <w:sz w:val="20"/>
          <w:szCs w:val="20"/>
        </w:rPr>
        <w:t>behavioral</w:t>
      </w:r>
      <w:proofErr w:type="spellEnd"/>
      <w:r w:rsidRPr="00CF5297">
        <w:rPr>
          <w:rFonts w:ascii="Times New Roman" w:hAnsi="Times New Roman" w:cs="Times New Roman"/>
          <w:sz w:val="20"/>
          <w:szCs w:val="20"/>
        </w:rPr>
        <w:t xml:space="preserve"> finance with respect to investment in risky securities and statistical analysis is conducted based on these fundamental factors whether these factors </w:t>
      </w:r>
      <w:r w:rsidRPr="00CF5297">
        <w:rPr>
          <w:rFonts w:ascii="Times New Roman" w:hAnsi="Times New Roman" w:cs="Times New Roman"/>
          <w:sz w:val="20"/>
          <w:szCs w:val="20"/>
        </w:rPr>
        <w:lastRenderedPageBreak/>
        <w:t>are dependent on percentage change in risky securities or not and in what proportions. More specifically, the present study seeks to dwell upon the following issues:</w:t>
      </w:r>
    </w:p>
    <w:p w14:paraId="11934F15" w14:textId="77777777" w:rsidR="00212309" w:rsidRPr="00CF5297" w:rsidRDefault="00212309" w:rsidP="007A585D">
      <w:pPr>
        <w:ind w:firstLine="360"/>
        <w:rPr>
          <w:rFonts w:ascii="Times New Roman" w:hAnsi="Times New Roman" w:cs="Times New Roman"/>
          <w:sz w:val="20"/>
          <w:szCs w:val="20"/>
        </w:rPr>
      </w:pPr>
    </w:p>
    <w:p w14:paraId="4AA2AB67" w14:textId="5B4D8FDA" w:rsidR="00CF5297" w:rsidRDefault="00CF5297" w:rsidP="007A585D">
      <w:pPr>
        <w:pStyle w:val="ListParagraph"/>
        <w:numPr>
          <w:ilvl w:val="0"/>
          <w:numId w:val="4"/>
        </w:numPr>
        <w:autoSpaceDE w:val="0"/>
        <w:autoSpaceDN w:val="0"/>
        <w:adjustRightInd w:val="0"/>
        <w:spacing w:after="166"/>
        <w:rPr>
          <w:rFonts w:ascii="Times New Roman" w:hAnsi="Times New Roman" w:cs="Times New Roman"/>
          <w:sz w:val="20"/>
          <w:szCs w:val="20"/>
        </w:rPr>
      </w:pPr>
      <w:r w:rsidRPr="00CF5297">
        <w:rPr>
          <w:rFonts w:ascii="Times New Roman" w:hAnsi="Times New Roman" w:cs="Times New Roman"/>
          <w:sz w:val="20"/>
          <w:szCs w:val="20"/>
        </w:rPr>
        <w:t xml:space="preserve">To find out the factors behind behavioural finance of investors; </w:t>
      </w:r>
    </w:p>
    <w:p w14:paraId="49947304" w14:textId="77777777" w:rsidR="00212309" w:rsidRPr="00CF5297" w:rsidRDefault="00212309" w:rsidP="00212309">
      <w:pPr>
        <w:pStyle w:val="ListParagraph"/>
        <w:autoSpaceDE w:val="0"/>
        <w:autoSpaceDN w:val="0"/>
        <w:adjustRightInd w:val="0"/>
        <w:spacing w:after="166"/>
        <w:ind w:left="360"/>
        <w:rPr>
          <w:rFonts w:ascii="Times New Roman" w:hAnsi="Times New Roman" w:cs="Times New Roman"/>
          <w:sz w:val="20"/>
          <w:szCs w:val="20"/>
        </w:rPr>
      </w:pPr>
    </w:p>
    <w:p w14:paraId="5D96718C" w14:textId="5F0D2B9B" w:rsidR="00CF5297" w:rsidRDefault="00CF5297" w:rsidP="007A585D">
      <w:pPr>
        <w:pStyle w:val="ListParagraph"/>
        <w:numPr>
          <w:ilvl w:val="0"/>
          <w:numId w:val="4"/>
        </w:numPr>
        <w:autoSpaceDE w:val="0"/>
        <w:autoSpaceDN w:val="0"/>
        <w:adjustRightInd w:val="0"/>
        <w:spacing w:after="166"/>
        <w:rPr>
          <w:rFonts w:ascii="Times New Roman" w:hAnsi="Times New Roman" w:cs="Times New Roman"/>
          <w:sz w:val="20"/>
          <w:szCs w:val="20"/>
        </w:rPr>
      </w:pPr>
      <w:r w:rsidRPr="00CF5297">
        <w:rPr>
          <w:rFonts w:ascii="Times New Roman" w:hAnsi="Times New Roman" w:cs="Times New Roman"/>
          <w:sz w:val="20"/>
          <w:szCs w:val="20"/>
        </w:rPr>
        <w:t xml:space="preserve">To find out the investment percentage in risk free instruments and in risky instruments of the investors and the main reasons behind such decisions; </w:t>
      </w:r>
    </w:p>
    <w:p w14:paraId="174EBA45" w14:textId="77777777" w:rsidR="00212309" w:rsidRPr="00CF5297" w:rsidRDefault="00212309" w:rsidP="00212309">
      <w:pPr>
        <w:pStyle w:val="ListParagraph"/>
        <w:autoSpaceDE w:val="0"/>
        <w:autoSpaceDN w:val="0"/>
        <w:adjustRightInd w:val="0"/>
        <w:spacing w:after="166"/>
        <w:ind w:left="360"/>
        <w:rPr>
          <w:rFonts w:ascii="Times New Roman" w:hAnsi="Times New Roman" w:cs="Times New Roman"/>
          <w:sz w:val="20"/>
          <w:szCs w:val="20"/>
        </w:rPr>
      </w:pPr>
    </w:p>
    <w:p w14:paraId="6F8EED9C" w14:textId="424C9E31" w:rsidR="00CF5297" w:rsidRDefault="00CF5297" w:rsidP="007A585D">
      <w:pPr>
        <w:pStyle w:val="ListParagraph"/>
        <w:numPr>
          <w:ilvl w:val="0"/>
          <w:numId w:val="4"/>
        </w:numPr>
        <w:autoSpaceDE w:val="0"/>
        <w:autoSpaceDN w:val="0"/>
        <w:adjustRightInd w:val="0"/>
        <w:spacing w:after="166"/>
        <w:rPr>
          <w:rFonts w:ascii="Times New Roman" w:hAnsi="Times New Roman" w:cs="Times New Roman"/>
          <w:sz w:val="20"/>
          <w:szCs w:val="20"/>
        </w:rPr>
      </w:pPr>
      <w:r w:rsidRPr="00CF5297">
        <w:rPr>
          <w:rFonts w:ascii="Times New Roman" w:hAnsi="Times New Roman" w:cs="Times New Roman"/>
          <w:sz w:val="20"/>
          <w:szCs w:val="20"/>
        </w:rPr>
        <w:t xml:space="preserve">To check whether any difference exists in the proportion of investment in risky securities, on the basis of income of the investors; </w:t>
      </w:r>
    </w:p>
    <w:p w14:paraId="105D8F53" w14:textId="77777777" w:rsidR="00212309" w:rsidRPr="00CF5297" w:rsidRDefault="00212309" w:rsidP="00212309">
      <w:pPr>
        <w:pStyle w:val="ListParagraph"/>
        <w:autoSpaceDE w:val="0"/>
        <w:autoSpaceDN w:val="0"/>
        <w:adjustRightInd w:val="0"/>
        <w:spacing w:after="166"/>
        <w:ind w:left="360"/>
        <w:rPr>
          <w:rFonts w:ascii="Times New Roman" w:hAnsi="Times New Roman" w:cs="Times New Roman"/>
          <w:sz w:val="20"/>
          <w:szCs w:val="20"/>
        </w:rPr>
      </w:pPr>
    </w:p>
    <w:p w14:paraId="4F18C6C6" w14:textId="77777777" w:rsidR="00212309" w:rsidRDefault="00CF5297" w:rsidP="007A585D">
      <w:pPr>
        <w:pStyle w:val="ListParagraph"/>
        <w:numPr>
          <w:ilvl w:val="0"/>
          <w:numId w:val="4"/>
        </w:numPr>
        <w:autoSpaceDE w:val="0"/>
        <w:autoSpaceDN w:val="0"/>
        <w:adjustRightInd w:val="0"/>
        <w:spacing w:after="166"/>
        <w:rPr>
          <w:rFonts w:ascii="Times New Roman" w:hAnsi="Times New Roman" w:cs="Times New Roman"/>
          <w:sz w:val="20"/>
          <w:szCs w:val="20"/>
        </w:rPr>
      </w:pPr>
      <w:r w:rsidRPr="00CF5297">
        <w:rPr>
          <w:rFonts w:ascii="Times New Roman" w:hAnsi="Times New Roman" w:cs="Times New Roman"/>
          <w:sz w:val="20"/>
          <w:szCs w:val="20"/>
        </w:rPr>
        <w:t>To check whether any difference exists in the proportion of investment in risky securities, on the basis of age of the investors;</w:t>
      </w:r>
    </w:p>
    <w:p w14:paraId="593E6D23" w14:textId="70502E9A" w:rsidR="00CF5297" w:rsidRPr="00CF5297" w:rsidRDefault="00CF5297" w:rsidP="00212309">
      <w:pPr>
        <w:pStyle w:val="ListParagraph"/>
        <w:autoSpaceDE w:val="0"/>
        <w:autoSpaceDN w:val="0"/>
        <w:adjustRightInd w:val="0"/>
        <w:spacing w:after="166"/>
        <w:ind w:left="360"/>
        <w:rPr>
          <w:rFonts w:ascii="Times New Roman" w:hAnsi="Times New Roman" w:cs="Times New Roman"/>
          <w:sz w:val="20"/>
          <w:szCs w:val="20"/>
        </w:rPr>
      </w:pPr>
      <w:r w:rsidRPr="00CF5297">
        <w:rPr>
          <w:rFonts w:ascii="Times New Roman" w:hAnsi="Times New Roman" w:cs="Times New Roman"/>
          <w:sz w:val="20"/>
          <w:szCs w:val="20"/>
        </w:rPr>
        <w:t xml:space="preserve"> </w:t>
      </w:r>
    </w:p>
    <w:p w14:paraId="2D05EF54" w14:textId="577F9449" w:rsidR="00A26C98" w:rsidRPr="00CF5297" w:rsidRDefault="00CF5297" w:rsidP="007A585D">
      <w:pPr>
        <w:pStyle w:val="ListParagraph"/>
        <w:numPr>
          <w:ilvl w:val="0"/>
          <w:numId w:val="4"/>
        </w:numPr>
        <w:autoSpaceDE w:val="0"/>
        <w:autoSpaceDN w:val="0"/>
        <w:adjustRightInd w:val="0"/>
        <w:rPr>
          <w:rFonts w:ascii="Times New Roman" w:hAnsi="Times New Roman" w:cs="Times New Roman"/>
          <w:sz w:val="20"/>
          <w:szCs w:val="20"/>
        </w:rPr>
      </w:pPr>
      <w:r w:rsidRPr="00CF5297">
        <w:rPr>
          <w:rFonts w:ascii="Times New Roman" w:hAnsi="Times New Roman" w:cs="Times New Roman"/>
          <w:sz w:val="20"/>
          <w:szCs w:val="20"/>
        </w:rPr>
        <w:t xml:space="preserve">To find out any intra group (age-wise and income-wise) differences in the proportion of investment in risky securities, on the basis of income of the investors. </w:t>
      </w:r>
    </w:p>
    <w:p w14:paraId="10213CB7" w14:textId="4E63902B" w:rsidR="00CF5297" w:rsidRDefault="00CF5297" w:rsidP="007A585D">
      <w:pPr>
        <w:ind w:left="360"/>
        <w:rPr>
          <w:rFonts w:ascii="Times New Roman" w:hAnsi="Times New Roman" w:cs="Times New Roman"/>
          <w:sz w:val="20"/>
          <w:szCs w:val="20"/>
        </w:rPr>
      </w:pPr>
      <w:r>
        <w:rPr>
          <w:rFonts w:ascii="Times New Roman" w:hAnsi="Times New Roman" w:cs="Times New Roman"/>
          <w:sz w:val="20"/>
          <w:szCs w:val="20"/>
        </w:rPr>
        <w:t>In points (iii) to (v) mentioned above, wherever required, statistical testing of hypothesis will be done, to find whether the differences of means are statistically significant.</w:t>
      </w:r>
    </w:p>
    <w:p w14:paraId="340D1487" w14:textId="74D953A2" w:rsidR="00212309" w:rsidRDefault="00212309" w:rsidP="007A585D">
      <w:pPr>
        <w:ind w:left="360"/>
        <w:rPr>
          <w:rFonts w:ascii="Times New Roman" w:hAnsi="Times New Roman" w:cs="Times New Roman"/>
          <w:sz w:val="20"/>
          <w:szCs w:val="20"/>
        </w:rPr>
      </w:pPr>
    </w:p>
    <w:p w14:paraId="506A70D3" w14:textId="77777777" w:rsidR="00212309" w:rsidRDefault="00212309" w:rsidP="007A585D">
      <w:pPr>
        <w:ind w:left="360"/>
        <w:rPr>
          <w:rFonts w:ascii="Times New Roman" w:hAnsi="Times New Roman" w:cs="Times New Roman"/>
          <w:sz w:val="20"/>
          <w:szCs w:val="20"/>
        </w:rPr>
      </w:pPr>
    </w:p>
    <w:p w14:paraId="3FB32F32" w14:textId="399CD98E" w:rsidR="00185E86" w:rsidRDefault="00185E86" w:rsidP="00185E86">
      <w:pPr>
        <w:pStyle w:val="ListParagraph"/>
        <w:numPr>
          <w:ilvl w:val="0"/>
          <w:numId w:val="1"/>
        </w:numPr>
        <w:spacing w:line="360" w:lineRule="auto"/>
        <w:jc w:val="center"/>
        <w:rPr>
          <w:rFonts w:ascii="Times New Roman" w:hAnsi="Times New Roman" w:cs="Times New Roman"/>
          <w:b/>
          <w:bCs/>
          <w:sz w:val="20"/>
          <w:szCs w:val="20"/>
        </w:rPr>
      </w:pPr>
      <w:r>
        <w:rPr>
          <w:rFonts w:ascii="Times New Roman" w:hAnsi="Times New Roman" w:cs="Times New Roman"/>
          <w:sz w:val="20"/>
          <w:szCs w:val="20"/>
        </w:rPr>
        <w:t xml:space="preserve"> </w:t>
      </w:r>
      <w:r w:rsidRPr="00185E86">
        <w:rPr>
          <w:rFonts w:ascii="Times New Roman" w:hAnsi="Times New Roman" w:cs="Times New Roman"/>
          <w:b/>
          <w:bCs/>
          <w:sz w:val="20"/>
          <w:szCs w:val="20"/>
        </w:rPr>
        <w:t>RESEARCH METHODOLOGY</w:t>
      </w:r>
    </w:p>
    <w:p w14:paraId="082CEBCA" w14:textId="2D5527D6" w:rsidR="009C5B8F" w:rsidRDefault="007A585D" w:rsidP="00CB3C23">
      <w:pPr>
        <w:pStyle w:val="Default"/>
        <w:ind w:firstLine="360"/>
        <w:rPr>
          <w:sz w:val="20"/>
          <w:szCs w:val="20"/>
        </w:rPr>
      </w:pPr>
      <w:r>
        <w:rPr>
          <w:sz w:val="20"/>
          <w:szCs w:val="20"/>
        </w:rPr>
        <w:t xml:space="preserve"> </w:t>
      </w:r>
      <w:r w:rsidR="009C5B8F" w:rsidRPr="009C5B8F">
        <w:rPr>
          <w:sz w:val="20"/>
          <w:szCs w:val="20"/>
        </w:rPr>
        <w:t xml:space="preserve">The present study is partly exploratory and partly analytical in nature and is based on data and information collected from both primary and secondary sources. The study period, sample, data source, tools and techniques used to analyse the data are given below: </w:t>
      </w:r>
    </w:p>
    <w:p w14:paraId="36E60619" w14:textId="77777777" w:rsidR="00CB3C23" w:rsidRPr="009C5B8F" w:rsidRDefault="00CB3C23" w:rsidP="00CB3C23">
      <w:pPr>
        <w:pStyle w:val="Default"/>
        <w:ind w:firstLine="360"/>
        <w:rPr>
          <w:sz w:val="20"/>
          <w:szCs w:val="20"/>
        </w:rPr>
      </w:pPr>
    </w:p>
    <w:p w14:paraId="3E5E4F64" w14:textId="2480F371" w:rsidR="009C5B8F" w:rsidRPr="009C5B8F" w:rsidRDefault="009C5B8F" w:rsidP="00CB3C23">
      <w:pPr>
        <w:pStyle w:val="Default"/>
        <w:numPr>
          <w:ilvl w:val="0"/>
          <w:numId w:val="5"/>
        </w:numPr>
        <w:spacing w:after="167"/>
        <w:rPr>
          <w:sz w:val="20"/>
          <w:szCs w:val="20"/>
        </w:rPr>
      </w:pPr>
      <w:r w:rsidRPr="009C5B8F">
        <w:rPr>
          <w:b/>
          <w:bCs/>
          <w:sz w:val="20"/>
          <w:szCs w:val="20"/>
        </w:rPr>
        <w:t xml:space="preserve">Time frame: </w:t>
      </w:r>
      <w:r w:rsidRPr="009C5B8F">
        <w:rPr>
          <w:sz w:val="20"/>
          <w:szCs w:val="20"/>
        </w:rPr>
        <w:t xml:space="preserve">The study is basically based on collecting primary data through questionnaire from </w:t>
      </w:r>
      <w:r w:rsidR="007A585D">
        <w:rPr>
          <w:sz w:val="20"/>
          <w:szCs w:val="20"/>
        </w:rPr>
        <w:t>December</w:t>
      </w:r>
      <w:r w:rsidRPr="009C5B8F">
        <w:rPr>
          <w:sz w:val="20"/>
          <w:szCs w:val="20"/>
        </w:rPr>
        <w:t xml:space="preserve">, 2021 to </w:t>
      </w:r>
      <w:r w:rsidR="007A585D">
        <w:rPr>
          <w:sz w:val="20"/>
          <w:szCs w:val="20"/>
        </w:rPr>
        <w:t>March</w:t>
      </w:r>
      <w:r w:rsidRPr="009C5B8F">
        <w:rPr>
          <w:sz w:val="20"/>
          <w:szCs w:val="20"/>
        </w:rPr>
        <w:t>, 202</w:t>
      </w:r>
      <w:r w:rsidR="007A585D">
        <w:rPr>
          <w:sz w:val="20"/>
          <w:szCs w:val="20"/>
        </w:rPr>
        <w:t>2</w:t>
      </w:r>
      <w:r w:rsidRPr="009C5B8F">
        <w:rPr>
          <w:sz w:val="20"/>
          <w:szCs w:val="20"/>
        </w:rPr>
        <w:t>.</w:t>
      </w:r>
    </w:p>
    <w:p w14:paraId="43189335" w14:textId="77777777" w:rsidR="009C5B8F" w:rsidRPr="009C5B8F" w:rsidRDefault="009C5B8F" w:rsidP="00CB3C23">
      <w:pPr>
        <w:pStyle w:val="Default"/>
        <w:numPr>
          <w:ilvl w:val="0"/>
          <w:numId w:val="5"/>
        </w:numPr>
        <w:spacing w:after="167"/>
        <w:rPr>
          <w:sz w:val="22"/>
          <w:szCs w:val="22"/>
        </w:rPr>
      </w:pPr>
      <w:r w:rsidRPr="009C5B8F">
        <w:rPr>
          <w:b/>
          <w:bCs/>
          <w:sz w:val="20"/>
          <w:szCs w:val="20"/>
        </w:rPr>
        <w:t xml:space="preserve">Sample: </w:t>
      </w:r>
      <w:r w:rsidRPr="009C5B8F">
        <w:rPr>
          <w:sz w:val="20"/>
          <w:szCs w:val="20"/>
        </w:rPr>
        <w:t xml:space="preserve">Convenient sampling technique has been used for collecting data from the following groups of people: </w:t>
      </w:r>
    </w:p>
    <w:p w14:paraId="4BC9E14B" w14:textId="77777777" w:rsidR="009C5B8F" w:rsidRDefault="009C5B8F" w:rsidP="00CB3C23">
      <w:pPr>
        <w:pStyle w:val="Default"/>
        <w:spacing w:after="167" w:line="360" w:lineRule="auto"/>
        <w:jc w:val="left"/>
        <w:rPr>
          <w:b/>
          <w:bCs/>
          <w:sz w:val="20"/>
          <w:szCs w:val="20"/>
        </w:rPr>
      </w:pPr>
    </w:p>
    <w:p w14:paraId="3C2B6FC7" w14:textId="1AD4D6A3" w:rsidR="009C5B8F" w:rsidRDefault="009C5B8F" w:rsidP="009C5B8F">
      <w:pPr>
        <w:pStyle w:val="Default"/>
        <w:spacing w:after="167" w:line="360" w:lineRule="auto"/>
        <w:ind w:left="720"/>
        <w:jc w:val="center"/>
        <w:rPr>
          <w:b/>
          <w:bCs/>
          <w:sz w:val="20"/>
          <w:szCs w:val="20"/>
        </w:rPr>
      </w:pPr>
      <w:r w:rsidRPr="009C5B8F">
        <w:rPr>
          <w:b/>
          <w:bCs/>
          <w:sz w:val="20"/>
          <w:szCs w:val="20"/>
        </w:rPr>
        <w:t>Table 1: Sample Size</w:t>
      </w:r>
    </w:p>
    <w:tbl>
      <w:tblPr>
        <w:tblStyle w:val="TableGrid"/>
        <w:tblW w:w="9262" w:type="dxa"/>
        <w:tblInd w:w="693" w:type="dxa"/>
        <w:tblLook w:val="04A0" w:firstRow="1" w:lastRow="0" w:firstColumn="1" w:lastColumn="0" w:noHBand="0" w:noVBand="1"/>
      </w:tblPr>
      <w:tblGrid>
        <w:gridCol w:w="3086"/>
        <w:gridCol w:w="3089"/>
        <w:gridCol w:w="3087"/>
      </w:tblGrid>
      <w:tr w:rsidR="009C5B8F" w:rsidRPr="009C5B8F" w14:paraId="2417DB1E" w14:textId="77777777" w:rsidTr="007A585D">
        <w:trPr>
          <w:trHeight w:val="277"/>
        </w:trPr>
        <w:tc>
          <w:tcPr>
            <w:tcW w:w="3086" w:type="dxa"/>
          </w:tcPr>
          <w:p w14:paraId="6D9A19BA" w14:textId="77777777" w:rsidR="009C5B8F" w:rsidRPr="009C5B8F" w:rsidRDefault="009C5B8F" w:rsidP="007A585D">
            <w:pPr>
              <w:spacing w:line="360" w:lineRule="auto"/>
              <w:jc w:val="center"/>
              <w:rPr>
                <w:rFonts w:ascii="Times New Roman" w:hAnsi="Times New Roman" w:cs="Times New Roman"/>
                <w:b/>
                <w:bCs/>
                <w:sz w:val="20"/>
                <w:szCs w:val="20"/>
              </w:rPr>
            </w:pPr>
            <w:r w:rsidRPr="009C5B8F">
              <w:rPr>
                <w:rFonts w:ascii="Times New Roman" w:hAnsi="Times New Roman" w:cs="Times New Roman"/>
                <w:b/>
                <w:bCs/>
                <w:sz w:val="20"/>
                <w:szCs w:val="20"/>
              </w:rPr>
              <w:t>Income Group</w:t>
            </w:r>
          </w:p>
        </w:tc>
        <w:tc>
          <w:tcPr>
            <w:tcW w:w="3089" w:type="dxa"/>
          </w:tcPr>
          <w:p w14:paraId="4BD9E7F6" w14:textId="77777777" w:rsidR="009C5B8F" w:rsidRPr="009C5B8F" w:rsidRDefault="009C5B8F" w:rsidP="007A585D">
            <w:pPr>
              <w:spacing w:line="360" w:lineRule="auto"/>
              <w:jc w:val="center"/>
              <w:rPr>
                <w:rFonts w:ascii="Times New Roman" w:hAnsi="Times New Roman" w:cs="Times New Roman"/>
                <w:b/>
                <w:bCs/>
                <w:sz w:val="20"/>
                <w:szCs w:val="20"/>
              </w:rPr>
            </w:pPr>
            <w:r w:rsidRPr="009C5B8F">
              <w:rPr>
                <w:rFonts w:ascii="Times New Roman" w:hAnsi="Times New Roman" w:cs="Times New Roman"/>
                <w:b/>
                <w:bCs/>
                <w:sz w:val="20"/>
                <w:szCs w:val="20"/>
              </w:rPr>
              <w:t>Age Group</w:t>
            </w:r>
          </w:p>
        </w:tc>
        <w:tc>
          <w:tcPr>
            <w:tcW w:w="3087" w:type="dxa"/>
          </w:tcPr>
          <w:p w14:paraId="01A4A342" w14:textId="77777777" w:rsidR="009C5B8F" w:rsidRPr="009C5B8F" w:rsidRDefault="009C5B8F" w:rsidP="007A585D">
            <w:pPr>
              <w:spacing w:line="360" w:lineRule="auto"/>
              <w:jc w:val="center"/>
              <w:rPr>
                <w:rFonts w:ascii="Times New Roman" w:hAnsi="Times New Roman" w:cs="Times New Roman"/>
                <w:b/>
                <w:bCs/>
                <w:sz w:val="20"/>
                <w:szCs w:val="20"/>
              </w:rPr>
            </w:pPr>
            <w:r w:rsidRPr="009C5B8F">
              <w:rPr>
                <w:rFonts w:ascii="Times New Roman" w:hAnsi="Times New Roman" w:cs="Times New Roman"/>
                <w:b/>
                <w:bCs/>
                <w:sz w:val="20"/>
                <w:szCs w:val="20"/>
              </w:rPr>
              <w:t>No. of Respondents</w:t>
            </w:r>
          </w:p>
        </w:tc>
      </w:tr>
      <w:tr w:rsidR="009C5B8F" w:rsidRPr="009C5B8F" w14:paraId="13B9C30C" w14:textId="77777777" w:rsidTr="007A585D">
        <w:trPr>
          <w:trHeight w:val="286"/>
        </w:trPr>
        <w:tc>
          <w:tcPr>
            <w:tcW w:w="3086" w:type="dxa"/>
          </w:tcPr>
          <w:p w14:paraId="423DD3F5" w14:textId="77777777" w:rsidR="009C5B8F" w:rsidRPr="009C5B8F" w:rsidRDefault="009C5B8F" w:rsidP="001F27EA">
            <w:pPr>
              <w:spacing w:line="360" w:lineRule="auto"/>
              <w:rPr>
                <w:rFonts w:ascii="Times New Roman" w:hAnsi="Times New Roman" w:cs="Times New Roman"/>
                <w:sz w:val="20"/>
                <w:szCs w:val="20"/>
              </w:rPr>
            </w:pPr>
            <w:r w:rsidRPr="009C5B8F">
              <w:rPr>
                <w:rFonts w:ascii="Times New Roman" w:hAnsi="Times New Roman" w:cs="Times New Roman"/>
                <w:sz w:val="20"/>
                <w:szCs w:val="20"/>
              </w:rPr>
              <w:t>Below Rs 7,50,000</w:t>
            </w:r>
          </w:p>
        </w:tc>
        <w:tc>
          <w:tcPr>
            <w:tcW w:w="3089" w:type="dxa"/>
          </w:tcPr>
          <w:p w14:paraId="58F93CF9" w14:textId="77777777" w:rsidR="009C5B8F" w:rsidRPr="009C5B8F" w:rsidRDefault="009C5B8F" w:rsidP="001F27EA">
            <w:pPr>
              <w:spacing w:line="360" w:lineRule="auto"/>
              <w:rPr>
                <w:rFonts w:ascii="Times New Roman" w:hAnsi="Times New Roman" w:cs="Times New Roman"/>
                <w:sz w:val="20"/>
                <w:szCs w:val="20"/>
              </w:rPr>
            </w:pPr>
            <w:r w:rsidRPr="009C5B8F">
              <w:rPr>
                <w:rFonts w:ascii="Times New Roman" w:hAnsi="Times New Roman" w:cs="Times New Roman"/>
                <w:sz w:val="20"/>
                <w:szCs w:val="20"/>
              </w:rPr>
              <w:t>Below 45 years</w:t>
            </w:r>
          </w:p>
        </w:tc>
        <w:tc>
          <w:tcPr>
            <w:tcW w:w="3087" w:type="dxa"/>
          </w:tcPr>
          <w:p w14:paraId="6CA5123E" w14:textId="77777777" w:rsidR="009C5B8F" w:rsidRPr="009C5B8F" w:rsidRDefault="009C5B8F" w:rsidP="001F27EA">
            <w:pPr>
              <w:spacing w:line="360" w:lineRule="auto"/>
              <w:jc w:val="center"/>
              <w:rPr>
                <w:rFonts w:ascii="Times New Roman" w:hAnsi="Times New Roman" w:cs="Times New Roman"/>
                <w:sz w:val="20"/>
                <w:szCs w:val="20"/>
              </w:rPr>
            </w:pPr>
            <w:r w:rsidRPr="009C5B8F">
              <w:rPr>
                <w:rFonts w:ascii="Times New Roman" w:hAnsi="Times New Roman" w:cs="Times New Roman"/>
                <w:sz w:val="20"/>
                <w:szCs w:val="20"/>
              </w:rPr>
              <w:t>78</w:t>
            </w:r>
          </w:p>
        </w:tc>
      </w:tr>
      <w:tr w:rsidR="009C5B8F" w:rsidRPr="009C5B8F" w14:paraId="4AE795AB" w14:textId="77777777" w:rsidTr="007A585D">
        <w:trPr>
          <w:trHeight w:val="277"/>
        </w:trPr>
        <w:tc>
          <w:tcPr>
            <w:tcW w:w="3086" w:type="dxa"/>
          </w:tcPr>
          <w:p w14:paraId="587C53D6" w14:textId="77777777" w:rsidR="009C5B8F" w:rsidRPr="009C5B8F" w:rsidRDefault="009C5B8F" w:rsidP="001F27EA">
            <w:pPr>
              <w:spacing w:line="360" w:lineRule="auto"/>
              <w:rPr>
                <w:rFonts w:ascii="Times New Roman" w:hAnsi="Times New Roman" w:cs="Times New Roman"/>
                <w:sz w:val="20"/>
                <w:szCs w:val="20"/>
              </w:rPr>
            </w:pPr>
            <w:r w:rsidRPr="009C5B8F">
              <w:rPr>
                <w:rFonts w:ascii="Times New Roman" w:hAnsi="Times New Roman" w:cs="Times New Roman"/>
                <w:sz w:val="20"/>
                <w:szCs w:val="20"/>
              </w:rPr>
              <w:t>Below Rs 7,50,000</w:t>
            </w:r>
          </w:p>
        </w:tc>
        <w:tc>
          <w:tcPr>
            <w:tcW w:w="3089" w:type="dxa"/>
          </w:tcPr>
          <w:p w14:paraId="34A92697" w14:textId="77777777" w:rsidR="009C5B8F" w:rsidRPr="009C5B8F" w:rsidRDefault="009C5B8F" w:rsidP="001F27EA">
            <w:pPr>
              <w:spacing w:line="360" w:lineRule="auto"/>
              <w:rPr>
                <w:rFonts w:ascii="Times New Roman" w:hAnsi="Times New Roman" w:cs="Times New Roman"/>
                <w:sz w:val="20"/>
                <w:szCs w:val="20"/>
              </w:rPr>
            </w:pPr>
            <w:r w:rsidRPr="009C5B8F">
              <w:rPr>
                <w:rFonts w:ascii="Times New Roman" w:hAnsi="Times New Roman" w:cs="Times New Roman"/>
                <w:sz w:val="20"/>
                <w:szCs w:val="20"/>
              </w:rPr>
              <w:t>45 years and above</w:t>
            </w:r>
          </w:p>
        </w:tc>
        <w:tc>
          <w:tcPr>
            <w:tcW w:w="3087" w:type="dxa"/>
          </w:tcPr>
          <w:p w14:paraId="583A2D45" w14:textId="77777777" w:rsidR="009C5B8F" w:rsidRPr="009C5B8F" w:rsidRDefault="009C5B8F" w:rsidP="001F27EA">
            <w:pPr>
              <w:spacing w:line="360" w:lineRule="auto"/>
              <w:jc w:val="center"/>
              <w:rPr>
                <w:rFonts w:ascii="Times New Roman" w:hAnsi="Times New Roman" w:cs="Times New Roman"/>
                <w:sz w:val="20"/>
                <w:szCs w:val="20"/>
              </w:rPr>
            </w:pPr>
            <w:r w:rsidRPr="009C5B8F">
              <w:rPr>
                <w:rFonts w:ascii="Times New Roman" w:hAnsi="Times New Roman" w:cs="Times New Roman"/>
                <w:sz w:val="20"/>
                <w:szCs w:val="20"/>
              </w:rPr>
              <w:t>04</w:t>
            </w:r>
          </w:p>
        </w:tc>
      </w:tr>
      <w:tr w:rsidR="009C5B8F" w:rsidRPr="009C5B8F" w14:paraId="717C5209" w14:textId="77777777" w:rsidTr="007A585D">
        <w:trPr>
          <w:trHeight w:val="277"/>
        </w:trPr>
        <w:tc>
          <w:tcPr>
            <w:tcW w:w="3086" w:type="dxa"/>
          </w:tcPr>
          <w:p w14:paraId="3165A6A6" w14:textId="77777777" w:rsidR="009C5B8F" w:rsidRPr="009C5B8F" w:rsidRDefault="009C5B8F" w:rsidP="001F27EA">
            <w:pPr>
              <w:spacing w:line="360" w:lineRule="auto"/>
              <w:rPr>
                <w:rFonts w:ascii="Times New Roman" w:hAnsi="Times New Roman" w:cs="Times New Roman"/>
                <w:sz w:val="20"/>
                <w:szCs w:val="20"/>
              </w:rPr>
            </w:pPr>
            <w:r w:rsidRPr="009C5B8F">
              <w:rPr>
                <w:rFonts w:ascii="Times New Roman" w:hAnsi="Times New Roman" w:cs="Times New Roman"/>
                <w:sz w:val="20"/>
                <w:szCs w:val="20"/>
              </w:rPr>
              <w:t>Rs 7,50,000 and above</w:t>
            </w:r>
          </w:p>
        </w:tc>
        <w:tc>
          <w:tcPr>
            <w:tcW w:w="3089" w:type="dxa"/>
          </w:tcPr>
          <w:p w14:paraId="23B70CDE" w14:textId="77777777" w:rsidR="009C5B8F" w:rsidRPr="009C5B8F" w:rsidRDefault="009C5B8F" w:rsidP="001F27EA">
            <w:pPr>
              <w:spacing w:line="360" w:lineRule="auto"/>
              <w:rPr>
                <w:rFonts w:ascii="Times New Roman" w:hAnsi="Times New Roman" w:cs="Times New Roman"/>
                <w:b/>
                <w:bCs/>
                <w:sz w:val="20"/>
                <w:szCs w:val="20"/>
              </w:rPr>
            </w:pPr>
            <w:r w:rsidRPr="009C5B8F">
              <w:rPr>
                <w:rFonts w:ascii="Times New Roman" w:hAnsi="Times New Roman" w:cs="Times New Roman"/>
                <w:sz w:val="20"/>
                <w:szCs w:val="20"/>
              </w:rPr>
              <w:t>Below 45 years</w:t>
            </w:r>
          </w:p>
        </w:tc>
        <w:tc>
          <w:tcPr>
            <w:tcW w:w="3087" w:type="dxa"/>
          </w:tcPr>
          <w:p w14:paraId="40755CF7" w14:textId="77777777" w:rsidR="009C5B8F" w:rsidRPr="009C5B8F" w:rsidRDefault="009C5B8F" w:rsidP="001F27EA">
            <w:pPr>
              <w:spacing w:line="360" w:lineRule="auto"/>
              <w:jc w:val="center"/>
              <w:rPr>
                <w:rFonts w:ascii="Times New Roman" w:hAnsi="Times New Roman" w:cs="Times New Roman"/>
                <w:sz w:val="20"/>
                <w:szCs w:val="20"/>
              </w:rPr>
            </w:pPr>
            <w:r w:rsidRPr="009C5B8F">
              <w:rPr>
                <w:rFonts w:ascii="Times New Roman" w:hAnsi="Times New Roman" w:cs="Times New Roman"/>
                <w:sz w:val="20"/>
                <w:szCs w:val="20"/>
              </w:rPr>
              <w:t>26</w:t>
            </w:r>
          </w:p>
        </w:tc>
      </w:tr>
      <w:tr w:rsidR="009C5B8F" w:rsidRPr="009C5B8F" w14:paraId="4EEB977B" w14:textId="77777777" w:rsidTr="007A585D">
        <w:trPr>
          <w:trHeight w:val="286"/>
        </w:trPr>
        <w:tc>
          <w:tcPr>
            <w:tcW w:w="3086" w:type="dxa"/>
            <w:tcBorders>
              <w:bottom w:val="single" w:sz="4" w:space="0" w:color="auto"/>
            </w:tcBorders>
          </w:tcPr>
          <w:p w14:paraId="49640919" w14:textId="77777777" w:rsidR="009C5B8F" w:rsidRPr="009C5B8F" w:rsidRDefault="009C5B8F" w:rsidP="001F27EA">
            <w:pPr>
              <w:spacing w:line="360" w:lineRule="auto"/>
              <w:rPr>
                <w:rFonts w:ascii="Times New Roman" w:hAnsi="Times New Roman" w:cs="Times New Roman"/>
                <w:b/>
                <w:bCs/>
                <w:sz w:val="20"/>
                <w:szCs w:val="20"/>
              </w:rPr>
            </w:pPr>
            <w:r w:rsidRPr="009C5B8F">
              <w:rPr>
                <w:rFonts w:ascii="Times New Roman" w:hAnsi="Times New Roman" w:cs="Times New Roman"/>
                <w:sz w:val="20"/>
                <w:szCs w:val="20"/>
              </w:rPr>
              <w:t>Rs 7,50,000 and above</w:t>
            </w:r>
          </w:p>
        </w:tc>
        <w:tc>
          <w:tcPr>
            <w:tcW w:w="3089" w:type="dxa"/>
            <w:tcBorders>
              <w:bottom w:val="single" w:sz="4" w:space="0" w:color="auto"/>
            </w:tcBorders>
          </w:tcPr>
          <w:p w14:paraId="1DBDD83B" w14:textId="77777777" w:rsidR="009C5B8F" w:rsidRPr="009C5B8F" w:rsidRDefault="009C5B8F" w:rsidP="001F27EA">
            <w:pPr>
              <w:spacing w:line="360" w:lineRule="auto"/>
              <w:rPr>
                <w:rFonts w:ascii="Times New Roman" w:hAnsi="Times New Roman" w:cs="Times New Roman"/>
                <w:b/>
                <w:bCs/>
                <w:sz w:val="20"/>
                <w:szCs w:val="20"/>
              </w:rPr>
            </w:pPr>
            <w:r w:rsidRPr="009C5B8F">
              <w:rPr>
                <w:rFonts w:ascii="Times New Roman" w:hAnsi="Times New Roman" w:cs="Times New Roman"/>
                <w:sz w:val="20"/>
                <w:szCs w:val="20"/>
              </w:rPr>
              <w:t>45 years and above</w:t>
            </w:r>
          </w:p>
        </w:tc>
        <w:tc>
          <w:tcPr>
            <w:tcW w:w="3087" w:type="dxa"/>
          </w:tcPr>
          <w:p w14:paraId="171D023D" w14:textId="77777777" w:rsidR="009C5B8F" w:rsidRPr="009C5B8F" w:rsidRDefault="009C5B8F" w:rsidP="001F27EA">
            <w:pPr>
              <w:spacing w:line="360" w:lineRule="auto"/>
              <w:jc w:val="center"/>
              <w:rPr>
                <w:rFonts w:ascii="Times New Roman" w:hAnsi="Times New Roman" w:cs="Times New Roman"/>
                <w:sz w:val="20"/>
                <w:szCs w:val="20"/>
              </w:rPr>
            </w:pPr>
            <w:r w:rsidRPr="009C5B8F">
              <w:rPr>
                <w:rFonts w:ascii="Times New Roman" w:hAnsi="Times New Roman" w:cs="Times New Roman"/>
                <w:sz w:val="20"/>
                <w:szCs w:val="20"/>
              </w:rPr>
              <w:t>18</w:t>
            </w:r>
          </w:p>
        </w:tc>
      </w:tr>
      <w:tr w:rsidR="009C5B8F" w:rsidRPr="009C5B8F" w14:paraId="1927DB9A" w14:textId="77777777" w:rsidTr="007A585D">
        <w:trPr>
          <w:trHeight w:val="277"/>
        </w:trPr>
        <w:tc>
          <w:tcPr>
            <w:tcW w:w="6175" w:type="dxa"/>
            <w:gridSpan w:val="2"/>
            <w:tcBorders>
              <w:bottom w:val="single" w:sz="4" w:space="0" w:color="auto"/>
            </w:tcBorders>
          </w:tcPr>
          <w:p w14:paraId="3F1F21CD" w14:textId="77777777" w:rsidR="009C5B8F" w:rsidRPr="009C5B8F" w:rsidRDefault="009C5B8F" w:rsidP="001F27EA">
            <w:pPr>
              <w:spacing w:line="360" w:lineRule="auto"/>
              <w:jc w:val="center"/>
              <w:rPr>
                <w:rFonts w:ascii="Times New Roman" w:hAnsi="Times New Roman" w:cs="Times New Roman"/>
                <w:b/>
                <w:bCs/>
                <w:sz w:val="20"/>
                <w:szCs w:val="20"/>
              </w:rPr>
            </w:pPr>
            <w:r w:rsidRPr="009C5B8F">
              <w:rPr>
                <w:rFonts w:ascii="Times New Roman" w:hAnsi="Times New Roman" w:cs="Times New Roman"/>
                <w:b/>
                <w:bCs/>
                <w:sz w:val="20"/>
                <w:szCs w:val="20"/>
              </w:rPr>
              <w:t>Total</w:t>
            </w:r>
          </w:p>
        </w:tc>
        <w:tc>
          <w:tcPr>
            <w:tcW w:w="3087" w:type="dxa"/>
          </w:tcPr>
          <w:p w14:paraId="28608054" w14:textId="77777777" w:rsidR="009C5B8F" w:rsidRPr="009C5B8F" w:rsidRDefault="009C5B8F" w:rsidP="001F27EA">
            <w:pPr>
              <w:spacing w:line="360" w:lineRule="auto"/>
              <w:jc w:val="center"/>
              <w:rPr>
                <w:rFonts w:ascii="Times New Roman" w:hAnsi="Times New Roman" w:cs="Times New Roman"/>
                <w:b/>
                <w:bCs/>
                <w:sz w:val="20"/>
                <w:szCs w:val="20"/>
              </w:rPr>
            </w:pPr>
            <w:r w:rsidRPr="009C5B8F">
              <w:rPr>
                <w:rFonts w:ascii="Times New Roman" w:hAnsi="Times New Roman" w:cs="Times New Roman"/>
                <w:b/>
                <w:bCs/>
                <w:sz w:val="20"/>
                <w:szCs w:val="20"/>
              </w:rPr>
              <w:t>126</w:t>
            </w:r>
          </w:p>
        </w:tc>
      </w:tr>
    </w:tbl>
    <w:p w14:paraId="63D71F01" w14:textId="310CCA31" w:rsidR="009C5B8F" w:rsidRDefault="009C5B8F" w:rsidP="007A585D">
      <w:pPr>
        <w:pStyle w:val="Default"/>
        <w:spacing w:after="167" w:line="360" w:lineRule="auto"/>
        <w:ind w:left="720"/>
        <w:rPr>
          <w:b/>
          <w:bCs/>
          <w:sz w:val="20"/>
          <w:szCs w:val="20"/>
        </w:rPr>
      </w:pPr>
    </w:p>
    <w:p w14:paraId="6CC8E523" w14:textId="60525CE9" w:rsidR="00CB3C23" w:rsidRDefault="007A585D" w:rsidP="00CB3C23">
      <w:pPr>
        <w:pStyle w:val="ListParagraph"/>
        <w:numPr>
          <w:ilvl w:val="0"/>
          <w:numId w:val="5"/>
        </w:numPr>
        <w:autoSpaceDE w:val="0"/>
        <w:autoSpaceDN w:val="0"/>
        <w:adjustRightInd w:val="0"/>
        <w:spacing w:after="167"/>
        <w:rPr>
          <w:rFonts w:ascii="Times New Roman" w:hAnsi="Times New Roman" w:cs="Times New Roman"/>
          <w:color w:val="000000"/>
          <w:sz w:val="20"/>
          <w:szCs w:val="20"/>
        </w:rPr>
      </w:pPr>
      <w:r w:rsidRPr="007A585D">
        <w:rPr>
          <w:rFonts w:ascii="Times New Roman" w:hAnsi="Times New Roman" w:cs="Times New Roman"/>
          <w:b/>
          <w:bCs/>
          <w:color w:val="000000"/>
          <w:sz w:val="20"/>
          <w:szCs w:val="20"/>
        </w:rPr>
        <w:t xml:space="preserve">Sources of data: </w:t>
      </w:r>
      <w:r w:rsidRPr="007A585D">
        <w:rPr>
          <w:rFonts w:ascii="Times New Roman" w:hAnsi="Times New Roman" w:cs="Times New Roman"/>
          <w:color w:val="000000"/>
          <w:sz w:val="20"/>
          <w:szCs w:val="20"/>
        </w:rPr>
        <w:t xml:space="preserve">The study is basically based on collecting primary data through structured questionnaire. This is done by way of distributing Google form as well as hard copy form. </w:t>
      </w:r>
    </w:p>
    <w:p w14:paraId="52C335CD" w14:textId="77777777" w:rsidR="00CB3C23" w:rsidRPr="00CB3C23" w:rsidRDefault="00CB3C23" w:rsidP="00CB3C23">
      <w:pPr>
        <w:pStyle w:val="ListParagraph"/>
        <w:autoSpaceDE w:val="0"/>
        <w:autoSpaceDN w:val="0"/>
        <w:adjustRightInd w:val="0"/>
        <w:spacing w:after="167"/>
        <w:rPr>
          <w:rFonts w:ascii="Times New Roman" w:hAnsi="Times New Roman" w:cs="Times New Roman"/>
          <w:color w:val="000000"/>
          <w:sz w:val="20"/>
          <w:szCs w:val="20"/>
        </w:rPr>
      </w:pPr>
    </w:p>
    <w:p w14:paraId="4CD048EA" w14:textId="77777777" w:rsidR="00CB3C23" w:rsidRPr="00CB3C23" w:rsidRDefault="00CB3C23" w:rsidP="00CB3C23">
      <w:pPr>
        <w:pStyle w:val="ListParagraph"/>
        <w:numPr>
          <w:ilvl w:val="0"/>
          <w:numId w:val="5"/>
        </w:numPr>
        <w:autoSpaceDE w:val="0"/>
        <w:autoSpaceDN w:val="0"/>
        <w:adjustRightInd w:val="0"/>
        <w:rPr>
          <w:rFonts w:ascii="Times New Roman" w:hAnsi="Times New Roman" w:cs="Times New Roman"/>
          <w:color w:val="000000"/>
          <w:sz w:val="20"/>
          <w:szCs w:val="20"/>
        </w:rPr>
      </w:pPr>
      <w:r w:rsidRPr="00CB3C23">
        <w:rPr>
          <w:rFonts w:ascii="Times New Roman" w:hAnsi="Times New Roman" w:cs="Times New Roman"/>
          <w:b/>
          <w:bCs/>
          <w:color w:val="000000"/>
          <w:sz w:val="20"/>
          <w:szCs w:val="20"/>
        </w:rPr>
        <w:t xml:space="preserve">Tools and techniques: </w:t>
      </w:r>
      <w:r w:rsidRPr="00CB3C23">
        <w:rPr>
          <w:rFonts w:ascii="Times New Roman" w:hAnsi="Times New Roman" w:cs="Times New Roman"/>
          <w:color w:val="000000"/>
          <w:sz w:val="20"/>
          <w:szCs w:val="20"/>
        </w:rPr>
        <w:t>All theoretical portions have been explained through descriptive method. However, for the survey portion, proper classification and condensation of collected data has been done. Thereafter, basis analysis of descriptive statistics has been done in every case and t-test (test of hypothesis) has been conducted to find out the significance of mean value, wherever necessary. SPSS 14 is used to analyse the data and to draw the inferences accordingly.</w:t>
      </w:r>
    </w:p>
    <w:p w14:paraId="52B58CF8" w14:textId="16824DAC" w:rsidR="007A585D" w:rsidRDefault="007A585D" w:rsidP="00B23D51">
      <w:pPr>
        <w:pStyle w:val="Default"/>
        <w:spacing w:after="167" w:line="360" w:lineRule="auto"/>
        <w:rPr>
          <w:b/>
          <w:bCs/>
          <w:sz w:val="20"/>
          <w:szCs w:val="20"/>
        </w:rPr>
      </w:pPr>
    </w:p>
    <w:p w14:paraId="7DD68F67" w14:textId="77777777" w:rsidR="00C72E74" w:rsidRDefault="00C72E74" w:rsidP="00C72E74">
      <w:pPr>
        <w:pStyle w:val="Default"/>
        <w:numPr>
          <w:ilvl w:val="0"/>
          <w:numId w:val="1"/>
        </w:numPr>
        <w:spacing w:after="167" w:line="360" w:lineRule="auto"/>
        <w:jc w:val="center"/>
        <w:rPr>
          <w:b/>
          <w:bCs/>
          <w:sz w:val="20"/>
          <w:szCs w:val="20"/>
        </w:rPr>
      </w:pPr>
      <w:r>
        <w:rPr>
          <w:b/>
          <w:bCs/>
          <w:sz w:val="20"/>
          <w:szCs w:val="20"/>
        </w:rPr>
        <w:t>DISCUSSIONS AND RESULTS</w:t>
      </w:r>
    </w:p>
    <w:p w14:paraId="1FEA7210" w14:textId="2B625B41" w:rsidR="00B23D51" w:rsidRPr="00C72E74" w:rsidRDefault="000C6028" w:rsidP="00C72E74">
      <w:pPr>
        <w:pStyle w:val="Default"/>
        <w:numPr>
          <w:ilvl w:val="0"/>
          <w:numId w:val="11"/>
        </w:numPr>
        <w:spacing w:after="167" w:line="360" w:lineRule="auto"/>
        <w:rPr>
          <w:b/>
          <w:bCs/>
          <w:sz w:val="20"/>
          <w:szCs w:val="20"/>
        </w:rPr>
      </w:pPr>
      <w:r w:rsidRPr="00C72E74">
        <w:rPr>
          <w:b/>
          <w:bCs/>
          <w:sz w:val="20"/>
          <w:szCs w:val="20"/>
        </w:rPr>
        <w:t>F</w:t>
      </w:r>
      <w:r w:rsidR="00C72E74" w:rsidRPr="00C72E74">
        <w:rPr>
          <w:b/>
          <w:bCs/>
          <w:sz w:val="20"/>
          <w:szCs w:val="20"/>
        </w:rPr>
        <w:t>undamentals</w:t>
      </w:r>
      <w:r w:rsidRPr="00C72E74">
        <w:rPr>
          <w:b/>
          <w:bCs/>
          <w:sz w:val="20"/>
          <w:szCs w:val="20"/>
        </w:rPr>
        <w:t xml:space="preserve"> F</w:t>
      </w:r>
      <w:r w:rsidR="00C72E74" w:rsidRPr="00C72E74">
        <w:rPr>
          <w:b/>
          <w:bCs/>
          <w:sz w:val="20"/>
          <w:szCs w:val="20"/>
        </w:rPr>
        <w:t>actors</w:t>
      </w:r>
      <w:r w:rsidRPr="00C72E74">
        <w:rPr>
          <w:b/>
          <w:bCs/>
          <w:sz w:val="20"/>
          <w:szCs w:val="20"/>
        </w:rPr>
        <w:t xml:space="preserve"> B</w:t>
      </w:r>
      <w:r w:rsidR="00C72E74" w:rsidRPr="00C72E74">
        <w:rPr>
          <w:b/>
          <w:bCs/>
          <w:sz w:val="20"/>
          <w:szCs w:val="20"/>
        </w:rPr>
        <w:t xml:space="preserve">ehind </w:t>
      </w:r>
      <w:proofErr w:type="spellStart"/>
      <w:r w:rsidRPr="00C72E74">
        <w:rPr>
          <w:b/>
          <w:bCs/>
          <w:sz w:val="20"/>
          <w:szCs w:val="20"/>
        </w:rPr>
        <w:t>B</w:t>
      </w:r>
      <w:r w:rsidR="00C72E74" w:rsidRPr="00C72E74">
        <w:rPr>
          <w:b/>
          <w:bCs/>
          <w:sz w:val="20"/>
          <w:szCs w:val="20"/>
        </w:rPr>
        <w:t>ehavioral</w:t>
      </w:r>
      <w:proofErr w:type="spellEnd"/>
      <w:r w:rsidRPr="00C72E74">
        <w:rPr>
          <w:b/>
          <w:bCs/>
          <w:sz w:val="20"/>
          <w:szCs w:val="20"/>
        </w:rPr>
        <w:t xml:space="preserve"> F</w:t>
      </w:r>
      <w:r w:rsidR="00C72E74" w:rsidRPr="00C72E74">
        <w:rPr>
          <w:b/>
          <w:bCs/>
          <w:sz w:val="20"/>
          <w:szCs w:val="20"/>
        </w:rPr>
        <w:t>inance</w:t>
      </w:r>
    </w:p>
    <w:p w14:paraId="276FB321" w14:textId="190D34AC" w:rsidR="000C6028" w:rsidRPr="000C6028" w:rsidRDefault="0043477C" w:rsidP="0043477C">
      <w:pPr>
        <w:autoSpaceDE w:val="0"/>
        <w:autoSpaceDN w:val="0"/>
        <w:adjustRightInd w:val="0"/>
        <w:spacing w:after="167"/>
        <w:ind w:firstLine="360"/>
        <w:rPr>
          <w:rFonts w:ascii="Times New Roman" w:hAnsi="Times New Roman" w:cs="Times New Roman"/>
          <w:sz w:val="20"/>
          <w:szCs w:val="20"/>
        </w:rPr>
      </w:pPr>
      <w:r>
        <w:rPr>
          <w:rFonts w:ascii="Times New Roman" w:hAnsi="Times New Roman" w:cs="Times New Roman"/>
          <w:sz w:val="20"/>
          <w:szCs w:val="20"/>
        </w:rPr>
        <w:t xml:space="preserve"> </w:t>
      </w:r>
      <w:r w:rsidR="000C6028" w:rsidRPr="000C6028">
        <w:rPr>
          <w:rFonts w:ascii="Times New Roman" w:hAnsi="Times New Roman" w:cs="Times New Roman"/>
          <w:sz w:val="20"/>
          <w:szCs w:val="20"/>
        </w:rPr>
        <w:t>There are few fundamental attributes, as revealed from various studies, based on which the various parties involved in financial decision making takes emotionally driven decisions. These factors may be summarised as follows:</w:t>
      </w:r>
    </w:p>
    <w:p w14:paraId="0337D0BC" w14:textId="43418EBD" w:rsidR="000C6028" w:rsidRDefault="000C6028" w:rsidP="00C72E74">
      <w:pPr>
        <w:pStyle w:val="Default"/>
        <w:numPr>
          <w:ilvl w:val="0"/>
          <w:numId w:val="12"/>
        </w:numPr>
        <w:rPr>
          <w:sz w:val="20"/>
          <w:szCs w:val="20"/>
        </w:rPr>
      </w:pPr>
      <w:r w:rsidRPr="000C6028">
        <w:rPr>
          <w:b/>
          <w:bCs/>
          <w:sz w:val="20"/>
          <w:szCs w:val="20"/>
        </w:rPr>
        <w:lastRenderedPageBreak/>
        <w:t xml:space="preserve">Mental Accounting: </w:t>
      </w:r>
      <w:r w:rsidRPr="000C6028">
        <w:rPr>
          <w:sz w:val="20"/>
          <w:szCs w:val="20"/>
        </w:rPr>
        <w:t xml:space="preserve">People often take decisions for allocation of their resources based on their pre-fixed mental framework, i.e., designing of portfolio is mostly based on previously decided resource allocation formula without looking into reality and the actual market conditions. This propensity to allocate money to specific avenues is known as mental accounting in the perspective of behavioural finance. </w:t>
      </w:r>
    </w:p>
    <w:p w14:paraId="21EBC1A5" w14:textId="77777777" w:rsidR="0043477C" w:rsidRPr="000C6028" w:rsidRDefault="0043477C" w:rsidP="0043477C">
      <w:pPr>
        <w:pStyle w:val="Default"/>
        <w:ind w:left="720"/>
        <w:rPr>
          <w:sz w:val="20"/>
          <w:szCs w:val="20"/>
        </w:rPr>
      </w:pPr>
    </w:p>
    <w:p w14:paraId="0F4F6450" w14:textId="2E00E966" w:rsidR="000C6028" w:rsidRDefault="000C6028" w:rsidP="00C72E74">
      <w:pPr>
        <w:pStyle w:val="Default"/>
        <w:numPr>
          <w:ilvl w:val="0"/>
          <w:numId w:val="12"/>
        </w:numPr>
        <w:rPr>
          <w:sz w:val="20"/>
          <w:szCs w:val="20"/>
        </w:rPr>
      </w:pPr>
      <w:r w:rsidRPr="000C6028">
        <w:rPr>
          <w:b/>
          <w:bCs/>
          <w:sz w:val="20"/>
          <w:szCs w:val="20"/>
        </w:rPr>
        <w:t>Anchoring:</w:t>
      </w:r>
      <w:r w:rsidRPr="000C6028">
        <w:rPr>
          <w:sz w:val="20"/>
          <w:szCs w:val="20"/>
        </w:rPr>
        <w:t xml:space="preserve"> This refers to the tendency of individual investors to spend money at a given level to an easy reference. Spending money for a popular brand, allocating resources mostly to the stock which has already given good historical return are some examples of anchoring. Based on this tendency, investors often miss the opportunity to earn higher return by not investing on the undervalued but promising stocks</w:t>
      </w:r>
    </w:p>
    <w:p w14:paraId="37FBD432" w14:textId="77777777" w:rsidR="0043477C" w:rsidRPr="000C6028" w:rsidRDefault="0043477C" w:rsidP="0043477C">
      <w:pPr>
        <w:pStyle w:val="Default"/>
        <w:rPr>
          <w:sz w:val="20"/>
          <w:szCs w:val="20"/>
        </w:rPr>
      </w:pPr>
    </w:p>
    <w:p w14:paraId="73C80463" w14:textId="7FBC06B1" w:rsidR="000C6028" w:rsidRDefault="000C6028" w:rsidP="00C72E74">
      <w:pPr>
        <w:pStyle w:val="Default"/>
        <w:numPr>
          <w:ilvl w:val="0"/>
          <w:numId w:val="12"/>
        </w:numPr>
        <w:rPr>
          <w:sz w:val="20"/>
          <w:szCs w:val="20"/>
        </w:rPr>
      </w:pPr>
      <w:r w:rsidRPr="000C6028">
        <w:rPr>
          <w:b/>
          <w:bCs/>
          <w:sz w:val="20"/>
          <w:szCs w:val="20"/>
        </w:rPr>
        <w:t xml:space="preserve">Herd behaviour: </w:t>
      </w:r>
      <w:r w:rsidRPr="000C6028">
        <w:rPr>
          <w:sz w:val="20"/>
          <w:szCs w:val="20"/>
        </w:rPr>
        <w:t xml:space="preserve">‘Herd’ explains a mental state which is defined by the lack of individual decision-making which in turn caused people to behave similarly to those around them. The reflection of this behaviour is often and largely reflected in the selection of investment avenues. Most of the concerned parties in investment process have the habit to follow the same financial behaviour of majority without concentrating into reality. </w:t>
      </w:r>
    </w:p>
    <w:p w14:paraId="6B59ABF5" w14:textId="77777777" w:rsidR="0043477C" w:rsidRPr="000C6028" w:rsidRDefault="0043477C" w:rsidP="0043477C">
      <w:pPr>
        <w:pStyle w:val="Default"/>
        <w:rPr>
          <w:sz w:val="20"/>
          <w:szCs w:val="20"/>
        </w:rPr>
      </w:pPr>
    </w:p>
    <w:p w14:paraId="5B5D4B11" w14:textId="2E51A112" w:rsidR="000C6028" w:rsidRDefault="000C6028" w:rsidP="00C72E74">
      <w:pPr>
        <w:pStyle w:val="Default"/>
        <w:numPr>
          <w:ilvl w:val="0"/>
          <w:numId w:val="12"/>
        </w:numPr>
        <w:rPr>
          <w:sz w:val="20"/>
          <w:szCs w:val="20"/>
        </w:rPr>
      </w:pPr>
      <w:r w:rsidRPr="000C6028">
        <w:rPr>
          <w:b/>
          <w:bCs/>
          <w:sz w:val="20"/>
          <w:szCs w:val="20"/>
        </w:rPr>
        <w:t xml:space="preserve">High self-rating: </w:t>
      </w:r>
      <w:r w:rsidRPr="000C6028">
        <w:rPr>
          <w:sz w:val="20"/>
          <w:szCs w:val="20"/>
        </w:rPr>
        <w:t xml:space="preserve">Some of the investors bears tendency of ranking themselves higher than the average investors. Based on these premises, often they take unusual investment decisions ignoring the fundamental factors behind such decisions. However, this concept is actually contradicting the concept of ‘herd behaviour’ mentioned earlier. </w:t>
      </w:r>
    </w:p>
    <w:p w14:paraId="4C931CC4" w14:textId="77777777" w:rsidR="0043477C" w:rsidRPr="000C6028" w:rsidRDefault="0043477C" w:rsidP="0043477C">
      <w:pPr>
        <w:pStyle w:val="Default"/>
        <w:rPr>
          <w:sz w:val="20"/>
          <w:szCs w:val="20"/>
        </w:rPr>
      </w:pPr>
    </w:p>
    <w:p w14:paraId="2515A3D1" w14:textId="17B7B6E2" w:rsidR="000C6028" w:rsidRDefault="000C6028" w:rsidP="00C72E74">
      <w:pPr>
        <w:pStyle w:val="ListParagraph"/>
        <w:numPr>
          <w:ilvl w:val="0"/>
          <w:numId w:val="12"/>
        </w:numPr>
        <w:autoSpaceDE w:val="0"/>
        <w:autoSpaceDN w:val="0"/>
        <w:adjustRightInd w:val="0"/>
        <w:rPr>
          <w:rFonts w:ascii="Times New Roman" w:hAnsi="Times New Roman" w:cs="Times New Roman"/>
          <w:sz w:val="20"/>
          <w:szCs w:val="20"/>
        </w:rPr>
      </w:pPr>
      <w:r w:rsidRPr="000C6028">
        <w:rPr>
          <w:rFonts w:ascii="Times New Roman" w:hAnsi="Times New Roman" w:cs="Times New Roman"/>
          <w:b/>
          <w:bCs/>
          <w:sz w:val="20"/>
          <w:szCs w:val="20"/>
        </w:rPr>
        <w:t>Loss aversion:</w:t>
      </w:r>
      <w:r w:rsidRPr="000C6028">
        <w:rPr>
          <w:rFonts w:ascii="Times New Roman" w:hAnsi="Times New Roman" w:cs="Times New Roman"/>
          <w:sz w:val="20"/>
          <w:szCs w:val="20"/>
        </w:rPr>
        <w:t xml:space="preserve"> It is one of the important psychological concepts. It has gained increasing amount of attention while conducting analysing on economics as well as psychology. According to this concept, the investor is considered as a risk-seeker when they faced with the prospect of losses, but is a risk-averse when they enjoyed profits. The discussions of </w:t>
      </w:r>
      <w:r w:rsidRPr="000C6028">
        <w:rPr>
          <w:rFonts w:ascii="Times New Roman" w:hAnsi="Times New Roman" w:cs="Times New Roman"/>
          <w:b/>
          <w:bCs/>
          <w:sz w:val="20"/>
          <w:szCs w:val="20"/>
        </w:rPr>
        <w:t xml:space="preserve">Ulrich </w:t>
      </w:r>
      <w:proofErr w:type="spellStart"/>
      <w:r w:rsidRPr="000C6028">
        <w:rPr>
          <w:rFonts w:ascii="Times New Roman" w:hAnsi="Times New Roman" w:cs="Times New Roman"/>
          <w:b/>
          <w:bCs/>
          <w:sz w:val="20"/>
          <w:szCs w:val="20"/>
        </w:rPr>
        <w:t>Schmidta</w:t>
      </w:r>
      <w:proofErr w:type="spellEnd"/>
      <w:r w:rsidRPr="000C6028">
        <w:rPr>
          <w:rFonts w:ascii="Times New Roman" w:hAnsi="Times New Roman" w:cs="Times New Roman"/>
          <w:b/>
          <w:bCs/>
          <w:sz w:val="20"/>
          <w:szCs w:val="20"/>
        </w:rPr>
        <w:t xml:space="preserve"> and Horst </w:t>
      </w:r>
      <w:proofErr w:type="spellStart"/>
      <w:r w:rsidRPr="000C6028">
        <w:rPr>
          <w:rFonts w:ascii="Times New Roman" w:hAnsi="Times New Roman" w:cs="Times New Roman"/>
          <w:b/>
          <w:bCs/>
          <w:sz w:val="20"/>
          <w:szCs w:val="20"/>
        </w:rPr>
        <w:t>Zankb</w:t>
      </w:r>
      <w:proofErr w:type="spellEnd"/>
      <w:r w:rsidRPr="000C6028">
        <w:rPr>
          <w:rFonts w:ascii="Times New Roman" w:hAnsi="Times New Roman" w:cs="Times New Roman"/>
          <w:sz w:val="20"/>
          <w:szCs w:val="20"/>
        </w:rPr>
        <w:t xml:space="preserve"> in their research specifies the theory of loss aversion with risk aversion and they also accepted the views specified by </w:t>
      </w:r>
      <w:r w:rsidRPr="000C6028">
        <w:rPr>
          <w:rFonts w:ascii="Times New Roman" w:hAnsi="Times New Roman" w:cs="Times New Roman"/>
          <w:b/>
          <w:bCs/>
          <w:sz w:val="20"/>
          <w:szCs w:val="20"/>
        </w:rPr>
        <w:t>Kahneman and Tversky</w:t>
      </w:r>
      <w:r w:rsidRPr="000C6028">
        <w:rPr>
          <w:rFonts w:ascii="Times New Roman" w:hAnsi="Times New Roman" w:cs="Times New Roman"/>
          <w:sz w:val="20"/>
          <w:szCs w:val="20"/>
        </w:rPr>
        <w:t>.</w:t>
      </w:r>
    </w:p>
    <w:p w14:paraId="1D0D0183" w14:textId="77777777" w:rsidR="0043477C" w:rsidRPr="0043477C" w:rsidRDefault="0043477C" w:rsidP="0043477C">
      <w:pPr>
        <w:autoSpaceDE w:val="0"/>
        <w:autoSpaceDN w:val="0"/>
        <w:adjustRightInd w:val="0"/>
        <w:rPr>
          <w:rFonts w:ascii="Times New Roman" w:hAnsi="Times New Roman" w:cs="Times New Roman"/>
          <w:sz w:val="20"/>
          <w:szCs w:val="20"/>
        </w:rPr>
      </w:pPr>
    </w:p>
    <w:p w14:paraId="4A3A5E32" w14:textId="40756E7A" w:rsidR="000C6028" w:rsidRDefault="000C6028" w:rsidP="00C72E74">
      <w:pPr>
        <w:pStyle w:val="ListParagraph"/>
        <w:numPr>
          <w:ilvl w:val="0"/>
          <w:numId w:val="12"/>
        </w:numPr>
        <w:autoSpaceDE w:val="0"/>
        <w:autoSpaceDN w:val="0"/>
        <w:adjustRightInd w:val="0"/>
        <w:rPr>
          <w:rFonts w:ascii="Times New Roman" w:hAnsi="Times New Roman" w:cs="Times New Roman"/>
          <w:sz w:val="20"/>
          <w:szCs w:val="20"/>
        </w:rPr>
      </w:pPr>
      <w:r w:rsidRPr="000C6028">
        <w:rPr>
          <w:rFonts w:ascii="Times New Roman" w:hAnsi="Times New Roman" w:cs="Times New Roman"/>
          <w:b/>
          <w:bCs/>
          <w:sz w:val="20"/>
          <w:szCs w:val="20"/>
        </w:rPr>
        <w:t>Regret Aversion</w:t>
      </w:r>
      <w:r w:rsidRPr="000C6028">
        <w:rPr>
          <w:rFonts w:ascii="Times New Roman" w:hAnsi="Times New Roman" w:cs="Times New Roman"/>
          <w:sz w:val="20"/>
          <w:szCs w:val="20"/>
        </w:rPr>
        <w:t>: Regret means the disappointment which the investors felt when they investment in wrong security bearing less or nil returns. It is the pain which they don’t want to express but a discomfort has been found for a poor investment decision. Regret aversion creates inefficiency in investment strategy for payment of tax as they can reduce their taxable income by various techniques while realizing capital losses.</w:t>
      </w:r>
    </w:p>
    <w:p w14:paraId="19909881" w14:textId="77777777" w:rsidR="000F07E3" w:rsidRPr="000F07E3" w:rsidRDefault="000F07E3" w:rsidP="000F07E3">
      <w:pPr>
        <w:autoSpaceDE w:val="0"/>
        <w:autoSpaceDN w:val="0"/>
        <w:adjustRightInd w:val="0"/>
        <w:rPr>
          <w:rFonts w:ascii="Times New Roman" w:hAnsi="Times New Roman" w:cs="Times New Roman"/>
          <w:sz w:val="20"/>
          <w:szCs w:val="20"/>
        </w:rPr>
      </w:pPr>
    </w:p>
    <w:p w14:paraId="3C3C72C4" w14:textId="3B2752EF" w:rsidR="000C6028" w:rsidRDefault="000C6028" w:rsidP="00C72E74">
      <w:pPr>
        <w:pStyle w:val="ListParagraph"/>
        <w:numPr>
          <w:ilvl w:val="0"/>
          <w:numId w:val="12"/>
        </w:numPr>
        <w:autoSpaceDE w:val="0"/>
        <w:autoSpaceDN w:val="0"/>
        <w:adjustRightInd w:val="0"/>
        <w:rPr>
          <w:rFonts w:ascii="Times New Roman" w:hAnsi="Times New Roman" w:cs="Times New Roman"/>
          <w:sz w:val="20"/>
          <w:szCs w:val="20"/>
        </w:rPr>
      </w:pPr>
      <w:r w:rsidRPr="000C6028">
        <w:rPr>
          <w:rFonts w:ascii="Times New Roman" w:hAnsi="Times New Roman" w:cs="Times New Roman"/>
          <w:b/>
          <w:bCs/>
          <w:sz w:val="20"/>
          <w:szCs w:val="20"/>
        </w:rPr>
        <w:t>Cognitive Dissonance:</w:t>
      </w:r>
      <w:r w:rsidRPr="000C6028">
        <w:rPr>
          <w:rFonts w:ascii="Times New Roman" w:hAnsi="Times New Roman" w:cs="Times New Roman"/>
          <w:sz w:val="20"/>
          <w:szCs w:val="20"/>
        </w:rPr>
        <w:t xml:space="preserve"> It implies a psychological irritation that has been felt by an investor while taking any decision against his reliance or thoughts. As per the definition, “Cognitive dissonance is nothing but a feeling of discomfort or disharmony resulting from the contradiction with the set beliefs or attitudes.”</w:t>
      </w:r>
    </w:p>
    <w:p w14:paraId="6EA56A2C" w14:textId="178CF9BF" w:rsidR="000F07E3" w:rsidRDefault="000F07E3" w:rsidP="000F07E3">
      <w:pPr>
        <w:autoSpaceDE w:val="0"/>
        <w:autoSpaceDN w:val="0"/>
        <w:adjustRightInd w:val="0"/>
        <w:rPr>
          <w:rFonts w:ascii="Times New Roman" w:hAnsi="Times New Roman" w:cs="Times New Roman"/>
          <w:sz w:val="20"/>
          <w:szCs w:val="20"/>
        </w:rPr>
      </w:pPr>
    </w:p>
    <w:p w14:paraId="1655CA57" w14:textId="59B348C9" w:rsidR="000F07E3" w:rsidRDefault="000F07E3" w:rsidP="000F07E3">
      <w:pPr>
        <w:autoSpaceDE w:val="0"/>
        <w:autoSpaceDN w:val="0"/>
        <w:adjustRightInd w:val="0"/>
        <w:rPr>
          <w:rFonts w:ascii="Times New Roman" w:hAnsi="Times New Roman" w:cs="Times New Roman"/>
          <w:sz w:val="20"/>
          <w:szCs w:val="20"/>
        </w:rPr>
      </w:pPr>
    </w:p>
    <w:p w14:paraId="5CA7E80A" w14:textId="67F45C5D" w:rsidR="000F07E3" w:rsidRDefault="000F07E3" w:rsidP="00C72E74">
      <w:pPr>
        <w:pStyle w:val="Default"/>
        <w:numPr>
          <w:ilvl w:val="0"/>
          <w:numId w:val="11"/>
        </w:numPr>
        <w:spacing w:line="360" w:lineRule="auto"/>
        <w:rPr>
          <w:b/>
          <w:bCs/>
          <w:sz w:val="20"/>
          <w:szCs w:val="20"/>
        </w:rPr>
      </w:pPr>
      <w:r>
        <w:rPr>
          <w:b/>
          <w:bCs/>
          <w:sz w:val="20"/>
          <w:szCs w:val="20"/>
        </w:rPr>
        <w:t xml:space="preserve"> </w:t>
      </w:r>
      <w:r w:rsidRPr="000F07E3">
        <w:rPr>
          <w:b/>
          <w:bCs/>
          <w:sz w:val="20"/>
          <w:szCs w:val="20"/>
        </w:rPr>
        <w:t xml:space="preserve">Investment percentage in risk free instruments and in risky instruments of the investors and the main reasons behind such decisions: </w:t>
      </w:r>
    </w:p>
    <w:p w14:paraId="099212A8" w14:textId="1F55EBC0" w:rsidR="000F07E3" w:rsidRDefault="000F07E3" w:rsidP="000F07E3">
      <w:pPr>
        <w:autoSpaceDE w:val="0"/>
        <w:autoSpaceDN w:val="0"/>
        <w:adjustRightInd w:val="0"/>
        <w:rPr>
          <w:rFonts w:ascii="Times New Roman" w:hAnsi="Times New Roman" w:cs="Times New Roman"/>
          <w:sz w:val="20"/>
          <w:szCs w:val="20"/>
        </w:rPr>
      </w:pPr>
      <w:r>
        <w:rPr>
          <w:b/>
          <w:bCs/>
          <w:sz w:val="20"/>
          <w:szCs w:val="20"/>
        </w:rPr>
        <w:tab/>
        <w:t xml:space="preserve"> </w:t>
      </w:r>
      <w:r w:rsidRPr="000F07E3">
        <w:rPr>
          <w:rFonts w:ascii="Times New Roman" w:hAnsi="Times New Roman" w:cs="Times New Roman"/>
          <w:sz w:val="20"/>
          <w:szCs w:val="20"/>
        </w:rPr>
        <w:t>The overall average figure collected on the basis of 126 selected investors regarding their proportion of investment in risk free instruments (such as savings bank account, fixed deposit account, senior citizen savings scheme, public provident fund etc.) and in risky</w:t>
      </w:r>
      <w:r w:rsidR="00286E26">
        <w:rPr>
          <w:rFonts w:ascii="Times New Roman" w:hAnsi="Times New Roman" w:cs="Times New Roman"/>
          <w:sz w:val="20"/>
          <w:szCs w:val="20"/>
        </w:rPr>
        <w:t xml:space="preserve"> </w:t>
      </w:r>
      <w:r w:rsidRPr="000F07E3">
        <w:rPr>
          <w:rFonts w:ascii="Times New Roman" w:hAnsi="Times New Roman" w:cs="Times New Roman"/>
          <w:sz w:val="20"/>
          <w:szCs w:val="20"/>
        </w:rPr>
        <w:t>instruments (such as equity shares, preference shares, debentures, mutual funds etc.) in terms of percentage are shown in table 2 below:</w:t>
      </w:r>
    </w:p>
    <w:p w14:paraId="6F772439" w14:textId="48B59D1C" w:rsidR="000F07E3" w:rsidRDefault="000F07E3" w:rsidP="000F07E3">
      <w:pPr>
        <w:autoSpaceDE w:val="0"/>
        <w:autoSpaceDN w:val="0"/>
        <w:adjustRightInd w:val="0"/>
        <w:rPr>
          <w:rFonts w:ascii="Times New Roman" w:hAnsi="Times New Roman" w:cs="Times New Roman"/>
          <w:sz w:val="20"/>
          <w:szCs w:val="20"/>
        </w:rPr>
      </w:pPr>
    </w:p>
    <w:p w14:paraId="78D78883" w14:textId="77777777" w:rsidR="00286E26" w:rsidRPr="00286E26" w:rsidRDefault="00286E26" w:rsidP="00286E26">
      <w:pPr>
        <w:autoSpaceDE w:val="0"/>
        <w:autoSpaceDN w:val="0"/>
        <w:adjustRightInd w:val="0"/>
        <w:jc w:val="center"/>
        <w:rPr>
          <w:rFonts w:ascii="Times New Roman" w:hAnsi="Times New Roman" w:cs="Times New Roman"/>
          <w:b/>
          <w:bCs/>
          <w:sz w:val="20"/>
          <w:szCs w:val="20"/>
        </w:rPr>
      </w:pPr>
      <w:r w:rsidRPr="00286E26">
        <w:rPr>
          <w:rFonts w:ascii="Times New Roman" w:hAnsi="Times New Roman" w:cs="Times New Roman"/>
          <w:b/>
          <w:bCs/>
          <w:sz w:val="20"/>
          <w:szCs w:val="20"/>
        </w:rPr>
        <w:t>Table 2: Descriptive Statistics of overall percentage of investments in riskless and risky</w:t>
      </w:r>
    </w:p>
    <w:p w14:paraId="7F9CF003" w14:textId="2B0E3006" w:rsidR="00286E26" w:rsidRDefault="00286E26" w:rsidP="00286E26">
      <w:pPr>
        <w:autoSpaceDE w:val="0"/>
        <w:autoSpaceDN w:val="0"/>
        <w:adjustRightInd w:val="0"/>
        <w:jc w:val="center"/>
        <w:rPr>
          <w:rFonts w:ascii="Times New Roman" w:hAnsi="Times New Roman" w:cs="Times New Roman"/>
          <w:b/>
          <w:bCs/>
          <w:sz w:val="20"/>
          <w:szCs w:val="20"/>
        </w:rPr>
      </w:pPr>
      <w:r w:rsidRPr="00286E26">
        <w:rPr>
          <w:rFonts w:ascii="Times New Roman" w:hAnsi="Times New Roman" w:cs="Times New Roman"/>
          <w:b/>
          <w:bCs/>
          <w:sz w:val="20"/>
          <w:szCs w:val="20"/>
        </w:rPr>
        <w:t>Instruments</w:t>
      </w:r>
    </w:p>
    <w:p w14:paraId="54BA69D7" w14:textId="508EBD62" w:rsidR="00286E26" w:rsidRDefault="00286E26" w:rsidP="00286E26">
      <w:pPr>
        <w:autoSpaceDE w:val="0"/>
        <w:autoSpaceDN w:val="0"/>
        <w:adjustRightInd w:val="0"/>
        <w:jc w:val="center"/>
        <w:rPr>
          <w:rFonts w:ascii="Times New Roman" w:hAnsi="Times New Roman" w:cs="Times New Roman"/>
          <w:b/>
          <w:bCs/>
          <w:sz w:val="20"/>
          <w:szCs w:val="20"/>
        </w:rPr>
      </w:pPr>
    </w:p>
    <w:tbl>
      <w:tblPr>
        <w:tblStyle w:val="TableGrid"/>
        <w:tblW w:w="9340" w:type="dxa"/>
        <w:jc w:val="center"/>
        <w:tblLook w:val="04A0" w:firstRow="1" w:lastRow="0" w:firstColumn="1" w:lastColumn="0" w:noHBand="0" w:noVBand="1"/>
      </w:tblPr>
      <w:tblGrid>
        <w:gridCol w:w="1556"/>
        <w:gridCol w:w="1556"/>
        <w:gridCol w:w="1557"/>
        <w:gridCol w:w="1557"/>
        <w:gridCol w:w="1557"/>
        <w:gridCol w:w="1557"/>
      </w:tblGrid>
      <w:tr w:rsidR="007A7776" w14:paraId="2C88260E" w14:textId="77777777" w:rsidTr="00286E26">
        <w:trPr>
          <w:trHeight w:val="464"/>
          <w:jc w:val="center"/>
        </w:trPr>
        <w:tc>
          <w:tcPr>
            <w:tcW w:w="1556" w:type="dxa"/>
            <w:vMerge w:val="restart"/>
          </w:tcPr>
          <w:p w14:paraId="4C2F5185"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1ACB3399" w14:textId="77777777" w:rsidR="007A7776" w:rsidRDefault="007A7776" w:rsidP="00AE05E0">
            <w:pPr>
              <w:autoSpaceDE w:val="0"/>
              <w:autoSpaceDN w:val="0"/>
              <w:adjustRightInd w:val="0"/>
              <w:jc w:val="center"/>
              <w:rPr>
                <w:rFonts w:ascii="Times New Roman" w:hAnsi="Times New Roman" w:cs="Times New Roman"/>
                <w:sz w:val="20"/>
                <w:szCs w:val="20"/>
              </w:rPr>
            </w:pPr>
          </w:p>
          <w:p w14:paraId="5BD67C18" w14:textId="77777777" w:rsidR="007A7776" w:rsidRDefault="007A7776" w:rsidP="00AE05E0">
            <w:pPr>
              <w:autoSpaceDE w:val="0"/>
              <w:autoSpaceDN w:val="0"/>
              <w:adjustRightInd w:val="0"/>
              <w:jc w:val="center"/>
              <w:rPr>
                <w:rFonts w:ascii="Times New Roman" w:hAnsi="Times New Roman" w:cs="Times New Roman"/>
                <w:sz w:val="20"/>
                <w:szCs w:val="20"/>
              </w:rPr>
            </w:pPr>
          </w:p>
          <w:p w14:paraId="5299F93E" w14:textId="00872657"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sz w:val="20"/>
                <w:szCs w:val="20"/>
              </w:rPr>
              <w:t>N</w:t>
            </w:r>
            <w:r w:rsidRPr="00AE05E0">
              <w:rPr>
                <w:rFonts w:ascii="Times New Roman" w:hAnsi="Times New Roman" w:cs="Times New Roman"/>
                <w:sz w:val="20"/>
                <w:szCs w:val="20"/>
                <w:vertAlign w:val="subscript"/>
              </w:rPr>
              <w:t>1</w:t>
            </w:r>
          </w:p>
        </w:tc>
        <w:tc>
          <w:tcPr>
            <w:tcW w:w="1556" w:type="dxa"/>
          </w:tcPr>
          <w:p w14:paraId="16BF017D"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77FBA593" w14:textId="38A8CFC8"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N</w:t>
            </w:r>
          </w:p>
        </w:tc>
        <w:tc>
          <w:tcPr>
            <w:tcW w:w="1557" w:type="dxa"/>
          </w:tcPr>
          <w:p w14:paraId="648DBB6B"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0C0BE161" w14:textId="123F333D"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Minimum</w:t>
            </w:r>
          </w:p>
        </w:tc>
        <w:tc>
          <w:tcPr>
            <w:tcW w:w="1557" w:type="dxa"/>
          </w:tcPr>
          <w:p w14:paraId="3D1B78A8"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3ED20C26" w14:textId="08E45932"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Maximum</w:t>
            </w:r>
          </w:p>
        </w:tc>
        <w:tc>
          <w:tcPr>
            <w:tcW w:w="1557" w:type="dxa"/>
          </w:tcPr>
          <w:p w14:paraId="680DDB44"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1B28D357" w14:textId="7A74B53E"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Mean</w:t>
            </w:r>
          </w:p>
        </w:tc>
        <w:tc>
          <w:tcPr>
            <w:tcW w:w="1557" w:type="dxa"/>
          </w:tcPr>
          <w:p w14:paraId="1D245D70" w14:textId="77777777" w:rsidR="007A7776" w:rsidRDefault="007A7776" w:rsidP="00AE05E0">
            <w:pPr>
              <w:autoSpaceDE w:val="0"/>
              <w:autoSpaceDN w:val="0"/>
              <w:adjustRightInd w:val="0"/>
              <w:jc w:val="center"/>
              <w:rPr>
                <w:rFonts w:ascii="Times New Roman" w:hAnsi="Times New Roman" w:cs="Times New Roman"/>
                <w:b/>
                <w:bCs/>
                <w:sz w:val="20"/>
                <w:szCs w:val="20"/>
              </w:rPr>
            </w:pPr>
          </w:p>
          <w:p w14:paraId="084079AA" w14:textId="0FC2596B" w:rsidR="007A7776" w:rsidRDefault="007A7776" w:rsidP="00AE05E0">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Std. Deviation</w:t>
            </w:r>
          </w:p>
        </w:tc>
      </w:tr>
      <w:tr w:rsidR="007A7776" w14:paraId="351743AF" w14:textId="77777777" w:rsidTr="00286E26">
        <w:trPr>
          <w:trHeight w:val="464"/>
          <w:jc w:val="center"/>
        </w:trPr>
        <w:tc>
          <w:tcPr>
            <w:tcW w:w="1556" w:type="dxa"/>
            <w:vMerge/>
          </w:tcPr>
          <w:p w14:paraId="7E28C2DF" w14:textId="5180905E" w:rsidR="007A7776" w:rsidRPr="00AE05E0" w:rsidRDefault="007A7776" w:rsidP="00AE05E0">
            <w:pPr>
              <w:autoSpaceDE w:val="0"/>
              <w:autoSpaceDN w:val="0"/>
              <w:adjustRightInd w:val="0"/>
              <w:jc w:val="center"/>
              <w:rPr>
                <w:rFonts w:ascii="Times New Roman" w:hAnsi="Times New Roman" w:cs="Times New Roman"/>
                <w:sz w:val="20"/>
                <w:szCs w:val="20"/>
              </w:rPr>
            </w:pPr>
          </w:p>
        </w:tc>
        <w:tc>
          <w:tcPr>
            <w:tcW w:w="1556" w:type="dxa"/>
          </w:tcPr>
          <w:p w14:paraId="67BD98E8" w14:textId="77777777" w:rsidR="007A7776" w:rsidRPr="00AE05E0" w:rsidRDefault="007A7776" w:rsidP="00AE05E0">
            <w:pPr>
              <w:autoSpaceDE w:val="0"/>
              <w:autoSpaceDN w:val="0"/>
              <w:adjustRightInd w:val="0"/>
              <w:jc w:val="center"/>
              <w:rPr>
                <w:rFonts w:ascii="Times New Roman" w:hAnsi="Times New Roman" w:cs="Times New Roman"/>
                <w:sz w:val="20"/>
                <w:szCs w:val="20"/>
              </w:rPr>
            </w:pPr>
          </w:p>
          <w:p w14:paraId="7CC8D267" w14:textId="4A44B496" w:rsidR="007A7776" w:rsidRPr="00AE05E0" w:rsidRDefault="007A7776"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126</w:t>
            </w:r>
          </w:p>
        </w:tc>
        <w:tc>
          <w:tcPr>
            <w:tcW w:w="1557" w:type="dxa"/>
          </w:tcPr>
          <w:p w14:paraId="41038BB0" w14:textId="77777777" w:rsidR="007A7776" w:rsidRPr="00AE05E0" w:rsidRDefault="007A7776" w:rsidP="00AE05E0">
            <w:pPr>
              <w:autoSpaceDE w:val="0"/>
              <w:autoSpaceDN w:val="0"/>
              <w:adjustRightInd w:val="0"/>
              <w:jc w:val="center"/>
              <w:rPr>
                <w:rFonts w:ascii="Times New Roman" w:hAnsi="Times New Roman" w:cs="Times New Roman"/>
                <w:sz w:val="20"/>
                <w:szCs w:val="20"/>
              </w:rPr>
            </w:pPr>
          </w:p>
          <w:p w14:paraId="3F3CC11D" w14:textId="637600A4" w:rsidR="007A7776" w:rsidRPr="00AE05E0" w:rsidRDefault="007A7776"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10.00</w:t>
            </w:r>
          </w:p>
        </w:tc>
        <w:tc>
          <w:tcPr>
            <w:tcW w:w="1557" w:type="dxa"/>
          </w:tcPr>
          <w:p w14:paraId="2A4190B7" w14:textId="77777777" w:rsidR="007A7776" w:rsidRPr="00AE05E0" w:rsidRDefault="007A7776" w:rsidP="00AE05E0">
            <w:pPr>
              <w:autoSpaceDE w:val="0"/>
              <w:autoSpaceDN w:val="0"/>
              <w:adjustRightInd w:val="0"/>
              <w:jc w:val="center"/>
              <w:rPr>
                <w:rFonts w:ascii="Times New Roman" w:hAnsi="Times New Roman" w:cs="Times New Roman"/>
                <w:sz w:val="20"/>
                <w:szCs w:val="20"/>
              </w:rPr>
            </w:pPr>
          </w:p>
          <w:p w14:paraId="18C94D94" w14:textId="03DF56D3" w:rsidR="007A7776" w:rsidRPr="00AE05E0" w:rsidRDefault="007A7776"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100.00</w:t>
            </w:r>
          </w:p>
        </w:tc>
        <w:tc>
          <w:tcPr>
            <w:tcW w:w="1557" w:type="dxa"/>
          </w:tcPr>
          <w:p w14:paraId="284F2049" w14:textId="77777777" w:rsidR="007A7776" w:rsidRDefault="007A7776" w:rsidP="00AE05E0">
            <w:pPr>
              <w:autoSpaceDE w:val="0"/>
              <w:autoSpaceDN w:val="0"/>
              <w:adjustRightInd w:val="0"/>
              <w:jc w:val="center"/>
              <w:rPr>
                <w:rFonts w:ascii="Times New Roman" w:hAnsi="Times New Roman" w:cs="Times New Roman"/>
                <w:sz w:val="20"/>
                <w:szCs w:val="20"/>
              </w:rPr>
            </w:pPr>
          </w:p>
          <w:p w14:paraId="7DB1EAA6" w14:textId="1D7EE620" w:rsidR="007A7776" w:rsidRPr="00AE05E0" w:rsidRDefault="007A7776"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74.6667</w:t>
            </w:r>
          </w:p>
        </w:tc>
        <w:tc>
          <w:tcPr>
            <w:tcW w:w="1557" w:type="dxa"/>
          </w:tcPr>
          <w:p w14:paraId="183DB543" w14:textId="77777777" w:rsidR="007A7776" w:rsidRDefault="007A7776" w:rsidP="00AE05E0">
            <w:pPr>
              <w:autoSpaceDE w:val="0"/>
              <w:autoSpaceDN w:val="0"/>
              <w:adjustRightInd w:val="0"/>
              <w:jc w:val="center"/>
              <w:rPr>
                <w:rFonts w:ascii="Times New Roman" w:hAnsi="Times New Roman" w:cs="Times New Roman"/>
                <w:sz w:val="20"/>
                <w:szCs w:val="20"/>
              </w:rPr>
            </w:pPr>
          </w:p>
          <w:p w14:paraId="2D83D1E0" w14:textId="32B30118" w:rsidR="007A7776" w:rsidRPr="00AE05E0" w:rsidRDefault="007A7776"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25.42912</w:t>
            </w:r>
          </w:p>
        </w:tc>
      </w:tr>
      <w:tr w:rsidR="00286E26" w14:paraId="7CCC4DFC" w14:textId="77777777" w:rsidTr="00286E26">
        <w:trPr>
          <w:trHeight w:val="464"/>
          <w:jc w:val="center"/>
        </w:trPr>
        <w:tc>
          <w:tcPr>
            <w:tcW w:w="1556" w:type="dxa"/>
          </w:tcPr>
          <w:p w14:paraId="75A5B60D" w14:textId="77777777" w:rsidR="00AE05E0" w:rsidRDefault="00AE05E0" w:rsidP="00AE05E0">
            <w:pPr>
              <w:autoSpaceDE w:val="0"/>
              <w:autoSpaceDN w:val="0"/>
              <w:adjustRightInd w:val="0"/>
              <w:jc w:val="center"/>
              <w:rPr>
                <w:rFonts w:ascii="Times New Roman" w:hAnsi="Times New Roman" w:cs="Times New Roman"/>
                <w:sz w:val="20"/>
                <w:szCs w:val="20"/>
              </w:rPr>
            </w:pPr>
          </w:p>
          <w:p w14:paraId="03A96BC2" w14:textId="1597A51B" w:rsidR="00286E26" w:rsidRDefault="00AE05E0" w:rsidP="00AE05E0">
            <w:pPr>
              <w:autoSpaceDE w:val="0"/>
              <w:autoSpaceDN w:val="0"/>
              <w:adjustRightInd w:val="0"/>
              <w:jc w:val="center"/>
              <w:rPr>
                <w:rFonts w:ascii="Times New Roman" w:hAnsi="Times New Roman" w:cs="Times New Roman"/>
                <w:sz w:val="20"/>
                <w:szCs w:val="20"/>
                <w:vertAlign w:val="subscript"/>
              </w:rPr>
            </w:pPr>
            <w:r w:rsidRPr="00AE05E0">
              <w:rPr>
                <w:rFonts w:ascii="Times New Roman" w:hAnsi="Times New Roman" w:cs="Times New Roman"/>
                <w:sz w:val="20"/>
                <w:szCs w:val="20"/>
              </w:rPr>
              <w:t>N</w:t>
            </w:r>
            <w:r w:rsidRPr="00AE05E0">
              <w:rPr>
                <w:rFonts w:ascii="Times New Roman" w:hAnsi="Times New Roman" w:cs="Times New Roman"/>
                <w:sz w:val="20"/>
                <w:szCs w:val="20"/>
                <w:vertAlign w:val="subscript"/>
              </w:rPr>
              <w:t>2</w:t>
            </w:r>
          </w:p>
          <w:p w14:paraId="588C6B16" w14:textId="23A81E91" w:rsidR="00AE05E0" w:rsidRPr="00AE05E0" w:rsidRDefault="00AE05E0" w:rsidP="00AE05E0">
            <w:pPr>
              <w:autoSpaceDE w:val="0"/>
              <w:autoSpaceDN w:val="0"/>
              <w:adjustRightInd w:val="0"/>
              <w:jc w:val="center"/>
              <w:rPr>
                <w:rFonts w:ascii="Times New Roman" w:hAnsi="Times New Roman" w:cs="Times New Roman"/>
                <w:sz w:val="20"/>
                <w:szCs w:val="20"/>
              </w:rPr>
            </w:pPr>
          </w:p>
        </w:tc>
        <w:tc>
          <w:tcPr>
            <w:tcW w:w="1556" w:type="dxa"/>
          </w:tcPr>
          <w:p w14:paraId="6FC95BD3" w14:textId="77777777" w:rsidR="00AE05E0" w:rsidRPr="00AE05E0" w:rsidRDefault="00AE05E0" w:rsidP="00AE05E0">
            <w:pPr>
              <w:autoSpaceDE w:val="0"/>
              <w:autoSpaceDN w:val="0"/>
              <w:adjustRightInd w:val="0"/>
              <w:jc w:val="center"/>
              <w:rPr>
                <w:rFonts w:ascii="Times New Roman" w:hAnsi="Times New Roman" w:cs="Times New Roman"/>
                <w:sz w:val="20"/>
                <w:szCs w:val="20"/>
              </w:rPr>
            </w:pPr>
          </w:p>
          <w:p w14:paraId="1DF51505" w14:textId="5A2C47BF" w:rsidR="00286E26" w:rsidRPr="00AE05E0" w:rsidRDefault="00AE05E0"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126</w:t>
            </w:r>
          </w:p>
        </w:tc>
        <w:tc>
          <w:tcPr>
            <w:tcW w:w="1557" w:type="dxa"/>
          </w:tcPr>
          <w:p w14:paraId="782FF925" w14:textId="77777777" w:rsidR="00AE05E0" w:rsidRPr="00AE05E0" w:rsidRDefault="00AE05E0" w:rsidP="00AE05E0">
            <w:pPr>
              <w:autoSpaceDE w:val="0"/>
              <w:autoSpaceDN w:val="0"/>
              <w:adjustRightInd w:val="0"/>
              <w:jc w:val="center"/>
              <w:rPr>
                <w:rFonts w:ascii="Times New Roman" w:hAnsi="Times New Roman" w:cs="Times New Roman"/>
                <w:sz w:val="20"/>
                <w:szCs w:val="20"/>
              </w:rPr>
            </w:pPr>
          </w:p>
          <w:p w14:paraId="5E34151D" w14:textId="0EEEBF5D" w:rsidR="00286E26" w:rsidRPr="00AE05E0" w:rsidRDefault="00AE05E0"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0.00</w:t>
            </w:r>
          </w:p>
        </w:tc>
        <w:tc>
          <w:tcPr>
            <w:tcW w:w="1557" w:type="dxa"/>
          </w:tcPr>
          <w:p w14:paraId="11D46DA4" w14:textId="77777777" w:rsidR="00AE05E0" w:rsidRDefault="00AE05E0" w:rsidP="00AE05E0">
            <w:pPr>
              <w:autoSpaceDE w:val="0"/>
              <w:autoSpaceDN w:val="0"/>
              <w:adjustRightInd w:val="0"/>
              <w:jc w:val="center"/>
              <w:rPr>
                <w:rFonts w:ascii="Times New Roman" w:hAnsi="Times New Roman" w:cs="Times New Roman"/>
                <w:sz w:val="20"/>
                <w:szCs w:val="20"/>
              </w:rPr>
            </w:pPr>
          </w:p>
          <w:p w14:paraId="0F1AF180" w14:textId="1B045F9B" w:rsidR="00286E26" w:rsidRPr="00AE05E0" w:rsidRDefault="00AE05E0"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90.00</w:t>
            </w:r>
          </w:p>
        </w:tc>
        <w:tc>
          <w:tcPr>
            <w:tcW w:w="1557" w:type="dxa"/>
          </w:tcPr>
          <w:p w14:paraId="6761EC4C" w14:textId="77777777" w:rsidR="00AE05E0" w:rsidRDefault="00AE05E0" w:rsidP="00AE05E0">
            <w:pPr>
              <w:autoSpaceDE w:val="0"/>
              <w:autoSpaceDN w:val="0"/>
              <w:adjustRightInd w:val="0"/>
              <w:jc w:val="center"/>
              <w:rPr>
                <w:rFonts w:ascii="Times New Roman" w:hAnsi="Times New Roman" w:cs="Times New Roman"/>
                <w:sz w:val="20"/>
                <w:szCs w:val="20"/>
              </w:rPr>
            </w:pPr>
          </w:p>
          <w:p w14:paraId="17AF6790" w14:textId="7E964F02" w:rsidR="00286E26" w:rsidRPr="00AE05E0" w:rsidRDefault="00AE05E0"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25.3333</w:t>
            </w:r>
          </w:p>
        </w:tc>
        <w:tc>
          <w:tcPr>
            <w:tcW w:w="1557" w:type="dxa"/>
          </w:tcPr>
          <w:p w14:paraId="74BEE787" w14:textId="77777777" w:rsidR="00AE05E0" w:rsidRDefault="00AE05E0" w:rsidP="00AE05E0">
            <w:pPr>
              <w:autoSpaceDE w:val="0"/>
              <w:autoSpaceDN w:val="0"/>
              <w:adjustRightInd w:val="0"/>
              <w:jc w:val="center"/>
              <w:rPr>
                <w:rFonts w:ascii="Times New Roman" w:hAnsi="Times New Roman" w:cs="Times New Roman"/>
                <w:sz w:val="20"/>
                <w:szCs w:val="20"/>
              </w:rPr>
            </w:pPr>
          </w:p>
          <w:p w14:paraId="3F24AB4C" w14:textId="125F8004" w:rsidR="00286E26" w:rsidRPr="00AE05E0" w:rsidRDefault="00AE05E0" w:rsidP="00AE05E0">
            <w:pPr>
              <w:autoSpaceDE w:val="0"/>
              <w:autoSpaceDN w:val="0"/>
              <w:adjustRightInd w:val="0"/>
              <w:jc w:val="center"/>
              <w:rPr>
                <w:rFonts w:ascii="Times New Roman" w:hAnsi="Times New Roman" w:cs="Times New Roman"/>
                <w:sz w:val="20"/>
                <w:szCs w:val="20"/>
              </w:rPr>
            </w:pPr>
            <w:r w:rsidRPr="00AE05E0">
              <w:rPr>
                <w:rFonts w:ascii="Times New Roman" w:hAnsi="Times New Roman" w:cs="Times New Roman"/>
                <w:sz w:val="20"/>
                <w:szCs w:val="20"/>
              </w:rPr>
              <w:t>25.42912</w:t>
            </w:r>
          </w:p>
        </w:tc>
      </w:tr>
    </w:tbl>
    <w:p w14:paraId="586B2099" w14:textId="2646C872" w:rsidR="00286E26" w:rsidRDefault="0097719C" w:rsidP="00286E26">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b/>
        <w:t xml:space="preserve"> (Source: </w:t>
      </w:r>
      <w:r>
        <w:rPr>
          <w:rFonts w:ascii="Times New Roman" w:hAnsi="Times New Roman" w:cs="Times New Roman"/>
          <w:sz w:val="20"/>
          <w:szCs w:val="20"/>
        </w:rPr>
        <w:t>Primary Data, Author’s Compilation in SPSS 20)</w:t>
      </w:r>
    </w:p>
    <w:p w14:paraId="04847A1C" w14:textId="77777777" w:rsidR="0097719C" w:rsidRPr="0097719C" w:rsidRDefault="0097719C" w:rsidP="00286E26">
      <w:pPr>
        <w:autoSpaceDE w:val="0"/>
        <w:autoSpaceDN w:val="0"/>
        <w:adjustRightInd w:val="0"/>
        <w:rPr>
          <w:rFonts w:ascii="Times New Roman" w:hAnsi="Times New Roman" w:cs="Times New Roman"/>
          <w:sz w:val="20"/>
          <w:szCs w:val="20"/>
        </w:rPr>
      </w:pPr>
    </w:p>
    <w:p w14:paraId="580D8BEE" w14:textId="50817B35" w:rsidR="00AE05E0" w:rsidRDefault="00AE05E0" w:rsidP="00AE05E0">
      <w:pPr>
        <w:autoSpaceDE w:val="0"/>
        <w:autoSpaceDN w:val="0"/>
        <w:adjustRightInd w:val="0"/>
        <w:rPr>
          <w:rFonts w:ascii="Times New Roman" w:hAnsi="Times New Roman" w:cs="Times New Roman"/>
          <w:color w:val="000000"/>
          <w:sz w:val="20"/>
          <w:szCs w:val="20"/>
        </w:rPr>
      </w:pPr>
      <w:r>
        <w:rPr>
          <w:rFonts w:ascii="Times New Roman" w:hAnsi="Times New Roman" w:cs="Times New Roman"/>
          <w:b/>
          <w:bCs/>
          <w:sz w:val="20"/>
          <w:szCs w:val="20"/>
        </w:rPr>
        <w:tab/>
        <w:t xml:space="preserve"> </w:t>
      </w:r>
      <w:r w:rsidRPr="00AE05E0">
        <w:rPr>
          <w:rFonts w:ascii="Times New Roman" w:hAnsi="Times New Roman" w:cs="Times New Roman"/>
          <w:color w:val="000000"/>
          <w:sz w:val="20"/>
          <w:szCs w:val="20"/>
        </w:rPr>
        <w:t>Where, N</w:t>
      </w:r>
      <w:r w:rsidRPr="00AE05E0">
        <w:rPr>
          <w:rFonts w:ascii="Times New Roman" w:hAnsi="Times New Roman" w:cs="Times New Roman"/>
          <w:color w:val="000000"/>
          <w:sz w:val="20"/>
          <w:szCs w:val="20"/>
          <w:vertAlign w:val="subscript"/>
        </w:rPr>
        <w:t>1</w:t>
      </w:r>
      <w:r w:rsidRPr="00AE05E0">
        <w:rPr>
          <w:rFonts w:ascii="Times New Roman" w:hAnsi="Times New Roman" w:cs="Times New Roman"/>
          <w:color w:val="000000"/>
          <w:sz w:val="20"/>
          <w:szCs w:val="20"/>
        </w:rPr>
        <w:t xml:space="preserve"> = % of investment risk free instruments; and </w:t>
      </w:r>
    </w:p>
    <w:p w14:paraId="12608E07" w14:textId="77777777" w:rsidR="00212309" w:rsidRPr="00AE05E0" w:rsidRDefault="00212309" w:rsidP="00AE05E0">
      <w:pPr>
        <w:autoSpaceDE w:val="0"/>
        <w:autoSpaceDN w:val="0"/>
        <w:adjustRightInd w:val="0"/>
        <w:rPr>
          <w:rFonts w:ascii="Times New Roman" w:hAnsi="Times New Roman" w:cs="Times New Roman"/>
          <w:color w:val="000000"/>
          <w:sz w:val="20"/>
          <w:szCs w:val="20"/>
        </w:rPr>
      </w:pPr>
    </w:p>
    <w:p w14:paraId="1ABE03AD" w14:textId="4ACCA59E" w:rsidR="00AE05E0" w:rsidRDefault="00AE05E0" w:rsidP="00AE05E0">
      <w:pPr>
        <w:autoSpaceDE w:val="0"/>
        <w:autoSpaceDN w:val="0"/>
        <w:adjustRightInd w:val="0"/>
        <w:rPr>
          <w:rFonts w:ascii="Times New Roman" w:hAnsi="Times New Roman" w:cs="Times New Roman"/>
          <w:color w:val="000000"/>
          <w:sz w:val="20"/>
          <w:szCs w:val="20"/>
        </w:rPr>
      </w:pPr>
      <w:r w:rsidRPr="00AE05E0">
        <w:rPr>
          <w:rFonts w:ascii="Times New Roman" w:hAnsi="Times New Roman" w:cs="Times New Roman"/>
          <w:color w:val="000000"/>
          <w:sz w:val="20"/>
          <w:szCs w:val="20"/>
        </w:rPr>
        <w:t>N</w:t>
      </w:r>
      <w:r w:rsidRPr="00AE05E0">
        <w:rPr>
          <w:rFonts w:ascii="Times New Roman" w:hAnsi="Times New Roman" w:cs="Times New Roman"/>
          <w:color w:val="000000"/>
          <w:sz w:val="20"/>
          <w:szCs w:val="20"/>
          <w:vertAlign w:val="subscript"/>
        </w:rPr>
        <w:t>2</w:t>
      </w:r>
      <w:r w:rsidRPr="00AE05E0">
        <w:rPr>
          <w:rFonts w:ascii="Times New Roman" w:hAnsi="Times New Roman" w:cs="Times New Roman"/>
          <w:color w:val="000000"/>
          <w:sz w:val="20"/>
          <w:szCs w:val="20"/>
        </w:rPr>
        <w:t xml:space="preserve"> = % of investment risky instruments</w:t>
      </w:r>
    </w:p>
    <w:p w14:paraId="27FA8307" w14:textId="77777777" w:rsidR="00212309" w:rsidRPr="00AE05E0" w:rsidRDefault="00212309" w:rsidP="00AE05E0">
      <w:pPr>
        <w:autoSpaceDE w:val="0"/>
        <w:autoSpaceDN w:val="0"/>
        <w:adjustRightInd w:val="0"/>
        <w:rPr>
          <w:rFonts w:ascii="Times New Roman" w:hAnsi="Times New Roman" w:cs="Times New Roman"/>
          <w:color w:val="000000"/>
          <w:sz w:val="20"/>
          <w:szCs w:val="20"/>
        </w:rPr>
      </w:pPr>
    </w:p>
    <w:p w14:paraId="069FD200" w14:textId="47CE74BC" w:rsidR="00AE05E0" w:rsidRDefault="00AE05E0" w:rsidP="00AE05E0">
      <w:pPr>
        <w:autoSpaceDE w:val="0"/>
        <w:autoSpaceDN w:val="0"/>
        <w:adjustRightInd w:val="0"/>
        <w:rPr>
          <w:rFonts w:ascii="Times New Roman" w:hAnsi="Times New Roman" w:cs="Times New Roman"/>
          <w:color w:val="000000"/>
          <w:sz w:val="20"/>
          <w:szCs w:val="20"/>
        </w:rPr>
      </w:pPr>
      <w:r w:rsidRPr="00AE05E0">
        <w:rPr>
          <w:rFonts w:ascii="Times New Roman" w:hAnsi="Times New Roman" w:cs="Times New Roman"/>
          <w:color w:val="000000"/>
          <w:sz w:val="20"/>
          <w:szCs w:val="20"/>
        </w:rPr>
        <w:t xml:space="preserve">Observations (from table 2 above and the data collected): </w:t>
      </w:r>
    </w:p>
    <w:p w14:paraId="56613BD1" w14:textId="77777777" w:rsidR="007A7776" w:rsidRPr="00AE05E0" w:rsidRDefault="007A7776" w:rsidP="00AE05E0">
      <w:pPr>
        <w:autoSpaceDE w:val="0"/>
        <w:autoSpaceDN w:val="0"/>
        <w:adjustRightInd w:val="0"/>
        <w:rPr>
          <w:rFonts w:ascii="Times New Roman" w:hAnsi="Times New Roman" w:cs="Times New Roman"/>
          <w:color w:val="000000"/>
          <w:sz w:val="20"/>
          <w:szCs w:val="20"/>
        </w:rPr>
      </w:pPr>
    </w:p>
    <w:p w14:paraId="3C480EC9" w14:textId="196899F7" w:rsidR="00AE05E0" w:rsidRDefault="00AE05E0" w:rsidP="00212309">
      <w:pPr>
        <w:pStyle w:val="ListParagraph"/>
        <w:numPr>
          <w:ilvl w:val="0"/>
          <w:numId w:val="7"/>
        </w:numPr>
        <w:autoSpaceDE w:val="0"/>
        <w:autoSpaceDN w:val="0"/>
        <w:adjustRightInd w:val="0"/>
        <w:rPr>
          <w:rFonts w:ascii="Times New Roman" w:hAnsi="Times New Roman" w:cs="Times New Roman"/>
          <w:color w:val="000000"/>
          <w:sz w:val="20"/>
          <w:szCs w:val="20"/>
        </w:rPr>
      </w:pPr>
      <w:r w:rsidRPr="00AE05E0">
        <w:rPr>
          <w:rFonts w:ascii="Times New Roman" w:hAnsi="Times New Roman" w:cs="Times New Roman"/>
          <w:color w:val="000000"/>
          <w:sz w:val="20"/>
          <w:szCs w:val="20"/>
        </w:rPr>
        <w:t>74.67 % of the total investments are routed to riskless instruments and 25.33 % in risky instruments.</w:t>
      </w:r>
    </w:p>
    <w:p w14:paraId="5CE756EB" w14:textId="77777777" w:rsidR="00212309" w:rsidRPr="00AE05E0" w:rsidRDefault="00212309" w:rsidP="00212309">
      <w:pPr>
        <w:pStyle w:val="ListParagraph"/>
        <w:autoSpaceDE w:val="0"/>
        <w:autoSpaceDN w:val="0"/>
        <w:adjustRightInd w:val="0"/>
        <w:ind w:left="360"/>
        <w:rPr>
          <w:rFonts w:ascii="Times New Roman" w:hAnsi="Times New Roman" w:cs="Times New Roman"/>
          <w:color w:val="000000"/>
          <w:sz w:val="20"/>
          <w:szCs w:val="20"/>
        </w:rPr>
      </w:pPr>
    </w:p>
    <w:p w14:paraId="336C051E" w14:textId="31FE6C6F" w:rsidR="00AE05E0" w:rsidRDefault="00AE05E0" w:rsidP="00212309">
      <w:pPr>
        <w:pStyle w:val="ListParagraph"/>
        <w:numPr>
          <w:ilvl w:val="0"/>
          <w:numId w:val="7"/>
        </w:numPr>
        <w:autoSpaceDE w:val="0"/>
        <w:autoSpaceDN w:val="0"/>
        <w:adjustRightInd w:val="0"/>
        <w:spacing w:after="167"/>
        <w:rPr>
          <w:rFonts w:ascii="Times New Roman" w:hAnsi="Times New Roman" w:cs="Times New Roman"/>
          <w:color w:val="000000"/>
          <w:sz w:val="20"/>
          <w:szCs w:val="20"/>
        </w:rPr>
      </w:pPr>
      <w:r w:rsidRPr="00AE05E0">
        <w:rPr>
          <w:rFonts w:ascii="Times New Roman" w:hAnsi="Times New Roman" w:cs="Times New Roman"/>
          <w:color w:val="000000"/>
          <w:sz w:val="20"/>
          <w:szCs w:val="20"/>
        </w:rPr>
        <w:t xml:space="preserve">34 out of 126 respondents (around 30%) invest only in risk-free avenues. </w:t>
      </w:r>
    </w:p>
    <w:p w14:paraId="7D8AEDA1" w14:textId="77777777" w:rsidR="00212309" w:rsidRPr="00212309" w:rsidRDefault="00212309" w:rsidP="00212309">
      <w:pPr>
        <w:pStyle w:val="ListParagraph"/>
        <w:rPr>
          <w:rFonts w:ascii="Times New Roman" w:hAnsi="Times New Roman" w:cs="Times New Roman"/>
          <w:color w:val="000000"/>
          <w:sz w:val="20"/>
          <w:szCs w:val="20"/>
        </w:rPr>
      </w:pPr>
    </w:p>
    <w:p w14:paraId="0892A9DB" w14:textId="77777777" w:rsidR="00212309" w:rsidRPr="00AE05E0" w:rsidRDefault="00212309" w:rsidP="00212309">
      <w:pPr>
        <w:pStyle w:val="ListParagraph"/>
        <w:autoSpaceDE w:val="0"/>
        <w:autoSpaceDN w:val="0"/>
        <w:adjustRightInd w:val="0"/>
        <w:spacing w:after="167"/>
        <w:ind w:left="360"/>
        <w:rPr>
          <w:rFonts w:ascii="Times New Roman" w:hAnsi="Times New Roman" w:cs="Times New Roman"/>
          <w:color w:val="000000"/>
          <w:sz w:val="20"/>
          <w:szCs w:val="20"/>
        </w:rPr>
      </w:pPr>
    </w:p>
    <w:p w14:paraId="520D3068" w14:textId="0CEABD10" w:rsidR="00AE05E0" w:rsidRDefault="00AE05E0" w:rsidP="00212309">
      <w:pPr>
        <w:pStyle w:val="ListParagraph"/>
        <w:numPr>
          <w:ilvl w:val="0"/>
          <w:numId w:val="7"/>
        </w:numPr>
        <w:autoSpaceDE w:val="0"/>
        <w:autoSpaceDN w:val="0"/>
        <w:adjustRightInd w:val="0"/>
        <w:spacing w:after="167"/>
        <w:rPr>
          <w:rFonts w:ascii="Times New Roman" w:hAnsi="Times New Roman" w:cs="Times New Roman"/>
          <w:color w:val="000000"/>
          <w:sz w:val="20"/>
          <w:szCs w:val="20"/>
        </w:rPr>
      </w:pPr>
      <w:r w:rsidRPr="00AE05E0">
        <w:rPr>
          <w:rFonts w:ascii="Times New Roman" w:hAnsi="Times New Roman" w:cs="Times New Roman"/>
          <w:color w:val="000000"/>
          <w:sz w:val="20"/>
          <w:szCs w:val="20"/>
        </w:rPr>
        <w:t xml:space="preserve">26 out of 126 respondents (around 21%) invest mostly (i.e., 50% of more of their total investments) in risky avenues. </w:t>
      </w:r>
    </w:p>
    <w:p w14:paraId="2463B9AC" w14:textId="77777777" w:rsidR="00212309" w:rsidRPr="00AE05E0" w:rsidRDefault="00212309" w:rsidP="00212309">
      <w:pPr>
        <w:pStyle w:val="ListParagraph"/>
        <w:autoSpaceDE w:val="0"/>
        <w:autoSpaceDN w:val="0"/>
        <w:adjustRightInd w:val="0"/>
        <w:spacing w:after="167"/>
        <w:ind w:left="360"/>
        <w:rPr>
          <w:rFonts w:ascii="Times New Roman" w:hAnsi="Times New Roman" w:cs="Times New Roman"/>
          <w:color w:val="000000"/>
          <w:sz w:val="20"/>
          <w:szCs w:val="20"/>
        </w:rPr>
      </w:pPr>
    </w:p>
    <w:p w14:paraId="5F06DDD2" w14:textId="20D6D16E" w:rsidR="00AE05E0" w:rsidRDefault="00AE05E0" w:rsidP="00212309">
      <w:pPr>
        <w:pStyle w:val="ListParagraph"/>
        <w:numPr>
          <w:ilvl w:val="0"/>
          <w:numId w:val="7"/>
        </w:numPr>
        <w:autoSpaceDE w:val="0"/>
        <w:autoSpaceDN w:val="0"/>
        <w:adjustRightInd w:val="0"/>
        <w:spacing w:after="167"/>
        <w:rPr>
          <w:rFonts w:ascii="Times New Roman" w:hAnsi="Times New Roman" w:cs="Times New Roman"/>
          <w:color w:val="000000"/>
          <w:sz w:val="20"/>
          <w:szCs w:val="20"/>
        </w:rPr>
      </w:pPr>
      <w:r w:rsidRPr="00AE05E0">
        <w:rPr>
          <w:rFonts w:ascii="Times New Roman" w:hAnsi="Times New Roman" w:cs="Times New Roman"/>
          <w:color w:val="000000"/>
          <w:sz w:val="20"/>
          <w:szCs w:val="20"/>
        </w:rPr>
        <w:t xml:space="preserve">Most of the selected investors opined that they invest in equity mostly due to its assured returns even in worst situation. </w:t>
      </w:r>
    </w:p>
    <w:p w14:paraId="1B9FCFBB" w14:textId="77777777" w:rsidR="00212309" w:rsidRPr="00212309" w:rsidRDefault="00212309" w:rsidP="00212309">
      <w:pPr>
        <w:pStyle w:val="ListParagraph"/>
        <w:rPr>
          <w:rFonts w:ascii="Times New Roman" w:hAnsi="Times New Roman" w:cs="Times New Roman"/>
          <w:color w:val="000000"/>
          <w:sz w:val="20"/>
          <w:szCs w:val="20"/>
        </w:rPr>
      </w:pPr>
    </w:p>
    <w:p w14:paraId="6C2D298C" w14:textId="77777777" w:rsidR="00212309" w:rsidRPr="00AE05E0" w:rsidRDefault="00212309" w:rsidP="00212309">
      <w:pPr>
        <w:pStyle w:val="ListParagraph"/>
        <w:autoSpaceDE w:val="0"/>
        <w:autoSpaceDN w:val="0"/>
        <w:adjustRightInd w:val="0"/>
        <w:spacing w:after="167"/>
        <w:ind w:left="360"/>
        <w:rPr>
          <w:rFonts w:ascii="Times New Roman" w:hAnsi="Times New Roman" w:cs="Times New Roman"/>
          <w:color w:val="000000"/>
          <w:sz w:val="20"/>
          <w:szCs w:val="20"/>
        </w:rPr>
      </w:pPr>
    </w:p>
    <w:p w14:paraId="2578AB8A" w14:textId="77777777" w:rsidR="00AE05E0" w:rsidRPr="00AE05E0" w:rsidRDefault="00AE05E0" w:rsidP="00212309">
      <w:pPr>
        <w:pStyle w:val="ListParagraph"/>
        <w:numPr>
          <w:ilvl w:val="0"/>
          <w:numId w:val="7"/>
        </w:numPr>
        <w:autoSpaceDE w:val="0"/>
        <w:autoSpaceDN w:val="0"/>
        <w:adjustRightInd w:val="0"/>
        <w:rPr>
          <w:rFonts w:ascii="Times New Roman" w:hAnsi="Times New Roman" w:cs="Times New Roman"/>
          <w:color w:val="000000"/>
          <w:sz w:val="20"/>
          <w:szCs w:val="20"/>
        </w:rPr>
      </w:pPr>
      <w:r w:rsidRPr="00AE05E0">
        <w:rPr>
          <w:rFonts w:ascii="Times New Roman" w:hAnsi="Times New Roman" w:cs="Times New Roman"/>
          <w:color w:val="000000"/>
          <w:sz w:val="20"/>
          <w:szCs w:val="20"/>
        </w:rPr>
        <w:t>Most of the selected investors of risky securities opined that they invest in this route because of getting handsome return in long term.</w:t>
      </w:r>
    </w:p>
    <w:p w14:paraId="2C67A91E" w14:textId="6F339C6A" w:rsidR="00286E26" w:rsidRDefault="00286E26" w:rsidP="00AE05E0">
      <w:pPr>
        <w:autoSpaceDE w:val="0"/>
        <w:autoSpaceDN w:val="0"/>
        <w:adjustRightInd w:val="0"/>
        <w:rPr>
          <w:rFonts w:ascii="Times New Roman" w:hAnsi="Times New Roman" w:cs="Times New Roman"/>
          <w:b/>
          <w:bCs/>
          <w:sz w:val="20"/>
          <w:szCs w:val="20"/>
        </w:rPr>
      </w:pPr>
    </w:p>
    <w:p w14:paraId="4290C064" w14:textId="2EA9FF55" w:rsidR="00C1668A" w:rsidRDefault="00C1668A" w:rsidP="00C72E74">
      <w:pPr>
        <w:pStyle w:val="Default"/>
        <w:numPr>
          <w:ilvl w:val="0"/>
          <w:numId w:val="11"/>
        </w:numPr>
        <w:rPr>
          <w:b/>
          <w:bCs/>
          <w:sz w:val="20"/>
          <w:szCs w:val="20"/>
        </w:rPr>
      </w:pPr>
      <w:r>
        <w:rPr>
          <w:b/>
          <w:bCs/>
          <w:sz w:val="20"/>
          <w:szCs w:val="20"/>
        </w:rPr>
        <w:t xml:space="preserve"> </w:t>
      </w:r>
      <w:r w:rsidRPr="00C1668A">
        <w:rPr>
          <w:b/>
          <w:bCs/>
          <w:sz w:val="20"/>
          <w:szCs w:val="20"/>
        </w:rPr>
        <w:t xml:space="preserve">Proportion of investment in riskless and risky instruments, on the basis of income group of the investors: </w:t>
      </w:r>
    </w:p>
    <w:p w14:paraId="4DDB139D" w14:textId="688C3CB5" w:rsidR="00C1668A" w:rsidRDefault="00C1668A" w:rsidP="00C1668A">
      <w:pPr>
        <w:pStyle w:val="Default"/>
        <w:rPr>
          <w:b/>
          <w:bCs/>
          <w:sz w:val="20"/>
          <w:szCs w:val="20"/>
        </w:rPr>
      </w:pPr>
    </w:p>
    <w:p w14:paraId="59F37A44" w14:textId="42B5CE55" w:rsidR="0097719C" w:rsidRPr="0097719C" w:rsidRDefault="0097719C" w:rsidP="0097719C">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 xml:space="preserve"> </w:t>
      </w:r>
      <w:r w:rsidRPr="0097719C">
        <w:rPr>
          <w:rFonts w:ascii="Times New Roman" w:hAnsi="Times New Roman" w:cs="Times New Roman"/>
          <w:sz w:val="20"/>
          <w:szCs w:val="20"/>
        </w:rPr>
        <w:t>For the present study, the respondents are classified into two income groups – (</w:t>
      </w:r>
      <w:proofErr w:type="spellStart"/>
      <w:r w:rsidRPr="0097719C">
        <w:rPr>
          <w:rFonts w:ascii="Times New Roman" w:hAnsi="Times New Roman" w:cs="Times New Roman"/>
          <w:sz w:val="20"/>
          <w:szCs w:val="20"/>
        </w:rPr>
        <w:t>i</w:t>
      </w:r>
      <w:proofErr w:type="spellEnd"/>
      <w:r w:rsidRPr="0097719C">
        <w:rPr>
          <w:rFonts w:ascii="Times New Roman" w:hAnsi="Times New Roman" w:cs="Times New Roman"/>
          <w:sz w:val="20"/>
          <w:szCs w:val="20"/>
        </w:rPr>
        <w:t>) Below Rs. 7,50,000 [82 respondents]; and (ii) Rs. 7,50,000 or more [44 respondents]. Their responses regarding proportion of investments in riskless and risky instruments are summarised in table 3 below:</w:t>
      </w:r>
    </w:p>
    <w:p w14:paraId="6CA6642F" w14:textId="77777777" w:rsidR="0097719C" w:rsidRPr="00D17FC0" w:rsidRDefault="0097719C" w:rsidP="0097719C">
      <w:pPr>
        <w:autoSpaceDE w:val="0"/>
        <w:autoSpaceDN w:val="0"/>
        <w:adjustRightInd w:val="0"/>
        <w:spacing w:line="360" w:lineRule="auto"/>
        <w:rPr>
          <w:rFonts w:ascii="Times New Roman" w:hAnsi="Times New Roman" w:cs="Times New Roman"/>
          <w:sz w:val="24"/>
          <w:szCs w:val="24"/>
        </w:rPr>
      </w:pPr>
    </w:p>
    <w:p w14:paraId="465E44FA" w14:textId="0790C519" w:rsidR="0097719C" w:rsidRDefault="0097719C" w:rsidP="0097719C">
      <w:pPr>
        <w:autoSpaceDE w:val="0"/>
        <w:autoSpaceDN w:val="0"/>
        <w:adjustRightInd w:val="0"/>
        <w:jc w:val="center"/>
        <w:rPr>
          <w:rFonts w:ascii="Times New Roman" w:hAnsi="Times New Roman" w:cs="Times New Roman"/>
          <w:b/>
          <w:bCs/>
          <w:sz w:val="20"/>
          <w:szCs w:val="20"/>
        </w:rPr>
      </w:pPr>
      <w:r w:rsidRPr="0097719C">
        <w:rPr>
          <w:rFonts w:ascii="Times New Roman" w:hAnsi="Times New Roman" w:cs="Times New Roman"/>
          <w:b/>
          <w:bCs/>
          <w:sz w:val="20"/>
          <w:szCs w:val="20"/>
        </w:rPr>
        <w:t>Table 3: Descriptive Statistics of percentage of investments in riskless and risky instruments of the investors (classified on the basis of income)</w:t>
      </w:r>
    </w:p>
    <w:p w14:paraId="57E5F2EC" w14:textId="77777777" w:rsidR="0097719C" w:rsidRPr="0097719C" w:rsidRDefault="0097719C" w:rsidP="0097719C">
      <w:pPr>
        <w:autoSpaceDE w:val="0"/>
        <w:autoSpaceDN w:val="0"/>
        <w:adjustRightInd w:val="0"/>
        <w:jc w:val="center"/>
        <w:rPr>
          <w:rFonts w:ascii="Times New Roman" w:hAnsi="Times New Roman" w:cs="Times New Roman"/>
          <w:b/>
          <w:bCs/>
          <w:sz w:val="20"/>
          <w:szCs w:val="20"/>
        </w:rPr>
      </w:pPr>
    </w:p>
    <w:tbl>
      <w:tblPr>
        <w:tblStyle w:val="TableGrid"/>
        <w:tblW w:w="9598" w:type="dxa"/>
        <w:jc w:val="center"/>
        <w:tblLook w:val="04A0" w:firstRow="1" w:lastRow="0" w:firstColumn="1" w:lastColumn="0" w:noHBand="0" w:noVBand="1"/>
      </w:tblPr>
      <w:tblGrid>
        <w:gridCol w:w="1599"/>
        <w:gridCol w:w="1599"/>
        <w:gridCol w:w="1600"/>
        <w:gridCol w:w="1600"/>
        <w:gridCol w:w="1600"/>
        <w:gridCol w:w="1600"/>
      </w:tblGrid>
      <w:tr w:rsidR="0097719C" w:rsidRPr="0097719C" w14:paraId="5716CF38" w14:textId="77777777" w:rsidTr="006700DB">
        <w:trPr>
          <w:trHeight w:val="552"/>
          <w:jc w:val="center"/>
        </w:trPr>
        <w:tc>
          <w:tcPr>
            <w:tcW w:w="1599" w:type="dxa"/>
            <w:vMerge w:val="restart"/>
          </w:tcPr>
          <w:p w14:paraId="57FD5870" w14:textId="77777777" w:rsidR="0097719C" w:rsidRDefault="0097719C" w:rsidP="001F27EA">
            <w:pPr>
              <w:autoSpaceDE w:val="0"/>
              <w:autoSpaceDN w:val="0"/>
              <w:adjustRightInd w:val="0"/>
              <w:spacing w:line="360" w:lineRule="auto"/>
              <w:jc w:val="center"/>
              <w:rPr>
                <w:rFonts w:ascii="Times New Roman" w:hAnsi="Times New Roman" w:cs="Times New Roman"/>
                <w:b/>
                <w:bCs/>
                <w:color w:val="000000"/>
                <w:sz w:val="20"/>
                <w:szCs w:val="20"/>
              </w:rPr>
            </w:pPr>
            <w:bookmarkStart w:id="0" w:name="_Hlk89816846"/>
          </w:p>
          <w:p w14:paraId="7CCBE635" w14:textId="77777777" w:rsidR="006700DB" w:rsidRDefault="006700DB" w:rsidP="006700DB">
            <w:pPr>
              <w:autoSpaceDE w:val="0"/>
              <w:autoSpaceDN w:val="0"/>
              <w:adjustRightInd w:val="0"/>
              <w:rPr>
                <w:rFonts w:ascii="Times New Roman" w:hAnsi="Times New Roman" w:cs="Times New Roman"/>
                <w:b/>
                <w:bCs/>
                <w:color w:val="000000"/>
                <w:sz w:val="20"/>
                <w:szCs w:val="20"/>
              </w:rPr>
            </w:pPr>
          </w:p>
          <w:p w14:paraId="3F0EE766" w14:textId="39D007E6" w:rsidR="0097719C" w:rsidRDefault="0097719C" w:rsidP="006700DB">
            <w:pPr>
              <w:autoSpaceDE w:val="0"/>
              <w:autoSpaceDN w:val="0"/>
              <w:adjustRightInd w:val="0"/>
              <w:jc w:val="center"/>
              <w:rPr>
                <w:rFonts w:ascii="Times New Roman" w:hAnsi="Times New Roman" w:cs="Times New Roman"/>
                <w:b/>
                <w:bCs/>
                <w:color w:val="000000"/>
                <w:sz w:val="20"/>
                <w:szCs w:val="20"/>
                <w:vertAlign w:val="subscript"/>
              </w:rPr>
            </w:pPr>
            <w:r w:rsidRPr="0097719C">
              <w:rPr>
                <w:rFonts w:ascii="Times New Roman" w:hAnsi="Times New Roman" w:cs="Times New Roman"/>
                <w:b/>
                <w:bCs/>
                <w:color w:val="000000"/>
                <w:sz w:val="20"/>
                <w:szCs w:val="20"/>
              </w:rPr>
              <w:t>N</w:t>
            </w:r>
            <w:r w:rsidRPr="0097719C">
              <w:rPr>
                <w:rFonts w:ascii="Times New Roman" w:hAnsi="Times New Roman" w:cs="Times New Roman"/>
                <w:b/>
                <w:bCs/>
                <w:color w:val="000000"/>
                <w:sz w:val="20"/>
                <w:szCs w:val="20"/>
                <w:vertAlign w:val="subscript"/>
              </w:rPr>
              <w:t>3</w:t>
            </w:r>
          </w:p>
          <w:p w14:paraId="298905DC" w14:textId="7F1AB7EC" w:rsidR="006700DB" w:rsidRPr="0097719C" w:rsidRDefault="006700DB" w:rsidP="006700DB">
            <w:pPr>
              <w:autoSpaceDE w:val="0"/>
              <w:autoSpaceDN w:val="0"/>
              <w:adjustRightInd w:val="0"/>
              <w:rPr>
                <w:rFonts w:ascii="Times New Roman" w:hAnsi="Times New Roman" w:cs="Times New Roman"/>
                <w:color w:val="000000"/>
                <w:sz w:val="20"/>
                <w:szCs w:val="20"/>
              </w:rPr>
            </w:pPr>
          </w:p>
        </w:tc>
        <w:tc>
          <w:tcPr>
            <w:tcW w:w="1599" w:type="dxa"/>
          </w:tcPr>
          <w:p w14:paraId="5070FBAD" w14:textId="77777777" w:rsidR="0097719C" w:rsidRDefault="0097719C" w:rsidP="001F27EA">
            <w:pPr>
              <w:pStyle w:val="Default"/>
              <w:jc w:val="center"/>
              <w:rPr>
                <w:b/>
                <w:bCs/>
                <w:sz w:val="20"/>
                <w:szCs w:val="20"/>
              </w:rPr>
            </w:pPr>
          </w:p>
          <w:p w14:paraId="08B29700" w14:textId="07227862" w:rsidR="0097719C" w:rsidRPr="0097719C" w:rsidRDefault="0097719C" w:rsidP="001F27EA">
            <w:pPr>
              <w:pStyle w:val="Default"/>
              <w:jc w:val="center"/>
              <w:rPr>
                <w:sz w:val="20"/>
                <w:szCs w:val="20"/>
              </w:rPr>
            </w:pPr>
            <w:r w:rsidRPr="0097719C">
              <w:rPr>
                <w:b/>
                <w:bCs/>
                <w:sz w:val="20"/>
                <w:szCs w:val="20"/>
              </w:rPr>
              <w:t>N</w:t>
            </w:r>
          </w:p>
        </w:tc>
        <w:tc>
          <w:tcPr>
            <w:tcW w:w="1600" w:type="dxa"/>
          </w:tcPr>
          <w:p w14:paraId="1206C2B5" w14:textId="77777777" w:rsidR="0097719C" w:rsidRDefault="0097719C" w:rsidP="001F27EA">
            <w:pPr>
              <w:pStyle w:val="Default"/>
              <w:jc w:val="center"/>
              <w:rPr>
                <w:b/>
                <w:bCs/>
                <w:sz w:val="20"/>
                <w:szCs w:val="20"/>
              </w:rPr>
            </w:pPr>
          </w:p>
          <w:p w14:paraId="465798D1" w14:textId="1973FEE8" w:rsidR="0097719C" w:rsidRPr="0097719C" w:rsidRDefault="0097719C" w:rsidP="001F27EA">
            <w:pPr>
              <w:pStyle w:val="Default"/>
              <w:jc w:val="center"/>
              <w:rPr>
                <w:sz w:val="20"/>
                <w:szCs w:val="20"/>
              </w:rPr>
            </w:pPr>
            <w:r w:rsidRPr="0097719C">
              <w:rPr>
                <w:b/>
                <w:bCs/>
                <w:sz w:val="20"/>
                <w:szCs w:val="20"/>
              </w:rPr>
              <w:t xml:space="preserve">Minimum </w:t>
            </w:r>
          </w:p>
        </w:tc>
        <w:tc>
          <w:tcPr>
            <w:tcW w:w="1600" w:type="dxa"/>
          </w:tcPr>
          <w:p w14:paraId="431D10FA" w14:textId="77777777" w:rsidR="0097719C" w:rsidRDefault="0097719C" w:rsidP="001F27EA">
            <w:pPr>
              <w:pStyle w:val="Default"/>
              <w:jc w:val="center"/>
              <w:rPr>
                <w:b/>
                <w:bCs/>
                <w:sz w:val="20"/>
                <w:szCs w:val="20"/>
              </w:rPr>
            </w:pPr>
          </w:p>
          <w:p w14:paraId="298E5E26" w14:textId="2868449D" w:rsidR="0097719C" w:rsidRPr="0097719C" w:rsidRDefault="0097719C" w:rsidP="001F27EA">
            <w:pPr>
              <w:pStyle w:val="Default"/>
              <w:jc w:val="center"/>
              <w:rPr>
                <w:sz w:val="20"/>
                <w:szCs w:val="20"/>
              </w:rPr>
            </w:pPr>
            <w:r w:rsidRPr="0097719C">
              <w:rPr>
                <w:b/>
                <w:bCs/>
                <w:sz w:val="20"/>
                <w:szCs w:val="20"/>
              </w:rPr>
              <w:t xml:space="preserve">Maximum </w:t>
            </w:r>
          </w:p>
        </w:tc>
        <w:tc>
          <w:tcPr>
            <w:tcW w:w="1600" w:type="dxa"/>
          </w:tcPr>
          <w:p w14:paraId="0CE5CE70" w14:textId="77777777" w:rsidR="0097719C" w:rsidRDefault="0097719C" w:rsidP="001F27EA">
            <w:pPr>
              <w:pStyle w:val="Default"/>
              <w:jc w:val="center"/>
              <w:rPr>
                <w:b/>
                <w:bCs/>
                <w:sz w:val="20"/>
                <w:szCs w:val="20"/>
              </w:rPr>
            </w:pPr>
          </w:p>
          <w:p w14:paraId="55BE9193" w14:textId="4D212DC5" w:rsidR="0097719C" w:rsidRPr="0097719C" w:rsidRDefault="0097719C" w:rsidP="001F27EA">
            <w:pPr>
              <w:pStyle w:val="Default"/>
              <w:jc w:val="center"/>
              <w:rPr>
                <w:sz w:val="20"/>
                <w:szCs w:val="20"/>
              </w:rPr>
            </w:pPr>
            <w:r w:rsidRPr="0097719C">
              <w:rPr>
                <w:b/>
                <w:bCs/>
                <w:sz w:val="20"/>
                <w:szCs w:val="20"/>
              </w:rPr>
              <w:t xml:space="preserve">Mean </w:t>
            </w:r>
          </w:p>
        </w:tc>
        <w:tc>
          <w:tcPr>
            <w:tcW w:w="1600" w:type="dxa"/>
          </w:tcPr>
          <w:p w14:paraId="51CCBA62" w14:textId="77777777" w:rsidR="0097719C" w:rsidRDefault="0097719C" w:rsidP="001F27EA">
            <w:pPr>
              <w:pStyle w:val="Default"/>
              <w:jc w:val="center"/>
              <w:rPr>
                <w:b/>
                <w:bCs/>
                <w:sz w:val="20"/>
                <w:szCs w:val="20"/>
              </w:rPr>
            </w:pPr>
          </w:p>
          <w:p w14:paraId="0AE38FF8" w14:textId="672D596E" w:rsidR="0097719C" w:rsidRPr="0097719C" w:rsidRDefault="0097719C" w:rsidP="001F27EA">
            <w:pPr>
              <w:pStyle w:val="Default"/>
              <w:jc w:val="center"/>
              <w:rPr>
                <w:sz w:val="20"/>
                <w:szCs w:val="20"/>
              </w:rPr>
            </w:pPr>
            <w:r w:rsidRPr="0097719C">
              <w:rPr>
                <w:b/>
                <w:bCs/>
                <w:sz w:val="20"/>
                <w:szCs w:val="20"/>
              </w:rPr>
              <w:t xml:space="preserve">Std. Deviation </w:t>
            </w:r>
          </w:p>
        </w:tc>
      </w:tr>
      <w:tr w:rsidR="0097719C" w:rsidRPr="0097719C" w14:paraId="6D122ED7" w14:textId="77777777" w:rsidTr="006700DB">
        <w:trPr>
          <w:trHeight w:val="501"/>
          <w:jc w:val="center"/>
        </w:trPr>
        <w:tc>
          <w:tcPr>
            <w:tcW w:w="1599" w:type="dxa"/>
            <w:vMerge/>
          </w:tcPr>
          <w:p w14:paraId="2118850A" w14:textId="758FF844" w:rsidR="0097719C" w:rsidRPr="0097719C" w:rsidRDefault="0097719C" w:rsidP="001F27EA">
            <w:pPr>
              <w:autoSpaceDE w:val="0"/>
              <w:autoSpaceDN w:val="0"/>
              <w:adjustRightInd w:val="0"/>
              <w:spacing w:line="360" w:lineRule="auto"/>
              <w:jc w:val="center"/>
              <w:rPr>
                <w:rFonts w:ascii="Times New Roman" w:hAnsi="Times New Roman" w:cs="Times New Roman"/>
                <w:b/>
                <w:bCs/>
                <w:color w:val="000000"/>
                <w:sz w:val="20"/>
                <w:szCs w:val="20"/>
              </w:rPr>
            </w:pPr>
          </w:p>
        </w:tc>
        <w:tc>
          <w:tcPr>
            <w:tcW w:w="1599" w:type="dxa"/>
          </w:tcPr>
          <w:p w14:paraId="44B4A77A"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82</w:t>
            </w:r>
          </w:p>
        </w:tc>
        <w:tc>
          <w:tcPr>
            <w:tcW w:w="1600" w:type="dxa"/>
          </w:tcPr>
          <w:p w14:paraId="6189BACD"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10.00</w:t>
            </w:r>
          </w:p>
        </w:tc>
        <w:tc>
          <w:tcPr>
            <w:tcW w:w="1600" w:type="dxa"/>
          </w:tcPr>
          <w:p w14:paraId="7BD02F3F"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100.00</w:t>
            </w:r>
          </w:p>
        </w:tc>
        <w:tc>
          <w:tcPr>
            <w:tcW w:w="1600" w:type="dxa"/>
          </w:tcPr>
          <w:p w14:paraId="7CB18FD9" w14:textId="77777777" w:rsidR="0097719C" w:rsidRPr="0097719C" w:rsidRDefault="0097719C" w:rsidP="001F27EA">
            <w:pPr>
              <w:pStyle w:val="Default"/>
              <w:jc w:val="center"/>
              <w:rPr>
                <w:sz w:val="20"/>
                <w:szCs w:val="20"/>
              </w:rPr>
            </w:pPr>
            <w:r w:rsidRPr="0097719C">
              <w:rPr>
                <w:sz w:val="20"/>
                <w:szCs w:val="20"/>
              </w:rPr>
              <w:t>73.9634</w:t>
            </w:r>
          </w:p>
        </w:tc>
        <w:tc>
          <w:tcPr>
            <w:tcW w:w="1600" w:type="dxa"/>
          </w:tcPr>
          <w:p w14:paraId="42E883B9" w14:textId="77777777" w:rsidR="0097719C" w:rsidRPr="0097719C" w:rsidRDefault="0097719C" w:rsidP="001F27EA">
            <w:pPr>
              <w:pStyle w:val="Default"/>
              <w:jc w:val="center"/>
              <w:rPr>
                <w:sz w:val="20"/>
                <w:szCs w:val="20"/>
              </w:rPr>
            </w:pPr>
            <w:r w:rsidRPr="0097719C">
              <w:rPr>
                <w:sz w:val="20"/>
                <w:szCs w:val="20"/>
              </w:rPr>
              <w:t>26.39606</w:t>
            </w:r>
          </w:p>
        </w:tc>
      </w:tr>
      <w:tr w:rsidR="0097719C" w:rsidRPr="0097719C" w14:paraId="34BFECA7" w14:textId="77777777" w:rsidTr="006700DB">
        <w:trPr>
          <w:trHeight w:val="501"/>
          <w:jc w:val="center"/>
        </w:trPr>
        <w:tc>
          <w:tcPr>
            <w:tcW w:w="1599" w:type="dxa"/>
          </w:tcPr>
          <w:p w14:paraId="6D9BD7C0" w14:textId="77777777" w:rsidR="0097719C" w:rsidRPr="0097719C" w:rsidRDefault="0097719C" w:rsidP="001F27EA">
            <w:pPr>
              <w:autoSpaceDE w:val="0"/>
              <w:autoSpaceDN w:val="0"/>
              <w:adjustRightInd w:val="0"/>
              <w:spacing w:line="360" w:lineRule="auto"/>
              <w:jc w:val="center"/>
              <w:rPr>
                <w:rFonts w:ascii="Times New Roman" w:hAnsi="Times New Roman" w:cs="Times New Roman"/>
                <w:b/>
                <w:bCs/>
                <w:color w:val="000000"/>
                <w:sz w:val="20"/>
                <w:szCs w:val="20"/>
              </w:rPr>
            </w:pPr>
            <w:r w:rsidRPr="0097719C">
              <w:rPr>
                <w:rFonts w:ascii="Times New Roman" w:hAnsi="Times New Roman" w:cs="Times New Roman"/>
                <w:b/>
                <w:bCs/>
                <w:color w:val="000000"/>
                <w:sz w:val="20"/>
                <w:szCs w:val="20"/>
              </w:rPr>
              <w:t>N</w:t>
            </w:r>
            <w:r w:rsidRPr="0097719C">
              <w:rPr>
                <w:rFonts w:ascii="Times New Roman" w:hAnsi="Times New Roman" w:cs="Times New Roman"/>
                <w:b/>
                <w:bCs/>
                <w:color w:val="000000"/>
                <w:sz w:val="20"/>
                <w:szCs w:val="20"/>
                <w:vertAlign w:val="subscript"/>
              </w:rPr>
              <w:t>4</w:t>
            </w:r>
          </w:p>
        </w:tc>
        <w:tc>
          <w:tcPr>
            <w:tcW w:w="1599" w:type="dxa"/>
          </w:tcPr>
          <w:p w14:paraId="0EB0E574"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82</w:t>
            </w:r>
          </w:p>
        </w:tc>
        <w:tc>
          <w:tcPr>
            <w:tcW w:w="1600" w:type="dxa"/>
          </w:tcPr>
          <w:p w14:paraId="335F3AA1"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.00</w:t>
            </w:r>
          </w:p>
        </w:tc>
        <w:tc>
          <w:tcPr>
            <w:tcW w:w="1600" w:type="dxa"/>
          </w:tcPr>
          <w:p w14:paraId="675901C3"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90.00</w:t>
            </w:r>
          </w:p>
        </w:tc>
        <w:tc>
          <w:tcPr>
            <w:tcW w:w="1600" w:type="dxa"/>
          </w:tcPr>
          <w:p w14:paraId="5CA5766C" w14:textId="77777777" w:rsidR="0097719C" w:rsidRPr="0097719C" w:rsidRDefault="0097719C" w:rsidP="001F27EA">
            <w:pPr>
              <w:pStyle w:val="Default"/>
              <w:jc w:val="center"/>
              <w:rPr>
                <w:sz w:val="20"/>
                <w:szCs w:val="20"/>
              </w:rPr>
            </w:pPr>
            <w:r w:rsidRPr="0097719C">
              <w:rPr>
                <w:sz w:val="20"/>
                <w:szCs w:val="20"/>
              </w:rPr>
              <w:t>26.0366</w:t>
            </w:r>
          </w:p>
        </w:tc>
        <w:tc>
          <w:tcPr>
            <w:tcW w:w="1600" w:type="dxa"/>
          </w:tcPr>
          <w:p w14:paraId="52BCEC3E" w14:textId="77777777" w:rsidR="0097719C" w:rsidRPr="0097719C" w:rsidRDefault="0097719C" w:rsidP="001F27EA">
            <w:pPr>
              <w:pStyle w:val="Default"/>
              <w:jc w:val="center"/>
              <w:rPr>
                <w:sz w:val="20"/>
                <w:szCs w:val="20"/>
              </w:rPr>
            </w:pPr>
            <w:r w:rsidRPr="0097719C">
              <w:rPr>
                <w:sz w:val="20"/>
                <w:szCs w:val="20"/>
              </w:rPr>
              <w:t>26.39606</w:t>
            </w:r>
          </w:p>
        </w:tc>
      </w:tr>
      <w:tr w:rsidR="0097719C" w:rsidRPr="0097719C" w14:paraId="0D750F6D" w14:textId="77777777" w:rsidTr="006700DB">
        <w:trPr>
          <w:trHeight w:val="501"/>
          <w:jc w:val="center"/>
        </w:trPr>
        <w:tc>
          <w:tcPr>
            <w:tcW w:w="1599" w:type="dxa"/>
          </w:tcPr>
          <w:p w14:paraId="41E68C3F" w14:textId="77777777" w:rsidR="0097719C" w:rsidRPr="0097719C" w:rsidRDefault="0097719C" w:rsidP="001F27EA">
            <w:pPr>
              <w:autoSpaceDE w:val="0"/>
              <w:autoSpaceDN w:val="0"/>
              <w:adjustRightInd w:val="0"/>
              <w:spacing w:line="360" w:lineRule="auto"/>
              <w:jc w:val="center"/>
              <w:rPr>
                <w:rFonts w:ascii="Times New Roman" w:hAnsi="Times New Roman" w:cs="Times New Roman"/>
                <w:b/>
                <w:bCs/>
                <w:color w:val="000000"/>
                <w:sz w:val="20"/>
                <w:szCs w:val="20"/>
              </w:rPr>
            </w:pPr>
            <w:r w:rsidRPr="0097719C">
              <w:rPr>
                <w:rFonts w:ascii="Times New Roman" w:hAnsi="Times New Roman" w:cs="Times New Roman"/>
                <w:b/>
                <w:bCs/>
                <w:color w:val="000000"/>
                <w:sz w:val="20"/>
                <w:szCs w:val="20"/>
              </w:rPr>
              <w:t>N</w:t>
            </w:r>
            <w:r w:rsidRPr="0097719C">
              <w:rPr>
                <w:rFonts w:ascii="Times New Roman" w:hAnsi="Times New Roman" w:cs="Times New Roman"/>
                <w:b/>
                <w:bCs/>
                <w:color w:val="000000"/>
                <w:sz w:val="20"/>
                <w:szCs w:val="20"/>
                <w:vertAlign w:val="subscript"/>
              </w:rPr>
              <w:t>5</w:t>
            </w:r>
          </w:p>
        </w:tc>
        <w:tc>
          <w:tcPr>
            <w:tcW w:w="1599" w:type="dxa"/>
          </w:tcPr>
          <w:p w14:paraId="449F34F6"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44</w:t>
            </w:r>
          </w:p>
        </w:tc>
        <w:tc>
          <w:tcPr>
            <w:tcW w:w="1600" w:type="dxa"/>
          </w:tcPr>
          <w:p w14:paraId="2ABFA6AC"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10.00</w:t>
            </w:r>
          </w:p>
        </w:tc>
        <w:tc>
          <w:tcPr>
            <w:tcW w:w="1600" w:type="dxa"/>
          </w:tcPr>
          <w:p w14:paraId="1569DE24"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100.00</w:t>
            </w:r>
          </w:p>
        </w:tc>
        <w:tc>
          <w:tcPr>
            <w:tcW w:w="1600" w:type="dxa"/>
          </w:tcPr>
          <w:p w14:paraId="197BD3C3" w14:textId="77777777" w:rsidR="0097719C" w:rsidRPr="0097719C" w:rsidRDefault="0097719C" w:rsidP="001F27EA">
            <w:pPr>
              <w:pStyle w:val="Default"/>
              <w:jc w:val="center"/>
              <w:rPr>
                <w:sz w:val="20"/>
                <w:szCs w:val="20"/>
              </w:rPr>
            </w:pPr>
            <w:r w:rsidRPr="0097719C">
              <w:rPr>
                <w:sz w:val="20"/>
                <w:szCs w:val="20"/>
              </w:rPr>
              <w:t>75.9773</w:t>
            </w:r>
          </w:p>
        </w:tc>
        <w:tc>
          <w:tcPr>
            <w:tcW w:w="1600" w:type="dxa"/>
          </w:tcPr>
          <w:p w14:paraId="3E779AA9" w14:textId="77777777" w:rsidR="0097719C" w:rsidRPr="0097719C" w:rsidRDefault="0097719C" w:rsidP="001F27EA">
            <w:pPr>
              <w:pStyle w:val="Default"/>
              <w:jc w:val="center"/>
              <w:rPr>
                <w:sz w:val="20"/>
                <w:szCs w:val="20"/>
              </w:rPr>
            </w:pPr>
            <w:r w:rsidRPr="0097719C">
              <w:rPr>
                <w:sz w:val="20"/>
                <w:szCs w:val="20"/>
              </w:rPr>
              <w:t>23.76091</w:t>
            </w:r>
          </w:p>
        </w:tc>
      </w:tr>
      <w:tr w:rsidR="0097719C" w:rsidRPr="0097719C" w14:paraId="66D95484" w14:textId="77777777" w:rsidTr="006700DB">
        <w:trPr>
          <w:trHeight w:val="501"/>
          <w:jc w:val="center"/>
        </w:trPr>
        <w:tc>
          <w:tcPr>
            <w:tcW w:w="1599" w:type="dxa"/>
          </w:tcPr>
          <w:p w14:paraId="5EDD8DC1" w14:textId="77777777" w:rsidR="0097719C" w:rsidRPr="0097719C" w:rsidRDefault="0097719C" w:rsidP="001F27EA">
            <w:pPr>
              <w:autoSpaceDE w:val="0"/>
              <w:autoSpaceDN w:val="0"/>
              <w:adjustRightInd w:val="0"/>
              <w:spacing w:line="360" w:lineRule="auto"/>
              <w:jc w:val="center"/>
              <w:rPr>
                <w:rFonts w:ascii="Times New Roman" w:hAnsi="Times New Roman" w:cs="Times New Roman"/>
                <w:b/>
                <w:bCs/>
                <w:color w:val="000000"/>
                <w:sz w:val="20"/>
                <w:szCs w:val="20"/>
              </w:rPr>
            </w:pPr>
            <w:r w:rsidRPr="0097719C">
              <w:rPr>
                <w:rFonts w:ascii="Times New Roman" w:hAnsi="Times New Roman" w:cs="Times New Roman"/>
                <w:b/>
                <w:bCs/>
                <w:color w:val="000000"/>
                <w:sz w:val="20"/>
                <w:szCs w:val="20"/>
              </w:rPr>
              <w:t>N</w:t>
            </w:r>
            <w:r w:rsidRPr="0097719C">
              <w:rPr>
                <w:rFonts w:ascii="Times New Roman" w:hAnsi="Times New Roman" w:cs="Times New Roman"/>
                <w:b/>
                <w:bCs/>
                <w:color w:val="000000"/>
                <w:sz w:val="20"/>
                <w:szCs w:val="20"/>
                <w:vertAlign w:val="subscript"/>
              </w:rPr>
              <w:t>6</w:t>
            </w:r>
          </w:p>
        </w:tc>
        <w:tc>
          <w:tcPr>
            <w:tcW w:w="1599" w:type="dxa"/>
          </w:tcPr>
          <w:p w14:paraId="7494180D"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44</w:t>
            </w:r>
          </w:p>
        </w:tc>
        <w:tc>
          <w:tcPr>
            <w:tcW w:w="1600" w:type="dxa"/>
          </w:tcPr>
          <w:p w14:paraId="706B9CFC"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.00</w:t>
            </w:r>
          </w:p>
        </w:tc>
        <w:tc>
          <w:tcPr>
            <w:tcW w:w="1600" w:type="dxa"/>
          </w:tcPr>
          <w:p w14:paraId="6B726FE6" w14:textId="77777777" w:rsidR="0097719C" w:rsidRPr="0097719C" w:rsidRDefault="0097719C" w:rsidP="001F27EA">
            <w:pPr>
              <w:autoSpaceDE w:val="0"/>
              <w:autoSpaceDN w:val="0"/>
              <w:adjustRightInd w:val="0"/>
              <w:spacing w:line="360" w:lineRule="auto"/>
              <w:jc w:val="center"/>
              <w:rPr>
                <w:rFonts w:ascii="Times New Roman" w:hAnsi="Times New Roman" w:cs="Times New Roman"/>
                <w:color w:val="000000"/>
                <w:sz w:val="20"/>
                <w:szCs w:val="20"/>
              </w:rPr>
            </w:pPr>
            <w:r w:rsidRPr="0097719C">
              <w:rPr>
                <w:rFonts w:ascii="Times New Roman" w:hAnsi="Times New Roman" w:cs="Times New Roman"/>
                <w:color w:val="000000"/>
                <w:sz w:val="20"/>
                <w:szCs w:val="20"/>
              </w:rPr>
              <w:t>90.00</w:t>
            </w:r>
          </w:p>
        </w:tc>
        <w:tc>
          <w:tcPr>
            <w:tcW w:w="1600" w:type="dxa"/>
          </w:tcPr>
          <w:p w14:paraId="203BAA3E" w14:textId="77777777" w:rsidR="0097719C" w:rsidRPr="0097719C" w:rsidRDefault="0097719C" w:rsidP="001F27EA">
            <w:pPr>
              <w:pStyle w:val="Default"/>
              <w:jc w:val="center"/>
              <w:rPr>
                <w:sz w:val="20"/>
                <w:szCs w:val="20"/>
              </w:rPr>
            </w:pPr>
            <w:r w:rsidRPr="0097719C">
              <w:rPr>
                <w:sz w:val="20"/>
                <w:szCs w:val="20"/>
              </w:rPr>
              <w:t>24.0227</w:t>
            </w:r>
          </w:p>
        </w:tc>
        <w:tc>
          <w:tcPr>
            <w:tcW w:w="1600" w:type="dxa"/>
          </w:tcPr>
          <w:p w14:paraId="2BFEBE5A" w14:textId="77777777" w:rsidR="0097719C" w:rsidRPr="0097719C" w:rsidRDefault="0097719C" w:rsidP="001F27EA">
            <w:pPr>
              <w:pStyle w:val="Default"/>
              <w:jc w:val="center"/>
              <w:rPr>
                <w:sz w:val="20"/>
                <w:szCs w:val="20"/>
              </w:rPr>
            </w:pPr>
            <w:r w:rsidRPr="0097719C">
              <w:rPr>
                <w:sz w:val="20"/>
                <w:szCs w:val="20"/>
              </w:rPr>
              <w:t>23.76091</w:t>
            </w:r>
          </w:p>
        </w:tc>
      </w:tr>
    </w:tbl>
    <w:bookmarkEnd w:id="0"/>
    <w:p w14:paraId="37A7AF3A" w14:textId="31E7A183" w:rsidR="0097719C" w:rsidRDefault="0097719C" w:rsidP="0097719C">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b/>
        <w:t xml:space="preserve"> (Source: </w:t>
      </w:r>
      <w:r>
        <w:rPr>
          <w:rFonts w:ascii="Times New Roman" w:hAnsi="Times New Roman" w:cs="Times New Roman"/>
          <w:sz w:val="20"/>
          <w:szCs w:val="20"/>
        </w:rPr>
        <w:t>Primary Data, Author’s Compilation in SPSS 20)</w:t>
      </w:r>
    </w:p>
    <w:p w14:paraId="1E2BE1A7" w14:textId="4729C81C" w:rsidR="0097719C" w:rsidRDefault="0097719C" w:rsidP="0097719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t xml:space="preserve"> </w:t>
      </w:r>
    </w:p>
    <w:p w14:paraId="1882A067" w14:textId="66655B16" w:rsidR="0097719C" w:rsidRDefault="0097719C" w:rsidP="00212309">
      <w:pPr>
        <w:autoSpaceDE w:val="0"/>
        <w:autoSpaceDN w:val="0"/>
        <w:adjustRightInd w:val="0"/>
        <w:rPr>
          <w:rFonts w:ascii="Times New Roman" w:hAnsi="Times New Roman" w:cs="Times New Roman"/>
          <w:color w:val="000000"/>
          <w:sz w:val="20"/>
          <w:szCs w:val="20"/>
        </w:rPr>
      </w:pPr>
      <w:r>
        <w:rPr>
          <w:rFonts w:ascii="Times New Roman" w:hAnsi="Times New Roman" w:cs="Times New Roman"/>
          <w:sz w:val="20"/>
          <w:szCs w:val="20"/>
        </w:rPr>
        <w:tab/>
      </w:r>
      <w:r w:rsidRPr="0097719C">
        <w:rPr>
          <w:rFonts w:ascii="Times New Roman" w:hAnsi="Times New Roman" w:cs="Times New Roman"/>
          <w:sz w:val="20"/>
          <w:szCs w:val="20"/>
        </w:rPr>
        <w:t xml:space="preserve"> </w:t>
      </w:r>
      <w:r w:rsidRPr="0097719C">
        <w:rPr>
          <w:rFonts w:ascii="Times New Roman" w:hAnsi="Times New Roman" w:cs="Times New Roman"/>
          <w:color w:val="000000"/>
          <w:sz w:val="20"/>
          <w:szCs w:val="20"/>
        </w:rPr>
        <w:t xml:space="preserve">Where, </w:t>
      </w:r>
    </w:p>
    <w:p w14:paraId="596435A7" w14:textId="77777777" w:rsidR="0097719C" w:rsidRPr="0097719C" w:rsidRDefault="0097719C" w:rsidP="00212309">
      <w:pPr>
        <w:autoSpaceDE w:val="0"/>
        <w:autoSpaceDN w:val="0"/>
        <w:adjustRightInd w:val="0"/>
        <w:rPr>
          <w:rFonts w:ascii="Times New Roman" w:hAnsi="Times New Roman" w:cs="Times New Roman"/>
          <w:color w:val="000000"/>
          <w:sz w:val="20"/>
          <w:szCs w:val="20"/>
        </w:rPr>
      </w:pPr>
    </w:p>
    <w:p w14:paraId="66506090" w14:textId="1D3559FE" w:rsidR="0097719C" w:rsidRDefault="0097719C" w:rsidP="00212309">
      <w:p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N</w:t>
      </w:r>
      <w:r w:rsidRPr="0097719C">
        <w:rPr>
          <w:rFonts w:ascii="Times New Roman" w:hAnsi="Times New Roman" w:cs="Times New Roman"/>
          <w:color w:val="000000"/>
          <w:sz w:val="20"/>
          <w:szCs w:val="20"/>
          <w:vertAlign w:val="subscript"/>
        </w:rPr>
        <w:t>3</w:t>
      </w:r>
      <w:r w:rsidRPr="0097719C">
        <w:rPr>
          <w:rFonts w:ascii="Times New Roman" w:hAnsi="Times New Roman" w:cs="Times New Roman"/>
          <w:color w:val="000000"/>
          <w:sz w:val="20"/>
          <w:szCs w:val="20"/>
        </w:rPr>
        <w:t xml:space="preserve"> = % of investment risk free instruments of the investors of income group ‘below Rs. 7,50,000’;</w:t>
      </w:r>
    </w:p>
    <w:p w14:paraId="22CA28A3" w14:textId="77777777" w:rsidR="00212309" w:rsidRPr="0097719C" w:rsidRDefault="00212309" w:rsidP="00212309">
      <w:pPr>
        <w:autoSpaceDE w:val="0"/>
        <w:autoSpaceDN w:val="0"/>
        <w:adjustRightInd w:val="0"/>
        <w:rPr>
          <w:rFonts w:ascii="Times New Roman" w:hAnsi="Times New Roman" w:cs="Times New Roman"/>
          <w:color w:val="000000"/>
          <w:sz w:val="20"/>
          <w:szCs w:val="20"/>
        </w:rPr>
      </w:pPr>
    </w:p>
    <w:p w14:paraId="349569A7" w14:textId="4085B401" w:rsidR="0097719C" w:rsidRDefault="0097719C" w:rsidP="00212309">
      <w:p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N</w:t>
      </w:r>
      <w:r w:rsidRPr="0097719C">
        <w:rPr>
          <w:rFonts w:ascii="Times New Roman" w:hAnsi="Times New Roman" w:cs="Times New Roman"/>
          <w:color w:val="000000"/>
          <w:sz w:val="20"/>
          <w:szCs w:val="20"/>
          <w:vertAlign w:val="subscript"/>
        </w:rPr>
        <w:t xml:space="preserve">4 </w:t>
      </w:r>
      <w:r w:rsidRPr="0097719C">
        <w:rPr>
          <w:rFonts w:ascii="Times New Roman" w:hAnsi="Times New Roman" w:cs="Times New Roman"/>
          <w:color w:val="000000"/>
          <w:sz w:val="20"/>
          <w:szCs w:val="20"/>
        </w:rPr>
        <w:t xml:space="preserve">= % of investment risky instruments of the investors of income group ‘below Rs. 7,50,000’; </w:t>
      </w:r>
    </w:p>
    <w:p w14:paraId="64576C71" w14:textId="77777777" w:rsidR="00212309" w:rsidRPr="0097719C" w:rsidRDefault="00212309" w:rsidP="00212309">
      <w:pPr>
        <w:autoSpaceDE w:val="0"/>
        <w:autoSpaceDN w:val="0"/>
        <w:adjustRightInd w:val="0"/>
        <w:rPr>
          <w:rFonts w:ascii="Times New Roman" w:hAnsi="Times New Roman" w:cs="Times New Roman"/>
          <w:color w:val="000000"/>
          <w:sz w:val="20"/>
          <w:szCs w:val="20"/>
        </w:rPr>
      </w:pPr>
    </w:p>
    <w:p w14:paraId="6302F060" w14:textId="08E82257" w:rsidR="0097719C" w:rsidRDefault="0097719C" w:rsidP="00212309">
      <w:p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N</w:t>
      </w:r>
      <w:r w:rsidRPr="0097719C">
        <w:rPr>
          <w:rFonts w:ascii="Times New Roman" w:hAnsi="Times New Roman" w:cs="Times New Roman"/>
          <w:color w:val="000000"/>
          <w:sz w:val="20"/>
          <w:szCs w:val="20"/>
          <w:vertAlign w:val="subscript"/>
        </w:rPr>
        <w:t>5</w:t>
      </w:r>
      <w:r w:rsidRPr="0097719C">
        <w:rPr>
          <w:rFonts w:ascii="Times New Roman" w:hAnsi="Times New Roman" w:cs="Times New Roman"/>
          <w:color w:val="000000"/>
          <w:sz w:val="20"/>
          <w:szCs w:val="20"/>
        </w:rPr>
        <w:t xml:space="preserve"> = % of investment risk free instruments of the investors of income group of ‘Rs. 7,50,000 or more'; </w:t>
      </w:r>
    </w:p>
    <w:p w14:paraId="4C7A1DAD" w14:textId="77777777" w:rsidR="00212309" w:rsidRPr="0097719C" w:rsidRDefault="00212309" w:rsidP="00212309">
      <w:pPr>
        <w:autoSpaceDE w:val="0"/>
        <w:autoSpaceDN w:val="0"/>
        <w:adjustRightInd w:val="0"/>
        <w:rPr>
          <w:rFonts w:ascii="Times New Roman" w:hAnsi="Times New Roman" w:cs="Times New Roman"/>
          <w:color w:val="000000"/>
          <w:sz w:val="20"/>
          <w:szCs w:val="20"/>
        </w:rPr>
      </w:pPr>
    </w:p>
    <w:p w14:paraId="02CC825F" w14:textId="746B3FA0" w:rsidR="0097719C" w:rsidRDefault="0097719C" w:rsidP="00212309">
      <w:p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N</w:t>
      </w:r>
      <w:r w:rsidRPr="0097719C">
        <w:rPr>
          <w:rFonts w:ascii="Times New Roman" w:hAnsi="Times New Roman" w:cs="Times New Roman"/>
          <w:color w:val="000000"/>
          <w:sz w:val="20"/>
          <w:szCs w:val="20"/>
          <w:vertAlign w:val="subscript"/>
        </w:rPr>
        <w:t>6</w:t>
      </w:r>
      <w:r w:rsidRPr="0097719C">
        <w:rPr>
          <w:rFonts w:ascii="Times New Roman" w:hAnsi="Times New Roman" w:cs="Times New Roman"/>
          <w:color w:val="000000"/>
          <w:sz w:val="20"/>
          <w:szCs w:val="20"/>
        </w:rPr>
        <w:t xml:space="preserve"> = % of investment riskless instruments of the investors of income group of Rs. ‘7,50,000 or more’;</w:t>
      </w:r>
    </w:p>
    <w:p w14:paraId="5174D5E9" w14:textId="77777777" w:rsidR="0097719C" w:rsidRPr="0097719C" w:rsidRDefault="0097719C" w:rsidP="0097719C">
      <w:pPr>
        <w:autoSpaceDE w:val="0"/>
        <w:autoSpaceDN w:val="0"/>
        <w:adjustRightInd w:val="0"/>
        <w:rPr>
          <w:rFonts w:ascii="Times New Roman" w:hAnsi="Times New Roman" w:cs="Times New Roman"/>
          <w:color w:val="000000"/>
          <w:sz w:val="20"/>
          <w:szCs w:val="20"/>
        </w:rPr>
      </w:pPr>
    </w:p>
    <w:p w14:paraId="7AB234C6" w14:textId="0A3F1DFF" w:rsidR="0097719C" w:rsidRDefault="0097719C" w:rsidP="0097719C">
      <w:p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 xml:space="preserve">Observations (from table 3 above and the data collected): </w:t>
      </w:r>
    </w:p>
    <w:p w14:paraId="326E64A7" w14:textId="77777777" w:rsidR="0097719C" w:rsidRPr="0097719C" w:rsidRDefault="0097719C" w:rsidP="0097719C">
      <w:pPr>
        <w:autoSpaceDE w:val="0"/>
        <w:autoSpaceDN w:val="0"/>
        <w:adjustRightInd w:val="0"/>
        <w:rPr>
          <w:rFonts w:ascii="Times New Roman" w:hAnsi="Times New Roman" w:cs="Times New Roman"/>
          <w:color w:val="000000"/>
          <w:sz w:val="20"/>
          <w:szCs w:val="20"/>
        </w:rPr>
      </w:pPr>
    </w:p>
    <w:p w14:paraId="219F8DF7" w14:textId="3F292308" w:rsidR="0097719C" w:rsidRDefault="0097719C" w:rsidP="0097719C">
      <w:pPr>
        <w:pStyle w:val="ListParagraph"/>
        <w:numPr>
          <w:ilvl w:val="0"/>
          <w:numId w:val="8"/>
        </w:numPr>
        <w:autoSpaceDE w:val="0"/>
        <w:autoSpaceDN w:val="0"/>
        <w:adjustRightInd w:val="0"/>
        <w:spacing w:after="166"/>
        <w:rPr>
          <w:rFonts w:ascii="Times New Roman" w:hAnsi="Times New Roman" w:cs="Times New Roman"/>
          <w:color w:val="000000"/>
          <w:sz w:val="20"/>
          <w:szCs w:val="20"/>
        </w:rPr>
      </w:pPr>
      <w:r w:rsidRPr="0097719C">
        <w:rPr>
          <w:rFonts w:ascii="Times New Roman" w:hAnsi="Times New Roman" w:cs="Times New Roman"/>
          <w:color w:val="000000"/>
          <w:sz w:val="20"/>
          <w:szCs w:val="20"/>
        </w:rPr>
        <w:t xml:space="preserve">73.96 % of the total investments of the investors of income group ‘below Rs. 7,50,000’ are routed to riskless instruments and rest 26.04 % in risky instruments. This is not too much different from the overall average shown in table 2. </w:t>
      </w:r>
    </w:p>
    <w:p w14:paraId="2831CBEA" w14:textId="77777777" w:rsidR="00212309" w:rsidRPr="0097719C" w:rsidRDefault="00212309" w:rsidP="00212309">
      <w:pPr>
        <w:pStyle w:val="ListParagraph"/>
        <w:autoSpaceDE w:val="0"/>
        <w:autoSpaceDN w:val="0"/>
        <w:adjustRightInd w:val="0"/>
        <w:spacing w:after="166"/>
        <w:ind w:left="360"/>
        <w:rPr>
          <w:rFonts w:ascii="Times New Roman" w:hAnsi="Times New Roman" w:cs="Times New Roman"/>
          <w:color w:val="000000"/>
          <w:sz w:val="20"/>
          <w:szCs w:val="20"/>
        </w:rPr>
      </w:pPr>
    </w:p>
    <w:p w14:paraId="0115F4DB" w14:textId="77777777" w:rsidR="0097719C" w:rsidRPr="0097719C" w:rsidRDefault="0097719C" w:rsidP="0097719C">
      <w:pPr>
        <w:pStyle w:val="ListParagraph"/>
        <w:numPr>
          <w:ilvl w:val="0"/>
          <w:numId w:val="8"/>
        </w:numPr>
        <w:autoSpaceDE w:val="0"/>
        <w:autoSpaceDN w:val="0"/>
        <w:adjustRightInd w:val="0"/>
        <w:spacing w:after="166"/>
        <w:rPr>
          <w:rFonts w:ascii="Times New Roman" w:hAnsi="Times New Roman" w:cs="Times New Roman"/>
          <w:color w:val="000000"/>
          <w:sz w:val="20"/>
          <w:szCs w:val="20"/>
        </w:rPr>
      </w:pPr>
      <w:r w:rsidRPr="0097719C">
        <w:rPr>
          <w:rFonts w:ascii="Times New Roman" w:hAnsi="Times New Roman" w:cs="Times New Roman"/>
          <w:color w:val="000000"/>
          <w:sz w:val="20"/>
          <w:szCs w:val="20"/>
        </w:rPr>
        <w:t xml:space="preserve">75.98% of the total investments of the investors of income group of ‘Rs. 7,50,000 and above’ are routed to riskless instruments and rest 24.02 % in risky instruments. This is also not too much different from the overall average shown in table 2. </w:t>
      </w:r>
    </w:p>
    <w:p w14:paraId="6738A5BE" w14:textId="77777777" w:rsidR="00BB2CF1" w:rsidRDefault="0097719C" w:rsidP="0097719C">
      <w:pPr>
        <w:numPr>
          <w:ilvl w:val="0"/>
          <w:numId w:val="8"/>
        </w:numPr>
        <w:autoSpaceDE w:val="0"/>
        <w:autoSpaceDN w:val="0"/>
        <w:adjustRightInd w:val="0"/>
        <w:rPr>
          <w:rFonts w:ascii="Times New Roman" w:hAnsi="Times New Roman" w:cs="Times New Roman"/>
          <w:color w:val="000000"/>
          <w:sz w:val="20"/>
          <w:szCs w:val="20"/>
        </w:rPr>
      </w:pPr>
      <w:r w:rsidRPr="0097719C">
        <w:rPr>
          <w:rFonts w:ascii="Times New Roman" w:hAnsi="Times New Roman" w:cs="Times New Roman"/>
          <w:color w:val="000000"/>
          <w:sz w:val="20"/>
          <w:szCs w:val="20"/>
        </w:rPr>
        <w:t>Thus, on an average there is not too much difference between the investors of two income groups, with respect to their gross pattern of investments in riskless instruments and risky instruments. In fact, these are not too much different from overall average.</w:t>
      </w:r>
    </w:p>
    <w:p w14:paraId="15FD2C0F" w14:textId="77777777" w:rsidR="00BB2CF1" w:rsidRDefault="00BB2CF1" w:rsidP="00BB2CF1">
      <w:pPr>
        <w:autoSpaceDE w:val="0"/>
        <w:autoSpaceDN w:val="0"/>
        <w:adjustRightInd w:val="0"/>
        <w:rPr>
          <w:rFonts w:ascii="Times New Roman" w:hAnsi="Times New Roman" w:cs="Times New Roman"/>
          <w:color w:val="000000"/>
          <w:sz w:val="20"/>
          <w:szCs w:val="20"/>
        </w:rPr>
      </w:pPr>
    </w:p>
    <w:p w14:paraId="6127B4C3" w14:textId="3CC76562" w:rsidR="00BB2CF1" w:rsidRPr="00995FDF" w:rsidRDefault="00BB2CF1" w:rsidP="00995FDF">
      <w:pPr>
        <w:pStyle w:val="ListParagraph"/>
        <w:numPr>
          <w:ilvl w:val="0"/>
          <w:numId w:val="11"/>
        </w:numPr>
        <w:autoSpaceDE w:val="0"/>
        <w:autoSpaceDN w:val="0"/>
        <w:adjustRightInd w:val="0"/>
        <w:rPr>
          <w:rFonts w:ascii="Times New Roman" w:hAnsi="Times New Roman" w:cs="Times New Roman"/>
          <w:b/>
          <w:bCs/>
          <w:color w:val="000000"/>
          <w:sz w:val="20"/>
          <w:szCs w:val="20"/>
        </w:rPr>
      </w:pPr>
      <w:r w:rsidRPr="00995FDF">
        <w:rPr>
          <w:rFonts w:ascii="Times New Roman" w:hAnsi="Times New Roman" w:cs="Times New Roman"/>
          <w:b/>
          <w:bCs/>
          <w:color w:val="000000"/>
          <w:sz w:val="20"/>
          <w:szCs w:val="20"/>
        </w:rPr>
        <w:t>Proportion of investment in riskless and risky instruments, on the basis of age group of the investors:</w:t>
      </w:r>
    </w:p>
    <w:p w14:paraId="043444EA" w14:textId="77777777" w:rsidR="00BB2CF1" w:rsidRPr="00BB2CF1" w:rsidRDefault="00BB2CF1" w:rsidP="00BB2CF1">
      <w:pPr>
        <w:pStyle w:val="ListParagraph"/>
        <w:autoSpaceDE w:val="0"/>
        <w:autoSpaceDN w:val="0"/>
        <w:adjustRightInd w:val="0"/>
        <w:ind w:left="0" w:firstLine="360"/>
        <w:rPr>
          <w:rFonts w:ascii="Times New Roman" w:hAnsi="Times New Roman" w:cs="Times New Roman"/>
          <w:color w:val="000000"/>
          <w:sz w:val="20"/>
          <w:szCs w:val="20"/>
        </w:rPr>
      </w:pPr>
    </w:p>
    <w:p w14:paraId="4B4E758E" w14:textId="64446573" w:rsidR="00BB2CF1" w:rsidRPr="00BB2CF1" w:rsidRDefault="00BB2CF1" w:rsidP="00BB2CF1">
      <w:pPr>
        <w:autoSpaceDE w:val="0"/>
        <w:autoSpaceDN w:val="0"/>
        <w:adjustRightInd w:val="0"/>
        <w:ind w:firstLine="360"/>
        <w:rPr>
          <w:rFonts w:ascii="Times New Roman" w:hAnsi="Times New Roman" w:cs="Times New Roman"/>
          <w:sz w:val="20"/>
          <w:szCs w:val="20"/>
        </w:rPr>
      </w:pPr>
      <w:r>
        <w:rPr>
          <w:rFonts w:ascii="Times New Roman" w:hAnsi="Times New Roman" w:cs="Times New Roman"/>
          <w:sz w:val="24"/>
          <w:szCs w:val="24"/>
        </w:rPr>
        <w:t xml:space="preserve"> </w:t>
      </w:r>
      <w:r w:rsidRPr="00BB2CF1">
        <w:rPr>
          <w:rFonts w:ascii="Times New Roman" w:hAnsi="Times New Roman" w:cs="Times New Roman"/>
          <w:sz w:val="20"/>
          <w:szCs w:val="20"/>
        </w:rPr>
        <w:t>For the present study, the respondents are classified into two age groups – (</w:t>
      </w:r>
      <w:proofErr w:type="spellStart"/>
      <w:r w:rsidRPr="00BB2CF1">
        <w:rPr>
          <w:rFonts w:ascii="Times New Roman" w:hAnsi="Times New Roman" w:cs="Times New Roman"/>
          <w:sz w:val="20"/>
          <w:szCs w:val="20"/>
        </w:rPr>
        <w:t>i</w:t>
      </w:r>
      <w:proofErr w:type="spellEnd"/>
      <w:r w:rsidRPr="00BB2CF1">
        <w:rPr>
          <w:rFonts w:ascii="Times New Roman" w:hAnsi="Times New Roman" w:cs="Times New Roman"/>
          <w:sz w:val="20"/>
          <w:szCs w:val="20"/>
        </w:rPr>
        <w:t>) Below 45 years [104 respondents]; and (ii) 45 years and above [22 respondents]. Their responses regarding proportion of investments in riskless and risky instruments are summarised in table 4 below:</w:t>
      </w:r>
    </w:p>
    <w:p w14:paraId="1C00A4D3" w14:textId="77777777" w:rsidR="00BB2CF1" w:rsidRDefault="00BB2CF1" w:rsidP="00BB2CF1">
      <w:pPr>
        <w:autoSpaceDE w:val="0"/>
        <w:autoSpaceDN w:val="0"/>
        <w:adjustRightInd w:val="0"/>
        <w:spacing w:line="360" w:lineRule="auto"/>
        <w:jc w:val="center"/>
        <w:rPr>
          <w:rFonts w:ascii="Times New Roman" w:hAnsi="Times New Roman" w:cs="Times New Roman"/>
          <w:b/>
          <w:bCs/>
          <w:sz w:val="24"/>
          <w:szCs w:val="24"/>
        </w:rPr>
      </w:pPr>
    </w:p>
    <w:p w14:paraId="5FBFFD21" w14:textId="354B6F6C" w:rsidR="00BB2CF1" w:rsidRDefault="00BB2CF1" w:rsidP="00BB2CF1">
      <w:pPr>
        <w:autoSpaceDE w:val="0"/>
        <w:autoSpaceDN w:val="0"/>
        <w:adjustRightInd w:val="0"/>
        <w:jc w:val="center"/>
        <w:rPr>
          <w:rFonts w:ascii="Times New Roman" w:hAnsi="Times New Roman" w:cs="Times New Roman"/>
          <w:b/>
          <w:bCs/>
          <w:sz w:val="20"/>
          <w:szCs w:val="20"/>
        </w:rPr>
      </w:pPr>
      <w:r w:rsidRPr="00BB2CF1">
        <w:rPr>
          <w:rFonts w:ascii="Times New Roman" w:hAnsi="Times New Roman" w:cs="Times New Roman"/>
          <w:b/>
          <w:bCs/>
          <w:sz w:val="20"/>
          <w:szCs w:val="20"/>
        </w:rPr>
        <w:lastRenderedPageBreak/>
        <w:t>Table 4: Descriptive Statistics of percentage of investments in riskless and risky instruments of the investors (classified on the basis of age)</w:t>
      </w:r>
    </w:p>
    <w:p w14:paraId="29FE58EE" w14:textId="1DA65C02" w:rsidR="006700DB" w:rsidRDefault="006700DB" w:rsidP="00BB2CF1">
      <w:pPr>
        <w:autoSpaceDE w:val="0"/>
        <w:autoSpaceDN w:val="0"/>
        <w:adjustRightInd w:val="0"/>
        <w:jc w:val="center"/>
        <w:rPr>
          <w:rFonts w:ascii="Times New Roman" w:hAnsi="Times New Roman" w:cs="Times New Roman"/>
          <w:b/>
          <w:bCs/>
          <w:sz w:val="20"/>
          <w:szCs w:val="20"/>
        </w:rPr>
      </w:pPr>
    </w:p>
    <w:p w14:paraId="12247F63" w14:textId="77777777" w:rsidR="006700DB" w:rsidRPr="00BB2CF1" w:rsidRDefault="006700DB" w:rsidP="00BB2CF1">
      <w:pPr>
        <w:autoSpaceDE w:val="0"/>
        <w:autoSpaceDN w:val="0"/>
        <w:adjustRightInd w:val="0"/>
        <w:jc w:val="center"/>
        <w:rPr>
          <w:rFonts w:ascii="Times New Roman" w:hAnsi="Times New Roman" w:cs="Times New Roman"/>
          <w:b/>
          <w:bCs/>
          <w:sz w:val="20"/>
          <w:szCs w:val="20"/>
        </w:rPr>
      </w:pPr>
    </w:p>
    <w:tbl>
      <w:tblPr>
        <w:tblStyle w:val="TableGrid"/>
        <w:tblW w:w="9982" w:type="dxa"/>
        <w:jc w:val="center"/>
        <w:tblLook w:val="04A0" w:firstRow="1" w:lastRow="0" w:firstColumn="1" w:lastColumn="0" w:noHBand="0" w:noVBand="1"/>
      </w:tblPr>
      <w:tblGrid>
        <w:gridCol w:w="1663"/>
        <w:gridCol w:w="1663"/>
        <w:gridCol w:w="1664"/>
        <w:gridCol w:w="1664"/>
        <w:gridCol w:w="1664"/>
        <w:gridCol w:w="1664"/>
      </w:tblGrid>
      <w:tr w:rsidR="00BB2CF1" w:rsidRPr="00BB2CF1" w14:paraId="49FE9C81" w14:textId="77777777" w:rsidTr="006700DB">
        <w:trPr>
          <w:trHeight w:val="403"/>
          <w:jc w:val="center"/>
        </w:trPr>
        <w:tc>
          <w:tcPr>
            <w:tcW w:w="1663" w:type="dxa"/>
          </w:tcPr>
          <w:p w14:paraId="635EC9F5" w14:textId="77777777" w:rsidR="00BB2CF1" w:rsidRPr="00BB2CF1" w:rsidRDefault="00BB2CF1" w:rsidP="001F27EA">
            <w:pPr>
              <w:autoSpaceDE w:val="0"/>
              <w:autoSpaceDN w:val="0"/>
              <w:adjustRightInd w:val="0"/>
              <w:spacing w:line="360" w:lineRule="auto"/>
              <w:rPr>
                <w:rFonts w:ascii="Times New Roman" w:hAnsi="Times New Roman" w:cs="Times New Roman"/>
                <w:color w:val="000000"/>
                <w:sz w:val="20"/>
                <w:szCs w:val="20"/>
              </w:rPr>
            </w:pPr>
            <w:bookmarkStart w:id="1" w:name="_Hlk89817344"/>
          </w:p>
        </w:tc>
        <w:tc>
          <w:tcPr>
            <w:tcW w:w="1663" w:type="dxa"/>
          </w:tcPr>
          <w:p w14:paraId="46769638" w14:textId="77777777" w:rsidR="00BB2CF1" w:rsidRPr="00BB2CF1" w:rsidRDefault="00BB2CF1" w:rsidP="001F27EA">
            <w:pPr>
              <w:pStyle w:val="Default"/>
              <w:jc w:val="center"/>
              <w:rPr>
                <w:sz w:val="20"/>
                <w:szCs w:val="20"/>
              </w:rPr>
            </w:pPr>
            <w:r w:rsidRPr="00BB2CF1">
              <w:rPr>
                <w:b/>
                <w:bCs/>
                <w:sz w:val="20"/>
                <w:szCs w:val="20"/>
              </w:rPr>
              <w:t>N</w:t>
            </w:r>
          </w:p>
        </w:tc>
        <w:tc>
          <w:tcPr>
            <w:tcW w:w="1664" w:type="dxa"/>
          </w:tcPr>
          <w:p w14:paraId="4E6DB07E" w14:textId="77777777" w:rsidR="00BB2CF1" w:rsidRPr="00BB2CF1" w:rsidRDefault="00BB2CF1" w:rsidP="001F27EA">
            <w:pPr>
              <w:pStyle w:val="Default"/>
              <w:jc w:val="center"/>
              <w:rPr>
                <w:sz w:val="20"/>
                <w:szCs w:val="20"/>
              </w:rPr>
            </w:pPr>
            <w:r w:rsidRPr="00BB2CF1">
              <w:rPr>
                <w:b/>
                <w:bCs/>
                <w:sz w:val="20"/>
                <w:szCs w:val="20"/>
              </w:rPr>
              <w:t xml:space="preserve">Minimum </w:t>
            </w:r>
          </w:p>
        </w:tc>
        <w:tc>
          <w:tcPr>
            <w:tcW w:w="1664" w:type="dxa"/>
          </w:tcPr>
          <w:p w14:paraId="6118BCEB" w14:textId="77777777" w:rsidR="00BB2CF1" w:rsidRPr="00BB2CF1" w:rsidRDefault="00BB2CF1" w:rsidP="001F27EA">
            <w:pPr>
              <w:pStyle w:val="Default"/>
              <w:jc w:val="center"/>
              <w:rPr>
                <w:sz w:val="20"/>
                <w:szCs w:val="20"/>
              </w:rPr>
            </w:pPr>
            <w:r w:rsidRPr="00BB2CF1">
              <w:rPr>
                <w:b/>
                <w:bCs/>
                <w:sz w:val="20"/>
                <w:szCs w:val="20"/>
              </w:rPr>
              <w:t xml:space="preserve">Maximum </w:t>
            </w:r>
          </w:p>
        </w:tc>
        <w:tc>
          <w:tcPr>
            <w:tcW w:w="1664" w:type="dxa"/>
          </w:tcPr>
          <w:p w14:paraId="0D1479D6" w14:textId="77777777" w:rsidR="00BB2CF1" w:rsidRPr="00BB2CF1" w:rsidRDefault="00BB2CF1" w:rsidP="001F27EA">
            <w:pPr>
              <w:pStyle w:val="Default"/>
              <w:jc w:val="center"/>
              <w:rPr>
                <w:sz w:val="20"/>
                <w:szCs w:val="20"/>
              </w:rPr>
            </w:pPr>
            <w:r w:rsidRPr="00BB2CF1">
              <w:rPr>
                <w:b/>
                <w:bCs/>
                <w:sz w:val="20"/>
                <w:szCs w:val="20"/>
              </w:rPr>
              <w:t xml:space="preserve">Mean </w:t>
            </w:r>
          </w:p>
        </w:tc>
        <w:tc>
          <w:tcPr>
            <w:tcW w:w="1664" w:type="dxa"/>
          </w:tcPr>
          <w:p w14:paraId="6592C0E2" w14:textId="77777777" w:rsidR="00BB2CF1" w:rsidRPr="00BB2CF1" w:rsidRDefault="00BB2CF1" w:rsidP="001F27EA">
            <w:pPr>
              <w:pStyle w:val="Default"/>
              <w:jc w:val="center"/>
              <w:rPr>
                <w:sz w:val="20"/>
                <w:szCs w:val="20"/>
              </w:rPr>
            </w:pPr>
            <w:r w:rsidRPr="00BB2CF1">
              <w:rPr>
                <w:b/>
                <w:bCs/>
                <w:sz w:val="20"/>
                <w:szCs w:val="20"/>
              </w:rPr>
              <w:t xml:space="preserve">Std. Deviation </w:t>
            </w:r>
          </w:p>
        </w:tc>
      </w:tr>
      <w:tr w:rsidR="00BB2CF1" w:rsidRPr="00BB2CF1" w14:paraId="1A3505BA" w14:textId="77777777" w:rsidTr="006700DB">
        <w:trPr>
          <w:trHeight w:val="366"/>
          <w:jc w:val="center"/>
        </w:trPr>
        <w:tc>
          <w:tcPr>
            <w:tcW w:w="1663" w:type="dxa"/>
          </w:tcPr>
          <w:p w14:paraId="47C6EB1D" w14:textId="77777777" w:rsidR="00BB2CF1" w:rsidRPr="00BB2CF1" w:rsidRDefault="00BB2CF1" w:rsidP="001F27EA">
            <w:pPr>
              <w:autoSpaceDE w:val="0"/>
              <w:autoSpaceDN w:val="0"/>
              <w:adjustRightInd w:val="0"/>
              <w:spacing w:line="360" w:lineRule="auto"/>
              <w:jc w:val="center"/>
              <w:rPr>
                <w:rFonts w:ascii="Times New Roman" w:hAnsi="Times New Roman" w:cs="Times New Roman"/>
                <w:b/>
                <w:bCs/>
                <w:color w:val="000000"/>
                <w:sz w:val="20"/>
                <w:szCs w:val="20"/>
              </w:rPr>
            </w:pPr>
            <w:r w:rsidRPr="00BB2CF1">
              <w:rPr>
                <w:rFonts w:ascii="Times New Roman" w:hAnsi="Times New Roman" w:cs="Times New Roman"/>
                <w:b/>
                <w:bCs/>
                <w:color w:val="000000"/>
                <w:sz w:val="20"/>
                <w:szCs w:val="20"/>
              </w:rPr>
              <w:t>N</w:t>
            </w:r>
            <w:r w:rsidRPr="00BB2CF1">
              <w:rPr>
                <w:rFonts w:ascii="Times New Roman" w:hAnsi="Times New Roman" w:cs="Times New Roman"/>
                <w:b/>
                <w:bCs/>
                <w:color w:val="000000"/>
                <w:sz w:val="20"/>
                <w:szCs w:val="20"/>
                <w:vertAlign w:val="subscript"/>
              </w:rPr>
              <w:t>7</w:t>
            </w:r>
          </w:p>
        </w:tc>
        <w:tc>
          <w:tcPr>
            <w:tcW w:w="1663" w:type="dxa"/>
          </w:tcPr>
          <w:p w14:paraId="353680BE"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104</w:t>
            </w:r>
          </w:p>
        </w:tc>
        <w:tc>
          <w:tcPr>
            <w:tcW w:w="1664" w:type="dxa"/>
          </w:tcPr>
          <w:p w14:paraId="06F5BE43"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10.00</w:t>
            </w:r>
          </w:p>
        </w:tc>
        <w:tc>
          <w:tcPr>
            <w:tcW w:w="1664" w:type="dxa"/>
          </w:tcPr>
          <w:p w14:paraId="1C90BD86"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100.00</w:t>
            </w:r>
          </w:p>
        </w:tc>
        <w:tc>
          <w:tcPr>
            <w:tcW w:w="1664" w:type="dxa"/>
          </w:tcPr>
          <w:p w14:paraId="77C38575" w14:textId="77777777" w:rsidR="00BB2CF1" w:rsidRPr="00BB2CF1" w:rsidRDefault="00BB2CF1" w:rsidP="001F27EA">
            <w:pPr>
              <w:pStyle w:val="Default"/>
              <w:jc w:val="center"/>
              <w:rPr>
                <w:sz w:val="20"/>
                <w:szCs w:val="20"/>
              </w:rPr>
            </w:pPr>
            <w:r w:rsidRPr="00BB2CF1">
              <w:rPr>
                <w:sz w:val="20"/>
                <w:szCs w:val="20"/>
              </w:rPr>
              <w:t xml:space="preserve">72.6923 </w:t>
            </w:r>
          </w:p>
        </w:tc>
        <w:tc>
          <w:tcPr>
            <w:tcW w:w="1664" w:type="dxa"/>
          </w:tcPr>
          <w:p w14:paraId="22E3DA28" w14:textId="77777777" w:rsidR="00BB2CF1" w:rsidRPr="00BB2CF1" w:rsidRDefault="00BB2CF1" w:rsidP="001F27EA">
            <w:pPr>
              <w:pStyle w:val="Default"/>
              <w:jc w:val="center"/>
              <w:rPr>
                <w:sz w:val="20"/>
                <w:szCs w:val="20"/>
              </w:rPr>
            </w:pPr>
            <w:r w:rsidRPr="00BB2CF1">
              <w:rPr>
                <w:sz w:val="20"/>
                <w:szCs w:val="20"/>
              </w:rPr>
              <w:t xml:space="preserve">26.14303 </w:t>
            </w:r>
          </w:p>
        </w:tc>
      </w:tr>
      <w:tr w:rsidR="00BB2CF1" w:rsidRPr="00BB2CF1" w14:paraId="73622204" w14:textId="77777777" w:rsidTr="006700DB">
        <w:trPr>
          <w:trHeight w:val="366"/>
          <w:jc w:val="center"/>
        </w:trPr>
        <w:tc>
          <w:tcPr>
            <w:tcW w:w="1663" w:type="dxa"/>
          </w:tcPr>
          <w:p w14:paraId="7F297833" w14:textId="77777777" w:rsidR="00BB2CF1" w:rsidRPr="00BB2CF1" w:rsidRDefault="00BB2CF1" w:rsidP="001F27EA">
            <w:pPr>
              <w:autoSpaceDE w:val="0"/>
              <w:autoSpaceDN w:val="0"/>
              <w:adjustRightInd w:val="0"/>
              <w:spacing w:line="360" w:lineRule="auto"/>
              <w:jc w:val="center"/>
              <w:rPr>
                <w:rFonts w:ascii="Times New Roman" w:hAnsi="Times New Roman" w:cs="Times New Roman"/>
                <w:b/>
                <w:bCs/>
                <w:color w:val="000000"/>
                <w:sz w:val="20"/>
                <w:szCs w:val="20"/>
              </w:rPr>
            </w:pPr>
            <w:r w:rsidRPr="00BB2CF1">
              <w:rPr>
                <w:rFonts w:ascii="Times New Roman" w:hAnsi="Times New Roman" w:cs="Times New Roman"/>
                <w:b/>
                <w:bCs/>
                <w:color w:val="000000"/>
                <w:sz w:val="20"/>
                <w:szCs w:val="20"/>
              </w:rPr>
              <w:t>N</w:t>
            </w:r>
            <w:r w:rsidRPr="00BB2CF1">
              <w:rPr>
                <w:rFonts w:ascii="Times New Roman" w:hAnsi="Times New Roman" w:cs="Times New Roman"/>
                <w:b/>
                <w:bCs/>
                <w:color w:val="000000"/>
                <w:sz w:val="20"/>
                <w:szCs w:val="20"/>
                <w:vertAlign w:val="subscript"/>
              </w:rPr>
              <w:t>8</w:t>
            </w:r>
          </w:p>
        </w:tc>
        <w:tc>
          <w:tcPr>
            <w:tcW w:w="1663" w:type="dxa"/>
          </w:tcPr>
          <w:p w14:paraId="74F52F3D"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104</w:t>
            </w:r>
          </w:p>
        </w:tc>
        <w:tc>
          <w:tcPr>
            <w:tcW w:w="1664" w:type="dxa"/>
          </w:tcPr>
          <w:p w14:paraId="7D223AF5"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.00</w:t>
            </w:r>
          </w:p>
        </w:tc>
        <w:tc>
          <w:tcPr>
            <w:tcW w:w="1664" w:type="dxa"/>
          </w:tcPr>
          <w:p w14:paraId="253CB654"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90.00</w:t>
            </w:r>
          </w:p>
        </w:tc>
        <w:tc>
          <w:tcPr>
            <w:tcW w:w="1664" w:type="dxa"/>
          </w:tcPr>
          <w:p w14:paraId="252B6898" w14:textId="77777777" w:rsidR="00BB2CF1" w:rsidRPr="00BB2CF1" w:rsidRDefault="00BB2CF1" w:rsidP="001F27EA">
            <w:pPr>
              <w:pStyle w:val="Default"/>
              <w:jc w:val="center"/>
              <w:rPr>
                <w:sz w:val="20"/>
                <w:szCs w:val="20"/>
              </w:rPr>
            </w:pPr>
            <w:r w:rsidRPr="00BB2CF1">
              <w:rPr>
                <w:sz w:val="20"/>
                <w:szCs w:val="20"/>
              </w:rPr>
              <w:t xml:space="preserve">27.3077 </w:t>
            </w:r>
          </w:p>
          <w:p w14:paraId="0D584BEA" w14:textId="77777777" w:rsidR="00BB2CF1" w:rsidRPr="00BB2CF1" w:rsidRDefault="00BB2CF1" w:rsidP="001F27EA">
            <w:pPr>
              <w:pStyle w:val="Default"/>
              <w:jc w:val="center"/>
              <w:rPr>
                <w:sz w:val="20"/>
                <w:szCs w:val="20"/>
              </w:rPr>
            </w:pPr>
          </w:p>
        </w:tc>
        <w:tc>
          <w:tcPr>
            <w:tcW w:w="1664" w:type="dxa"/>
          </w:tcPr>
          <w:p w14:paraId="0F65086F" w14:textId="77777777" w:rsidR="00BB2CF1" w:rsidRPr="00BB2CF1" w:rsidRDefault="00BB2CF1" w:rsidP="001F27EA">
            <w:pPr>
              <w:pStyle w:val="Default"/>
              <w:jc w:val="center"/>
              <w:rPr>
                <w:sz w:val="20"/>
                <w:szCs w:val="20"/>
              </w:rPr>
            </w:pPr>
            <w:r w:rsidRPr="00BB2CF1">
              <w:rPr>
                <w:sz w:val="20"/>
                <w:szCs w:val="20"/>
              </w:rPr>
              <w:t xml:space="preserve">26.14303 </w:t>
            </w:r>
          </w:p>
          <w:p w14:paraId="3201352F" w14:textId="77777777" w:rsidR="00BB2CF1" w:rsidRPr="00BB2CF1" w:rsidRDefault="00BB2CF1" w:rsidP="001F27EA">
            <w:pPr>
              <w:pStyle w:val="Default"/>
              <w:jc w:val="center"/>
              <w:rPr>
                <w:sz w:val="20"/>
                <w:szCs w:val="20"/>
              </w:rPr>
            </w:pPr>
          </w:p>
        </w:tc>
      </w:tr>
      <w:tr w:rsidR="00BB2CF1" w:rsidRPr="00BB2CF1" w14:paraId="5666DF69" w14:textId="77777777" w:rsidTr="006700DB">
        <w:trPr>
          <w:trHeight w:val="366"/>
          <w:jc w:val="center"/>
        </w:trPr>
        <w:tc>
          <w:tcPr>
            <w:tcW w:w="1663" w:type="dxa"/>
          </w:tcPr>
          <w:p w14:paraId="16BFDA68" w14:textId="77777777" w:rsidR="00BB2CF1" w:rsidRPr="00BB2CF1" w:rsidRDefault="00BB2CF1" w:rsidP="001F27EA">
            <w:pPr>
              <w:autoSpaceDE w:val="0"/>
              <w:autoSpaceDN w:val="0"/>
              <w:adjustRightInd w:val="0"/>
              <w:spacing w:line="360" w:lineRule="auto"/>
              <w:jc w:val="center"/>
              <w:rPr>
                <w:rFonts w:ascii="Times New Roman" w:hAnsi="Times New Roman" w:cs="Times New Roman"/>
                <w:b/>
                <w:bCs/>
                <w:color w:val="000000"/>
                <w:sz w:val="20"/>
                <w:szCs w:val="20"/>
              </w:rPr>
            </w:pPr>
            <w:r w:rsidRPr="00BB2CF1">
              <w:rPr>
                <w:rFonts w:ascii="Times New Roman" w:hAnsi="Times New Roman" w:cs="Times New Roman"/>
                <w:b/>
                <w:bCs/>
                <w:color w:val="000000"/>
                <w:sz w:val="20"/>
                <w:szCs w:val="20"/>
              </w:rPr>
              <w:t>N</w:t>
            </w:r>
            <w:r w:rsidRPr="00BB2CF1">
              <w:rPr>
                <w:rFonts w:ascii="Times New Roman" w:hAnsi="Times New Roman" w:cs="Times New Roman"/>
                <w:b/>
                <w:bCs/>
                <w:color w:val="000000"/>
                <w:sz w:val="20"/>
                <w:szCs w:val="20"/>
                <w:vertAlign w:val="subscript"/>
              </w:rPr>
              <w:t>9</w:t>
            </w:r>
          </w:p>
        </w:tc>
        <w:tc>
          <w:tcPr>
            <w:tcW w:w="1663" w:type="dxa"/>
          </w:tcPr>
          <w:p w14:paraId="592A916F"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22</w:t>
            </w:r>
          </w:p>
        </w:tc>
        <w:tc>
          <w:tcPr>
            <w:tcW w:w="1664" w:type="dxa"/>
          </w:tcPr>
          <w:p w14:paraId="511A3E5E"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20.00</w:t>
            </w:r>
          </w:p>
        </w:tc>
        <w:tc>
          <w:tcPr>
            <w:tcW w:w="1664" w:type="dxa"/>
          </w:tcPr>
          <w:p w14:paraId="76D77D54"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100.00</w:t>
            </w:r>
          </w:p>
        </w:tc>
        <w:tc>
          <w:tcPr>
            <w:tcW w:w="1664" w:type="dxa"/>
          </w:tcPr>
          <w:p w14:paraId="43EFEFE8" w14:textId="77777777" w:rsidR="00BB2CF1" w:rsidRPr="00BB2CF1" w:rsidRDefault="00BB2CF1" w:rsidP="001F27EA">
            <w:pPr>
              <w:pStyle w:val="Default"/>
              <w:jc w:val="center"/>
              <w:rPr>
                <w:sz w:val="20"/>
                <w:szCs w:val="20"/>
              </w:rPr>
            </w:pPr>
            <w:r w:rsidRPr="00BB2CF1">
              <w:rPr>
                <w:sz w:val="20"/>
                <w:szCs w:val="20"/>
              </w:rPr>
              <w:t xml:space="preserve">84.0000 </w:t>
            </w:r>
          </w:p>
        </w:tc>
        <w:tc>
          <w:tcPr>
            <w:tcW w:w="1664" w:type="dxa"/>
          </w:tcPr>
          <w:p w14:paraId="66D382CD" w14:textId="77777777" w:rsidR="00BB2CF1" w:rsidRPr="00BB2CF1" w:rsidRDefault="00BB2CF1" w:rsidP="001F27EA">
            <w:pPr>
              <w:pStyle w:val="Default"/>
              <w:jc w:val="center"/>
              <w:rPr>
                <w:sz w:val="20"/>
                <w:szCs w:val="20"/>
              </w:rPr>
            </w:pPr>
            <w:r w:rsidRPr="00BB2CF1">
              <w:rPr>
                <w:sz w:val="20"/>
                <w:szCs w:val="20"/>
              </w:rPr>
              <w:t xml:space="preserve">19.65415 </w:t>
            </w:r>
          </w:p>
          <w:p w14:paraId="5B4DE569" w14:textId="77777777" w:rsidR="00BB2CF1" w:rsidRPr="00BB2CF1" w:rsidRDefault="00BB2CF1" w:rsidP="001F27EA">
            <w:pPr>
              <w:pStyle w:val="Default"/>
              <w:jc w:val="center"/>
              <w:rPr>
                <w:sz w:val="20"/>
                <w:szCs w:val="20"/>
              </w:rPr>
            </w:pPr>
          </w:p>
        </w:tc>
      </w:tr>
      <w:tr w:rsidR="00BB2CF1" w:rsidRPr="00BB2CF1" w14:paraId="347B2B00" w14:textId="77777777" w:rsidTr="006700DB">
        <w:trPr>
          <w:trHeight w:val="366"/>
          <w:jc w:val="center"/>
        </w:trPr>
        <w:tc>
          <w:tcPr>
            <w:tcW w:w="1663" w:type="dxa"/>
          </w:tcPr>
          <w:p w14:paraId="4395990F" w14:textId="77777777" w:rsidR="00BB2CF1" w:rsidRPr="00BB2CF1" w:rsidRDefault="00BB2CF1" w:rsidP="001F27EA">
            <w:pPr>
              <w:autoSpaceDE w:val="0"/>
              <w:autoSpaceDN w:val="0"/>
              <w:adjustRightInd w:val="0"/>
              <w:spacing w:line="360" w:lineRule="auto"/>
              <w:jc w:val="center"/>
              <w:rPr>
                <w:rFonts w:ascii="Times New Roman" w:hAnsi="Times New Roman" w:cs="Times New Roman"/>
                <w:b/>
                <w:bCs/>
                <w:color w:val="000000"/>
                <w:sz w:val="20"/>
                <w:szCs w:val="20"/>
              </w:rPr>
            </w:pPr>
            <w:r w:rsidRPr="00BB2CF1">
              <w:rPr>
                <w:rFonts w:ascii="Times New Roman" w:hAnsi="Times New Roman" w:cs="Times New Roman"/>
                <w:b/>
                <w:bCs/>
                <w:color w:val="000000"/>
                <w:sz w:val="20"/>
                <w:szCs w:val="20"/>
              </w:rPr>
              <w:t>N</w:t>
            </w:r>
            <w:r w:rsidRPr="00BB2CF1">
              <w:rPr>
                <w:rFonts w:ascii="Times New Roman" w:hAnsi="Times New Roman" w:cs="Times New Roman"/>
                <w:b/>
                <w:bCs/>
                <w:color w:val="000000"/>
                <w:sz w:val="20"/>
                <w:szCs w:val="20"/>
                <w:vertAlign w:val="subscript"/>
              </w:rPr>
              <w:t>10</w:t>
            </w:r>
          </w:p>
        </w:tc>
        <w:tc>
          <w:tcPr>
            <w:tcW w:w="1663" w:type="dxa"/>
          </w:tcPr>
          <w:p w14:paraId="5D1DAD17"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22</w:t>
            </w:r>
          </w:p>
        </w:tc>
        <w:tc>
          <w:tcPr>
            <w:tcW w:w="1664" w:type="dxa"/>
          </w:tcPr>
          <w:p w14:paraId="5686209F"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.00</w:t>
            </w:r>
          </w:p>
        </w:tc>
        <w:tc>
          <w:tcPr>
            <w:tcW w:w="1664" w:type="dxa"/>
          </w:tcPr>
          <w:p w14:paraId="729E68B9" w14:textId="77777777" w:rsidR="00BB2CF1" w:rsidRPr="00BB2CF1" w:rsidRDefault="00BB2CF1" w:rsidP="001F27EA">
            <w:pPr>
              <w:autoSpaceDE w:val="0"/>
              <w:autoSpaceDN w:val="0"/>
              <w:adjustRightInd w:val="0"/>
              <w:spacing w:line="360" w:lineRule="auto"/>
              <w:jc w:val="center"/>
              <w:rPr>
                <w:rFonts w:ascii="Times New Roman" w:hAnsi="Times New Roman" w:cs="Times New Roman"/>
                <w:color w:val="000000"/>
                <w:sz w:val="20"/>
                <w:szCs w:val="20"/>
              </w:rPr>
            </w:pPr>
            <w:r w:rsidRPr="00BB2CF1">
              <w:rPr>
                <w:rFonts w:ascii="Times New Roman" w:hAnsi="Times New Roman" w:cs="Times New Roman"/>
                <w:color w:val="000000"/>
                <w:sz w:val="20"/>
                <w:szCs w:val="20"/>
              </w:rPr>
              <w:t>80.00</w:t>
            </w:r>
          </w:p>
        </w:tc>
        <w:tc>
          <w:tcPr>
            <w:tcW w:w="1664" w:type="dxa"/>
          </w:tcPr>
          <w:p w14:paraId="42246FCD" w14:textId="77777777" w:rsidR="00BB2CF1" w:rsidRPr="00BB2CF1" w:rsidRDefault="00BB2CF1" w:rsidP="001F27EA">
            <w:pPr>
              <w:pStyle w:val="Default"/>
              <w:jc w:val="center"/>
              <w:rPr>
                <w:sz w:val="20"/>
                <w:szCs w:val="20"/>
              </w:rPr>
            </w:pPr>
            <w:r w:rsidRPr="00BB2CF1">
              <w:rPr>
                <w:sz w:val="20"/>
                <w:szCs w:val="20"/>
              </w:rPr>
              <w:t xml:space="preserve">16.0000 </w:t>
            </w:r>
          </w:p>
          <w:p w14:paraId="0AE1E936" w14:textId="77777777" w:rsidR="00BB2CF1" w:rsidRPr="00BB2CF1" w:rsidRDefault="00BB2CF1" w:rsidP="001F27EA">
            <w:pPr>
              <w:pStyle w:val="Default"/>
              <w:jc w:val="center"/>
              <w:rPr>
                <w:sz w:val="20"/>
                <w:szCs w:val="20"/>
              </w:rPr>
            </w:pPr>
          </w:p>
        </w:tc>
        <w:tc>
          <w:tcPr>
            <w:tcW w:w="1664" w:type="dxa"/>
          </w:tcPr>
          <w:p w14:paraId="17BC7903" w14:textId="77777777" w:rsidR="00BB2CF1" w:rsidRPr="00BB2CF1" w:rsidRDefault="00BB2CF1" w:rsidP="001F27EA">
            <w:pPr>
              <w:pStyle w:val="Default"/>
              <w:jc w:val="center"/>
              <w:rPr>
                <w:sz w:val="20"/>
                <w:szCs w:val="20"/>
              </w:rPr>
            </w:pPr>
            <w:r w:rsidRPr="00BB2CF1">
              <w:rPr>
                <w:sz w:val="20"/>
                <w:szCs w:val="20"/>
              </w:rPr>
              <w:t xml:space="preserve">19.65415 </w:t>
            </w:r>
          </w:p>
        </w:tc>
      </w:tr>
    </w:tbl>
    <w:bookmarkEnd w:id="1"/>
    <w:p w14:paraId="7254FEC1" w14:textId="77777777" w:rsidR="00BB2CF1" w:rsidRDefault="00BB2CF1" w:rsidP="00BB2CF1">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b/>
        <w:t xml:space="preserve">  (Source: </w:t>
      </w:r>
      <w:r>
        <w:rPr>
          <w:rFonts w:ascii="Times New Roman" w:hAnsi="Times New Roman" w:cs="Times New Roman"/>
          <w:sz w:val="20"/>
          <w:szCs w:val="20"/>
        </w:rPr>
        <w:t>Primary Data, Author’s Compilation in SPSS 20)</w:t>
      </w:r>
    </w:p>
    <w:p w14:paraId="742D80B4" w14:textId="41BE1B3D" w:rsidR="00BB2CF1" w:rsidRPr="00BB2CF1" w:rsidRDefault="00BB2CF1" w:rsidP="00BB2CF1">
      <w:pPr>
        <w:autoSpaceDE w:val="0"/>
        <w:autoSpaceDN w:val="0"/>
        <w:adjustRightInd w:val="0"/>
        <w:spacing w:line="360" w:lineRule="auto"/>
        <w:rPr>
          <w:rFonts w:ascii="Times New Roman" w:hAnsi="Times New Roman" w:cs="Times New Roman"/>
          <w:b/>
          <w:bCs/>
          <w:sz w:val="20"/>
          <w:szCs w:val="20"/>
        </w:rPr>
      </w:pPr>
    </w:p>
    <w:p w14:paraId="10AF7434" w14:textId="4C7A9935" w:rsidR="00BB2CF1" w:rsidRDefault="006700DB" w:rsidP="006700DB">
      <w:pPr>
        <w:autoSpaceDE w:val="0"/>
        <w:autoSpaceDN w:val="0"/>
        <w:adjustRightInd w:val="0"/>
        <w:ind w:firstLine="720"/>
        <w:rPr>
          <w:rFonts w:ascii="Times New Roman" w:hAnsi="Times New Roman" w:cs="Times New Roman"/>
          <w:color w:val="000000"/>
          <w:sz w:val="20"/>
          <w:szCs w:val="20"/>
        </w:rPr>
      </w:pPr>
      <w:bookmarkStart w:id="2" w:name="_Hlk89817393"/>
      <w:r>
        <w:rPr>
          <w:rFonts w:ascii="Times New Roman" w:hAnsi="Times New Roman" w:cs="Times New Roman"/>
          <w:color w:val="000000"/>
          <w:sz w:val="20"/>
          <w:szCs w:val="20"/>
        </w:rPr>
        <w:t xml:space="preserve"> </w:t>
      </w:r>
      <w:r w:rsidR="00BB2CF1" w:rsidRPr="00BB2CF1">
        <w:rPr>
          <w:rFonts w:ascii="Times New Roman" w:hAnsi="Times New Roman" w:cs="Times New Roman"/>
          <w:color w:val="000000"/>
          <w:sz w:val="20"/>
          <w:szCs w:val="20"/>
        </w:rPr>
        <w:t>Where,</w:t>
      </w:r>
    </w:p>
    <w:p w14:paraId="0DC543DC" w14:textId="77777777" w:rsidR="00BB2CF1" w:rsidRPr="00BB2CF1" w:rsidRDefault="00BB2CF1" w:rsidP="00BB2CF1">
      <w:pPr>
        <w:autoSpaceDE w:val="0"/>
        <w:autoSpaceDN w:val="0"/>
        <w:adjustRightInd w:val="0"/>
        <w:rPr>
          <w:rFonts w:ascii="Times New Roman" w:hAnsi="Times New Roman" w:cs="Times New Roman"/>
          <w:color w:val="000000"/>
          <w:sz w:val="20"/>
          <w:szCs w:val="20"/>
        </w:rPr>
      </w:pPr>
    </w:p>
    <w:p w14:paraId="36099747" w14:textId="63C8FF40" w:rsidR="00BB2CF1" w:rsidRDefault="00BB2CF1" w:rsidP="00BB2CF1">
      <w:pPr>
        <w:autoSpaceDE w:val="0"/>
        <w:autoSpaceDN w:val="0"/>
        <w:adjustRightInd w:val="0"/>
        <w:rPr>
          <w:rFonts w:ascii="Times New Roman" w:hAnsi="Times New Roman" w:cs="Times New Roman"/>
          <w:color w:val="000000"/>
          <w:sz w:val="20"/>
          <w:szCs w:val="20"/>
        </w:rPr>
      </w:pPr>
      <w:r w:rsidRPr="00BB2CF1">
        <w:rPr>
          <w:rFonts w:ascii="Times New Roman" w:hAnsi="Times New Roman" w:cs="Times New Roman"/>
          <w:color w:val="000000"/>
          <w:sz w:val="20"/>
          <w:szCs w:val="20"/>
        </w:rPr>
        <w:t>N</w:t>
      </w:r>
      <w:r w:rsidRPr="00BB2CF1">
        <w:rPr>
          <w:rFonts w:ascii="Times New Roman" w:hAnsi="Times New Roman" w:cs="Times New Roman"/>
          <w:color w:val="000000"/>
          <w:sz w:val="20"/>
          <w:szCs w:val="20"/>
          <w:vertAlign w:val="subscript"/>
        </w:rPr>
        <w:t>7</w:t>
      </w:r>
      <w:r w:rsidRPr="00BB2CF1">
        <w:rPr>
          <w:rFonts w:ascii="Times New Roman" w:hAnsi="Times New Roman" w:cs="Times New Roman"/>
          <w:color w:val="000000"/>
          <w:sz w:val="20"/>
          <w:szCs w:val="20"/>
        </w:rPr>
        <w:t xml:space="preserve"> = % of investment risk free instruments of the investors of age group below 45 years; </w:t>
      </w:r>
    </w:p>
    <w:p w14:paraId="30F51A29" w14:textId="77777777" w:rsidR="00BB2CF1" w:rsidRPr="00BB2CF1" w:rsidRDefault="00BB2CF1" w:rsidP="00BB2CF1">
      <w:pPr>
        <w:autoSpaceDE w:val="0"/>
        <w:autoSpaceDN w:val="0"/>
        <w:adjustRightInd w:val="0"/>
        <w:rPr>
          <w:rFonts w:ascii="Times New Roman" w:hAnsi="Times New Roman" w:cs="Times New Roman"/>
          <w:color w:val="000000"/>
          <w:sz w:val="20"/>
          <w:szCs w:val="20"/>
        </w:rPr>
      </w:pPr>
    </w:p>
    <w:p w14:paraId="28FD54F6" w14:textId="45F95D8D" w:rsidR="00BB2CF1" w:rsidRDefault="00BB2CF1" w:rsidP="00BB2CF1">
      <w:pPr>
        <w:autoSpaceDE w:val="0"/>
        <w:autoSpaceDN w:val="0"/>
        <w:adjustRightInd w:val="0"/>
        <w:rPr>
          <w:rFonts w:ascii="Times New Roman" w:hAnsi="Times New Roman" w:cs="Times New Roman"/>
          <w:color w:val="000000"/>
          <w:sz w:val="20"/>
          <w:szCs w:val="20"/>
        </w:rPr>
      </w:pPr>
      <w:r w:rsidRPr="00BB2CF1">
        <w:rPr>
          <w:rFonts w:ascii="Times New Roman" w:hAnsi="Times New Roman" w:cs="Times New Roman"/>
          <w:color w:val="000000"/>
          <w:sz w:val="20"/>
          <w:szCs w:val="20"/>
        </w:rPr>
        <w:t>N</w:t>
      </w:r>
      <w:r w:rsidRPr="00BB2CF1">
        <w:rPr>
          <w:rFonts w:ascii="Times New Roman" w:hAnsi="Times New Roman" w:cs="Times New Roman"/>
          <w:color w:val="000000"/>
          <w:sz w:val="20"/>
          <w:szCs w:val="20"/>
          <w:vertAlign w:val="subscript"/>
        </w:rPr>
        <w:t>8</w:t>
      </w:r>
      <w:r w:rsidRPr="00BB2CF1">
        <w:rPr>
          <w:rFonts w:ascii="Times New Roman" w:hAnsi="Times New Roman" w:cs="Times New Roman"/>
          <w:color w:val="000000"/>
          <w:sz w:val="20"/>
          <w:szCs w:val="20"/>
        </w:rPr>
        <w:t xml:space="preserve"> = % of investment risky instruments of the investors of age group below 45 years; </w:t>
      </w:r>
    </w:p>
    <w:p w14:paraId="0A86CF14" w14:textId="77777777" w:rsidR="00BB2CF1" w:rsidRPr="00BB2CF1" w:rsidRDefault="00BB2CF1" w:rsidP="00BB2CF1">
      <w:pPr>
        <w:autoSpaceDE w:val="0"/>
        <w:autoSpaceDN w:val="0"/>
        <w:adjustRightInd w:val="0"/>
        <w:rPr>
          <w:rFonts w:ascii="Times New Roman" w:hAnsi="Times New Roman" w:cs="Times New Roman"/>
          <w:color w:val="000000"/>
          <w:sz w:val="20"/>
          <w:szCs w:val="20"/>
        </w:rPr>
      </w:pPr>
    </w:p>
    <w:p w14:paraId="19B136DD" w14:textId="70C2F879" w:rsidR="00BB2CF1" w:rsidRDefault="00BB2CF1" w:rsidP="00BB2CF1">
      <w:pPr>
        <w:autoSpaceDE w:val="0"/>
        <w:autoSpaceDN w:val="0"/>
        <w:adjustRightInd w:val="0"/>
        <w:rPr>
          <w:rFonts w:ascii="Times New Roman" w:hAnsi="Times New Roman" w:cs="Times New Roman"/>
          <w:color w:val="000000"/>
          <w:sz w:val="20"/>
          <w:szCs w:val="20"/>
        </w:rPr>
      </w:pPr>
      <w:r w:rsidRPr="00BB2CF1">
        <w:rPr>
          <w:rFonts w:ascii="Times New Roman" w:hAnsi="Times New Roman" w:cs="Times New Roman"/>
          <w:color w:val="000000"/>
          <w:sz w:val="20"/>
          <w:szCs w:val="20"/>
        </w:rPr>
        <w:t>N</w:t>
      </w:r>
      <w:r w:rsidRPr="00BB2CF1">
        <w:rPr>
          <w:rFonts w:ascii="Times New Roman" w:hAnsi="Times New Roman" w:cs="Times New Roman"/>
          <w:color w:val="000000"/>
          <w:sz w:val="20"/>
          <w:szCs w:val="20"/>
          <w:vertAlign w:val="subscript"/>
        </w:rPr>
        <w:t>9</w:t>
      </w:r>
      <w:r w:rsidRPr="00BB2CF1">
        <w:rPr>
          <w:rFonts w:ascii="Times New Roman" w:hAnsi="Times New Roman" w:cs="Times New Roman"/>
          <w:color w:val="000000"/>
          <w:sz w:val="20"/>
          <w:szCs w:val="20"/>
        </w:rPr>
        <w:t xml:space="preserve"> = % of investment risk free instruments of the investors of age group of 45 years and above; and </w:t>
      </w:r>
    </w:p>
    <w:p w14:paraId="02C31B5E" w14:textId="77777777" w:rsidR="00BB2CF1" w:rsidRPr="00BB2CF1" w:rsidRDefault="00BB2CF1" w:rsidP="00BB2CF1">
      <w:pPr>
        <w:autoSpaceDE w:val="0"/>
        <w:autoSpaceDN w:val="0"/>
        <w:adjustRightInd w:val="0"/>
        <w:rPr>
          <w:rFonts w:ascii="Times New Roman" w:hAnsi="Times New Roman" w:cs="Times New Roman"/>
          <w:color w:val="000000"/>
          <w:sz w:val="20"/>
          <w:szCs w:val="20"/>
        </w:rPr>
      </w:pPr>
    </w:p>
    <w:p w14:paraId="3E92796D" w14:textId="11FD9DB9" w:rsidR="00BB2CF1" w:rsidRDefault="00BB2CF1" w:rsidP="00BB2CF1">
      <w:pPr>
        <w:rPr>
          <w:rFonts w:ascii="Times New Roman" w:hAnsi="Times New Roman" w:cs="Times New Roman"/>
          <w:color w:val="000000"/>
          <w:sz w:val="20"/>
          <w:szCs w:val="20"/>
        </w:rPr>
      </w:pPr>
      <w:r w:rsidRPr="00BB2CF1">
        <w:rPr>
          <w:rFonts w:ascii="Times New Roman" w:hAnsi="Times New Roman" w:cs="Times New Roman"/>
          <w:color w:val="000000"/>
          <w:sz w:val="20"/>
          <w:szCs w:val="20"/>
        </w:rPr>
        <w:t>N</w:t>
      </w:r>
      <w:r w:rsidRPr="00BB2CF1">
        <w:rPr>
          <w:rFonts w:ascii="Times New Roman" w:hAnsi="Times New Roman" w:cs="Times New Roman"/>
          <w:color w:val="000000"/>
          <w:sz w:val="20"/>
          <w:szCs w:val="20"/>
          <w:vertAlign w:val="subscript"/>
        </w:rPr>
        <w:t>10</w:t>
      </w:r>
      <w:r w:rsidRPr="00BB2CF1">
        <w:rPr>
          <w:rFonts w:ascii="Times New Roman" w:hAnsi="Times New Roman" w:cs="Times New Roman"/>
          <w:color w:val="000000"/>
          <w:sz w:val="20"/>
          <w:szCs w:val="20"/>
        </w:rPr>
        <w:t xml:space="preserve"> = % of investment risky instruments of the investors of age group of 45 years and above.</w:t>
      </w:r>
    </w:p>
    <w:p w14:paraId="49987B01" w14:textId="77777777" w:rsidR="00BB2CF1" w:rsidRPr="00BB2CF1" w:rsidRDefault="00BB2CF1" w:rsidP="00BB2CF1">
      <w:pPr>
        <w:rPr>
          <w:rFonts w:ascii="Times New Roman" w:hAnsi="Times New Roman" w:cs="Times New Roman"/>
          <w:color w:val="000000"/>
          <w:sz w:val="20"/>
          <w:szCs w:val="20"/>
        </w:rPr>
      </w:pPr>
    </w:p>
    <w:bookmarkEnd w:id="2"/>
    <w:p w14:paraId="57678A6A" w14:textId="77777777" w:rsidR="00BB2CF1" w:rsidRDefault="00BB2CF1" w:rsidP="00BB2CF1">
      <w:pPr>
        <w:rPr>
          <w:rFonts w:ascii="Times New Roman" w:hAnsi="Times New Roman" w:cs="Times New Roman"/>
          <w:color w:val="000000"/>
          <w:sz w:val="20"/>
          <w:szCs w:val="20"/>
        </w:rPr>
      </w:pPr>
      <w:r w:rsidRPr="00BB2CF1">
        <w:rPr>
          <w:rFonts w:ascii="Times New Roman" w:hAnsi="Times New Roman" w:cs="Times New Roman"/>
          <w:color w:val="000000"/>
          <w:sz w:val="20"/>
          <w:szCs w:val="20"/>
        </w:rPr>
        <w:t>Observations (from table 4 above and the data collected):</w:t>
      </w:r>
    </w:p>
    <w:p w14:paraId="14492CD5" w14:textId="4DA894F6" w:rsidR="00BB2CF1" w:rsidRPr="00BB2CF1" w:rsidRDefault="00BB2CF1" w:rsidP="00BB2CF1">
      <w:pPr>
        <w:rPr>
          <w:rFonts w:ascii="Times New Roman" w:hAnsi="Times New Roman" w:cs="Times New Roman"/>
          <w:color w:val="000000"/>
          <w:sz w:val="20"/>
          <w:szCs w:val="20"/>
        </w:rPr>
      </w:pPr>
      <w:r w:rsidRPr="00BB2CF1">
        <w:rPr>
          <w:rFonts w:ascii="Times New Roman" w:hAnsi="Times New Roman" w:cs="Times New Roman"/>
          <w:color w:val="000000"/>
          <w:sz w:val="20"/>
          <w:szCs w:val="20"/>
        </w:rPr>
        <w:t xml:space="preserve"> </w:t>
      </w:r>
    </w:p>
    <w:p w14:paraId="56499FE0" w14:textId="09A6A4CD" w:rsidR="00BB2CF1" w:rsidRDefault="00BB2CF1" w:rsidP="00BB2CF1">
      <w:pPr>
        <w:pStyle w:val="ListParagraph"/>
        <w:numPr>
          <w:ilvl w:val="0"/>
          <w:numId w:val="9"/>
        </w:numPr>
        <w:autoSpaceDE w:val="0"/>
        <w:autoSpaceDN w:val="0"/>
        <w:adjustRightInd w:val="0"/>
        <w:spacing w:after="166"/>
        <w:rPr>
          <w:rFonts w:ascii="Times New Roman" w:hAnsi="Times New Roman" w:cs="Times New Roman"/>
          <w:color w:val="000000"/>
          <w:sz w:val="20"/>
          <w:szCs w:val="20"/>
        </w:rPr>
      </w:pPr>
      <w:r w:rsidRPr="00BB2CF1">
        <w:rPr>
          <w:rFonts w:ascii="Times New Roman" w:hAnsi="Times New Roman" w:cs="Times New Roman"/>
          <w:color w:val="000000"/>
          <w:sz w:val="20"/>
          <w:szCs w:val="20"/>
        </w:rPr>
        <w:t>72.69 % of the total investments of the investors of age group ‘below 45 years’ are routed to riskless instruments and rest 27.31% in risky instruments. This is slightly different from the overall average shown in table 2</w:t>
      </w:r>
      <w:r>
        <w:rPr>
          <w:rFonts w:ascii="Times New Roman" w:hAnsi="Times New Roman" w:cs="Times New Roman"/>
          <w:color w:val="000000"/>
          <w:sz w:val="20"/>
          <w:szCs w:val="20"/>
        </w:rPr>
        <w:t>.</w:t>
      </w:r>
    </w:p>
    <w:p w14:paraId="590CFFDF" w14:textId="77777777" w:rsidR="00BB2CF1" w:rsidRPr="00BB2CF1" w:rsidRDefault="00BB2CF1" w:rsidP="00BB2CF1">
      <w:pPr>
        <w:pStyle w:val="ListParagraph"/>
        <w:autoSpaceDE w:val="0"/>
        <w:autoSpaceDN w:val="0"/>
        <w:adjustRightInd w:val="0"/>
        <w:spacing w:after="166"/>
        <w:ind w:left="360"/>
        <w:rPr>
          <w:rFonts w:ascii="Times New Roman" w:hAnsi="Times New Roman" w:cs="Times New Roman"/>
          <w:color w:val="000000"/>
          <w:sz w:val="20"/>
          <w:szCs w:val="20"/>
        </w:rPr>
      </w:pPr>
    </w:p>
    <w:p w14:paraId="61872C90" w14:textId="3C1F1A10" w:rsidR="00BB2CF1" w:rsidRDefault="00BB2CF1" w:rsidP="00BB2CF1">
      <w:pPr>
        <w:pStyle w:val="ListParagraph"/>
        <w:numPr>
          <w:ilvl w:val="0"/>
          <w:numId w:val="9"/>
        </w:numPr>
        <w:autoSpaceDE w:val="0"/>
        <w:autoSpaceDN w:val="0"/>
        <w:adjustRightInd w:val="0"/>
        <w:spacing w:after="166"/>
        <w:rPr>
          <w:rFonts w:ascii="Times New Roman" w:hAnsi="Times New Roman" w:cs="Times New Roman"/>
          <w:color w:val="000000"/>
          <w:sz w:val="20"/>
          <w:szCs w:val="20"/>
        </w:rPr>
      </w:pPr>
      <w:r w:rsidRPr="00BB2CF1">
        <w:rPr>
          <w:rFonts w:ascii="Times New Roman" w:hAnsi="Times New Roman" w:cs="Times New Roman"/>
          <w:color w:val="000000"/>
          <w:sz w:val="20"/>
          <w:szCs w:val="20"/>
        </w:rPr>
        <w:t>84% of the total investments of the investors of age group of ‘45 years and above’ are routed to riskless instruments and rest 16% in risky instruments. This is, to some extent, different from that of age group of ‘below 45</w:t>
      </w:r>
      <w:r>
        <w:rPr>
          <w:rFonts w:ascii="Times New Roman" w:hAnsi="Times New Roman" w:cs="Times New Roman"/>
          <w:color w:val="000000"/>
          <w:sz w:val="20"/>
          <w:szCs w:val="20"/>
        </w:rPr>
        <w:t xml:space="preserve"> </w:t>
      </w:r>
      <w:r w:rsidRPr="00BB2CF1">
        <w:rPr>
          <w:rFonts w:ascii="Times New Roman" w:hAnsi="Times New Roman" w:cs="Times New Roman"/>
          <w:color w:val="000000"/>
          <w:sz w:val="20"/>
          <w:szCs w:val="20"/>
        </w:rPr>
        <w:t xml:space="preserve">years’ and overall average shown in table 2. </w:t>
      </w:r>
    </w:p>
    <w:p w14:paraId="1037B6D3" w14:textId="77777777" w:rsidR="00BB2CF1" w:rsidRPr="00BB2CF1" w:rsidRDefault="00BB2CF1" w:rsidP="00BB2CF1">
      <w:pPr>
        <w:pStyle w:val="ListParagraph"/>
        <w:autoSpaceDE w:val="0"/>
        <w:autoSpaceDN w:val="0"/>
        <w:adjustRightInd w:val="0"/>
        <w:spacing w:after="166"/>
        <w:ind w:left="360"/>
        <w:rPr>
          <w:rFonts w:ascii="Times New Roman" w:hAnsi="Times New Roman" w:cs="Times New Roman"/>
          <w:color w:val="000000"/>
          <w:sz w:val="20"/>
          <w:szCs w:val="20"/>
        </w:rPr>
      </w:pPr>
    </w:p>
    <w:p w14:paraId="19C58880" w14:textId="446D7C6B" w:rsidR="00BB2CF1" w:rsidRDefault="00BB2CF1" w:rsidP="00BB2CF1">
      <w:pPr>
        <w:pStyle w:val="ListParagraph"/>
        <w:numPr>
          <w:ilvl w:val="0"/>
          <w:numId w:val="9"/>
        </w:numPr>
        <w:autoSpaceDE w:val="0"/>
        <w:autoSpaceDN w:val="0"/>
        <w:adjustRightInd w:val="0"/>
        <w:spacing w:after="166"/>
        <w:rPr>
          <w:rFonts w:ascii="Times New Roman" w:hAnsi="Times New Roman" w:cs="Times New Roman"/>
          <w:color w:val="000000"/>
          <w:sz w:val="20"/>
          <w:szCs w:val="20"/>
        </w:rPr>
      </w:pPr>
      <w:r w:rsidRPr="00BB2CF1">
        <w:rPr>
          <w:rFonts w:ascii="Times New Roman" w:hAnsi="Times New Roman" w:cs="Times New Roman"/>
          <w:color w:val="000000"/>
          <w:sz w:val="20"/>
          <w:szCs w:val="20"/>
        </w:rPr>
        <w:t xml:space="preserve">On the basis of observation (ii) above, we need to conduct following two additional tests to find out whether the differences on the basis of age are significant or not: </w:t>
      </w:r>
    </w:p>
    <w:p w14:paraId="4E44C9DA" w14:textId="77777777" w:rsidR="00BB2CF1" w:rsidRPr="00BB2CF1" w:rsidRDefault="00BB2CF1" w:rsidP="00BB2CF1">
      <w:pPr>
        <w:pStyle w:val="ListParagraph"/>
        <w:rPr>
          <w:rFonts w:ascii="Times New Roman" w:hAnsi="Times New Roman" w:cs="Times New Roman"/>
          <w:color w:val="000000"/>
          <w:sz w:val="20"/>
          <w:szCs w:val="20"/>
        </w:rPr>
      </w:pPr>
    </w:p>
    <w:p w14:paraId="374ADE74" w14:textId="77777777" w:rsidR="00BB2CF1" w:rsidRPr="00BB2CF1" w:rsidRDefault="00BB2CF1" w:rsidP="00BB2CF1">
      <w:pPr>
        <w:pStyle w:val="ListParagraph"/>
        <w:autoSpaceDE w:val="0"/>
        <w:autoSpaceDN w:val="0"/>
        <w:adjustRightInd w:val="0"/>
        <w:spacing w:after="166"/>
        <w:ind w:left="360"/>
        <w:rPr>
          <w:rFonts w:ascii="Times New Roman" w:hAnsi="Times New Roman" w:cs="Times New Roman"/>
          <w:color w:val="000000"/>
          <w:sz w:val="20"/>
          <w:szCs w:val="20"/>
        </w:rPr>
      </w:pPr>
    </w:p>
    <w:p w14:paraId="4A125776" w14:textId="1031A3F5" w:rsidR="00BB2CF1" w:rsidRDefault="00BB2CF1" w:rsidP="00BB2CF1">
      <w:pPr>
        <w:pStyle w:val="ListParagraph"/>
        <w:numPr>
          <w:ilvl w:val="0"/>
          <w:numId w:val="10"/>
        </w:numPr>
        <w:autoSpaceDE w:val="0"/>
        <w:autoSpaceDN w:val="0"/>
        <w:adjustRightInd w:val="0"/>
        <w:spacing w:after="166"/>
        <w:rPr>
          <w:rFonts w:ascii="Times New Roman" w:hAnsi="Times New Roman" w:cs="Times New Roman"/>
          <w:color w:val="000000"/>
          <w:sz w:val="20"/>
          <w:szCs w:val="20"/>
        </w:rPr>
      </w:pPr>
      <w:r w:rsidRPr="00BB2CF1">
        <w:rPr>
          <w:rFonts w:ascii="Times New Roman" w:hAnsi="Times New Roman" w:cs="Times New Roman"/>
          <w:b/>
          <w:bCs/>
          <w:color w:val="000000"/>
          <w:sz w:val="20"/>
          <w:szCs w:val="20"/>
        </w:rPr>
        <w:t xml:space="preserve">t-test </w:t>
      </w:r>
      <w:r w:rsidRPr="00BB2CF1">
        <w:rPr>
          <w:rFonts w:ascii="Times New Roman" w:hAnsi="Times New Roman" w:cs="Times New Roman"/>
          <w:color w:val="000000"/>
          <w:sz w:val="20"/>
          <w:szCs w:val="20"/>
        </w:rPr>
        <w:t>to find out whether investment proportion in risky instruments (or riskless instruments) differs significantly among the investors of age group of ‘below 45 years’ and ‘45 years and above’. We have conducted this test on the proportion of risky instruments in section 9 of this study below.</w:t>
      </w:r>
    </w:p>
    <w:p w14:paraId="5B6BAA8C" w14:textId="77777777" w:rsidR="006700DB" w:rsidRPr="00BB2CF1" w:rsidRDefault="006700DB" w:rsidP="006700DB">
      <w:pPr>
        <w:pStyle w:val="ListParagraph"/>
        <w:autoSpaceDE w:val="0"/>
        <w:autoSpaceDN w:val="0"/>
        <w:adjustRightInd w:val="0"/>
        <w:spacing w:after="166"/>
        <w:rPr>
          <w:rFonts w:ascii="Times New Roman" w:hAnsi="Times New Roman" w:cs="Times New Roman"/>
          <w:color w:val="000000"/>
          <w:sz w:val="20"/>
          <w:szCs w:val="20"/>
        </w:rPr>
      </w:pPr>
    </w:p>
    <w:p w14:paraId="3CB23637" w14:textId="10982C87" w:rsidR="00BB2CF1" w:rsidRDefault="00BB2CF1" w:rsidP="00BB2CF1">
      <w:pPr>
        <w:pStyle w:val="ListParagraph"/>
        <w:numPr>
          <w:ilvl w:val="0"/>
          <w:numId w:val="10"/>
        </w:numPr>
        <w:autoSpaceDE w:val="0"/>
        <w:autoSpaceDN w:val="0"/>
        <w:adjustRightInd w:val="0"/>
        <w:rPr>
          <w:rFonts w:ascii="Times New Roman" w:hAnsi="Times New Roman" w:cs="Times New Roman"/>
          <w:color w:val="000000"/>
          <w:sz w:val="20"/>
          <w:szCs w:val="20"/>
        </w:rPr>
      </w:pPr>
      <w:r w:rsidRPr="00BB2CF1">
        <w:rPr>
          <w:rFonts w:ascii="Times New Roman" w:hAnsi="Times New Roman" w:cs="Times New Roman"/>
          <w:b/>
          <w:bCs/>
          <w:color w:val="000000"/>
          <w:sz w:val="20"/>
          <w:szCs w:val="20"/>
        </w:rPr>
        <w:t xml:space="preserve">t-test </w:t>
      </w:r>
      <w:r w:rsidRPr="00BB2CF1">
        <w:rPr>
          <w:rFonts w:ascii="Times New Roman" w:hAnsi="Times New Roman" w:cs="Times New Roman"/>
          <w:color w:val="000000"/>
          <w:sz w:val="20"/>
          <w:szCs w:val="20"/>
        </w:rPr>
        <w:t xml:space="preserve">to find out whether investment proportion in risky instruments (or riskless instruments) differs significantly among the investors of age group of ‘below 45 years’ and ‘45 years and above’ within the investors falling in the income group of ‘Rs. 7,50,000 and above’. We have conducted this test on the proportion of risky instruments in section 10 of this study below. This is worthy to mention here that the same test on investors falling in the income group of below Rs 7,50,000 should not be conducted. This is due to inadequate sample size (4 samples only) on ‘45 years and above’ category. Any meaningful inferences cannot be drawn from this sample size. </w:t>
      </w:r>
    </w:p>
    <w:p w14:paraId="11FE05FD" w14:textId="77777777" w:rsidR="006700DB" w:rsidRPr="006700DB" w:rsidRDefault="006700DB" w:rsidP="006700DB">
      <w:pPr>
        <w:pStyle w:val="ListParagraph"/>
        <w:rPr>
          <w:rFonts w:ascii="Times New Roman" w:hAnsi="Times New Roman" w:cs="Times New Roman"/>
          <w:color w:val="000000"/>
          <w:sz w:val="20"/>
          <w:szCs w:val="20"/>
        </w:rPr>
      </w:pPr>
    </w:p>
    <w:p w14:paraId="38F0EF9D" w14:textId="757613AB" w:rsidR="006700DB" w:rsidRDefault="006700DB" w:rsidP="006700DB">
      <w:pPr>
        <w:autoSpaceDE w:val="0"/>
        <w:autoSpaceDN w:val="0"/>
        <w:adjustRightInd w:val="0"/>
        <w:rPr>
          <w:rFonts w:ascii="Times New Roman" w:hAnsi="Times New Roman" w:cs="Times New Roman"/>
          <w:color w:val="000000"/>
          <w:sz w:val="20"/>
          <w:szCs w:val="20"/>
        </w:rPr>
      </w:pPr>
    </w:p>
    <w:p w14:paraId="67FE3989" w14:textId="116CD071" w:rsidR="006700DB" w:rsidRPr="006700DB" w:rsidRDefault="006700DB" w:rsidP="00995FDF">
      <w:pPr>
        <w:pStyle w:val="ListParagraph"/>
        <w:numPr>
          <w:ilvl w:val="0"/>
          <w:numId w:val="11"/>
        </w:num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16"/>
          <w:szCs w:val="16"/>
        </w:rPr>
        <w:t xml:space="preserve"> </w:t>
      </w:r>
      <w:r w:rsidRPr="006700DB">
        <w:rPr>
          <w:rFonts w:ascii="Times New Roman" w:hAnsi="Times New Roman" w:cs="Times New Roman"/>
          <w:b/>
          <w:bCs/>
          <w:color w:val="000000"/>
          <w:sz w:val="20"/>
          <w:szCs w:val="20"/>
        </w:rPr>
        <w:t>T-test to determine the statistical significance of difference between investment proportion in risky instruments among the investors of age group of below 45 years and 45 years and above:</w:t>
      </w:r>
    </w:p>
    <w:p w14:paraId="1EF2291E" w14:textId="77777777" w:rsidR="006700DB" w:rsidRPr="00B110D7" w:rsidRDefault="006700DB" w:rsidP="006700DB">
      <w:pPr>
        <w:pStyle w:val="ListParagraph"/>
        <w:autoSpaceDE w:val="0"/>
        <w:autoSpaceDN w:val="0"/>
        <w:adjustRightInd w:val="0"/>
        <w:spacing w:line="360" w:lineRule="auto"/>
        <w:ind w:left="360"/>
        <w:rPr>
          <w:rFonts w:ascii="Times New Roman" w:hAnsi="Times New Roman" w:cs="Times New Roman"/>
          <w:color w:val="000000"/>
          <w:sz w:val="24"/>
          <w:szCs w:val="24"/>
        </w:rPr>
      </w:pPr>
    </w:p>
    <w:p w14:paraId="4B203066" w14:textId="1840A799" w:rsidR="006700DB" w:rsidRPr="006700DB" w:rsidRDefault="006700DB" w:rsidP="006700DB">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 xml:space="preserve"> </w:t>
      </w:r>
      <w:r w:rsidRPr="006700DB">
        <w:rPr>
          <w:rFonts w:ascii="Times New Roman" w:hAnsi="Times New Roman" w:cs="Times New Roman"/>
          <w:sz w:val="20"/>
          <w:szCs w:val="20"/>
        </w:rPr>
        <w:t xml:space="preserve">We apply t – test for testing equality of means for two independent random samples of size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 xml:space="preserve">1 </w:t>
      </w:r>
      <w:r w:rsidRPr="006700DB">
        <w:rPr>
          <w:rFonts w:ascii="Times New Roman" w:hAnsi="Times New Roman" w:cs="Times New Roman"/>
          <w:sz w:val="20"/>
          <w:szCs w:val="20"/>
        </w:rPr>
        <w:t xml:space="preserve">and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2</w:t>
      </w:r>
      <w:r w:rsidRPr="006700DB">
        <w:rPr>
          <w:rFonts w:ascii="Times New Roman" w:hAnsi="Times New Roman" w:cs="Times New Roman"/>
          <w:sz w:val="20"/>
          <w:szCs w:val="20"/>
        </w:rPr>
        <w:t xml:space="preserve">. Here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1</w:t>
      </w:r>
      <w:r w:rsidRPr="006700DB">
        <w:rPr>
          <w:rFonts w:ascii="Times New Roman" w:hAnsi="Times New Roman" w:cs="Times New Roman"/>
          <w:sz w:val="20"/>
          <w:szCs w:val="20"/>
        </w:rPr>
        <w:t xml:space="preserve"> =</w:t>
      </w:r>
      <w:r w:rsidRPr="006700DB">
        <w:rPr>
          <w:rFonts w:ascii="Times New Roman" w:hAnsi="Times New Roman" w:cs="Times New Roman"/>
          <w:b/>
          <w:bCs/>
          <w:sz w:val="20"/>
          <w:szCs w:val="20"/>
        </w:rPr>
        <w:t>22</w:t>
      </w:r>
      <w:r w:rsidRPr="006700DB">
        <w:rPr>
          <w:rFonts w:ascii="Times New Roman" w:hAnsi="Times New Roman" w:cs="Times New Roman"/>
          <w:sz w:val="20"/>
          <w:szCs w:val="20"/>
        </w:rPr>
        <w:t xml:space="preserve"> and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2</w:t>
      </w:r>
      <w:r w:rsidRPr="006700DB">
        <w:rPr>
          <w:rFonts w:ascii="Times New Roman" w:hAnsi="Times New Roman" w:cs="Times New Roman"/>
          <w:sz w:val="20"/>
          <w:szCs w:val="20"/>
        </w:rPr>
        <w:t>=</w:t>
      </w:r>
      <w:r w:rsidRPr="006700DB">
        <w:rPr>
          <w:rFonts w:ascii="Times New Roman" w:hAnsi="Times New Roman" w:cs="Times New Roman"/>
          <w:b/>
          <w:bCs/>
          <w:sz w:val="20"/>
          <w:szCs w:val="20"/>
        </w:rPr>
        <w:t>104</w:t>
      </w:r>
      <w:r w:rsidRPr="006700DB">
        <w:rPr>
          <w:rFonts w:ascii="Times New Roman" w:hAnsi="Times New Roman" w:cs="Times New Roman"/>
          <w:sz w:val="20"/>
          <w:szCs w:val="20"/>
        </w:rPr>
        <w:t xml:space="preserve">. Where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 xml:space="preserve">1 </w:t>
      </w:r>
      <w:r w:rsidRPr="006700DB">
        <w:rPr>
          <w:rFonts w:ascii="Times New Roman" w:hAnsi="Times New Roman" w:cs="Times New Roman"/>
          <w:sz w:val="20"/>
          <w:szCs w:val="20"/>
        </w:rPr>
        <w:t xml:space="preserve">stands for number of investors from age group of </w:t>
      </w:r>
      <w:r w:rsidRPr="006700DB">
        <w:rPr>
          <w:rFonts w:ascii="Times New Roman" w:hAnsi="Times New Roman" w:cs="Times New Roman"/>
          <w:b/>
          <w:bCs/>
          <w:sz w:val="20"/>
          <w:szCs w:val="20"/>
        </w:rPr>
        <w:t>‘45 years and above’</w:t>
      </w:r>
      <w:r w:rsidRPr="006700DB">
        <w:rPr>
          <w:rFonts w:ascii="Times New Roman" w:hAnsi="Times New Roman" w:cs="Times New Roman"/>
          <w:sz w:val="20"/>
          <w:szCs w:val="20"/>
        </w:rPr>
        <w:t xml:space="preserve"> and </w:t>
      </w:r>
      <w:r w:rsidRPr="006700DB">
        <w:rPr>
          <w:rFonts w:ascii="Times New Roman" w:hAnsi="Times New Roman" w:cs="Times New Roman"/>
          <w:b/>
          <w:bCs/>
          <w:sz w:val="20"/>
          <w:szCs w:val="20"/>
        </w:rPr>
        <w:t>n</w:t>
      </w:r>
      <w:r w:rsidRPr="006700DB">
        <w:rPr>
          <w:rFonts w:ascii="Times New Roman" w:hAnsi="Times New Roman" w:cs="Times New Roman"/>
          <w:b/>
          <w:bCs/>
          <w:sz w:val="20"/>
          <w:szCs w:val="20"/>
          <w:vertAlign w:val="subscript"/>
        </w:rPr>
        <w:t>2</w:t>
      </w:r>
      <w:r w:rsidRPr="006700DB">
        <w:rPr>
          <w:rFonts w:ascii="Times New Roman" w:hAnsi="Times New Roman" w:cs="Times New Roman"/>
          <w:sz w:val="20"/>
          <w:szCs w:val="20"/>
        </w:rPr>
        <w:t xml:space="preserve"> stands for number of investors from age group of </w:t>
      </w:r>
      <w:r w:rsidRPr="006700DB">
        <w:rPr>
          <w:rFonts w:ascii="Times New Roman" w:hAnsi="Times New Roman" w:cs="Times New Roman"/>
          <w:b/>
          <w:bCs/>
          <w:sz w:val="20"/>
          <w:szCs w:val="20"/>
        </w:rPr>
        <w:t>‘below 45years.’</w:t>
      </w:r>
      <w:r w:rsidRPr="006700DB">
        <w:rPr>
          <w:rFonts w:ascii="Times New Roman" w:hAnsi="Times New Roman" w:cs="Times New Roman"/>
          <w:sz w:val="20"/>
          <w:szCs w:val="20"/>
        </w:rPr>
        <w:t>The test hypotheses are as follows:</w:t>
      </w:r>
    </w:p>
    <w:p w14:paraId="2CEDA45A" w14:textId="77777777" w:rsidR="006700DB" w:rsidRPr="006700DB" w:rsidRDefault="006700DB" w:rsidP="006700DB">
      <w:pPr>
        <w:autoSpaceDE w:val="0"/>
        <w:autoSpaceDN w:val="0"/>
        <w:adjustRightInd w:val="0"/>
        <w:rPr>
          <w:rFonts w:ascii="Times New Roman" w:hAnsi="Times New Roman" w:cs="Times New Roman"/>
          <w:sz w:val="20"/>
          <w:szCs w:val="20"/>
        </w:rPr>
      </w:pPr>
    </w:p>
    <w:p w14:paraId="33C6EEBB" w14:textId="748A5151" w:rsidR="006700DB" w:rsidRDefault="006700DB" w:rsidP="006700DB">
      <w:pPr>
        <w:autoSpaceDE w:val="0"/>
        <w:autoSpaceDN w:val="0"/>
        <w:adjustRightInd w:val="0"/>
        <w:rPr>
          <w:rFonts w:ascii="Times New Roman" w:hAnsi="Times New Roman" w:cs="Times New Roman"/>
          <w:sz w:val="20"/>
          <w:szCs w:val="20"/>
        </w:rPr>
      </w:pPr>
      <w:r w:rsidRPr="006700DB">
        <w:rPr>
          <w:rFonts w:ascii="Times New Roman" w:hAnsi="Times New Roman" w:cs="Times New Roman"/>
          <w:sz w:val="20"/>
          <w:szCs w:val="20"/>
        </w:rPr>
        <w:t>H</w:t>
      </w:r>
      <w:r w:rsidRPr="006700DB">
        <w:rPr>
          <w:rFonts w:ascii="Times New Roman" w:hAnsi="Times New Roman" w:cs="Times New Roman"/>
          <w:sz w:val="20"/>
          <w:szCs w:val="20"/>
          <w:vertAlign w:val="subscript"/>
        </w:rPr>
        <w:t>01</w:t>
      </w:r>
      <w:r w:rsidRPr="006700DB">
        <w:rPr>
          <w:rFonts w:ascii="Times New Roman" w:hAnsi="Times New Roman" w:cs="Times New Roman"/>
          <w:sz w:val="20"/>
          <w:szCs w:val="20"/>
        </w:rPr>
        <w:t>: There is no significant difference between investment proportion in risky instruments among the investors of age group of ‘below 45 years’ and ‘45 years and above’.</w:t>
      </w:r>
    </w:p>
    <w:p w14:paraId="795E999E" w14:textId="77777777" w:rsidR="006700DB" w:rsidRPr="006700DB" w:rsidRDefault="006700DB" w:rsidP="006700DB">
      <w:pPr>
        <w:autoSpaceDE w:val="0"/>
        <w:autoSpaceDN w:val="0"/>
        <w:adjustRightInd w:val="0"/>
        <w:rPr>
          <w:rFonts w:ascii="Times New Roman" w:hAnsi="Times New Roman" w:cs="Times New Roman"/>
          <w:sz w:val="20"/>
          <w:szCs w:val="20"/>
        </w:rPr>
      </w:pPr>
    </w:p>
    <w:p w14:paraId="20C80152" w14:textId="77777777" w:rsidR="006700DB" w:rsidRPr="006700DB" w:rsidRDefault="006700DB" w:rsidP="006700DB">
      <w:pPr>
        <w:autoSpaceDE w:val="0"/>
        <w:autoSpaceDN w:val="0"/>
        <w:adjustRightInd w:val="0"/>
        <w:rPr>
          <w:rFonts w:ascii="Times New Roman" w:hAnsi="Times New Roman" w:cs="Times New Roman"/>
          <w:sz w:val="20"/>
          <w:szCs w:val="20"/>
        </w:rPr>
      </w:pPr>
      <w:r w:rsidRPr="006700DB">
        <w:rPr>
          <w:rFonts w:ascii="Times New Roman" w:hAnsi="Times New Roman" w:cs="Times New Roman"/>
          <w:sz w:val="20"/>
          <w:szCs w:val="20"/>
        </w:rPr>
        <w:t>H</w:t>
      </w:r>
      <w:r w:rsidRPr="006700DB">
        <w:rPr>
          <w:rFonts w:ascii="Times New Roman" w:hAnsi="Times New Roman" w:cs="Times New Roman"/>
          <w:sz w:val="20"/>
          <w:szCs w:val="20"/>
          <w:vertAlign w:val="subscript"/>
        </w:rPr>
        <w:t>11</w:t>
      </w:r>
      <w:r w:rsidRPr="006700DB">
        <w:rPr>
          <w:rFonts w:ascii="Times New Roman" w:hAnsi="Times New Roman" w:cs="Times New Roman"/>
          <w:sz w:val="20"/>
          <w:szCs w:val="20"/>
        </w:rPr>
        <w:t>: There is significant difference between investment proportion in risky instruments among the investors of age group of ‘below 45 years’ and ‘45 years and above’.</w:t>
      </w:r>
    </w:p>
    <w:p w14:paraId="33E763B5" w14:textId="77777777" w:rsidR="006700DB" w:rsidRPr="00496FE0" w:rsidRDefault="006700DB" w:rsidP="006700DB">
      <w:pPr>
        <w:autoSpaceDE w:val="0"/>
        <w:autoSpaceDN w:val="0"/>
        <w:adjustRightInd w:val="0"/>
        <w:spacing w:line="360" w:lineRule="auto"/>
        <w:rPr>
          <w:rFonts w:ascii="Times New Roman" w:hAnsi="Times New Roman" w:cs="Times New Roman"/>
          <w:sz w:val="24"/>
          <w:szCs w:val="24"/>
        </w:rPr>
      </w:pPr>
    </w:p>
    <w:p w14:paraId="4EE8E414" w14:textId="5E57C152" w:rsidR="006700DB" w:rsidRPr="006700DB" w:rsidRDefault="006700DB" w:rsidP="006700DB">
      <w:pPr>
        <w:autoSpaceDE w:val="0"/>
        <w:autoSpaceDN w:val="0"/>
        <w:adjustRightInd w:val="0"/>
        <w:rPr>
          <w:rFonts w:ascii="Times New Roman" w:hAnsi="Times New Roman" w:cs="Times New Roman"/>
          <w:sz w:val="20"/>
          <w:szCs w:val="20"/>
        </w:rPr>
      </w:pPr>
      <w:r w:rsidRPr="006700DB">
        <w:rPr>
          <w:rFonts w:ascii="Times New Roman" w:hAnsi="Times New Roman" w:cs="Times New Roman"/>
          <w:sz w:val="20"/>
          <w:szCs w:val="20"/>
        </w:rPr>
        <w:t xml:space="preserve">Table 5 and Table 6 given below, reveals the relevant portion output generated from SPSS </w:t>
      </w:r>
      <w:r>
        <w:rPr>
          <w:rFonts w:ascii="Times New Roman" w:hAnsi="Times New Roman" w:cs="Times New Roman"/>
          <w:sz w:val="20"/>
          <w:szCs w:val="20"/>
        </w:rPr>
        <w:t>20</w:t>
      </w:r>
      <w:r w:rsidRPr="006700DB">
        <w:rPr>
          <w:rFonts w:ascii="Times New Roman" w:hAnsi="Times New Roman" w:cs="Times New Roman"/>
          <w:sz w:val="20"/>
          <w:szCs w:val="20"/>
        </w:rPr>
        <w:t xml:space="preserve"> after conducting t-test using the collected data.</w:t>
      </w:r>
    </w:p>
    <w:p w14:paraId="5782BE7D" w14:textId="77777777" w:rsidR="006700DB" w:rsidRDefault="006700DB" w:rsidP="006700DB">
      <w:pPr>
        <w:autoSpaceDE w:val="0"/>
        <w:autoSpaceDN w:val="0"/>
        <w:adjustRightInd w:val="0"/>
        <w:spacing w:line="360" w:lineRule="auto"/>
        <w:rPr>
          <w:rFonts w:ascii="Times New Roman" w:hAnsi="Times New Roman" w:cs="Times New Roman"/>
          <w:sz w:val="24"/>
          <w:szCs w:val="24"/>
        </w:rPr>
      </w:pPr>
    </w:p>
    <w:p w14:paraId="4DD2987A" w14:textId="29B206EB" w:rsidR="006700DB" w:rsidRDefault="006700DB" w:rsidP="00C023BB">
      <w:pPr>
        <w:autoSpaceDE w:val="0"/>
        <w:autoSpaceDN w:val="0"/>
        <w:adjustRightInd w:val="0"/>
        <w:jc w:val="center"/>
        <w:rPr>
          <w:rFonts w:ascii="Times New Roman" w:hAnsi="Times New Roman" w:cs="Times New Roman"/>
          <w:b/>
          <w:bCs/>
          <w:sz w:val="20"/>
          <w:szCs w:val="20"/>
        </w:rPr>
      </w:pPr>
      <w:r w:rsidRPr="00C023BB">
        <w:rPr>
          <w:rFonts w:ascii="Times New Roman" w:hAnsi="Times New Roman" w:cs="Times New Roman"/>
          <w:b/>
          <w:bCs/>
          <w:sz w:val="20"/>
          <w:szCs w:val="20"/>
        </w:rPr>
        <w:t xml:space="preserve">Table 5: </w:t>
      </w:r>
      <w:bookmarkStart w:id="3" w:name="_Hlk89817840"/>
      <w:r w:rsidRPr="00C023BB">
        <w:rPr>
          <w:rFonts w:ascii="Times New Roman" w:hAnsi="Times New Roman" w:cs="Times New Roman"/>
          <w:b/>
          <w:bCs/>
          <w:sz w:val="20"/>
          <w:szCs w:val="20"/>
        </w:rPr>
        <w:t>Group statistics of age-wise (overall) investment in risky security</w:t>
      </w:r>
      <w:bookmarkEnd w:id="3"/>
    </w:p>
    <w:p w14:paraId="2DC01B82" w14:textId="77777777" w:rsidR="00C023BB" w:rsidRPr="00C023BB" w:rsidRDefault="00C023BB" w:rsidP="00C023BB">
      <w:pPr>
        <w:autoSpaceDE w:val="0"/>
        <w:autoSpaceDN w:val="0"/>
        <w:adjustRightInd w:val="0"/>
        <w:jc w:val="center"/>
        <w:rPr>
          <w:rFonts w:ascii="Times New Roman" w:hAnsi="Times New Roman" w:cs="Times New Roman"/>
          <w:b/>
          <w:bCs/>
          <w:sz w:val="20"/>
          <w:szCs w:val="20"/>
        </w:rPr>
      </w:pPr>
    </w:p>
    <w:tbl>
      <w:tblPr>
        <w:tblStyle w:val="TableGrid"/>
        <w:tblW w:w="9681" w:type="dxa"/>
        <w:jc w:val="center"/>
        <w:tblLook w:val="04A0" w:firstRow="1" w:lastRow="0" w:firstColumn="1" w:lastColumn="0" w:noHBand="0" w:noVBand="1"/>
      </w:tblPr>
      <w:tblGrid>
        <w:gridCol w:w="1936"/>
        <w:gridCol w:w="1936"/>
        <w:gridCol w:w="1936"/>
        <w:gridCol w:w="1936"/>
        <w:gridCol w:w="1937"/>
      </w:tblGrid>
      <w:tr w:rsidR="006700DB" w:rsidRPr="00C023BB" w14:paraId="7B97B23A" w14:textId="77777777" w:rsidTr="00C023BB">
        <w:trPr>
          <w:trHeight w:val="429"/>
          <w:jc w:val="center"/>
        </w:trPr>
        <w:tc>
          <w:tcPr>
            <w:tcW w:w="1936" w:type="dxa"/>
          </w:tcPr>
          <w:p w14:paraId="23305CB5"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bookmarkStart w:id="4" w:name="_Hlk89817874"/>
          </w:p>
        </w:tc>
        <w:tc>
          <w:tcPr>
            <w:tcW w:w="1936" w:type="dxa"/>
          </w:tcPr>
          <w:p w14:paraId="1161642C" w14:textId="77777777" w:rsidR="006700DB" w:rsidRPr="00C023BB" w:rsidRDefault="006700DB" w:rsidP="001F27EA">
            <w:pPr>
              <w:autoSpaceDE w:val="0"/>
              <w:autoSpaceDN w:val="0"/>
              <w:adjustRightInd w:val="0"/>
              <w:spacing w:line="360" w:lineRule="auto"/>
              <w:jc w:val="center"/>
              <w:rPr>
                <w:rFonts w:ascii="Times New Roman" w:hAnsi="Times New Roman" w:cs="Times New Roman"/>
                <w:b/>
                <w:bCs/>
                <w:color w:val="000000"/>
                <w:sz w:val="20"/>
                <w:szCs w:val="20"/>
              </w:rPr>
            </w:pPr>
          </w:p>
          <w:p w14:paraId="604CAC59" w14:textId="77777777" w:rsidR="006700DB" w:rsidRPr="00C023BB" w:rsidRDefault="006700DB" w:rsidP="001F27EA">
            <w:pPr>
              <w:autoSpaceDE w:val="0"/>
              <w:autoSpaceDN w:val="0"/>
              <w:adjustRightInd w:val="0"/>
              <w:spacing w:line="360" w:lineRule="auto"/>
              <w:jc w:val="center"/>
              <w:rPr>
                <w:rFonts w:ascii="Times New Roman" w:hAnsi="Times New Roman" w:cs="Times New Roman"/>
                <w:b/>
                <w:bCs/>
                <w:color w:val="000000"/>
                <w:sz w:val="20"/>
                <w:szCs w:val="20"/>
              </w:rPr>
            </w:pPr>
            <w:r w:rsidRPr="00C023BB">
              <w:rPr>
                <w:rFonts w:ascii="Times New Roman" w:hAnsi="Times New Roman" w:cs="Times New Roman"/>
                <w:b/>
                <w:bCs/>
                <w:color w:val="000000"/>
                <w:sz w:val="20"/>
                <w:szCs w:val="20"/>
              </w:rPr>
              <w:t>N</w:t>
            </w:r>
          </w:p>
        </w:tc>
        <w:tc>
          <w:tcPr>
            <w:tcW w:w="1936" w:type="dxa"/>
          </w:tcPr>
          <w:p w14:paraId="787CAD4B" w14:textId="77777777" w:rsidR="006700DB" w:rsidRPr="00C023BB" w:rsidRDefault="006700DB" w:rsidP="001F27EA">
            <w:pPr>
              <w:autoSpaceDE w:val="0"/>
              <w:autoSpaceDN w:val="0"/>
              <w:adjustRightInd w:val="0"/>
              <w:spacing w:line="360" w:lineRule="auto"/>
              <w:rPr>
                <w:rFonts w:ascii="Times New Roman" w:hAnsi="Times New Roman" w:cs="Times New Roman"/>
                <w:color w:val="000000"/>
                <w:sz w:val="20"/>
                <w:szCs w:val="20"/>
              </w:rPr>
            </w:pPr>
          </w:p>
          <w:p w14:paraId="621103B7" w14:textId="77777777" w:rsidR="006700DB" w:rsidRPr="00C023BB" w:rsidRDefault="006700DB" w:rsidP="001F27EA">
            <w:pPr>
              <w:autoSpaceDE w:val="0"/>
              <w:autoSpaceDN w:val="0"/>
              <w:adjustRightInd w:val="0"/>
              <w:spacing w:line="360" w:lineRule="auto"/>
              <w:jc w:val="center"/>
              <w:rPr>
                <w:rFonts w:ascii="Times New Roman" w:hAnsi="Times New Roman" w:cs="Times New Roman"/>
                <w:b/>
                <w:bCs/>
                <w:color w:val="000000"/>
                <w:sz w:val="20"/>
                <w:szCs w:val="20"/>
              </w:rPr>
            </w:pPr>
            <w:r w:rsidRPr="00C023BB">
              <w:rPr>
                <w:rFonts w:ascii="Times New Roman" w:hAnsi="Times New Roman" w:cs="Times New Roman"/>
                <w:b/>
                <w:bCs/>
                <w:color w:val="000000"/>
                <w:sz w:val="20"/>
                <w:szCs w:val="20"/>
              </w:rPr>
              <w:t>Mean</w:t>
            </w:r>
          </w:p>
        </w:tc>
        <w:tc>
          <w:tcPr>
            <w:tcW w:w="1936" w:type="dxa"/>
          </w:tcPr>
          <w:p w14:paraId="41C86BDB"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p>
          <w:p w14:paraId="40DE8B5F" w14:textId="77777777" w:rsidR="006700DB" w:rsidRPr="00C023BB" w:rsidRDefault="006700DB" w:rsidP="001F27EA">
            <w:pPr>
              <w:autoSpaceDE w:val="0"/>
              <w:autoSpaceDN w:val="0"/>
              <w:adjustRightInd w:val="0"/>
              <w:spacing w:line="360" w:lineRule="auto"/>
              <w:jc w:val="center"/>
              <w:rPr>
                <w:rFonts w:ascii="Times New Roman" w:hAnsi="Times New Roman" w:cs="Times New Roman"/>
                <w:b/>
                <w:bCs/>
                <w:color w:val="000000"/>
                <w:sz w:val="20"/>
                <w:szCs w:val="20"/>
              </w:rPr>
            </w:pPr>
            <w:r w:rsidRPr="00C023BB">
              <w:rPr>
                <w:rFonts w:ascii="Times New Roman" w:hAnsi="Times New Roman" w:cs="Times New Roman"/>
                <w:b/>
                <w:bCs/>
                <w:color w:val="000000"/>
                <w:sz w:val="20"/>
                <w:szCs w:val="20"/>
              </w:rPr>
              <w:t>Std. Deviation</w:t>
            </w:r>
          </w:p>
        </w:tc>
        <w:tc>
          <w:tcPr>
            <w:tcW w:w="1937" w:type="dxa"/>
          </w:tcPr>
          <w:p w14:paraId="34959B0C"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p>
          <w:p w14:paraId="6A69E589" w14:textId="77777777" w:rsidR="006700DB" w:rsidRPr="00C023BB" w:rsidRDefault="006700DB" w:rsidP="001F27EA">
            <w:pPr>
              <w:autoSpaceDE w:val="0"/>
              <w:autoSpaceDN w:val="0"/>
              <w:adjustRightInd w:val="0"/>
              <w:spacing w:line="360" w:lineRule="auto"/>
              <w:jc w:val="center"/>
              <w:rPr>
                <w:rFonts w:ascii="Times New Roman" w:hAnsi="Times New Roman" w:cs="Times New Roman"/>
                <w:b/>
                <w:bCs/>
                <w:color w:val="000000"/>
                <w:sz w:val="20"/>
                <w:szCs w:val="20"/>
              </w:rPr>
            </w:pPr>
            <w:r w:rsidRPr="00C023BB">
              <w:rPr>
                <w:rFonts w:ascii="Times New Roman" w:hAnsi="Times New Roman" w:cs="Times New Roman"/>
                <w:b/>
                <w:bCs/>
                <w:color w:val="000000"/>
                <w:sz w:val="20"/>
                <w:szCs w:val="20"/>
              </w:rPr>
              <w:t>Std. Error Mean</w:t>
            </w:r>
          </w:p>
        </w:tc>
      </w:tr>
      <w:tr w:rsidR="006700DB" w:rsidRPr="00C023BB" w14:paraId="500D0628" w14:textId="77777777" w:rsidTr="00C023BB">
        <w:trPr>
          <w:trHeight w:val="429"/>
          <w:jc w:val="center"/>
        </w:trPr>
        <w:tc>
          <w:tcPr>
            <w:tcW w:w="1936" w:type="dxa"/>
            <w:vMerge w:val="restart"/>
          </w:tcPr>
          <w:p w14:paraId="059D45C6"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p>
          <w:p w14:paraId="7D8A6337"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r w:rsidRPr="00C023BB">
              <w:rPr>
                <w:rFonts w:ascii="Times New Roman" w:hAnsi="Times New Roman" w:cs="Times New Roman"/>
                <w:color w:val="000000"/>
                <w:sz w:val="20"/>
                <w:szCs w:val="20"/>
              </w:rPr>
              <w:t>Variable</w:t>
            </w:r>
          </w:p>
        </w:tc>
        <w:tc>
          <w:tcPr>
            <w:tcW w:w="1936" w:type="dxa"/>
          </w:tcPr>
          <w:p w14:paraId="410D2E37" w14:textId="77777777" w:rsidR="006700DB" w:rsidRPr="00C023BB" w:rsidRDefault="006700DB" w:rsidP="001F27EA">
            <w:pPr>
              <w:pStyle w:val="Default"/>
              <w:jc w:val="center"/>
              <w:rPr>
                <w:sz w:val="20"/>
                <w:szCs w:val="20"/>
              </w:rPr>
            </w:pPr>
            <w:r w:rsidRPr="00C023BB">
              <w:rPr>
                <w:sz w:val="20"/>
                <w:szCs w:val="20"/>
              </w:rPr>
              <w:t xml:space="preserve">22 </w:t>
            </w:r>
          </w:p>
        </w:tc>
        <w:tc>
          <w:tcPr>
            <w:tcW w:w="1936" w:type="dxa"/>
          </w:tcPr>
          <w:p w14:paraId="31B2C9ED" w14:textId="77777777" w:rsidR="006700DB" w:rsidRPr="00C023BB" w:rsidRDefault="006700DB" w:rsidP="001F27EA">
            <w:pPr>
              <w:pStyle w:val="Default"/>
              <w:jc w:val="center"/>
              <w:rPr>
                <w:sz w:val="20"/>
                <w:szCs w:val="20"/>
              </w:rPr>
            </w:pPr>
            <w:r w:rsidRPr="00C023BB">
              <w:rPr>
                <w:sz w:val="20"/>
                <w:szCs w:val="20"/>
              </w:rPr>
              <w:t xml:space="preserve">16.0000 </w:t>
            </w:r>
          </w:p>
        </w:tc>
        <w:tc>
          <w:tcPr>
            <w:tcW w:w="1936" w:type="dxa"/>
          </w:tcPr>
          <w:p w14:paraId="32F949B0" w14:textId="77777777" w:rsidR="006700DB" w:rsidRPr="00C023BB" w:rsidRDefault="006700DB" w:rsidP="001F27EA">
            <w:pPr>
              <w:pStyle w:val="Default"/>
              <w:jc w:val="center"/>
              <w:rPr>
                <w:sz w:val="20"/>
                <w:szCs w:val="20"/>
              </w:rPr>
            </w:pPr>
            <w:r w:rsidRPr="00C023BB">
              <w:rPr>
                <w:sz w:val="20"/>
                <w:szCs w:val="20"/>
              </w:rPr>
              <w:t xml:space="preserve">19.65415 </w:t>
            </w:r>
          </w:p>
        </w:tc>
        <w:tc>
          <w:tcPr>
            <w:tcW w:w="1937" w:type="dxa"/>
          </w:tcPr>
          <w:p w14:paraId="208CAE72" w14:textId="77777777" w:rsidR="006700DB" w:rsidRPr="00C023BB" w:rsidRDefault="006700DB" w:rsidP="001F27EA">
            <w:pPr>
              <w:pStyle w:val="Default"/>
              <w:jc w:val="center"/>
              <w:rPr>
                <w:sz w:val="20"/>
                <w:szCs w:val="20"/>
              </w:rPr>
            </w:pPr>
            <w:r w:rsidRPr="00C023BB">
              <w:rPr>
                <w:sz w:val="20"/>
                <w:szCs w:val="20"/>
              </w:rPr>
              <w:t xml:space="preserve">4.19028 </w:t>
            </w:r>
          </w:p>
        </w:tc>
      </w:tr>
      <w:tr w:rsidR="006700DB" w:rsidRPr="00C023BB" w14:paraId="5499F7A6" w14:textId="77777777" w:rsidTr="00C023BB">
        <w:trPr>
          <w:trHeight w:val="419"/>
          <w:jc w:val="center"/>
        </w:trPr>
        <w:tc>
          <w:tcPr>
            <w:tcW w:w="1936" w:type="dxa"/>
            <w:vMerge/>
          </w:tcPr>
          <w:p w14:paraId="1EB215F5"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p>
        </w:tc>
        <w:tc>
          <w:tcPr>
            <w:tcW w:w="1936" w:type="dxa"/>
          </w:tcPr>
          <w:p w14:paraId="31012149" w14:textId="77777777" w:rsidR="006700DB" w:rsidRPr="00C023BB" w:rsidRDefault="006700DB" w:rsidP="001F27EA">
            <w:pPr>
              <w:pStyle w:val="Default"/>
              <w:jc w:val="center"/>
              <w:rPr>
                <w:sz w:val="20"/>
                <w:szCs w:val="20"/>
              </w:rPr>
            </w:pPr>
            <w:r w:rsidRPr="00C023BB">
              <w:rPr>
                <w:sz w:val="20"/>
                <w:szCs w:val="20"/>
              </w:rPr>
              <w:t xml:space="preserve">104 </w:t>
            </w:r>
          </w:p>
        </w:tc>
        <w:tc>
          <w:tcPr>
            <w:tcW w:w="1936" w:type="dxa"/>
          </w:tcPr>
          <w:p w14:paraId="1366B9BA" w14:textId="77777777" w:rsidR="006700DB" w:rsidRPr="00C023BB" w:rsidRDefault="006700DB" w:rsidP="001F27EA">
            <w:pPr>
              <w:pStyle w:val="Default"/>
              <w:jc w:val="center"/>
              <w:rPr>
                <w:sz w:val="20"/>
                <w:szCs w:val="20"/>
              </w:rPr>
            </w:pPr>
            <w:r w:rsidRPr="00C023BB">
              <w:rPr>
                <w:sz w:val="20"/>
                <w:szCs w:val="20"/>
              </w:rPr>
              <w:t xml:space="preserve">27.3077 </w:t>
            </w:r>
          </w:p>
        </w:tc>
        <w:tc>
          <w:tcPr>
            <w:tcW w:w="1936" w:type="dxa"/>
          </w:tcPr>
          <w:p w14:paraId="66EFBDA1" w14:textId="77777777" w:rsidR="006700DB" w:rsidRPr="00C023BB" w:rsidRDefault="006700DB" w:rsidP="001F27EA">
            <w:pPr>
              <w:pStyle w:val="Default"/>
              <w:jc w:val="center"/>
              <w:rPr>
                <w:sz w:val="20"/>
                <w:szCs w:val="20"/>
              </w:rPr>
            </w:pPr>
            <w:r w:rsidRPr="00C023BB">
              <w:rPr>
                <w:sz w:val="20"/>
                <w:szCs w:val="20"/>
              </w:rPr>
              <w:t xml:space="preserve">26.14303 </w:t>
            </w:r>
          </w:p>
        </w:tc>
        <w:tc>
          <w:tcPr>
            <w:tcW w:w="1937" w:type="dxa"/>
          </w:tcPr>
          <w:p w14:paraId="164AB803" w14:textId="77777777" w:rsidR="006700DB" w:rsidRPr="00C023BB" w:rsidRDefault="006700DB" w:rsidP="001F27EA">
            <w:pPr>
              <w:pStyle w:val="Default"/>
              <w:jc w:val="center"/>
              <w:rPr>
                <w:sz w:val="20"/>
                <w:szCs w:val="20"/>
              </w:rPr>
            </w:pPr>
            <w:r w:rsidRPr="00C023BB">
              <w:rPr>
                <w:sz w:val="20"/>
                <w:szCs w:val="20"/>
              </w:rPr>
              <w:t xml:space="preserve">2.56353 </w:t>
            </w:r>
          </w:p>
          <w:p w14:paraId="4B81FB7E" w14:textId="77777777" w:rsidR="006700DB" w:rsidRPr="00C023BB" w:rsidRDefault="006700DB" w:rsidP="001F27EA">
            <w:pPr>
              <w:autoSpaceDE w:val="0"/>
              <w:autoSpaceDN w:val="0"/>
              <w:adjustRightInd w:val="0"/>
              <w:spacing w:line="360" w:lineRule="auto"/>
              <w:jc w:val="center"/>
              <w:rPr>
                <w:rFonts w:ascii="Times New Roman" w:hAnsi="Times New Roman" w:cs="Times New Roman"/>
                <w:color w:val="000000"/>
                <w:sz w:val="20"/>
                <w:szCs w:val="20"/>
              </w:rPr>
            </w:pPr>
          </w:p>
        </w:tc>
      </w:tr>
    </w:tbl>
    <w:bookmarkEnd w:id="4"/>
    <w:p w14:paraId="2C61F6C6" w14:textId="77777777" w:rsidR="00C023BB" w:rsidRDefault="00C023BB" w:rsidP="00C023BB">
      <w:pPr>
        <w:autoSpaceDE w:val="0"/>
        <w:autoSpaceDN w:val="0"/>
        <w:adjustRightInd w:val="0"/>
        <w:rPr>
          <w:rFonts w:ascii="Times New Roman" w:hAnsi="Times New Roman" w:cs="Times New Roman"/>
          <w:sz w:val="20"/>
          <w:szCs w:val="20"/>
        </w:rPr>
      </w:pPr>
      <w:r>
        <w:rPr>
          <w:rFonts w:ascii="Times New Roman" w:hAnsi="Times New Roman" w:cs="Times New Roman"/>
          <w:sz w:val="24"/>
          <w:szCs w:val="24"/>
        </w:rPr>
        <w:tab/>
        <w:t xml:space="preserve"> </w:t>
      </w:r>
      <w:r>
        <w:rPr>
          <w:rFonts w:ascii="Times New Roman" w:hAnsi="Times New Roman" w:cs="Times New Roman"/>
          <w:b/>
          <w:bCs/>
          <w:sz w:val="20"/>
          <w:szCs w:val="20"/>
        </w:rPr>
        <w:t xml:space="preserve">(Source: </w:t>
      </w:r>
      <w:r>
        <w:rPr>
          <w:rFonts w:ascii="Times New Roman" w:hAnsi="Times New Roman" w:cs="Times New Roman"/>
          <w:sz w:val="20"/>
          <w:szCs w:val="20"/>
        </w:rPr>
        <w:t>Primary Data, Author’s Compilation in SPSS 20)</w:t>
      </w:r>
    </w:p>
    <w:p w14:paraId="31BE8435" w14:textId="7F24EB43" w:rsidR="006700DB" w:rsidRDefault="006700DB" w:rsidP="00C023BB">
      <w:pPr>
        <w:autoSpaceDE w:val="0"/>
        <w:autoSpaceDN w:val="0"/>
        <w:adjustRightInd w:val="0"/>
        <w:rPr>
          <w:rFonts w:ascii="Times New Roman" w:hAnsi="Times New Roman" w:cs="Times New Roman"/>
          <w:sz w:val="20"/>
          <w:szCs w:val="20"/>
        </w:rPr>
      </w:pPr>
    </w:p>
    <w:p w14:paraId="46625709" w14:textId="77777777" w:rsidR="00C023BB" w:rsidRPr="00C023BB" w:rsidRDefault="00C023BB" w:rsidP="00C023BB">
      <w:pPr>
        <w:autoSpaceDE w:val="0"/>
        <w:autoSpaceDN w:val="0"/>
        <w:adjustRightInd w:val="0"/>
        <w:rPr>
          <w:rFonts w:ascii="Times New Roman" w:hAnsi="Times New Roman" w:cs="Times New Roman"/>
          <w:sz w:val="20"/>
          <w:szCs w:val="20"/>
        </w:rPr>
      </w:pPr>
    </w:p>
    <w:p w14:paraId="74E2A41E" w14:textId="13DB3A6E" w:rsidR="006700DB" w:rsidRDefault="006700DB" w:rsidP="00C023BB">
      <w:pPr>
        <w:jc w:val="center"/>
        <w:rPr>
          <w:rFonts w:ascii="Times New Roman" w:hAnsi="Times New Roman" w:cs="Times New Roman"/>
          <w:b/>
          <w:bCs/>
          <w:sz w:val="20"/>
          <w:szCs w:val="20"/>
        </w:rPr>
      </w:pPr>
      <w:r w:rsidRPr="00C023BB">
        <w:rPr>
          <w:rFonts w:ascii="Times New Roman" w:hAnsi="Times New Roman" w:cs="Times New Roman"/>
          <w:b/>
          <w:bCs/>
          <w:sz w:val="20"/>
          <w:szCs w:val="20"/>
        </w:rPr>
        <w:t>Table 6: Independent samples test of age-wise (overall) investment in risky security</w:t>
      </w:r>
    </w:p>
    <w:p w14:paraId="5C5D37C5" w14:textId="77777777" w:rsidR="00C023BB" w:rsidRPr="00C023BB" w:rsidRDefault="00C023BB" w:rsidP="00C023BB">
      <w:pPr>
        <w:jc w:val="center"/>
        <w:rPr>
          <w:rFonts w:ascii="Times New Roman" w:hAnsi="Times New Roman" w:cs="Times New Roman"/>
          <w:b/>
          <w:bCs/>
          <w:sz w:val="20"/>
          <w:szCs w:val="20"/>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972"/>
        <w:gridCol w:w="708"/>
        <w:gridCol w:w="666"/>
        <w:gridCol w:w="713"/>
        <w:gridCol w:w="666"/>
        <w:gridCol w:w="727"/>
        <w:gridCol w:w="1071"/>
        <w:gridCol w:w="1071"/>
        <w:gridCol w:w="1065"/>
        <w:gridCol w:w="1091"/>
        <w:gridCol w:w="19"/>
      </w:tblGrid>
      <w:tr w:rsidR="006700DB" w:rsidRPr="00C023BB" w14:paraId="56DC5347" w14:textId="77777777" w:rsidTr="00C023BB">
        <w:trPr>
          <w:trHeight w:val="413"/>
          <w:jc w:val="center"/>
        </w:trPr>
        <w:tc>
          <w:tcPr>
            <w:tcW w:w="1839" w:type="dxa"/>
            <w:gridSpan w:val="2"/>
            <w:vMerge w:val="restart"/>
          </w:tcPr>
          <w:p w14:paraId="35BEFBF3" w14:textId="77777777" w:rsidR="006700DB" w:rsidRPr="00C023BB" w:rsidRDefault="006700DB" w:rsidP="001F27EA">
            <w:pPr>
              <w:spacing w:line="360" w:lineRule="auto"/>
              <w:jc w:val="center"/>
              <w:rPr>
                <w:rFonts w:ascii="Times New Roman" w:hAnsi="Times New Roman" w:cs="Times New Roman"/>
                <w:sz w:val="20"/>
                <w:szCs w:val="20"/>
              </w:rPr>
            </w:pPr>
            <w:bookmarkStart w:id="5" w:name="_Hlk89817938"/>
          </w:p>
        </w:tc>
        <w:tc>
          <w:tcPr>
            <w:tcW w:w="1399" w:type="dxa"/>
            <w:gridSpan w:val="2"/>
          </w:tcPr>
          <w:p w14:paraId="7AD4663A" w14:textId="77777777" w:rsidR="006700DB" w:rsidRPr="00C023BB" w:rsidRDefault="006700DB" w:rsidP="001F27EA">
            <w:pPr>
              <w:pStyle w:val="Default"/>
              <w:rPr>
                <w:sz w:val="20"/>
                <w:szCs w:val="20"/>
              </w:rPr>
            </w:pPr>
            <w:proofErr w:type="spellStart"/>
            <w:r w:rsidRPr="00C023BB">
              <w:rPr>
                <w:b/>
                <w:bCs/>
                <w:sz w:val="20"/>
                <w:szCs w:val="20"/>
              </w:rPr>
              <w:t>Levene's</w:t>
            </w:r>
            <w:proofErr w:type="spellEnd"/>
            <w:r w:rsidRPr="00C023BB">
              <w:rPr>
                <w:b/>
                <w:bCs/>
                <w:sz w:val="20"/>
                <w:szCs w:val="20"/>
              </w:rPr>
              <w:t xml:space="preserve"> Test for Equality of Variances </w:t>
            </w:r>
          </w:p>
        </w:tc>
        <w:tc>
          <w:tcPr>
            <w:tcW w:w="6437" w:type="dxa"/>
            <w:gridSpan w:val="8"/>
          </w:tcPr>
          <w:p w14:paraId="4162ADD1" w14:textId="77777777" w:rsidR="006700DB" w:rsidRPr="00C023BB" w:rsidRDefault="006700DB" w:rsidP="001F27EA">
            <w:pPr>
              <w:pStyle w:val="Default"/>
              <w:jc w:val="center"/>
              <w:rPr>
                <w:b/>
                <w:bCs/>
                <w:sz w:val="20"/>
                <w:szCs w:val="20"/>
              </w:rPr>
            </w:pPr>
          </w:p>
          <w:p w14:paraId="01B2F063" w14:textId="77777777" w:rsidR="006700DB" w:rsidRPr="00C023BB" w:rsidRDefault="006700DB" w:rsidP="001F27EA">
            <w:pPr>
              <w:pStyle w:val="Default"/>
              <w:jc w:val="center"/>
              <w:rPr>
                <w:b/>
                <w:bCs/>
                <w:sz w:val="20"/>
                <w:szCs w:val="20"/>
              </w:rPr>
            </w:pPr>
          </w:p>
          <w:p w14:paraId="48BCC80D" w14:textId="77777777" w:rsidR="006700DB" w:rsidRPr="00C023BB" w:rsidRDefault="006700DB" w:rsidP="001F27EA">
            <w:pPr>
              <w:pStyle w:val="Default"/>
              <w:jc w:val="center"/>
              <w:rPr>
                <w:b/>
                <w:bCs/>
                <w:sz w:val="20"/>
                <w:szCs w:val="20"/>
              </w:rPr>
            </w:pPr>
          </w:p>
          <w:p w14:paraId="0D537C83" w14:textId="77777777" w:rsidR="006700DB" w:rsidRPr="00C023BB" w:rsidRDefault="006700DB" w:rsidP="001F27EA">
            <w:pPr>
              <w:pStyle w:val="Default"/>
              <w:jc w:val="center"/>
              <w:rPr>
                <w:sz w:val="20"/>
                <w:szCs w:val="20"/>
              </w:rPr>
            </w:pPr>
            <w:r w:rsidRPr="00C023BB">
              <w:rPr>
                <w:b/>
                <w:bCs/>
                <w:sz w:val="20"/>
                <w:szCs w:val="20"/>
              </w:rPr>
              <w:t xml:space="preserve">t-test for Equality of Means </w:t>
            </w:r>
          </w:p>
        </w:tc>
      </w:tr>
      <w:tr w:rsidR="006700DB" w:rsidRPr="00C023BB" w14:paraId="77BC53C8" w14:textId="77777777" w:rsidTr="00C023BB">
        <w:trPr>
          <w:gridAfter w:val="1"/>
          <w:wAfter w:w="21" w:type="dxa"/>
          <w:trHeight w:val="467"/>
          <w:jc w:val="center"/>
        </w:trPr>
        <w:tc>
          <w:tcPr>
            <w:tcW w:w="1839" w:type="dxa"/>
            <w:gridSpan w:val="2"/>
            <w:vMerge/>
          </w:tcPr>
          <w:p w14:paraId="5D73B2A4" w14:textId="77777777" w:rsidR="006700DB" w:rsidRPr="00C023BB" w:rsidRDefault="006700DB" w:rsidP="001F27EA">
            <w:pPr>
              <w:spacing w:line="360" w:lineRule="auto"/>
              <w:jc w:val="center"/>
              <w:rPr>
                <w:rFonts w:ascii="Times New Roman" w:hAnsi="Times New Roman" w:cs="Times New Roman"/>
                <w:sz w:val="20"/>
                <w:szCs w:val="20"/>
              </w:rPr>
            </w:pPr>
          </w:p>
        </w:tc>
        <w:tc>
          <w:tcPr>
            <w:tcW w:w="715" w:type="dxa"/>
            <w:vMerge w:val="restart"/>
          </w:tcPr>
          <w:p w14:paraId="3A993457" w14:textId="77777777" w:rsidR="006700DB" w:rsidRPr="00C023BB" w:rsidRDefault="006700DB" w:rsidP="001F27EA">
            <w:pPr>
              <w:pStyle w:val="Default"/>
              <w:jc w:val="center"/>
              <w:rPr>
                <w:sz w:val="20"/>
                <w:szCs w:val="20"/>
              </w:rPr>
            </w:pPr>
          </w:p>
          <w:p w14:paraId="2279C3A0" w14:textId="77777777" w:rsidR="006700DB" w:rsidRPr="00C023BB" w:rsidRDefault="006700DB" w:rsidP="001F27EA">
            <w:pPr>
              <w:pStyle w:val="Default"/>
              <w:jc w:val="center"/>
              <w:rPr>
                <w:sz w:val="20"/>
                <w:szCs w:val="20"/>
              </w:rPr>
            </w:pPr>
          </w:p>
          <w:p w14:paraId="345298AF" w14:textId="77777777" w:rsidR="006700DB" w:rsidRPr="00C023BB" w:rsidRDefault="006700DB" w:rsidP="001F27EA">
            <w:pPr>
              <w:pStyle w:val="Default"/>
              <w:jc w:val="center"/>
              <w:rPr>
                <w:sz w:val="20"/>
                <w:szCs w:val="20"/>
              </w:rPr>
            </w:pPr>
          </w:p>
          <w:p w14:paraId="5FB836F5" w14:textId="77777777" w:rsidR="006700DB" w:rsidRPr="00C023BB" w:rsidRDefault="006700DB" w:rsidP="001F27EA">
            <w:pPr>
              <w:pStyle w:val="Default"/>
              <w:jc w:val="center"/>
              <w:rPr>
                <w:sz w:val="20"/>
                <w:szCs w:val="20"/>
              </w:rPr>
            </w:pPr>
          </w:p>
          <w:p w14:paraId="3921367D" w14:textId="77777777" w:rsidR="006700DB" w:rsidRPr="00C023BB" w:rsidRDefault="006700DB" w:rsidP="001F27EA">
            <w:pPr>
              <w:pStyle w:val="Default"/>
              <w:jc w:val="center"/>
              <w:rPr>
                <w:sz w:val="20"/>
                <w:szCs w:val="20"/>
              </w:rPr>
            </w:pPr>
          </w:p>
          <w:p w14:paraId="4A3418F3" w14:textId="77777777" w:rsidR="006700DB" w:rsidRPr="00C023BB" w:rsidRDefault="006700DB" w:rsidP="001F27EA">
            <w:pPr>
              <w:pStyle w:val="Default"/>
              <w:jc w:val="center"/>
              <w:rPr>
                <w:sz w:val="20"/>
                <w:szCs w:val="20"/>
              </w:rPr>
            </w:pPr>
            <w:r w:rsidRPr="00C023BB">
              <w:rPr>
                <w:sz w:val="20"/>
                <w:szCs w:val="20"/>
              </w:rPr>
              <w:t xml:space="preserve">F </w:t>
            </w:r>
          </w:p>
        </w:tc>
        <w:tc>
          <w:tcPr>
            <w:tcW w:w="684" w:type="dxa"/>
            <w:vMerge w:val="restart"/>
          </w:tcPr>
          <w:p w14:paraId="4BADFD51" w14:textId="77777777" w:rsidR="006700DB" w:rsidRPr="00C023BB" w:rsidRDefault="006700DB" w:rsidP="001F27EA">
            <w:pPr>
              <w:pStyle w:val="Default"/>
              <w:jc w:val="center"/>
              <w:rPr>
                <w:sz w:val="20"/>
                <w:szCs w:val="20"/>
              </w:rPr>
            </w:pPr>
          </w:p>
          <w:p w14:paraId="6CDBDA80" w14:textId="77777777" w:rsidR="006700DB" w:rsidRPr="00C023BB" w:rsidRDefault="006700DB" w:rsidP="001F27EA">
            <w:pPr>
              <w:pStyle w:val="Default"/>
              <w:jc w:val="center"/>
              <w:rPr>
                <w:sz w:val="20"/>
                <w:szCs w:val="20"/>
              </w:rPr>
            </w:pPr>
          </w:p>
          <w:p w14:paraId="495A44AE" w14:textId="77777777" w:rsidR="006700DB" w:rsidRPr="00C023BB" w:rsidRDefault="006700DB" w:rsidP="001F27EA">
            <w:pPr>
              <w:pStyle w:val="Default"/>
              <w:jc w:val="center"/>
              <w:rPr>
                <w:sz w:val="20"/>
                <w:szCs w:val="20"/>
              </w:rPr>
            </w:pPr>
          </w:p>
          <w:p w14:paraId="27099B82" w14:textId="77777777" w:rsidR="006700DB" w:rsidRPr="00C023BB" w:rsidRDefault="006700DB" w:rsidP="001F27EA">
            <w:pPr>
              <w:pStyle w:val="Default"/>
              <w:jc w:val="center"/>
              <w:rPr>
                <w:sz w:val="20"/>
                <w:szCs w:val="20"/>
              </w:rPr>
            </w:pPr>
          </w:p>
          <w:p w14:paraId="369F8AF7" w14:textId="77777777" w:rsidR="006700DB" w:rsidRPr="00C023BB" w:rsidRDefault="006700DB" w:rsidP="001F27EA">
            <w:pPr>
              <w:pStyle w:val="Default"/>
              <w:jc w:val="center"/>
              <w:rPr>
                <w:sz w:val="20"/>
                <w:szCs w:val="20"/>
              </w:rPr>
            </w:pPr>
          </w:p>
          <w:p w14:paraId="21A2FD2D" w14:textId="77777777" w:rsidR="006700DB" w:rsidRPr="00C023BB" w:rsidRDefault="006700DB" w:rsidP="001F27EA">
            <w:pPr>
              <w:pStyle w:val="Default"/>
              <w:jc w:val="center"/>
              <w:rPr>
                <w:sz w:val="20"/>
                <w:szCs w:val="20"/>
              </w:rPr>
            </w:pPr>
            <w:r w:rsidRPr="00C023BB">
              <w:rPr>
                <w:sz w:val="20"/>
                <w:szCs w:val="20"/>
              </w:rPr>
              <w:t xml:space="preserve">Sig. </w:t>
            </w:r>
          </w:p>
        </w:tc>
        <w:tc>
          <w:tcPr>
            <w:tcW w:w="722" w:type="dxa"/>
            <w:vMerge w:val="restart"/>
          </w:tcPr>
          <w:p w14:paraId="04D759DA" w14:textId="77777777" w:rsidR="006700DB" w:rsidRPr="00C023BB" w:rsidRDefault="006700DB" w:rsidP="001F27EA">
            <w:pPr>
              <w:pStyle w:val="Default"/>
              <w:jc w:val="center"/>
              <w:rPr>
                <w:sz w:val="20"/>
                <w:szCs w:val="20"/>
              </w:rPr>
            </w:pPr>
          </w:p>
          <w:p w14:paraId="549EC401" w14:textId="77777777" w:rsidR="006700DB" w:rsidRPr="00C023BB" w:rsidRDefault="006700DB" w:rsidP="001F27EA">
            <w:pPr>
              <w:pStyle w:val="Default"/>
              <w:jc w:val="center"/>
              <w:rPr>
                <w:sz w:val="20"/>
                <w:szCs w:val="20"/>
              </w:rPr>
            </w:pPr>
          </w:p>
          <w:p w14:paraId="69D242F6" w14:textId="77777777" w:rsidR="006700DB" w:rsidRPr="00C023BB" w:rsidRDefault="006700DB" w:rsidP="001F27EA">
            <w:pPr>
              <w:pStyle w:val="Default"/>
              <w:jc w:val="center"/>
              <w:rPr>
                <w:sz w:val="20"/>
                <w:szCs w:val="20"/>
              </w:rPr>
            </w:pPr>
          </w:p>
          <w:p w14:paraId="425FC716" w14:textId="77777777" w:rsidR="006700DB" w:rsidRPr="00C023BB" w:rsidRDefault="006700DB" w:rsidP="001F27EA">
            <w:pPr>
              <w:pStyle w:val="Default"/>
              <w:jc w:val="center"/>
              <w:rPr>
                <w:sz w:val="20"/>
                <w:szCs w:val="20"/>
              </w:rPr>
            </w:pPr>
          </w:p>
          <w:p w14:paraId="6F656A29" w14:textId="77777777" w:rsidR="006700DB" w:rsidRPr="00C023BB" w:rsidRDefault="006700DB" w:rsidP="001F27EA">
            <w:pPr>
              <w:pStyle w:val="Default"/>
              <w:jc w:val="center"/>
              <w:rPr>
                <w:sz w:val="20"/>
                <w:szCs w:val="20"/>
              </w:rPr>
            </w:pPr>
          </w:p>
          <w:p w14:paraId="20A69890" w14:textId="77777777" w:rsidR="006700DB" w:rsidRPr="00C023BB" w:rsidRDefault="006700DB" w:rsidP="001F27EA">
            <w:pPr>
              <w:pStyle w:val="Default"/>
              <w:jc w:val="center"/>
              <w:rPr>
                <w:sz w:val="20"/>
                <w:szCs w:val="20"/>
              </w:rPr>
            </w:pPr>
            <w:r w:rsidRPr="00C023BB">
              <w:rPr>
                <w:sz w:val="20"/>
                <w:szCs w:val="20"/>
              </w:rPr>
              <w:t xml:space="preserve">t </w:t>
            </w:r>
          </w:p>
        </w:tc>
        <w:tc>
          <w:tcPr>
            <w:tcW w:w="643" w:type="dxa"/>
            <w:vMerge w:val="restart"/>
          </w:tcPr>
          <w:p w14:paraId="323794EB" w14:textId="77777777" w:rsidR="006700DB" w:rsidRPr="00C023BB" w:rsidRDefault="006700DB" w:rsidP="001F27EA">
            <w:pPr>
              <w:pStyle w:val="Default"/>
              <w:jc w:val="center"/>
              <w:rPr>
                <w:sz w:val="20"/>
                <w:szCs w:val="20"/>
              </w:rPr>
            </w:pPr>
          </w:p>
          <w:p w14:paraId="1958D596" w14:textId="77777777" w:rsidR="006700DB" w:rsidRPr="00C023BB" w:rsidRDefault="006700DB" w:rsidP="001F27EA">
            <w:pPr>
              <w:pStyle w:val="Default"/>
              <w:jc w:val="center"/>
              <w:rPr>
                <w:sz w:val="20"/>
                <w:szCs w:val="20"/>
              </w:rPr>
            </w:pPr>
          </w:p>
          <w:p w14:paraId="0006A9A6" w14:textId="77777777" w:rsidR="006700DB" w:rsidRPr="00C023BB" w:rsidRDefault="006700DB" w:rsidP="001F27EA">
            <w:pPr>
              <w:pStyle w:val="Default"/>
              <w:jc w:val="center"/>
              <w:rPr>
                <w:sz w:val="20"/>
                <w:szCs w:val="20"/>
              </w:rPr>
            </w:pPr>
          </w:p>
          <w:p w14:paraId="1AA6E3BA" w14:textId="77777777" w:rsidR="006700DB" w:rsidRPr="00C023BB" w:rsidRDefault="006700DB" w:rsidP="001F27EA">
            <w:pPr>
              <w:pStyle w:val="Default"/>
              <w:jc w:val="center"/>
              <w:rPr>
                <w:sz w:val="20"/>
                <w:szCs w:val="20"/>
              </w:rPr>
            </w:pPr>
          </w:p>
          <w:p w14:paraId="0F7B26AC" w14:textId="77777777" w:rsidR="006700DB" w:rsidRPr="00C023BB" w:rsidRDefault="006700DB" w:rsidP="001F27EA">
            <w:pPr>
              <w:pStyle w:val="Default"/>
              <w:jc w:val="center"/>
              <w:rPr>
                <w:sz w:val="20"/>
                <w:szCs w:val="20"/>
              </w:rPr>
            </w:pPr>
          </w:p>
          <w:p w14:paraId="02875C4A" w14:textId="77777777" w:rsidR="006700DB" w:rsidRPr="00C023BB" w:rsidRDefault="006700DB" w:rsidP="001F27EA">
            <w:pPr>
              <w:pStyle w:val="Default"/>
              <w:jc w:val="center"/>
              <w:rPr>
                <w:sz w:val="20"/>
                <w:szCs w:val="20"/>
              </w:rPr>
            </w:pPr>
            <w:proofErr w:type="spellStart"/>
            <w:r w:rsidRPr="00C023BB">
              <w:rPr>
                <w:sz w:val="20"/>
                <w:szCs w:val="20"/>
              </w:rPr>
              <w:t>df</w:t>
            </w:r>
            <w:proofErr w:type="spellEnd"/>
            <w:r w:rsidRPr="00C023BB">
              <w:rPr>
                <w:sz w:val="20"/>
                <w:szCs w:val="20"/>
              </w:rPr>
              <w:t xml:space="preserve"> </w:t>
            </w:r>
          </w:p>
        </w:tc>
        <w:tc>
          <w:tcPr>
            <w:tcW w:w="701" w:type="dxa"/>
            <w:vMerge w:val="restart"/>
          </w:tcPr>
          <w:p w14:paraId="1DEC2EF6" w14:textId="77777777" w:rsidR="006700DB" w:rsidRPr="00C023BB" w:rsidRDefault="006700DB" w:rsidP="001F27EA">
            <w:pPr>
              <w:pStyle w:val="Default"/>
              <w:jc w:val="center"/>
              <w:rPr>
                <w:sz w:val="20"/>
                <w:szCs w:val="20"/>
              </w:rPr>
            </w:pPr>
          </w:p>
          <w:p w14:paraId="08D25DDF" w14:textId="77777777" w:rsidR="006700DB" w:rsidRPr="00C023BB" w:rsidRDefault="006700DB" w:rsidP="001F27EA">
            <w:pPr>
              <w:pStyle w:val="Default"/>
              <w:jc w:val="center"/>
              <w:rPr>
                <w:sz w:val="20"/>
                <w:szCs w:val="20"/>
              </w:rPr>
            </w:pPr>
          </w:p>
          <w:p w14:paraId="0967E565" w14:textId="77777777" w:rsidR="006700DB" w:rsidRPr="00C023BB" w:rsidRDefault="006700DB" w:rsidP="001F27EA">
            <w:pPr>
              <w:pStyle w:val="Default"/>
              <w:jc w:val="center"/>
              <w:rPr>
                <w:sz w:val="20"/>
                <w:szCs w:val="20"/>
              </w:rPr>
            </w:pPr>
          </w:p>
          <w:p w14:paraId="71D7FBB3" w14:textId="77777777" w:rsidR="006700DB" w:rsidRPr="00C023BB" w:rsidRDefault="006700DB" w:rsidP="001F27EA">
            <w:pPr>
              <w:pStyle w:val="Default"/>
              <w:jc w:val="center"/>
              <w:rPr>
                <w:sz w:val="20"/>
                <w:szCs w:val="20"/>
              </w:rPr>
            </w:pPr>
          </w:p>
          <w:p w14:paraId="05E00215" w14:textId="77777777" w:rsidR="006700DB" w:rsidRPr="00C023BB" w:rsidRDefault="006700DB" w:rsidP="001F27EA">
            <w:pPr>
              <w:pStyle w:val="Default"/>
              <w:jc w:val="center"/>
              <w:rPr>
                <w:sz w:val="20"/>
                <w:szCs w:val="20"/>
              </w:rPr>
            </w:pPr>
          </w:p>
          <w:p w14:paraId="7DBCA370" w14:textId="77777777" w:rsidR="006700DB" w:rsidRPr="00C023BB" w:rsidRDefault="006700DB" w:rsidP="001F27EA">
            <w:pPr>
              <w:pStyle w:val="Default"/>
              <w:jc w:val="center"/>
              <w:rPr>
                <w:sz w:val="20"/>
                <w:szCs w:val="20"/>
              </w:rPr>
            </w:pPr>
            <w:r w:rsidRPr="00C023BB">
              <w:rPr>
                <w:sz w:val="20"/>
                <w:szCs w:val="20"/>
              </w:rPr>
              <w:t>Sig. (2-</w:t>
            </w:r>
          </w:p>
          <w:p w14:paraId="48D6E84A" w14:textId="77777777" w:rsidR="006700DB" w:rsidRPr="00C023BB" w:rsidRDefault="006700DB" w:rsidP="001F27EA">
            <w:pPr>
              <w:pStyle w:val="Default"/>
              <w:rPr>
                <w:sz w:val="20"/>
                <w:szCs w:val="20"/>
              </w:rPr>
            </w:pPr>
            <w:r w:rsidRPr="00C023BB">
              <w:rPr>
                <w:sz w:val="20"/>
                <w:szCs w:val="20"/>
              </w:rPr>
              <w:t>tailed)</w:t>
            </w:r>
          </w:p>
        </w:tc>
        <w:tc>
          <w:tcPr>
            <w:tcW w:w="1036" w:type="dxa"/>
            <w:vMerge w:val="restart"/>
          </w:tcPr>
          <w:p w14:paraId="779A283C" w14:textId="77777777" w:rsidR="006700DB" w:rsidRPr="00C023BB" w:rsidRDefault="006700DB" w:rsidP="001F27EA">
            <w:pPr>
              <w:pStyle w:val="Default"/>
              <w:jc w:val="center"/>
              <w:rPr>
                <w:sz w:val="20"/>
                <w:szCs w:val="20"/>
              </w:rPr>
            </w:pPr>
          </w:p>
          <w:p w14:paraId="70067F54" w14:textId="77777777" w:rsidR="006700DB" w:rsidRPr="00C023BB" w:rsidRDefault="006700DB" w:rsidP="001F27EA">
            <w:pPr>
              <w:pStyle w:val="Default"/>
              <w:jc w:val="center"/>
              <w:rPr>
                <w:sz w:val="20"/>
                <w:szCs w:val="20"/>
              </w:rPr>
            </w:pPr>
          </w:p>
          <w:p w14:paraId="444FAB55" w14:textId="77777777" w:rsidR="006700DB" w:rsidRPr="00C023BB" w:rsidRDefault="006700DB" w:rsidP="001F27EA">
            <w:pPr>
              <w:pStyle w:val="Default"/>
              <w:jc w:val="center"/>
              <w:rPr>
                <w:sz w:val="20"/>
                <w:szCs w:val="20"/>
              </w:rPr>
            </w:pPr>
          </w:p>
          <w:p w14:paraId="3F6CB26C" w14:textId="77777777" w:rsidR="006700DB" w:rsidRPr="00C023BB" w:rsidRDefault="006700DB" w:rsidP="001F27EA">
            <w:pPr>
              <w:pStyle w:val="Default"/>
              <w:jc w:val="center"/>
              <w:rPr>
                <w:sz w:val="20"/>
                <w:szCs w:val="20"/>
              </w:rPr>
            </w:pPr>
          </w:p>
          <w:p w14:paraId="4805AB35" w14:textId="77777777" w:rsidR="006700DB" w:rsidRPr="00C023BB" w:rsidRDefault="006700DB" w:rsidP="001F27EA">
            <w:pPr>
              <w:pStyle w:val="Default"/>
              <w:jc w:val="center"/>
              <w:rPr>
                <w:sz w:val="20"/>
                <w:szCs w:val="20"/>
              </w:rPr>
            </w:pPr>
          </w:p>
          <w:p w14:paraId="1C85DF28" w14:textId="77777777" w:rsidR="006700DB" w:rsidRPr="00C023BB" w:rsidRDefault="006700DB" w:rsidP="001F27EA">
            <w:pPr>
              <w:pStyle w:val="Default"/>
              <w:jc w:val="center"/>
              <w:rPr>
                <w:sz w:val="20"/>
                <w:szCs w:val="20"/>
              </w:rPr>
            </w:pPr>
            <w:r w:rsidRPr="00C023BB">
              <w:rPr>
                <w:sz w:val="20"/>
                <w:szCs w:val="20"/>
              </w:rPr>
              <w:t xml:space="preserve">Mean Difference </w:t>
            </w:r>
          </w:p>
        </w:tc>
        <w:tc>
          <w:tcPr>
            <w:tcW w:w="1036" w:type="dxa"/>
            <w:vMerge w:val="restart"/>
          </w:tcPr>
          <w:p w14:paraId="56CEBF45" w14:textId="77777777" w:rsidR="006700DB" w:rsidRPr="00C023BB" w:rsidRDefault="006700DB" w:rsidP="001F27EA">
            <w:pPr>
              <w:pStyle w:val="Default"/>
              <w:jc w:val="center"/>
              <w:rPr>
                <w:sz w:val="20"/>
                <w:szCs w:val="20"/>
              </w:rPr>
            </w:pPr>
          </w:p>
          <w:p w14:paraId="548CADAE" w14:textId="77777777" w:rsidR="006700DB" w:rsidRPr="00C023BB" w:rsidRDefault="006700DB" w:rsidP="001F27EA">
            <w:pPr>
              <w:pStyle w:val="Default"/>
              <w:jc w:val="center"/>
              <w:rPr>
                <w:sz w:val="20"/>
                <w:szCs w:val="20"/>
              </w:rPr>
            </w:pPr>
          </w:p>
          <w:p w14:paraId="33EFD077" w14:textId="77777777" w:rsidR="006700DB" w:rsidRPr="00C023BB" w:rsidRDefault="006700DB" w:rsidP="001F27EA">
            <w:pPr>
              <w:pStyle w:val="Default"/>
              <w:jc w:val="center"/>
              <w:rPr>
                <w:sz w:val="20"/>
                <w:szCs w:val="20"/>
              </w:rPr>
            </w:pPr>
          </w:p>
          <w:p w14:paraId="121D406C" w14:textId="77777777" w:rsidR="006700DB" w:rsidRPr="00C023BB" w:rsidRDefault="006700DB" w:rsidP="001F27EA">
            <w:pPr>
              <w:pStyle w:val="Default"/>
              <w:jc w:val="center"/>
              <w:rPr>
                <w:sz w:val="20"/>
                <w:szCs w:val="20"/>
              </w:rPr>
            </w:pPr>
          </w:p>
          <w:p w14:paraId="073D24E3" w14:textId="77777777" w:rsidR="006700DB" w:rsidRPr="00C023BB" w:rsidRDefault="006700DB" w:rsidP="001F27EA">
            <w:pPr>
              <w:pStyle w:val="Default"/>
              <w:jc w:val="center"/>
              <w:rPr>
                <w:sz w:val="20"/>
                <w:szCs w:val="20"/>
              </w:rPr>
            </w:pPr>
          </w:p>
          <w:p w14:paraId="4FBCCE0A" w14:textId="77777777" w:rsidR="006700DB" w:rsidRPr="00C023BB" w:rsidRDefault="006700DB" w:rsidP="001F27EA">
            <w:pPr>
              <w:pStyle w:val="Default"/>
              <w:jc w:val="center"/>
              <w:rPr>
                <w:sz w:val="20"/>
                <w:szCs w:val="20"/>
              </w:rPr>
            </w:pPr>
            <w:r w:rsidRPr="00C023BB">
              <w:rPr>
                <w:sz w:val="20"/>
                <w:szCs w:val="20"/>
              </w:rPr>
              <w:t xml:space="preserve">Std. Error Difference </w:t>
            </w:r>
          </w:p>
        </w:tc>
        <w:tc>
          <w:tcPr>
            <w:tcW w:w="2278" w:type="dxa"/>
            <w:gridSpan w:val="2"/>
          </w:tcPr>
          <w:p w14:paraId="19392A9B" w14:textId="77777777" w:rsidR="006700DB" w:rsidRPr="00C023BB" w:rsidRDefault="006700DB" w:rsidP="001F27EA">
            <w:pPr>
              <w:pStyle w:val="Default"/>
              <w:jc w:val="center"/>
              <w:rPr>
                <w:sz w:val="20"/>
                <w:szCs w:val="20"/>
              </w:rPr>
            </w:pPr>
          </w:p>
          <w:p w14:paraId="41242F09" w14:textId="77777777" w:rsidR="006700DB" w:rsidRPr="00C023BB" w:rsidRDefault="006700DB" w:rsidP="001F27EA">
            <w:pPr>
              <w:pStyle w:val="Default"/>
              <w:jc w:val="center"/>
              <w:rPr>
                <w:sz w:val="20"/>
                <w:szCs w:val="20"/>
              </w:rPr>
            </w:pPr>
          </w:p>
          <w:p w14:paraId="242D44FD" w14:textId="77777777" w:rsidR="006700DB" w:rsidRPr="00C023BB" w:rsidRDefault="006700DB" w:rsidP="001F27EA">
            <w:pPr>
              <w:pStyle w:val="Default"/>
              <w:jc w:val="center"/>
              <w:rPr>
                <w:sz w:val="20"/>
                <w:szCs w:val="20"/>
              </w:rPr>
            </w:pPr>
            <w:r w:rsidRPr="00C023BB">
              <w:rPr>
                <w:sz w:val="20"/>
                <w:szCs w:val="20"/>
              </w:rPr>
              <w:t xml:space="preserve">95% Confidence Interval of the Difference </w:t>
            </w:r>
          </w:p>
        </w:tc>
      </w:tr>
      <w:tr w:rsidR="006700DB" w:rsidRPr="00C023BB" w14:paraId="3D1E4A07" w14:textId="77777777" w:rsidTr="00C023BB">
        <w:trPr>
          <w:gridAfter w:val="1"/>
          <w:wAfter w:w="22" w:type="dxa"/>
          <w:trHeight w:val="295"/>
          <w:jc w:val="center"/>
        </w:trPr>
        <w:tc>
          <w:tcPr>
            <w:tcW w:w="1839" w:type="dxa"/>
            <w:gridSpan w:val="2"/>
            <w:vMerge/>
          </w:tcPr>
          <w:p w14:paraId="0EE71080" w14:textId="77777777" w:rsidR="006700DB" w:rsidRPr="00C023BB" w:rsidRDefault="006700DB" w:rsidP="001F27EA">
            <w:pPr>
              <w:spacing w:line="360" w:lineRule="auto"/>
              <w:jc w:val="center"/>
              <w:rPr>
                <w:rFonts w:ascii="Times New Roman" w:hAnsi="Times New Roman" w:cs="Times New Roman"/>
                <w:sz w:val="20"/>
                <w:szCs w:val="20"/>
              </w:rPr>
            </w:pPr>
          </w:p>
        </w:tc>
        <w:tc>
          <w:tcPr>
            <w:tcW w:w="715" w:type="dxa"/>
            <w:vMerge/>
          </w:tcPr>
          <w:p w14:paraId="5170C741" w14:textId="77777777" w:rsidR="006700DB" w:rsidRPr="00C023BB" w:rsidRDefault="006700DB" w:rsidP="001F27EA">
            <w:pPr>
              <w:spacing w:line="360" w:lineRule="auto"/>
              <w:jc w:val="center"/>
              <w:rPr>
                <w:rFonts w:ascii="Times New Roman" w:hAnsi="Times New Roman" w:cs="Times New Roman"/>
                <w:sz w:val="20"/>
                <w:szCs w:val="20"/>
              </w:rPr>
            </w:pPr>
          </w:p>
        </w:tc>
        <w:tc>
          <w:tcPr>
            <w:tcW w:w="684" w:type="dxa"/>
            <w:vMerge/>
          </w:tcPr>
          <w:p w14:paraId="6E98F0C3" w14:textId="77777777" w:rsidR="006700DB" w:rsidRPr="00C023BB" w:rsidRDefault="006700DB" w:rsidP="001F27EA">
            <w:pPr>
              <w:spacing w:line="360" w:lineRule="auto"/>
              <w:jc w:val="center"/>
              <w:rPr>
                <w:rFonts w:ascii="Times New Roman" w:hAnsi="Times New Roman" w:cs="Times New Roman"/>
                <w:sz w:val="20"/>
                <w:szCs w:val="20"/>
              </w:rPr>
            </w:pPr>
          </w:p>
        </w:tc>
        <w:tc>
          <w:tcPr>
            <w:tcW w:w="722" w:type="dxa"/>
            <w:vMerge/>
          </w:tcPr>
          <w:p w14:paraId="7C59551C" w14:textId="77777777" w:rsidR="006700DB" w:rsidRPr="00C023BB" w:rsidRDefault="006700DB" w:rsidP="001F27EA">
            <w:pPr>
              <w:spacing w:line="360" w:lineRule="auto"/>
              <w:jc w:val="center"/>
              <w:rPr>
                <w:rFonts w:ascii="Times New Roman" w:hAnsi="Times New Roman" w:cs="Times New Roman"/>
                <w:sz w:val="20"/>
                <w:szCs w:val="20"/>
              </w:rPr>
            </w:pPr>
          </w:p>
        </w:tc>
        <w:tc>
          <w:tcPr>
            <w:tcW w:w="643" w:type="dxa"/>
            <w:vMerge/>
          </w:tcPr>
          <w:p w14:paraId="0A22FF26" w14:textId="77777777" w:rsidR="006700DB" w:rsidRPr="00C023BB" w:rsidRDefault="006700DB" w:rsidP="001F27EA">
            <w:pPr>
              <w:spacing w:line="360" w:lineRule="auto"/>
              <w:jc w:val="center"/>
              <w:rPr>
                <w:rFonts w:ascii="Times New Roman" w:hAnsi="Times New Roman" w:cs="Times New Roman"/>
                <w:sz w:val="20"/>
                <w:szCs w:val="20"/>
              </w:rPr>
            </w:pPr>
          </w:p>
        </w:tc>
        <w:tc>
          <w:tcPr>
            <w:tcW w:w="701" w:type="dxa"/>
            <w:vMerge/>
          </w:tcPr>
          <w:p w14:paraId="7BA2FE89" w14:textId="77777777" w:rsidR="006700DB" w:rsidRPr="00C023BB" w:rsidRDefault="006700DB" w:rsidP="001F27EA">
            <w:pPr>
              <w:spacing w:line="360" w:lineRule="auto"/>
              <w:jc w:val="center"/>
              <w:rPr>
                <w:rFonts w:ascii="Times New Roman" w:hAnsi="Times New Roman" w:cs="Times New Roman"/>
                <w:sz w:val="20"/>
                <w:szCs w:val="20"/>
              </w:rPr>
            </w:pPr>
          </w:p>
        </w:tc>
        <w:tc>
          <w:tcPr>
            <w:tcW w:w="1036" w:type="dxa"/>
            <w:vMerge/>
          </w:tcPr>
          <w:p w14:paraId="370BD4A4" w14:textId="77777777" w:rsidR="006700DB" w:rsidRPr="00C023BB" w:rsidRDefault="006700DB" w:rsidP="001F27EA">
            <w:pPr>
              <w:spacing w:line="360" w:lineRule="auto"/>
              <w:jc w:val="center"/>
              <w:rPr>
                <w:rFonts w:ascii="Times New Roman" w:hAnsi="Times New Roman" w:cs="Times New Roman"/>
                <w:sz w:val="20"/>
                <w:szCs w:val="20"/>
              </w:rPr>
            </w:pPr>
          </w:p>
        </w:tc>
        <w:tc>
          <w:tcPr>
            <w:tcW w:w="1036" w:type="dxa"/>
            <w:vMerge/>
          </w:tcPr>
          <w:p w14:paraId="5BE96F9E" w14:textId="77777777" w:rsidR="006700DB" w:rsidRPr="00C023BB" w:rsidRDefault="006700DB" w:rsidP="001F27EA">
            <w:pPr>
              <w:spacing w:line="360" w:lineRule="auto"/>
              <w:jc w:val="center"/>
              <w:rPr>
                <w:rFonts w:ascii="Times New Roman" w:hAnsi="Times New Roman" w:cs="Times New Roman"/>
                <w:sz w:val="20"/>
                <w:szCs w:val="20"/>
              </w:rPr>
            </w:pPr>
          </w:p>
        </w:tc>
        <w:tc>
          <w:tcPr>
            <w:tcW w:w="1119" w:type="dxa"/>
          </w:tcPr>
          <w:p w14:paraId="256BEAA6" w14:textId="77777777" w:rsidR="006700DB" w:rsidRPr="00C023BB" w:rsidRDefault="006700DB" w:rsidP="001F27EA">
            <w:pPr>
              <w:pStyle w:val="Default"/>
              <w:jc w:val="center"/>
              <w:rPr>
                <w:sz w:val="20"/>
                <w:szCs w:val="20"/>
              </w:rPr>
            </w:pPr>
          </w:p>
          <w:p w14:paraId="3815AB83" w14:textId="77777777" w:rsidR="006700DB" w:rsidRPr="00C023BB" w:rsidRDefault="006700DB" w:rsidP="001F27EA">
            <w:pPr>
              <w:pStyle w:val="Default"/>
              <w:jc w:val="center"/>
              <w:rPr>
                <w:sz w:val="20"/>
                <w:szCs w:val="20"/>
              </w:rPr>
            </w:pPr>
          </w:p>
          <w:p w14:paraId="326185D3" w14:textId="77777777" w:rsidR="006700DB" w:rsidRPr="00C023BB" w:rsidRDefault="006700DB" w:rsidP="001F27EA">
            <w:pPr>
              <w:pStyle w:val="Default"/>
              <w:jc w:val="center"/>
              <w:rPr>
                <w:sz w:val="20"/>
                <w:szCs w:val="20"/>
              </w:rPr>
            </w:pPr>
            <w:r w:rsidRPr="00C023BB">
              <w:rPr>
                <w:sz w:val="20"/>
                <w:szCs w:val="20"/>
              </w:rPr>
              <w:t xml:space="preserve">Lower </w:t>
            </w:r>
          </w:p>
        </w:tc>
        <w:tc>
          <w:tcPr>
            <w:tcW w:w="1158" w:type="dxa"/>
          </w:tcPr>
          <w:p w14:paraId="6257C332" w14:textId="77777777" w:rsidR="006700DB" w:rsidRPr="00C023BB" w:rsidRDefault="006700DB" w:rsidP="001F27EA">
            <w:pPr>
              <w:pStyle w:val="Default"/>
              <w:jc w:val="center"/>
              <w:rPr>
                <w:sz w:val="20"/>
                <w:szCs w:val="20"/>
              </w:rPr>
            </w:pPr>
          </w:p>
          <w:p w14:paraId="5BE8434F" w14:textId="77777777" w:rsidR="006700DB" w:rsidRPr="00C023BB" w:rsidRDefault="006700DB" w:rsidP="001F27EA">
            <w:pPr>
              <w:pStyle w:val="Default"/>
              <w:jc w:val="center"/>
              <w:rPr>
                <w:sz w:val="20"/>
                <w:szCs w:val="20"/>
              </w:rPr>
            </w:pPr>
          </w:p>
          <w:p w14:paraId="786B07FC" w14:textId="77777777" w:rsidR="006700DB" w:rsidRPr="00C023BB" w:rsidRDefault="006700DB" w:rsidP="001F27EA">
            <w:pPr>
              <w:pStyle w:val="Default"/>
              <w:jc w:val="center"/>
              <w:rPr>
                <w:sz w:val="20"/>
                <w:szCs w:val="20"/>
              </w:rPr>
            </w:pPr>
            <w:r w:rsidRPr="00C023BB">
              <w:rPr>
                <w:sz w:val="20"/>
                <w:szCs w:val="20"/>
              </w:rPr>
              <w:t xml:space="preserve">Upper </w:t>
            </w:r>
          </w:p>
        </w:tc>
      </w:tr>
      <w:tr w:rsidR="006700DB" w:rsidRPr="00C023BB" w14:paraId="553D414C" w14:textId="77777777" w:rsidTr="00C023BB">
        <w:trPr>
          <w:gridAfter w:val="1"/>
          <w:wAfter w:w="22" w:type="dxa"/>
          <w:trHeight w:val="472"/>
          <w:jc w:val="center"/>
        </w:trPr>
        <w:tc>
          <w:tcPr>
            <w:tcW w:w="872" w:type="dxa"/>
            <w:vMerge w:val="restart"/>
          </w:tcPr>
          <w:p w14:paraId="4E0AD592" w14:textId="77777777" w:rsidR="006700DB" w:rsidRPr="00C023BB" w:rsidRDefault="006700DB" w:rsidP="001F27EA">
            <w:pPr>
              <w:pStyle w:val="Default"/>
              <w:jc w:val="center"/>
              <w:rPr>
                <w:sz w:val="20"/>
                <w:szCs w:val="20"/>
              </w:rPr>
            </w:pPr>
          </w:p>
          <w:p w14:paraId="10B01284" w14:textId="77777777" w:rsidR="006700DB" w:rsidRPr="00C023BB" w:rsidRDefault="006700DB" w:rsidP="001F27EA">
            <w:pPr>
              <w:pStyle w:val="Default"/>
              <w:jc w:val="center"/>
              <w:rPr>
                <w:sz w:val="20"/>
                <w:szCs w:val="20"/>
              </w:rPr>
            </w:pPr>
          </w:p>
          <w:p w14:paraId="4DC30893" w14:textId="77777777" w:rsidR="006700DB" w:rsidRPr="00C023BB" w:rsidRDefault="006700DB" w:rsidP="001F27EA">
            <w:pPr>
              <w:pStyle w:val="Default"/>
              <w:jc w:val="center"/>
              <w:rPr>
                <w:sz w:val="20"/>
                <w:szCs w:val="20"/>
              </w:rPr>
            </w:pPr>
          </w:p>
          <w:p w14:paraId="4E2CD933" w14:textId="77777777" w:rsidR="006700DB" w:rsidRPr="00C023BB" w:rsidRDefault="006700DB" w:rsidP="001F27EA">
            <w:pPr>
              <w:pStyle w:val="Default"/>
              <w:rPr>
                <w:sz w:val="20"/>
                <w:szCs w:val="20"/>
              </w:rPr>
            </w:pPr>
          </w:p>
          <w:p w14:paraId="299565A7" w14:textId="77777777" w:rsidR="006700DB" w:rsidRPr="00C023BB" w:rsidRDefault="006700DB" w:rsidP="001F27EA">
            <w:pPr>
              <w:pStyle w:val="Default"/>
              <w:rPr>
                <w:sz w:val="20"/>
                <w:szCs w:val="20"/>
              </w:rPr>
            </w:pPr>
            <w:r w:rsidRPr="00C023BB">
              <w:rPr>
                <w:sz w:val="20"/>
                <w:szCs w:val="20"/>
              </w:rPr>
              <w:t xml:space="preserve">Variable </w:t>
            </w:r>
          </w:p>
          <w:p w14:paraId="63696F43" w14:textId="77777777" w:rsidR="006700DB" w:rsidRPr="00C023BB" w:rsidRDefault="006700DB" w:rsidP="001F27EA">
            <w:pPr>
              <w:spacing w:line="360" w:lineRule="auto"/>
              <w:jc w:val="center"/>
              <w:rPr>
                <w:rFonts w:ascii="Times New Roman" w:hAnsi="Times New Roman" w:cs="Times New Roman"/>
                <w:sz w:val="20"/>
                <w:szCs w:val="20"/>
              </w:rPr>
            </w:pPr>
          </w:p>
        </w:tc>
        <w:tc>
          <w:tcPr>
            <w:tcW w:w="967" w:type="dxa"/>
          </w:tcPr>
          <w:p w14:paraId="5EDE5500" w14:textId="77777777" w:rsidR="006700DB" w:rsidRPr="00C023BB" w:rsidRDefault="006700DB" w:rsidP="001F27EA">
            <w:pPr>
              <w:pStyle w:val="Default"/>
              <w:rPr>
                <w:sz w:val="20"/>
                <w:szCs w:val="20"/>
              </w:rPr>
            </w:pPr>
            <w:r w:rsidRPr="00C023BB">
              <w:rPr>
                <w:sz w:val="20"/>
                <w:szCs w:val="20"/>
              </w:rPr>
              <w:t xml:space="preserve">Equal variances assumed </w:t>
            </w:r>
          </w:p>
        </w:tc>
        <w:tc>
          <w:tcPr>
            <w:tcW w:w="715" w:type="dxa"/>
          </w:tcPr>
          <w:p w14:paraId="126FBDEA" w14:textId="77777777" w:rsidR="006700DB" w:rsidRPr="00C023BB" w:rsidRDefault="006700DB" w:rsidP="001F27EA">
            <w:pPr>
              <w:pStyle w:val="Default"/>
              <w:jc w:val="center"/>
              <w:rPr>
                <w:sz w:val="20"/>
                <w:szCs w:val="20"/>
              </w:rPr>
            </w:pPr>
          </w:p>
          <w:p w14:paraId="63D57679" w14:textId="77777777" w:rsidR="006700DB" w:rsidRPr="00C023BB" w:rsidRDefault="006700DB" w:rsidP="001F27EA">
            <w:pPr>
              <w:pStyle w:val="Default"/>
              <w:jc w:val="center"/>
              <w:rPr>
                <w:sz w:val="20"/>
                <w:szCs w:val="20"/>
              </w:rPr>
            </w:pPr>
            <w:r w:rsidRPr="00C023BB">
              <w:rPr>
                <w:sz w:val="20"/>
                <w:szCs w:val="20"/>
              </w:rPr>
              <w:t>5.427</w:t>
            </w:r>
          </w:p>
        </w:tc>
        <w:tc>
          <w:tcPr>
            <w:tcW w:w="684" w:type="dxa"/>
          </w:tcPr>
          <w:p w14:paraId="0F2EF034" w14:textId="77777777" w:rsidR="006700DB" w:rsidRPr="00C023BB" w:rsidRDefault="006700DB" w:rsidP="001F27EA">
            <w:pPr>
              <w:pStyle w:val="Default"/>
              <w:rPr>
                <w:sz w:val="20"/>
                <w:szCs w:val="20"/>
              </w:rPr>
            </w:pPr>
          </w:p>
          <w:p w14:paraId="16C1B21E" w14:textId="77777777" w:rsidR="006700DB" w:rsidRPr="00C023BB" w:rsidRDefault="006700DB" w:rsidP="001F27EA">
            <w:pPr>
              <w:pStyle w:val="Default"/>
              <w:rPr>
                <w:sz w:val="20"/>
                <w:szCs w:val="20"/>
              </w:rPr>
            </w:pPr>
            <w:r w:rsidRPr="00C023BB">
              <w:rPr>
                <w:sz w:val="20"/>
                <w:szCs w:val="20"/>
              </w:rPr>
              <w:t xml:space="preserve">.021 </w:t>
            </w:r>
          </w:p>
          <w:p w14:paraId="1FDAD75B" w14:textId="77777777" w:rsidR="006700DB" w:rsidRPr="00C023BB" w:rsidRDefault="006700DB" w:rsidP="001F27EA">
            <w:pPr>
              <w:spacing w:line="360" w:lineRule="auto"/>
              <w:rPr>
                <w:rFonts w:ascii="Times New Roman" w:hAnsi="Times New Roman" w:cs="Times New Roman"/>
                <w:sz w:val="20"/>
                <w:szCs w:val="20"/>
              </w:rPr>
            </w:pPr>
          </w:p>
        </w:tc>
        <w:tc>
          <w:tcPr>
            <w:tcW w:w="722" w:type="dxa"/>
          </w:tcPr>
          <w:p w14:paraId="29848937" w14:textId="77777777" w:rsidR="006700DB" w:rsidRPr="00C023BB" w:rsidRDefault="006700DB" w:rsidP="001F27EA">
            <w:pPr>
              <w:pStyle w:val="Default"/>
              <w:jc w:val="center"/>
              <w:rPr>
                <w:sz w:val="20"/>
                <w:szCs w:val="20"/>
              </w:rPr>
            </w:pPr>
          </w:p>
          <w:p w14:paraId="5C90BD93" w14:textId="77777777" w:rsidR="006700DB" w:rsidRPr="00C023BB" w:rsidRDefault="006700DB" w:rsidP="001F27EA">
            <w:pPr>
              <w:pStyle w:val="Default"/>
              <w:rPr>
                <w:sz w:val="20"/>
                <w:szCs w:val="20"/>
              </w:rPr>
            </w:pPr>
            <w:r w:rsidRPr="00C023BB">
              <w:rPr>
                <w:sz w:val="20"/>
                <w:szCs w:val="20"/>
              </w:rPr>
              <w:t xml:space="preserve">-1.915 </w:t>
            </w:r>
          </w:p>
          <w:p w14:paraId="37C58BE4" w14:textId="77777777" w:rsidR="006700DB" w:rsidRPr="00C023BB" w:rsidRDefault="006700DB" w:rsidP="001F27EA">
            <w:pPr>
              <w:spacing w:line="360" w:lineRule="auto"/>
              <w:jc w:val="center"/>
              <w:rPr>
                <w:rFonts w:ascii="Times New Roman" w:hAnsi="Times New Roman" w:cs="Times New Roman"/>
                <w:sz w:val="20"/>
                <w:szCs w:val="20"/>
              </w:rPr>
            </w:pPr>
          </w:p>
        </w:tc>
        <w:tc>
          <w:tcPr>
            <w:tcW w:w="643" w:type="dxa"/>
          </w:tcPr>
          <w:p w14:paraId="30947B5A" w14:textId="77777777" w:rsidR="006700DB" w:rsidRPr="00C023BB" w:rsidRDefault="006700DB" w:rsidP="001F27EA">
            <w:pPr>
              <w:pStyle w:val="Default"/>
              <w:jc w:val="center"/>
              <w:rPr>
                <w:sz w:val="20"/>
                <w:szCs w:val="20"/>
              </w:rPr>
            </w:pPr>
          </w:p>
          <w:p w14:paraId="4B4CF726" w14:textId="77777777" w:rsidR="006700DB" w:rsidRPr="00C023BB" w:rsidRDefault="006700DB" w:rsidP="001F27EA">
            <w:pPr>
              <w:pStyle w:val="Default"/>
              <w:jc w:val="center"/>
              <w:rPr>
                <w:sz w:val="20"/>
                <w:szCs w:val="20"/>
              </w:rPr>
            </w:pPr>
            <w:r w:rsidRPr="00C023BB">
              <w:rPr>
                <w:sz w:val="20"/>
                <w:szCs w:val="20"/>
              </w:rPr>
              <w:t xml:space="preserve">124 </w:t>
            </w:r>
          </w:p>
        </w:tc>
        <w:tc>
          <w:tcPr>
            <w:tcW w:w="701" w:type="dxa"/>
          </w:tcPr>
          <w:p w14:paraId="62B24345" w14:textId="77777777" w:rsidR="006700DB" w:rsidRPr="00C023BB" w:rsidRDefault="006700DB" w:rsidP="001F27EA">
            <w:pPr>
              <w:pStyle w:val="Default"/>
              <w:jc w:val="center"/>
              <w:rPr>
                <w:sz w:val="20"/>
                <w:szCs w:val="20"/>
              </w:rPr>
            </w:pPr>
          </w:p>
          <w:p w14:paraId="6BCB9F6E" w14:textId="77777777" w:rsidR="006700DB" w:rsidRPr="00C023BB" w:rsidRDefault="006700DB" w:rsidP="001F27EA">
            <w:pPr>
              <w:pStyle w:val="Default"/>
              <w:jc w:val="center"/>
              <w:rPr>
                <w:sz w:val="20"/>
                <w:szCs w:val="20"/>
              </w:rPr>
            </w:pPr>
            <w:r w:rsidRPr="00C023BB">
              <w:rPr>
                <w:sz w:val="20"/>
                <w:szCs w:val="20"/>
              </w:rPr>
              <w:t xml:space="preserve">.058 </w:t>
            </w:r>
          </w:p>
        </w:tc>
        <w:tc>
          <w:tcPr>
            <w:tcW w:w="1036" w:type="dxa"/>
          </w:tcPr>
          <w:p w14:paraId="7DB03857" w14:textId="77777777" w:rsidR="006700DB" w:rsidRPr="00C023BB" w:rsidRDefault="006700DB" w:rsidP="001F27EA">
            <w:pPr>
              <w:pStyle w:val="Default"/>
              <w:jc w:val="center"/>
              <w:rPr>
                <w:sz w:val="20"/>
                <w:szCs w:val="20"/>
              </w:rPr>
            </w:pPr>
          </w:p>
          <w:p w14:paraId="6C6E6BB2" w14:textId="77777777" w:rsidR="006700DB" w:rsidRPr="00C023BB" w:rsidRDefault="006700DB" w:rsidP="001F27EA">
            <w:pPr>
              <w:pStyle w:val="Default"/>
              <w:jc w:val="center"/>
              <w:rPr>
                <w:sz w:val="20"/>
                <w:szCs w:val="20"/>
              </w:rPr>
            </w:pPr>
            <w:r w:rsidRPr="00C023BB">
              <w:rPr>
                <w:sz w:val="20"/>
                <w:szCs w:val="20"/>
              </w:rPr>
              <w:t xml:space="preserve">-11.308 </w:t>
            </w:r>
          </w:p>
        </w:tc>
        <w:tc>
          <w:tcPr>
            <w:tcW w:w="1036" w:type="dxa"/>
          </w:tcPr>
          <w:p w14:paraId="632682E0" w14:textId="77777777" w:rsidR="006700DB" w:rsidRPr="00C023BB" w:rsidRDefault="006700DB" w:rsidP="001F27EA">
            <w:pPr>
              <w:pStyle w:val="Default"/>
              <w:jc w:val="center"/>
              <w:rPr>
                <w:sz w:val="20"/>
                <w:szCs w:val="20"/>
              </w:rPr>
            </w:pPr>
          </w:p>
          <w:p w14:paraId="5777A4EA" w14:textId="77777777" w:rsidR="006700DB" w:rsidRPr="00C023BB" w:rsidRDefault="006700DB" w:rsidP="001F27EA">
            <w:pPr>
              <w:pStyle w:val="Default"/>
              <w:jc w:val="center"/>
              <w:rPr>
                <w:sz w:val="20"/>
                <w:szCs w:val="20"/>
              </w:rPr>
            </w:pPr>
            <w:r w:rsidRPr="00C023BB">
              <w:rPr>
                <w:sz w:val="20"/>
                <w:szCs w:val="20"/>
              </w:rPr>
              <w:t>5.905</w:t>
            </w:r>
          </w:p>
        </w:tc>
        <w:tc>
          <w:tcPr>
            <w:tcW w:w="1119" w:type="dxa"/>
          </w:tcPr>
          <w:p w14:paraId="23FE812C" w14:textId="77777777" w:rsidR="006700DB" w:rsidRPr="00C023BB" w:rsidRDefault="006700DB" w:rsidP="001F27EA">
            <w:pPr>
              <w:pStyle w:val="Default"/>
              <w:jc w:val="center"/>
              <w:rPr>
                <w:sz w:val="20"/>
                <w:szCs w:val="20"/>
              </w:rPr>
            </w:pPr>
          </w:p>
          <w:p w14:paraId="75AE387E" w14:textId="77777777" w:rsidR="006700DB" w:rsidRPr="00C023BB" w:rsidRDefault="006700DB" w:rsidP="001F27EA">
            <w:pPr>
              <w:pStyle w:val="Default"/>
              <w:jc w:val="center"/>
              <w:rPr>
                <w:sz w:val="20"/>
                <w:szCs w:val="20"/>
              </w:rPr>
            </w:pPr>
            <w:r w:rsidRPr="00C023BB">
              <w:rPr>
                <w:sz w:val="20"/>
                <w:szCs w:val="20"/>
              </w:rPr>
              <w:t>-22.995</w:t>
            </w:r>
          </w:p>
        </w:tc>
        <w:tc>
          <w:tcPr>
            <w:tcW w:w="1158" w:type="dxa"/>
          </w:tcPr>
          <w:p w14:paraId="37BA2CDD" w14:textId="77777777" w:rsidR="006700DB" w:rsidRPr="00C023BB" w:rsidRDefault="006700DB" w:rsidP="001F27EA">
            <w:pPr>
              <w:pStyle w:val="Default"/>
              <w:jc w:val="center"/>
              <w:rPr>
                <w:sz w:val="20"/>
                <w:szCs w:val="20"/>
              </w:rPr>
            </w:pPr>
          </w:p>
          <w:p w14:paraId="7C57F41F" w14:textId="77777777" w:rsidR="006700DB" w:rsidRPr="00C023BB" w:rsidRDefault="006700DB" w:rsidP="001F27EA">
            <w:pPr>
              <w:pStyle w:val="Default"/>
              <w:jc w:val="center"/>
              <w:rPr>
                <w:sz w:val="20"/>
                <w:szCs w:val="20"/>
              </w:rPr>
            </w:pPr>
            <w:r w:rsidRPr="00C023BB">
              <w:rPr>
                <w:sz w:val="20"/>
                <w:szCs w:val="20"/>
              </w:rPr>
              <w:t>.379</w:t>
            </w:r>
          </w:p>
        </w:tc>
      </w:tr>
      <w:tr w:rsidR="006700DB" w:rsidRPr="00C023BB" w14:paraId="6E7D0EAC" w14:textId="77777777" w:rsidTr="00C023BB">
        <w:trPr>
          <w:gridAfter w:val="1"/>
          <w:wAfter w:w="22" w:type="dxa"/>
          <w:trHeight w:val="177"/>
          <w:jc w:val="center"/>
        </w:trPr>
        <w:tc>
          <w:tcPr>
            <w:tcW w:w="872" w:type="dxa"/>
            <w:vMerge/>
          </w:tcPr>
          <w:p w14:paraId="29FEDA26" w14:textId="77777777" w:rsidR="006700DB" w:rsidRPr="00C023BB" w:rsidRDefault="006700DB" w:rsidP="001F27EA">
            <w:pPr>
              <w:spacing w:line="360" w:lineRule="auto"/>
              <w:jc w:val="center"/>
              <w:rPr>
                <w:rFonts w:ascii="Times New Roman" w:hAnsi="Times New Roman" w:cs="Times New Roman"/>
                <w:sz w:val="20"/>
                <w:szCs w:val="20"/>
              </w:rPr>
            </w:pPr>
          </w:p>
        </w:tc>
        <w:tc>
          <w:tcPr>
            <w:tcW w:w="967" w:type="dxa"/>
          </w:tcPr>
          <w:p w14:paraId="3103BFF8" w14:textId="77777777" w:rsidR="006700DB" w:rsidRPr="00C023BB" w:rsidRDefault="006700DB" w:rsidP="001F27EA">
            <w:pPr>
              <w:pStyle w:val="Default"/>
              <w:rPr>
                <w:sz w:val="20"/>
                <w:szCs w:val="20"/>
              </w:rPr>
            </w:pPr>
            <w:r w:rsidRPr="00C023BB">
              <w:rPr>
                <w:sz w:val="20"/>
                <w:szCs w:val="20"/>
              </w:rPr>
              <w:t xml:space="preserve">Equal variances not assumed </w:t>
            </w:r>
          </w:p>
        </w:tc>
        <w:tc>
          <w:tcPr>
            <w:tcW w:w="715" w:type="dxa"/>
          </w:tcPr>
          <w:p w14:paraId="77E8509A" w14:textId="77777777" w:rsidR="006700DB" w:rsidRPr="00C023BB" w:rsidRDefault="006700DB" w:rsidP="001F27EA">
            <w:pPr>
              <w:spacing w:line="360" w:lineRule="auto"/>
              <w:jc w:val="center"/>
              <w:rPr>
                <w:rFonts w:ascii="Times New Roman" w:hAnsi="Times New Roman" w:cs="Times New Roman"/>
                <w:sz w:val="20"/>
                <w:szCs w:val="20"/>
              </w:rPr>
            </w:pPr>
          </w:p>
        </w:tc>
        <w:tc>
          <w:tcPr>
            <w:tcW w:w="684" w:type="dxa"/>
          </w:tcPr>
          <w:p w14:paraId="26691709" w14:textId="77777777" w:rsidR="006700DB" w:rsidRPr="00C023BB" w:rsidRDefault="006700DB" w:rsidP="001F27EA">
            <w:pPr>
              <w:spacing w:line="360" w:lineRule="auto"/>
              <w:jc w:val="center"/>
              <w:rPr>
                <w:rFonts w:ascii="Times New Roman" w:hAnsi="Times New Roman" w:cs="Times New Roman"/>
                <w:sz w:val="20"/>
                <w:szCs w:val="20"/>
              </w:rPr>
            </w:pPr>
          </w:p>
        </w:tc>
        <w:tc>
          <w:tcPr>
            <w:tcW w:w="722" w:type="dxa"/>
          </w:tcPr>
          <w:p w14:paraId="28A58E1C" w14:textId="77777777" w:rsidR="006700DB" w:rsidRPr="00C023BB" w:rsidRDefault="006700DB" w:rsidP="001F27EA">
            <w:pPr>
              <w:pStyle w:val="Default"/>
              <w:jc w:val="center"/>
              <w:rPr>
                <w:sz w:val="20"/>
                <w:szCs w:val="20"/>
              </w:rPr>
            </w:pPr>
          </w:p>
          <w:p w14:paraId="724999D7" w14:textId="77777777" w:rsidR="006700DB" w:rsidRPr="00C023BB" w:rsidRDefault="006700DB" w:rsidP="001F27EA">
            <w:pPr>
              <w:pStyle w:val="Default"/>
              <w:jc w:val="center"/>
              <w:rPr>
                <w:sz w:val="20"/>
                <w:szCs w:val="20"/>
              </w:rPr>
            </w:pPr>
            <w:r w:rsidRPr="00C023BB">
              <w:rPr>
                <w:sz w:val="20"/>
                <w:szCs w:val="20"/>
              </w:rPr>
              <w:t>-2.302</w:t>
            </w:r>
          </w:p>
        </w:tc>
        <w:tc>
          <w:tcPr>
            <w:tcW w:w="643" w:type="dxa"/>
          </w:tcPr>
          <w:p w14:paraId="0C9FCCDD" w14:textId="77777777" w:rsidR="006700DB" w:rsidRPr="00C023BB" w:rsidRDefault="006700DB" w:rsidP="001F27EA">
            <w:pPr>
              <w:pStyle w:val="Default"/>
              <w:jc w:val="center"/>
              <w:rPr>
                <w:sz w:val="20"/>
                <w:szCs w:val="20"/>
              </w:rPr>
            </w:pPr>
          </w:p>
          <w:p w14:paraId="6982E238" w14:textId="77777777" w:rsidR="006700DB" w:rsidRPr="00C023BB" w:rsidRDefault="006700DB" w:rsidP="001F27EA">
            <w:pPr>
              <w:pStyle w:val="Default"/>
              <w:jc w:val="center"/>
              <w:rPr>
                <w:sz w:val="20"/>
                <w:szCs w:val="20"/>
              </w:rPr>
            </w:pPr>
            <w:r w:rsidRPr="00C023BB">
              <w:rPr>
                <w:sz w:val="20"/>
                <w:szCs w:val="20"/>
              </w:rPr>
              <w:t>38.56</w:t>
            </w:r>
          </w:p>
        </w:tc>
        <w:tc>
          <w:tcPr>
            <w:tcW w:w="701" w:type="dxa"/>
          </w:tcPr>
          <w:p w14:paraId="5D2D776D" w14:textId="77777777" w:rsidR="006700DB" w:rsidRPr="00C023BB" w:rsidRDefault="006700DB" w:rsidP="001F27EA">
            <w:pPr>
              <w:pStyle w:val="Default"/>
              <w:jc w:val="center"/>
              <w:rPr>
                <w:b/>
                <w:bCs/>
                <w:sz w:val="20"/>
                <w:szCs w:val="20"/>
              </w:rPr>
            </w:pPr>
          </w:p>
          <w:p w14:paraId="344B7ED1" w14:textId="77777777" w:rsidR="006700DB" w:rsidRPr="00C023BB" w:rsidRDefault="006700DB" w:rsidP="001F27EA">
            <w:pPr>
              <w:pStyle w:val="Default"/>
              <w:jc w:val="center"/>
              <w:rPr>
                <w:sz w:val="20"/>
                <w:szCs w:val="20"/>
              </w:rPr>
            </w:pPr>
            <w:r w:rsidRPr="00C023BB">
              <w:rPr>
                <w:b/>
                <w:bCs/>
                <w:sz w:val="20"/>
                <w:szCs w:val="20"/>
              </w:rPr>
              <w:t>.027</w:t>
            </w:r>
          </w:p>
        </w:tc>
        <w:tc>
          <w:tcPr>
            <w:tcW w:w="1036" w:type="dxa"/>
          </w:tcPr>
          <w:p w14:paraId="4F4CF92F" w14:textId="77777777" w:rsidR="006700DB" w:rsidRPr="00C023BB" w:rsidRDefault="006700DB" w:rsidP="001F27EA">
            <w:pPr>
              <w:pStyle w:val="Default"/>
              <w:jc w:val="center"/>
              <w:rPr>
                <w:sz w:val="20"/>
                <w:szCs w:val="20"/>
              </w:rPr>
            </w:pPr>
          </w:p>
          <w:p w14:paraId="57005112" w14:textId="77777777" w:rsidR="006700DB" w:rsidRPr="00C023BB" w:rsidRDefault="006700DB" w:rsidP="001F27EA">
            <w:pPr>
              <w:pStyle w:val="Default"/>
              <w:jc w:val="center"/>
              <w:rPr>
                <w:sz w:val="20"/>
                <w:szCs w:val="20"/>
              </w:rPr>
            </w:pPr>
            <w:r w:rsidRPr="00C023BB">
              <w:rPr>
                <w:sz w:val="20"/>
                <w:szCs w:val="20"/>
              </w:rPr>
              <w:t>-11.308</w:t>
            </w:r>
          </w:p>
        </w:tc>
        <w:tc>
          <w:tcPr>
            <w:tcW w:w="1036" w:type="dxa"/>
          </w:tcPr>
          <w:p w14:paraId="423306F1" w14:textId="77777777" w:rsidR="006700DB" w:rsidRPr="00C023BB" w:rsidRDefault="006700DB" w:rsidP="001F27EA">
            <w:pPr>
              <w:pStyle w:val="Default"/>
              <w:jc w:val="center"/>
              <w:rPr>
                <w:sz w:val="20"/>
                <w:szCs w:val="20"/>
              </w:rPr>
            </w:pPr>
          </w:p>
          <w:p w14:paraId="3A9E1881" w14:textId="77777777" w:rsidR="006700DB" w:rsidRPr="00C023BB" w:rsidRDefault="006700DB" w:rsidP="001F27EA">
            <w:pPr>
              <w:pStyle w:val="Default"/>
              <w:jc w:val="center"/>
              <w:rPr>
                <w:sz w:val="20"/>
                <w:szCs w:val="20"/>
              </w:rPr>
            </w:pPr>
            <w:r w:rsidRPr="00C023BB">
              <w:rPr>
                <w:sz w:val="20"/>
                <w:szCs w:val="20"/>
              </w:rPr>
              <w:t>4.912</w:t>
            </w:r>
          </w:p>
        </w:tc>
        <w:tc>
          <w:tcPr>
            <w:tcW w:w="1119" w:type="dxa"/>
          </w:tcPr>
          <w:p w14:paraId="5E1ED53E" w14:textId="77777777" w:rsidR="006700DB" w:rsidRPr="00C023BB" w:rsidRDefault="006700DB" w:rsidP="001F27EA">
            <w:pPr>
              <w:pStyle w:val="Default"/>
              <w:jc w:val="center"/>
              <w:rPr>
                <w:sz w:val="20"/>
                <w:szCs w:val="20"/>
              </w:rPr>
            </w:pPr>
          </w:p>
          <w:p w14:paraId="5FE79732" w14:textId="77777777" w:rsidR="006700DB" w:rsidRPr="00C023BB" w:rsidRDefault="006700DB" w:rsidP="001F27EA">
            <w:pPr>
              <w:pStyle w:val="Default"/>
              <w:jc w:val="center"/>
              <w:rPr>
                <w:sz w:val="20"/>
                <w:szCs w:val="20"/>
              </w:rPr>
            </w:pPr>
            <w:r w:rsidRPr="00C023BB">
              <w:rPr>
                <w:sz w:val="20"/>
                <w:szCs w:val="20"/>
              </w:rPr>
              <w:t>-21.247</w:t>
            </w:r>
          </w:p>
        </w:tc>
        <w:tc>
          <w:tcPr>
            <w:tcW w:w="1158" w:type="dxa"/>
          </w:tcPr>
          <w:p w14:paraId="52A033AD" w14:textId="77777777" w:rsidR="006700DB" w:rsidRPr="00C023BB" w:rsidRDefault="006700DB" w:rsidP="001F27EA">
            <w:pPr>
              <w:pStyle w:val="Default"/>
              <w:jc w:val="center"/>
              <w:rPr>
                <w:sz w:val="20"/>
                <w:szCs w:val="20"/>
              </w:rPr>
            </w:pPr>
          </w:p>
          <w:p w14:paraId="66EB5DDE" w14:textId="77777777" w:rsidR="006700DB" w:rsidRPr="00C023BB" w:rsidRDefault="006700DB" w:rsidP="001F27EA">
            <w:pPr>
              <w:pStyle w:val="Default"/>
              <w:jc w:val="center"/>
              <w:rPr>
                <w:sz w:val="20"/>
                <w:szCs w:val="20"/>
              </w:rPr>
            </w:pPr>
            <w:r w:rsidRPr="00C023BB">
              <w:rPr>
                <w:sz w:val="20"/>
                <w:szCs w:val="20"/>
              </w:rPr>
              <w:t>-1.368</w:t>
            </w:r>
          </w:p>
        </w:tc>
      </w:tr>
    </w:tbl>
    <w:bookmarkEnd w:id="5"/>
    <w:p w14:paraId="4DDD781D" w14:textId="2FA03348" w:rsidR="006700DB" w:rsidRDefault="00C023BB" w:rsidP="00C023BB">
      <w:pPr>
        <w:autoSpaceDE w:val="0"/>
        <w:autoSpaceDN w:val="0"/>
        <w:adjustRightInd w:val="0"/>
        <w:rPr>
          <w:rFonts w:ascii="Times New Roman" w:hAnsi="Times New Roman" w:cs="Times New Roman"/>
          <w:sz w:val="20"/>
          <w:szCs w:val="20"/>
        </w:rPr>
      </w:pPr>
      <w:r>
        <w:rPr>
          <w:rFonts w:ascii="Times New Roman" w:hAnsi="Times New Roman" w:cs="Times New Roman"/>
          <w:color w:val="000000"/>
          <w:sz w:val="20"/>
          <w:szCs w:val="20"/>
        </w:rPr>
        <w:tab/>
        <w:t xml:space="preserve"> </w:t>
      </w:r>
      <w:r>
        <w:rPr>
          <w:rFonts w:ascii="Times New Roman" w:hAnsi="Times New Roman" w:cs="Times New Roman"/>
          <w:sz w:val="24"/>
          <w:szCs w:val="24"/>
        </w:rPr>
        <w:t xml:space="preserve"> </w:t>
      </w:r>
      <w:r>
        <w:rPr>
          <w:rFonts w:ascii="Times New Roman" w:hAnsi="Times New Roman" w:cs="Times New Roman"/>
          <w:b/>
          <w:bCs/>
          <w:sz w:val="20"/>
          <w:szCs w:val="20"/>
        </w:rPr>
        <w:t xml:space="preserve">(Source: </w:t>
      </w:r>
      <w:r>
        <w:rPr>
          <w:rFonts w:ascii="Times New Roman" w:hAnsi="Times New Roman" w:cs="Times New Roman"/>
          <w:sz w:val="20"/>
          <w:szCs w:val="20"/>
        </w:rPr>
        <w:t>Primary Data, Author’s Compilation in SPSS 20)</w:t>
      </w:r>
    </w:p>
    <w:p w14:paraId="61159521" w14:textId="543972F5" w:rsidR="00C023BB" w:rsidRDefault="00C023BB" w:rsidP="00C023BB">
      <w:pPr>
        <w:autoSpaceDE w:val="0"/>
        <w:autoSpaceDN w:val="0"/>
        <w:adjustRightInd w:val="0"/>
        <w:rPr>
          <w:rFonts w:ascii="Times New Roman" w:hAnsi="Times New Roman" w:cs="Times New Roman"/>
          <w:sz w:val="20"/>
          <w:szCs w:val="20"/>
        </w:rPr>
      </w:pPr>
    </w:p>
    <w:p w14:paraId="6DDEE4C1" w14:textId="3AFBF945" w:rsidR="00C023BB" w:rsidRDefault="00C023BB" w:rsidP="00C023BB">
      <w:pPr>
        <w:rPr>
          <w:rFonts w:ascii="Times New Roman" w:hAnsi="Times New Roman" w:cs="Times New Roman"/>
          <w:sz w:val="20"/>
          <w:szCs w:val="20"/>
        </w:rPr>
      </w:pPr>
      <w:r>
        <w:rPr>
          <w:rFonts w:ascii="Times New Roman" w:hAnsi="Times New Roman" w:cs="Times New Roman"/>
          <w:sz w:val="20"/>
          <w:szCs w:val="20"/>
        </w:rPr>
        <w:tab/>
        <w:t xml:space="preserve"> </w:t>
      </w:r>
      <w:r w:rsidRPr="00C023BB">
        <w:rPr>
          <w:rFonts w:ascii="Times New Roman" w:hAnsi="Times New Roman" w:cs="Times New Roman"/>
          <w:sz w:val="20"/>
          <w:szCs w:val="20"/>
        </w:rPr>
        <w:t>Since the sample sizes are different, equal variances cannot be assumed.</w:t>
      </w:r>
    </w:p>
    <w:p w14:paraId="6F96A4DB" w14:textId="77777777" w:rsidR="00C023BB" w:rsidRPr="00C023BB" w:rsidRDefault="00C023BB" w:rsidP="00C023BB">
      <w:pPr>
        <w:rPr>
          <w:rFonts w:ascii="Times New Roman" w:hAnsi="Times New Roman" w:cs="Times New Roman"/>
          <w:sz w:val="20"/>
          <w:szCs w:val="20"/>
        </w:rPr>
      </w:pPr>
    </w:p>
    <w:p w14:paraId="1AFAB1C8" w14:textId="013F48C5" w:rsidR="00C023BB" w:rsidRDefault="00C023BB" w:rsidP="00C023BB">
      <w:pPr>
        <w:rPr>
          <w:rFonts w:ascii="Times New Roman" w:hAnsi="Times New Roman" w:cs="Times New Roman"/>
          <w:sz w:val="20"/>
          <w:szCs w:val="20"/>
        </w:rPr>
      </w:pPr>
      <w:r w:rsidRPr="00C023BB">
        <w:rPr>
          <w:rFonts w:ascii="Times New Roman" w:hAnsi="Times New Roman" w:cs="Times New Roman"/>
          <w:sz w:val="20"/>
          <w:szCs w:val="20"/>
        </w:rPr>
        <w:t>Thus, the group means are statistically significant because the value in the ‘</w:t>
      </w:r>
      <w:r w:rsidRPr="00C023BB">
        <w:rPr>
          <w:rFonts w:ascii="Times New Roman" w:hAnsi="Times New Roman" w:cs="Times New Roman"/>
          <w:b/>
          <w:bCs/>
          <w:sz w:val="20"/>
          <w:szCs w:val="20"/>
        </w:rPr>
        <w:t>Sig. (2-tailed)</w:t>
      </w:r>
      <w:r w:rsidRPr="00C023BB">
        <w:rPr>
          <w:rFonts w:ascii="Times New Roman" w:hAnsi="Times New Roman" w:cs="Times New Roman"/>
          <w:sz w:val="20"/>
          <w:szCs w:val="20"/>
        </w:rPr>
        <w:t>’ column against ‘Equal variances not assumed’ row is 0.027 (i.e., less than 0.05). H</w:t>
      </w:r>
      <w:r w:rsidRPr="00C023BB">
        <w:rPr>
          <w:rFonts w:ascii="Times New Roman" w:hAnsi="Times New Roman" w:cs="Times New Roman"/>
          <w:sz w:val="20"/>
          <w:szCs w:val="20"/>
          <w:vertAlign w:val="subscript"/>
        </w:rPr>
        <w:t>01</w:t>
      </w:r>
      <w:r w:rsidRPr="00C023BB">
        <w:rPr>
          <w:rFonts w:ascii="Times New Roman" w:hAnsi="Times New Roman" w:cs="Times New Roman"/>
          <w:sz w:val="20"/>
          <w:szCs w:val="20"/>
        </w:rPr>
        <w:t xml:space="preserve"> of statistical insignificance of difference in investment proportion in risky instruments among the investors of age group of ‘below 45 years’ and ‘45 years and above’ is rejected with 95%. Alternative hypothesis (H</w:t>
      </w:r>
      <w:r w:rsidRPr="00C023BB">
        <w:rPr>
          <w:rFonts w:ascii="Times New Roman" w:hAnsi="Times New Roman" w:cs="Times New Roman"/>
          <w:sz w:val="20"/>
          <w:szCs w:val="20"/>
          <w:vertAlign w:val="subscript"/>
        </w:rPr>
        <w:t>11</w:t>
      </w:r>
      <w:r w:rsidRPr="00C023BB">
        <w:rPr>
          <w:rFonts w:ascii="Times New Roman" w:hAnsi="Times New Roman" w:cs="Times New Roman"/>
          <w:sz w:val="20"/>
          <w:szCs w:val="20"/>
        </w:rPr>
        <w:t>) is accepted.</w:t>
      </w:r>
    </w:p>
    <w:p w14:paraId="73D74D8F" w14:textId="77777777" w:rsidR="00C023BB" w:rsidRPr="00C023BB" w:rsidRDefault="00C023BB" w:rsidP="00C023BB">
      <w:pPr>
        <w:rPr>
          <w:rFonts w:ascii="Times New Roman" w:hAnsi="Times New Roman" w:cs="Times New Roman"/>
          <w:sz w:val="20"/>
          <w:szCs w:val="20"/>
        </w:rPr>
      </w:pPr>
    </w:p>
    <w:p w14:paraId="1E830E44" w14:textId="6E641411" w:rsidR="00C023BB" w:rsidRDefault="00C023BB" w:rsidP="00C023BB">
      <w:pPr>
        <w:ind w:firstLine="720"/>
        <w:rPr>
          <w:rFonts w:ascii="Times New Roman" w:hAnsi="Times New Roman" w:cs="Times New Roman"/>
          <w:sz w:val="20"/>
          <w:szCs w:val="20"/>
        </w:rPr>
      </w:pPr>
      <w:r w:rsidRPr="00C023BB">
        <w:rPr>
          <w:rFonts w:ascii="Times New Roman" w:hAnsi="Times New Roman" w:cs="Times New Roman"/>
          <w:sz w:val="20"/>
          <w:szCs w:val="20"/>
        </w:rPr>
        <w:t>Therefore, it can be said that, on the basis of sample collected, significant difference exists between investment proportion in risky instruments among the investors of age group of ‘below 45 years’ and ‘45 years and above’.</w:t>
      </w:r>
    </w:p>
    <w:p w14:paraId="2ADA61CF" w14:textId="16E703EA" w:rsidR="00C023BB" w:rsidRDefault="00C023BB" w:rsidP="00C023BB">
      <w:pPr>
        <w:rPr>
          <w:rFonts w:ascii="Times New Roman" w:hAnsi="Times New Roman" w:cs="Times New Roman"/>
          <w:sz w:val="20"/>
          <w:szCs w:val="20"/>
        </w:rPr>
      </w:pPr>
    </w:p>
    <w:p w14:paraId="6845337C" w14:textId="6E019816" w:rsidR="00C023BB" w:rsidRDefault="00C023BB" w:rsidP="00995FDF">
      <w:pPr>
        <w:pStyle w:val="ListParagraph"/>
        <w:numPr>
          <w:ilvl w:val="0"/>
          <w:numId w:val="11"/>
        </w:numPr>
        <w:autoSpaceDE w:val="0"/>
        <w:autoSpaceDN w:val="0"/>
        <w:adjustRightInd w:val="0"/>
        <w:rPr>
          <w:rFonts w:ascii="Times New Roman" w:hAnsi="Times New Roman" w:cs="Times New Roman"/>
          <w:b/>
          <w:bCs/>
          <w:color w:val="000000"/>
          <w:sz w:val="20"/>
          <w:szCs w:val="20"/>
        </w:rPr>
      </w:pPr>
      <w:r w:rsidRPr="00E4760B">
        <w:rPr>
          <w:rFonts w:ascii="Times New Roman" w:hAnsi="Times New Roman" w:cs="Times New Roman"/>
          <w:b/>
          <w:bCs/>
          <w:color w:val="000000"/>
          <w:sz w:val="20"/>
          <w:szCs w:val="20"/>
        </w:rPr>
        <w:t xml:space="preserve">T-test to determine the statistical significance of difference between investment proportion in risky instruments among the investors of age group of below 45 years and 45 years and above within the investors falling in the income group of Rs. 7,50,000 and above: </w:t>
      </w:r>
    </w:p>
    <w:p w14:paraId="23D8B154" w14:textId="77777777" w:rsidR="00E4760B" w:rsidRPr="00E4760B" w:rsidRDefault="00E4760B" w:rsidP="00E4760B">
      <w:pPr>
        <w:pStyle w:val="ListParagraph"/>
        <w:autoSpaceDE w:val="0"/>
        <w:autoSpaceDN w:val="0"/>
        <w:adjustRightInd w:val="0"/>
        <w:ind w:left="0"/>
        <w:rPr>
          <w:rFonts w:ascii="Times New Roman" w:hAnsi="Times New Roman" w:cs="Times New Roman"/>
          <w:b/>
          <w:bCs/>
          <w:color w:val="000000"/>
          <w:sz w:val="20"/>
          <w:szCs w:val="20"/>
        </w:rPr>
      </w:pPr>
    </w:p>
    <w:p w14:paraId="41D50EFD" w14:textId="3C25BF62" w:rsidR="00C023BB" w:rsidRDefault="00E4760B" w:rsidP="00E4760B">
      <w:pPr>
        <w:autoSpaceDE w:val="0"/>
        <w:autoSpaceDN w:val="0"/>
        <w:adjustRightInd w:val="0"/>
        <w:ind w:firstLine="360"/>
        <w:rPr>
          <w:rFonts w:ascii="Times New Roman" w:hAnsi="Times New Roman" w:cs="Times New Roman"/>
          <w:sz w:val="20"/>
          <w:szCs w:val="20"/>
        </w:rPr>
      </w:pPr>
      <w:r>
        <w:rPr>
          <w:rFonts w:ascii="Times New Roman" w:hAnsi="Times New Roman" w:cs="Times New Roman"/>
          <w:sz w:val="24"/>
          <w:szCs w:val="24"/>
        </w:rPr>
        <w:t xml:space="preserve"> </w:t>
      </w:r>
      <w:r w:rsidR="00C023BB" w:rsidRPr="00E4760B">
        <w:rPr>
          <w:rFonts w:ascii="Times New Roman" w:hAnsi="Times New Roman" w:cs="Times New Roman"/>
          <w:sz w:val="20"/>
          <w:szCs w:val="20"/>
        </w:rPr>
        <w:t>T – test is applied here for testing equality of means for two independent random samples of size n3and n4. Here n</w:t>
      </w:r>
      <w:r w:rsidR="00C023BB" w:rsidRPr="00E4760B">
        <w:rPr>
          <w:rFonts w:ascii="Times New Roman" w:hAnsi="Times New Roman" w:cs="Times New Roman"/>
          <w:sz w:val="20"/>
          <w:szCs w:val="20"/>
          <w:vertAlign w:val="subscript"/>
        </w:rPr>
        <w:t>3</w:t>
      </w:r>
      <w:r w:rsidR="00C023BB" w:rsidRPr="00E4760B">
        <w:rPr>
          <w:rFonts w:ascii="Times New Roman" w:hAnsi="Times New Roman" w:cs="Times New Roman"/>
          <w:sz w:val="20"/>
          <w:szCs w:val="20"/>
        </w:rPr>
        <w:t>=18 and n</w:t>
      </w:r>
      <w:r w:rsidR="00C023BB" w:rsidRPr="00E4760B">
        <w:rPr>
          <w:rFonts w:ascii="Times New Roman" w:hAnsi="Times New Roman" w:cs="Times New Roman"/>
          <w:sz w:val="20"/>
          <w:szCs w:val="20"/>
          <w:vertAlign w:val="subscript"/>
        </w:rPr>
        <w:t>4</w:t>
      </w:r>
      <w:r w:rsidR="00C023BB" w:rsidRPr="00E4760B">
        <w:rPr>
          <w:rFonts w:ascii="Times New Roman" w:hAnsi="Times New Roman" w:cs="Times New Roman"/>
          <w:sz w:val="20"/>
          <w:szCs w:val="20"/>
        </w:rPr>
        <w:t>=26. Where n</w:t>
      </w:r>
      <w:r w:rsidR="00C023BB" w:rsidRPr="00E4760B">
        <w:rPr>
          <w:rFonts w:ascii="Times New Roman" w:hAnsi="Times New Roman" w:cs="Times New Roman"/>
          <w:sz w:val="20"/>
          <w:szCs w:val="20"/>
          <w:vertAlign w:val="subscript"/>
        </w:rPr>
        <w:t>3</w:t>
      </w:r>
      <w:r w:rsidR="00C023BB" w:rsidRPr="00E4760B">
        <w:rPr>
          <w:rFonts w:ascii="Times New Roman" w:hAnsi="Times New Roman" w:cs="Times New Roman"/>
          <w:sz w:val="20"/>
          <w:szCs w:val="20"/>
        </w:rPr>
        <w:t xml:space="preserve"> stands for number of investors from age group of ‘45 years and above’ falling within the income group of ‘Rs. 7,50,000 and above’ and n</w:t>
      </w:r>
      <w:r w:rsidR="00C023BB" w:rsidRPr="00E4760B">
        <w:rPr>
          <w:rFonts w:ascii="Times New Roman" w:hAnsi="Times New Roman" w:cs="Times New Roman"/>
          <w:sz w:val="20"/>
          <w:szCs w:val="20"/>
          <w:vertAlign w:val="subscript"/>
        </w:rPr>
        <w:t>4</w:t>
      </w:r>
      <w:r w:rsidR="00C023BB" w:rsidRPr="00E4760B">
        <w:rPr>
          <w:rFonts w:ascii="Times New Roman" w:hAnsi="Times New Roman" w:cs="Times New Roman"/>
          <w:sz w:val="20"/>
          <w:szCs w:val="20"/>
        </w:rPr>
        <w:t xml:space="preserve"> stands for number of investors from age group of ‘below 45 years’ falling within the income group of ‘Rs. 7,50,000 and above’. The test hypotheses are as follows:</w:t>
      </w:r>
    </w:p>
    <w:p w14:paraId="0F2BD691" w14:textId="77777777" w:rsidR="00E4760B" w:rsidRPr="00E4760B" w:rsidRDefault="00E4760B" w:rsidP="00E4760B">
      <w:pPr>
        <w:autoSpaceDE w:val="0"/>
        <w:autoSpaceDN w:val="0"/>
        <w:adjustRightInd w:val="0"/>
        <w:ind w:firstLine="360"/>
        <w:rPr>
          <w:rFonts w:ascii="Times New Roman" w:hAnsi="Times New Roman" w:cs="Times New Roman"/>
          <w:sz w:val="20"/>
          <w:szCs w:val="20"/>
        </w:rPr>
      </w:pPr>
    </w:p>
    <w:p w14:paraId="25ACCBD0" w14:textId="77777777" w:rsidR="00C023BB" w:rsidRPr="00E4760B" w:rsidRDefault="00C023BB" w:rsidP="00E4760B">
      <w:pPr>
        <w:pStyle w:val="ListParagraph"/>
        <w:autoSpaceDE w:val="0"/>
        <w:autoSpaceDN w:val="0"/>
        <w:adjustRightInd w:val="0"/>
        <w:ind w:left="360"/>
        <w:rPr>
          <w:rFonts w:ascii="Times New Roman" w:hAnsi="Times New Roman" w:cs="Times New Roman"/>
          <w:sz w:val="20"/>
          <w:szCs w:val="20"/>
        </w:rPr>
      </w:pPr>
      <w:r w:rsidRPr="00E4760B">
        <w:rPr>
          <w:rFonts w:ascii="Times New Roman" w:hAnsi="Times New Roman" w:cs="Times New Roman"/>
          <w:sz w:val="20"/>
          <w:szCs w:val="20"/>
        </w:rPr>
        <w:t>H</w:t>
      </w:r>
      <w:r w:rsidRPr="00E4760B">
        <w:rPr>
          <w:rFonts w:ascii="Times New Roman" w:hAnsi="Times New Roman" w:cs="Times New Roman"/>
          <w:sz w:val="20"/>
          <w:szCs w:val="20"/>
          <w:vertAlign w:val="subscript"/>
        </w:rPr>
        <w:t>02</w:t>
      </w:r>
      <w:r w:rsidRPr="00E4760B">
        <w:rPr>
          <w:rFonts w:ascii="Times New Roman" w:hAnsi="Times New Roman" w:cs="Times New Roman"/>
          <w:sz w:val="20"/>
          <w:szCs w:val="20"/>
        </w:rPr>
        <w:t>: There is no significant difference between investment proportion in risky instruments among the investors of age group of ‘below 45 years’ and ‘45 years and above’ falling within the income group of ‘Rs. 7,50,000 and above’.</w:t>
      </w:r>
    </w:p>
    <w:p w14:paraId="7113C479" w14:textId="77777777" w:rsidR="00C023BB" w:rsidRPr="00E4760B" w:rsidRDefault="00C023BB" w:rsidP="00E4760B">
      <w:pPr>
        <w:pStyle w:val="ListParagraph"/>
        <w:autoSpaceDE w:val="0"/>
        <w:autoSpaceDN w:val="0"/>
        <w:adjustRightInd w:val="0"/>
        <w:ind w:left="360"/>
        <w:rPr>
          <w:rFonts w:ascii="Times New Roman" w:hAnsi="Times New Roman" w:cs="Times New Roman"/>
          <w:sz w:val="20"/>
          <w:szCs w:val="20"/>
        </w:rPr>
      </w:pPr>
    </w:p>
    <w:p w14:paraId="1E6554F6" w14:textId="77777777" w:rsidR="00C023BB" w:rsidRPr="00E4760B" w:rsidRDefault="00C023BB" w:rsidP="00E4760B">
      <w:pPr>
        <w:pStyle w:val="ListParagraph"/>
        <w:autoSpaceDE w:val="0"/>
        <w:autoSpaceDN w:val="0"/>
        <w:adjustRightInd w:val="0"/>
        <w:ind w:left="360"/>
        <w:rPr>
          <w:rFonts w:ascii="Times New Roman" w:hAnsi="Times New Roman" w:cs="Times New Roman"/>
          <w:sz w:val="20"/>
          <w:szCs w:val="20"/>
        </w:rPr>
      </w:pPr>
      <w:r w:rsidRPr="00E4760B">
        <w:rPr>
          <w:rFonts w:ascii="Times New Roman" w:hAnsi="Times New Roman" w:cs="Times New Roman"/>
          <w:sz w:val="20"/>
          <w:szCs w:val="20"/>
        </w:rPr>
        <w:t>H</w:t>
      </w:r>
      <w:r w:rsidRPr="00E4760B">
        <w:rPr>
          <w:rFonts w:ascii="Times New Roman" w:hAnsi="Times New Roman" w:cs="Times New Roman"/>
          <w:sz w:val="20"/>
          <w:szCs w:val="20"/>
          <w:vertAlign w:val="subscript"/>
        </w:rPr>
        <w:t>12</w:t>
      </w:r>
      <w:r w:rsidRPr="00E4760B">
        <w:rPr>
          <w:rFonts w:ascii="Times New Roman" w:hAnsi="Times New Roman" w:cs="Times New Roman"/>
          <w:sz w:val="20"/>
          <w:szCs w:val="20"/>
        </w:rPr>
        <w:t>: There is significant difference between investment proportion in risky instruments among the investors of age group of ‘below 45 years’ and ‘45 years and above’ falling within the income group of ‘Rs. 7,50,000 and above’.</w:t>
      </w:r>
    </w:p>
    <w:p w14:paraId="307936B6" w14:textId="7E7C2634" w:rsidR="00C023BB" w:rsidRPr="00E4760B" w:rsidRDefault="00C023BB" w:rsidP="00E4760B">
      <w:pPr>
        <w:autoSpaceDE w:val="0"/>
        <w:autoSpaceDN w:val="0"/>
        <w:adjustRightInd w:val="0"/>
        <w:ind w:firstLine="360"/>
        <w:rPr>
          <w:rFonts w:ascii="Times New Roman" w:hAnsi="Times New Roman" w:cs="Times New Roman"/>
          <w:sz w:val="20"/>
          <w:szCs w:val="20"/>
        </w:rPr>
      </w:pPr>
      <w:r w:rsidRPr="00E4760B">
        <w:rPr>
          <w:rFonts w:ascii="Times New Roman" w:hAnsi="Times New Roman" w:cs="Times New Roman"/>
          <w:sz w:val="20"/>
          <w:szCs w:val="20"/>
        </w:rPr>
        <w:t xml:space="preserve">Table 7 and Table 8 given below, reveals the relevant portion output generated from SPSS </w:t>
      </w:r>
      <w:r w:rsidR="00E4760B">
        <w:rPr>
          <w:rFonts w:ascii="Times New Roman" w:hAnsi="Times New Roman" w:cs="Times New Roman"/>
          <w:sz w:val="20"/>
          <w:szCs w:val="20"/>
        </w:rPr>
        <w:t>20</w:t>
      </w:r>
      <w:r w:rsidRPr="00E4760B">
        <w:rPr>
          <w:rFonts w:ascii="Times New Roman" w:hAnsi="Times New Roman" w:cs="Times New Roman"/>
          <w:sz w:val="20"/>
          <w:szCs w:val="20"/>
        </w:rPr>
        <w:t xml:space="preserve"> after conducting t-test using the collected data.</w:t>
      </w:r>
    </w:p>
    <w:p w14:paraId="3534B9B0" w14:textId="77777777" w:rsidR="00C023BB" w:rsidRDefault="00C023BB" w:rsidP="00C023BB">
      <w:pPr>
        <w:autoSpaceDE w:val="0"/>
        <w:autoSpaceDN w:val="0"/>
        <w:adjustRightInd w:val="0"/>
        <w:spacing w:line="360" w:lineRule="auto"/>
        <w:rPr>
          <w:rFonts w:ascii="Times New Roman" w:hAnsi="Times New Roman" w:cs="Times New Roman"/>
          <w:sz w:val="24"/>
          <w:szCs w:val="24"/>
        </w:rPr>
      </w:pPr>
    </w:p>
    <w:p w14:paraId="42C4590C" w14:textId="6C3558FB" w:rsidR="00C023BB" w:rsidRDefault="00C023BB" w:rsidP="00E4760B">
      <w:pPr>
        <w:autoSpaceDE w:val="0"/>
        <w:autoSpaceDN w:val="0"/>
        <w:adjustRightInd w:val="0"/>
        <w:jc w:val="center"/>
        <w:rPr>
          <w:rFonts w:ascii="Times New Roman" w:hAnsi="Times New Roman" w:cs="Times New Roman"/>
          <w:b/>
          <w:bCs/>
          <w:sz w:val="20"/>
          <w:szCs w:val="20"/>
        </w:rPr>
      </w:pPr>
      <w:r w:rsidRPr="00E4760B">
        <w:rPr>
          <w:rFonts w:ascii="Times New Roman" w:hAnsi="Times New Roman" w:cs="Times New Roman"/>
          <w:b/>
          <w:bCs/>
          <w:sz w:val="20"/>
          <w:szCs w:val="20"/>
        </w:rPr>
        <w:t>Table 7: Group statistics of age-wise investment in risky security of the investors falling in the income group of ‘Rs. 7,50,000 or more’</w:t>
      </w:r>
    </w:p>
    <w:p w14:paraId="55A3989B" w14:textId="77777777" w:rsidR="00E4760B" w:rsidRPr="00E4760B" w:rsidRDefault="00E4760B" w:rsidP="00E4760B">
      <w:pPr>
        <w:autoSpaceDE w:val="0"/>
        <w:autoSpaceDN w:val="0"/>
        <w:adjustRightInd w:val="0"/>
        <w:jc w:val="center"/>
        <w:rPr>
          <w:rFonts w:ascii="Times New Roman" w:hAnsi="Times New Roman" w:cs="Times New Roman"/>
          <w:b/>
          <w:bCs/>
          <w:sz w:val="20"/>
          <w:szCs w:val="20"/>
        </w:rPr>
      </w:pPr>
    </w:p>
    <w:tbl>
      <w:tblPr>
        <w:tblStyle w:val="TableGrid"/>
        <w:tblW w:w="9726" w:type="dxa"/>
        <w:jc w:val="center"/>
        <w:tblLook w:val="04A0" w:firstRow="1" w:lastRow="0" w:firstColumn="1" w:lastColumn="0" w:noHBand="0" w:noVBand="1"/>
      </w:tblPr>
      <w:tblGrid>
        <w:gridCol w:w="1945"/>
        <w:gridCol w:w="1945"/>
        <w:gridCol w:w="1945"/>
        <w:gridCol w:w="1945"/>
        <w:gridCol w:w="1946"/>
      </w:tblGrid>
      <w:tr w:rsidR="00C023BB" w:rsidRPr="00E4760B" w14:paraId="3A8C085D" w14:textId="77777777" w:rsidTr="00E4760B">
        <w:trPr>
          <w:trHeight w:val="201"/>
          <w:jc w:val="center"/>
        </w:trPr>
        <w:tc>
          <w:tcPr>
            <w:tcW w:w="1945" w:type="dxa"/>
          </w:tcPr>
          <w:p w14:paraId="0198FF79"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bookmarkStart w:id="6" w:name="_Hlk89818600"/>
          </w:p>
        </w:tc>
        <w:tc>
          <w:tcPr>
            <w:tcW w:w="1945" w:type="dxa"/>
          </w:tcPr>
          <w:p w14:paraId="658D7DD3" w14:textId="77777777" w:rsidR="00C023BB" w:rsidRPr="00E4760B" w:rsidRDefault="00C023BB" w:rsidP="001F27EA">
            <w:pPr>
              <w:autoSpaceDE w:val="0"/>
              <w:autoSpaceDN w:val="0"/>
              <w:adjustRightInd w:val="0"/>
              <w:spacing w:line="360" w:lineRule="auto"/>
              <w:jc w:val="center"/>
              <w:rPr>
                <w:rFonts w:ascii="Times New Roman" w:hAnsi="Times New Roman" w:cs="Times New Roman"/>
                <w:b/>
                <w:bCs/>
                <w:color w:val="000000"/>
                <w:sz w:val="20"/>
                <w:szCs w:val="20"/>
              </w:rPr>
            </w:pPr>
          </w:p>
          <w:p w14:paraId="002102B1" w14:textId="77777777" w:rsidR="00C023BB" w:rsidRPr="00E4760B" w:rsidRDefault="00C023BB" w:rsidP="001F27EA">
            <w:pPr>
              <w:autoSpaceDE w:val="0"/>
              <w:autoSpaceDN w:val="0"/>
              <w:adjustRightInd w:val="0"/>
              <w:spacing w:line="360" w:lineRule="auto"/>
              <w:jc w:val="center"/>
              <w:rPr>
                <w:rFonts w:ascii="Times New Roman" w:hAnsi="Times New Roman" w:cs="Times New Roman"/>
                <w:b/>
                <w:bCs/>
                <w:color w:val="000000"/>
                <w:sz w:val="20"/>
                <w:szCs w:val="20"/>
              </w:rPr>
            </w:pPr>
            <w:r w:rsidRPr="00E4760B">
              <w:rPr>
                <w:rFonts w:ascii="Times New Roman" w:hAnsi="Times New Roman" w:cs="Times New Roman"/>
                <w:b/>
                <w:bCs/>
                <w:color w:val="000000"/>
                <w:sz w:val="20"/>
                <w:szCs w:val="20"/>
              </w:rPr>
              <w:t>N</w:t>
            </w:r>
          </w:p>
        </w:tc>
        <w:tc>
          <w:tcPr>
            <w:tcW w:w="1945" w:type="dxa"/>
          </w:tcPr>
          <w:p w14:paraId="0D70E29F" w14:textId="77777777" w:rsidR="00C023BB" w:rsidRPr="00E4760B" w:rsidRDefault="00C023BB" w:rsidP="001F27EA">
            <w:pPr>
              <w:autoSpaceDE w:val="0"/>
              <w:autoSpaceDN w:val="0"/>
              <w:adjustRightInd w:val="0"/>
              <w:spacing w:line="360" w:lineRule="auto"/>
              <w:rPr>
                <w:rFonts w:ascii="Times New Roman" w:hAnsi="Times New Roman" w:cs="Times New Roman"/>
                <w:color w:val="000000"/>
                <w:sz w:val="20"/>
                <w:szCs w:val="20"/>
              </w:rPr>
            </w:pPr>
          </w:p>
          <w:p w14:paraId="3EB2A895" w14:textId="77777777" w:rsidR="00C023BB" w:rsidRPr="00E4760B" w:rsidRDefault="00C023BB" w:rsidP="001F27EA">
            <w:pPr>
              <w:autoSpaceDE w:val="0"/>
              <w:autoSpaceDN w:val="0"/>
              <w:adjustRightInd w:val="0"/>
              <w:spacing w:line="360" w:lineRule="auto"/>
              <w:jc w:val="center"/>
              <w:rPr>
                <w:rFonts w:ascii="Times New Roman" w:hAnsi="Times New Roman" w:cs="Times New Roman"/>
                <w:b/>
                <w:bCs/>
                <w:color w:val="000000"/>
                <w:sz w:val="20"/>
                <w:szCs w:val="20"/>
              </w:rPr>
            </w:pPr>
            <w:r w:rsidRPr="00E4760B">
              <w:rPr>
                <w:rFonts w:ascii="Times New Roman" w:hAnsi="Times New Roman" w:cs="Times New Roman"/>
                <w:b/>
                <w:bCs/>
                <w:color w:val="000000"/>
                <w:sz w:val="20"/>
                <w:szCs w:val="20"/>
              </w:rPr>
              <w:t>Mean</w:t>
            </w:r>
          </w:p>
        </w:tc>
        <w:tc>
          <w:tcPr>
            <w:tcW w:w="1945" w:type="dxa"/>
          </w:tcPr>
          <w:p w14:paraId="66FA3486"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p>
          <w:p w14:paraId="27BDE747" w14:textId="77777777" w:rsidR="00C023BB" w:rsidRPr="00E4760B" w:rsidRDefault="00C023BB" w:rsidP="001F27EA">
            <w:pPr>
              <w:autoSpaceDE w:val="0"/>
              <w:autoSpaceDN w:val="0"/>
              <w:adjustRightInd w:val="0"/>
              <w:spacing w:line="360" w:lineRule="auto"/>
              <w:jc w:val="center"/>
              <w:rPr>
                <w:rFonts w:ascii="Times New Roman" w:hAnsi="Times New Roman" w:cs="Times New Roman"/>
                <w:b/>
                <w:bCs/>
                <w:color w:val="000000"/>
                <w:sz w:val="20"/>
                <w:szCs w:val="20"/>
              </w:rPr>
            </w:pPr>
            <w:r w:rsidRPr="00E4760B">
              <w:rPr>
                <w:rFonts w:ascii="Times New Roman" w:hAnsi="Times New Roman" w:cs="Times New Roman"/>
                <w:b/>
                <w:bCs/>
                <w:color w:val="000000"/>
                <w:sz w:val="20"/>
                <w:szCs w:val="20"/>
              </w:rPr>
              <w:t>Std. Deviation</w:t>
            </w:r>
          </w:p>
        </w:tc>
        <w:tc>
          <w:tcPr>
            <w:tcW w:w="1946" w:type="dxa"/>
          </w:tcPr>
          <w:p w14:paraId="3B5E462A"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p>
          <w:p w14:paraId="2AB69C04" w14:textId="77777777" w:rsidR="00C023BB" w:rsidRPr="00E4760B" w:rsidRDefault="00C023BB" w:rsidP="001F27EA">
            <w:pPr>
              <w:autoSpaceDE w:val="0"/>
              <w:autoSpaceDN w:val="0"/>
              <w:adjustRightInd w:val="0"/>
              <w:spacing w:line="360" w:lineRule="auto"/>
              <w:jc w:val="center"/>
              <w:rPr>
                <w:rFonts w:ascii="Times New Roman" w:hAnsi="Times New Roman" w:cs="Times New Roman"/>
                <w:b/>
                <w:bCs/>
                <w:color w:val="000000"/>
                <w:sz w:val="20"/>
                <w:szCs w:val="20"/>
              </w:rPr>
            </w:pPr>
            <w:r w:rsidRPr="00E4760B">
              <w:rPr>
                <w:rFonts w:ascii="Times New Roman" w:hAnsi="Times New Roman" w:cs="Times New Roman"/>
                <w:b/>
                <w:bCs/>
                <w:color w:val="000000"/>
                <w:sz w:val="20"/>
                <w:szCs w:val="20"/>
              </w:rPr>
              <w:t>Std. Error Mean</w:t>
            </w:r>
          </w:p>
        </w:tc>
      </w:tr>
      <w:tr w:rsidR="00C023BB" w:rsidRPr="00E4760B" w14:paraId="519A0C75" w14:textId="77777777" w:rsidTr="00E4760B">
        <w:trPr>
          <w:trHeight w:val="201"/>
          <w:jc w:val="center"/>
        </w:trPr>
        <w:tc>
          <w:tcPr>
            <w:tcW w:w="1945" w:type="dxa"/>
            <w:vMerge w:val="restart"/>
          </w:tcPr>
          <w:p w14:paraId="2929B97E"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p>
          <w:p w14:paraId="40BDEB38"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r w:rsidRPr="00E4760B">
              <w:rPr>
                <w:rFonts w:ascii="Times New Roman" w:hAnsi="Times New Roman" w:cs="Times New Roman"/>
                <w:color w:val="000000"/>
                <w:sz w:val="20"/>
                <w:szCs w:val="20"/>
              </w:rPr>
              <w:t>Variable</w:t>
            </w:r>
          </w:p>
        </w:tc>
        <w:tc>
          <w:tcPr>
            <w:tcW w:w="1945" w:type="dxa"/>
          </w:tcPr>
          <w:p w14:paraId="50F59205" w14:textId="77777777" w:rsidR="00C023BB" w:rsidRPr="00E4760B" w:rsidRDefault="00C023BB" w:rsidP="001F27EA">
            <w:pPr>
              <w:pStyle w:val="Default"/>
              <w:jc w:val="center"/>
              <w:rPr>
                <w:sz w:val="20"/>
                <w:szCs w:val="20"/>
              </w:rPr>
            </w:pPr>
            <w:r w:rsidRPr="00E4760B">
              <w:rPr>
                <w:sz w:val="20"/>
                <w:szCs w:val="20"/>
              </w:rPr>
              <w:t>18</w:t>
            </w:r>
          </w:p>
        </w:tc>
        <w:tc>
          <w:tcPr>
            <w:tcW w:w="1945" w:type="dxa"/>
          </w:tcPr>
          <w:p w14:paraId="77EF9903" w14:textId="77777777" w:rsidR="00C023BB" w:rsidRPr="00E4760B" w:rsidRDefault="00C023BB" w:rsidP="001F27EA">
            <w:pPr>
              <w:pStyle w:val="Default"/>
              <w:jc w:val="center"/>
              <w:rPr>
                <w:sz w:val="20"/>
                <w:szCs w:val="20"/>
              </w:rPr>
            </w:pPr>
            <w:r w:rsidRPr="00E4760B">
              <w:rPr>
                <w:sz w:val="20"/>
                <w:szCs w:val="20"/>
              </w:rPr>
              <w:t>13.7222</w:t>
            </w:r>
          </w:p>
        </w:tc>
        <w:tc>
          <w:tcPr>
            <w:tcW w:w="1945" w:type="dxa"/>
          </w:tcPr>
          <w:p w14:paraId="3DCE0811" w14:textId="77777777" w:rsidR="00C023BB" w:rsidRPr="00E4760B" w:rsidRDefault="00C023BB" w:rsidP="001F27EA">
            <w:pPr>
              <w:pStyle w:val="Default"/>
              <w:jc w:val="center"/>
              <w:rPr>
                <w:sz w:val="20"/>
                <w:szCs w:val="20"/>
              </w:rPr>
            </w:pPr>
            <w:r w:rsidRPr="00E4760B">
              <w:rPr>
                <w:sz w:val="20"/>
                <w:szCs w:val="20"/>
              </w:rPr>
              <w:t xml:space="preserve">13.99498 </w:t>
            </w:r>
          </w:p>
          <w:p w14:paraId="2418574F" w14:textId="77777777" w:rsidR="00C023BB" w:rsidRPr="00E4760B" w:rsidRDefault="00C023BB" w:rsidP="001F27EA">
            <w:pPr>
              <w:pStyle w:val="Default"/>
              <w:jc w:val="center"/>
              <w:rPr>
                <w:sz w:val="20"/>
                <w:szCs w:val="20"/>
              </w:rPr>
            </w:pPr>
          </w:p>
        </w:tc>
        <w:tc>
          <w:tcPr>
            <w:tcW w:w="1946" w:type="dxa"/>
          </w:tcPr>
          <w:p w14:paraId="54DA3116" w14:textId="77777777" w:rsidR="00C023BB" w:rsidRPr="00E4760B" w:rsidRDefault="00C023BB" w:rsidP="001F27EA">
            <w:pPr>
              <w:pStyle w:val="Default"/>
              <w:jc w:val="center"/>
              <w:rPr>
                <w:sz w:val="20"/>
                <w:szCs w:val="20"/>
              </w:rPr>
            </w:pPr>
            <w:r w:rsidRPr="00E4760B">
              <w:rPr>
                <w:sz w:val="20"/>
                <w:szCs w:val="20"/>
              </w:rPr>
              <w:t>3.29865</w:t>
            </w:r>
          </w:p>
        </w:tc>
      </w:tr>
      <w:tr w:rsidR="00C023BB" w:rsidRPr="00E4760B" w14:paraId="0B8A83E0" w14:textId="77777777" w:rsidTr="00E4760B">
        <w:trPr>
          <w:trHeight w:val="196"/>
          <w:jc w:val="center"/>
        </w:trPr>
        <w:tc>
          <w:tcPr>
            <w:tcW w:w="1945" w:type="dxa"/>
            <w:vMerge/>
          </w:tcPr>
          <w:p w14:paraId="1DDCBAD3" w14:textId="77777777" w:rsidR="00C023BB" w:rsidRPr="00E4760B" w:rsidRDefault="00C023BB" w:rsidP="001F27EA">
            <w:pPr>
              <w:autoSpaceDE w:val="0"/>
              <w:autoSpaceDN w:val="0"/>
              <w:adjustRightInd w:val="0"/>
              <w:spacing w:line="360" w:lineRule="auto"/>
              <w:jc w:val="center"/>
              <w:rPr>
                <w:rFonts w:ascii="Times New Roman" w:hAnsi="Times New Roman" w:cs="Times New Roman"/>
                <w:color w:val="000000"/>
                <w:sz w:val="20"/>
                <w:szCs w:val="20"/>
              </w:rPr>
            </w:pPr>
          </w:p>
        </w:tc>
        <w:tc>
          <w:tcPr>
            <w:tcW w:w="1945" w:type="dxa"/>
          </w:tcPr>
          <w:p w14:paraId="37F7EDB8" w14:textId="77777777" w:rsidR="00C023BB" w:rsidRPr="00E4760B" w:rsidRDefault="00C023BB" w:rsidP="001F27EA">
            <w:pPr>
              <w:pStyle w:val="Default"/>
              <w:jc w:val="center"/>
              <w:rPr>
                <w:sz w:val="20"/>
                <w:szCs w:val="20"/>
              </w:rPr>
            </w:pPr>
            <w:r w:rsidRPr="00E4760B">
              <w:rPr>
                <w:sz w:val="20"/>
                <w:szCs w:val="20"/>
              </w:rPr>
              <w:t>26</w:t>
            </w:r>
          </w:p>
        </w:tc>
        <w:tc>
          <w:tcPr>
            <w:tcW w:w="1945" w:type="dxa"/>
          </w:tcPr>
          <w:p w14:paraId="3D67871B" w14:textId="77777777" w:rsidR="00C023BB" w:rsidRPr="00E4760B" w:rsidRDefault="00C023BB" w:rsidP="001F27EA">
            <w:pPr>
              <w:pStyle w:val="Default"/>
              <w:jc w:val="center"/>
              <w:rPr>
                <w:sz w:val="20"/>
                <w:szCs w:val="20"/>
              </w:rPr>
            </w:pPr>
            <w:r w:rsidRPr="00E4760B">
              <w:rPr>
                <w:sz w:val="20"/>
                <w:szCs w:val="20"/>
              </w:rPr>
              <w:t xml:space="preserve">31.1538 </w:t>
            </w:r>
          </w:p>
        </w:tc>
        <w:tc>
          <w:tcPr>
            <w:tcW w:w="1945" w:type="dxa"/>
          </w:tcPr>
          <w:p w14:paraId="47B6F9CA" w14:textId="77777777" w:rsidR="00C023BB" w:rsidRPr="00E4760B" w:rsidRDefault="00C023BB" w:rsidP="001F27EA">
            <w:pPr>
              <w:pStyle w:val="Default"/>
              <w:jc w:val="center"/>
              <w:rPr>
                <w:sz w:val="20"/>
                <w:szCs w:val="20"/>
              </w:rPr>
            </w:pPr>
            <w:r w:rsidRPr="00E4760B">
              <w:rPr>
                <w:sz w:val="20"/>
                <w:szCs w:val="20"/>
              </w:rPr>
              <w:t xml:space="preserve">26.61983 </w:t>
            </w:r>
          </w:p>
        </w:tc>
        <w:tc>
          <w:tcPr>
            <w:tcW w:w="1946" w:type="dxa"/>
          </w:tcPr>
          <w:p w14:paraId="51999233" w14:textId="77777777" w:rsidR="00C023BB" w:rsidRPr="00E4760B" w:rsidRDefault="00C023BB" w:rsidP="001F27EA">
            <w:pPr>
              <w:pStyle w:val="Default"/>
              <w:jc w:val="center"/>
              <w:rPr>
                <w:sz w:val="20"/>
                <w:szCs w:val="20"/>
              </w:rPr>
            </w:pPr>
            <w:r w:rsidRPr="00E4760B">
              <w:rPr>
                <w:sz w:val="20"/>
                <w:szCs w:val="20"/>
              </w:rPr>
              <w:t>5.22058</w:t>
            </w:r>
          </w:p>
        </w:tc>
      </w:tr>
    </w:tbl>
    <w:bookmarkEnd w:id="6"/>
    <w:p w14:paraId="04CECE3C" w14:textId="77777777" w:rsidR="00E4760B" w:rsidRDefault="00E4760B" w:rsidP="00E4760B">
      <w:pPr>
        <w:autoSpaceDE w:val="0"/>
        <w:autoSpaceDN w:val="0"/>
        <w:adjustRightInd w:val="0"/>
        <w:rPr>
          <w:rFonts w:ascii="Times New Roman" w:hAnsi="Times New Roman" w:cs="Times New Roman"/>
          <w:sz w:val="20"/>
          <w:szCs w:val="20"/>
        </w:rPr>
      </w:pPr>
      <w:r>
        <w:rPr>
          <w:rFonts w:ascii="Times New Roman" w:hAnsi="Times New Roman" w:cs="Times New Roman"/>
          <w:b/>
          <w:bCs/>
          <w:sz w:val="20"/>
          <w:szCs w:val="20"/>
        </w:rPr>
        <w:tab/>
        <w:t xml:space="preserve"> </w:t>
      </w:r>
      <w:r>
        <w:rPr>
          <w:rFonts w:ascii="Times New Roman" w:hAnsi="Times New Roman" w:cs="Times New Roman"/>
          <w:color w:val="000000"/>
          <w:sz w:val="20"/>
          <w:szCs w:val="20"/>
        </w:rPr>
        <w:t xml:space="preserve"> </w:t>
      </w:r>
      <w:r>
        <w:rPr>
          <w:rFonts w:ascii="Times New Roman" w:hAnsi="Times New Roman" w:cs="Times New Roman"/>
          <w:sz w:val="24"/>
          <w:szCs w:val="24"/>
        </w:rPr>
        <w:t xml:space="preserve"> </w:t>
      </w:r>
      <w:r>
        <w:rPr>
          <w:rFonts w:ascii="Times New Roman" w:hAnsi="Times New Roman" w:cs="Times New Roman"/>
          <w:b/>
          <w:bCs/>
          <w:sz w:val="20"/>
          <w:szCs w:val="20"/>
        </w:rPr>
        <w:t xml:space="preserve">(Source: </w:t>
      </w:r>
      <w:r>
        <w:rPr>
          <w:rFonts w:ascii="Times New Roman" w:hAnsi="Times New Roman" w:cs="Times New Roman"/>
          <w:sz w:val="20"/>
          <w:szCs w:val="20"/>
        </w:rPr>
        <w:t>Primary Data, Author’s Compilation in SPSS 20)</w:t>
      </w:r>
    </w:p>
    <w:p w14:paraId="5BF1D794" w14:textId="0CCA858D" w:rsidR="00C023BB" w:rsidRPr="00E4760B" w:rsidRDefault="00C023BB" w:rsidP="00E4760B">
      <w:pPr>
        <w:autoSpaceDE w:val="0"/>
        <w:autoSpaceDN w:val="0"/>
        <w:adjustRightInd w:val="0"/>
        <w:spacing w:line="360" w:lineRule="auto"/>
        <w:rPr>
          <w:rFonts w:ascii="Times New Roman" w:hAnsi="Times New Roman" w:cs="Times New Roman"/>
          <w:b/>
          <w:bCs/>
          <w:sz w:val="20"/>
          <w:szCs w:val="20"/>
        </w:rPr>
      </w:pPr>
    </w:p>
    <w:p w14:paraId="67E8333D" w14:textId="5D3A0DBD" w:rsidR="00C023BB" w:rsidRDefault="00C023BB" w:rsidP="00E4760B">
      <w:pPr>
        <w:jc w:val="center"/>
        <w:rPr>
          <w:rFonts w:ascii="Times New Roman" w:hAnsi="Times New Roman" w:cs="Times New Roman"/>
          <w:b/>
          <w:bCs/>
          <w:sz w:val="20"/>
          <w:szCs w:val="20"/>
        </w:rPr>
      </w:pPr>
      <w:r w:rsidRPr="00E4760B">
        <w:rPr>
          <w:rFonts w:ascii="Times New Roman" w:hAnsi="Times New Roman" w:cs="Times New Roman"/>
          <w:b/>
          <w:bCs/>
          <w:sz w:val="20"/>
          <w:szCs w:val="20"/>
        </w:rPr>
        <w:t xml:space="preserve">Table 8: </w:t>
      </w:r>
      <w:bookmarkStart w:id="7" w:name="_Hlk89818627"/>
      <w:r w:rsidRPr="00E4760B">
        <w:rPr>
          <w:rFonts w:ascii="Times New Roman" w:hAnsi="Times New Roman" w:cs="Times New Roman"/>
          <w:b/>
          <w:bCs/>
          <w:sz w:val="20"/>
          <w:szCs w:val="20"/>
        </w:rPr>
        <w:t>Independent samples test of age-wise investment in risky security of the investors falling in the income group of ‘Rs. 7,50,000 or more’</w:t>
      </w:r>
    </w:p>
    <w:p w14:paraId="172DF816" w14:textId="77777777" w:rsidR="00E4760B" w:rsidRPr="00E4760B" w:rsidRDefault="00E4760B" w:rsidP="00E4760B">
      <w:pPr>
        <w:jc w:val="center"/>
        <w:rPr>
          <w:rFonts w:ascii="Times New Roman" w:hAnsi="Times New Roman" w:cs="Times New Roman"/>
          <w:b/>
          <w:bCs/>
          <w:sz w:val="20"/>
          <w:szCs w:val="20"/>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
        <w:gridCol w:w="997"/>
        <w:gridCol w:w="736"/>
        <w:gridCol w:w="697"/>
        <w:gridCol w:w="743"/>
        <w:gridCol w:w="766"/>
        <w:gridCol w:w="729"/>
        <w:gridCol w:w="1073"/>
        <w:gridCol w:w="1073"/>
        <w:gridCol w:w="1130"/>
        <w:gridCol w:w="1167"/>
      </w:tblGrid>
      <w:tr w:rsidR="00C023BB" w:rsidRPr="00E4760B" w14:paraId="3AC0CE0D" w14:textId="77777777" w:rsidTr="00C023BB">
        <w:trPr>
          <w:trHeight w:val="685"/>
          <w:jc w:val="center"/>
        </w:trPr>
        <w:tc>
          <w:tcPr>
            <w:tcW w:w="1904" w:type="dxa"/>
            <w:gridSpan w:val="2"/>
            <w:vMerge w:val="restart"/>
          </w:tcPr>
          <w:p w14:paraId="52028945" w14:textId="77777777" w:rsidR="00C023BB" w:rsidRPr="00E4760B" w:rsidRDefault="00C023BB" w:rsidP="001F27EA">
            <w:pPr>
              <w:spacing w:line="360" w:lineRule="auto"/>
              <w:jc w:val="center"/>
              <w:rPr>
                <w:rFonts w:ascii="Times New Roman" w:hAnsi="Times New Roman" w:cs="Times New Roman"/>
                <w:sz w:val="20"/>
                <w:szCs w:val="20"/>
              </w:rPr>
            </w:pPr>
            <w:bookmarkStart w:id="8" w:name="_Hlk89818661"/>
            <w:bookmarkEnd w:id="7"/>
          </w:p>
        </w:tc>
        <w:tc>
          <w:tcPr>
            <w:tcW w:w="1433" w:type="dxa"/>
            <w:gridSpan w:val="2"/>
          </w:tcPr>
          <w:p w14:paraId="4658FB4D" w14:textId="4FFC6FBA" w:rsidR="00C023BB" w:rsidRPr="00E4760B" w:rsidRDefault="00C023BB" w:rsidP="001F27EA">
            <w:pPr>
              <w:pStyle w:val="Default"/>
              <w:rPr>
                <w:sz w:val="20"/>
                <w:szCs w:val="20"/>
              </w:rPr>
            </w:pPr>
            <w:proofErr w:type="spellStart"/>
            <w:r w:rsidRPr="00E4760B">
              <w:rPr>
                <w:b/>
                <w:bCs/>
                <w:sz w:val="20"/>
                <w:szCs w:val="20"/>
              </w:rPr>
              <w:t>Levene</w:t>
            </w:r>
            <w:r w:rsidR="00E4760B">
              <w:rPr>
                <w:b/>
                <w:bCs/>
                <w:sz w:val="20"/>
                <w:szCs w:val="20"/>
              </w:rPr>
              <w:t>’</w:t>
            </w:r>
            <w:r w:rsidRPr="00E4760B">
              <w:rPr>
                <w:b/>
                <w:bCs/>
                <w:sz w:val="20"/>
                <w:szCs w:val="20"/>
              </w:rPr>
              <w:t>s</w:t>
            </w:r>
            <w:proofErr w:type="spellEnd"/>
            <w:r w:rsidRPr="00E4760B">
              <w:rPr>
                <w:b/>
                <w:bCs/>
                <w:sz w:val="20"/>
                <w:szCs w:val="20"/>
              </w:rPr>
              <w:t xml:space="preserve"> Test for Equality of Variances </w:t>
            </w:r>
          </w:p>
        </w:tc>
        <w:tc>
          <w:tcPr>
            <w:tcW w:w="6680" w:type="dxa"/>
            <w:gridSpan w:val="7"/>
          </w:tcPr>
          <w:p w14:paraId="5EAD8DA4" w14:textId="77777777" w:rsidR="00C023BB" w:rsidRPr="00E4760B" w:rsidRDefault="00C023BB" w:rsidP="001F27EA">
            <w:pPr>
              <w:pStyle w:val="Default"/>
              <w:jc w:val="center"/>
              <w:rPr>
                <w:b/>
                <w:bCs/>
                <w:sz w:val="20"/>
                <w:szCs w:val="20"/>
              </w:rPr>
            </w:pPr>
          </w:p>
          <w:p w14:paraId="431FB028" w14:textId="77777777" w:rsidR="00C023BB" w:rsidRPr="00E4760B" w:rsidRDefault="00C023BB" w:rsidP="001F27EA">
            <w:pPr>
              <w:pStyle w:val="Default"/>
              <w:jc w:val="center"/>
              <w:rPr>
                <w:b/>
                <w:bCs/>
                <w:sz w:val="20"/>
                <w:szCs w:val="20"/>
              </w:rPr>
            </w:pPr>
          </w:p>
          <w:p w14:paraId="31B5D7BB" w14:textId="77777777" w:rsidR="00C023BB" w:rsidRPr="00E4760B" w:rsidRDefault="00C023BB" w:rsidP="001F27EA">
            <w:pPr>
              <w:pStyle w:val="Default"/>
              <w:jc w:val="center"/>
              <w:rPr>
                <w:b/>
                <w:bCs/>
                <w:sz w:val="20"/>
                <w:szCs w:val="20"/>
              </w:rPr>
            </w:pPr>
          </w:p>
          <w:p w14:paraId="2821FBAC" w14:textId="77777777" w:rsidR="00C023BB" w:rsidRPr="00E4760B" w:rsidRDefault="00C023BB" w:rsidP="001F27EA">
            <w:pPr>
              <w:pStyle w:val="Default"/>
              <w:jc w:val="center"/>
              <w:rPr>
                <w:sz w:val="20"/>
                <w:szCs w:val="20"/>
              </w:rPr>
            </w:pPr>
            <w:r w:rsidRPr="00E4760B">
              <w:rPr>
                <w:b/>
                <w:bCs/>
                <w:sz w:val="20"/>
                <w:szCs w:val="20"/>
              </w:rPr>
              <w:t xml:space="preserve">t-test for Equality of Means </w:t>
            </w:r>
          </w:p>
        </w:tc>
      </w:tr>
      <w:tr w:rsidR="00C023BB" w:rsidRPr="00E4760B" w14:paraId="5A832E92" w14:textId="77777777" w:rsidTr="00C023BB">
        <w:trPr>
          <w:trHeight w:val="774"/>
          <w:jc w:val="center"/>
        </w:trPr>
        <w:tc>
          <w:tcPr>
            <w:tcW w:w="1904" w:type="dxa"/>
            <w:gridSpan w:val="2"/>
            <w:vMerge/>
          </w:tcPr>
          <w:p w14:paraId="11AD9707" w14:textId="77777777" w:rsidR="00C023BB" w:rsidRPr="00E4760B" w:rsidRDefault="00C023BB" w:rsidP="001F27EA">
            <w:pPr>
              <w:spacing w:line="360" w:lineRule="auto"/>
              <w:jc w:val="center"/>
              <w:rPr>
                <w:rFonts w:ascii="Times New Roman" w:hAnsi="Times New Roman" w:cs="Times New Roman"/>
                <w:sz w:val="20"/>
                <w:szCs w:val="20"/>
              </w:rPr>
            </w:pPr>
          </w:p>
        </w:tc>
        <w:tc>
          <w:tcPr>
            <w:tcW w:w="736" w:type="dxa"/>
            <w:vMerge w:val="restart"/>
          </w:tcPr>
          <w:p w14:paraId="4B8793E6" w14:textId="77777777" w:rsidR="00C023BB" w:rsidRPr="00E4760B" w:rsidRDefault="00C023BB" w:rsidP="001F27EA">
            <w:pPr>
              <w:pStyle w:val="Default"/>
              <w:jc w:val="center"/>
              <w:rPr>
                <w:sz w:val="20"/>
                <w:szCs w:val="20"/>
              </w:rPr>
            </w:pPr>
          </w:p>
          <w:p w14:paraId="2B41CCC7" w14:textId="77777777" w:rsidR="00C023BB" w:rsidRPr="00E4760B" w:rsidRDefault="00C023BB" w:rsidP="001F27EA">
            <w:pPr>
              <w:pStyle w:val="Default"/>
              <w:jc w:val="center"/>
              <w:rPr>
                <w:sz w:val="20"/>
                <w:szCs w:val="20"/>
              </w:rPr>
            </w:pPr>
          </w:p>
          <w:p w14:paraId="1659A931" w14:textId="77777777" w:rsidR="00C023BB" w:rsidRPr="00E4760B" w:rsidRDefault="00C023BB" w:rsidP="001F27EA">
            <w:pPr>
              <w:pStyle w:val="Default"/>
              <w:jc w:val="center"/>
              <w:rPr>
                <w:sz w:val="20"/>
                <w:szCs w:val="20"/>
              </w:rPr>
            </w:pPr>
          </w:p>
          <w:p w14:paraId="08BC6770" w14:textId="77777777" w:rsidR="00C023BB" w:rsidRPr="00E4760B" w:rsidRDefault="00C023BB" w:rsidP="001F27EA">
            <w:pPr>
              <w:pStyle w:val="Default"/>
              <w:jc w:val="center"/>
              <w:rPr>
                <w:sz w:val="20"/>
                <w:szCs w:val="20"/>
              </w:rPr>
            </w:pPr>
          </w:p>
          <w:p w14:paraId="3ED8F4BA" w14:textId="77777777" w:rsidR="00C023BB" w:rsidRPr="00E4760B" w:rsidRDefault="00C023BB" w:rsidP="001F27EA">
            <w:pPr>
              <w:pStyle w:val="Default"/>
              <w:jc w:val="center"/>
              <w:rPr>
                <w:sz w:val="20"/>
                <w:szCs w:val="20"/>
              </w:rPr>
            </w:pPr>
          </w:p>
          <w:p w14:paraId="24315086" w14:textId="77777777" w:rsidR="00C023BB" w:rsidRPr="00E4760B" w:rsidRDefault="00C023BB" w:rsidP="001F27EA">
            <w:pPr>
              <w:pStyle w:val="Default"/>
              <w:jc w:val="center"/>
              <w:rPr>
                <w:sz w:val="20"/>
                <w:szCs w:val="20"/>
              </w:rPr>
            </w:pPr>
            <w:r w:rsidRPr="00E4760B">
              <w:rPr>
                <w:sz w:val="20"/>
                <w:szCs w:val="20"/>
              </w:rPr>
              <w:t xml:space="preserve">F </w:t>
            </w:r>
          </w:p>
        </w:tc>
        <w:tc>
          <w:tcPr>
            <w:tcW w:w="697" w:type="dxa"/>
            <w:vMerge w:val="restart"/>
          </w:tcPr>
          <w:p w14:paraId="12EAED10" w14:textId="77777777" w:rsidR="00C023BB" w:rsidRPr="00E4760B" w:rsidRDefault="00C023BB" w:rsidP="001F27EA">
            <w:pPr>
              <w:pStyle w:val="Default"/>
              <w:jc w:val="center"/>
              <w:rPr>
                <w:sz w:val="20"/>
                <w:szCs w:val="20"/>
              </w:rPr>
            </w:pPr>
          </w:p>
          <w:p w14:paraId="5995441F" w14:textId="77777777" w:rsidR="00C023BB" w:rsidRPr="00E4760B" w:rsidRDefault="00C023BB" w:rsidP="001F27EA">
            <w:pPr>
              <w:pStyle w:val="Default"/>
              <w:jc w:val="center"/>
              <w:rPr>
                <w:sz w:val="20"/>
                <w:szCs w:val="20"/>
              </w:rPr>
            </w:pPr>
          </w:p>
          <w:p w14:paraId="4E6333C6" w14:textId="77777777" w:rsidR="00C023BB" w:rsidRPr="00E4760B" w:rsidRDefault="00C023BB" w:rsidP="001F27EA">
            <w:pPr>
              <w:pStyle w:val="Default"/>
              <w:jc w:val="center"/>
              <w:rPr>
                <w:sz w:val="20"/>
                <w:szCs w:val="20"/>
              </w:rPr>
            </w:pPr>
          </w:p>
          <w:p w14:paraId="4EC61CF4" w14:textId="77777777" w:rsidR="00C023BB" w:rsidRPr="00E4760B" w:rsidRDefault="00C023BB" w:rsidP="001F27EA">
            <w:pPr>
              <w:pStyle w:val="Default"/>
              <w:jc w:val="center"/>
              <w:rPr>
                <w:sz w:val="20"/>
                <w:szCs w:val="20"/>
              </w:rPr>
            </w:pPr>
          </w:p>
          <w:p w14:paraId="2151974E" w14:textId="77777777" w:rsidR="00C023BB" w:rsidRPr="00E4760B" w:rsidRDefault="00C023BB" w:rsidP="001F27EA">
            <w:pPr>
              <w:pStyle w:val="Default"/>
              <w:jc w:val="center"/>
              <w:rPr>
                <w:sz w:val="20"/>
                <w:szCs w:val="20"/>
              </w:rPr>
            </w:pPr>
          </w:p>
          <w:p w14:paraId="52265CEF" w14:textId="77777777" w:rsidR="00C023BB" w:rsidRPr="00E4760B" w:rsidRDefault="00C023BB" w:rsidP="001F27EA">
            <w:pPr>
              <w:pStyle w:val="Default"/>
              <w:jc w:val="center"/>
              <w:rPr>
                <w:sz w:val="20"/>
                <w:szCs w:val="20"/>
              </w:rPr>
            </w:pPr>
            <w:r w:rsidRPr="00E4760B">
              <w:rPr>
                <w:sz w:val="20"/>
                <w:szCs w:val="20"/>
              </w:rPr>
              <w:t xml:space="preserve">Sig. </w:t>
            </w:r>
          </w:p>
        </w:tc>
        <w:tc>
          <w:tcPr>
            <w:tcW w:w="743" w:type="dxa"/>
            <w:vMerge w:val="restart"/>
          </w:tcPr>
          <w:p w14:paraId="24C80F3F" w14:textId="77777777" w:rsidR="00C023BB" w:rsidRPr="00E4760B" w:rsidRDefault="00C023BB" w:rsidP="001F27EA">
            <w:pPr>
              <w:pStyle w:val="Default"/>
              <w:jc w:val="center"/>
              <w:rPr>
                <w:sz w:val="20"/>
                <w:szCs w:val="20"/>
              </w:rPr>
            </w:pPr>
          </w:p>
          <w:p w14:paraId="29FDB63C" w14:textId="77777777" w:rsidR="00C023BB" w:rsidRPr="00E4760B" w:rsidRDefault="00C023BB" w:rsidP="001F27EA">
            <w:pPr>
              <w:pStyle w:val="Default"/>
              <w:jc w:val="center"/>
              <w:rPr>
                <w:sz w:val="20"/>
                <w:szCs w:val="20"/>
              </w:rPr>
            </w:pPr>
          </w:p>
          <w:p w14:paraId="0544E72E" w14:textId="77777777" w:rsidR="00C023BB" w:rsidRPr="00E4760B" w:rsidRDefault="00C023BB" w:rsidP="001F27EA">
            <w:pPr>
              <w:pStyle w:val="Default"/>
              <w:jc w:val="center"/>
              <w:rPr>
                <w:sz w:val="20"/>
                <w:szCs w:val="20"/>
              </w:rPr>
            </w:pPr>
          </w:p>
          <w:p w14:paraId="3F6578D9" w14:textId="77777777" w:rsidR="00C023BB" w:rsidRPr="00E4760B" w:rsidRDefault="00C023BB" w:rsidP="001F27EA">
            <w:pPr>
              <w:pStyle w:val="Default"/>
              <w:jc w:val="center"/>
              <w:rPr>
                <w:sz w:val="20"/>
                <w:szCs w:val="20"/>
              </w:rPr>
            </w:pPr>
          </w:p>
          <w:p w14:paraId="32D9EBF5" w14:textId="77777777" w:rsidR="00C023BB" w:rsidRPr="00E4760B" w:rsidRDefault="00C023BB" w:rsidP="001F27EA">
            <w:pPr>
              <w:pStyle w:val="Default"/>
              <w:jc w:val="center"/>
              <w:rPr>
                <w:sz w:val="20"/>
                <w:szCs w:val="20"/>
              </w:rPr>
            </w:pPr>
          </w:p>
          <w:p w14:paraId="6D3DE8A6" w14:textId="77777777" w:rsidR="00C023BB" w:rsidRPr="00E4760B" w:rsidRDefault="00C023BB" w:rsidP="001F27EA">
            <w:pPr>
              <w:pStyle w:val="Default"/>
              <w:jc w:val="center"/>
              <w:rPr>
                <w:sz w:val="20"/>
                <w:szCs w:val="20"/>
              </w:rPr>
            </w:pPr>
            <w:r w:rsidRPr="00E4760B">
              <w:rPr>
                <w:sz w:val="20"/>
                <w:szCs w:val="20"/>
              </w:rPr>
              <w:t xml:space="preserve">t </w:t>
            </w:r>
          </w:p>
        </w:tc>
        <w:tc>
          <w:tcPr>
            <w:tcW w:w="763" w:type="dxa"/>
            <w:vMerge w:val="restart"/>
          </w:tcPr>
          <w:p w14:paraId="7B130F8D" w14:textId="77777777" w:rsidR="00C023BB" w:rsidRPr="00E4760B" w:rsidRDefault="00C023BB" w:rsidP="001F27EA">
            <w:pPr>
              <w:pStyle w:val="Default"/>
              <w:jc w:val="center"/>
              <w:rPr>
                <w:sz w:val="20"/>
                <w:szCs w:val="20"/>
              </w:rPr>
            </w:pPr>
          </w:p>
          <w:p w14:paraId="2548A01E" w14:textId="77777777" w:rsidR="00C023BB" w:rsidRPr="00E4760B" w:rsidRDefault="00C023BB" w:rsidP="001F27EA">
            <w:pPr>
              <w:pStyle w:val="Default"/>
              <w:jc w:val="center"/>
              <w:rPr>
                <w:sz w:val="20"/>
                <w:szCs w:val="20"/>
              </w:rPr>
            </w:pPr>
          </w:p>
          <w:p w14:paraId="6E33572B" w14:textId="77777777" w:rsidR="00C023BB" w:rsidRPr="00E4760B" w:rsidRDefault="00C023BB" w:rsidP="001F27EA">
            <w:pPr>
              <w:pStyle w:val="Default"/>
              <w:jc w:val="center"/>
              <w:rPr>
                <w:sz w:val="20"/>
                <w:szCs w:val="20"/>
              </w:rPr>
            </w:pPr>
          </w:p>
          <w:p w14:paraId="42A3F645" w14:textId="77777777" w:rsidR="00C023BB" w:rsidRPr="00E4760B" w:rsidRDefault="00C023BB" w:rsidP="001F27EA">
            <w:pPr>
              <w:pStyle w:val="Default"/>
              <w:jc w:val="center"/>
              <w:rPr>
                <w:sz w:val="20"/>
                <w:szCs w:val="20"/>
              </w:rPr>
            </w:pPr>
          </w:p>
          <w:p w14:paraId="272B9367" w14:textId="77777777" w:rsidR="00C023BB" w:rsidRPr="00E4760B" w:rsidRDefault="00C023BB" w:rsidP="001F27EA">
            <w:pPr>
              <w:pStyle w:val="Default"/>
              <w:jc w:val="center"/>
              <w:rPr>
                <w:sz w:val="20"/>
                <w:szCs w:val="20"/>
              </w:rPr>
            </w:pPr>
          </w:p>
          <w:p w14:paraId="4DC2A431" w14:textId="77777777" w:rsidR="00C023BB" w:rsidRPr="00E4760B" w:rsidRDefault="00C023BB" w:rsidP="001F27EA">
            <w:pPr>
              <w:pStyle w:val="Default"/>
              <w:jc w:val="center"/>
              <w:rPr>
                <w:sz w:val="20"/>
                <w:szCs w:val="20"/>
              </w:rPr>
            </w:pPr>
            <w:proofErr w:type="spellStart"/>
            <w:r w:rsidRPr="00E4760B">
              <w:rPr>
                <w:sz w:val="20"/>
                <w:szCs w:val="20"/>
              </w:rPr>
              <w:t>df</w:t>
            </w:r>
            <w:proofErr w:type="spellEnd"/>
            <w:r w:rsidRPr="00E4760B">
              <w:rPr>
                <w:sz w:val="20"/>
                <w:szCs w:val="20"/>
              </w:rPr>
              <w:t xml:space="preserve"> </w:t>
            </w:r>
          </w:p>
        </w:tc>
        <w:tc>
          <w:tcPr>
            <w:tcW w:w="729" w:type="dxa"/>
            <w:vMerge w:val="restart"/>
          </w:tcPr>
          <w:p w14:paraId="3F21DA78" w14:textId="77777777" w:rsidR="00C023BB" w:rsidRPr="00E4760B" w:rsidRDefault="00C023BB" w:rsidP="001F27EA">
            <w:pPr>
              <w:pStyle w:val="Default"/>
              <w:jc w:val="center"/>
              <w:rPr>
                <w:sz w:val="20"/>
                <w:szCs w:val="20"/>
              </w:rPr>
            </w:pPr>
          </w:p>
          <w:p w14:paraId="10C7124D" w14:textId="77777777" w:rsidR="00C023BB" w:rsidRPr="00E4760B" w:rsidRDefault="00C023BB" w:rsidP="001F27EA">
            <w:pPr>
              <w:pStyle w:val="Default"/>
              <w:jc w:val="center"/>
              <w:rPr>
                <w:sz w:val="20"/>
                <w:szCs w:val="20"/>
              </w:rPr>
            </w:pPr>
          </w:p>
          <w:p w14:paraId="4015CC3E" w14:textId="77777777" w:rsidR="00C023BB" w:rsidRPr="00E4760B" w:rsidRDefault="00C023BB" w:rsidP="001F27EA">
            <w:pPr>
              <w:pStyle w:val="Default"/>
              <w:jc w:val="center"/>
              <w:rPr>
                <w:sz w:val="20"/>
                <w:szCs w:val="20"/>
              </w:rPr>
            </w:pPr>
          </w:p>
          <w:p w14:paraId="1F49502D" w14:textId="77777777" w:rsidR="00C023BB" w:rsidRPr="00E4760B" w:rsidRDefault="00C023BB" w:rsidP="001F27EA">
            <w:pPr>
              <w:pStyle w:val="Default"/>
              <w:jc w:val="center"/>
              <w:rPr>
                <w:sz w:val="20"/>
                <w:szCs w:val="20"/>
              </w:rPr>
            </w:pPr>
          </w:p>
          <w:p w14:paraId="5A95862B" w14:textId="77777777" w:rsidR="00C023BB" w:rsidRPr="00E4760B" w:rsidRDefault="00C023BB" w:rsidP="001F27EA">
            <w:pPr>
              <w:pStyle w:val="Default"/>
              <w:jc w:val="center"/>
              <w:rPr>
                <w:sz w:val="20"/>
                <w:szCs w:val="20"/>
              </w:rPr>
            </w:pPr>
          </w:p>
          <w:p w14:paraId="354905D3" w14:textId="77777777" w:rsidR="00C023BB" w:rsidRPr="00E4760B" w:rsidRDefault="00C023BB" w:rsidP="001F27EA">
            <w:pPr>
              <w:pStyle w:val="Default"/>
              <w:jc w:val="center"/>
              <w:rPr>
                <w:sz w:val="20"/>
                <w:szCs w:val="20"/>
              </w:rPr>
            </w:pPr>
            <w:r w:rsidRPr="00E4760B">
              <w:rPr>
                <w:sz w:val="20"/>
                <w:szCs w:val="20"/>
              </w:rPr>
              <w:t>Sig. (2-</w:t>
            </w:r>
          </w:p>
          <w:p w14:paraId="4D714033" w14:textId="77777777" w:rsidR="00C023BB" w:rsidRPr="00E4760B" w:rsidRDefault="00C023BB" w:rsidP="001F27EA">
            <w:pPr>
              <w:pStyle w:val="Default"/>
              <w:rPr>
                <w:sz w:val="20"/>
                <w:szCs w:val="20"/>
              </w:rPr>
            </w:pPr>
            <w:r w:rsidRPr="00E4760B">
              <w:rPr>
                <w:sz w:val="20"/>
                <w:szCs w:val="20"/>
              </w:rPr>
              <w:t>tailed)</w:t>
            </w:r>
          </w:p>
        </w:tc>
        <w:tc>
          <w:tcPr>
            <w:tcW w:w="1073" w:type="dxa"/>
            <w:vMerge w:val="restart"/>
          </w:tcPr>
          <w:p w14:paraId="0CB8C87C" w14:textId="77777777" w:rsidR="00C023BB" w:rsidRPr="00E4760B" w:rsidRDefault="00C023BB" w:rsidP="001F27EA">
            <w:pPr>
              <w:pStyle w:val="Default"/>
              <w:jc w:val="center"/>
              <w:rPr>
                <w:sz w:val="20"/>
                <w:szCs w:val="20"/>
              </w:rPr>
            </w:pPr>
          </w:p>
          <w:p w14:paraId="27EFFC5D" w14:textId="77777777" w:rsidR="00C023BB" w:rsidRPr="00E4760B" w:rsidRDefault="00C023BB" w:rsidP="001F27EA">
            <w:pPr>
              <w:pStyle w:val="Default"/>
              <w:jc w:val="center"/>
              <w:rPr>
                <w:sz w:val="20"/>
                <w:szCs w:val="20"/>
              </w:rPr>
            </w:pPr>
          </w:p>
          <w:p w14:paraId="3CB141EB" w14:textId="77777777" w:rsidR="00C023BB" w:rsidRPr="00E4760B" w:rsidRDefault="00C023BB" w:rsidP="001F27EA">
            <w:pPr>
              <w:pStyle w:val="Default"/>
              <w:jc w:val="center"/>
              <w:rPr>
                <w:sz w:val="20"/>
                <w:szCs w:val="20"/>
              </w:rPr>
            </w:pPr>
          </w:p>
          <w:p w14:paraId="773AAECE" w14:textId="77777777" w:rsidR="00C023BB" w:rsidRPr="00E4760B" w:rsidRDefault="00C023BB" w:rsidP="001F27EA">
            <w:pPr>
              <w:pStyle w:val="Default"/>
              <w:jc w:val="center"/>
              <w:rPr>
                <w:sz w:val="20"/>
                <w:szCs w:val="20"/>
              </w:rPr>
            </w:pPr>
          </w:p>
          <w:p w14:paraId="21511E42" w14:textId="77777777" w:rsidR="00C023BB" w:rsidRPr="00E4760B" w:rsidRDefault="00C023BB" w:rsidP="001F27EA">
            <w:pPr>
              <w:pStyle w:val="Default"/>
              <w:jc w:val="center"/>
              <w:rPr>
                <w:sz w:val="20"/>
                <w:szCs w:val="20"/>
              </w:rPr>
            </w:pPr>
          </w:p>
          <w:p w14:paraId="4002828C" w14:textId="77777777" w:rsidR="00C023BB" w:rsidRPr="00E4760B" w:rsidRDefault="00C023BB" w:rsidP="001F27EA">
            <w:pPr>
              <w:pStyle w:val="Default"/>
              <w:jc w:val="center"/>
              <w:rPr>
                <w:sz w:val="20"/>
                <w:szCs w:val="20"/>
              </w:rPr>
            </w:pPr>
            <w:r w:rsidRPr="00E4760B">
              <w:rPr>
                <w:sz w:val="20"/>
                <w:szCs w:val="20"/>
              </w:rPr>
              <w:t xml:space="preserve">Mean Difference </w:t>
            </w:r>
          </w:p>
        </w:tc>
        <w:tc>
          <w:tcPr>
            <w:tcW w:w="1073" w:type="dxa"/>
            <w:vMerge w:val="restart"/>
          </w:tcPr>
          <w:p w14:paraId="3B571405" w14:textId="77777777" w:rsidR="00C023BB" w:rsidRPr="00E4760B" w:rsidRDefault="00C023BB" w:rsidP="001F27EA">
            <w:pPr>
              <w:pStyle w:val="Default"/>
              <w:jc w:val="center"/>
              <w:rPr>
                <w:sz w:val="20"/>
                <w:szCs w:val="20"/>
              </w:rPr>
            </w:pPr>
          </w:p>
          <w:p w14:paraId="16A7D185" w14:textId="77777777" w:rsidR="00C023BB" w:rsidRPr="00E4760B" w:rsidRDefault="00C023BB" w:rsidP="001F27EA">
            <w:pPr>
              <w:pStyle w:val="Default"/>
              <w:jc w:val="center"/>
              <w:rPr>
                <w:sz w:val="20"/>
                <w:szCs w:val="20"/>
              </w:rPr>
            </w:pPr>
          </w:p>
          <w:p w14:paraId="3F1D9CA7" w14:textId="77777777" w:rsidR="00C023BB" w:rsidRPr="00E4760B" w:rsidRDefault="00C023BB" w:rsidP="001F27EA">
            <w:pPr>
              <w:pStyle w:val="Default"/>
              <w:jc w:val="center"/>
              <w:rPr>
                <w:sz w:val="20"/>
                <w:szCs w:val="20"/>
              </w:rPr>
            </w:pPr>
          </w:p>
          <w:p w14:paraId="6E0F9B7D" w14:textId="77777777" w:rsidR="00C023BB" w:rsidRPr="00E4760B" w:rsidRDefault="00C023BB" w:rsidP="001F27EA">
            <w:pPr>
              <w:pStyle w:val="Default"/>
              <w:jc w:val="center"/>
              <w:rPr>
                <w:sz w:val="20"/>
                <w:szCs w:val="20"/>
              </w:rPr>
            </w:pPr>
          </w:p>
          <w:p w14:paraId="67CD0F08" w14:textId="77777777" w:rsidR="00C023BB" w:rsidRPr="00E4760B" w:rsidRDefault="00C023BB" w:rsidP="001F27EA">
            <w:pPr>
              <w:pStyle w:val="Default"/>
              <w:jc w:val="center"/>
              <w:rPr>
                <w:sz w:val="20"/>
                <w:szCs w:val="20"/>
              </w:rPr>
            </w:pPr>
          </w:p>
          <w:p w14:paraId="40C6933A" w14:textId="77777777" w:rsidR="00C023BB" w:rsidRPr="00E4760B" w:rsidRDefault="00C023BB" w:rsidP="001F27EA">
            <w:pPr>
              <w:pStyle w:val="Default"/>
              <w:jc w:val="center"/>
              <w:rPr>
                <w:sz w:val="20"/>
                <w:szCs w:val="20"/>
              </w:rPr>
            </w:pPr>
            <w:r w:rsidRPr="00E4760B">
              <w:rPr>
                <w:sz w:val="20"/>
                <w:szCs w:val="20"/>
              </w:rPr>
              <w:t xml:space="preserve">Std. Error Difference </w:t>
            </w:r>
          </w:p>
        </w:tc>
        <w:tc>
          <w:tcPr>
            <w:tcW w:w="2297" w:type="dxa"/>
            <w:gridSpan w:val="2"/>
          </w:tcPr>
          <w:p w14:paraId="1D0AF270" w14:textId="77777777" w:rsidR="00C023BB" w:rsidRPr="00E4760B" w:rsidRDefault="00C023BB" w:rsidP="001F27EA">
            <w:pPr>
              <w:pStyle w:val="Default"/>
              <w:jc w:val="center"/>
              <w:rPr>
                <w:sz w:val="20"/>
                <w:szCs w:val="20"/>
              </w:rPr>
            </w:pPr>
          </w:p>
          <w:p w14:paraId="48036869" w14:textId="77777777" w:rsidR="00C023BB" w:rsidRPr="00E4760B" w:rsidRDefault="00C023BB" w:rsidP="001F27EA">
            <w:pPr>
              <w:pStyle w:val="Default"/>
              <w:jc w:val="center"/>
              <w:rPr>
                <w:sz w:val="20"/>
                <w:szCs w:val="20"/>
              </w:rPr>
            </w:pPr>
          </w:p>
          <w:p w14:paraId="45C9670D" w14:textId="77777777" w:rsidR="00C023BB" w:rsidRPr="00E4760B" w:rsidRDefault="00C023BB" w:rsidP="001F27EA">
            <w:pPr>
              <w:pStyle w:val="Default"/>
              <w:jc w:val="center"/>
              <w:rPr>
                <w:sz w:val="20"/>
                <w:szCs w:val="20"/>
              </w:rPr>
            </w:pPr>
            <w:r w:rsidRPr="00E4760B">
              <w:rPr>
                <w:sz w:val="20"/>
                <w:szCs w:val="20"/>
              </w:rPr>
              <w:t xml:space="preserve">95% Confidence Interval of the Difference </w:t>
            </w:r>
          </w:p>
        </w:tc>
      </w:tr>
      <w:tr w:rsidR="00C023BB" w:rsidRPr="00E4760B" w14:paraId="18AA891D" w14:textId="77777777" w:rsidTr="00C023BB">
        <w:trPr>
          <w:trHeight w:val="489"/>
          <w:jc w:val="center"/>
        </w:trPr>
        <w:tc>
          <w:tcPr>
            <w:tcW w:w="1904" w:type="dxa"/>
            <w:gridSpan w:val="2"/>
            <w:vMerge/>
          </w:tcPr>
          <w:p w14:paraId="759E7080" w14:textId="77777777" w:rsidR="00C023BB" w:rsidRPr="00E4760B" w:rsidRDefault="00C023BB" w:rsidP="001F27EA">
            <w:pPr>
              <w:spacing w:line="360" w:lineRule="auto"/>
              <w:jc w:val="center"/>
              <w:rPr>
                <w:rFonts w:ascii="Times New Roman" w:hAnsi="Times New Roman" w:cs="Times New Roman"/>
                <w:sz w:val="20"/>
                <w:szCs w:val="20"/>
              </w:rPr>
            </w:pPr>
          </w:p>
        </w:tc>
        <w:tc>
          <w:tcPr>
            <w:tcW w:w="736" w:type="dxa"/>
            <w:vMerge/>
          </w:tcPr>
          <w:p w14:paraId="5A4EDA0E" w14:textId="77777777" w:rsidR="00C023BB" w:rsidRPr="00E4760B" w:rsidRDefault="00C023BB" w:rsidP="001F27EA">
            <w:pPr>
              <w:spacing w:line="360" w:lineRule="auto"/>
              <w:jc w:val="center"/>
              <w:rPr>
                <w:rFonts w:ascii="Times New Roman" w:hAnsi="Times New Roman" w:cs="Times New Roman"/>
                <w:sz w:val="20"/>
                <w:szCs w:val="20"/>
              </w:rPr>
            </w:pPr>
          </w:p>
        </w:tc>
        <w:tc>
          <w:tcPr>
            <w:tcW w:w="697" w:type="dxa"/>
            <w:vMerge/>
          </w:tcPr>
          <w:p w14:paraId="1E103928" w14:textId="77777777" w:rsidR="00C023BB" w:rsidRPr="00E4760B" w:rsidRDefault="00C023BB" w:rsidP="001F27EA">
            <w:pPr>
              <w:spacing w:line="360" w:lineRule="auto"/>
              <w:jc w:val="center"/>
              <w:rPr>
                <w:rFonts w:ascii="Times New Roman" w:hAnsi="Times New Roman" w:cs="Times New Roman"/>
                <w:sz w:val="20"/>
                <w:szCs w:val="20"/>
              </w:rPr>
            </w:pPr>
          </w:p>
        </w:tc>
        <w:tc>
          <w:tcPr>
            <w:tcW w:w="743" w:type="dxa"/>
            <w:vMerge/>
          </w:tcPr>
          <w:p w14:paraId="6F6D86D9" w14:textId="77777777" w:rsidR="00C023BB" w:rsidRPr="00E4760B" w:rsidRDefault="00C023BB" w:rsidP="001F27EA">
            <w:pPr>
              <w:spacing w:line="360" w:lineRule="auto"/>
              <w:jc w:val="center"/>
              <w:rPr>
                <w:rFonts w:ascii="Times New Roman" w:hAnsi="Times New Roman" w:cs="Times New Roman"/>
                <w:sz w:val="20"/>
                <w:szCs w:val="20"/>
              </w:rPr>
            </w:pPr>
          </w:p>
        </w:tc>
        <w:tc>
          <w:tcPr>
            <w:tcW w:w="763" w:type="dxa"/>
            <w:vMerge/>
          </w:tcPr>
          <w:p w14:paraId="57DB326F" w14:textId="77777777" w:rsidR="00C023BB" w:rsidRPr="00E4760B" w:rsidRDefault="00C023BB" w:rsidP="001F27EA">
            <w:pPr>
              <w:spacing w:line="360" w:lineRule="auto"/>
              <w:jc w:val="center"/>
              <w:rPr>
                <w:rFonts w:ascii="Times New Roman" w:hAnsi="Times New Roman" w:cs="Times New Roman"/>
                <w:sz w:val="20"/>
                <w:szCs w:val="20"/>
              </w:rPr>
            </w:pPr>
          </w:p>
        </w:tc>
        <w:tc>
          <w:tcPr>
            <w:tcW w:w="729" w:type="dxa"/>
            <w:vMerge/>
          </w:tcPr>
          <w:p w14:paraId="0F2AB30E" w14:textId="77777777" w:rsidR="00C023BB" w:rsidRPr="00E4760B" w:rsidRDefault="00C023BB" w:rsidP="001F27EA">
            <w:pPr>
              <w:spacing w:line="360" w:lineRule="auto"/>
              <w:jc w:val="center"/>
              <w:rPr>
                <w:rFonts w:ascii="Times New Roman" w:hAnsi="Times New Roman" w:cs="Times New Roman"/>
                <w:sz w:val="20"/>
                <w:szCs w:val="20"/>
              </w:rPr>
            </w:pPr>
          </w:p>
        </w:tc>
        <w:tc>
          <w:tcPr>
            <w:tcW w:w="1073" w:type="dxa"/>
            <w:vMerge/>
          </w:tcPr>
          <w:p w14:paraId="7423D4AF" w14:textId="77777777" w:rsidR="00C023BB" w:rsidRPr="00E4760B" w:rsidRDefault="00C023BB" w:rsidP="001F27EA">
            <w:pPr>
              <w:spacing w:line="360" w:lineRule="auto"/>
              <w:jc w:val="center"/>
              <w:rPr>
                <w:rFonts w:ascii="Times New Roman" w:hAnsi="Times New Roman" w:cs="Times New Roman"/>
                <w:sz w:val="20"/>
                <w:szCs w:val="20"/>
              </w:rPr>
            </w:pPr>
          </w:p>
        </w:tc>
        <w:tc>
          <w:tcPr>
            <w:tcW w:w="1073" w:type="dxa"/>
            <w:vMerge/>
          </w:tcPr>
          <w:p w14:paraId="1DA32B0C" w14:textId="77777777" w:rsidR="00C023BB" w:rsidRPr="00E4760B" w:rsidRDefault="00C023BB" w:rsidP="001F27EA">
            <w:pPr>
              <w:spacing w:line="360" w:lineRule="auto"/>
              <w:jc w:val="center"/>
              <w:rPr>
                <w:rFonts w:ascii="Times New Roman" w:hAnsi="Times New Roman" w:cs="Times New Roman"/>
                <w:sz w:val="20"/>
                <w:szCs w:val="20"/>
              </w:rPr>
            </w:pPr>
          </w:p>
        </w:tc>
        <w:tc>
          <w:tcPr>
            <w:tcW w:w="1131" w:type="dxa"/>
          </w:tcPr>
          <w:p w14:paraId="17B72D60" w14:textId="77777777" w:rsidR="00C023BB" w:rsidRPr="00E4760B" w:rsidRDefault="00C023BB" w:rsidP="001F27EA">
            <w:pPr>
              <w:pStyle w:val="Default"/>
              <w:jc w:val="center"/>
              <w:rPr>
                <w:sz w:val="20"/>
                <w:szCs w:val="20"/>
              </w:rPr>
            </w:pPr>
          </w:p>
          <w:p w14:paraId="69547053" w14:textId="77777777" w:rsidR="00C023BB" w:rsidRPr="00E4760B" w:rsidRDefault="00C023BB" w:rsidP="001F27EA">
            <w:pPr>
              <w:pStyle w:val="Default"/>
              <w:jc w:val="center"/>
              <w:rPr>
                <w:sz w:val="20"/>
                <w:szCs w:val="20"/>
              </w:rPr>
            </w:pPr>
          </w:p>
          <w:p w14:paraId="6765FFAF" w14:textId="77777777" w:rsidR="00C023BB" w:rsidRPr="00E4760B" w:rsidRDefault="00C023BB" w:rsidP="001F27EA">
            <w:pPr>
              <w:pStyle w:val="Default"/>
              <w:jc w:val="center"/>
              <w:rPr>
                <w:sz w:val="20"/>
                <w:szCs w:val="20"/>
              </w:rPr>
            </w:pPr>
            <w:r w:rsidRPr="00E4760B">
              <w:rPr>
                <w:sz w:val="20"/>
                <w:szCs w:val="20"/>
              </w:rPr>
              <w:t xml:space="preserve">Lower </w:t>
            </w:r>
          </w:p>
        </w:tc>
        <w:tc>
          <w:tcPr>
            <w:tcW w:w="1165" w:type="dxa"/>
          </w:tcPr>
          <w:p w14:paraId="4F0ECD1E" w14:textId="77777777" w:rsidR="00C023BB" w:rsidRPr="00E4760B" w:rsidRDefault="00C023BB" w:rsidP="001F27EA">
            <w:pPr>
              <w:pStyle w:val="Default"/>
              <w:jc w:val="center"/>
              <w:rPr>
                <w:sz w:val="20"/>
                <w:szCs w:val="20"/>
              </w:rPr>
            </w:pPr>
          </w:p>
          <w:p w14:paraId="05DFCAFF" w14:textId="77777777" w:rsidR="00C023BB" w:rsidRPr="00E4760B" w:rsidRDefault="00C023BB" w:rsidP="001F27EA">
            <w:pPr>
              <w:pStyle w:val="Default"/>
              <w:jc w:val="center"/>
              <w:rPr>
                <w:sz w:val="20"/>
                <w:szCs w:val="20"/>
              </w:rPr>
            </w:pPr>
          </w:p>
          <w:p w14:paraId="757B5CF8" w14:textId="77777777" w:rsidR="00C023BB" w:rsidRPr="00E4760B" w:rsidRDefault="00C023BB" w:rsidP="001F27EA">
            <w:pPr>
              <w:pStyle w:val="Default"/>
              <w:jc w:val="center"/>
              <w:rPr>
                <w:sz w:val="20"/>
                <w:szCs w:val="20"/>
              </w:rPr>
            </w:pPr>
            <w:r w:rsidRPr="00E4760B">
              <w:rPr>
                <w:sz w:val="20"/>
                <w:szCs w:val="20"/>
              </w:rPr>
              <w:t xml:space="preserve">Upper </w:t>
            </w:r>
          </w:p>
        </w:tc>
      </w:tr>
      <w:tr w:rsidR="00C023BB" w:rsidRPr="00E4760B" w14:paraId="394E486A" w14:textId="77777777" w:rsidTr="00C023BB">
        <w:trPr>
          <w:trHeight w:val="782"/>
          <w:jc w:val="center"/>
        </w:trPr>
        <w:tc>
          <w:tcPr>
            <w:tcW w:w="907" w:type="dxa"/>
            <w:vMerge w:val="restart"/>
          </w:tcPr>
          <w:p w14:paraId="615ACA1E" w14:textId="77777777" w:rsidR="00C023BB" w:rsidRPr="00E4760B" w:rsidRDefault="00C023BB" w:rsidP="001F27EA">
            <w:pPr>
              <w:pStyle w:val="Default"/>
              <w:jc w:val="center"/>
              <w:rPr>
                <w:sz w:val="20"/>
                <w:szCs w:val="20"/>
              </w:rPr>
            </w:pPr>
          </w:p>
          <w:p w14:paraId="7308BDA8" w14:textId="77777777" w:rsidR="00C023BB" w:rsidRPr="00E4760B" w:rsidRDefault="00C023BB" w:rsidP="001F27EA">
            <w:pPr>
              <w:pStyle w:val="Default"/>
              <w:jc w:val="center"/>
              <w:rPr>
                <w:sz w:val="20"/>
                <w:szCs w:val="20"/>
              </w:rPr>
            </w:pPr>
          </w:p>
          <w:p w14:paraId="3160D14A" w14:textId="77777777" w:rsidR="00C023BB" w:rsidRPr="00E4760B" w:rsidRDefault="00C023BB" w:rsidP="001F27EA">
            <w:pPr>
              <w:pStyle w:val="Default"/>
              <w:jc w:val="center"/>
              <w:rPr>
                <w:sz w:val="20"/>
                <w:szCs w:val="20"/>
              </w:rPr>
            </w:pPr>
          </w:p>
          <w:p w14:paraId="6A49D614" w14:textId="77777777" w:rsidR="00C023BB" w:rsidRPr="00E4760B" w:rsidRDefault="00C023BB" w:rsidP="001F27EA">
            <w:pPr>
              <w:pStyle w:val="Default"/>
              <w:rPr>
                <w:sz w:val="20"/>
                <w:szCs w:val="20"/>
              </w:rPr>
            </w:pPr>
          </w:p>
          <w:p w14:paraId="2DA6A112" w14:textId="77777777" w:rsidR="00C023BB" w:rsidRPr="00E4760B" w:rsidRDefault="00C023BB" w:rsidP="001F27EA">
            <w:pPr>
              <w:pStyle w:val="Default"/>
              <w:rPr>
                <w:sz w:val="20"/>
                <w:szCs w:val="20"/>
              </w:rPr>
            </w:pPr>
            <w:r w:rsidRPr="00E4760B">
              <w:rPr>
                <w:sz w:val="20"/>
                <w:szCs w:val="20"/>
              </w:rPr>
              <w:t xml:space="preserve">Variable </w:t>
            </w:r>
          </w:p>
          <w:p w14:paraId="6C7E0747" w14:textId="77777777" w:rsidR="00C023BB" w:rsidRPr="00E4760B" w:rsidRDefault="00C023BB" w:rsidP="001F27EA">
            <w:pPr>
              <w:spacing w:line="360" w:lineRule="auto"/>
              <w:jc w:val="center"/>
              <w:rPr>
                <w:rFonts w:ascii="Times New Roman" w:hAnsi="Times New Roman" w:cs="Times New Roman"/>
                <w:sz w:val="20"/>
                <w:szCs w:val="20"/>
              </w:rPr>
            </w:pPr>
          </w:p>
        </w:tc>
        <w:tc>
          <w:tcPr>
            <w:tcW w:w="996" w:type="dxa"/>
          </w:tcPr>
          <w:p w14:paraId="39EA2388" w14:textId="77777777" w:rsidR="00C023BB" w:rsidRPr="00E4760B" w:rsidRDefault="00C023BB" w:rsidP="001F27EA">
            <w:pPr>
              <w:pStyle w:val="Default"/>
              <w:rPr>
                <w:sz w:val="20"/>
                <w:szCs w:val="20"/>
              </w:rPr>
            </w:pPr>
            <w:r w:rsidRPr="00E4760B">
              <w:rPr>
                <w:sz w:val="20"/>
                <w:szCs w:val="20"/>
              </w:rPr>
              <w:t xml:space="preserve">Equal variances assumed </w:t>
            </w:r>
          </w:p>
        </w:tc>
        <w:tc>
          <w:tcPr>
            <w:tcW w:w="736" w:type="dxa"/>
          </w:tcPr>
          <w:p w14:paraId="6661F23E" w14:textId="77777777" w:rsidR="00C023BB" w:rsidRPr="00E4760B" w:rsidRDefault="00C023BB" w:rsidP="001F27EA">
            <w:pPr>
              <w:pStyle w:val="Default"/>
              <w:jc w:val="center"/>
              <w:rPr>
                <w:sz w:val="20"/>
                <w:szCs w:val="20"/>
              </w:rPr>
            </w:pPr>
          </w:p>
          <w:p w14:paraId="56972C8F" w14:textId="77777777" w:rsidR="00C023BB" w:rsidRPr="00E4760B" w:rsidRDefault="00C023BB" w:rsidP="001F27EA">
            <w:pPr>
              <w:pStyle w:val="Default"/>
              <w:jc w:val="center"/>
              <w:rPr>
                <w:sz w:val="20"/>
                <w:szCs w:val="20"/>
              </w:rPr>
            </w:pPr>
            <w:r w:rsidRPr="00E4760B">
              <w:rPr>
                <w:sz w:val="20"/>
                <w:szCs w:val="20"/>
              </w:rPr>
              <w:t xml:space="preserve">6.556 </w:t>
            </w:r>
          </w:p>
          <w:p w14:paraId="00954358" w14:textId="77777777" w:rsidR="00C023BB" w:rsidRPr="00E4760B" w:rsidRDefault="00C023BB" w:rsidP="001F27EA">
            <w:pPr>
              <w:pStyle w:val="Default"/>
              <w:jc w:val="center"/>
              <w:rPr>
                <w:sz w:val="20"/>
                <w:szCs w:val="20"/>
              </w:rPr>
            </w:pPr>
          </w:p>
        </w:tc>
        <w:tc>
          <w:tcPr>
            <w:tcW w:w="697" w:type="dxa"/>
          </w:tcPr>
          <w:p w14:paraId="79452ED4" w14:textId="77777777" w:rsidR="00C023BB" w:rsidRPr="00E4760B" w:rsidRDefault="00C023BB" w:rsidP="001F27EA">
            <w:pPr>
              <w:pStyle w:val="Default"/>
              <w:rPr>
                <w:sz w:val="20"/>
                <w:szCs w:val="20"/>
              </w:rPr>
            </w:pPr>
          </w:p>
          <w:p w14:paraId="6E226D21" w14:textId="77777777" w:rsidR="00C023BB" w:rsidRPr="00E4760B" w:rsidRDefault="00C023BB" w:rsidP="001F27EA">
            <w:pPr>
              <w:pStyle w:val="Default"/>
              <w:rPr>
                <w:sz w:val="20"/>
                <w:szCs w:val="20"/>
              </w:rPr>
            </w:pPr>
            <w:r w:rsidRPr="00E4760B">
              <w:rPr>
                <w:sz w:val="20"/>
                <w:szCs w:val="20"/>
              </w:rPr>
              <w:t>.014</w:t>
            </w:r>
          </w:p>
          <w:p w14:paraId="39C188F2" w14:textId="77777777" w:rsidR="00C023BB" w:rsidRPr="00E4760B" w:rsidRDefault="00C023BB" w:rsidP="001F27EA">
            <w:pPr>
              <w:spacing w:line="360" w:lineRule="auto"/>
              <w:rPr>
                <w:rFonts w:ascii="Times New Roman" w:hAnsi="Times New Roman" w:cs="Times New Roman"/>
                <w:sz w:val="20"/>
                <w:szCs w:val="20"/>
              </w:rPr>
            </w:pPr>
          </w:p>
        </w:tc>
        <w:tc>
          <w:tcPr>
            <w:tcW w:w="743" w:type="dxa"/>
          </w:tcPr>
          <w:p w14:paraId="50AF6C6D" w14:textId="77777777" w:rsidR="00C023BB" w:rsidRPr="00E4760B" w:rsidRDefault="00C023BB" w:rsidP="001F27EA">
            <w:pPr>
              <w:pStyle w:val="Default"/>
              <w:jc w:val="center"/>
              <w:rPr>
                <w:sz w:val="20"/>
                <w:szCs w:val="20"/>
              </w:rPr>
            </w:pPr>
          </w:p>
          <w:p w14:paraId="74DF7A7F" w14:textId="77777777" w:rsidR="00C023BB" w:rsidRPr="00E4760B" w:rsidRDefault="00C023BB" w:rsidP="001F27EA">
            <w:pPr>
              <w:pStyle w:val="Default"/>
              <w:rPr>
                <w:sz w:val="20"/>
                <w:szCs w:val="20"/>
              </w:rPr>
            </w:pPr>
            <w:r w:rsidRPr="00E4760B">
              <w:rPr>
                <w:sz w:val="20"/>
                <w:szCs w:val="20"/>
              </w:rPr>
              <w:t xml:space="preserve">-2.540 </w:t>
            </w:r>
          </w:p>
          <w:p w14:paraId="3C6B3F5E" w14:textId="77777777" w:rsidR="00C023BB" w:rsidRPr="00E4760B" w:rsidRDefault="00C023BB" w:rsidP="001F27EA">
            <w:pPr>
              <w:spacing w:line="360" w:lineRule="auto"/>
              <w:jc w:val="center"/>
              <w:rPr>
                <w:rFonts w:ascii="Times New Roman" w:hAnsi="Times New Roman" w:cs="Times New Roman"/>
                <w:sz w:val="20"/>
                <w:szCs w:val="20"/>
              </w:rPr>
            </w:pPr>
          </w:p>
        </w:tc>
        <w:tc>
          <w:tcPr>
            <w:tcW w:w="763" w:type="dxa"/>
          </w:tcPr>
          <w:p w14:paraId="796ABBE8" w14:textId="77777777" w:rsidR="00C023BB" w:rsidRPr="00E4760B" w:rsidRDefault="00C023BB" w:rsidP="001F27EA">
            <w:pPr>
              <w:pStyle w:val="Default"/>
              <w:jc w:val="center"/>
              <w:rPr>
                <w:sz w:val="20"/>
                <w:szCs w:val="20"/>
              </w:rPr>
            </w:pPr>
          </w:p>
          <w:p w14:paraId="0EB7AD6B" w14:textId="77777777" w:rsidR="00C023BB" w:rsidRPr="00E4760B" w:rsidRDefault="00C023BB" w:rsidP="001F27EA">
            <w:pPr>
              <w:pStyle w:val="Default"/>
              <w:jc w:val="center"/>
              <w:rPr>
                <w:sz w:val="20"/>
                <w:szCs w:val="20"/>
              </w:rPr>
            </w:pPr>
            <w:r w:rsidRPr="00E4760B">
              <w:rPr>
                <w:sz w:val="20"/>
                <w:szCs w:val="20"/>
              </w:rPr>
              <w:t xml:space="preserve">42 </w:t>
            </w:r>
          </w:p>
        </w:tc>
        <w:tc>
          <w:tcPr>
            <w:tcW w:w="729" w:type="dxa"/>
          </w:tcPr>
          <w:p w14:paraId="37849858" w14:textId="77777777" w:rsidR="00C023BB" w:rsidRPr="00E4760B" w:rsidRDefault="00C023BB" w:rsidP="001F27EA">
            <w:pPr>
              <w:pStyle w:val="Default"/>
              <w:jc w:val="center"/>
              <w:rPr>
                <w:sz w:val="20"/>
                <w:szCs w:val="20"/>
              </w:rPr>
            </w:pPr>
          </w:p>
          <w:p w14:paraId="74D543D4" w14:textId="77777777" w:rsidR="00C023BB" w:rsidRPr="00E4760B" w:rsidRDefault="00C023BB" w:rsidP="001F27EA">
            <w:pPr>
              <w:pStyle w:val="Default"/>
              <w:jc w:val="center"/>
              <w:rPr>
                <w:sz w:val="20"/>
                <w:szCs w:val="20"/>
              </w:rPr>
            </w:pPr>
            <w:r w:rsidRPr="00E4760B">
              <w:rPr>
                <w:sz w:val="20"/>
                <w:szCs w:val="20"/>
              </w:rPr>
              <w:t xml:space="preserve">.015 </w:t>
            </w:r>
          </w:p>
        </w:tc>
        <w:tc>
          <w:tcPr>
            <w:tcW w:w="1073" w:type="dxa"/>
          </w:tcPr>
          <w:p w14:paraId="34981061" w14:textId="77777777" w:rsidR="00C023BB" w:rsidRPr="00E4760B" w:rsidRDefault="00C023BB" w:rsidP="001F27EA">
            <w:pPr>
              <w:pStyle w:val="Default"/>
              <w:jc w:val="center"/>
              <w:rPr>
                <w:sz w:val="20"/>
                <w:szCs w:val="20"/>
              </w:rPr>
            </w:pPr>
          </w:p>
          <w:p w14:paraId="48B93686" w14:textId="77777777" w:rsidR="00C023BB" w:rsidRPr="00E4760B" w:rsidRDefault="00C023BB" w:rsidP="001F27EA">
            <w:pPr>
              <w:pStyle w:val="Default"/>
              <w:jc w:val="center"/>
              <w:rPr>
                <w:sz w:val="20"/>
                <w:szCs w:val="20"/>
              </w:rPr>
            </w:pPr>
            <w:r w:rsidRPr="00E4760B">
              <w:rPr>
                <w:sz w:val="20"/>
                <w:szCs w:val="20"/>
              </w:rPr>
              <w:t xml:space="preserve">-17.432 </w:t>
            </w:r>
          </w:p>
        </w:tc>
        <w:tc>
          <w:tcPr>
            <w:tcW w:w="1073" w:type="dxa"/>
          </w:tcPr>
          <w:p w14:paraId="046D91FE" w14:textId="77777777" w:rsidR="00C023BB" w:rsidRPr="00E4760B" w:rsidRDefault="00C023BB" w:rsidP="001F27EA">
            <w:pPr>
              <w:pStyle w:val="Default"/>
              <w:jc w:val="center"/>
              <w:rPr>
                <w:sz w:val="20"/>
                <w:szCs w:val="20"/>
              </w:rPr>
            </w:pPr>
          </w:p>
          <w:p w14:paraId="7A86728B" w14:textId="77777777" w:rsidR="00C023BB" w:rsidRPr="00E4760B" w:rsidRDefault="00C023BB" w:rsidP="001F27EA">
            <w:pPr>
              <w:pStyle w:val="Default"/>
              <w:jc w:val="center"/>
              <w:rPr>
                <w:sz w:val="20"/>
                <w:szCs w:val="20"/>
              </w:rPr>
            </w:pPr>
            <w:r w:rsidRPr="00E4760B">
              <w:rPr>
                <w:sz w:val="20"/>
                <w:szCs w:val="20"/>
              </w:rPr>
              <w:t>6.864</w:t>
            </w:r>
          </w:p>
        </w:tc>
        <w:tc>
          <w:tcPr>
            <w:tcW w:w="1131" w:type="dxa"/>
          </w:tcPr>
          <w:p w14:paraId="12E54452" w14:textId="77777777" w:rsidR="00C023BB" w:rsidRPr="00E4760B" w:rsidRDefault="00C023BB" w:rsidP="001F27EA">
            <w:pPr>
              <w:pStyle w:val="Default"/>
              <w:jc w:val="center"/>
              <w:rPr>
                <w:sz w:val="20"/>
                <w:szCs w:val="20"/>
              </w:rPr>
            </w:pPr>
          </w:p>
          <w:p w14:paraId="007AC127" w14:textId="77777777" w:rsidR="00C023BB" w:rsidRPr="00E4760B" w:rsidRDefault="00C023BB" w:rsidP="001F27EA">
            <w:pPr>
              <w:pStyle w:val="Default"/>
              <w:jc w:val="center"/>
              <w:rPr>
                <w:sz w:val="20"/>
                <w:szCs w:val="20"/>
              </w:rPr>
            </w:pPr>
            <w:r w:rsidRPr="00E4760B">
              <w:rPr>
                <w:sz w:val="20"/>
                <w:szCs w:val="20"/>
              </w:rPr>
              <w:t>-31.283</w:t>
            </w:r>
          </w:p>
        </w:tc>
        <w:tc>
          <w:tcPr>
            <w:tcW w:w="1165" w:type="dxa"/>
          </w:tcPr>
          <w:p w14:paraId="0050B3F6" w14:textId="77777777" w:rsidR="00C023BB" w:rsidRPr="00E4760B" w:rsidRDefault="00C023BB" w:rsidP="001F27EA">
            <w:pPr>
              <w:pStyle w:val="Default"/>
              <w:jc w:val="center"/>
              <w:rPr>
                <w:sz w:val="20"/>
                <w:szCs w:val="20"/>
              </w:rPr>
            </w:pPr>
          </w:p>
          <w:p w14:paraId="3314A016" w14:textId="77777777" w:rsidR="00C023BB" w:rsidRPr="00E4760B" w:rsidRDefault="00C023BB" w:rsidP="001F27EA">
            <w:pPr>
              <w:pStyle w:val="Default"/>
              <w:jc w:val="center"/>
              <w:rPr>
                <w:sz w:val="20"/>
                <w:szCs w:val="20"/>
              </w:rPr>
            </w:pPr>
            <w:r w:rsidRPr="00E4760B">
              <w:rPr>
                <w:sz w:val="20"/>
                <w:szCs w:val="20"/>
              </w:rPr>
              <w:t>-3.580</w:t>
            </w:r>
          </w:p>
        </w:tc>
      </w:tr>
      <w:tr w:rsidR="00C023BB" w:rsidRPr="00E4760B" w14:paraId="74257042" w14:textId="77777777" w:rsidTr="00C023BB">
        <w:trPr>
          <w:trHeight w:val="765"/>
          <w:jc w:val="center"/>
        </w:trPr>
        <w:tc>
          <w:tcPr>
            <w:tcW w:w="907" w:type="dxa"/>
            <w:vMerge/>
          </w:tcPr>
          <w:p w14:paraId="0B3CE579" w14:textId="77777777" w:rsidR="00C023BB" w:rsidRPr="00E4760B" w:rsidRDefault="00C023BB" w:rsidP="001F27EA">
            <w:pPr>
              <w:spacing w:line="360" w:lineRule="auto"/>
              <w:jc w:val="center"/>
              <w:rPr>
                <w:rFonts w:ascii="Times New Roman" w:hAnsi="Times New Roman" w:cs="Times New Roman"/>
                <w:sz w:val="20"/>
                <w:szCs w:val="20"/>
              </w:rPr>
            </w:pPr>
          </w:p>
        </w:tc>
        <w:tc>
          <w:tcPr>
            <w:tcW w:w="996" w:type="dxa"/>
          </w:tcPr>
          <w:p w14:paraId="3A3C1A11" w14:textId="77777777" w:rsidR="00C023BB" w:rsidRPr="00E4760B" w:rsidRDefault="00C023BB" w:rsidP="001F27EA">
            <w:pPr>
              <w:pStyle w:val="Default"/>
              <w:rPr>
                <w:sz w:val="20"/>
                <w:szCs w:val="20"/>
              </w:rPr>
            </w:pPr>
            <w:r w:rsidRPr="00E4760B">
              <w:rPr>
                <w:sz w:val="20"/>
                <w:szCs w:val="20"/>
              </w:rPr>
              <w:t xml:space="preserve">Equal variances not assumed </w:t>
            </w:r>
          </w:p>
        </w:tc>
        <w:tc>
          <w:tcPr>
            <w:tcW w:w="736" w:type="dxa"/>
          </w:tcPr>
          <w:p w14:paraId="2EC0C01D" w14:textId="77777777" w:rsidR="00C023BB" w:rsidRPr="00E4760B" w:rsidRDefault="00C023BB" w:rsidP="001F27EA">
            <w:pPr>
              <w:spacing w:line="360" w:lineRule="auto"/>
              <w:jc w:val="center"/>
              <w:rPr>
                <w:rFonts w:ascii="Times New Roman" w:hAnsi="Times New Roman" w:cs="Times New Roman"/>
                <w:sz w:val="20"/>
                <w:szCs w:val="20"/>
              </w:rPr>
            </w:pPr>
          </w:p>
        </w:tc>
        <w:tc>
          <w:tcPr>
            <w:tcW w:w="697" w:type="dxa"/>
          </w:tcPr>
          <w:p w14:paraId="3396EC62" w14:textId="77777777" w:rsidR="00C023BB" w:rsidRPr="00E4760B" w:rsidRDefault="00C023BB" w:rsidP="001F27EA">
            <w:pPr>
              <w:spacing w:line="360" w:lineRule="auto"/>
              <w:jc w:val="center"/>
              <w:rPr>
                <w:rFonts w:ascii="Times New Roman" w:hAnsi="Times New Roman" w:cs="Times New Roman"/>
                <w:sz w:val="20"/>
                <w:szCs w:val="20"/>
              </w:rPr>
            </w:pPr>
          </w:p>
        </w:tc>
        <w:tc>
          <w:tcPr>
            <w:tcW w:w="743" w:type="dxa"/>
          </w:tcPr>
          <w:p w14:paraId="3FF728E5" w14:textId="77777777" w:rsidR="00C023BB" w:rsidRPr="00E4760B" w:rsidRDefault="00C023BB" w:rsidP="001F27EA">
            <w:pPr>
              <w:pStyle w:val="Default"/>
              <w:jc w:val="center"/>
              <w:rPr>
                <w:sz w:val="20"/>
                <w:szCs w:val="20"/>
              </w:rPr>
            </w:pPr>
          </w:p>
          <w:p w14:paraId="07E8A300" w14:textId="77777777" w:rsidR="00C023BB" w:rsidRPr="00E4760B" w:rsidRDefault="00C023BB" w:rsidP="001F27EA">
            <w:pPr>
              <w:pStyle w:val="Default"/>
              <w:jc w:val="center"/>
              <w:rPr>
                <w:sz w:val="20"/>
                <w:szCs w:val="20"/>
              </w:rPr>
            </w:pPr>
            <w:r w:rsidRPr="00E4760B">
              <w:rPr>
                <w:sz w:val="20"/>
                <w:szCs w:val="20"/>
              </w:rPr>
              <w:t>-2.823</w:t>
            </w:r>
          </w:p>
        </w:tc>
        <w:tc>
          <w:tcPr>
            <w:tcW w:w="763" w:type="dxa"/>
          </w:tcPr>
          <w:p w14:paraId="02C1E742" w14:textId="77777777" w:rsidR="00C023BB" w:rsidRPr="00E4760B" w:rsidRDefault="00C023BB" w:rsidP="001F27EA">
            <w:pPr>
              <w:pStyle w:val="Default"/>
              <w:jc w:val="center"/>
              <w:rPr>
                <w:sz w:val="20"/>
                <w:szCs w:val="20"/>
              </w:rPr>
            </w:pPr>
          </w:p>
          <w:p w14:paraId="63D1818D" w14:textId="77777777" w:rsidR="00C023BB" w:rsidRPr="00E4760B" w:rsidRDefault="00C023BB" w:rsidP="001F27EA">
            <w:pPr>
              <w:pStyle w:val="Default"/>
              <w:jc w:val="center"/>
              <w:rPr>
                <w:sz w:val="20"/>
                <w:szCs w:val="20"/>
              </w:rPr>
            </w:pPr>
            <w:r w:rsidRPr="00E4760B">
              <w:rPr>
                <w:sz w:val="20"/>
                <w:szCs w:val="20"/>
              </w:rPr>
              <w:t>39.652</w:t>
            </w:r>
          </w:p>
        </w:tc>
        <w:tc>
          <w:tcPr>
            <w:tcW w:w="729" w:type="dxa"/>
          </w:tcPr>
          <w:p w14:paraId="7763EF5D" w14:textId="77777777" w:rsidR="00C023BB" w:rsidRPr="00E4760B" w:rsidRDefault="00C023BB" w:rsidP="001F27EA">
            <w:pPr>
              <w:pStyle w:val="Default"/>
              <w:jc w:val="center"/>
              <w:rPr>
                <w:b/>
                <w:bCs/>
                <w:sz w:val="20"/>
                <w:szCs w:val="20"/>
              </w:rPr>
            </w:pPr>
          </w:p>
          <w:p w14:paraId="4FE2BE44" w14:textId="77777777" w:rsidR="00C023BB" w:rsidRPr="00E4760B" w:rsidRDefault="00C023BB" w:rsidP="001F27EA">
            <w:pPr>
              <w:pStyle w:val="Default"/>
              <w:jc w:val="center"/>
              <w:rPr>
                <w:sz w:val="20"/>
                <w:szCs w:val="20"/>
              </w:rPr>
            </w:pPr>
            <w:r w:rsidRPr="00E4760B">
              <w:rPr>
                <w:b/>
                <w:bCs/>
                <w:sz w:val="20"/>
                <w:szCs w:val="20"/>
              </w:rPr>
              <w:t>.007</w:t>
            </w:r>
          </w:p>
        </w:tc>
        <w:tc>
          <w:tcPr>
            <w:tcW w:w="1073" w:type="dxa"/>
          </w:tcPr>
          <w:p w14:paraId="48AA1DBB" w14:textId="77777777" w:rsidR="00C023BB" w:rsidRPr="00E4760B" w:rsidRDefault="00C023BB" w:rsidP="001F27EA">
            <w:pPr>
              <w:pStyle w:val="Default"/>
              <w:jc w:val="center"/>
              <w:rPr>
                <w:sz w:val="20"/>
                <w:szCs w:val="20"/>
              </w:rPr>
            </w:pPr>
          </w:p>
          <w:p w14:paraId="41435F68" w14:textId="77777777" w:rsidR="00C023BB" w:rsidRPr="00E4760B" w:rsidRDefault="00C023BB" w:rsidP="001F27EA">
            <w:pPr>
              <w:pStyle w:val="Default"/>
              <w:jc w:val="center"/>
              <w:rPr>
                <w:sz w:val="20"/>
                <w:szCs w:val="20"/>
              </w:rPr>
            </w:pPr>
            <w:r w:rsidRPr="00E4760B">
              <w:rPr>
                <w:sz w:val="20"/>
                <w:szCs w:val="20"/>
              </w:rPr>
              <w:t>-17.432</w:t>
            </w:r>
          </w:p>
        </w:tc>
        <w:tc>
          <w:tcPr>
            <w:tcW w:w="1073" w:type="dxa"/>
          </w:tcPr>
          <w:p w14:paraId="50AFF5C4" w14:textId="77777777" w:rsidR="00C023BB" w:rsidRPr="00E4760B" w:rsidRDefault="00C023BB" w:rsidP="001F27EA">
            <w:pPr>
              <w:pStyle w:val="Default"/>
              <w:jc w:val="center"/>
              <w:rPr>
                <w:sz w:val="20"/>
                <w:szCs w:val="20"/>
              </w:rPr>
            </w:pPr>
          </w:p>
          <w:p w14:paraId="09744A01" w14:textId="77777777" w:rsidR="00C023BB" w:rsidRPr="00E4760B" w:rsidRDefault="00C023BB" w:rsidP="001F27EA">
            <w:pPr>
              <w:pStyle w:val="Default"/>
              <w:jc w:val="center"/>
              <w:rPr>
                <w:sz w:val="20"/>
                <w:szCs w:val="20"/>
              </w:rPr>
            </w:pPr>
            <w:r w:rsidRPr="00E4760B">
              <w:rPr>
                <w:sz w:val="20"/>
                <w:szCs w:val="20"/>
              </w:rPr>
              <w:t>6.175</w:t>
            </w:r>
          </w:p>
        </w:tc>
        <w:tc>
          <w:tcPr>
            <w:tcW w:w="1131" w:type="dxa"/>
          </w:tcPr>
          <w:p w14:paraId="4D47CE1F" w14:textId="77777777" w:rsidR="00C023BB" w:rsidRPr="00E4760B" w:rsidRDefault="00C023BB" w:rsidP="001F27EA">
            <w:pPr>
              <w:pStyle w:val="Default"/>
              <w:jc w:val="center"/>
              <w:rPr>
                <w:sz w:val="20"/>
                <w:szCs w:val="20"/>
              </w:rPr>
            </w:pPr>
          </w:p>
          <w:p w14:paraId="56BB5939" w14:textId="77777777" w:rsidR="00C023BB" w:rsidRPr="00E4760B" w:rsidRDefault="00C023BB" w:rsidP="001F27EA">
            <w:pPr>
              <w:pStyle w:val="Default"/>
              <w:jc w:val="center"/>
              <w:rPr>
                <w:sz w:val="20"/>
                <w:szCs w:val="20"/>
              </w:rPr>
            </w:pPr>
            <w:r w:rsidRPr="00E4760B">
              <w:rPr>
                <w:sz w:val="20"/>
                <w:szCs w:val="20"/>
              </w:rPr>
              <w:t>-29.916</w:t>
            </w:r>
          </w:p>
        </w:tc>
        <w:tc>
          <w:tcPr>
            <w:tcW w:w="1165" w:type="dxa"/>
          </w:tcPr>
          <w:p w14:paraId="6C5AB100" w14:textId="77777777" w:rsidR="00C023BB" w:rsidRPr="00E4760B" w:rsidRDefault="00C023BB" w:rsidP="001F27EA">
            <w:pPr>
              <w:pStyle w:val="Default"/>
              <w:jc w:val="center"/>
              <w:rPr>
                <w:sz w:val="20"/>
                <w:szCs w:val="20"/>
              </w:rPr>
            </w:pPr>
          </w:p>
          <w:p w14:paraId="6E455046" w14:textId="77777777" w:rsidR="00C023BB" w:rsidRPr="00E4760B" w:rsidRDefault="00C023BB" w:rsidP="001F27EA">
            <w:pPr>
              <w:pStyle w:val="Default"/>
              <w:jc w:val="center"/>
              <w:rPr>
                <w:sz w:val="20"/>
                <w:szCs w:val="20"/>
              </w:rPr>
            </w:pPr>
            <w:r w:rsidRPr="00E4760B">
              <w:rPr>
                <w:sz w:val="20"/>
                <w:szCs w:val="20"/>
              </w:rPr>
              <w:t>-4.947</w:t>
            </w:r>
          </w:p>
        </w:tc>
      </w:tr>
    </w:tbl>
    <w:bookmarkEnd w:id="8"/>
    <w:p w14:paraId="5B50844B" w14:textId="757368C3" w:rsidR="00C023BB" w:rsidRDefault="00E4760B" w:rsidP="00E4760B">
      <w:pPr>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b/>
          <w:bCs/>
          <w:sz w:val="24"/>
          <w:szCs w:val="24"/>
        </w:rPr>
        <w:tab/>
        <w:t xml:space="preserve"> </w:t>
      </w:r>
      <w:r>
        <w:rPr>
          <w:rFonts w:ascii="Times New Roman" w:hAnsi="Times New Roman" w:cs="Times New Roman"/>
          <w:b/>
          <w:bCs/>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sz w:val="24"/>
          <w:szCs w:val="24"/>
        </w:rPr>
        <w:t xml:space="preserve"> </w:t>
      </w:r>
      <w:r>
        <w:rPr>
          <w:rFonts w:ascii="Times New Roman" w:hAnsi="Times New Roman" w:cs="Times New Roman"/>
          <w:b/>
          <w:bCs/>
          <w:sz w:val="20"/>
          <w:szCs w:val="20"/>
        </w:rPr>
        <w:t xml:space="preserve">(Source: </w:t>
      </w:r>
      <w:r>
        <w:rPr>
          <w:rFonts w:ascii="Times New Roman" w:hAnsi="Times New Roman" w:cs="Times New Roman"/>
          <w:sz w:val="20"/>
          <w:szCs w:val="20"/>
        </w:rPr>
        <w:t>Primary Data, Author’s Compilation in SPSS 20)</w:t>
      </w:r>
    </w:p>
    <w:p w14:paraId="678705D6" w14:textId="77777777" w:rsidR="00E4760B" w:rsidRDefault="00E4760B" w:rsidP="00E4760B">
      <w:pPr>
        <w:autoSpaceDE w:val="0"/>
        <w:autoSpaceDN w:val="0"/>
        <w:adjustRightInd w:val="0"/>
        <w:spacing w:line="360" w:lineRule="auto"/>
        <w:rPr>
          <w:rFonts w:ascii="Times New Roman" w:hAnsi="Times New Roman" w:cs="Times New Roman"/>
          <w:b/>
          <w:bCs/>
          <w:sz w:val="24"/>
          <w:szCs w:val="24"/>
        </w:rPr>
      </w:pPr>
    </w:p>
    <w:p w14:paraId="3AF015E0" w14:textId="33A3DA12" w:rsidR="00C023BB" w:rsidRDefault="00C023BB" w:rsidP="00E4760B">
      <w:pPr>
        <w:ind w:firstLine="720"/>
        <w:rPr>
          <w:rFonts w:ascii="Times New Roman" w:hAnsi="Times New Roman" w:cs="Times New Roman"/>
          <w:sz w:val="20"/>
          <w:szCs w:val="20"/>
        </w:rPr>
      </w:pPr>
      <w:r w:rsidRPr="00E4760B">
        <w:rPr>
          <w:rFonts w:ascii="Times New Roman" w:hAnsi="Times New Roman" w:cs="Times New Roman"/>
          <w:sz w:val="20"/>
          <w:szCs w:val="20"/>
        </w:rPr>
        <w:t>Since the sample sizes are different, equal variances cannot be assumed.</w:t>
      </w:r>
      <w:bookmarkStart w:id="9" w:name="_Hlk89818746"/>
    </w:p>
    <w:p w14:paraId="2FF1AFB2" w14:textId="77777777" w:rsidR="00E4760B" w:rsidRPr="00E4760B" w:rsidRDefault="00E4760B" w:rsidP="00E4760B">
      <w:pPr>
        <w:ind w:firstLine="720"/>
        <w:rPr>
          <w:rFonts w:ascii="Times New Roman" w:hAnsi="Times New Roman" w:cs="Times New Roman"/>
          <w:sz w:val="20"/>
          <w:szCs w:val="20"/>
        </w:rPr>
      </w:pPr>
    </w:p>
    <w:p w14:paraId="27840A0B" w14:textId="65EDFA42" w:rsidR="00C023BB" w:rsidRDefault="00C023BB" w:rsidP="00E4760B">
      <w:pPr>
        <w:ind w:firstLine="720"/>
        <w:rPr>
          <w:rFonts w:ascii="Times New Roman" w:hAnsi="Times New Roman" w:cs="Times New Roman"/>
          <w:sz w:val="20"/>
          <w:szCs w:val="20"/>
        </w:rPr>
      </w:pPr>
      <w:r w:rsidRPr="00E4760B">
        <w:rPr>
          <w:rFonts w:ascii="Times New Roman" w:hAnsi="Times New Roman" w:cs="Times New Roman"/>
          <w:sz w:val="20"/>
          <w:szCs w:val="20"/>
        </w:rPr>
        <w:t>Thus, the group means are statistically significant because the value in the ‘</w:t>
      </w:r>
      <w:r w:rsidRPr="00E4760B">
        <w:rPr>
          <w:rFonts w:ascii="Times New Roman" w:hAnsi="Times New Roman" w:cs="Times New Roman"/>
          <w:b/>
          <w:bCs/>
          <w:sz w:val="20"/>
          <w:szCs w:val="20"/>
        </w:rPr>
        <w:t>Sig. (2-tailed)</w:t>
      </w:r>
      <w:r w:rsidRPr="00E4760B">
        <w:rPr>
          <w:rFonts w:ascii="Times New Roman" w:hAnsi="Times New Roman" w:cs="Times New Roman"/>
          <w:sz w:val="20"/>
          <w:szCs w:val="20"/>
        </w:rPr>
        <w:t>’ column against ‘Equal variances not assumed’ row is 0.007 (i.e., less than 0.05). H</w:t>
      </w:r>
      <w:r w:rsidRPr="00E4760B">
        <w:rPr>
          <w:rFonts w:ascii="Times New Roman" w:hAnsi="Times New Roman" w:cs="Times New Roman"/>
          <w:sz w:val="20"/>
          <w:szCs w:val="20"/>
          <w:vertAlign w:val="subscript"/>
        </w:rPr>
        <w:t>02</w:t>
      </w:r>
      <w:r w:rsidRPr="00E4760B">
        <w:rPr>
          <w:rFonts w:ascii="Times New Roman" w:hAnsi="Times New Roman" w:cs="Times New Roman"/>
          <w:sz w:val="20"/>
          <w:szCs w:val="20"/>
        </w:rPr>
        <w:t xml:space="preserve"> of statistical insignificance of difference in investment proportion in risky instruments among the investors of age group of ‘below 45 years’ and ‘45 years and above’ falling within the income group of ‘Rs. 7,50,000 or more’ is rejected with 95%. Alternative hypothesis (H</w:t>
      </w:r>
      <w:r w:rsidRPr="00E4760B">
        <w:rPr>
          <w:rFonts w:ascii="Times New Roman" w:hAnsi="Times New Roman" w:cs="Times New Roman"/>
          <w:sz w:val="20"/>
          <w:szCs w:val="20"/>
          <w:vertAlign w:val="subscript"/>
        </w:rPr>
        <w:t>12</w:t>
      </w:r>
      <w:r w:rsidRPr="00E4760B">
        <w:rPr>
          <w:rFonts w:ascii="Times New Roman" w:hAnsi="Times New Roman" w:cs="Times New Roman"/>
          <w:sz w:val="20"/>
          <w:szCs w:val="20"/>
        </w:rPr>
        <w:t>) is accepted.</w:t>
      </w:r>
    </w:p>
    <w:p w14:paraId="75A69176" w14:textId="77777777" w:rsidR="00E4760B" w:rsidRPr="00E4760B" w:rsidRDefault="00E4760B" w:rsidP="00E4760B">
      <w:pPr>
        <w:rPr>
          <w:rFonts w:ascii="Times New Roman" w:hAnsi="Times New Roman" w:cs="Times New Roman"/>
          <w:sz w:val="20"/>
          <w:szCs w:val="20"/>
        </w:rPr>
      </w:pPr>
    </w:p>
    <w:bookmarkEnd w:id="9"/>
    <w:p w14:paraId="0F820F68" w14:textId="231CB58B" w:rsidR="00C023BB" w:rsidRDefault="00C023BB" w:rsidP="00E4760B">
      <w:pPr>
        <w:ind w:firstLine="720"/>
        <w:rPr>
          <w:rFonts w:ascii="Times New Roman" w:hAnsi="Times New Roman" w:cs="Times New Roman"/>
          <w:sz w:val="20"/>
          <w:szCs w:val="20"/>
        </w:rPr>
      </w:pPr>
      <w:r w:rsidRPr="00E4760B">
        <w:rPr>
          <w:rFonts w:ascii="Times New Roman" w:hAnsi="Times New Roman" w:cs="Times New Roman"/>
          <w:sz w:val="20"/>
          <w:szCs w:val="20"/>
        </w:rPr>
        <w:t>Therefore, it can be said that, on the basis of sample collected, significant difference exists between investment proportion in risky instruments among the investors of age group of ‘below 45 years’ and ‘45 years and above’ falling within the income group of ‘Rs. 7,50,000 or more’. Thus, percentage of total investments in risky instruments decreases with the increase in age.</w:t>
      </w:r>
    </w:p>
    <w:p w14:paraId="1F6D69B8" w14:textId="7447729A" w:rsidR="00995FDF" w:rsidRDefault="00995FDF" w:rsidP="00E4760B">
      <w:pPr>
        <w:ind w:firstLine="720"/>
        <w:rPr>
          <w:rFonts w:ascii="Times New Roman" w:hAnsi="Times New Roman" w:cs="Times New Roman"/>
          <w:sz w:val="20"/>
          <w:szCs w:val="20"/>
        </w:rPr>
      </w:pPr>
    </w:p>
    <w:p w14:paraId="740472C1" w14:textId="571D0D48" w:rsidR="00704A69" w:rsidRDefault="00704A69" w:rsidP="00E4760B">
      <w:pPr>
        <w:ind w:firstLine="720"/>
        <w:rPr>
          <w:rFonts w:ascii="Times New Roman" w:hAnsi="Times New Roman" w:cs="Times New Roman"/>
          <w:sz w:val="20"/>
          <w:szCs w:val="20"/>
        </w:rPr>
      </w:pPr>
    </w:p>
    <w:p w14:paraId="10936FBB" w14:textId="77777777" w:rsidR="00704A69" w:rsidRDefault="00704A69" w:rsidP="00E4760B">
      <w:pPr>
        <w:ind w:firstLine="720"/>
        <w:rPr>
          <w:rFonts w:ascii="Times New Roman" w:hAnsi="Times New Roman" w:cs="Times New Roman"/>
          <w:sz w:val="20"/>
          <w:szCs w:val="20"/>
        </w:rPr>
      </w:pPr>
    </w:p>
    <w:p w14:paraId="3E7C6F99" w14:textId="3B07AB87" w:rsidR="00995FDF" w:rsidRDefault="00995FDF" w:rsidP="00995FDF">
      <w:pPr>
        <w:pStyle w:val="ListParagraph"/>
        <w:numPr>
          <w:ilvl w:val="0"/>
          <w:numId w:val="1"/>
        </w:numPr>
        <w:jc w:val="center"/>
        <w:rPr>
          <w:rFonts w:ascii="Times New Roman" w:hAnsi="Times New Roman" w:cs="Times New Roman"/>
          <w:b/>
          <w:bCs/>
          <w:sz w:val="20"/>
          <w:szCs w:val="20"/>
        </w:rPr>
      </w:pPr>
      <w:r w:rsidRPr="00995FDF">
        <w:rPr>
          <w:rFonts w:ascii="Times New Roman" w:hAnsi="Times New Roman" w:cs="Times New Roman"/>
          <w:b/>
          <w:bCs/>
          <w:sz w:val="20"/>
          <w:szCs w:val="20"/>
        </w:rPr>
        <w:t>SUMMARY OF FINDINGS</w:t>
      </w:r>
    </w:p>
    <w:p w14:paraId="567A909D" w14:textId="370AB06D" w:rsidR="00995FDF" w:rsidRDefault="00995FDF" w:rsidP="00995FDF">
      <w:pPr>
        <w:rPr>
          <w:rFonts w:ascii="Times New Roman" w:hAnsi="Times New Roman" w:cs="Times New Roman"/>
          <w:b/>
          <w:bCs/>
          <w:sz w:val="20"/>
          <w:szCs w:val="20"/>
        </w:rPr>
      </w:pPr>
    </w:p>
    <w:p w14:paraId="2CFB4954" w14:textId="502EFE23" w:rsidR="00995FDF" w:rsidRDefault="00995FDF" w:rsidP="00704A69">
      <w:pPr>
        <w:autoSpaceDE w:val="0"/>
        <w:autoSpaceDN w:val="0"/>
        <w:adjustRightInd w:val="0"/>
        <w:ind w:firstLine="360"/>
        <w:rPr>
          <w:rFonts w:ascii="Times New Roman" w:hAnsi="Times New Roman" w:cs="Times New Roman"/>
          <w:color w:val="000000"/>
          <w:sz w:val="20"/>
          <w:szCs w:val="20"/>
        </w:rPr>
      </w:pPr>
      <w:r>
        <w:rPr>
          <w:rFonts w:ascii="Times New Roman" w:hAnsi="Times New Roman" w:cs="Times New Roman"/>
          <w:b/>
          <w:bCs/>
          <w:sz w:val="20"/>
          <w:szCs w:val="20"/>
        </w:rPr>
        <w:t xml:space="preserve">  </w:t>
      </w:r>
      <w:r w:rsidRPr="00995FDF">
        <w:rPr>
          <w:rFonts w:ascii="Times New Roman" w:hAnsi="Times New Roman" w:cs="Times New Roman"/>
          <w:color w:val="000000"/>
          <w:sz w:val="20"/>
          <w:szCs w:val="20"/>
        </w:rPr>
        <w:t>Objective-wise findings of the study are summarised in table 9 below:</w:t>
      </w:r>
    </w:p>
    <w:p w14:paraId="35D86FA3" w14:textId="77777777" w:rsidR="00704A69" w:rsidRPr="00704A69" w:rsidRDefault="00704A69" w:rsidP="00704A69">
      <w:pPr>
        <w:autoSpaceDE w:val="0"/>
        <w:autoSpaceDN w:val="0"/>
        <w:adjustRightInd w:val="0"/>
        <w:ind w:firstLine="360"/>
        <w:rPr>
          <w:rFonts w:ascii="Times New Roman" w:hAnsi="Times New Roman" w:cs="Times New Roman"/>
          <w:color w:val="000000"/>
          <w:sz w:val="20"/>
          <w:szCs w:val="20"/>
        </w:rPr>
      </w:pPr>
    </w:p>
    <w:tbl>
      <w:tblPr>
        <w:tblStyle w:val="TableGrid"/>
        <w:tblW w:w="9409" w:type="dxa"/>
        <w:jc w:val="center"/>
        <w:tblLook w:val="04A0" w:firstRow="1" w:lastRow="0" w:firstColumn="1" w:lastColumn="0" w:noHBand="0" w:noVBand="1"/>
      </w:tblPr>
      <w:tblGrid>
        <w:gridCol w:w="3136"/>
        <w:gridCol w:w="2026"/>
        <w:gridCol w:w="4247"/>
      </w:tblGrid>
      <w:tr w:rsidR="00995FDF" w14:paraId="070CBE90" w14:textId="77777777" w:rsidTr="00995FDF">
        <w:trPr>
          <w:trHeight w:val="1096"/>
          <w:jc w:val="center"/>
        </w:trPr>
        <w:tc>
          <w:tcPr>
            <w:tcW w:w="3136" w:type="dxa"/>
          </w:tcPr>
          <w:p w14:paraId="3F38DE47"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bookmarkStart w:id="10" w:name="_Hlk89819419"/>
          </w:p>
          <w:p w14:paraId="03B41D91"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r w:rsidRPr="00995FDF">
              <w:rPr>
                <w:rFonts w:ascii="Times New Roman" w:hAnsi="Times New Roman" w:cs="Times New Roman"/>
                <w:b/>
                <w:bCs/>
                <w:sz w:val="20"/>
                <w:szCs w:val="20"/>
              </w:rPr>
              <w:t>Objectives</w:t>
            </w:r>
          </w:p>
        </w:tc>
        <w:tc>
          <w:tcPr>
            <w:tcW w:w="2026" w:type="dxa"/>
          </w:tcPr>
          <w:p w14:paraId="2FDEFA00"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p>
          <w:p w14:paraId="18299FEE"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r w:rsidRPr="00995FDF">
              <w:rPr>
                <w:rFonts w:ascii="Times New Roman" w:hAnsi="Times New Roman" w:cs="Times New Roman"/>
                <w:b/>
                <w:bCs/>
                <w:sz w:val="20"/>
                <w:szCs w:val="20"/>
              </w:rPr>
              <w:t>Methodology</w:t>
            </w:r>
          </w:p>
        </w:tc>
        <w:tc>
          <w:tcPr>
            <w:tcW w:w="4247" w:type="dxa"/>
          </w:tcPr>
          <w:p w14:paraId="0FE91D58"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p>
          <w:p w14:paraId="7D176F10" w14:textId="77777777" w:rsidR="00995FDF" w:rsidRPr="00995FDF" w:rsidRDefault="00995FDF" w:rsidP="00995FDF">
            <w:pPr>
              <w:autoSpaceDE w:val="0"/>
              <w:autoSpaceDN w:val="0"/>
              <w:adjustRightInd w:val="0"/>
              <w:spacing w:line="360" w:lineRule="auto"/>
              <w:jc w:val="center"/>
              <w:rPr>
                <w:rFonts w:ascii="Times New Roman" w:hAnsi="Times New Roman" w:cs="Times New Roman"/>
                <w:b/>
                <w:bCs/>
                <w:sz w:val="20"/>
                <w:szCs w:val="20"/>
              </w:rPr>
            </w:pPr>
            <w:r w:rsidRPr="00995FDF">
              <w:rPr>
                <w:rFonts w:ascii="Times New Roman" w:hAnsi="Times New Roman" w:cs="Times New Roman"/>
                <w:b/>
                <w:bCs/>
                <w:sz w:val="20"/>
                <w:szCs w:val="20"/>
              </w:rPr>
              <w:t>Findings</w:t>
            </w:r>
          </w:p>
        </w:tc>
      </w:tr>
      <w:tr w:rsidR="00995FDF" w14:paraId="1E472DCB" w14:textId="77777777" w:rsidTr="00995FDF">
        <w:trPr>
          <w:trHeight w:val="1128"/>
          <w:jc w:val="center"/>
        </w:trPr>
        <w:tc>
          <w:tcPr>
            <w:tcW w:w="3136" w:type="dxa"/>
          </w:tcPr>
          <w:p w14:paraId="0EF756A2" w14:textId="77777777" w:rsidR="00995FDF" w:rsidRPr="00704A69" w:rsidRDefault="00995FDF" w:rsidP="00704A69">
            <w:pPr>
              <w:pStyle w:val="Default"/>
              <w:rPr>
                <w:color w:val="auto"/>
                <w:sz w:val="20"/>
                <w:szCs w:val="20"/>
              </w:rPr>
            </w:pPr>
          </w:p>
          <w:p w14:paraId="41C340CB" w14:textId="43FE042A" w:rsidR="00995FDF" w:rsidRPr="00704A69" w:rsidRDefault="00995FDF" w:rsidP="00704A69">
            <w:pPr>
              <w:pStyle w:val="Default"/>
              <w:numPr>
                <w:ilvl w:val="0"/>
                <w:numId w:val="17"/>
              </w:numPr>
              <w:rPr>
                <w:sz w:val="20"/>
                <w:szCs w:val="20"/>
              </w:rPr>
            </w:pPr>
            <w:r w:rsidRPr="00704A69">
              <w:rPr>
                <w:sz w:val="20"/>
                <w:szCs w:val="20"/>
              </w:rPr>
              <w:t>To find out the factors behind behavioural finance of investors</w:t>
            </w:r>
          </w:p>
          <w:p w14:paraId="7A999192" w14:textId="77777777" w:rsidR="00995FDF" w:rsidRPr="00704A69" w:rsidRDefault="00995FDF" w:rsidP="00704A69">
            <w:pPr>
              <w:autoSpaceDE w:val="0"/>
              <w:autoSpaceDN w:val="0"/>
              <w:adjustRightInd w:val="0"/>
              <w:rPr>
                <w:rFonts w:ascii="Times New Roman" w:hAnsi="Times New Roman" w:cs="Times New Roman"/>
                <w:sz w:val="20"/>
                <w:szCs w:val="20"/>
              </w:rPr>
            </w:pPr>
          </w:p>
        </w:tc>
        <w:tc>
          <w:tcPr>
            <w:tcW w:w="2026" w:type="dxa"/>
          </w:tcPr>
          <w:p w14:paraId="70728878" w14:textId="77777777" w:rsidR="00995FDF" w:rsidRPr="00704A69" w:rsidRDefault="00995FDF" w:rsidP="00704A69">
            <w:pPr>
              <w:pStyle w:val="Default"/>
              <w:jc w:val="center"/>
              <w:rPr>
                <w:sz w:val="20"/>
                <w:szCs w:val="20"/>
              </w:rPr>
            </w:pPr>
          </w:p>
          <w:p w14:paraId="74EA5C4D" w14:textId="02F29296" w:rsidR="00995FDF" w:rsidRPr="00704A69" w:rsidRDefault="00995FDF" w:rsidP="00704A69">
            <w:pPr>
              <w:pStyle w:val="Default"/>
              <w:jc w:val="center"/>
              <w:rPr>
                <w:sz w:val="20"/>
                <w:szCs w:val="20"/>
              </w:rPr>
            </w:pPr>
            <w:r w:rsidRPr="00704A69">
              <w:rPr>
                <w:sz w:val="20"/>
                <w:szCs w:val="20"/>
              </w:rPr>
              <w:t>Descriptive method from existing literature</w:t>
            </w:r>
          </w:p>
          <w:p w14:paraId="5DE3E7CA" w14:textId="77777777" w:rsidR="00995FDF" w:rsidRPr="00704A69"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0B4006EE" w14:textId="77777777" w:rsidR="00995FDF" w:rsidRPr="00704A69" w:rsidRDefault="00995FDF" w:rsidP="00704A69">
            <w:pPr>
              <w:pStyle w:val="Default"/>
              <w:rPr>
                <w:color w:val="auto"/>
                <w:sz w:val="20"/>
                <w:szCs w:val="20"/>
              </w:rPr>
            </w:pPr>
          </w:p>
          <w:p w14:paraId="32568412" w14:textId="2EEE2802" w:rsidR="00995FDF" w:rsidRPr="00704A69" w:rsidRDefault="00995FDF" w:rsidP="00704A69">
            <w:pPr>
              <w:pStyle w:val="Default"/>
              <w:numPr>
                <w:ilvl w:val="0"/>
                <w:numId w:val="13"/>
              </w:numPr>
              <w:rPr>
                <w:sz w:val="20"/>
                <w:szCs w:val="20"/>
              </w:rPr>
            </w:pPr>
            <w:r w:rsidRPr="00704A69">
              <w:rPr>
                <w:sz w:val="20"/>
                <w:szCs w:val="20"/>
              </w:rPr>
              <w:t>Major factors are: mental accounting, anchoring, herd behaviour, self-belief on finance, loss aversion &amp; cognitive dissonance.</w:t>
            </w:r>
          </w:p>
          <w:p w14:paraId="3C157570" w14:textId="77777777" w:rsidR="00995FDF" w:rsidRPr="00704A69" w:rsidRDefault="00995FDF" w:rsidP="00704A69">
            <w:pPr>
              <w:autoSpaceDE w:val="0"/>
              <w:autoSpaceDN w:val="0"/>
              <w:adjustRightInd w:val="0"/>
              <w:rPr>
                <w:rFonts w:ascii="Times New Roman" w:hAnsi="Times New Roman" w:cs="Times New Roman"/>
                <w:sz w:val="20"/>
                <w:szCs w:val="20"/>
              </w:rPr>
            </w:pPr>
          </w:p>
        </w:tc>
      </w:tr>
      <w:tr w:rsidR="00995FDF" w14:paraId="65E4FDE9" w14:textId="77777777" w:rsidTr="00995FDF">
        <w:trPr>
          <w:trHeight w:val="1096"/>
          <w:jc w:val="center"/>
        </w:trPr>
        <w:tc>
          <w:tcPr>
            <w:tcW w:w="3136" w:type="dxa"/>
          </w:tcPr>
          <w:p w14:paraId="2BB49200" w14:textId="77777777" w:rsidR="00995FDF" w:rsidRPr="00704A69" w:rsidRDefault="00995FDF" w:rsidP="00704A69">
            <w:pPr>
              <w:pStyle w:val="Default"/>
              <w:rPr>
                <w:color w:val="auto"/>
                <w:sz w:val="20"/>
                <w:szCs w:val="20"/>
              </w:rPr>
            </w:pPr>
          </w:p>
          <w:p w14:paraId="4951C7E4" w14:textId="0181B252" w:rsidR="00995FDF" w:rsidRPr="00704A69" w:rsidRDefault="00995FDF" w:rsidP="00704A69">
            <w:pPr>
              <w:pStyle w:val="Default"/>
              <w:numPr>
                <w:ilvl w:val="0"/>
                <w:numId w:val="17"/>
              </w:numPr>
              <w:rPr>
                <w:sz w:val="20"/>
                <w:szCs w:val="20"/>
              </w:rPr>
            </w:pPr>
            <w:r w:rsidRPr="00704A69">
              <w:rPr>
                <w:sz w:val="20"/>
                <w:szCs w:val="20"/>
              </w:rPr>
              <w:t>To find out the investment percentage in risk free instruments and in risky instruments of the investors and the main reasons behind such decisions</w:t>
            </w:r>
          </w:p>
          <w:p w14:paraId="616E5104" w14:textId="77777777" w:rsidR="00995FDF" w:rsidRPr="00704A69" w:rsidRDefault="00995FDF" w:rsidP="00704A69">
            <w:pPr>
              <w:autoSpaceDE w:val="0"/>
              <w:autoSpaceDN w:val="0"/>
              <w:adjustRightInd w:val="0"/>
              <w:rPr>
                <w:rFonts w:ascii="Times New Roman" w:hAnsi="Times New Roman" w:cs="Times New Roman"/>
                <w:sz w:val="20"/>
                <w:szCs w:val="20"/>
              </w:rPr>
            </w:pPr>
          </w:p>
        </w:tc>
        <w:tc>
          <w:tcPr>
            <w:tcW w:w="2026" w:type="dxa"/>
          </w:tcPr>
          <w:p w14:paraId="6026E277" w14:textId="77777777" w:rsidR="00995FDF" w:rsidRPr="00704A69" w:rsidRDefault="00995FDF" w:rsidP="00704A69">
            <w:pPr>
              <w:pStyle w:val="Default"/>
              <w:jc w:val="center"/>
              <w:rPr>
                <w:sz w:val="20"/>
                <w:szCs w:val="20"/>
              </w:rPr>
            </w:pPr>
          </w:p>
          <w:p w14:paraId="4ECACB2B" w14:textId="77777777" w:rsidR="00995FDF" w:rsidRPr="00704A69" w:rsidRDefault="00995FDF" w:rsidP="00704A69">
            <w:pPr>
              <w:pStyle w:val="Default"/>
              <w:jc w:val="center"/>
              <w:rPr>
                <w:sz w:val="20"/>
                <w:szCs w:val="20"/>
              </w:rPr>
            </w:pPr>
            <w:r w:rsidRPr="00704A69">
              <w:rPr>
                <w:sz w:val="20"/>
                <w:szCs w:val="20"/>
              </w:rPr>
              <w:t>Descriptive statistics and analysis of information collected</w:t>
            </w:r>
          </w:p>
          <w:p w14:paraId="54E10597" w14:textId="77777777" w:rsidR="00995FDF" w:rsidRPr="00704A69"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57A04AF2" w14:textId="77777777" w:rsidR="00995FDF" w:rsidRPr="00704A69" w:rsidRDefault="00995FDF" w:rsidP="00704A69">
            <w:pPr>
              <w:pStyle w:val="Default"/>
              <w:rPr>
                <w:color w:val="auto"/>
                <w:sz w:val="20"/>
                <w:szCs w:val="20"/>
              </w:rPr>
            </w:pPr>
          </w:p>
          <w:p w14:paraId="3B67FEA1" w14:textId="67A292E2" w:rsidR="00995FDF" w:rsidRPr="00704A69" w:rsidRDefault="00995FDF" w:rsidP="00704A69">
            <w:pPr>
              <w:pStyle w:val="Default"/>
              <w:numPr>
                <w:ilvl w:val="0"/>
                <w:numId w:val="13"/>
              </w:numPr>
              <w:rPr>
                <w:sz w:val="20"/>
                <w:szCs w:val="20"/>
              </w:rPr>
            </w:pPr>
            <w:r w:rsidRPr="00704A69">
              <w:rPr>
                <w:sz w:val="20"/>
                <w:szCs w:val="20"/>
              </w:rPr>
              <w:t>74.67 % of the total investments are routed to riskless instruments and 25.33 % in risky instruments.</w:t>
            </w:r>
          </w:p>
          <w:p w14:paraId="1FA042BA" w14:textId="77777777" w:rsidR="00995FDF" w:rsidRPr="00704A69" w:rsidRDefault="00995FDF" w:rsidP="00704A69">
            <w:pPr>
              <w:pStyle w:val="Default"/>
              <w:rPr>
                <w:color w:val="auto"/>
                <w:sz w:val="20"/>
                <w:szCs w:val="20"/>
              </w:rPr>
            </w:pPr>
          </w:p>
          <w:p w14:paraId="622CA40C" w14:textId="62E9D08D" w:rsidR="00995FDF" w:rsidRPr="00704A69" w:rsidRDefault="00995FDF" w:rsidP="00704A69">
            <w:pPr>
              <w:pStyle w:val="Default"/>
              <w:numPr>
                <w:ilvl w:val="0"/>
                <w:numId w:val="13"/>
              </w:numPr>
              <w:rPr>
                <w:sz w:val="20"/>
                <w:szCs w:val="20"/>
              </w:rPr>
            </w:pPr>
            <w:r w:rsidRPr="00704A69">
              <w:rPr>
                <w:sz w:val="20"/>
                <w:szCs w:val="20"/>
              </w:rPr>
              <w:t>30% of the investors invest only in riskless avenues.</w:t>
            </w:r>
          </w:p>
          <w:p w14:paraId="659E4F54" w14:textId="77777777" w:rsidR="00995FDF" w:rsidRPr="00704A69" w:rsidRDefault="00995FDF" w:rsidP="00704A69">
            <w:pPr>
              <w:pStyle w:val="Default"/>
              <w:rPr>
                <w:color w:val="auto"/>
                <w:sz w:val="20"/>
                <w:szCs w:val="20"/>
              </w:rPr>
            </w:pPr>
          </w:p>
          <w:p w14:paraId="055623BC" w14:textId="3EF29E78" w:rsidR="00995FDF" w:rsidRPr="00704A69" w:rsidRDefault="00995FDF" w:rsidP="00704A69">
            <w:pPr>
              <w:pStyle w:val="Default"/>
              <w:numPr>
                <w:ilvl w:val="0"/>
                <w:numId w:val="13"/>
              </w:numPr>
              <w:rPr>
                <w:sz w:val="20"/>
                <w:szCs w:val="20"/>
              </w:rPr>
            </w:pPr>
            <w:r w:rsidRPr="00704A69">
              <w:rPr>
                <w:sz w:val="20"/>
                <w:szCs w:val="20"/>
              </w:rPr>
              <w:t>Assured return even in worst situation is the major motive behind selection of riskless instruments.</w:t>
            </w:r>
          </w:p>
          <w:p w14:paraId="54A58B15" w14:textId="77777777" w:rsidR="00995FDF" w:rsidRPr="00704A69" w:rsidRDefault="00995FDF" w:rsidP="00704A69">
            <w:pPr>
              <w:pStyle w:val="Default"/>
              <w:rPr>
                <w:color w:val="auto"/>
                <w:sz w:val="20"/>
                <w:szCs w:val="20"/>
              </w:rPr>
            </w:pPr>
          </w:p>
          <w:p w14:paraId="6DD58FC6" w14:textId="7CB634FC" w:rsidR="00995FDF" w:rsidRPr="00704A69" w:rsidRDefault="00995FDF" w:rsidP="00704A69">
            <w:pPr>
              <w:pStyle w:val="Default"/>
              <w:numPr>
                <w:ilvl w:val="0"/>
                <w:numId w:val="13"/>
              </w:numPr>
              <w:rPr>
                <w:sz w:val="20"/>
                <w:szCs w:val="20"/>
              </w:rPr>
            </w:pPr>
            <w:r w:rsidRPr="00704A69">
              <w:rPr>
                <w:sz w:val="20"/>
                <w:szCs w:val="20"/>
              </w:rPr>
              <w:t>Most of the selected investors of risky securities invest for getting handsome return in long term.</w:t>
            </w:r>
          </w:p>
          <w:p w14:paraId="34F99564" w14:textId="77777777" w:rsidR="00995FDF" w:rsidRPr="00704A69" w:rsidRDefault="00995FDF" w:rsidP="00704A69">
            <w:pPr>
              <w:pStyle w:val="ListParagraph"/>
              <w:autoSpaceDE w:val="0"/>
              <w:autoSpaceDN w:val="0"/>
              <w:adjustRightInd w:val="0"/>
              <w:rPr>
                <w:rFonts w:ascii="Times New Roman" w:hAnsi="Times New Roman" w:cs="Times New Roman"/>
                <w:sz w:val="20"/>
                <w:szCs w:val="20"/>
              </w:rPr>
            </w:pPr>
          </w:p>
        </w:tc>
      </w:tr>
      <w:tr w:rsidR="00995FDF" w14:paraId="44BFC707" w14:textId="77777777" w:rsidTr="00995FDF">
        <w:trPr>
          <w:trHeight w:val="1096"/>
          <w:jc w:val="center"/>
        </w:trPr>
        <w:tc>
          <w:tcPr>
            <w:tcW w:w="3136" w:type="dxa"/>
          </w:tcPr>
          <w:p w14:paraId="1CEDB2A8" w14:textId="77777777" w:rsidR="00995FDF" w:rsidRPr="00704A69" w:rsidRDefault="00995FDF" w:rsidP="00704A69">
            <w:pPr>
              <w:pStyle w:val="Default"/>
              <w:rPr>
                <w:color w:val="auto"/>
                <w:sz w:val="20"/>
                <w:szCs w:val="20"/>
              </w:rPr>
            </w:pPr>
          </w:p>
          <w:p w14:paraId="65EB96CB" w14:textId="751BAE1D" w:rsidR="00995FDF" w:rsidRPr="00704A69" w:rsidRDefault="00995FDF" w:rsidP="00704A69">
            <w:pPr>
              <w:pStyle w:val="Default"/>
              <w:numPr>
                <w:ilvl w:val="0"/>
                <w:numId w:val="17"/>
              </w:numPr>
              <w:rPr>
                <w:sz w:val="20"/>
                <w:szCs w:val="20"/>
              </w:rPr>
            </w:pPr>
            <w:r w:rsidRPr="00704A69">
              <w:rPr>
                <w:sz w:val="20"/>
                <w:szCs w:val="20"/>
              </w:rPr>
              <w:t>To check whether any difference exists in the proportion of investment in risky securities, on the basis of income of the investors</w:t>
            </w:r>
          </w:p>
          <w:p w14:paraId="1A04D9B1" w14:textId="77777777" w:rsidR="00995FDF" w:rsidRPr="00704A69" w:rsidRDefault="00995FDF" w:rsidP="00704A69">
            <w:pPr>
              <w:autoSpaceDE w:val="0"/>
              <w:autoSpaceDN w:val="0"/>
              <w:adjustRightInd w:val="0"/>
              <w:rPr>
                <w:rFonts w:ascii="Times New Roman" w:hAnsi="Times New Roman" w:cs="Times New Roman"/>
                <w:sz w:val="20"/>
                <w:szCs w:val="20"/>
              </w:rPr>
            </w:pPr>
          </w:p>
        </w:tc>
        <w:tc>
          <w:tcPr>
            <w:tcW w:w="2026" w:type="dxa"/>
          </w:tcPr>
          <w:p w14:paraId="47201D03" w14:textId="77777777" w:rsidR="00995FDF" w:rsidRPr="00704A69" w:rsidRDefault="00995FDF" w:rsidP="00704A69">
            <w:pPr>
              <w:pStyle w:val="Default"/>
              <w:jc w:val="center"/>
              <w:rPr>
                <w:sz w:val="20"/>
                <w:szCs w:val="20"/>
              </w:rPr>
            </w:pPr>
          </w:p>
          <w:p w14:paraId="3605E165" w14:textId="77777777" w:rsidR="00995FDF" w:rsidRPr="00704A69" w:rsidRDefault="00995FDF" w:rsidP="00704A69">
            <w:pPr>
              <w:pStyle w:val="Default"/>
              <w:jc w:val="center"/>
              <w:rPr>
                <w:sz w:val="20"/>
                <w:szCs w:val="20"/>
              </w:rPr>
            </w:pPr>
            <w:r w:rsidRPr="00704A69">
              <w:rPr>
                <w:sz w:val="20"/>
                <w:szCs w:val="20"/>
              </w:rPr>
              <w:t>Descriptive statistics</w:t>
            </w:r>
          </w:p>
          <w:p w14:paraId="1AA4A959" w14:textId="77777777" w:rsidR="00995FDF" w:rsidRPr="00704A69"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3A018403" w14:textId="77777777" w:rsidR="00995FDF" w:rsidRPr="00704A69" w:rsidRDefault="00995FDF" w:rsidP="00704A69">
            <w:pPr>
              <w:pStyle w:val="Default"/>
              <w:rPr>
                <w:color w:val="auto"/>
                <w:sz w:val="20"/>
                <w:szCs w:val="20"/>
              </w:rPr>
            </w:pPr>
          </w:p>
          <w:p w14:paraId="67324845" w14:textId="41F3976E" w:rsidR="00995FDF" w:rsidRPr="00704A69" w:rsidRDefault="00995FDF" w:rsidP="00704A69">
            <w:pPr>
              <w:pStyle w:val="Default"/>
              <w:numPr>
                <w:ilvl w:val="0"/>
                <w:numId w:val="14"/>
              </w:numPr>
              <w:rPr>
                <w:sz w:val="20"/>
                <w:szCs w:val="20"/>
              </w:rPr>
            </w:pPr>
            <w:r w:rsidRPr="00704A69">
              <w:rPr>
                <w:sz w:val="20"/>
                <w:szCs w:val="20"/>
              </w:rPr>
              <w:t>On an average, there is not too much difference between the investors (of two income groups), with respect to their gross pattern of investments in riskless instruments and risky instruments. In fact, these are not too much different from overall average.</w:t>
            </w:r>
          </w:p>
          <w:p w14:paraId="0F0B6F76" w14:textId="77777777" w:rsidR="00995FDF" w:rsidRPr="00704A69" w:rsidRDefault="00995FDF" w:rsidP="00704A69">
            <w:pPr>
              <w:autoSpaceDE w:val="0"/>
              <w:autoSpaceDN w:val="0"/>
              <w:adjustRightInd w:val="0"/>
              <w:rPr>
                <w:rFonts w:ascii="Times New Roman" w:hAnsi="Times New Roman" w:cs="Times New Roman"/>
                <w:sz w:val="20"/>
                <w:szCs w:val="20"/>
              </w:rPr>
            </w:pPr>
          </w:p>
        </w:tc>
      </w:tr>
      <w:tr w:rsidR="00995FDF" w14:paraId="71C207F1" w14:textId="77777777" w:rsidTr="00995FDF">
        <w:trPr>
          <w:trHeight w:val="4188"/>
          <w:jc w:val="center"/>
        </w:trPr>
        <w:tc>
          <w:tcPr>
            <w:tcW w:w="3136" w:type="dxa"/>
            <w:vMerge w:val="restart"/>
          </w:tcPr>
          <w:p w14:paraId="0C432420" w14:textId="77777777" w:rsidR="00995FDF" w:rsidRPr="00704A69" w:rsidRDefault="00995FDF" w:rsidP="00704A69">
            <w:pPr>
              <w:pStyle w:val="Default"/>
              <w:rPr>
                <w:color w:val="auto"/>
                <w:sz w:val="20"/>
                <w:szCs w:val="20"/>
              </w:rPr>
            </w:pPr>
          </w:p>
          <w:p w14:paraId="06CD852B" w14:textId="39052B68" w:rsidR="00995FDF" w:rsidRPr="00704A69" w:rsidRDefault="00995FDF" w:rsidP="00704A69">
            <w:pPr>
              <w:pStyle w:val="Default"/>
              <w:numPr>
                <w:ilvl w:val="0"/>
                <w:numId w:val="17"/>
              </w:numPr>
              <w:rPr>
                <w:sz w:val="20"/>
                <w:szCs w:val="20"/>
              </w:rPr>
            </w:pPr>
            <w:r w:rsidRPr="00704A69">
              <w:rPr>
                <w:sz w:val="20"/>
                <w:szCs w:val="20"/>
              </w:rPr>
              <w:t>To check whether any difference exists in the proportion of investment in risky securities, on the basis of age of the investors</w:t>
            </w:r>
          </w:p>
          <w:p w14:paraId="157A762D" w14:textId="77777777" w:rsidR="00995FDF" w:rsidRPr="00704A69" w:rsidRDefault="00995FDF" w:rsidP="00704A69">
            <w:pPr>
              <w:autoSpaceDE w:val="0"/>
              <w:autoSpaceDN w:val="0"/>
              <w:adjustRightInd w:val="0"/>
              <w:rPr>
                <w:rFonts w:ascii="Times New Roman" w:hAnsi="Times New Roman" w:cs="Times New Roman"/>
                <w:sz w:val="20"/>
                <w:szCs w:val="20"/>
              </w:rPr>
            </w:pPr>
          </w:p>
        </w:tc>
        <w:tc>
          <w:tcPr>
            <w:tcW w:w="2026" w:type="dxa"/>
          </w:tcPr>
          <w:p w14:paraId="16144EA1" w14:textId="77777777" w:rsidR="00995FDF" w:rsidRPr="00704A69" w:rsidRDefault="00995FDF" w:rsidP="00704A69">
            <w:pPr>
              <w:pStyle w:val="Default"/>
              <w:jc w:val="center"/>
              <w:rPr>
                <w:sz w:val="20"/>
                <w:szCs w:val="20"/>
              </w:rPr>
            </w:pPr>
          </w:p>
          <w:p w14:paraId="24192565" w14:textId="77777777" w:rsidR="00995FDF" w:rsidRPr="00704A69" w:rsidRDefault="00995FDF" w:rsidP="00704A69">
            <w:pPr>
              <w:pStyle w:val="Default"/>
              <w:jc w:val="center"/>
              <w:rPr>
                <w:sz w:val="20"/>
                <w:szCs w:val="20"/>
              </w:rPr>
            </w:pPr>
            <w:r w:rsidRPr="00704A69">
              <w:rPr>
                <w:sz w:val="20"/>
                <w:szCs w:val="20"/>
              </w:rPr>
              <w:t>Descriptive statistics</w:t>
            </w:r>
          </w:p>
          <w:p w14:paraId="73BC624A" w14:textId="77777777" w:rsidR="00995FDF" w:rsidRPr="00704A69"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1D139F7B" w14:textId="77777777" w:rsidR="00995FDF" w:rsidRPr="00704A69" w:rsidRDefault="00995FDF" w:rsidP="00704A69">
            <w:pPr>
              <w:pStyle w:val="Default"/>
              <w:rPr>
                <w:color w:val="auto"/>
                <w:sz w:val="20"/>
                <w:szCs w:val="20"/>
              </w:rPr>
            </w:pPr>
          </w:p>
          <w:p w14:paraId="14D9E90F" w14:textId="165F0375" w:rsidR="00995FDF" w:rsidRPr="00704A69" w:rsidRDefault="00995FDF" w:rsidP="00704A69">
            <w:pPr>
              <w:pStyle w:val="Default"/>
              <w:numPr>
                <w:ilvl w:val="0"/>
                <w:numId w:val="14"/>
              </w:numPr>
              <w:rPr>
                <w:sz w:val="20"/>
                <w:szCs w:val="20"/>
              </w:rPr>
            </w:pPr>
            <w:r w:rsidRPr="00704A69">
              <w:rPr>
                <w:sz w:val="20"/>
                <w:szCs w:val="20"/>
              </w:rPr>
              <w:t>72.69 % of the total investments of the investors of age group ‘below 45 years’ are routed to riskless instruments and rest 27.31% in risky instruments. This is slightly different from the overall average.</w:t>
            </w:r>
          </w:p>
          <w:p w14:paraId="06CEA0D8" w14:textId="77777777" w:rsidR="00995FDF" w:rsidRPr="00704A69" w:rsidRDefault="00995FDF" w:rsidP="00704A69">
            <w:pPr>
              <w:pStyle w:val="Default"/>
              <w:rPr>
                <w:color w:val="auto"/>
                <w:sz w:val="20"/>
                <w:szCs w:val="20"/>
              </w:rPr>
            </w:pPr>
          </w:p>
          <w:p w14:paraId="3FFD4161" w14:textId="56146EB4" w:rsidR="00995FDF" w:rsidRPr="00704A69" w:rsidRDefault="00995FDF" w:rsidP="00704A69">
            <w:pPr>
              <w:pStyle w:val="Default"/>
              <w:numPr>
                <w:ilvl w:val="0"/>
                <w:numId w:val="14"/>
              </w:numPr>
              <w:rPr>
                <w:sz w:val="20"/>
                <w:szCs w:val="20"/>
              </w:rPr>
            </w:pPr>
            <w:r w:rsidRPr="00704A69">
              <w:rPr>
                <w:sz w:val="20"/>
                <w:szCs w:val="20"/>
              </w:rPr>
              <w:t>84% of the total investments of the investors of age group of ‘45 years and above’ are routed to riskless instruments and rest 16% in risky instruments. This is somewhat different from that of age group of ‘below 45 years’ and overall average. T-test is conducted to test the significance of the difference.</w:t>
            </w:r>
          </w:p>
        </w:tc>
      </w:tr>
      <w:tr w:rsidR="00995FDF" w14:paraId="7497A0A6" w14:textId="77777777" w:rsidTr="00995FDF">
        <w:trPr>
          <w:trHeight w:val="768"/>
          <w:jc w:val="center"/>
        </w:trPr>
        <w:tc>
          <w:tcPr>
            <w:tcW w:w="3136" w:type="dxa"/>
            <w:vMerge/>
          </w:tcPr>
          <w:p w14:paraId="3BB7A35C" w14:textId="77777777" w:rsidR="00995FDF" w:rsidRPr="00704A69" w:rsidRDefault="00995FDF" w:rsidP="00704A69">
            <w:pPr>
              <w:pStyle w:val="Default"/>
              <w:rPr>
                <w:color w:val="auto"/>
                <w:sz w:val="20"/>
                <w:szCs w:val="20"/>
              </w:rPr>
            </w:pPr>
          </w:p>
        </w:tc>
        <w:tc>
          <w:tcPr>
            <w:tcW w:w="2026" w:type="dxa"/>
          </w:tcPr>
          <w:p w14:paraId="0F02CF2D" w14:textId="77777777" w:rsidR="00995FDF" w:rsidRPr="00704A69" w:rsidRDefault="00995FDF" w:rsidP="00704A69">
            <w:pPr>
              <w:pStyle w:val="Default"/>
              <w:jc w:val="center"/>
              <w:rPr>
                <w:sz w:val="20"/>
                <w:szCs w:val="20"/>
              </w:rPr>
            </w:pPr>
          </w:p>
          <w:p w14:paraId="79D2A126" w14:textId="77777777" w:rsidR="00995FDF" w:rsidRPr="00704A69" w:rsidRDefault="00995FDF" w:rsidP="00704A69">
            <w:pPr>
              <w:pStyle w:val="Default"/>
              <w:jc w:val="center"/>
              <w:rPr>
                <w:sz w:val="20"/>
                <w:szCs w:val="20"/>
              </w:rPr>
            </w:pPr>
            <w:r w:rsidRPr="00704A69">
              <w:rPr>
                <w:sz w:val="20"/>
                <w:szCs w:val="20"/>
              </w:rPr>
              <w:t>t-test</w:t>
            </w:r>
          </w:p>
          <w:p w14:paraId="207D2AAA" w14:textId="77777777" w:rsidR="00995FDF" w:rsidRPr="00704A69"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7CDA78F9" w14:textId="77777777" w:rsidR="00995FDF" w:rsidRPr="00704A69" w:rsidRDefault="00995FDF" w:rsidP="00704A69">
            <w:pPr>
              <w:pStyle w:val="Default"/>
              <w:rPr>
                <w:color w:val="auto"/>
                <w:sz w:val="20"/>
                <w:szCs w:val="20"/>
              </w:rPr>
            </w:pPr>
          </w:p>
          <w:p w14:paraId="645FD1A8" w14:textId="68E7C901" w:rsidR="00995FDF" w:rsidRPr="00704A69" w:rsidRDefault="00995FDF" w:rsidP="00704A69">
            <w:pPr>
              <w:pStyle w:val="Default"/>
              <w:numPr>
                <w:ilvl w:val="0"/>
                <w:numId w:val="15"/>
              </w:numPr>
              <w:ind w:left="360"/>
              <w:rPr>
                <w:sz w:val="20"/>
                <w:szCs w:val="20"/>
              </w:rPr>
            </w:pPr>
            <w:r w:rsidRPr="00704A69">
              <w:rPr>
                <w:sz w:val="20"/>
                <w:szCs w:val="20"/>
              </w:rPr>
              <w:t>Significant difference exists between investment proportion in risky instruments among the investors of age group of ‘below 45 years’ and ‘45 years and above’.</w:t>
            </w:r>
          </w:p>
          <w:p w14:paraId="4AFAF4C5" w14:textId="77777777" w:rsidR="00995FDF" w:rsidRPr="00704A69" w:rsidRDefault="00995FDF" w:rsidP="00704A69">
            <w:pPr>
              <w:pStyle w:val="Default"/>
              <w:ind w:left="360"/>
              <w:rPr>
                <w:sz w:val="20"/>
                <w:szCs w:val="20"/>
              </w:rPr>
            </w:pPr>
          </w:p>
          <w:p w14:paraId="188D0222" w14:textId="77777777" w:rsidR="00995FDF" w:rsidRPr="00704A69" w:rsidRDefault="00995FDF" w:rsidP="00704A69">
            <w:pPr>
              <w:autoSpaceDE w:val="0"/>
              <w:autoSpaceDN w:val="0"/>
              <w:adjustRightInd w:val="0"/>
              <w:rPr>
                <w:rFonts w:ascii="Times New Roman" w:hAnsi="Times New Roman" w:cs="Times New Roman"/>
                <w:sz w:val="20"/>
                <w:szCs w:val="20"/>
              </w:rPr>
            </w:pPr>
          </w:p>
        </w:tc>
      </w:tr>
      <w:tr w:rsidR="00995FDF" w14:paraId="5E9A1AE7" w14:textId="77777777" w:rsidTr="00995FDF">
        <w:trPr>
          <w:trHeight w:val="1096"/>
          <w:jc w:val="center"/>
        </w:trPr>
        <w:tc>
          <w:tcPr>
            <w:tcW w:w="3136" w:type="dxa"/>
          </w:tcPr>
          <w:p w14:paraId="77FAF963" w14:textId="77777777" w:rsidR="00995FDF" w:rsidRPr="00995FDF" w:rsidRDefault="00995FDF" w:rsidP="00704A69">
            <w:pPr>
              <w:pStyle w:val="Default"/>
              <w:rPr>
                <w:color w:val="auto"/>
                <w:sz w:val="20"/>
                <w:szCs w:val="20"/>
              </w:rPr>
            </w:pPr>
          </w:p>
          <w:p w14:paraId="723E392E" w14:textId="1F170E7F" w:rsidR="00995FDF" w:rsidRPr="00995FDF" w:rsidRDefault="00995FDF" w:rsidP="00704A69">
            <w:pPr>
              <w:pStyle w:val="Default"/>
              <w:numPr>
                <w:ilvl w:val="0"/>
                <w:numId w:val="17"/>
              </w:numPr>
              <w:rPr>
                <w:sz w:val="20"/>
                <w:szCs w:val="20"/>
              </w:rPr>
            </w:pPr>
            <w:r w:rsidRPr="00995FDF">
              <w:rPr>
                <w:sz w:val="20"/>
                <w:szCs w:val="20"/>
              </w:rPr>
              <w:t>To find out any intra group (age-wise and income-wise) differences in the proportion of investment in risky securities, on the basis of income of the investors</w:t>
            </w:r>
          </w:p>
          <w:p w14:paraId="5824A168" w14:textId="77777777" w:rsidR="00995FDF" w:rsidRPr="00995FDF" w:rsidRDefault="00995FDF" w:rsidP="00704A69">
            <w:pPr>
              <w:autoSpaceDE w:val="0"/>
              <w:autoSpaceDN w:val="0"/>
              <w:adjustRightInd w:val="0"/>
              <w:rPr>
                <w:rFonts w:ascii="Times New Roman" w:hAnsi="Times New Roman" w:cs="Times New Roman"/>
                <w:sz w:val="20"/>
                <w:szCs w:val="20"/>
              </w:rPr>
            </w:pPr>
          </w:p>
        </w:tc>
        <w:tc>
          <w:tcPr>
            <w:tcW w:w="2026" w:type="dxa"/>
          </w:tcPr>
          <w:p w14:paraId="1050EAD3" w14:textId="5293DD86" w:rsidR="00995FDF" w:rsidRPr="00995FDF" w:rsidRDefault="00995FDF" w:rsidP="00704A69">
            <w:pPr>
              <w:pStyle w:val="Default"/>
              <w:jc w:val="center"/>
              <w:rPr>
                <w:sz w:val="20"/>
                <w:szCs w:val="20"/>
              </w:rPr>
            </w:pPr>
          </w:p>
          <w:p w14:paraId="0B4D648A" w14:textId="77777777" w:rsidR="00995FDF" w:rsidRPr="00995FDF" w:rsidRDefault="00995FDF" w:rsidP="00704A69">
            <w:pPr>
              <w:pStyle w:val="Default"/>
              <w:jc w:val="center"/>
              <w:rPr>
                <w:sz w:val="20"/>
                <w:szCs w:val="20"/>
              </w:rPr>
            </w:pPr>
            <w:r w:rsidRPr="00995FDF">
              <w:rPr>
                <w:sz w:val="20"/>
                <w:szCs w:val="20"/>
              </w:rPr>
              <w:t>t-test</w:t>
            </w:r>
          </w:p>
          <w:p w14:paraId="3316CB57" w14:textId="77777777" w:rsidR="00995FDF" w:rsidRPr="00995FDF" w:rsidRDefault="00995FDF" w:rsidP="00704A69">
            <w:pPr>
              <w:autoSpaceDE w:val="0"/>
              <w:autoSpaceDN w:val="0"/>
              <w:adjustRightInd w:val="0"/>
              <w:jc w:val="center"/>
              <w:rPr>
                <w:rFonts w:ascii="Times New Roman" w:hAnsi="Times New Roman" w:cs="Times New Roman"/>
                <w:sz w:val="20"/>
                <w:szCs w:val="20"/>
              </w:rPr>
            </w:pPr>
          </w:p>
        </w:tc>
        <w:tc>
          <w:tcPr>
            <w:tcW w:w="4247" w:type="dxa"/>
          </w:tcPr>
          <w:p w14:paraId="0C838DD8" w14:textId="77777777" w:rsidR="00995FDF" w:rsidRPr="00995FDF" w:rsidRDefault="00995FDF" w:rsidP="00704A69">
            <w:pPr>
              <w:pStyle w:val="Default"/>
              <w:rPr>
                <w:color w:val="auto"/>
                <w:sz w:val="20"/>
                <w:szCs w:val="20"/>
              </w:rPr>
            </w:pPr>
          </w:p>
          <w:p w14:paraId="2DE544A7" w14:textId="0DA65126" w:rsidR="00995FDF" w:rsidRPr="00995FDF" w:rsidRDefault="00995FDF" w:rsidP="00704A69">
            <w:pPr>
              <w:pStyle w:val="Default"/>
              <w:numPr>
                <w:ilvl w:val="0"/>
                <w:numId w:val="15"/>
              </w:numPr>
              <w:ind w:left="360"/>
              <w:rPr>
                <w:sz w:val="20"/>
                <w:szCs w:val="20"/>
              </w:rPr>
            </w:pPr>
            <w:r w:rsidRPr="00995FDF">
              <w:rPr>
                <w:sz w:val="20"/>
                <w:szCs w:val="20"/>
              </w:rPr>
              <w:t>Significant difference exists between investment proportion in risky instruments among the investors of age group of ‘below 45 years’ and ‘45 years and above’ falling within the income group of ‘Rs. 7,50,000 or more’.</w:t>
            </w:r>
          </w:p>
          <w:p w14:paraId="4F878273" w14:textId="77777777" w:rsidR="00995FDF" w:rsidRPr="00995FDF" w:rsidRDefault="00995FDF" w:rsidP="00704A69">
            <w:pPr>
              <w:pStyle w:val="Default"/>
              <w:rPr>
                <w:color w:val="auto"/>
                <w:sz w:val="20"/>
                <w:szCs w:val="20"/>
              </w:rPr>
            </w:pPr>
          </w:p>
          <w:p w14:paraId="1CA45012" w14:textId="4083CEC2" w:rsidR="00995FDF" w:rsidRPr="00995FDF" w:rsidRDefault="00995FDF" w:rsidP="00704A69">
            <w:pPr>
              <w:pStyle w:val="Default"/>
              <w:numPr>
                <w:ilvl w:val="0"/>
                <w:numId w:val="15"/>
              </w:numPr>
              <w:ind w:left="360"/>
              <w:rPr>
                <w:sz w:val="20"/>
                <w:szCs w:val="20"/>
              </w:rPr>
            </w:pPr>
            <w:r w:rsidRPr="00995FDF">
              <w:rPr>
                <w:sz w:val="20"/>
                <w:szCs w:val="20"/>
              </w:rPr>
              <w:t>Percentage of total investments in risky instruments decreases with the increase in age.</w:t>
            </w:r>
          </w:p>
          <w:p w14:paraId="66A0714B" w14:textId="77777777" w:rsidR="00995FDF" w:rsidRPr="00995FDF" w:rsidRDefault="00995FDF" w:rsidP="00704A69">
            <w:pPr>
              <w:pStyle w:val="Default"/>
              <w:ind w:left="360"/>
              <w:rPr>
                <w:sz w:val="20"/>
                <w:szCs w:val="20"/>
              </w:rPr>
            </w:pPr>
          </w:p>
          <w:p w14:paraId="34273146" w14:textId="77777777" w:rsidR="00995FDF" w:rsidRPr="00995FDF" w:rsidRDefault="00995FDF" w:rsidP="00704A69">
            <w:pPr>
              <w:autoSpaceDE w:val="0"/>
              <w:autoSpaceDN w:val="0"/>
              <w:adjustRightInd w:val="0"/>
              <w:rPr>
                <w:rFonts w:ascii="Times New Roman" w:hAnsi="Times New Roman" w:cs="Times New Roman"/>
                <w:sz w:val="20"/>
                <w:szCs w:val="20"/>
              </w:rPr>
            </w:pPr>
          </w:p>
        </w:tc>
      </w:tr>
      <w:bookmarkEnd w:id="10"/>
    </w:tbl>
    <w:p w14:paraId="301F13D3" w14:textId="045630D1" w:rsidR="00995FDF" w:rsidRPr="00995FDF" w:rsidRDefault="00995FDF" w:rsidP="00995FDF">
      <w:pPr>
        <w:ind w:left="360"/>
        <w:rPr>
          <w:rFonts w:ascii="Times New Roman" w:hAnsi="Times New Roman" w:cs="Times New Roman"/>
          <w:b/>
          <w:bCs/>
          <w:sz w:val="20"/>
          <w:szCs w:val="20"/>
        </w:rPr>
      </w:pPr>
    </w:p>
    <w:p w14:paraId="44D9B681" w14:textId="033213FB" w:rsidR="00C023BB" w:rsidRDefault="00C023BB" w:rsidP="00C023BB">
      <w:pPr>
        <w:rPr>
          <w:rFonts w:ascii="Times New Roman" w:hAnsi="Times New Roman" w:cs="Times New Roman"/>
          <w:sz w:val="20"/>
          <w:szCs w:val="20"/>
        </w:rPr>
      </w:pPr>
    </w:p>
    <w:p w14:paraId="33353CC1" w14:textId="655AC0D0" w:rsidR="00704A69" w:rsidRDefault="00704A69" w:rsidP="00704A69">
      <w:pPr>
        <w:pStyle w:val="ListParagraph"/>
        <w:numPr>
          <w:ilvl w:val="0"/>
          <w:numId w:val="1"/>
        </w:numPr>
        <w:jc w:val="center"/>
        <w:rPr>
          <w:rFonts w:ascii="Times New Roman" w:hAnsi="Times New Roman" w:cs="Times New Roman"/>
          <w:b/>
          <w:bCs/>
          <w:sz w:val="20"/>
          <w:szCs w:val="20"/>
        </w:rPr>
      </w:pPr>
      <w:r w:rsidRPr="00704A69">
        <w:rPr>
          <w:rFonts w:ascii="Times New Roman" w:hAnsi="Times New Roman" w:cs="Times New Roman"/>
          <w:b/>
          <w:bCs/>
          <w:sz w:val="20"/>
          <w:szCs w:val="20"/>
        </w:rPr>
        <w:t>LIMITATIONS OF THE STUDY</w:t>
      </w:r>
    </w:p>
    <w:p w14:paraId="10DF8D8A" w14:textId="77777777" w:rsidR="00E70B09" w:rsidRDefault="00E70B09" w:rsidP="00704A69">
      <w:pPr>
        <w:autoSpaceDE w:val="0"/>
        <w:autoSpaceDN w:val="0"/>
        <w:adjustRightInd w:val="0"/>
        <w:spacing w:line="360" w:lineRule="auto"/>
        <w:rPr>
          <w:rFonts w:ascii="Times New Roman" w:hAnsi="Times New Roman" w:cs="Times New Roman"/>
          <w:b/>
          <w:bCs/>
          <w:sz w:val="20"/>
          <w:szCs w:val="20"/>
        </w:rPr>
      </w:pPr>
    </w:p>
    <w:p w14:paraId="36934BED" w14:textId="73A46C15" w:rsidR="00704A69" w:rsidRDefault="00E70B09" w:rsidP="00E70B09">
      <w:pPr>
        <w:autoSpaceDE w:val="0"/>
        <w:autoSpaceDN w:val="0"/>
        <w:adjustRightInd w:val="0"/>
        <w:ind w:firstLine="360"/>
        <w:rPr>
          <w:rFonts w:ascii="Times New Roman" w:hAnsi="Times New Roman" w:cs="Times New Roman"/>
          <w:sz w:val="20"/>
          <w:szCs w:val="20"/>
        </w:rPr>
      </w:pPr>
      <w:r>
        <w:rPr>
          <w:rFonts w:ascii="Times New Roman" w:hAnsi="Times New Roman" w:cs="Times New Roman"/>
          <w:b/>
          <w:bCs/>
          <w:sz w:val="20"/>
          <w:szCs w:val="20"/>
        </w:rPr>
        <w:t xml:space="preserve"> </w:t>
      </w:r>
      <w:r w:rsidR="00704A69">
        <w:rPr>
          <w:rFonts w:ascii="Times New Roman" w:hAnsi="Times New Roman" w:cs="Times New Roman"/>
          <w:b/>
          <w:bCs/>
          <w:sz w:val="20"/>
          <w:szCs w:val="20"/>
        </w:rPr>
        <w:t xml:space="preserve"> </w:t>
      </w:r>
      <w:r w:rsidR="00704A69" w:rsidRPr="00E70B09">
        <w:rPr>
          <w:rFonts w:ascii="Times New Roman" w:hAnsi="Times New Roman" w:cs="Times New Roman"/>
          <w:sz w:val="20"/>
          <w:szCs w:val="20"/>
        </w:rPr>
        <w:t xml:space="preserve">Every research has its own limitations. While going through the depth of </w:t>
      </w:r>
      <w:r w:rsidR="006F5062" w:rsidRPr="00E70B09">
        <w:rPr>
          <w:rFonts w:ascii="Times New Roman" w:hAnsi="Times New Roman" w:cs="Times New Roman"/>
          <w:sz w:val="20"/>
          <w:szCs w:val="20"/>
        </w:rPr>
        <w:t>this</w:t>
      </w:r>
      <w:r w:rsidR="00704A69" w:rsidRPr="00E70B09">
        <w:rPr>
          <w:rFonts w:ascii="Times New Roman" w:hAnsi="Times New Roman" w:cs="Times New Roman"/>
          <w:sz w:val="20"/>
          <w:szCs w:val="20"/>
        </w:rPr>
        <w:t xml:space="preserve"> research, </w:t>
      </w:r>
      <w:r w:rsidR="006F5062" w:rsidRPr="00E70B09">
        <w:rPr>
          <w:rFonts w:ascii="Times New Roman" w:hAnsi="Times New Roman" w:cs="Times New Roman"/>
          <w:sz w:val="20"/>
          <w:szCs w:val="20"/>
        </w:rPr>
        <w:t>it has been</w:t>
      </w:r>
      <w:r w:rsidR="00704A69" w:rsidRPr="00E70B09">
        <w:rPr>
          <w:rFonts w:ascii="Times New Roman" w:hAnsi="Times New Roman" w:cs="Times New Roman"/>
          <w:sz w:val="20"/>
          <w:szCs w:val="20"/>
        </w:rPr>
        <w:t xml:space="preserve"> found</w:t>
      </w:r>
      <w:r w:rsidR="006F5062" w:rsidRPr="00E70B09">
        <w:rPr>
          <w:rFonts w:ascii="Times New Roman" w:hAnsi="Times New Roman" w:cs="Times New Roman"/>
          <w:sz w:val="20"/>
          <w:szCs w:val="20"/>
        </w:rPr>
        <w:t xml:space="preserve"> that</w:t>
      </w:r>
      <w:r w:rsidR="00704A69" w:rsidRPr="00E70B09">
        <w:rPr>
          <w:rFonts w:ascii="Times New Roman" w:hAnsi="Times New Roman" w:cs="Times New Roman"/>
          <w:sz w:val="20"/>
          <w:szCs w:val="20"/>
        </w:rPr>
        <w:t xml:space="preserve"> few things which c</w:t>
      </w:r>
      <w:r w:rsidR="006F5062" w:rsidRPr="00E70B09">
        <w:rPr>
          <w:rFonts w:ascii="Times New Roman" w:hAnsi="Times New Roman" w:cs="Times New Roman"/>
          <w:sz w:val="20"/>
          <w:szCs w:val="20"/>
        </w:rPr>
        <w:t>an’t</w:t>
      </w:r>
      <w:r w:rsidR="00704A69" w:rsidRPr="00E70B09">
        <w:rPr>
          <w:rFonts w:ascii="Times New Roman" w:hAnsi="Times New Roman" w:cs="Times New Roman"/>
          <w:sz w:val="20"/>
          <w:szCs w:val="20"/>
        </w:rPr>
        <w:t xml:space="preserve"> be explained and analysed in a different prospective and also it may be possible </w:t>
      </w:r>
      <w:r w:rsidR="006F5062" w:rsidRPr="00E70B09">
        <w:rPr>
          <w:rFonts w:ascii="Times New Roman" w:hAnsi="Times New Roman" w:cs="Times New Roman"/>
          <w:sz w:val="20"/>
          <w:szCs w:val="20"/>
        </w:rPr>
        <w:t xml:space="preserve">of </w:t>
      </w:r>
      <w:r w:rsidR="00704A69" w:rsidRPr="00E70B09">
        <w:rPr>
          <w:rFonts w:ascii="Times New Roman" w:hAnsi="Times New Roman" w:cs="Times New Roman"/>
          <w:sz w:val="20"/>
          <w:szCs w:val="20"/>
        </w:rPr>
        <w:t>get</w:t>
      </w:r>
      <w:r w:rsidR="006F5062" w:rsidRPr="00E70B09">
        <w:rPr>
          <w:rFonts w:ascii="Times New Roman" w:hAnsi="Times New Roman" w:cs="Times New Roman"/>
          <w:sz w:val="20"/>
          <w:szCs w:val="20"/>
        </w:rPr>
        <w:t>ting</w:t>
      </w:r>
      <w:r w:rsidR="00704A69" w:rsidRPr="00E70B09">
        <w:rPr>
          <w:rFonts w:ascii="Times New Roman" w:hAnsi="Times New Roman" w:cs="Times New Roman"/>
          <w:sz w:val="20"/>
          <w:szCs w:val="20"/>
        </w:rPr>
        <w:t xml:space="preserve"> different outcomes. Also, due to </w:t>
      </w:r>
      <w:r w:rsidR="006F5062" w:rsidRPr="00E70B09">
        <w:rPr>
          <w:rFonts w:ascii="Times New Roman" w:hAnsi="Times New Roman" w:cs="Times New Roman"/>
          <w:sz w:val="20"/>
          <w:szCs w:val="20"/>
        </w:rPr>
        <w:t>due to several constraints</w:t>
      </w:r>
      <w:r w:rsidR="00704A69" w:rsidRPr="00E70B09">
        <w:rPr>
          <w:rFonts w:ascii="Times New Roman" w:hAnsi="Times New Roman" w:cs="Times New Roman"/>
          <w:sz w:val="20"/>
          <w:szCs w:val="20"/>
        </w:rPr>
        <w:t xml:space="preserve">, it becomes difficult to prepare </w:t>
      </w:r>
      <w:r w:rsidR="006F5062" w:rsidRPr="00E70B09">
        <w:rPr>
          <w:rFonts w:ascii="Times New Roman" w:hAnsi="Times New Roman" w:cs="Times New Roman"/>
          <w:sz w:val="20"/>
          <w:szCs w:val="20"/>
        </w:rPr>
        <w:t xml:space="preserve">this research paper a </w:t>
      </w:r>
      <w:r w:rsidR="00704A69" w:rsidRPr="00E70B09">
        <w:rPr>
          <w:rFonts w:ascii="Times New Roman" w:hAnsi="Times New Roman" w:cs="Times New Roman"/>
          <w:sz w:val="20"/>
          <w:szCs w:val="20"/>
        </w:rPr>
        <w:t xml:space="preserve">biased free. If </w:t>
      </w:r>
      <w:r w:rsidR="006F5062" w:rsidRPr="00E70B09">
        <w:rPr>
          <w:rFonts w:ascii="Times New Roman" w:hAnsi="Times New Roman" w:cs="Times New Roman"/>
          <w:sz w:val="20"/>
          <w:szCs w:val="20"/>
        </w:rPr>
        <w:t>there is a pre-pandemic situation</w:t>
      </w:r>
      <w:r w:rsidR="00704A69" w:rsidRPr="00E70B09">
        <w:rPr>
          <w:rFonts w:ascii="Times New Roman" w:hAnsi="Times New Roman" w:cs="Times New Roman"/>
          <w:sz w:val="20"/>
          <w:szCs w:val="20"/>
        </w:rPr>
        <w:t>,</w:t>
      </w:r>
      <w:r w:rsidR="006F5062" w:rsidRPr="00E70B09">
        <w:rPr>
          <w:rFonts w:ascii="Times New Roman" w:hAnsi="Times New Roman" w:cs="Times New Roman"/>
          <w:sz w:val="20"/>
          <w:szCs w:val="20"/>
        </w:rPr>
        <w:t xml:space="preserve"> then, total research</w:t>
      </w:r>
      <w:r w:rsidR="00704A69" w:rsidRPr="00E70B09">
        <w:rPr>
          <w:rFonts w:ascii="Times New Roman" w:hAnsi="Times New Roman" w:cs="Times New Roman"/>
          <w:sz w:val="20"/>
          <w:szCs w:val="20"/>
        </w:rPr>
        <w:t xml:space="preserve"> work which </w:t>
      </w:r>
      <w:r w:rsidR="006F5062" w:rsidRPr="00E70B09">
        <w:rPr>
          <w:rFonts w:ascii="Times New Roman" w:hAnsi="Times New Roman" w:cs="Times New Roman"/>
          <w:sz w:val="20"/>
          <w:szCs w:val="20"/>
        </w:rPr>
        <w:t>has been</w:t>
      </w:r>
      <w:r w:rsidR="00704A69" w:rsidRPr="00E70B09">
        <w:rPr>
          <w:rFonts w:ascii="Times New Roman" w:hAnsi="Times New Roman" w:cs="Times New Roman"/>
          <w:sz w:val="20"/>
          <w:szCs w:val="20"/>
        </w:rPr>
        <w:t xml:space="preserve"> conducted could have been extended further and would have been experimented further. Given this, the limitations of </w:t>
      </w:r>
      <w:r w:rsidR="006F5062" w:rsidRPr="00E70B09">
        <w:rPr>
          <w:rFonts w:ascii="Times New Roman" w:hAnsi="Times New Roman" w:cs="Times New Roman"/>
          <w:sz w:val="20"/>
          <w:szCs w:val="20"/>
        </w:rPr>
        <w:t>this</w:t>
      </w:r>
      <w:r w:rsidR="00704A69" w:rsidRPr="00E70B09">
        <w:rPr>
          <w:rFonts w:ascii="Times New Roman" w:hAnsi="Times New Roman" w:cs="Times New Roman"/>
          <w:sz w:val="20"/>
          <w:szCs w:val="20"/>
        </w:rPr>
        <w:t xml:space="preserve"> studies are: </w:t>
      </w:r>
    </w:p>
    <w:p w14:paraId="05D35373" w14:textId="77777777" w:rsidR="00E70B09" w:rsidRPr="00E70B09" w:rsidRDefault="00E70B09" w:rsidP="00E70B09">
      <w:pPr>
        <w:autoSpaceDE w:val="0"/>
        <w:autoSpaceDN w:val="0"/>
        <w:adjustRightInd w:val="0"/>
        <w:ind w:firstLine="360"/>
        <w:rPr>
          <w:rFonts w:ascii="Times New Roman" w:hAnsi="Times New Roman" w:cs="Times New Roman"/>
          <w:sz w:val="20"/>
          <w:szCs w:val="20"/>
        </w:rPr>
      </w:pPr>
    </w:p>
    <w:p w14:paraId="4BD4A075" w14:textId="173512F6" w:rsidR="00704A69" w:rsidRDefault="00704A69" w:rsidP="00E70B09">
      <w:pPr>
        <w:pStyle w:val="ListParagraph"/>
        <w:numPr>
          <w:ilvl w:val="0"/>
          <w:numId w:val="18"/>
        </w:numPr>
        <w:autoSpaceDE w:val="0"/>
        <w:autoSpaceDN w:val="0"/>
        <w:adjustRightInd w:val="0"/>
        <w:rPr>
          <w:rFonts w:ascii="Times New Roman" w:hAnsi="Times New Roman" w:cs="Times New Roman"/>
          <w:sz w:val="20"/>
          <w:szCs w:val="20"/>
        </w:rPr>
      </w:pPr>
      <w:r w:rsidRPr="00E70B09">
        <w:rPr>
          <w:rFonts w:ascii="Times New Roman" w:hAnsi="Times New Roman" w:cs="Times New Roman"/>
          <w:sz w:val="20"/>
          <w:szCs w:val="20"/>
        </w:rPr>
        <w:t xml:space="preserve">As the analysis and interpretation of </w:t>
      </w:r>
      <w:r w:rsidR="006F5062" w:rsidRPr="00E70B09">
        <w:rPr>
          <w:rFonts w:ascii="Times New Roman" w:hAnsi="Times New Roman" w:cs="Times New Roman"/>
          <w:sz w:val="20"/>
          <w:szCs w:val="20"/>
        </w:rPr>
        <w:t>this</w:t>
      </w:r>
      <w:r w:rsidRPr="00E70B09">
        <w:rPr>
          <w:rFonts w:ascii="Times New Roman" w:hAnsi="Times New Roman" w:cs="Times New Roman"/>
          <w:sz w:val="20"/>
          <w:szCs w:val="20"/>
        </w:rPr>
        <w:t xml:space="preserve"> research work is based on structured questionnaire which has been prepared through google forms and circulated through different social medium platform, it becomes difficult </w:t>
      </w:r>
      <w:r w:rsidR="006F5062" w:rsidRPr="00E70B09">
        <w:rPr>
          <w:rFonts w:ascii="Times New Roman" w:hAnsi="Times New Roman" w:cs="Times New Roman"/>
          <w:sz w:val="20"/>
          <w:szCs w:val="20"/>
        </w:rPr>
        <w:t>for the researcher</w:t>
      </w:r>
      <w:r w:rsidRPr="00E70B09">
        <w:rPr>
          <w:rFonts w:ascii="Times New Roman" w:hAnsi="Times New Roman" w:cs="Times New Roman"/>
          <w:sz w:val="20"/>
          <w:szCs w:val="20"/>
        </w:rPr>
        <w:t xml:space="preserve"> to understand the psychological pattern and emotional attachments of the investors while investing in different securities.</w:t>
      </w:r>
    </w:p>
    <w:p w14:paraId="6A2512F9" w14:textId="77777777" w:rsidR="00E70B09" w:rsidRPr="00E70B09" w:rsidRDefault="00E70B09" w:rsidP="00E70B09">
      <w:pPr>
        <w:pStyle w:val="ListParagraph"/>
        <w:autoSpaceDE w:val="0"/>
        <w:autoSpaceDN w:val="0"/>
        <w:adjustRightInd w:val="0"/>
        <w:rPr>
          <w:rFonts w:ascii="Times New Roman" w:hAnsi="Times New Roman" w:cs="Times New Roman"/>
          <w:sz w:val="20"/>
          <w:szCs w:val="20"/>
        </w:rPr>
      </w:pPr>
    </w:p>
    <w:p w14:paraId="371C8EC8" w14:textId="2B55CFB9" w:rsidR="00704A69" w:rsidRDefault="00704A69" w:rsidP="00E70B09">
      <w:pPr>
        <w:pStyle w:val="ListParagraph"/>
        <w:numPr>
          <w:ilvl w:val="0"/>
          <w:numId w:val="18"/>
        </w:numPr>
        <w:autoSpaceDE w:val="0"/>
        <w:autoSpaceDN w:val="0"/>
        <w:adjustRightInd w:val="0"/>
        <w:rPr>
          <w:rFonts w:ascii="Times New Roman" w:hAnsi="Times New Roman" w:cs="Times New Roman"/>
          <w:sz w:val="20"/>
          <w:szCs w:val="20"/>
        </w:rPr>
      </w:pPr>
      <w:r w:rsidRPr="00E70B09">
        <w:rPr>
          <w:rFonts w:ascii="Times New Roman" w:hAnsi="Times New Roman" w:cs="Times New Roman"/>
          <w:sz w:val="20"/>
          <w:szCs w:val="20"/>
        </w:rPr>
        <w:t xml:space="preserve">The research is to find out the role of </w:t>
      </w:r>
      <w:proofErr w:type="spellStart"/>
      <w:r w:rsidRPr="00E70B09">
        <w:rPr>
          <w:rFonts w:ascii="Times New Roman" w:hAnsi="Times New Roman" w:cs="Times New Roman"/>
          <w:sz w:val="20"/>
          <w:szCs w:val="20"/>
        </w:rPr>
        <w:t>behavioral</w:t>
      </w:r>
      <w:proofErr w:type="spellEnd"/>
      <w:r w:rsidRPr="00E70B09">
        <w:rPr>
          <w:rFonts w:ascii="Times New Roman" w:hAnsi="Times New Roman" w:cs="Times New Roman"/>
          <w:sz w:val="20"/>
          <w:szCs w:val="20"/>
        </w:rPr>
        <w:t xml:space="preserve"> finance of selected investors of West Bengal in decision making process, but due to pandemic</w:t>
      </w:r>
      <w:r w:rsidR="006F5062" w:rsidRPr="00E70B09">
        <w:rPr>
          <w:rFonts w:ascii="Times New Roman" w:hAnsi="Times New Roman" w:cs="Times New Roman"/>
          <w:sz w:val="20"/>
          <w:szCs w:val="20"/>
        </w:rPr>
        <w:t xml:space="preserve"> as well as several unavoidable</w:t>
      </w:r>
      <w:r w:rsidR="00E70B09" w:rsidRPr="00E70B09">
        <w:rPr>
          <w:rFonts w:ascii="Times New Roman" w:hAnsi="Times New Roman" w:cs="Times New Roman"/>
          <w:sz w:val="20"/>
          <w:szCs w:val="20"/>
        </w:rPr>
        <w:t xml:space="preserve"> circumstances</w:t>
      </w:r>
      <w:r w:rsidRPr="00E70B09">
        <w:rPr>
          <w:rFonts w:ascii="Times New Roman" w:hAnsi="Times New Roman" w:cs="Times New Roman"/>
          <w:sz w:val="20"/>
          <w:szCs w:val="20"/>
        </w:rPr>
        <w:t>, larger parts of West Bengal cannot be covered although different social medium platform has been used to collect data, but still there has a gap in</w:t>
      </w:r>
      <w:r w:rsidR="00E70B09" w:rsidRPr="00E70B09">
        <w:rPr>
          <w:rFonts w:ascii="Times New Roman" w:hAnsi="Times New Roman" w:cs="Times New Roman"/>
          <w:sz w:val="20"/>
          <w:szCs w:val="20"/>
        </w:rPr>
        <w:t xml:space="preserve"> this</w:t>
      </w:r>
      <w:r w:rsidRPr="00E70B09">
        <w:rPr>
          <w:rFonts w:ascii="Times New Roman" w:hAnsi="Times New Roman" w:cs="Times New Roman"/>
          <w:sz w:val="20"/>
          <w:szCs w:val="20"/>
        </w:rPr>
        <w:t xml:space="preserve"> research.</w:t>
      </w:r>
    </w:p>
    <w:p w14:paraId="160EA9F3" w14:textId="77777777" w:rsidR="00E70B09" w:rsidRPr="00E70B09" w:rsidRDefault="00E70B09" w:rsidP="00E70B09">
      <w:pPr>
        <w:autoSpaceDE w:val="0"/>
        <w:autoSpaceDN w:val="0"/>
        <w:adjustRightInd w:val="0"/>
        <w:rPr>
          <w:rFonts w:ascii="Times New Roman" w:hAnsi="Times New Roman" w:cs="Times New Roman"/>
          <w:sz w:val="20"/>
          <w:szCs w:val="20"/>
        </w:rPr>
      </w:pPr>
    </w:p>
    <w:p w14:paraId="5D9E662C" w14:textId="5CE618C1" w:rsidR="00704A69" w:rsidRDefault="00704A69" w:rsidP="00E70B09">
      <w:pPr>
        <w:pStyle w:val="ListParagraph"/>
        <w:numPr>
          <w:ilvl w:val="0"/>
          <w:numId w:val="18"/>
        </w:numPr>
        <w:autoSpaceDE w:val="0"/>
        <w:autoSpaceDN w:val="0"/>
        <w:adjustRightInd w:val="0"/>
        <w:rPr>
          <w:rFonts w:ascii="Times New Roman" w:hAnsi="Times New Roman" w:cs="Times New Roman"/>
          <w:sz w:val="20"/>
          <w:szCs w:val="20"/>
        </w:rPr>
      </w:pPr>
      <w:r w:rsidRPr="00E70B09">
        <w:rPr>
          <w:rFonts w:ascii="Times New Roman" w:hAnsi="Times New Roman" w:cs="Times New Roman"/>
          <w:sz w:val="20"/>
          <w:szCs w:val="20"/>
        </w:rPr>
        <w:t xml:space="preserve">Although </w:t>
      </w:r>
      <w:r w:rsidR="00E70B09" w:rsidRPr="00E70B09">
        <w:rPr>
          <w:rFonts w:ascii="Times New Roman" w:hAnsi="Times New Roman" w:cs="Times New Roman"/>
          <w:sz w:val="20"/>
          <w:szCs w:val="20"/>
        </w:rPr>
        <w:t>the</w:t>
      </w:r>
      <w:r w:rsidRPr="00E70B09">
        <w:rPr>
          <w:rFonts w:ascii="Times New Roman" w:hAnsi="Times New Roman" w:cs="Times New Roman"/>
          <w:sz w:val="20"/>
          <w:szCs w:val="20"/>
        </w:rPr>
        <w:t xml:space="preserve"> sample size of research is only 126 and it includes mostly respondents from different sectors, but if the time of research is more</w:t>
      </w:r>
      <w:r w:rsidR="00E70B09" w:rsidRPr="00E70B09">
        <w:rPr>
          <w:rFonts w:ascii="Times New Roman" w:hAnsi="Times New Roman" w:cs="Times New Roman"/>
          <w:sz w:val="20"/>
          <w:szCs w:val="20"/>
        </w:rPr>
        <w:t>,</w:t>
      </w:r>
      <w:r w:rsidRPr="00E70B09">
        <w:rPr>
          <w:rFonts w:ascii="Times New Roman" w:hAnsi="Times New Roman" w:cs="Times New Roman"/>
          <w:sz w:val="20"/>
          <w:szCs w:val="20"/>
        </w:rPr>
        <w:t xml:space="preserve"> th</w:t>
      </w:r>
      <w:r w:rsidR="00E70B09" w:rsidRPr="00E70B09">
        <w:rPr>
          <w:rFonts w:ascii="Times New Roman" w:hAnsi="Times New Roman" w:cs="Times New Roman"/>
          <w:sz w:val="20"/>
          <w:szCs w:val="20"/>
        </w:rPr>
        <w:t>e</w:t>
      </w:r>
      <w:r w:rsidRPr="00E70B09">
        <w:rPr>
          <w:rFonts w:ascii="Times New Roman" w:hAnsi="Times New Roman" w:cs="Times New Roman"/>
          <w:sz w:val="20"/>
          <w:szCs w:val="20"/>
        </w:rPr>
        <w:t>n</w:t>
      </w:r>
      <w:r w:rsidR="00E70B09" w:rsidRPr="00E70B09">
        <w:rPr>
          <w:rFonts w:ascii="Times New Roman" w:hAnsi="Times New Roman" w:cs="Times New Roman"/>
          <w:sz w:val="20"/>
          <w:szCs w:val="20"/>
        </w:rPr>
        <w:t>,</w:t>
      </w:r>
      <w:r w:rsidRPr="00E70B09">
        <w:rPr>
          <w:rFonts w:ascii="Times New Roman" w:hAnsi="Times New Roman" w:cs="Times New Roman"/>
          <w:sz w:val="20"/>
          <w:szCs w:val="20"/>
        </w:rPr>
        <w:t xml:space="preserve"> sample size will also be large and different statistical analysis and inferences could have been drawn.</w:t>
      </w:r>
    </w:p>
    <w:p w14:paraId="02508407" w14:textId="77777777" w:rsidR="00E70B09" w:rsidRPr="00E70B09" w:rsidRDefault="00E70B09" w:rsidP="00E70B09">
      <w:pPr>
        <w:autoSpaceDE w:val="0"/>
        <w:autoSpaceDN w:val="0"/>
        <w:adjustRightInd w:val="0"/>
        <w:rPr>
          <w:rFonts w:ascii="Times New Roman" w:hAnsi="Times New Roman" w:cs="Times New Roman"/>
          <w:sz w:val="20"/>
          <w:szCs w:val="20"/>
        </w:rPr>
      </w:pPr>
    </w:p>
    <w:p w14:paraId="20C285D2" w14:textId="3748CBCE" w:rsidR="00704A69" w:rsidRDefault="00E70B09" w:rsidP="00E70B09">
      <w:pPr>
        <w:pStyle w:val="ListParagraph"/>
        <w:numPr>
          <w:ilvl w:val="0"/>
          <w:numId w:val="18"/>
        </w:numPr>
        <w:autoSpaceDE w:val="0"/>
        <w:autoSpaceDN w:val="0"/>
        <w:adjustRightInd w:val="0"/>
        <w:rPr>
          <w:rFonts w:ascii="Times New Roman" w:hAnsi="Times New Roman" w:cs="Times New Roman"/>
          <w:sz w:val="20"/>
          <w:szCs w:val="20"/>
        </w:rPr>
      </w:pPr>
      <w:r w:rsidRPr="00E70B09">
        <w:rPr>
          <w:rFonts w:ascii="Times New Roman" w:hAnsi="Times New Roman" w:cs="Times New Roman"/>
          <w:sz w:val="20"/>
          <w:szCs w:val="20"/>
        </w:rPr>
        <w:t>This</w:t>
      </w:r>
      <w:r w:rsidR="00704A69" w:rsidRPr="00E70B09">
        <w:rPr>
          <w:rFonts w:ascii="Times New Roman" w:hAnsi="Times New Roman" w:cs="Times New Roman"/>
          <w:sz w:val="20"/>
          <w:szCs w:val="20"/>
        </w:rPr>
        <w:t xml:space="preserve"> research is basically focused on intra group (age-wise and income wise) investment of the investors in risk-free as well as risky securities and also whether risky securities affect the different fundamental factors of </w:t>
      </w:r>
      <w:proofErr w:type="spellStart"/>
      <w:r w:rsidR="00704A69" w:rsidRPr="00E70B09">
        <w:rPr>
          <w:rFonts w:ascii="Times New Roman" w:hAnsi="Times New Roman" w:cs="Times New Roman"/>
          <w:sz w:val="20"/>
          <w:szCs w:val="20"/>
        </w:rPr>
        <w:t>behavioral</w:t>
      </w:r>
      <w:proofErr w:type="spellEnd"/>
      <w:r w:rsidR="00704A69" w:rsidRPr="00E70B09">
        <w:rPr>
          <w:rFonts w:ascii="Times New Roman" w:hAnsi="Times New Roman" w:cs="Times New Roman"/>
          <w:sz w:val="20"/>
          <w:szCs w:val="20"/>
        </w:rPr>
        <w:t xml:space="preserve"> finance or not, but different theories of </w:t>
      </w:r>
      <w:proofErr w:type="spellStart"/>
      <w:r w:rsidR="00704A69" w:rsidRPr="00E70B09">
        <w:rPr>
          <w:rFonts w:ascii="Times New Roman" w:hAnsi="Times New Roman" w:cs="Times New Roman"/>
          <w:sz w:val="20"/>
          <w:szCs w:val="20"/>
        </w:rPr>
        <w:t>behavioral</w:t>
      </w:r>
      <w:proofErr w:type="spellEnd"/>
      <w:r w:rsidR="00704A69" w:rsidRPr="00E70B09">
        <w:rPr>
          <w:rFonts w:ascii="Times New Roman" w:hAnsi="Times New Roman" w:cs="Times New Roman"/>
          <w:sz w:val="20"/>
          <w:szCs w:val="20"/>
        </w:rPr>
        <w:t xml:space="preserve"> finance, namely, Cognitive Psychological Theory (CPT), </w:t>
      </w:r>
      <w:proofErr w:type="spellStart"/>
      <w:r w:rsidR="00704A69" w:rsidRPr="00E70B09">
        <w:rPr>
          <w:rFonts w:ascii="Times New Roman" w:hAnsi="Times New Roman" w:cs="Times New Roman"/>
          <w:sz w:val="20"/>
          <w:szCs w:val="20"/>
        </w:rPr>
        <w:t>Behavioral</w:t>
      </w:r>
      <w:proofErr w:type="spellEnd"/>
      <w:r w:rsidR="00704A69" w:rsidRPr="00E70B09">
        <w:rPr>
          <w:rFonts w:ascii="Times New Roman" w:hAnsi="Times New Roman" w:cs="Times New Roman"/>
          <w:sz w:val="20"/>
          <w:szCs w:val="20"/>
        </w:rPr>
        <w:t xml:space="preserve"> Portfolio Theory (BPT), Prospect Theory (PT), etc. has not been explained at all.</w:t>
      </w:r>
    </w:p>
    <w:p w14:paraId="7EBF6D68" w14:textId="77777777" w:rsidR="00E70B09" w:rsidRPr="00E70B09" w:rsidRDefault="00E70B09" w:rsidP="00E70B09">
      <w:pPr>
        <w:autoSpaceDE w:val="0"/>
        <w:autoSpaceDN w:val="0"/>
        <w:adjustRightInd w:val="0"/>
        <w:rPr>
          <w:rFonts w:ascii="Times New Roman" w:hAnsi="Times New Roman" w:cs="Times New Roman"/>
          <w:sz w:val="20"/>
          <w:szCs w:val="20"/>
        </w:rPr>
      </w:pPr>
    </w:p>
    <w:p w14:paraId="619488FA" w14:textId="6B5B40D1" w:rsidR="00704A69" w:rsidRDefault="00E70B09" w:rsidP="00E70B09">
      <w:pPr>
        <w:pStyle w:val="ListParagraph"/>
        <w:numPr>
          <w:ilvl w:val="0"/>
          <w:numId w:val="18"/>
        </w:numPr>
        <w:autoSpaceDE w:val="0"/>
        <w:autoSpaceDN w:val="0"/>
        <w:adjustRightInd w:val="0"/>
        <w:rPr>
          <w:rFonts w:ascii="Times New Roman" w:hAnsi="Times New Roman" w:cs="Times New Roman"/>
          <w:sz w:val="20"/>
          <w:szCs w:val="20"/>
        </w:rPr>
      </w:pPr>
      <w:r w:rsidRPr="00E70B09">
        <w:rPr>
          <w:rFonts w:ascii="Times New Roman" w:hAnsi="Times New Roman" w:cs="Times New Roman"/>
          <w:sz w:val="20"/>
          <w:szCs w:val="20"/>
        </w:rPr>
        <w:t>The</w:t>
      </w:r>
      <w:r w:rsidR="00704A69" w:rsidRPr="00E70B09">
        <w:rPr>
          <w:rFonts w:ascii="Times New Roman" w:hAnsi="Times New Roman" w:cs="Times New Roman"/>
          <w:sz w:val="20"/>
          <w:szCs w:val="20"/>
        </w:rPr>
        <w:t xml:space="preserve"> research is </w:t>
      </w:r>
      <w:r w:rsidRPr="00E70B09">
        <w:rPr>
          <w:rFonts w:ascii="Times New Roman" w:hAnsi="Times New Roman" w:cs="Times New Roman"/>
          <w:sz w:val="20"/>
          <w:szCs w:val="20"/>
        </w:rPr>
        <w:t>limited to</w:t>
      </w:r>
      <w:r w:rsidR="00704A69" w:rsidRPr="00E70B09">
        <w:rPr>
          <w:rFonts w:ascii="Times New Roman" w:hAnsi="Times New Roman" w:cs="Times New Roman"/>
          <w:sz w:val="20"/>
          <w:szCs w:val="20"/>
        </w:rPr>
        <w:t xml:space="preserve"> West Bengal</w:t>
      </w:r>
      <w:r w:rsidRPr="00E70B09">
        <w:rPr>
          <w:rFonts w:ascii="Times New Roman" w:hAnsi="Times New Roman" w:cs="Times New Roman"/>
          <w:sz w:val="20"/>
          <w:szCs w:val="20"/>
        </w:rPr>
        <w:t xml:space="preserve"> district only</w:t>
      </w:r>
      <w:r w:rsidR="00704A69" w:rsidRPr="00E70B09">
        <w:rPr>
          <w:rFonts w:ascii="Times New Roman" w:hAnsi="Times New Roman" w:cs="Times New Roman"/>
          <w:sz w:val="20"/>
          <w:szCs w:val="20"/>
        </w:rPr>
        <w:t xml:space="preserve">. If this research has been done in other states, then, there would have been a different outcome. As most of the states differ in their cultural and social </w:t>
      </w:r>
      <w:proofErr w:type="spellStart"/>
      <w:r w:rsidR="00704A69" w:rsidRPr="00E70B09">
        <w:rPr>
          <w:rFonts w:ascii="Times New Roman" w:hAnsi="Times New Roman" w:cs="Times New Roman"/>
          <w:sz w:val="20"/>
          <w:szCs w:val="20"/>
        </w:rPr>
        <w:t>behavior</w:t>
      </w:r>
      <w:proofErr w:type="spellEnd"/>
      <w:r w:rsidR="00704A69" w:rsidRPr="00E70B09">
        <w:rPr>
          <w:rFonts w:ascii="Times New Roman" w:hAnsi="Times New Roman" w:cs="Times New Roman"/>
          <w:sz w:val="20"/>
          <w:szCs w:val="20"/>
        </w:rPr>
        <w:t>, so the outcomes become different. The thought process of the people of different states are different, so their reactions will be different in various circumstances.</w:t>
      </w:r>
    </w:p>
    <w:p w14:paraId="7285840D" w14:textId="77777777" w:rsidR="004C6F41" w:rsidRPr="004C6F41" w:rsidRDefault="004C6F41" w:rsidP="004C6F41">
      <w:pPr>
        <w:pStyle w:val="ListParagraph"/>
        <w:rPr>
          <w:rFonts w:ascii="Times New Roman" w:hAnsi="Times New Roman" w:cs="Times New Roman"/>
          <w:sz w:val="20"/>
          <w:szCs w:val="20"/>
        </w:rPr>
      </w:pPr>
    </w:p>
    <w:p w14:paraId="26D272A9" w14:textId="176DAAD5" w:rsidR="004C6F41" w:rsidRDefault="004C6F41" w:rsidP="004C6F41">
      <w:pPr>
        <w:autoSpaceDE w:val="0"/>
        <w:autoSpaceDN w:val="0"/>
        <w:adjustRightInd w:val="0"/>
        <w:rPr>
          <w:rFonts w:ascii="Times New Roman" w:hAnsi="Times New Roman" w:cs="Times New Roman"/>
          <w:sz w:val="20"/>
          <w:szCs w:val="20"/>
        </w:rPr>
      </w:pPr>
    </w:p>
    <w:p w14:paraId="653F5BAF" w14:textId="4D76468A" w:rsidR="004C6F41" w:rsidRDefault="004C6F41" w:rsidP="004C6F41">
      <w:pPr>
        <w:pStyle w:val="ListParagraph"/>
        <w:numPr>
          <w:ilvl w:val="0"/>
          <w:numId w:val="1"/>
        </w:numPr>
        <w:autoSpaceDE w:val="0"/>
        <w:autoSpaceDN w:val="0"/>
        <w:adjustRightInd w:val="0"/>
        <w:jc w:val="center"/>
        <w:rPr>
          <w:rFonts w:ascii="Times New Roman" w:hAnsi="Times New Roman" w:cs="Times New Roman"/>
          <w:b/>
          <w:bCs/>
          <w:sz w:val="20"/>
          <w:szCs w:val="20"/>
        </w:rPr>
      </w:pPr>
      <w:r w:rsidRPr="004C6F41">
        <w:rPr>
          <w:rFonts w:ascii="Times New Roman" w:hAnsi="Times New Roman" w:cs="Times New Roman"/>
          <w:b/>
          <w:bCs/>
          <w:sz w:val="20"/>
          <w:szCs w:val="20"/>
        </w:rPr>
        <w:t>CONCLUSION</w:t>
      </w:r>
    </w:p>
    <w:p w14:paraId="4D7D0089" w14:textId="7A3A6FFC" w:rsidR="004C6F41" w:rsidRDefault="004C6F41" w:rsidP="004C6F41">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 xml:space="preserve"> </w:t>
      </w:r>
    </w:p>
    <w:p w14:paraId="0C97553A" w14:textId="015F6B79" w:rsidR="004C6F41" w:rsidRDefault="004C6F41" w:rsidP="004C6F41">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4C6F41">
        <w:rPr>
          <w:rFonts w:ascii="Times New Roman" w:hAnsi="Times New Roman" w:cs="Times New Roman"/>
          <w:color w:val="000000"/>
          <w:sz w:val="20"/>
          <w:szCs w:val="20"/>
        </w:rPr>
        <w:t xml:space="preserve">Although standard finance, over the last few decades, provide a commanding theory within the academic sectors or community, but, now a days, we, the scholars, investment professionals and others are experiencing something new, as there has been a paradigm shift in the finance sector, as many people started focussing on behavioural finance. </w:t>
      </w:r>
      <w:r w:rsidRPr="004C6F41">
        <w:rPr>
          <w:rFonts w:ascii="Times New Roman" w:hAnsi="Times New Roman" w:cs="Times New Roman"/>
          <w:sz w:val="20"/>
          <w:szCs w:val="20"/>
        </w:rPr>
        <w:t xml:space="preserve">It tries to describe and enhance people’s awareness regarding the emotional factors and psychological processes of individuals and entities that invest in the financial markets. The present study shows that the behavioural pattern on percentage of total investments in risky instruments decreases with the increase in age. It also shows how different fundamental factors of </w:t>
      </w:r>
      <w:proofErr w:type="spellStart"/>
      <w:r w:rsidRPr="004C6F41">
        <w:rPr>
          <w:rFonts w:ascii="Times New Roman" w:hAnsi="Times New Roman" w:cs="Times New Roman"/>
          <w:sz w:val="20"/>
          <w:szCs w:val="20"/>
        </w:rPr>
        <w:t>behavioral</w:t>
      </w:r>
      <w:proofErr w:type="spellEnd"/>
      <w:r w:rsidRPr="004C6F41">
        <w:rPr>
          <w:rFonts w:ascii="Times New Roman" w:hAnsi="Times New Roman" w:cs="Times New Roman"/>
          <w:sz w:val="20"/>
          <w:szCs w:val="20"/>
        </w:rPr>
        <w:t xml:space="preserve"> finance impact the decision-making process of the investors. Although, the study is limited to selected investors of West Bengal, it shows their psychological, sociological, cultural, demographical as well as financial values that instigate investors to make their choices for investment. The development of behavioural finance is in very early stage. It is expected that more theories, different dimensions, various models, numerous analyses in this area are going to be developed in the near future to minimize the emotional factors from investment decision.</w:t>
      </w:r>
    </w:p>
    <w:p w14:paraId="44AAABD1" w14:textId="628E46DE" w:rsidR="005A471A" w:rsidRDefault="005A471A" w:rsidP="004C6F41">
      <w:pPr>
        <w:autoSpaceDE w:val="0"/>
        <w:autoSpaceDN w:val="0"/>
        <w:adjustRightInd w:val="0"/>
        <w:rPr>
          <w:rFonts w:ascii="Times New Roman" w:hAnsi="Times New Roman" w:cs="Times New Roman"/>
          <w:sz w:val="20"/>
          <w:szCs w:val="20"/>
        </w:rPr>
      </w:pPr>
    </w:p>
    <w:p w14:paraId="0741A511" w14:textId="4E1FA908" w:rsidR="005A471A" w:rsidRDefault="005A471A" w:rsidP="004C6F41">
      <w:pPr>
        <w:autoSpaceDE w:val="0"/>
        <w:autoSpaceDN w:val="0"/>
        <w:adjustRightInd w:val="0"/>
        <w:rPr>
          <w:rFonts w:ascii="Times New Roman" w:hAnsi="Times New Roman" w:cs="Times New Roman"/>
          <w:sz w:val="20"/>
          <w:szCs w:val="20"/>
        </w:rPr>
      </w:pPr>
    </w:p>
    <w:p w14:paraId="2FA47E56" w14:textId="548F6855" w:rsidR="00226C56" w:rsidRDefault="00226C56" w:rsidP="004C6F41">
      <w:pPr>
        <w:autoSpaceDE w:val="0"/>
        <w:autoSpaceDN w:val="0"/>
        <w:adjustRightInd w:val="0"/>
        <w:rPr>
          <w:rFonts w:ascii="Times New Roman" w:hAnsi="Times New Roman" w:cs="Times New Roman"/>
          <w:sz w:val="20"/>
          <w:szCs w:val="20"/>
        </w:rPr>
      </w:pPr>
    </w:p>
    <w:p w14:paraId="1CA25C79" w14:textId="77777777" w:rsidR="00226C56" w:rsidRDefault="00226C56" w:rsidP="004C6F41">
      <w:pPr>
        <w:autoSpaceDE w:val="0"/>
        <w:autoSpaceDN w:val="0"/>
        <w:adjustRightInd w:val="0"/>
        <w:rPr>
          <w:rFonts w:ascii="Times New Roman" w:hAnsi="Times New Roman" w:cs="Times New Roman"/>
          <w:sz w:val="20"/>
          <w:szCs w:val="20"/>
        </w:rPr>
      </w:pPr>
    </w:p>
    <w:p w14:paraId="797ED027" w14:textId="289494F0" w:rsidR="005A471A" w:rsidRDefault="005A471A" w:rsidP="005A471A">
      <w:pPr>
        <w:pStyle w:val="ListParagraph"/>
        <w:numPr>
          <w:ilvl w:val="0"/>
          <w:numId w:val="1"/>
        </w:numPr>
        <w:autoSpaceDE w:val="0"/>
        <w:autoSpaceDN w:val="0"/>
        <w:adjustRightInd w:val="0"/>
        <w:jc w:val="center"/>
        <w:rPr>
          <w:rFonts w:ascii="Times New Roman" w:hAnsi="Times New Roman" w:cs="Times New Roman"/>
          <w:b/>
          <w:bCs/>
          <w:sz w:val="20"/>
          <w:szCs w:val="20"/>
        </w:rPr>
      </w:pPr>
      <w:r w:rsidRPr="00226C56">
        <w:rPr>
          <w:rFonts w:ascii="Times New Roman" w:hAnsi="Times New Roman" w:cs="Times New Roman"/>
          <w:b/>
          <w:bCs/>
          <w:sz w:val="20"/>
          <w:szCs w:val="20"/>
        </w:rPr>
        <w:lastRenderedPageBreak/>
        <w:t>ACKNOWLEDGEMENTS</w:t>
      </w:r>
    </w:p>
    <w:p w14:paraId="2750497B" w14:textId="77777777" w:rsidR="00226C56" w:rsidRPr="00226C56" w:rsidRDefault="00226C56" w:rsidP="00FE633C">
      <w:pPr>
        <w:autoSpaceDE w:val="0"/>
        <w:autoSpaceDN w:val="0"/>
        <w:adjustRightInd w:val="0"/>
        <w:rPr>
          <w:rFonts w:ascii="Times New Roman" w:hAnsi="Times New Roman" w:cs="Times New Roman"/>
          <w:b/>
          <w:bCs/>
          <w:sz w:val="20"/>
          <w:szCs w:val="20"/>
        </w:rPr>
      </w:pPr>
    </w:p>
    <w:p w14:paraId="62D1B4E2" w14:textId="58ACD6B2" w:rsidR="00A01BB9" w:rsidRPr="00A01BB9" w:rsidRDefault="00A01BB9" w:rsidP="00A01BB9">
      <w:pPr>
        <w:ind w:firstLine="360"/>
        <w:rPr>
          <w:rFonts w:ascii="Times New Roman" w:hAnsi="Times New Roman" w:cs="Times New Roman"/>
          <w:sz w:val="20"/>
          <w:szCs w:val="20"/>
        </w:rPr>
      </w:pPr>
      <w:r>
        <w:rPr>
          <w:rFonts w:ascii="Times New Roman" w:hAnsi="Times New Roman" w:cs="Times New Roman"/>
          <w:sz w:val="20"/>
          <w:szCs w:val="20"/>
        </w:rPr>
        <w:t xml:space="preserve"> </w:t>
      </w:r>
      <w:r w:rsidR="00226C56" w:rsidRPr="00A01BB9">
        <w:rPr>
          <w:rFonts w:ascii="Times New Roman" w:hAnsi="Times New Roman" w:cs="Times New Roman"/>
          <w:sz w:val="20"/>
          <w:szCs w:val="20"/>
        </w:rPr>
        <w:t xml:space="preserve">The paper titled, </w:t>
      </w:r>
      <w:r w:rsidR="00226C56" w:rsidRPr="00A01BB9">
        <w:rPr>
          <w:rFonts w:ascii="Times New Roman" w:hAnsi="Times New Roman" w:cs="Times New Roman"/>
          <w:b/>
          <w:bCs/>
          <w:sz w:val="20"/>
          <w:szCs w:val="20"/>
        </w:rPr>
        <w:t>“</w:t>
      </w:r>
      <w:proofErr w:type="spellStart"/>
      <w:r w:rsidR="00226C56" w:rsidRPr="00A01BB9">
        <w:rPr>
          <w:rFonts w:ascii="Times New Roman" w:hAnsi="Times New Roman" w:cs="Times New Roman"/>
          <w:b/>
          <w:bCs/>
          <w:sz w:val="20"/>
          <w:szCs w:val="20"/>
        </w:rPr>
        <w:t>Behavioral</w:t>
      </w:r>
      <w:proofErr w:type="spellEnd"/>
      <w:r w:rsidR="00226C56" w:rsidRPr="00A01BB9">
        <w:rPr>
          <w:rFonts w:ascii="Times New Roman" w:hAnsi="Times New Roman" w:cs="Times New Roman"/>
          <w:b/>
          <w:bCs/>
          <w:sz w:val="20"/>
          <w:szCs w:val="20"/>
        </w:rPr>
        <w:t xml:space="preserve"> Finance: A Financial Choice</w:t>
      </w:r>
      <w:r w:rsidR="00FE633C" w:rsidRPr="00A01BB9">
        <w:rPr>
          <w:rFonts w:ascii="Times New Roman" w:hAnsi="Times New Roman" w:cs="Times New Roman"/>
          <w:b/>
          <w:bCs/>
          <w:sz w:val="20"/>
          <w:szCs w:val="20"/>
        </w:rPr>
        <w:t xml:space="preserve"> of the Investors</w:t>
      </w:r>
      <w:r w:rsidR="00226C56" w:rsidRPr="00A01BB9">
        <w:rPr>
          <w:rFonts w:ascii="Times New Roman" w:hAnsi="Times New Roman" w:cs="Times New Roman"/>
          <w:b/>
          <w:bCs/>
          <w:sz w:val="20"/>
          <w:szCs w:val="20"/>
        </w:rPr>
        <w:t>”</w:t>
      </w:r>
      <w:r w:rsidR="00226C56" w:rsidRPr="00A01BB9">
        <w:rPr>
          <w:rFonts w:ascii="Times New Roman" w:hAnsi="Times New Roman" w:cs="Times New Roman"/>
          <w:sz w:val="20"/>
          <w:szCs w:val="20"/>
        </w:rPr>
        <w:t xml:space="preserve"> would not have been possible without the help of several individuals who provided inputs on regular basis to complete this study. The author would like to express his sincere gratitude to all of them. The author is forever grateful to his </w:t>
      </w:r>
      <w:r w:rsidR="00226C56" w:rsidRPr="00FC4D7B">
        <w:rPr>
          <w:rFonts w:ascii="Times New Roman" w:hAnsi="Times New Roman" w:cs="Times New Roman"/>
          <w:b/>
          <w:bCs/>
          <w:sz w:val="20"/>
          <w:szCs w:val="20"/>
        </w:rPr>
        <w:t>mentor</w:t>
      </w:r>
      <w:r w:rsidR="00FE633C" w:rsidRPr="00A01BB9">
        <w:rPr>
          <w:rFonts w:ascii="Times New Roman" w:hAnsi="Times New Roman" w:cs="Times New Roman"/>
          <w:sz w:val="20"/>
          <w:szCs w:val="20"/>
        </w:rPr>
        <w:t xml:space="preserve"> </w:t>
      </w:r>
      <w:proofErr w:type="spellStart"/>
      <w:r w:rsidR="00FE633C" w:rsidRPr="00A01BB9">
        <w:rPr>
          <w:rFonts w:ascii="Times New Roman" w:hAnsi="Times New Roman" w:cs="Times New Roman"/>
          <w:b/>
          <w:bCs/>
          <w:sz w:val="20"/>
          <w:szCs w:val="20"/>
        </w:rPr>
        <w:t>Dr.</w:t>
      </w:r>
      <w:proofErr w:type="spellEnd"/>
      <w:r w:rsidR="00FE633C" w:rsidRPr="00A01BB9">
        <w:rPr>
          <w:rFonts w:ascii="Times New Roman" w:hAnsi="Times New Roman" w:cs="Times New Roman"/>
          <w:b/>
          <w:bCs/>
          <w:sz w:val="20"/>
          <w:szCs w:val="20"/>
        </w:rPr>
        <w:t xml:space="preserve"> </w:t>
      </w:r>
      <w:proofErr w:type="spellStart"/>
      <w:r w:rsidR="00FE633C" w:rsidRPr="00A01BB9">
        <w:rPr>
          <w:rFonts w:ascii="Times New Roman" w:hAnsi="Times New Roman" w:cs="Times New Roman"/>
          <w:b/>
          <w:bCs/>
          <w:sz w:val="20"/>
          <w:szCs w:val="20"/>
        </w:rPr>
        <w:t>Soummya</w:t>
      </w:r>
      <w:proofErr w:type="spellEnd"/>
      <w:r w:rsidR="00FE633C" w:rsidRPr="00A01BB9">
        <w:rPr>
          <w:rFonts w:ascii="Times New Roman" w:hAnsi="Times New Roman" w:cs="Times New Roman"/>
          <w:b/>
          <w:bCs/>
          <w:sz w:val="20"/>
          <w:szCs w:val="20"/>
        </w:rPr>
        <w:t xml:space="preserve"> Banerjee, Assistant Professor, Head of the Department of Commerce, </w:t>
      </w:r>
      <w:proofErr w:type="spellStart"/>
      <w:r w:rsidR="00FE633C" w:rsidRPr="00A01BB9">
        <w:rPr>
          <w:rFonts w:ascii="Times New Roman" w:hAnsi="Times New Roman" w:cs="Times New Roman"/>
          <w:b/>
          <w:bCs/>
          <w:sz w:val="20"/>
          <w:szCs w:val="20"/>
        </w:rPr>
        <w:t>Shivnath</w:t>
      </w:r>
      <w:proofErr w:type="spellEnd"/>
      <w:r w:rsidR="00FE633C" w:rsidRPr="00A01BB9">
        <w:rPr>
          <w:rFonts w:ascii="Times New Roman" w:hAnsi="Times New Roman" w:cs="Times New Roman"/>
          <w:b/>
          <w:bCs/>
          <w:sz w:val="20"/>
          <w:szCs w:val="20"/>
        </w:rPr>
        <w:t xml:space="preserve"> Shastri College, Kolkata </w:t>
      </w:r>
      <w:r w:rsidR="00FE633C" w:rsidRPr="00A01BB9">
        <w:rPr>
          <w:rFonts w:ascii="Times New Roman" w:hAnsi="Times New Roman" w:cs="Times New Roman"/>
          <w:sz w:val="20"/>
          <w:szCs w:val="20"/>
        </w:rPr>
        <w:t xml:space="preserve">for his unconditional love and support in every sphere of life. The author is also thankful </w:t>
      </w:r>
      <w:r w:rsidR="00FE633C" w:rsidRPr="00A01BB9">
        <w:rPr>
          <w:rFonts w:ascii="Times New Roman" w:hAnsi="Times New Roman" w:cs="Times New Roman"/>
          <w:b/>
          <w:bCs/>
          <w:sz w:val="20"/>
          <w:szCs w:val="20"/>
        </w:rPr>
        <w:t xml:space="preserve">to </w:t>
      </w:r>
      <w:proofErr w:type="spellStart"/>
      <w:r w:rsidR="00FE633C" w:rsidRPr="00A01BB9">
        <w:rPr>
          <w:rFonts w:ascii="Times New Roman" w:hAnsi="Times New Roman" w:cs="Times New Roman"/>
          <w:b/>
          <w:bCs/>
          <w:sz w:val="20"/>
          <w:szCs w:val="20"/>
        </w:rPr>
        <w:t>Dr.</w:t>
      </w:r>
      <w:proofErr w:type="spellEnd"/>
      <w:r w:rsidR="00FE633C" w:rsidRPr="00A01BB9">
        <w:rPr>
          <w:rFonts w:ascii="Times New Roman" w:hAnsi="Times New Roman" w:cs="Times New Roman"/>
          <w:b/>
          <w:bCs/>
          <w:sz w:val="20"/>
          <w:szCs w:val="20"/>
        </w:rPr>
        <w:t xml:space="preserve"> Biswajit Bhadra</w:t>
      </w:r>
      <w:r w:rsidR="00D520FF" w:rsidRPr="00A01BB9">
        <w:rPr>
          <w:rFonts w:ascii="Times New Roman" w:hAnsi="Times New Roman" w:cs="Times New Roman"/>
          <w:b/>
          <w:bCs/>
          <w:sz w:val="20"/>
          <w:szCs w:val="20"/>
        </w:rPr>
        <w:t xml:space="preserve"> sir, Associate Professor, Department of Commerce, Netaji Nagar College, Kolkata</w:t>
      </w:r>
      <w:r w:rsidR="00D520FF" w:rsidRPr="00A01BB9">
        <w:rPr>
          <w:rFonts w:ascii="Times New Roman" w:hAnsi="Times New Roman" w:cs="Times New Roman"/>
          <w:sz w:val="20"/>
          <w:szCs w:val="20"/>
        </w:rPr>
        <w:t xml:space="preserve"> for providing this opportunity to explore sometime new and motivating to write in this platform. The author is also thankful to </w:t>
      </w:r>
      <w:r w:rsidR="00D520FF" w:rsidRPr="00A01BB9">
        <w:rPr>
          <w:rFonts w:ascii="Times New Roman" w:hAnsi="Times New Roman" w:cs="Times New Roman"/>
          <w:b/>
          <w:bCs/>
          <w:sz w:val="20"/>
          <w:szCs w:val="20"/>
        </w:rPr>
        <w:t>Iterative International Publishers</w:t>
      </w:r>
      <w:r w:rsidR="00D520FF" w:rsidRPr="00A01BB9">
        <w:rPr>
          <w:rFonts w:ascii="Times New Roman" w:hAnsi="Times New Roman" w:cs="Times New Roman"/>
          <w:sz w:val="20"/>
          <w:szCs w:val="20"/>
        </w:rPr>
        <w:t xml:space="preserve"> for providing an opportunity to write on </w:t>
      </w:r>
      <w:r w:rsidR="00D520FF" w:rsidRPr="00A01BB9">
        <w:rPr>
          <w:rFonts w:ascii="Times New Roman" w:hAnsi="Times New Roman" w:cs="Times New Roman"/>
          <w:b/>
          <w:bCs/>
          <w:sz w:val="20"/>
          <w:szCs w:val="20"/>
        </w:rPr>
        <w:t xml:space="preserve">“Futuristic </w:t>
      </w:r>
      <w:r w:rsidRPr="00A01BB9">
        <w:rPr>
          <w:rFonts w:ascii="Times New Roman" w:hAnsi="Times New Roman" w:cs="Times New Roman"/>
          <w:b/>
          <w:bCs/>
          <w:sz w:val="20"/>
          <w:szCs w:val="20"/>
        </w:rPr>
        <w:t>Trends in Management”</w:t>
      </w:r>
      <w:r w:rsidRPr="00A01BB9">
        <w:rPr>
          <w:rFonts w:ascii="Times New Roman" w:hAnsi="Times New Roman" w:cs="Times New Roman"/>
          <w:sz w:val="20"/>
          <w:szCs w:val="20"/>
        </w:rPr>
        <w:t xml:space="preserve">. </w:t>
      </w:r>
      <w:r w:rsidR="00FC4D7B">
        <w:rPr>
          <w:rFonts w:ascii="Times New Roman" w:hAnsi="Times New Roman" w:cs="Times New Roman"/>
          <w:sz w:val="20"/>
          <w:szCs w:val="20"/>
        </w:rPr>
        <w:t>Lastly, t</w:t>
      </w:r>
      <w:r w:rsidRPr="00A01BB9">
        <w:rPr>
          <w:rFonts w:ascii="Times New Roman" w:hAnsi="Times New Roman" w:cs="Times New Roman"/>
          <w:sz w:val="20"/>
          <w:szCs w:val="20"/>
        </w:rPr>
        <w:t xml:space="preserve">he author is forever grateful to his </w:t>
      </w:r>
      <w:r w:rsidRPr="00A01BB9">
        <w:rPr>
          <w:rFonts w:ascii="Times New Roman" w:hAnsi="Times New Roman" w:cs="Times New Roman"/>
          <w:b/>
          <w:bCs/>
          <w:sz w:val="20"/>
          <w:szCs w:val="20"/>
        </w:rPr>
        <w:t>parents</w:t>
      </w:r>
      <w:r w:rsidRPr="00A01BB9">
        <w:rPr>
          <w:rFonts w:ascii="Times New Roman" w:hAnsi="Times New Roman" w:cs="Times New Roman"/>
          <w:sz w:val="20"/>
          <w:szCs w:val="20"/>
        </w:rPr>
        <w:t xml:space="preserve"> for their continuous support, whom he will forever love and cherish.</w:t>
      </w:r>
    </w:p>
    <w:p w14:paraId="2EE71F84" w14:textId="22153E09" w:rsidR="004C6F41" w:rsidRPr="00226C56" w:rsidRDefault="004C6F41" w:rsidP="00D520FF">
      <w:pPr>
        <w:autoSpaceDE w:val="0"/>
        <w:autoSpaceDN w:val="0"/>
        <w:adjustRightInd w:val="0"/>
        <w:ind w:firstLine="360"/>
        <w:rPr>
          <w:rFonts w:ascii="Times New Roman" w:hAnsi="Times New Roman" w:cs="Times New Roman"/>
          <w:sz w:val="16"/>
          <w:szCs w:val="16"/>
        </w:rPr>
      </w:pPr>
    </w:p>
    <w:p w14:paraId="5ED9EC86" w14:textId="6953C8F0" w:rsidR="004C6F41" w:rsidRDefault="004C6F41" w:rsidP="004C6F41">
      <w:pPr>
        <w:autoSpaceDE w:val="0"/>
        <w:autoSpaceDN w:val="0"/>
        <w:adjustRightInd w:val="0"/>
        <w:ind w:left="360"/>
        <w:rPr>
          <w:rFonts w:ascii="Times New Roman" w:hAnsi="Times New Roman" w:cs="Times New Roman"/>
          <w:sz w:val="20"/>
          <w:szCs w:val="20"/>
        </w:rPr>
      </w:pPr>
    </w:p>
    <w:p w14:paraId="4E508D7B" w14:textId="03508FEA" w:rsidR="004C6F41" w:rsidRDefault="004C6F41" w:rsidP="004C6F41">
      <w:pPr>
        <w:autoSpaceDE w:val="0"/>
        <w:autoSpaceDN w:val="0"/>
        <w:adjustRightInd w:val="0"/>
        <w:ind w:left="360"/>
        <w:rPr>
          <w:rFonts w:ascii="Times New Roman" w:hAnsi="Times New Roman" w:cs="Times New Roman"/>
          <w:sz w:val="20"/>
          <w:szCs w:val="20"/>
        </w:rPr>
      </w:pPr>
    </w:p>
    <w:p w14:paraId="44ADAA85" w14:textId="55739818" w:rsidR="004C6F41" w:rsidRDefault="004C6F41" w:rsidP="004C6F41">
      <w:pPr>
        <w:autoSpaceDE w:val="0"/>
        <w:autoSpaceDN w:val="0"/>
        <w:adjustRightInd w:val="0"/>
        <w:ind w:left="360"/>
        <w:rPr>
          <w:rFonts w:ascii="Times New Roman" w:hAnsi="Times New Roman" w:cs="Times New Roman"/>
          <w:sz w:val="20"/>
          <w:szCs w:val="20"/>
        </w:rPr>
      </w:pPr>
    </w:p>
    <w:p w14:paraId="4BAF78EC" w14:textId="599CCAD4" w:rsidR="00704A69" w:rsidRDefault="004C6F41" w:rsidP="004C6F41">
      <w:pPr>
        <w:autoSpaceDE w:val="0"/>
        <w:autoSpaceDN w:val="0"/>
        <w:adjustRightInd w:val="0"/>
        <w:ind w:left="360"/>
        <w:jc w:val="center"/>
        <w:rPr>
          <w:rFonts w:ascii="Times New Roman" w:hAnsi="Times New Roman" w:cs="Times New Roman"/>
          <w:b/>
          <w:bCs/>
          <w:sz w:val="20"/>
          <w:szCs w:val="20"/>
        </w:rPr>
      </w:pPr>
      <w:r w:rsidRPr="004C6F41">
        <w:rPr>
          <w:rFonts w:ascii="Times New Roman" w:hAnsi="Times New Roman" w:cs="Times New Roman"/>
          <w:b/>
          <w:bCs/>
          <w:sz w:val="20"/>
          <w:szCs w:val="20"/>
        </w:rPr>
        <w:t>REFERENCES</w:t>
      </w:r>
    </w:p>
    <w:p w14:paraId="6F1E0220" w14:textId="6D448108" w:rsidR="004C6F41" w:rsidRDefault="004C6F41" w:rsidP="004C6F41">
      <w:pPr>
        <w:autoSpaceDE w:val="0"/>
        <w:autoSpaceDN w:val="0"/>
        <w:adjustRightInd w:val="0"/>
        <w:rPr>
          <w:rFonts w:ascii="Times New Roman" w:hAnsi="Times New Roman" w:cs="Times New Roman"/>
          <w:b/>
          <w:bCs/>
          <w:sz w:val="20"/>
          <w:szCs w:val="20"/>
        </w:rPr>
      </w:pPr>
    </w:p>
    <w:p w14:paraId="76263C3A" w14:textId="434CA784" w:rsidR="004C6F41" w:rsidRPr="004C6F41" w:rsidRDefault="004C6F41" w:rsidP="004C6F41">
      <w:pPr>
        <w:pStyle w:val="Default"/>
        <w:spacing w:line="360" w:lineRule="auto"/>
        <w:rPr>
          <w:sz w:val="16"/>
          <w:szCs w:val="16"/>
        </w:rPr>
      </w:pPr>
      <w:r w:rsidRPr="004C6F41">
        <w:rPr>
          <w:sz w:val="16"/>
          <w:szCs w:val="16"/>
        </w:rPr>
        <w:t xml:space="preserve">Edwards, W. (1955), ‘The predictions of decisions among bets’, Journal of Experimental Psychology, </w:t>
      </w:r>
      <w:r w:rsidRPr="004C6F41">
        <w:rPr>
          <w:i/>
          <w:iCs/>
          <w:sz w:val="16"/>
          <w:szCs w:val="16"/>
        </w:rPr>
        <w:t>Vol. 50, No. 3, 201-214</w:t>
      </w:r>
      <w:r w:rsidRPr="004C6F41">
        <w:rPr>
          <w:sz w:val="16"/>
          <w:szCs w:val="16"/>
        </w:rPr>
        <w:t xml:space="preserve">. </w:t>
      </w:r>
    </w:p>
    <w:p w14:paraId="33E18093" w14:textId="77777777" w:rsidR="004C6F41" w:rsidRPr="004C6F41" w:rsidRDefault="004C6F41" w:rsidP="004C6F41">
      <w:pPr>
        <w:pStyle w:val="Default"/>
        <w:spacing w:line="360" w:lineRule="auto"/>
        <w:rPr>
          <w:sz w:val="16"/>
          <w:szCs w:val="16"/>
        </w:rPr>
      </w:pPr>
      <w:r w:rsidRPr="004C6F41">
        <w:rPr>
          <w:sz w:val="16"/>
          <w:szCs w:val="16"/>
        </w:rPr>
        <w:t xml:space="preserve">Paul, S. (1972), ‘Psychological Study of Human Judgment: Implications for Investment Decision Making’, The Journal of Finance, </w:t>
      </w:r>
      <w:r w:rsidRPr="004C6F41">
        <w:rPr>
          <w:i/>
          <w:iCs/>
          <w:sz w:val="16"/>
          <w:szCs w:val="16"/>
        </w:rPr>
        <w:t>Vol. 27, No. 4, 779-801</w:t>
      </w:r>
      <w:r w:rsidRPr="004C6F41">
        <w:rPr>
          <w:sz w:val="16"/>
          <w:szCs w:val="16"/>
        </w:rPr>
        <w:t xml:space="preserve">. </w:t>
      </w:r>
    </w:p>
    <w:p w14:paraId="6D0E4969" w14:textId="77777777" w:rsidR="004C6F41" w:rsidRPr="004C6F41" w:rsidRDefault="004C6F41" w:rsidP="004C6F41">
      <w:pPr>
        <w:pStyle w:val="Default"/>
        <w:spacing w:line="360" w:lineRule="auto"/>
        <w:rPr>
          <w:sz w:val="16"/>
          <w:szCs w:val="16"/>
        </w:rPr>
      </w:pPr>
      <w:r w:rsidRPr="004C6F41">
        <w:rPr>
          <w:sz w:val="16"/>
          <w:szCs w:val="16"/>
        </w:rPr>
        <w:t xml:space="preserve">Kahneman, D. and Tversky, A. (1979), ‘Prospect theory: an analysis of decision under risk. </w:t>
      </w:r>
      <w:proofErr w:type="spellStart"/>
      <w:r w:rsidRPr="004C6F41">
        <w:rPr>
          <w:sz w:val="16"/>
          <w:szCs w:val="16"/>
        </w:rPr>
        <w:t>Econometrica</w:t>
      </w:r>
      <w:proofErr w:type="spellEnd"/>
      <w:r w:rsidRPr="004C6F41">
        <w:rPr>
          <w:sz w:val="16"/>
          <w:szCs w:val="16"/>
        </w:rPr>
        <w:t xml:space="preserve">’, Journal of the Econometric Society, </w:t>
      </w:r>
      <w:r w:rsidRPr="004C6F41">
        <w:rPr>
          <w:i/>
          <w:iCs/>
          <w:sz w:val="16"/>
          <w:szCs w:val="16"/>
        </w:rPr>
        <w:t>Vol. 47, No. 3, 263-291</w:t>
      </w:r>
      <w:r w:rsidRPr="004C6F41">
        <w:rPr>
          <w:sz w:val="16"/>
          <w:szCs w:val="16"/>
        </w:rPr>
        <w:t xml:space="preserve">. </w:t>
      </w:r>
    </w:p>
    <w:p w14:paraId="58234252"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proofErr w:type="spellStart"/>
      <w:r w:rsidRPr="004C6F41">
        <w:rPr>
          <w:rFonts w:ascii="Times New Roman" w:hAnsi="Times New Roman" w:cs="Times New Roman"/>
          <w:sz w:val="16"/>
          <w:szCs w:val="16"/>
        </w:rPr>
        <w:t>Barberis</w:t>
      </w:r>
      <w:proofErr w:type="spellEnd"/>
      <w:r w:rsidRPr="004C6F41">
        <w:rPr>
          <w:rFonts w:ascii="Times New Roman" w:hAnsi="Times New Roman" w:cs="Times New Roman"/>
          <w:sz w:val="16"/>
          <w:szCs w:val="16"/>
        </w:rPr>
        <w:t xml:space="preserve">, N. and Thaler, R. (2003), “Efficient market hypothesis, A survey of behavioural finance”, </w:t>
      </w:r>
      <w:r w:rsidRPr="004C6F41">
        <w:rPr>
          <w:rFonts w:ascii="Times New Roman" w:hAnsi="Times New Roman" w:cs="Times New Roman"/>
          <w:i/>
          <w:iCs/>
          <w:sz w:val="16"/>
          <w:szCs w:val="16"/>
        </w:rPr>
        <w:t>Handbook of the Economics of Finance, Elsevier Science B. V. pp. 1052-1171</w:t>
      </w:r>
      <w:r w:rsidRPr="004C6F41">
        <w:rPr>
          <w:rFonts w:ascii="Times New Roman" w:hAnsi="Times New Roman" w:cs="Times New Roman"/>
          <w:sz w:val="16"/>
          <w:szCs w:val="16"/>
        </w:rPr>
        <w:t>.</w:t>
      </w:r>
    </w:p>
    <w:p w14:paraId="5BB42352"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proofErr w:type="spellStart"/>
      <w:r w:rsidRPr="004C6F41">
        <w:rPr>
          <w:rFonts w:ascii="Times New Roman" w:hAnsi="Times New Roman" w:cs="Times New Roman"/>
          <w:sz w:val="16"/>
          <w:szCs w:val="16"/>
        </w:rPr>
        <w:t>Diacon</w:t>
      </w:r>
      <w:proofErr w:type="spellEnd"/>
      <w:r w:rsidRPr="004C6F41">
        <w:rPr>
          <w:rFonts w:ascii="Times New Roman" w:hAnsi="Times New Roman" w:cs="Times New Roman"/>
          <w:sz w:val="16"/>
          <w:szCs w:val="16"/>
        </w:rPr>
        <w:t xml:space="preserve">, S. (2002). Investment risk: A comparative study of the perceptions of consumers and advisers. </w:t>
      </w:r>
      <w:r w:rsidRPr="004C6F41">
        <w:rPr>
          <w:rFonts w:ascii="Times New Roman" w:hAnsi="Times New Roman" w:cs="Times New Roman"/>
          <w:i/>
          <w:iCs/>
          <w:sz w:val="16"/>
          <w:szCs w:val="16"/>
        </w:rPr>
        <w:t>Centre for Risk and Insurance Studies Discussion paper series, 2002. XI</w:t>
      </w:r>
      <w:r w:rsidRPr="004C6F41">
        <w:rPr>
          <w:rFonts w:ascii="Times New Roman" w:hAnsi="Times New Roman" w:cs="Times New Roman"/>
          <w:sz w:val="16"/>
          <w:szCs w:val="16"/>
        </w:rPr>
        <w:t>.</w:t>
      </w:r>
    </w:p>
    <w:p w14:paraId="28BBF155"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proofErr w:type="spellStart"/>
      <w:r w:rsidRPr="004C6F41">
        <w:rPr>
          <w:rFonts w:ascii="Times New Roman" w:hAnsi="Times New Roman" w:cs="Times New Roman"/>
          <w:sz w:val="16"/>
          <w:szCs w:val="16"/>
        </w:rPr>
        <w:t>Kannadhasan</w:t>
      </w:r>
      <w:proofErr w:type="spellEnd"/>
      <w:r w:rsidRPr="004C6F41">
        <w:rPr>
          <w:rFonts w:ascii="Times New Roman" w:hAnsi="Times New Roman" w:cs="Times New Roman"/>
          <w:sz w:val="16"/>
          <w:szCs w:val="16"/>
        </w:rPr>
        <w:t xml:space="preserve">, M. (2006), “Risk appetite and attitudes of retail </w:t>
      </w:r>
      <w:proofErr w:type="spellStart"/>
      <w:r w:rsidRPr="004C6F41">
        <w:rPr>
          <w:rFonts w:ascii="Times New Roman" w:hAnsi="Times New Roman" w:cs="Times New Roman"/>
          <w:sz w:val="16"/>
          <w:szCs w:val="16"/>
        </w:rPr>
        <w:t>investors„with</w:t>
      </w:r>
      <w:proofErr w:type="spellEnd"/>
      <w:r w:rsidRPr="004C6F41">
        <w:rPr>
          <w:rFonts w:ascii="Times New Roman" w:hAnsi="Times New Roman" w:cs="Times New Roman"/>
          <w:sz w:val="16"/>
          <w:szCs w:val="16"/>
        </w:rPr>
        <w:t xml:space="preserve"> special reference to capital market”, </w:t>
      </w:r>
      <w:r w:rsidRPr="004C6F41">
        <w:rPr>
          <w:rFonts w:ascii="Times New Roman" w:hAnsi="Times New Roman" w:cs="Times New Roman"/>
          <w:i/>
          <w:iCs/>
          <w:sz w:val="16"/>
          <w:szCs w:val="16"/>
        </w:rPr>
        <w:t>Management Accountant</w:t>
      </w:r>
      <w:r w:rsidRPr="004C6F41">
        <w:rPr>
          <w:rFonts w:ascii="Times New Roman" w:hAnsi="Times New Roman" w:cs="Times New Roman"/>
          <w:sz w:val="16"/>
          <w:szCs w:val="16"/>
        </w:rPr>
        <w:t xml:space="preserve">, </w:t>
      </w:r>
      <w:r w:rsidRPr="004C6F41">
        <w:rPr>
          <w:rFonts w:ascii="Times New Roman" w:hAnsi="Times New Roman" w:cs="Times New Roman"/>
          <w:i/>
          <w:iCs/>
          <w:sz w:val="16"/>
          <w:szCs w:val="16"/>
        </w:rPr>
        <w:t>Vol. 41 (6), pp. 448-454</w:t>
      </w:r>
      <w:r w:rsidRPr="004C6F41">
        <w:rPr>
          <w:rFonts w:ascii="Times New Roman" w:hAnsi="Times New Roman" w:cs="Times New Roman"/>
          <w:sz w:val="16"/>
          <w:szCs w:val="16"/>
        </w:rPr>
        <w:t>.</w:t>
      </w:r>
    </w:p>
    <w:p w14:paraId="4D261CF9"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proofErr w:type="spellStart"/>
      <w:r w:rsidRPr="004C6F41">
        <w:rPr>
          <w:rFonts w:ascii="Times New Roman" w:hAnsi="Times New Roman" w:cs="Times New Roman"/>
          <w:sz w:val="16"/>
          <w:szCs w:val="16"/>
        </w:rPr>
        <w:t>Sahni</w:t>
      </w:r>
      <w:proofErr w:type="spellEnd"/>
      <w:r w:rsidRPr="004C6F41">
        <w:rPr>
          <w:rFonts w:ascii="Times New Roman" w:hAnsi="Times New Roman" w:cs="Times New Roman"/>
          <w:sz w:val="16"/>
          <w:szCs w:val="16"/>
        </w:rPr>
        <w:t xml:space="preserve">, D. (2012), “Behavioural finance: testing applicability on </w:t>
      </w:r>
      <w:proofErr w:type="spellStart"/>
      <w:r w:rsidRPr="004C6F41">
        <w:rPr>
          <w:rFonts w:ascii="Times New Roman" w:hAnsi="Times New Roman" w:cs="Times New Roman"/>
          <w:sz w:val="16"/>
          <w:szCs w:val="16"/>
        </w:rPr>
        <w:t>indian</w:t>
      </w:r>
      <w:proofErr w:type="spellEnd"/>
      <w:r w:rsidRPr="004C6F41">
        <w:rPr>
          <w:rFonts w:ascii="Times New Roman" w:hAnsi="Times New Roman" w:cs="Times New Roman"/>
          <w:sz w:val="16"/>
          <w:szCs w:val="16"/>
        </w:rPr>
        <w:t xml:space="preserve"> investors”, </w:t>
      </w:r>
      <w:r w:rsidRPr="004C6F41">
        <w:rPr>
          <w:rFonts w:ascii="Times New Roman" w:hAnsi="Times New Roman" w:cs="Times New Roman"/>
          <w:i/>
          <w:iCs/>
          <w:sz w:val="16"/>
          <w:szCs w:val="16"/>
        </w:rPr>
        <w:t>International Journal of in Multidisciplinary and Academic Research. Vol. 1 (2), pp. 1-12</w:t>
      </w:r>
      <w:r w:rsidRPr="004C6F41">
        <w:rPr>
          <w:rFonts w:ascii="Times New Roman" w:hAnsi="Times New Roman" w:cs="Times New Roman"/>
          <w:sz w:val="16"/>
          <w:szCs w:val="16"/>
        </w:rPr>
        <w:t>.</w:t>
      </w:r>
    </w:p>
    <w:p w14:paraId="4A326728"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proofErr w:type="spellStart"/>
      <w:r w:rsidRPr="004C6F41">
        <w:rPr>
          <w:rFonts w:ascii="Times New Roman" w:hAnsi="Times New Roman" w:cs="Times New Roman"/>
          <w:sz w:val="16"/>
          <w:szCs w:val="16"/>
        </w:rPr>
        <w:t>Jagongo</w:t>
      </w:r>
      <w:proofErr w:type="spellEnd"/>
      <w:r w:rsidRPr="004C6F41">
        <w:rPr>
          <w:rFonts w:ascii="Times New Roman" w:hAnsi="Times New Roman" w:cs="Times New Roman"/>
          <w:sz w:val="16"/>
          <w:szCs w:val="16"/>
        </w:rPr>
        <w:t xml:space="preserve">, A. and </w:t>
      </w:r>
      <w:proofErr w:type="spellStart"/>
      <w:r w:rsidRPr="004C6F41">
        <w:rPr>
          <w:rFonts w:ascii="Times New Roman" w:hAnsi="Times New Roman" w:cs="Times New Roman"/>
          <w:sz w:val="16"/>
          <w:szCs w:val="16"/>
        </w:rPr>
        <w:t>Mutswenje</w:t>
      </w:r>
      <w:proofErr w:type="spellEnd"/>
      <w:r w:rsidRPr="004C6F41">
        <w:rPr>
          <w:rFonts w:ascii="Times New Roman" w:hAnsi="Times New Roman" w:cs="Times New Roman"/>
          <w:sz w:val="16"/>
          <w:szCs w:val="16"/>
        </w:rPr>
        <w:t xml:space="preserve">, V.S. (2014), “A survey of the factors influencing investment decisions: the case of individual investors at the NSE”, </w:t>
      </w:r>
      <w:r w:rsidRPr="004C6F41">
        <w:rPr>
          <w:rFonts w:ascii="Times New Roman" w:hAnsi="Times New Roman" w:cs="Times New Roman"/>
          <w:i/>
          <w:iCs/>
          <w:sz w:val="16"/>
          <w:szCs w:val="16"/>
        </w:rPr>
        <w:t xml:space="preserve">International Journal of Humanities and Social </w:t>
      </w:r>
      <w:proofErr w:type="spellStart"/>
      <w:r w:rsidRPr="004C6F41">
        <w:rPr>
          <w:rFonts w:ascii="Times New Roman" w:hAnsi="Times New Roman" w:cs="Times New Roman"/>
          <w:i/>
          <w:iCs/>
          <w:sz w:val="16"/>
          <w:szCs w:val="16"/>
        </w:rPr>
        <w:t>Science,Vol</w:t>
      </w:r>
      <w:proofErr w:type="spellEnd"/>
      <w:r w:rsidRPr="004C6F41">
        <w:rPr>
          <w:rFonts w:ascii="Times New Roman" w:hAnsi="Times New Roman" w:cs="Times New Roman"/>
          <w:i/>
          <w:iCs/>
          <w:sz w:val="16"/>
          <w:szCs w:val="16"/>
        </w:rPr>
        <w:t>. 4 No. 4, pp. 92-102</w:t>
      </w:r>
      <w:r w:rsidRPr="004C6F41">
        <w:rPr>
          <w:rFonts w:ascii="Times New Roman" w:hAnsi="Times New Roman" w:cs="Times New Roman"/>
          <w:sz w:val="16"/>
          <w:szCs w:val="16"/>
        </w:rPr>
        <w:t>.</w:t>
      </w:r>
    </w:p>
    <w:p w14:paraId="0AAC3630"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r w:rsidRPr="004C6F41">
        <w:rPr>
          <w:rFonts w:ascii="Times New Roman" w:hAnsi="Times New Roman" w:cs="Times New Roman"/>
          <w:sz w:val="16"/>
          <w:szCs w:val="16"/>
        </w:rPr>
        <w:t xml:space="preserve">Nair, V.R. and Antony, A. (2015), “Evolutions and challenges of </w:t>
      </w:r>
      <w:proofErr w:type="spellStart"/>
      <w:r w:rsidRPr="004C6F41">
        <w:rPr>
          <w:rFonts w:ascii="Times New Roman" w:hAnsi="Times New Roman" w:cs="Times New Roman"/>
          <w:sz w:val="16"/>
          <w:szCs w:val="16"/>
        </w:rPr>
        <w:t>behavioral</w:t>
      </w:r>
      <w:proofErr w:type="spellEnd"/>
      <w:r w:rsidRPr="004C6F41">
        <w:rPr>
          <w:rFonts w:ascii="Times New Roman" w:hAnsi="Times New Roman" w:cs="Times New Roman"/>
          <w:sz w:val="16"/>
          <w:szCs w:val="16"/>
        </w:rPr>
        <w:t xml:space="preserve"> finance”, </w:t>
      </w:r>
      <w:r w:rsidRPr="004C6F41">
        <w:rPr>
          <w:rFonts w:ascii="Times New Roman" w:hAnsi="Times New Roman" w:cs="Times New Roman"/>
          <w:i/>
          <w:iCs/>
          <w:sz w:val="16"/>
          <w:szCs w:val="16"/>
        </w:rPr>
        <w:t>International Journal of Science and Research (IJSR), Vol. 4 No. 3, pp. 1055-1059</w:t>
      </w:r>
      <w:r w:rsidRPr="004C6F41">
        <w:rPr>
          <w:rFonts w:ascii="Times New Roman" w:hAnsi="Times New Roman" w:cs="Times New Roman"/>
          <w:sz w:val="16"/>
          <w:szCs w:val="16"/>
        </w:rPr>
        <w:t>.</w:t>
      </w:r>
    </w:p>
    <w:p w14:paraId="0BA77BF3" w14:textId="77777777" w:rsidR="004C6F41" w:rsidRPr="004C6F41" w:rsidRDefault="004C6F41" w:rsidP="004C6F41">
      <w:pPr>
        <w:pStyle w:val="Default"/>
        <w:spacing w:line="360" w:lineRule="auto"/>
        <w:rPr>
          <w:color w:val="auto"/>
          <w:sz w:val="16"/>
          <w:szCs w:val="16"/>
        </w:rPr>
      </w:pPr>
      <w:r w:rsidRPr="004C6F41">
        <w:rPr>
          <w:color w:val="auto"/>
          <w:sz w:val="16"/>
          <w:szCs w:val="16"/>
          <w:shd w:val="clear" w:color="auto" w:fill="FFFFFF"/>
        </w:rPr>
        <w:t>Brady, Kevin and Garcia-</w:t>
      </w:r>
      <w:proofErr w:type="spellStart"/>
      <w:r w:rsidRPr="004C6F41">
        <w:rPr>
          <w:color w:val="auto"/>
          <w:sz w:val="16"/>
          <w:szCs w:val="16"/>
          <w:shd w:val="clear" w:color="auto" w:fill="FFFFFF"/>
        </w:rPr>
        <w:t>Feijoo</w:t>
      </w:r>
      <w:proofErr w:type="spellEnd"/>
      <w:r w:rsidRPr="004C6F41">
        <w:rPr>
          <w:color w:val="auto"/>
          <w:sz w:val="16"/>
          <w:szCs w:val="16"/>
          <w:shd w:val="clear" w:color="auto" w:fill="FFFFFF"/>
        </w:rPr>
        <w:t xml:space="preserve">, Luis and Monteiro, Pedro, Equity Returns After Large Price Shocks: </w:t>
      </w:r>
      <w:r w:rsidRPr="004C6F41">
        <w:rPr>
          <w:i/>
          <w:iCs/>
          <w:color w:val="auto"/>
          <w:sz w:val="16"/>
          <w:szCs w:val="16"/>
          <w:shd w:val="clear" w:color="auto" w:fill="FFFFFF"/>
        </w:rPr>
        <w:t>Global Evidence (June 9, 2020). Available at SSRN</w:t>
      </w:r>
      <w:r w:rsidRPr="004C6F41">
        <w:rPr>
          <w:color w:val="auto"/>
          <w:sz w:val="16"/>
          <w:szCs w:val="16"/>
          <w:shd w:val="clear" w:color="auto" w:fill="FFFFFF"/>
        </w:rPr>
        <w:t>: </w:t>
      </w:r>
      <w:hyperlink r:id="rId5" w:tgtFrame="_blank" w:history="1">
        <w:r w:rsidRPr="004C6F41">
          <w:rPr>
            <w:rStyle w:val="Hyperlink"/>
            <w:color w:val="auto"/>
            <w:sz w:val="16"/>
            <w:szCs w:val="16"/>
            <w:u w:val="none"/>
            <w:shd w:val="clear" w:color="auto" w:fill="FFFFFF"/>
          </w:rPr>
          <w:t>https://ssrn.com/abstract=3459152</w:t>
        </w:r>
      </w:hyperlink>
      <w:r w:rsidRPr="004C6F41">
        <w:rPr>
          <w:color w:val="auto"/>
          <w:sz w:val="16"/>
          <w:szCs w:val="16"/>
          <w:shd w:val="clear" w:color="auto" w:fill="FFFFFF"/>
        </w:rPr>
        <w:t> or </w:t>
      </w:r>
      <w:hyperlink r:id="rId6" w:tgtFrame="_blank" w:history="1">
        <w:r w:rsidRPr="004C6F41">
          <w:rPr>
            <w:rStyle w:val="Hyperlink"/>
            <w:color w:val="auto"/>
            <w:sz w:val="16"/>
            <w:szCs w:val="16"/>
            <w:u w:val="none"/>
            <w:shd w:val="clear" w:color="auto" w:fill="FFFFFF"/>
          </w:rPr>
          <w:t>http://dx.doi.org/10.2139/ssrn.3459152</w:t>
        </w:r>
      </w:hyperlink>
      <w:r w:rsidRPr="004C6F41">
        <w:rPr>
          <w:rStyle w:val="Hyperlink"/>
          <w:color w:val="auto"/>
          <w:sz w:val="16"/>
          <w:szCs w:val="16"/>
          <w:u w:val="none"/>
          <w:shd w:val="clear" w:color="auto" w:fill="FFFFFF"/>
        </w:rPr>
        <w:t>.</w:t>
      </w:r>
    </w:p>
    <w:p w14:paraId="334AC8B5" w14:textId="77777777" w:rsidR="004C6F41" w:rsidRPr="004C6F41" w:rsidRDefault="004C6F41" w:rsidP="004C6F41">
      <w:pPr>
        <w:pStyle w:val="Default"/>
        <w:spacing w:line="360" w:lineRule="auto"/>
        <w:rPr>
          <w:i/>
          <w:iCs/>
          <w:sz w:val="16"/>
          <w:szCs w:val="16"/>
        </w:rPr>
      </w:pPr>
      <w:proofErr w:type="spellStart"/>
      <w:r w:rsidRPr="004C6F41">
        <w:rPr>
          <w:sz w:val="16"/>
          <w:szCs w:val="16"/>
        </w:rPr>
        <w:t>Birau</w:t>
      </w:r>
      <w:proofErr w:type="spellEnd"/>
      <w:r w:rsidRPr="004C6F41">
        <w:rPr>
          <w:sz w:val="16"/>
          <w:szCs w:val="16"/>
        </w:rPr>
        <w:t>, F. R. (2012). The Impact of Behavioural Finance on Stock Markets.</w:t>
      </w:r>
      <w:r w:rsidRPr="004C6F41">
        <w:rPr>
          <w:i/>
          <w:iCs/>
          <w:sz w:val="16"/>
          <w:szCs w:val="16"/>
        </w:rPr>
        <w:t xml:space="preserve"> </w:t>
      </w:r>
      <w:r w:rsidRPr="004C6F41">
        <w:rPr>
          <w:sz w:val="16"/>
          <w:szCs w:val="16"/>
        </w:rPr>
        <w:t xml:space="preserve">Retrieved February 20, 2014, from researchgate.net: </w:t>
      </w:r>
      <w:r w:rsidRPr="004C6F41">
        <w:rPr>
          <w:i/>
          <w:iCs/>
          <w:sz w:val="16"/>
          <w:szCs w:val="16"/>
        </w:rPr>
        <w:t xml:space="preserve">http://www.researchgate.net/publication/258698903_THE_IMPACT_OF_BEHAVIOURAL_FINANCE_ON_STOCK_MARKETS </w:t>
      </w:r>
    </w:p>
    <w:p w14:paraId="5702A0C5" w14:textId="77777777" w:rsidR="004C6F41" w:rsidRPr="00BF6BDE" w:rsidRDefault="004C6F41" w:rsidP="004C6F41">
      <w:pPr>
        <w:autoSpaceDE w:val="0"/>
        <w:autoSpaceDN w:val="0"/>
        <w:adjustRightInd w:val="0"/>
        <w:spacing w:line="360" w:lineRule="auto"/>
        <w:rPr>
          <w:rFonts w:ascii="Times New Roman" w:hAnsi="Times New Roman" w:cs="Times New Roman"/>
          <w:sz w:val="16"/>
          <w:szCs w:val="16"/>
        </w:rPr>
      </w:pPr>
      <w:r w:rsidRPr="004C6F41">
        <w:rPr>
          <w:rFonts w:ascii="Times New Roman" w:hAnsi="Times New Roman" w:cs="Times New Roman"/>
          <w:sz w:val="16"/>
          <w:szCs w:val="16"/>
        </w:rPr>
        <w:t xml:space="preserve">Ulrich </w:t>
      </w:r>
      <w:proofErr w:type="spellStart"/>
      <w:r w:rsidRPr="004C6F41">
        <w:rPr>
          <w:rFonts w:ascii="Times New Roman" w:hAnsi="Times New Roman" w:cs="Times New Roman"/>
          <w:sz w:val="16"/>
          <w:szCs w:val="16"/>
        </w:rPr>
        <w:t>Schmidta</w:t>
      </w:r>
      <w:proofErr w:type="spellEnd"/>
      <w:r w:rsidRPr="004C6F41">
        <w:rPr>
          <w:rFonts w:ascii="Times New Roman" w:hAnsi="Times New Roman" w:cs="Times New Roman"/>
          <w:sz w:val="16"/>
          <w:szCs w:val="16"/>
        </w:rPr>
        <w:t xml:space="preserve">, and Horst </w:t>
      </w:r>
      <w:proofErr w:type="spellStart"/>
      <w:r w:rsidRPr="004C6F41">
        <w:rPr>
          <w:rFonts w:ascii="Times New Roman" w:hAnsi="Times New Roman" w:cs="Times New Roman"/>
          <w:sz w:val="16"/>
          <w:szCs w:val="16"/>
        </w:rPr>
        <w:t>Zankb</w:t>
      </w:r>
      <w:proofErr w:type="spellEnd"/>
      <w:r w:rsidRPr="004C6F41">
        <w:rPr>
          <w:rFonts w:ascii="Times New Roman" w:hAnsi="Times New Roman" w:cs="Times New Roman"/>
          <w:sz w:val="16"/>
          <w:szCs w:val="16"/>
        </w:rPr>
        <w:t xml:space="preserve">, 2002, ‘What is Loss Aversion?’, </w:t>
      </w:r>
      <w:r w:rsidRPr="004C6F41">
        <w:rPr>
          <w:rFonts w:ascii="Times New Roman" w:hAnsi="Times New Roman" w:cs="Times New Roman"/>
          <w:i/>
          <w:iCs/>
          <w:sz w:val="16"/>
          <w:szCs w:val="16"/>
        </w:rPr>
        <w:t xml:space="preserve">available at </w:t>
      </w:r>
      <w:hyperlink r:id="rId7" w:history="1">
        <w:r w:rsidRPr="00BF6BDE">
          <w:rPr>
            <w:rStyle w:val="Hyperlink"/>
            <w:rFonts w:ascii="Times New Roman" w:hAnsi="Times New Roman" w:cs="Times New Roman"/>
            <w:color w:val="auto"/>
            <w:sz w:val="16"/>
            <w:szCs w:val="16"/>
            <w:u w:val="none"/>
          </w:rPr>
          <w:t>http://loss-aversion.behaviouralfinance.net/ScZa02.pdf</w:t>
        </w:r>
      </w:hyperlink>
    </w:p>
    <w:p w14:paraId="1ADE7751"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r w:rsidRPr="004C6F41">
        <w:rPr>
          <w:rFonts w:ascii="Times New Roman" w:hAnsi="Times New Roman" w:cs="Times New Roman"/>
          <w:sz w:val="16"/>
          <w:szCs w:val="16"/>
        </w:rPr>
        <w:t xml:space="preserve">Tversky, A. and Kahneman, D. (1974). ‘Judgement under uncertainty: </w:t>
      </w:r>
      <w:r w:rsidRPr="004C6F41">
        <w:rPr>
          <w:rFonts w:ascii="Times New Roman" w:hAnsi="Times New Roman" w:cs="Times New Roman"/>
          <w:i/>
          <w:iCs/>
          <w:sz w:val="16"/>
          <w:szCs w:val="16"/>
        </w:rPr>
        <w:t>Heuristics and biases’, Science (185):1124-1131</w:t>
      </w:r>
      <w:r w:rsidRPr="004C6F41">
        <w:rPr>
          <w:rFonts w:ascii="Times New Roman" w:hAnsi="Times New Roman" w:cs="Times New Roman"/>
          <w:sz w:val="16"/>
          <w:szCs w:val="16"/>
        </w:rPr>
        <w:t>.</w:t>
      </w:r>
    </w:p>
    <w:p w14:paraId="6394186B"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r w:rsidRPr="004C6F41">
        <w:rPr>
          <w:rFonts w:ascii="Times New Roman" w:hAnsi="Times New Roman" w:cs="Times New Roman"/>
          <w:sz w:val="16"/>
          <w:szCs w:val="16"/>
        </w:rPr>
        <w:t xml:space="preserve">Markowitz, H.M. (1952), “Portfolio selection”, </w:t>
      </w:r>
      <w:r w:rsidRPr="004C6F41">
        <w:rPr>
          <w:rFonts w:ascii="Times New Roman" w:hAnsi="Times New Roman" w:cs="Times New Roman"/>
          <w:i/>
          <w:iCs/>
          <w:sz w:val="16"/>
          <w:szCs w:val="16"/>
        </w:rPr>
        <w:t>Journal of Finance, Vol. 7, pp. 77-91</w:t>
      </w:r>
      <w:r w:rsidRPr="004C6F41">
        <w:rPr>
          <w:rFonts w:ascii="Times New Roman" w:hAnsi="Times New Roman" w:cs="Times New Roman"/>
          <w:sz w:val="16"/>
          <w:szCs w:val="16"/>
        </w:rPr>
        <w:t>.</w:t>
      </w:r>
    </w:p>
    <w:p w14:paraId="4379B157" w14:textId="77777777" w:rsidR="004C6F41" w:rsidRPr="004C6F41" w:rsidRDefault="004C6F41" w:rsidP="004C6F41">
      <w:pPr>
        <w:autoSpaceDE w:val="0"/>
        <w:autoSpaceDN w:val="0"/>
        <w:adjustRightInd w:val="0"/>
        <w:spacing w:line="360" w:lineRule="auto"/>
        <w:rPr>
          <w:rFonts w:ascii="Times New Roman" w:hAnsi="Times New Roman" w:cs="Times New Roman"/>
          <w:sz w:val="16"/>
          <w:szCs w:val="16"/>
        </w:rPr>
      </w:pPr>
      <w:r w:rsidRPr="004C6F41">
        <w:rPr>
          <w:rFonts w:ascii="Times New Roman" w:hAnsi="Times New Roman" w:cs="Times New Roman"/>
          <w:sz w:val="16"/>
          <w:szCs w:val="16"/>
        </w:rPr>
        <w:t xml:space="preserve">Merton, R.C. (1969), “Lifetime portfolio selection under uncertainty: the continuous time case”, </w:t>
      </w:r>
      <w:r w:rsidRPr="004C6F41">
        <w:rPr>
          <w:rFonts w:ascii="Times New Roman" w:hAnsi="Times New Roman" w:cs="Times New Roman"/>
          <w:i/>
          <w:iCs/>
          <w:sz w:val="16"/>
          <w:szCs w:val="16"/>
        </w:rPr>
        <w:t>Review of Economics and Statistics, Vol. 51 No. 3, pp. 247-57</w:t>
      </w:r>
      <w:r w:rsidRPr="004C6F41">
        <w:rPr>
          <w:rFonts w:ascii="Times New Roman" w:hAnsi="Times New Roman" w:cs="Times New Roman"/>
          <w:sz w:val="16"/>
          <w:szCs w:val="16"/>
        </w:rPr>
        <w:t>.</w:t>
      </w:r>
    </w:p>
    <w:p w14:paraId="2E9522BC" w14:textId="77777777" w:rsidR="004C6F41" w:rsidRPr="004C6F41" w:rsidRDefault="004C6F41" w:rsidP="004C6F41">
      <w:pPr>
        <w:autoSpaceDE w:val="0"/>
        <w:autoSpaceDN w:val="0"/>
        <w:adjustRightInd w:val="0"/>
        <w:spacing w:line="360" w:lineRule="auto"/>
        <w:rPr>
          <w:rFonts w:ascii="Times New Roman" w:eastAsia="TimesNewRomanPSMT" w:hAnsi="Times New Roman" w:cs="Times New Roman"/>
          <w:sz w:val="16"/>
          <w:szCs w:val="16"/>
        </w:rPr>
      </w:pPr>
      <w:r w:rsidRPr="004C6F41">
        <w:rPr>
          <w:rFonts w:ascii="Times New Roman" w:eastAsia="TimesNewRomanPSMT" w:hAnsi="Times New Roman" w:cs="Times New Roman"/>
          <w:sz w:val="16"/>
          <w:szCs w:val="16"/>
        </w:rPr>
        <w:t xml:space="preserve">Mallick, S. K. (1993), Bounded Rationality &amp; Arrow-Debreu Economies, </w:t>
      </w:r>
      <w:r w:rsidRPr="004C6F41">
        <w:rPr>
          <w:rFonts w:ascii="Times New Roman" w:eastAsia="TimesNewRomanPSMT" w:hAnsi="Times New Roman" w:cs="Times New Roman"/>
          <w:i/>
          <w:iCs/>
          <w:sz w:val="16"/>
          <w:szCs w:val="16"/>
        </w:rPr>
        <w:t>Ph.D. Dissertation, Dept. of Economics, New York University</w:t>
      </w:r>
      <w:r w:rsidRPr="004C6F41">
        <w:rPr>
          <w:rFonts w:ascii="Times New Roman" w:eastAsia="TimesNewRomanPSMT" w:hAnsi="Times New Roman" w:cs="Times New Roman"/>
          <w:sz w:val="16"/>
          <w:szCs w:val="16"/>
        </w:rPr>
        <w:t>.</w:t>
      </w:r>
    </w:p>
    <w:p w14:paraId="2A624EC1" w14:textId="77777777" w:rsidR="004C6F41" w:rsidRPr="004C6F41" w:rsidRDefault="004C6F41" w:rsidP="004C6F41">
      <w:pPr>
        <w:autoSpaceDE w:val="0"/>
        <w:autoSpaceDN w:val="0"/>
        <w:adjustRightInd w:val="0"/>
        <w:spacing w:line="360" w:lineRule="auto"/>
        <w:rPr>
          <w:rFonts w:ascii="Times New Roman" w:hAnsi="Times New Roman" w:cs="Times New Roman"/>
          <w:i/>
          <w:iCs/>
          <w:sz w:val="16"/>
          <w:szCs w:val="16"/>
        </w:rPr>
      </w:pPr>
      <w:proofErr w:type="spellStart"/>
      <w:r w:rsidRPr="004C6F41">
        <w:rPr>
          <w:rFonts w:ascii="Times New Roman" w:hAnsi="Times New Roman" w:cs="Times New Roman"/>
          <w:sz w:val="16"/>
          <w:szCs w:val="16"/>
        </w:rPr>
        <w:t>Fama</w:t>
      </w:r>
      <w:proofErr w:type="spellEnd"/>
      <w:r w:rsidRPr="004C6F41">
        <w:rPr>
          <w:rFonts w:ascii="Times New Roman" w:hAnsi="Times New Roman" w:cs="Times New Roman"/>
          <w:sz w:val="16"/>
          <w:szCs w:val="16"/>
        </w:rPr>
        <w:t xml:space="preserve">, E. (1997), “Market efficiency, long-term returns, and behavioural finance”, </w:t>
      </w:r>
      <w:r w:rsidRPr="004C6F41">
        <w:rPr>
          <w:rFonts w:ascii="Times New Roman" w:hAnsi="Times New Roman" w:cs="Times New Roman"/>
          <w:i/>
          <w:iCs/>
          <w:sz w:val="16"/>
          <w:szCs w:val="16"/>
        </w:rPr>
        <w:t>The Journal of Finance, 49(3), pp. 283-306</w:t>
      </w:r>
      <w:r w:rsidRPr="004C6F41">
        <w:rPr>
          <w:rFonts w:ascii="Times New Roman" w:hAnsi="Times New Roman" w:cs="Times New Roman"/>
          <w:sz w:val="16"/>
          <w:szCs w:val="16"/>
        </w:rPr>
        <w:t>.</w:t>
      </w:r>
    </w:p>
    <w:p w14:paraId="18740E65" w14:textId="77777777" w:rsidR="004C6F41" w:rsidRPr="004C6F41" w:rsidRDefault="004C6F41" w:rsidP="004C6F41">
      <w:pPr>
        <w:pStyle w:val="Default"/>
        <w:spacing w:line="360" w:lineRule="auto"/>
        <w:rPr>
          <w:sz w:val="16"/>
          <w:szCs w:val="16"/>
        </w:rPr>
      </w:pPr>
      <w:r w:rsidRPr="004C6F41">
        <w:rPr>
          <w:sz w:val="16"/>
          <w:szCs w:val="16"/>
        </w:rPr>
        <w:t>Banerjee, S. and Banerjee, D. (2020), ‘</w:t>
      </w:r>
      <w:proofErr w:type="spellStart"/>
      <w:r w:rsidRPr="004C6F41">
        <w:rPr>
          <w:sz w:val="16"/>
          <w:szCs w:val="16"/>
        </w:rPr>
        <w:t>Behavioral</w:t>
      </w:r>
      <w:proofErr w:type="spellEnd"/>
      <w:r w:rsidRPr="004C6F41">
        <w:rPr>
          <w:sz w:val="16"/>
          <w:szCs w:val="16"/>
        </w:rPr>
        <w:t xml:space="preserve"> Finance: An Overview’, </w:t>
      </w:r>
      <w:r w:rsidRPr="004C6F41">
        <w:rPr>
          <w:i/>
          <w:iCs/>
          <w:sz w:val="16"/>
          <w:szCs w:val="16"/>
        </w:rPr>
        <w:t>Indian Journal of Multidisciplinary Academic Research, Vol. 7, No. 1 &amp; 2, Dec. 2020, 47-53</w:t>
      </w:r>
      <w:r w:rsidRPr="004C6F41">
        <w:rPr>
          <w:sz w:val="16"/>
          <w:szCs w:val="16"/>
        </w:rPr>
        <w:t xml:space="preserve">. </w:t>
      </w:r>
    </w:p>
    <w:p w14:paraId="3758E8B9" w14:textId="77777777" w:rsidR="004C6F41" w:rsidRPr="004C6F41" w:rsidRDefault="004C6F41" w:rsidP="004C6F41">
      <w:pPr>
        <w:pStyle w:val="Default"/>
        <w:spacing w:line="360" w:lineRule="auto"/>
        <w:rPr>
          <w:color w:val="auto"/>
          <w:sz w:val="16"/>
          <w:szCs w:val="16"/>
        </w:rPr>
      </w:pPr>
      <w:r w:rsidRPr="004C6F41">
        <w:rPr>
          <w:sz w:val="16"/>
          <w:szCs w:val="16"/>
        </w:rPr>
        <w:t>Banerjee, S. and Banerjee, D. (2021), ‘</w:t>
      </w:r>
      <w:proofErr w:type="spellStart"/>
      <w:r w:rsidRPr="004C6F41">
        <w:rPr>
          <w:sz w:val="16"/>
          <w:szCs w:val="16"/>
        </w:rPr>
        <w:t>Behavioral</w:t>
      </w:r>
      <w:proofErr w:type="spellEnd"/>
      <w:r w:rsidRPr="004C6F41">
        <w:rPr>
          <w:sz w:val="16"/>
          <w:szCs w:val="16"/>
        </w:rPr>
        <w:t xml:space="preserve"> Finance: A Study of Selected Investors’, </w:t>
      </w:r>
      <w:r w:rsidRPr="004C6F41">
        <w:rPr>
          <w:i/>
          <w:iCs/>
          <w:sz w:val="16"/>
          <w:szCs w:val="16"/>
        </w:rPr>
        <w:t xml:space="preserve">‘Emerging Issues and Debates in Accounting and Finance’ Volume 1, Edited Journal, University of </w:t>
      </w:r>
      <w:proofErr w:type="spellStart"/>
      <w:r w:rsidRPr="004C6F41">
        <w:rPr>
          <w:i/>
          <w:iCs/>
          <w:sz w:val="16"/>
          <w:szCs w:val="16"/>
        </w:rPr>
        <w:t>Gour</w:t>
      </w:r>
      <w:proofErr w:type="spellEnd"/>
      <w:r w:rsidRPr="004C6F41">
        <w:rPr>
          <w:i/>
          <w:iCs/>
          <w:sz w:val="16"/>
          <w:szCs w:val="16"/>
        </w:rPr>
        <w:t xml:space="preserve"> Banga, 2021, Pg-238-257</w:t>
      </w:r>
      <w:r w:rsidRPr="004C6F41">
        <w:rPr>
          <w:sz w:val="16"/>
          <w:szCs w:val="16"/>
        </w:rPr>
        <w:t>.</w:t>
      </w:r>
    </w:p>
    <w:p w14:paraId="68E4C53D" w14:textId="77777777" w:rsidR="004C6F41" w:rsidRPr="004C6F41" w:rsidRDefault="004C6F41" w:rsidP="004C6F41">
      <w:pPr>
        <w:pStyle w:val="Default"/>
        <w:spacing w:line="360" w:lineRule="auto"/>
        <w:rPr>
          <w:sz w:val="16"/>
          <w:szCs w:val="16"/>
        </w:rPr>
      </w:pPr>
      <w:r w:rsidRPr="004C6F41">
        <w:rPr>
          <w:rFonts w:eastAsia="TimesNewRomanPSMT"/>
          <w:sz w:val="16"/>
          <w:szCs w:val="16"/>
        </w:rPr>
        <w:t>https://www.investopedia.com/terms/i/investment.asp</w:t>
      </w:r>
    </w:p>
    <w:p w14:paraId="2B6FB2AB" w14:textId="77777777" w:rsidR="004C6F41" w:rsidRPr="00BF6BDE" w:rsidRDefault="00000000" w:rsidP="004C6F41">
      <w:pPr>
        <w:autoSpaceDE w:val="0"/>
        <w:autoSpaceDN w:val="0"/>
        <w:adjustRightInd w:val="0"/>
        <w:spacing w:line="360" w:lineRule="auto"/>
        <w:rPr>
          <w:rFonts w:ascii="Times New Roman" w:hAnsi="Times New Roman" w:cs="Times New Roman"/>
          <w:sz w:val="16"/>
          <w:szCs w:val="16"/>
        </w:rPr>
      </w:pPr>
      <w:hyperlink r:id="rId8" w:history="1">
        <w:r w:rsidR="004C6F41" w:rsidRPr="00BF6BDE">
          <w:rPr>
            <w:rStyle w:val="Hyperlink"/>
            <w:rFonts w:ascii="Times New Roman" w:eastAsia="TimesNewRomanPSMT" w:hAnsi="Times New Roman" w:cs="Times New Roman"/>
            <w:color w:val="auto"/>
            <w:sz w:val="16"/>
            <w:szCs w:val="16"/>
            <w:u w:val="none"/>
          </w:rPr>
          <w:t>https://www.investopedia.com/articles/stocks/09/indian-stock-market.asp</w:t>
        </w:r>
      </w:hyperlink>
    </w:p>
    <w:p w14:paraId="14EE083B" w14:textId="092F4A13" w:rsidR="005B754A" w:rsidRPr="00A01BB9" w:rsidRDefault="004C6F41" w:rsidP="00A01BB9">
      <w:pPr>
        <w:pStyle w:val="Default"/>
        <w:rPr>
          <w:sz w:val="16"/>
          <w:szCs w:val="16"/>
        </w:rPr>
      </w:pPr>
      <w:r w:rsidRPr="004C6F41">
        <w:rPr>
          <w:sz w:val="16"/>
          <w:szCs w:val="16"/>
        </w:rPr>
        <w:t xml:space="preserve">https://www.behavioralfinance.com </w:t>
      </w:r>
    </w:p>
    <w:sectPr w:rsidR="005B754A" w:rsidRPr="00A01BB9" w:rsidSect="00D73C85">
      <w:pgSz w:w="11906" w:h="16838" w:code="9"/>
      <w:pgMar w:top="624" w:right="1440" w:bottom="144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034"/>
    <w:multiLevelType w:val="hybridMultilevel"/>
    <w:tmpl w:val="1F741F3C"/>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8F979D5"/>
    <w:multiLevelType w:val="hybridMultilevel"/>
    <w:tmpl w:val="259AD6B2"/>
    <w:lvl w:ilvl="0" w:tplc="338628B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FC6077"/>
    <w:multiLevelType w:val="hybridMultilevel"/>
    <w:tmpl w:val="59D25B3C"/>
    <w:lvl w:ilvl="0" w:tplc="7A14C084">
      <w:start w:val="1"/>
      <w:numFmt w:val="upperLetter"/>
      <w:lvlText w:val="%1."/>
      <w:lvlJc w:val="left"/>
      <w:pPr>
        <w:ind w:left="720" w:hanging="720"/>
      </w:pPr>
      <w:rPr>
        <w:rFonts w:ascii="Times New Roman" w:eastAsiaTheme="minorHAnsi" w:hAnsi="Times New Roman" w:cs="Times New Roman"/>
        <w:b/>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9C42699"/>
    <w:multiLevelType w:val="hybridMultilevel"/>
    <w:tmpl w:val="7B96CAE8"/>
    <w:lvl w:ilvl="0" w:tplc="BA5C0C6E">
      <w:start w:val="1"/>
      <w:numFmt w:val="upperLetter"/>
      <w:lvlText w:val="%1."/>
      <w:lvlJc w:val="left"/>
      <w:pPr>
        <w:ind w:left="360" w:hanging="360"/>
      </w:pPr>
      <w:rPr>
        <w:rFonts w:hint="default"/>
        <w:b/>
        <w:bCs/>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4" w15:restartNumberingAfterBreak="0">
    <w:nsid w:val="261A5CF3"/>
    <w:multiLevelType w:val="hybridMultilevel"/>
    <w:tmpl w:val="AC6EA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372E1D"/>
    <w:multiLevelType w:val="hybridMultilevel"/>
    <w:tmpl w:val="EFE6FB88"/>
    <w:lvl w:ilvl="0" w:tplc="47308588">
      <w:start w:val="1"/>
      <w:numFmt w:val="lowerRoman"/>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96076"/>
    <w:multiLevelType w:val="hybridMultilevel"/>
    <w:tmpl w:val="D7EACBC8"/>
    <w:lvl w:ilvl="0" w:tplc="40090001">
      <w:start w:val="1"/>
      <w:numFmt w:val="bullet"/>
      <w:lvlText w:val=""/>
      <w:lvlJc w:val="left"/>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893387"/>
    <w:multiLevelType w:val="hybridMultilevel"/>
    <w:tmpl w:val="B4605336"/>
    <w:lvl w:ilvl="0" w:tplc="FBF810C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394B1FDB"/>
    <w:multiLevelType w:val="hybridMultilevel"/>
    <w:tmpl w:val="727A32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210A0B"/>
    <w:multiLevelType w:val="hybridMultilevel"/>
    <w:tmpl w:val="038EDA10"/>
    <w:lvl w:ilvl="0" w:tplc="4009001B">
      <w:start w:val="1"/>
      <w:numFmt w:val="low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11F0185"/>
    <w:multiLevelType w:val="hybridMultilevel"/>
    <w:tmpl w:val="1D90A2B4"/>
    <w:lvl w:ilvl="0" w:tplc="858253B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A427F2"/>
    <w:multiLevelType w:val="hybridMultilevel"/>
    <w:tmpl w:val="A6A6B390"/>
    <w:lvl w:ilvl="0" w:tplc="9852109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D660E8"/>
    <w:multiLevelType w:val="hybridMultilevel"/>
    <w:tmpl w:val="23362330"/>
    <w:lvl w:ilvl="0" w:tplc="194E3A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461676"/>
    <w:multiLevelType w:val="hybridMultilevel"/>
    <w:tmpl w:val="F768E5B6"/>
    <w:lvl w:ilvl="0" w:tplc="21F058CE">
      <w:start w:val="1"/>
      <w:numFmt w:val="upperLetter"/>
      <w:lvlText w:val="%1."/>
      <w:lvlJc w:val="left"/>
      <w:pPr>
        <w:ind w:left="720" w:hanging="720"/>
      </w:pPr>
      <w:rPr>
        <w:rFonts w:ascii="Times New Roman" w:eastAsiaTheme="minorHAnsi"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F2A67EF"/>
    <w:multiLevelType w:val="hybridMultilevel"/>
    <w:tmpl w:val="7AC8E4BE"/>
    <w:lvl w:ilvl="0" w:tplc="F1BA220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70B7617C"/>
    <w:multiLevelType w:val="hybridMultilevel"/>
    <w:tmpl w:val="AE6CE904"/>
    <w:lvl w:ilvl="0" w:tplc="4009001B">
      <w:start w:val="1"/>
      <w:numFmt w:val="lowerRoman"/>
      <w:lvlText w:val="%1."/>
      <w:lvlJc w:val="right"/>
      <w:pPr>
        <w:ind w:left="360" w:hanging="360"/>
      </w:pPr>
    </w:lvl>
    <w:lvl w:ilvl="1" w:tplc="2A3E0016">
      <w:start w:val="1"/>
      <w:numFmt w:val="lowerLetter"/>
      <w:lvlText w:val="%2."/>
      <w:lvlJc w:val="left"/>
      <w:pPr>
        <w:ind w:left="76"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797426D5"/>
    <w:multiLevelType w:val="hybridMultilevel"/>
    <w:tmpl w:val="9AD0A7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FC85FAE"/>
    <w:multiLevelType w:val="hybridMultilevel"/>
    <w:tmpl w:val="D0FE5954"/>
    <w:lvl w:ilvl="0" w:tplc="4009001B">
      <w:start w:val="1"/>
      <w:numFmt w:val="low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66344832">
    <w:abstractNumId w:val="12"/>
  </w:num>
  <w:num w:numId="2" w16cid:durableId="348609178">
    <w:abstractNumId w:val="7"/>
  </w:num>
  <w:num w:numId="3" w16cid:durableId="188298025">
    <w:abstractNumId w:val="14"/>
  </w:num>
  <w:num w:numId="4" w16cid:durableId="152109518">
    <w:abstractNumId w:val="17"/>
  </w:num>
  <w:num w:numId="5" w16cid:durableId="177355342">
    <w:abstractNumId w:val="2"/>
  </w:num>
  <w:num w:numId="6" w16cid:durableId="1058242546">
    <w:abstractNumId w:val="13"/>
  </w:num>
  <w:num w:numId="7" w16cid:durableId="1278638822">
    <w:abstractNumId w:val="9"/>
  </w:num>
  <w:num w:numId="8" w16cid:durableId="1524592070">
    <w:abstractNumId w:val="0"/>
  </w:num>
  <w:num w:numId="9" w16cid:durableId="556550637">
    <w:abstractNumId w:val="15"/>
  </w:num>
  <w:num w:numId="10" w16cid:durableId="1610426645">
    <w:abstractNumId w:val="1"/>
  </w:num>
  <w:num w:numId="11" w16cid:durableId="2121871864">
    <w:abstractNumId w:val="3"/>
  </w:num>
  <w:num w:numId="12" w16cid:durableId="1018002562">
    <w:abstractNumId w:val="11"/>
  </w:num>
  <w:num w:numId="13" w16cid:durableId="1261403394">
    <w:abstractNumId w:val="8"/>
  </w:num>
  <w:num w:numId="14" w16cid:durableId="265968112">
    <w:abstractNumId w:val="16"/>
  </w:num>
  <w:num w:numId="15" w16cid:durableId="306127444">
    <w:abstractNumId w:val="4"/>
  </w:num>
  <w:num w:numId="16" w16cid:durableId="819469434">
    <w:abstractNumId w:val="6"/>
  </w:num>
  <w:num w:numId="17" w16cid:durableId="915481423">
    <w:abstractNumId w:val="5"/>
  </w:num>
  <w:num w:numId="18" w16cid:durableId="16136593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57C"/>
    <w:rsid w:val="000138E2"/>
    <w:rsid w:val="000410D8"/>
    <w:rsid w:val="000C6028"/>
    <w:rsid w:val="000F07E3"/>
    <w:rsid w:val="00185E86"/>
    <w:rsid w:val="00212309"/>
    <w:rsid w:val="00226C56"/>
    <w:rsid w:val="00286E26"/>
    <w:rsid w:val="00347785"/>
    <w:rsid w:val="0043477C"/>
    <w:rsid w:val="004C6F41"/>
    <w:rsid w:val="005A471A"/>
    <w:rsid w:val="005B754A"/>
    <w:rsid w:val="006700DB"/>
    <w:rsid w:val="00690ED3"/>
    <w:rsid w:val="006F5062"/>
    <w:rsid w:val="00702383"/>
    <w:rsid w:val="00704A69"/>
    <w:rsid w:val="007A585D"/>
    <w:rsid w:val="007A7776"/>
    <w:rsid w:val="0084257C"/>
    <w:rsid w:val="008925EA"/>
    <w:rsid w:val="0097719C"/>
    <w:rsid w:val="00995FDF"/>
    <w:rsid w:val="009C5B8F"/>
    <w:rsid w:val="00A01BB9"/>
    <w:rsid w:val="00A26C98"/>
    <w:rsid w:val="00AA041C"/>
    <w:rsid w:val="00AE05E0"/>
    <w:rsid w:val="00B23D51"/>
    <w:rsid w:val="00BB2CF1"/>
    <w:rsid w:val="00BF6BDE"/>
    <w:rsid w:val="00C023BB"/>
    <w:rsid w:val="00C1668A"/>
    <w:rsid w:val="00C72E74"/>
    <w:rsid w:val="00CB3C23"/>
    <w:rsid w:val="00CD18D0"/>
    <w:rsid w:val="00CF5297"/>
    <w:rsid w:val="00D520FF"/>
    <w:rsid w:val="00D73C85"/>
    <w:rsid w:val="00E4760B"/>
    <w:rsid w:val="00E70B09"/>
    <w:rsid w:val="00FC4D7B"/>
    <w:rsid w:val="00FE63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8276"/>
  <w15:chartTrackingRefBased/>
  <w15:docId w15:val="{73C831BB-0E11-4AD3-84C1-E6C1F710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38E2"/>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A26C98"/>
    <w:pPr>
      <w:ind w:left="720"/>
      <w:contextualSpacing/>
    </w:pPr>
  </w:style>
  <w:style w:type="table" w:styleId="TableGrid">
    <w:name w:val="Table Grid"/>
    <w:basedOn w:val="TableNormal"/>
    <w:uiPriority w:val="39"/>
    <w:rsid w:val="009C5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F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stocks/09/indian-stock-market.asp" TargetMode="External"/><Relationship Id="rId3" Type="http://schemas.openxmlformats.org/officeDocument/2006/relationships/settings" Target="settings.xml"/><Relationship Id="rId7" Type="http://schemas.openxmlformats.org/officeDocument/2006/relationships/hyperlink" Target="http://loss-aversion.behaviouralfinance.net/ScZa0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x.doi.org/10.2139/ssrn.3459152" TargetMode="External"/><Relationship Id="rId5" Type="http://schemas.openxmlformats.org/officeDocument/2006/relationships/hyperlink" Target="https://ssrn.com/abstract=345915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5587</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Devdeep Banerjee</dc:creator>
  <cp:keywords/>
  <dc:description/>
  <cp:lastModifiedBy>Devdeep Banerjee</cp:lastModifiedBy>
  <cp:revision>12</cp:revision>
  <dcterms:created xsi:type="dcterms:W3CDTF">2022-08-03T14:54:00Z</dcterms:created>
  <dcterms:modified xsi:type="dcterms:W3CDTF">2022-08-05T19:04:00Z</dcterms:modified>
</cp:coreProperties>
</file>