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EE7" w:rsidRPr="009E1EE7" w:rsidRDefault="009E1EE7" w:rsidP="00AE6497">
      <w:pPr>
        <w:pStyle w:val="NoSpacing"/>
        <w:rPr>
          <w:rFonts w:eastAsia="MS Mincho"/>
          <w:bCs/>
          <w:noProof/>
          <w:sz w:val="48"/>
          <w:szCs w:val="48"/>
        </w:rPr>
      </w:pPr>
      <w:r w:rsidRPr="009E1EE7">
        <w:rPr>
          <w:rFonts w:eastAsia="MS Mincho"/>
          <w:bCs/>
          <w:noProof/>
          <w:sz w:val="48"/>
          <w:szCs w:val="48"/>
        </w:rPr>
        <w:t>Use of nonionic Gemini surfactants and Carbohydrate derived surfactants for encapsulation of poorly water drug viz. Glibenclamide by micellization : Comparative review</w:t>
      </w:r>
    </w:p>
    <w:p w:rsidR="00466548" w:rsidRPr="00466548" w:rsidRDefault="00466548" w:rsidP="00AE6497">
      <w:pPr>
        <w:pStyle w:val="papertitle"/>
        <w:spacing w:after="0"/>
        <w:rPr>
          <w:rFonts w:eastAsia="MS Mincho"/>
        </w:rPr>
      </w:pPr>
    </w:p>
    <w:p w:rsidR="008A55B5" w:rsidRPr="00466548" w:rsidRDefault="008A55B5" w:rsidP="00AE6497">
      <w:pPr>
        <w:rPr>
          <w:rFonts w:eastAsia="MS Mincho"/>
        </w:rPr>
      </w:pPr>
    </w:p>
    <w:p w:rsidR="008A55B5" w:rsidRPr="00466548" w:rsidRDefault="008A55B5" w:rsidP="00AE6497">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9E1EE7" w:rsidRDefault="009E1EE7" w:rsidP="00AE6497">
      <w:pPr>
        <w:pStyle w:val="Author"/>
        <w:spacing w:before="0" w:after="0"/>
        <w:rPr>
          <w:rFonts w:eastAsia="MS Mincho"/>
          <w:sz w:val="20"/>
          <w:szCs w:val="20"/>
        </w:rPr>
      </w:pPr>
      <w:r>
        <w:rPr>
          <w:rFonts w:eastAsia="MS Mincho"/>
          <w:sz w:val="20"/>
          <w:szCs w:val="20"/>
        </w:rPr>
        <w:lastRenderedPageBreak/>
        <w:t>Nirmal Singh</w:t>
      </w:r>
    </w:p>
    <w:p w:rsidR="009E1EE7" w:rsidRDefault="009E1EE7" w:rsidP="00AE6497">
      <w:pPr>
        <w:pStyle w:val="Author"/>
        <w:spacing w:before="0" w:after="0"/>
        <w:rPr>
          <w:rFonts w:eastAsia="MS Mincho"/>
          <w:sz w:val="20"/>
          <w:szCs w:val="20"/>
        </w:rPr>
      </w:pPr>
      <w:r>
        <w:rPr>
          <w:rFonts w:eastAsia="MS Mincho"/>
          <w:sz w:val="20"/>
          <w:szCs w:val="20"/>
        </w:rPr>
        <w:t>Post Graduate Department of Chemistry,</w:t>
      </w:r>
    </w:p>
    <w:p w:rsidR="009E1EE7" w:rsidRDefault="009E1EE7" w:rsidP="00AE6497">
      <w:pPr>
        <w:pStyle w:val="Author"/>
        <w:spacing w:before="0" w:after="0"/>
        <w:rPr>
          <w:rFonts w:eastAsia="MS Mincho"/>
          <w:sz w:val="20"/>
          <w:szCs w:val="20"/>
        </w:rPr>
      </w:pPr>
      <w:r>
        <w:rPr>
          <w:rFonts w:eastAsia="MS Mincho"/>
          <w:sz w:val="20"/>
          <w:szCs w:val="20"/>
        </w:rPr>
        <w:t>R.S.D. College, Ferozepur City – Pubjab</w:t>
      </w:r>
    </w:p>
    <w:p w:rsidR="009E1EE7" w:rsidRDefault="009E1EE7" w:rsidP="00AE6497">
      <w:pPr>
        <w:pStyle w:val="Author"/>
        <w:spacing w:before="0" w:after="0"/>
        <w:rPr>
          <w:rFonts w:eastAsia="MS Mincho"/>
          <w:sz w:val="20"/>
          <w:szCs w:val="20"/>
        </w:rPr>
      </w:pPr>
      <w:r>
        <w:rPr>
          <w:rFonts w:eastAsia="MS Mincho"/>
          <w:sz w:val="20"/>
          <w:szCs w:val="20"/>
        </w:rPr>
        <w:t>India</w:t>
      </w:r>
    </w:p>
    <w:p w:rsidR="009E1EE7" w:rsidRDefault="009E1EE7" w:rsidP="00AE6497">
      <w:pPr>
        <w:pStyle w:val="Author"/>
        <w:spacing w:before="0" w:after="0"/>
        <w:rPr>
          <w:rFonts w:eastAsia="MS Mincho"/>
          <w:sz w:val="20"/>
          <w:szCs w:val="20"/>
        </w:rPr>
      </w:pPr>
      <w:r>
        <w:rPr>
          <w:rFonts w:eastAsia="MS Mincho"/>
          <w:sz w:val="20"/>
          <w:szCs w:val="20"/>
        </w:rPr>
        <w:lastRenderedPageBreak/>
        <w:t>nirmalsinghsekhon2012@gmail.com</w:t>
      </w:r>
    </w:p>
    <w:p w:rsidR="009E1EE7" w:rsidRDefault="009E1EE7" w:rsidP="00AE6497">
      <w:pPr>
        <w:pStyle w:val="Author"/>
        <w:spacing w:before="0" w:after="0"/>
        <w:rPr>
          <w:rFonts w:eastAsia="MS Mincho"/>
          <w:sz w:val="20"/>
          <w:szCs w:val="20"/>
        </w:rPr>
      </w:pPr>
    </w:p>
    <w:p w:rsidR="00466548" w:rsidRPr="00466548" w:rsidRDefault="00466548" w:rsidP="00AE6497">
      <w:pPr>
        <w:pStyle w:val="Affiliation"/>
        <w:rPr>
          <w:rFonts w:eastAsia="MS Mincho"/>
        </w:rPr>
      </w:pPr>
    </w:p>
    <w:p w:rsidR="00466548" w:rsidRDefault="00466548" w:rsidP="00AE6497">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AE6497">
      <w:pPr>
        <w:pStyle w:val="Affiliation"/>
        <w:rPr>
          <w:rFonts w:eastAsia="MS Mincho"/>
          <w:sz w:val="48"/>
          <w:szCs w:val="48"/>
        </w:rPr>
      </w:pPr>
    </w:p>
    <w:p w:rsidR="00466548" w:rsidRPr="00466548" w:rsidRDefault="00466548" w:rsidP="00AE6497">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Default="00402841" w:rsidP="00AE6497">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9E1EE7" w:rsidRPr="00402841" w:rsidRDefault="009E1EE7" w:rsidP="00AE6497">
      <w:pPr>
        <w:pStyle w:val="Abstract"/>
        <w:spacing w:after="0"/>
        <w:ind w:firstLine="0"/>
        <w:jc w:val="center"/>
        <w:rPr>
          <w:rFonts w:eastAsia="MS Mincho"/>
          <w:iCs/>
          <w:sz w:val="20"/>
          <w:szCs w:val="20"/>
        </w:rPr>
      </w:pPr>
    </w:p>
    <w:p w:rsidR="009E1EE7" w:rsidRPr="009E1EE7" w:rsidRDefault="009E1EE7" w:rsidP="00AE6497">
      <w:pPr>
        <w:jc w:val="both"/>
        <w:rPr>
          <w:rFonts w:eastAsia="MS Mincho"/>
          <w:bCs/>
          <w:iCs/>
          <w:noProof/>
        </w:rPr>
      </w:pPr>
      <w:r w:rsidRPr="009E1EE7">
        <w:rPr>
          <w:rFonts w:eastAsia="MS Mincho"/>
          <w:bCs/>
          <w:iCs/>
          <w:noProof/>
        </w:rPr>
        <w:t>Gemini surfactants are a class of self-assembling molecules that consist of two conventional surfactants connected via a spacer; they have lower CMC values compared to conventional surfactants, i.e., having one nonpolar tail and one polar head. In this paper, two series of gemini surfactants were explored for solubilization and thus, improving the bioavailability of a poorly water-soluble drug, i.e., Glibenclamide by micellization. The first series of gemini surfactants comprises carbohydrate derived conventional surfactants, carrying a sugar moieties and the second series comprises nonionic gemini surfactants without sugar moiety, both with varying tail lengths, i.e., C12, C14, C16. It was found that the sugar moiety plays a vital role in encapsulating the drug molecule in an aqueous medium. By comparison, it was found that the sugar moiety potentially enhances the aqueous solubility of Glibenclamide. It was also found that with an increase in tail length, the solubility of the drug increased over many folds.</w:t>
      </w:r>
    </w:p>
    <w:p w:rsidR="008A55B5" w:rsidRPr="00466548" w:rsidRDefault="00292EF9" w:rsidP="00AE6497">
      <w:pPr>
        <w:pStyle w:val="Abstract"/>
        <w:spacing w:after="0"/>
        <w:ind w:firstLine="720"/>
        <w:rPr>
          <w:b w:val="0"/>
          <w:sz w:val="20"/>
          <w:szCs w:val="20"/>
        </w:rPr>
      </w:pPr>
      <w:r>
        <w:rPr>
          <w:b w:val="0"/>
          <w:sz w:val="20"/>
          <w:szCs w:val="20"/>
        </w:rPr>
        <w:t>.</w:t>
      </w:r>
    </w:p>
    <w:p w:rsidR="00466548" w:rsidRPr="00466548" w:rsidRDefault="00466548" w:rsidP="00AE6497">
      <w:pPr>
        <w:pStyle w:val="Abstract"/>
        <w:spacing w:after="0"/>
        <w:ind w:firstLine="0"/>
        <w:rPr>
          <w:rFonts w:eastAsia="MS Mincho"/>
          <w:b w:val="0"/>
          <w:sz w:val="20"/>
          <w:szCs w:val="20"/>
        </w:rPr>
      </w:pPr>
    </w:p>
    <w:p w:rsidR="008A55B5" w:rsidRDefault="0072064C" w:rsidP="00AE6497">
      <w:pPr>
        <w:pStyle w:val="keywords"/>
        <w:spacing w:after="0"/>
        <w:ind w:firstLine="0"/>
        <w:rPr>
          <w:rFonts w:eastAsia="MS Mincho"/>
          <w:b w:val="0"/>
          <w:i w:val="0"/>
          <w:sz w:val="20"/>
          <w:szCs w:val="20"/>
        </w:rPr>
      </w:pPr>
      <w:r w:rsidRPr="00466548">
        <w:rPr>
          <w:rFonts w:eastAsia="MS Mincho"/>
          <w:i w:val="0"/>
          <w:sz w:val="20"/>
          <w:szCs w:val="20"/>
        </w:rPr>
        <w:t>Keywords</w:t>
      </w:r>
      <w:r w:rsidR="009E1EE7">
        <w:rPr>
          <w:rFonts w:eastAsia="MS Mincho"/>
          <w:b w:val="0"/>
          <w:i w:val="0"/>
          <w:sz w:val="20"/>
          <w:szCs w:val="20"/>
        </w:rPr>
        <w:t xml:space="preserve"> : </w:t>
      </w:r>
      <w:r w:rsidR="009E1EE7" w:rsidRPr="009E1EE7">
        <w:rPr>
          <w:rFonts w:eastAsia="MS Mincho"/>
          <w:b w:val="0"/>
          <w:i w:val="0"/>
          <w:sz w:val="20"/>
          <w:szCs w:val="20"/>
        </w:rPr>
        <w:t>Bioavailability, Poorly water-soluble drug, Carbohydrate derived surfactants, Solubilization, Glibenclamide, micellization</w:t>
      </w:r>
    </w:p>
    <w:p w:rsidR="00466548" w:rsidRPr="00466548" w:rsidRDefault="00466548" w:rsidP="00AE6497">
      <w:pPr>
        <w:pStyle w:val="keywords"/>
        <w:spacing w:after="0"/>
        <w:ind w:firstLine="0"/>
        <w:rPr>
          <w:rFonts w:eastAsia="MS Mincho"/>
          <w:b w:val="0"/>
          <w:i w:val="0"/>
          <w:sz w:val="20"/>
          <w:szCs w:val="20"/>
        </w:rPr>
      </w:pPr>
    </w:p>
    <w:p w:rsidR="008A55B5" w:rsidRPr="00402841" w:rsidRDefault="00402841" w:rsidP="00AE6497">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9E1EE7" w:rsidRDefault="00466548" w:rsidP="00AE6497">
      <w:pPr>
        <w:rPr>
          <w:rFonts w:eastAsia="MS Mincho"/>
          <w:b/>
        </w:rPr>
      </w:pPr>
    </w:p>
    <w:p w:rsidR="009E1EE7" w:rsidRPr="009E1EE7" w:rsidRDefault="00AE6497" w:rsidP="00AE6497">
      <w:pPr>
        <w:rPr>
          <w:rFonts w:eastAsia="MS Mincho"/>
          <w:b/>
        </w:rPr>
      </w:pPr>
      <w:r>
        <w:rPr>
          <w:rFonts w:eastAsia="MS Mincho"/>
          <w:b/>
        </w:rPr>
        <w:t xml:space="preserve">A. </w:t>
      </w:r>
      <w:r w:rsidR="009E1EE7" w:rsidRPr="009E1EE7">
        <w:rPr>
          <w:rFonts w:eastAsia="MS Mincho"/>
          <w:b/>
        </w:rPr>
        <w:t>Carbohydrate derived Surfactants:</w:t>
      </w:r>
    </w:p>
    <w:p w:rsidR="009E1EE7" w:rsidRDefault="009E1EE7" w:rsidP="00AE6497">
      <w:pPr>
        <w:jc w:val="both"/>
        <w:rPr>
          <w:rFonts w:eastAsia="MS Mincho"/>
        </w:rPr>
      </w:pPr>
      <w:r w:rsidRPr="009E1EE7">
        <w:rPr>
          <w:rFonts w:eastAsia="MS Mincho"/>
        </w:rPr>
        <w:tab/>
        <w:t xml:space="preserve">Generally, surfactants, also known as surface active agents, are added to a liquid to increase its wetting or spreading properties due to their ability to lower the surface tension of a liquid and the interfacial tension between two liquids, or between a liquid and a solid. On dissolving surfactants in water  above its CMC (moles per litre), they form aggregates (micelles). In these micelles, the polar head group (hydrophilic part of the surfactant) is in contact with water while the nonpolar hydrocarbon tail (hydrophobic part) remains inside the micelle. Carbohydrate surfactants are amphiphile molecules possessing a sugar moiety as a hydrophilic structural part and a long alkyl chain derived from the epoxy compound as a usual hydrophobic part. These surfactants are nontoxic and biodegradable in nature. The CMC of the surfactants is much less than normal conventional surfactants, so they required in very small amount for micelle formation. Different types of sugar-based surfactants were reported [1-11]. From their increased use, it is found that alkyl polyglycoside becomes an excellent alternative to other nonionic surfactants. The reason for their popularity is that they can be synthesized on a large scale from renewable raw materials. Due to the advantages regarding performance, health of consumers, and environmental compatibility, sugar-based surfactants are gaining increased attention. Alkylpolyglycoside (APG) is a nonionic surfactant synthesized [12] from renewable raw materials, namely, glucose and fatty alcohol. These surfactants were found to show surface‐active properties due to the presence of the hydrophilic sugar moiety and hydrophobic fatty alcohol residues.  Sugar-based surfactants derived from glucose and (R)-12-hydroxystearic acid were already reported [13]. </w:t>
      </w:r>
    </w:p>
    <w:p w:rsidR="009E1EE7" w:rsidRPr="009E1EE7" w:rsidRDefault="00AE6497" w:rsidP="00AE6497">
      <w:pPr>
        <w:rPr>
          <w:rFonts w:eastAsia="MS Mincho"/>
          <w:b/>
        </w:rPr>
      </w:pPr>
      <w:r w:rsidRPr="00AE6497">
        <w:rPr>
          <w:rFonts w:eastAsia="MS Mincho"/>
          <w:b/>
        </w:rPr>
        <w:t>B</w:t>
      </w:r>
      <w:r>
        <w:rPr>
          <w:rFonts w:eastAsia="MS Mincho"/>
        </w:rPr>
        <w:t xml:space="preserve">. </w:t>
      </w:r>
      <w:r w:rsidR="009E1EE7" w:rsidRPr="009E1EE7">
        <w:rPr>
          <w:rFonts w:eastAsia="MS Mincho"/>
          <w:b/>
        </w:rPr>
        <w:t>Non-ionic gemini surfactants:</w:t>
      </w:r>
    </w:p>
    <w:p w:rsidR="009E1EE7" w:rsidRPr="009E1EE7" w:rsidRDefault="009E1EE7" w:rsidP="00AE6497">
      <w:pPr>
        <w:jc w:val="both"/>
        <w:rPr>
          <w:rFonts w:eastAsia="MS Mincho"/>
        </w:rPr>
      </w:pPr>
      <w:r w:rsidRPr="009E1EE7">
        <w:rPr>
          <w:rFonts w:eastAsia="MS Mincho"/>
        </w:rPr>
        <w:lastRenderedPageBreak/>
        <w:tab/>
        <w:t>Gemini surfactants [14] (Fig. 1a) are a class of amphiphile molecules comprising two hydrophobic tails and two hydrophilic heads connected via a rigid[15] or flexible [16] spacer.</w:t>
      </w:r>
      <w:r w:rsidR="00AE6497">
        <w:rPr>
          <w:rFonts w:eastAsia="MS Mincho"/>
        </w:rPr>
        <w:t xml:space="preserve"> </w:t>
      </w:r>
      <w:r>
        <w:rPr>
          <w:rFonts w:eastAsia="MS Mincho"/>
          <w:noProof/>
        </w:rPr>
        <w:drawing>
          <wp:anchor distT="0" distB="0" distL="114300" distR="114300" simplePos="0" relativeHeight="251658240" behindDoc="1" locked="0" layoutInCell="1" allowOverlap="1">
            <wp:simplePos x="0" y="0"/>
            <wp:positionH relativeFrom="column">
              <wp:posOffset>1162050</wp:posOffset>
            </wp:positionH>
            <wp:positionV relativeFrom="paragraph">
              <wp:posOffset>1226185</wp:posOffset>
            </wp:positionV>
            <wp:extent cx="3009900" cy="2505075"/>
            <wp:effectExtent l="19050" t="0" r="0" b="0"/>
            <wp:wrapNone/>
            <wp:docPr id="5" name="Picture 5" descr="C:\Users\Dr Nirmal\Desktop\desktop material\letter in organic chemistry\Layout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r Nirmal\Desktop\desktop material\letter in organic chemistry\Layout1.tif"/>
                    <pic:cNvPicPr>
                      <a:picLocks noChangeAspect="1" noChangeArrowheads="1"/>
                    </pic:cNvPicPr>
                  </pic:nvPicPr>
                  <pic:blipFill>
                    <a:blip r:embed="rId9"/>
                    <a:srcRect/>
                    <a:stretch>
                      <a:fillRect/>
                    </a:stretch>
                  </pic:blipFill>
                  <pic:spPr bwMode="auto">
                    <a:xfrm>
                      <a:off x="0" y="0"/>
                      <a:ext cx="3009900" cy="2505075"/>
                    </a:xfrm>
                    <a:prstGeom prst="rect">
                      <a:avLst/>
                    </a:prstGeom>
                    <a:noFill/>
                    <a:ln w="9525">
                      <a:noFill/>
                      <a:miter lim="800000"/>
                      <a:headEnd/>
                      <a:tailEnd/>
                    </a:ln>
                  </pic:spPr>
                </pic:pic>
              </a:graphicData>
            </a:graphic>
          </wp:anchor>
        </w:drawing>
      </w:r>
      <w:r w:rsidRPr="009E1EE7">
        <w:rPr>
          <w:rFonts w:eastAsia="MS Mincho"/>
        </w:rPr>
        <w:t xml:space="preserve">On the other side, conventional surfactants are simple type of surface active agents having one polar head and one non-polar tail just like in soap and detergents. When two such conventional surfactants are connected by a spacer group at their head level, it forms Gemini or dimeric surfactants. Depending upon the nature of the spacer and overall charge on head group of the gemini surfactants, varieties of Gemini surfactants were reported in last 37 years [17]. </w:t>
      </w:r>
    </w:p>
    <w:p w:rsidR="009E1EE7" w:rsidRDefault="009E1EE7" w:rsidP="00AE6497">
      <w:pPr>
        <w:jc w:val="both"/>
        <w:rPr>
          <w:rFonts w:eastAsia="MS Mincho"/>
        </w:rPr>
      </w:pPr>
    </w:p>
    <w:p w:rsidR="009E1EE7" w:rsidRDefault="009E1EE7" w:rsidP="00AE6497">
      <w:pPr>
        <w:jc w:val="both"/>
        <w:rPr>
          <w:rFonts w:eastAsia="MS Mincho"/>
        </w:rPr>
      </w:pPr>
    </w:p>
    <w:p w:rsidR="009E1EE7" w:rsidRDefault="009E1EE7" w:rsidP="00AE6497">
      <w:pPr>
        <w:jc w:val="both"/>
        <w:rPr>
          <w:rFonts w:eastAsia="MS Mincho"/>
        </w:rPr>
      </w:pPr>
    </w:p>
    <w:p w:rsidR="009E1EE7" w:rsidRDefault="009E1EE7" w:rsidP="00AE6497">
      <w:pPr>
        <w:jc w:val="both"/>
        <w:rPr>
          <w:rFonts w:eastAsia="MS Mincho"/>
        </w:rPr>
      </w:pPr>
    </w:p>
    <w:p w:rsidR="009E1EE7" w:rsidRDefault="009E1EE7" w:rsidP="00AE6497">
      <w:pPr>
        <w:jc w:val="both"/>
        <w:rPr>
          <w:rFonts w:eastAsia="MS Mincho"/>
        </w:rPr>
      </w:pPr>
    </w:p>
    <w:p w:rsidR="009E1EE7" w:rsidRDefault="009E1EE7" w:rsidP="00AE6497">
      <w:pPr>
        <w:jc w:val="both"/>
        <w:rPr>
          <w:rFonts w:eastAsia="MS Mincho"/>
        </w:rPr>
      </w:pPr>
    </w:p>
    <w:p w:rsidR="009E1EE7" w:rsidRDefault="009E1EE7" w:rsidP="00AE6497">
      <w:pPr>
        <w:jc w:val="both"/>
        <w:rPr>
          <w:rFonts w:eastAsia="MS Mincho"/>
        </w:rPr>
      </w:pPr>
    </w:p>
    <w:p w:rsidR="009E1EE7" w:rsidRDefault="009E1EE7" w:rsidP="00AE6497">
      <w:pPr>
        <w:jc w:val="both"/>
        <w:rPr>
          <w:rFonts w:eastAsia="MS Mincho"/>
        </w:rPr>
      </w:pPr>
    </w:p>
    <w:p w:rsidR="00AE6497" w:rsidRDefault="00AE6497" w:rsidP="00AE6497">
      <w:pPr>
        <w:rPr>
          <w:rFonts w:eastAsia="MS Mincho"/>
          <w:b/>
        </w:rPr>
      </w:pPr>
    </w:p>
    <w:p w:rsidR="00AE6497" w:rsidRDefault="00AE6497" w:rsidP="00AE6497">
      <w:pPr>
        <w:rPr>
          <w:rFonts w:eastAsia="MS Mincho"/>
          <w:b/>
        </w:rPr>
      </w:pPr>
    </w:p>
    <w:p w:rsidR="00AE6497" w:rsidRDefault="00AE6497" w:rsidP="00AE6497">
      <w:pPr>
        <w:rPr>
          <w:rFonts w:eastAsia="MS Mincho"/>
          <w:b/>
        </w:rPr>
      </w:pPr>
    </w:p>
    <w:p w:rsidR="00AE6497" w:rsidRDefault="00AE6497" w:rsidP="00AE6497">
      <w:pPr>
        <w:rPr>
          <w:rFonts w:eastAsia="MS Mincho"/>
          <w:b/>
        </w:rPr>
      </w:pPr>
    </w:p>
    <w:p w:rsidR="00AE6497" w:rsidRDefault="00AE6497" w:rsidP="00AE6497">
      <w:pPr>
        <w:rPr>
          <w:rFonts w:eastAsia="MS Mincho"/>
          <w:b/>
        </w:rPr>
      </w:pPr>
    </w:p>
    <w:p w:rsidR="00AE6497" w:rsidRDefault="00AE6497" w:rsidP="00AE6497">
      <w:pPr>
        <w:rPr>
          <w:rFonts w:eastAsia="MS Mincho"/>
          <w:b/>
        </w:rPr>
      </w:pPr>
    </w:p>
    <w:p w:rsidR="00AE6497" w:rsidRDefault="00AE6497" w:rsidP="00AE6497">
      <w:pPr>
        <w:rPr>
          <w:rFonts w:eastAsia="MS Mincho"/>
          <w:b/>
        </w:rPr>
      </w:pPr>
    </w:p>
    <w:p w:rsidR="00AE6497" w:rsidRDefault="00AE6497" w:rsidP="00AE6497">
      <w:pPr>
        <w:rPr>
          <w:rFonts w:eastAsia="MS Mincho"/>
          <w:b/>
        </w:rPr>
      </w:pPr>
    </w:p>
    <w:p w:rsidR="00AE6497" w:rsidRDefault="00AE6497" w:rsidP="00AE6497">
      <w:pPr>
        <w:rPr>
          <w:rFonts w:eastAsia="MS Mincho"/>
          <w:b/>
        </w:rPr>
      </w:pPr>
    </w:p>
    <w:p w:rsidR="00AE6497" w:rsidRDefault="00AE6497" w:rsidP="00AE6497">
      <w:pPr>
        <w:rPr>
          <w:rFonts w:eastAsia="MS Mincho"/>
          <w:b/>
        </w:rPr>
      </w:pPr>
    </w:p>
    <w:p w:rsidR="00AE6497" w:rsidRDefault="00AE6497" w:rsidP="00AE6497">
      <w:pPr>
        <w:rPr>
          <w:rFonts w:eastAsia="MS Mincho"/>
          <w:b/>
        </w:rPr>
      </w:pPr>
    </w:p>
    <w:p w:rsidR="009E1EE7" w:rsidRDefault="009E1EE7" w:rsidP="00AE6497">
      <w:pPr>
        <w:rPr>
          <w:rFonts w:eastAsia="MS Mincho"/>
          <w:b/>
        </w:rPr>
      </w:pPr>
      <w:r w:rsidRPr="00AE6497">
        <w:rPr>
          <w:rFonts w:eastAsia="MS Mincho"/>
          <w:b/>
        </w:rPr>
        <w:t>Fig. 1: Schematic diagram of (a) Conventional surfactantand(b) Gemini surfactant</w:t>
      </w:r>
    </w:p>
    <w:p w:rsidR="00AE6497" w:rsidRPr="00AE6497" w:rsidRDefault="00AE6497" w:rsidP="00AE6497">
      <w:pPr>
        <w:rPr>
          <w:rFonts w:eastAsia="MS Mincho"/>
          <w:b/>
        </w:rPr>
      </w:pPr>
    </w:p>
    <w:p w:rsidR="009E1EE7" w:rsidRPr="009E1EE7" w:rsidRDefault="009E1EE7" w:rsidP="00AE6497">
      <w:pPr>
        <w:jc w:val="both"/>
        <w:rPr>
          <w:rFonts w:eastAsia="MS Mincho"/>
        </w:rPr>
      </w:pPr>
      <w:r w:rsidRPr="009E1EE7">
        <w:rPr>
          <w:rFonts w:eastAsia="MS Mincho"/>
        </w:rPr>
        <w:t xml:space="preserve">Depending upon the nature of the head group, whether it is anionic, cationic or neutral, the gemini surfactants comprise: Anionic gemini surfactants, Cationic gemini surfactants and non-ionic gemini surfactants respectively. Gemini surfactants </w:t>
      </w:r>
      <w:r w:rsidR="00C664B7">
        <w:rPr>
          <w:rFonts w:eastAsia="MS Mincho"/>
        </w:rPr>
        <w:t>were</w:t>
      </w:r>
      <w:r w:rsidRPr="009E1EE7">
        <w:rPr>
          <w:rFonts w:eastAsia="MS Mincho"/>
        </w:rPr>
        <w:t xml:space="preserve"> classified </w:t>
      </w:r>
      <w:r w:rsidR="00C664B7">
        <w:rPr>
          <w:rFonts w:eastAsia="MS Mincho"/>
        </w:rPr>
        <w:t xml:space="preserve">depending on the </w:t>
      </w:r>
      <w:r w:rsidRPr="009E1EE7">
        <w:rPr>
          <w:rFonts w:eastAsia="MS Mincho"/>
        </w:rPr>
        <w:t>nature and structure of spacer group, some are with rigid aromatic spacer, and other has flexible aliphatic spacer. The surfactants with rigid spacer may behave as inclusion molecules, which encapsulate any molecule without forming any bond with that. From the viewpoint of industrial application, after the anionic surfactants, non-ionic Gemini surfactants get the most significance. The non-ionic gemini surfactants comprising polyether hydrophilic head were found to be having very low CMC and showed highly solubilization tendencies. The non-ionic surfactants have more tendency to aggregate as there is no repulsive forces as compared to ionic (cation or anionic). The numerous kinds non-ionic gemini surfactants were synthesized in literature and their critical micellization concentration (CMC) and self-assembling behavior were studied [18-25].The solubilization and aggregation behavior of mixed micellar systems formed by gemini lipoamino acid and a non-ionic surfactant was studied recently [26]. It was found that the mixed surfactants enhanced the solubility of polycyclic aromatic hydrocarbons i.e. naphthalene, phenanthrene and pyrene.</w:t>
      </w:r>
    </w:p>
    <w:p w:rsidR="009E1EE7" w:rsidRPr="009E1EE7" w:rsidRDefault="009E1EE7" w:rsidP="00AE6497">
      <w:pPr>
        <w:jc w:val="both"/>
        <w:rPr>
          <w:rFonts w:eastAsia="MS Mincho"/>
        </w:rPr>
      </w:pPr>
      <w:r w:rsidRPr="009E1EE7">
        <w:rPr>
          <w:rFonts w:eastAsia="MS Mincho"/>
        </w:rPr>
        <w:t>These Gemini surfactants were used to encapsulate many poorly water soluble durgs, amino acids etc by micellizatio or reverse micellization. The micelle formation was detected by measuring the concentration of encapsulated molecule (drug,amino acids etc.) by montoring over UV spectrophotometer.</w:t>
      </w:r>
    </w:p>
    <w:p w:rsidR="009E1EE7" w:rsidRPr="009E1EE7" w:rsidRDefault="00AE6497" w:rsidP="00AE6497">
      <w:pPr>
        <w:rPr>
          <w:rFonts w:eastAsia="MS Mincho"/>
          <w:b/>
        </w:rPr>
      </w:pPr>
      <w:r>
        <w:rPr>
          <w:rFonts w:eastAsia="MS Mincho"/>
          <w:b/>
        </w:rPr>
        <w:t xml:space="preserve">C. </w:t>
      </w:r>
      <w:r w:rsidR="009E1EE7" w:rsidRPr="009E1EE7">
        <w:rPr>
          <w:rFonts w:eastAsia="MS Mincho"/>
          <w:b/>
        </w:rPr>
        <w:t>Micellization:</w:t>
      </w:r>
    </w:p>
    <w:p w:rsidR="009E1EE7" w:rsidRPr="009E1EE7" w:rsidRDefault="009E1EE7" w:rsidP="00AE6497">
      <w:pPr>
        <w:jc w:val="both"/>
        <w:rPr>
          <w:rFonts w:eastAsia="MS Mincho"/>
        </w:rPr>
      </w:pPr>
      <w:r w:rsidRPr="009E1EE7">
        <w:rPr>
          <w:rFonts w:eastAsia="MS Mincho"/>
        </w:rPr>
        <w:tab/>
        <w:t>There is a category of compounds, which when dissolved in aqueous medium at particular concentration , aggregates to form a group, termed as micelle. The concentration above which micellization take place is known as CMC (Critical Micellization Concentration). Soaps and detergents are surface active agents having CMC values in the range of 10-3 – 10-2 M.</w:t>
      </w:r>
    </w:p>
    <w:p w:rsidR="009E1EE7" w:rsidRPr="009E1EE7" w:rsidRDefault="009E1EE7" w:rsidP="00AE6497">
      <w:pPr>
        <w:jc w:val="both"/>
        <w:rPr>
          <w:rFonts w:eastAsia="MS Mincho"/>
        </w:rPr>
      </w:pPr>
      <w:r w:rsidRPr="009E1EE7">
        <w:rPr>
          <w:rFonts w:eastAsia="MS Mincho"/>
        </w:rPr>
        <w:t>The micellar system is an aggregate of surfactant molecule, with the hydrophobic head groups, which is polar, and remains in contact with the surrounding solvent, and the hydrophilic tail group, which is non-polar, and remains in the micellar centre referred to as core (Fig. 2). The core can effectively be used for the solubilization of water-insoluble substances in a mixture of ethanol and water or in pure water. Solubilization plays an important role in industrial and biological processes [27]. Non-ionic surfactants aggregate easily as there is no repulsion among the head group, but occurs in the case of anionic and cationic surfactants, yet there is just a weak interaction because of the hydration shell of solvent. So, they form micelle rapidly.</w:t>
      </w:r>
    </w:p>
    <w:p w:rsidR="009E1EE7" w:rsidRPr="009E1EE7" w:rsidRDefault="009E1EE7" w:rsidP="00AE6497">
      <w:pPr>
        <w:rPr>
          <w:rFonts w:eastAsia="MS Mincho"/>
        </w:rPr>
      </w:pPr>
      <w:r w:rsidRPr="009E1EE7">
        <w:rPr>
          <w:rFonts w:eastAsia="MS Mincho"/>
          <w:noProof/>
        </w:rPr>
        <w:lastRenderedPageBreak/>
        <w:drawing>
          <wp:inline distT="0" distB="0" distL="0" distR="0">
            <wp:extent cx="3994100" cy="1497788"/>
            <wp:effectExtent l="19050" t="0" r="640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91643" cy="1496867"/>
                    </a:xfrm>
                    <a:prstGeom prst="rect">
                      <a:avLst/>
                    </a:prstGeom>
                  </pic:spPr>
                </pic:pic>
              </a:graphicData>
            </a:graphic>
          </wp:inline>
        </w:drawing>
      </w:r>
    </w:p>
    <w:p w:rsidR="009E1EE7" w:rsidRDefault="009E1EE7" w:rsidP="00AE6497">
      <w:pPr>
        <w:rPr>
          <w:rFonts w:eastAsia="MS Mincho"/>
          <w:b/>
        </w:rPr>
      </w:pPr>
      <w:r w:rsidRPr="00AE6497">
        <w:rPr>
          <w:rFonts w:eastAsia="MS Mincho"/>
          <w:b/>
        </w:rPr>
        <w:t>Fig.2 :  Micelle and Reverse Micelle formation</w:t>
      </w:r>
    </w:p>
    <w:p w:rsidR="00AE6497" w:rsidRPr="00AE6497" w:rsidRDefault="00AE6497" w:rsidP="00AE6497">
      <w:pPr>
        <w:rPr>
          <w:rFonts w:eastAsia="MS Mincho"/>
          <w:b/>
        </w:rPr>
      </w:pPr>
    </w:p>
    <w:p w:rsidR="009E1EE7" w:rsidRPr="009E1EE7" w:rsidRDefault="009E1EE7" w:rsidP="00AE6497">
      <w:pPr>
        <w:jc w:val="both"/>
        <w:rPr>
          <w:rFonts w:eastAsia="MS Mincho"/>
        </w:rPr>
      </w:pPr>
      <w:r w:rsidRPr="009E1EE7">
        <w:rPr>
          <w:rFonts w:eastAsia="MS Mincho"/>
        </w:rPr>
        <w:tab/>
        <w:t>Oral administration is the most common method of drug delivery because of its simplicity and convenience, especially where repeated doses are required [28-30].It is estimated that about 70% of new chemical entities are poorly water-soluble, and about 40% of currently marketed oral drugs are practically insoluble in water [31]. Low solubility limits the drug dissolution rate, lower bioavailability of drug in body plasma and low biodegradability [32].</w:t>
      </w:r>
    </w:p>
    <w:p w:rsidR="009E1EE7" w:rsidRPr="009E1EE7" w:rsidRDefault="009E1EE7" w:rsidP="00AE6497">
      <w:pPr>
        <w:jc w:val="both"/>
        <w:rPr>
          <w:rFonts w:eastAsia="MS Mincho"/>
        </w:rPr>
      </w:pPr>
      <w:r w:rsidRPr="009E1EE7">
        <w:rPr>
          <w:rFonts w:eastAsia="MS Mincho"/>
        </w:rPr>
        <w:tab/>
        <w:t>Nanotechnology has many advantages in drug delivery, especially for oral drugs. By increasing the water solubility, the bioavailability of drugs can be enhanced, and that helps to reduce the side effects and thus increase the pharmacological effect. The purpose of this paper is to show the effect of sugar moiety over the non-sugar surfactant in encapsulation of poorly water soluble durg,i.e., Glibenclamide. The sugar moiety facilitates micelle formation.</w:t>
      </w:r>
    </w:p>
    <w:p w:rsidR="009E1EE7" w:rsidRPr="009E1EE7" w:rsidRDefault="00AE6497" w:rsidP="00AE6497">
      <w:pPr>
        <w:autoSpaceDE w:val="0"/>
        <w:autoSpaceDN w:val="0"/>
        <w:adjustRightInd w:val="0"/>
        <w:rPr>
          <w:rFonts w:eastAsia="MS Mincho"/>
          <w:b/>
        </w:rPr>
      </w:pPr>
      <w:r>
        <w:rPr>
          <w:rFonts w:eastAsia="MS Mincho"/>
          <w:b/>
        </w:rPr>
        <w:t xml:space="preserve">D. </w:t>
      </w:r>
      <w:r w:rsidR="009E1EE7" w:rsidRPr="009E1EE7">
        <w:rPr>
          <w:rFonts w:eastAsia="MS Mincho"/>
          <w:b/>
        </w:rPr>
        <w:t>Solubility</w:t>
      </w:r>
    </w:p>
    <w:p w:rsidR="009E1EE7" w:rsidRPr="009E1EE7" w:rsidRDefault="009E1EE7" w:rsidP="00AE6497">
      <w:pPr>
        <w:autoSpaceDE w:val="0"/>
        <w:autoSpaceDN w:val="0"/>
        <w:adjustRightInd w:val="0"/>
        <w:jc w:val="both"/>
        <w:rPr>
          <w:rFonts w:eastAsia="MS Mincho"/>
        </w:rPr>
      </w:pPr>
    </w:p>
    <w:p w:rsidR="009E1EE7" w:rsidRPr="009E1EE7" w:rsidRDefault="009E1EE7" w:rsidP="00AE6497">
      <w:pPr>
        <w:autoSpaceDE w:val="0"/>
        <w:autoSpaceDN w:val="0"/>
        <w:adjustRightInd w:val="0"/>
        <w:jc w:val="both"/>
        <w:rPr>
          <w:rFonts w:eastAsia="MS Mincho"/>
        </w:rPr>
      </w:pPr>
      <w:r w:rsidRPr="009E1EE7">
        <w:rPr>
          <w:rFonts w:eastAsia="MS Mincho"/>
        </w:rPr>
        <w:t>Solubility is expressed in terms of the solubilization capacity (SC) or micellar ratio that isdefined as the ratio of the concentration of micelle-solubilized additive at saturation over theconcentration of micellized surfactant (i.e., Ct / Cs)  where Ct and Cs are the concentration oftrapped or micelle solubilized molecule and concentration of surfactant, respectively). So</w:t>
      </w:r>
    </w:p>
    <w:p w:rsidR="009E1EE7" w:rsidRPr="009E1EE7" w:rsidRDefault="009E1EE7" w:rsidP="00AE6497">
      <w:pPr>
        <w:autoSpaceDE w:val="0"/>
        <w:autoSpaceDN w:val="0"/>
        <w:adjustRightInd w:val="0"/>
        <w:jc w:val="both"/>
        <w:rPr>
          <w:rFonts w:eastAsia="MS Mincho"/>
        </w:rPr>
      </w:pPr>
      <m:oMath>
        <m:r>
          <m:rPr>
            <m:sty m:val="p"/>
          </m:rPr>
          <w:rPr>
            <w:rFonts w:ascii="Cambria Math" w:eastAsia="MS Mincho" w:hAnsi="Cambria Math"/>
          </w:rPr>
          <m:t xml:space="preserve">Micellar ratio </m:t>
        </m:r>
        <m:r>
          <m:rPr>
            <m:sty m:val="p"/>
          </m:rPr>
          <w:rPr>
            <w:rFonts w:ascii="Cambria Math" w:eastAsia="MS Mincho"/>
          </w:rPr>
          <m:t>=</m:t>
        </m:r>
        <m:f>
          <m:fPr>
            <m:ctrlPr>
              <w:rPr>
                <w:rFonts w:ascii="Cambria Math" w:eastAsia="MS Mincho" w:hAnsi="Cambria Math"/>
              </w:rPr>
            </m:ctrlPr>
          </m:fPr>
          <m:num>
            <m:r>
              <m:rPr>
                <m:sty m:val="p"/>
              </m:rPr>
              <w:rPr>
                <w:rFonts w:ascii="Cambria Math" w:eastAsia="MS Mincho" w:hAnsi="Cambria Math"/>
              </w:rPr>
              <m:t>Conc. of trapped molecules i.e. PAH (Ct)</m:t>
            </m:r>
          </m:num>
          <m:den>
            <m:r>
              <m:rPr>
                <m:sty m:val="p"/>
              </m:rPr>
              <w:rPr>
                <w:rFonts w:ascii="Cambria Math" w:eastAsia="MS Mincho" w:hAnsi="Cambria Math"/>
              </w:rPr>
              <m:t xml:space="preserve">Conc. of surfactant (Cs) </m:t>
            </m:r>
          </m:den>
        </m:f>
      </m:oMath>
      <w:r w:rsidRPr="009E1EE7">
        <w:rPr>
          <w:rFonts w:eastAsia="MS Mincho"/>
        </w:rPr>
        <w:t xml:space="preserve"> and </w:t>
      </w:r>
    </w:p>
    <w:p w:rsidR="009E1EE7" w:rsidRPr="009E1EE7" w:rsidRDefault="009E1EE7" w:rsidP="00AE6497">
      <w:pPr>
        <w:autoSpaceDE w:val="0"/>
        <w:autoSpaceDN w:val="0"/>
        <w:adjustRightInd w:val="0"/>
        <w:jc w:val="both"/>
        <w:rPr>
          <w:rFonts w:eastAsia="MS Mincho"/>
        </w:rPr>
      </w:pPr>
      <m:oMathPara>
        <m:oMath>
          <m:r>
            <m:rPr>
              <m:sty m:val="p"/>
            </m:rPr>
            <w:rPr>
              <w:rFonts w:ascii="Cambria Math" w:eastAsia="MS Mincho" w:hAnsi="Cambria Math"/>
            </w:rPr>
            <m:t xml:space="preserve">Ct=((A – </m:t>
          </m:r>
          <m:sSub>
            <m:sSubPr>
              <m:ctrlPr>
                <w:rPr>
                  <w:rFonts w:ascii="Cambria Math" w:eastAsia="MS Mincho" w:hAnsi="Cambria Math"/>
                </w:rPr>
              </m:ctrlPr>
            </m:sSubPr>
            <m:e>
              <m:r>
                <m:rPr>
                  <m:sty m:val="p"/>
                </m:rPr>
                <w:rPr>
                  <w:rFonts w:ascii="Cambria Math" w:eastAsia="MS Mincho" w:hAnsi="Cambria Math"/>
                </w:rPr>
                <m:t>A</m:t>
              </m:r>
            </m:e>
            <m:sub>
              <m:r>
                <m:rPr>
                  <m:sty m:val="p"/>
                </m:rPr>
                <w:rPr>
                  <w:rFonts w:ascii="Cambria Math" w:eastAsia="MS Mincho" w:hAnsi="Cambria Math"/>
                </w:rPr>
                <m:t>o</m:t>
              </m:r>
            </m:sub>
          </m:sSub>
          <m:r>
            <m:rPr>
              <m:sty m:val="p"/>
            </m:rPr>
            <w:rPr>
              <w:rFonts w:ascii="Cambria Math" w:eastAsia="MS Mincho" w:hAnsi="Cambria Math"/>
            </w:rPr>
            <m:t>)** )/(ε.l)</m:t>
          </m:r>
        </m:oMath>
      </m:oMathPara>
    </w:p>
    <w:p w:rsidR="009E1EE7" w:rsidRPr="009E1EE7" w:rsidRDefault="009E1EE7" w:rsidP="00AE6497">
      <w:pPr>
        <w:autoSpaceDE w:val="0"/>
        <w:autoSpaceDN w:val="0"/>
        <w:adjustRightInd w:val="0"/>
        <w:jc w:val="both"/>
        <w:rPr>
          <w:rFonts w:eastAsia="MS Mincho"/>
        </w:rPr>
      </w:pPr>
      <w:r w:rsidRPr="009E1EE7">
        <w:rPr>
          <w:rFonts w:eastAsia="MS Mincho"/>
        </w:rPr>
        <w:t>where A = Absorbance of PAHs in surfactant solution,A0 = Absorbance of PAHs in ethanol / water (1:5 by vol) withoutsurfactant,</w:t>
      </w:r>
    </w:p>
    <w:p w:rsidR="009E1EE7" w:rsidRPr="009E1EE7" w:rsidRDefault="009E1EE7" w:rsidP="00AE6497">
      <w:pPr>
        <w:autoSpaceDE w:val="0"/>
        <w:autoSpaceDN w:val="0"/>
        <w:adjustRightInd w:val="0"/>
        <w:jc w:val="both"/>
        <w:rPr>
          <w:rFonts w:eastAsia="MS Mincho"/>
        </w:rPr>
      </w:pPr>
      <w:r w:rsidRPr="009E1EE7">
        <w:rPr>
          <w:rFonts w:eastAsia="MS Mincho"/>
        </w:rPr>
        <w:t>ε = molar extinction coefficient of PAH,</w:t>
      </w:r>
    </w:p>
    <w:p w:rsidR="009E1EE7" w:rsidRDefault="009E1EE7" w:rsidP="00AE6497">
      <w:pPr>
        <w:autoSpaceDE w:val="0"/>
        <w:autoSpaceDN w:val="0"/>
        <w:adjustRightInd w:val="0"/>
        <w:jc w:val="both"/>
        <w:rPr>
          <w:rFonts w:eastAsia="MS Mincho"/>
        </w:rPr>
      </w:pPr>
      <w:r w:rsidRPr="009E1EE7">
        <w:rPr>
          <w:rFonts w:eastAsia="MS Mincho"/>
        </w:rPr>
        <w:t>l = path length</w:t>
      </w:r>
    </w:p>
    <w:p w:rsidR="009E1EE7" w:rsidRDefault="009E1EE7" w:rsidP="00AE6497">
      <w:pPr>
        <w:rPr>
          <w:b/>
        </w:rPr>
      </w:pPr>
      <w:r>
        <w:rPr>
          <w:b/>
        </w:rPr>
        <w:t xml:space="preserve">III. </w:t>
      </w:r>
      <w:r w:rsidRPr="009E1EE7">
        <w:rPr>
          <w:b/>
        </w:rPr>
        <w:t>Materials and Method:</w:t>
      </w:r>
    </w:p>
    <w:p w:rsidR="009E1EE7" w:rsidRDefault="00AE6497" w:rsidP="00AE6497">
      <w:pPr>
        <w:rPr>
          <w:b/>
        </w:rPr>
      </w:pPr>
      <w:r>
        <w:rPr>
          <w:b/>
          <w:iCs/>
        </w:rPr>
        <w:t xml:space="preserve">A. </w:t>
      </w:r>
      <w:r w:rsidR="009E1EE7" w:rsidRPr="009E1EE7">
        <w:rPr>
          <w:b/>
          <w:iCs/>
        </w:rPr>
        <w:t>General</w:t>
      </w:r>
    </w:p>
    <w:p w:rsidR="009E1EE7" w:rsidRDefault="009E1EE7" w:rsidP="00AE6497">
      <w:pPr>
        <w:jc w:val="both"/>
        <w:rPr>
          <w:b/>
        </w:rPr>
      </w:pPr>
      <w:r>
        <w:rPr>
          <w:b/>
        </w:rPr>
        <w:tab/>
      </w:r>
      <w:r w:rsidRPr="009E1EE7">
        <w:t>UV spectra were recorded using LABINDIA 3200 UV-VIS spectrophotometer.</w:t>
      </w:r>
    </w:p>
    <w:p w:rsidR="009E1EE7" w:rsidRPr="009E1EE7" w:rsidRDefault="00AE6497" w:rsidP="00AE6497">
      <w:pPr>
        <w:rPr>
          <w:b/>
        </w:rPr>
      </w:pPr>
      <w:r>
        <w:rPr>
          <w:b/>
          <w:iCs/>
        </w:rPr>
        <w:t xml:space="preserve">B. </w:t>
      </w:r>
      <w:r w:rsidR="009E1EE7" w:rsidRPr="009E1EE7">
        <w:rPr>
          <w:b/>
          <w:iCs/>
        </w:rPr>
        <w:t>Materials</w:t>
      </w:r>
    </w:p>
    <w:p w:rsidR="009E1EE7" w:rsidRPr="009E1EE7" w:rsidRDefault="009E1EE7" w:rsidP="00AE6497">
      <w:pPr>
        <w:autoSpaceDE w:val="0"/>
        <w:autoSpaceDN w:val="0"/>
        <w:adjustRightInd w:val="0"/>
        <w:jc w:val="both"/>
      </w:pPr>
      <w:r w:rsidRPr="009E1EE7">
        <w:t>Glibenclamide were taken from Sigma Aldrich, USA, double distilled water, ethanol from Nice chemicals pvt. .ltd, Kerala, carbohydrate derived non-ionic surfactants and non-ionic gemini surfactants were synthesized in lab, Shaheed Bhagat Singh State Technical Campus, Ferozepur, Punjab. Other chemicals were of AR grade and used without further purification.</w:t>
      </w:r>
    </w:p>
    <w:p w:rsidR="009E1EE7" w:rsidRDefault="009E1EE7" w:rsidP="00AE6497">
      <w:pPr>
        <w:autoSpaceDE w:val="0"/>
        <w:autoSpaceDN w:val="0"/>
        <w:adjustRightInd w:val="0"/>
        <w:jc w:val="both"/>
      </w:pPr>
      <w:r w:rsidRPr="009E1EE7">
        <w:t>Chemicals were of LR / AR grade and were used without further purification. Doublydistilled water and doubly distilled alcohol were used for spectroscopy. PAHs werepurchased from Sigma Aldrich.</w:t>
      </w:r>
    </w:p>
    <w:p w:rsidR="009E1EE7" w:rsidRDefault="00AE6497" w:rsidP="00AE6497">
      <w:pPr>
        <w:autoSpaceDE w:val="0"/>
        <w:autoSpaceDN w:val="0"/>
        <w:adjustRightInd w:val="0"/>
      </w:pPr>
      <w:r>
        <w:rPr>
          <w:b/>
          <w:iCs/>
        </w:rPr>
        <w:t xml:space="preserve">C. </w:t>
      </w:r>
      <w:r w:rsidR="009E1EE7" w:rsidRPr="009E1EE7">
        <w:rPr>
          <w:b/>
          <w:iCs/>
        </w:rPr>
        <w:t>Methods</w:t>
      </w:r>
    </w:p>
    <w:p w:rsidR="009E1EE7" w:rsidRDefault="00AE6497" w:rsidP="00AE6497">
      <w:pPr>
        <w:autoSpaceDE w:val="0"/>
        <w:autoSpaceDN w:val="0"/>
        <w:adjustRightInd w:val="0"/>
        <w:rPr>
          <w:b/>
          <w:iCs/>
        </w:rPr>
      </w:pPr>
      <w:r>
        <w:rPr>
          <w:b/>
          <w:iCs/>
        </w:rPr>
        <w:t xml:space="preserve">D. </w:t>
      </w:r>
      <w:r w:rsidR="009E1EE7" w:rsidRPr="009E1EE7">
        <w:rPr>
          <w:b/>
          <w:iCs/>
        </w:rPr>
        <w:t>Synthesis of Gemini surfactants</w:t>
      </w:r>
    </w:p>
    <w:p w:rsidR="00AE6497" w:rsidRPr="009E1EE7" w:rsidRDefault="00AE6497" w:rsidP="00AE6497">
      <w:pPr>
        <w:autoSpaceDE w:val="0"/>
        <w:autoSpaceDN w:val="0"/>
        <w:adjustRightInd w:val="0"/>
      </w:pPr>
    </w:p>
    <w:p w:rsidR="00AE6497" w:rsidRDefault="009E1EE7" w:rsidP="00AE6497">
      <w:pPr>
        <w:autoSpaceDE w:val="0"/>
        <w:autoSpaceDN w:val="0"/>
        <w:adjustRightInd w:val="0"/>
        <w:jc w:val="both"/>
        <w:rPr>
          <w:bCs/>
        </w:rPr>
      </w:pPr>
      <w:r w:rsidRPr="009E1EE7">
        <w:rPr>
          <w:bCs/>
        </w:rPr>
        <w:t xml:space="preserve">The synthesis and characterization i.e. </w:t>
      </w:r>
      <w:r w:rsidRPr="009E1EE7">
        <w:rPr>
          <w:bCs/>
          <w:vertAlign w:val="superscript"/>
        </w:rPr>
        <w:t>1</w:t>
      </w:r>
      <w:r w:rsidRPr="009E1EE7">
        <w:rPr>
          <w:bCs/>
        </w:rPr>
        <w:t xml:space="preserve">H NMR, </w:t>
      </w:r>
      <w:r w:rsidRPr="009E1EE7">
        <w:rPr>
          <w:bCs/>
          <w:vertAlign w:val="superscript"/>
        </w:rPr>
        <w:t>13</w:t>
      </w:r>
      <w:r w:rsidRPr="009E1EE7">
        <w:rPr>
          <w:bCs/>
        </w:rPr>
        <w:t xml:space="preserve">C NMR, m/z etc of Series I surfactants </w:t>
      </w:r>
      <w:r w:rsidRPr="009E1EE7">
        <w:rPr>
          <w:b/>
          <w:bCs/>
        </w:rPr>
        <w:t>(1a, 1b, 1c)</w:t>
      </w:r>
      <w:r w:rsidRPr="009E1EE7">
        <w:rPr>
          <w:bCs/>
        </w:rPr>
        <w:t xml:space="preserve"> [33] and that of Series II surfactants </w:t>
      </w:r>
      <w:r w:rsidRPr="009E1EE7">
        <w:rPr>
          <w:b/>
          <w:bCs/>
        </w:rPr>
        <w:t xml:space="preserve">(2a, 2b, 2c) </w:t>
      </w:r>
      <w:r w:rsidRPr="009E1EE7">
        <w:rPr>
          <w:bCs/>
        </w:rPr>
        <w:t>[35] were reported by us</w:t>
      </w:r>
      <w:r w:rsidRPr="009E1EE7">
        <w:rPr>
          <w:b/>
          <w:bCs/>
        </w:rPr>
        <w:t>.</w:t>
      </w:r>
      <w:r w:rsidRPr="009E1EE7">
        <w:rPr>
          <w:bCs/>
        </w:rPr>
        <w:t>This paper mainly emphasized the role of sugar moiety which is linked with the sugar surfactants (Series II)</w:t>
      </w:r>
    </w:p>
    <w:p w:rsidR="009E1EE7" w:rsidRDefault="009E1EE7" w:rsidP="00AE6497">
      <w:pPr>
        <w:autoSpaceDE w:val="0"/>
        <w:autoSpaceDN w:val="0"/>
        <w:adjustRightInd w:val="0"/>
        <w:jc w:val="both"/>
        <w:rPr>
          <w:bCs/>
        </w:rPr>
      </w:pPr>
      <w:r w:rsidRPr="009E1EE7">
        <w:rPr>
          <w:bCs/>
        </w:rPr>
        <w:t xml:space="preserve">. </w:t>
      </w:r>
    </w:p>
    <w:p w:rsidR="00AE6497" w:rsidRDefault="00AE6497" w:rsidP="00AE6497">
      <w:pPr>
        <w:autoSpaceDE w:val="0"/>
        <w:autoSpaceDN w:val="0"/>
        <w:adjustRightInd w:val="0"/>
        <w:jc w:val="both"/>
        <w:rPr>
          <w:bCs/>
        </w:rPr>
      </w:pPr>
    </w:p>
    <w:p w:rsidR="00AE6497" w:rsidRDefault="00AE6497" w:rsidP="00AE6497">
      <w:pPr>
        <w:autoSpaceDE w:val="0"/>
        <w:autoSpaceDN w:val="0"/>
        <w:adjustRightInd w:val="0"/>
        <w:jc w:val="both"/>
        <w:rPr>
          <w:bCs/>
        </w:rPr>
      </w:pPr>
    </w:p>
    <w:p w:rsidR="00AE6497" w:rsidRDefault="00AE6497" w:rsidP="00AE6497">
      <w:pPr>
        <w:autoSpaceDE w:val="0"/>
        <w:autoSpaceDN w:val="0"/>
        <w:adjustRightInd w:val="0"/>
        <w:jc w:val="both"/>
        <w:rPr>
          <w:bCs/>
        </w:rPr>
      </w:pPr>
    </w:p>
    <w:p w:rsidR="00AE6497" w:rsidRDefault="00AE6497" w:rsidP="00AE6497">
      <w:pPr>
        <w:autoSpaceDE w:val="0"/>
        <w:autoSpaceDN w:val="0"/>
        <w:adjustRightInd w:val="0"/>
        <w:jc w:val="both"/>
        <w:rPr>
          <w:bCs/>
        </w:rPr>
      </w:pPr>
    </w:p>
    <w:p w:rsidR="00AE6497" w:rsidRDefault="00AE6497" w:rsidP="00AE6497">
      <w:pPr>
        <w:autoSpaceDE w:val="0"/>
        <w:autoSpaceDN w:val="0"/>
        <w:adjustRightInd w:val="0"/>
        <w:jc w:val="both"/>
        <w:rPr>
          <w:bCs/>
        </w:rPr>
      </w:pPr>
    </w:p>
    <w:p w:rsidR="00AE6497" w:rsidRDefault="00AE6497" w:rsidP="00AE6497">
      <w:pPr>
        <w:autoSpaceDE w:val="0"/>
        <w:autoSpaceDN w:val="0"/>
        <w:adjustRightInd w:val="0"/>
        <w:jc w:val="both"/>
        <w:rPr>
          <w:bCs/>
        </w:rPr>
      </w:pPr>
    </w:p>
    <w:p w:rsidR="00AE6497" w:rsidRDefault="00AE6497" w:rsidP="00AE6497">
      <w:pPr>
        <w:autoSpaceDE w:val="0"/>
        <w:autoSpaceDN w:val="0"/>
        <w:adjustRightInd w:val="0"/>
        <w:jc w:val="both"/>
        <w:rPr>
          <w:bCs/>
        </w:rPr>
      </w:pPr>
    </w:p>
    <w:p w:rsidR="00AE6497" w:rsidRDefault="00AE6497" w:rsidP="00AE6497">
      <w:pPr>
        <w:autoSpaceDE w:val="0"/>
        <w:autoSpaceDN w:val="0"/>
        <w:adjustRightInd w:val="0"/>
        <w:jc w:val="both"/>
        <w:rPr>
          <w:bCs/>
        </w:rPr>
      </w:pPr>
    </w:p>
    <w:p w:rsidR="00AE6497" w:rsidRDefault="00AE6497" w:rsidP="00AE6497">
      <w:pPr>
        <w:autoSpaceDE w:val="0"/>
        <w:autoSpaceDN w:val="0"/>
        <w:adjustRightInd w:val="0"/>
        <w:jc w:val="both"/>
        <w:rPr>
          <w:bCs/>
        </w:rPr>
      </w:pPr>
    </w:p>
    <w:p w:rsidR="00AE6497" w:rsidRPr="009E1EE7" w:rsidRDefault="00AE6497" w:rsidP="00AE6497">
      <w:pPr>
        <w:autoSpaceDE w:val="0"/>
        <w:autoSpaceDN w:val="0"/>
        <w:adjustRightInd w:val="0"/>
        <w:jc w:val="both"/>
        <w:rPr>
          <w:b/>
          <w:bCs/>
        </w:rPr>
      </w:pPr>
    </w:p>
    <w:p w:rsidR="009E1EE7" w:rsidRPr="009E1EE7" w:rsidRDefault="009E1EE7" w:rsidP="00AE6497">
      <w:pPr>
        <w:autoSpaceDE w:val="0"/>
        <w:autoSpaceDN w:val="0"/>
        <w:adjustRightInd w:val="0"/>
        <w:jc w:val="both"/>
        <w:rPr>
          <w:b/>
        </w:rPr>
      </w:pPr>
      <w:r w:rsidRPr="009E1EE7">
        <w:rPr>
          <w:b/>
        </w:rPr>
        <w:t>Preparation of 5, 6-anhydro-1, 2-</w:t>
      </w:r>
      <w:r w:rsidRPr="009E1EE7">
        <w:rPr>
          <w:b/>
          <w:i/>
          <w:iCs/>
        </w:rPr>
        <w:t>O</w:t>
      </w:r>
      <w:r w:rsidRPr="009E1EE7">
        <w:rPr>
          <w:b/>
        </w:rPr>
        <w:t>-isoproylidene-α-D-glucofuranose– (sugar moiety)</w:t>
      </w:r>
    </w:p>
    <w:p w:rsidR="009E1EE7" w:rsidRPr="009E1EE7" w:rsidRDefault="009E1EE7" w:rsidP="00AE6497">
      <w:pPr>
        <w:jc w:val="both"/>
      </w:pPr>
      <w:r w:rsidRPr="009E1EE7">
        <w:tab/>
        <w:t>The compound was synthesized as described in literature [28]. M.pt. 133</w:t>
      </w:r>
      <w:r w:rsidRPr="009E1EE7">
        <w:rPr>
          <w:vertAlign w:val="superscript"/>
        </w:rPr>
        <w:t>o</w:t>
      </w:r>
      <w:r w:rsidRPr="009E1EE7">
        <w:t>C. ESI – mass m/z 224.7 (M – H + Na)</w:t>
      </w:r>
      <w:r w:rsidRPr="009E1EE7">
        <w:rPr>
          <w:vertAlign w:val="superscript"/>
        </w:rPr>
        <w:t>+</w:t>
      </w:r>
      <w:r w:rsidRPr="009E1EE7">
        <w:t>.</w:t>
      </w:r>
    </w:p>
    <w:p w:rsidR="009E1EE7" w:rsidRPr="009E1EE7" w:rsidRDefault="0009782E" w:rsidP="00AE6497">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pt;margin-top:10.45pt;width:216.25pt;height:113.7pt;z-index:-251656192">
            <v:imagedata r:id="rId11" o:title=""/>
          </v:shape>
          <o:OLEObject Type="Embed" ProgID="ACD.ChemSketch.20" ShapeID="_x0000_s1026" DrawAspect="Content" ObjectID="_1722506838" r:id="rId12">
            <o:FieldCodes>\s</o:FieldCodes>
          </o:OLEObject>
        </w:pict>
      </w:r>
      <w:r>
        <w:rPr>
          <w:noProof/>
        </w:rPr>
        <w:pict>
          <v:shape id="_x0000_s1027" type="#_x0000_t75" style="position:absolute;left:0;text-align:left;margin-left:231.65pt;margin-top:6.25pt;width:185.85pt;height:123.3pt;z-index:-251655168">
            <v:imagedata r:id="rId13" o:title=""/>
          </v:shape>
          <o:OLEObject Type="Embed" ProgID="ACD.ChemSketch.20" ShapeID="_x0000_s1027" DrawAspect="Content" ObjectID="_1722506839" r:id="rId14">
            <o:FieldCodes>\s</o:FieldCodes>
          </o:OLEObject>
        </w:pict>
      </w:r>
    </w:p>
    <w:p w:rsidR="009E1EE7" w:rsidRPr="009E1EE7" w:rsidRDefault="009E1EE7" w:rsidP="00AE6497"/>
    <w:p w:rsidR="009E1EE7" w:rsidRPr="009E1EE7" w:rsidRDefault="009E1EE7" w:rsidP="00AE6497">
      <w:pPr>
        <w:ind w:left="720" w:firstLine="720"/>
        <w:rPr>
          <w:b/>
        </w:rPr>
      </w:pPr>
    </w:p>
    <w:p w:rsidR="009E1EE7" w:rsidRPr="009E1EE7" w:rsidRDefault="009E1EE7" w:rsidP="00AE6497">
      <w:pPr>
        <w:autoSpaceDE w:val="0"/>
        <w:autoSpaceDN w:val="0"/>
        <w:adjustRightInd w:val="0"/>
        <w:rPr>
          <w:b/>
        </w:rPr>
      </w:pPr>
    </w:p>
    <w:p w:rsidR="009E1EE7" w:rsidRPr="009E1EE7" w:rsidRDefault="009E1EE7" w:rsidP="00AE6497">
      <w:pPr>
        <w:autoSpaceDE w:val="0"/>
        <w:autoSpaceDN w:val="0"/>
        <w:adjustRightInd w:val="0"/>
        <w:rPr>
          <w:b/>
        </w:rPr>
      </w:pPr>
    </w:p>
    <w:p w:rsidR="009E1EE7" w:rsidRDefault="009E1EE7" w:rsidP="00AE6497">
      <w:pPr>
        <w:autoSpaceDE w:val="0"/>
        <w:autoSpaceDN w:val="0"/>
        <w:adjustRightInd w:val="0"/>
        <w:rPr>
          <w:b/>
        </w:rPr>
      </w:pPr>
    </w:p>
    <w:p w:rsidR="00AE6497" w:rsidRPr="009E1EE7" w:rsidRDefault="00AE6497" w:rsidP="00AE6497">
      <w:pPr>
        <w:autoSpaceDE w:val="0"/>
        <w:autoSpaceDN w:val="0"/>
        <w:adjustRightInd w:val="0"/>
        <w:rPr>
          <w:b/>
        </w:rPr>
      </w:pPr>
    </w:p>
    <w:p w:rsidR="009E1EE7" w:rsidRPr="009E1EE7" w:rsidRDefault="009E1EE7" w:rsidP="00AE6497">
      <w:pPr>
        <w:tabs>
          <w:tab w:val="left" w:pos="1980"/>
        </w:tabs>
        <w:autoSpaceDE w:val="0"/>
        <w:autoSpaceDN w:val="0"/>
        <w:adjustRightInd w:val="0"/>
        <w:rPr>
          <w:b/>
        </w:rPr>
      </w:pPr>
      <w:r w:rsidRPr="009E1EE7">
        <w:rPr>
          <w:b/>
        </w:rPr>
        <w:tab/>
      </w:r>
    </w:p>
    <w:p w:rsidR="009E1EE7" w:rsidRPr="009E1EE7" w:rsidRDefault="009E1EE7" w:rsidP="00AE6497">
      <w:pPr>
        <w:autoSpaceDE w:val="0"/>
        <w:autoSpaceDN w:val="0"/>
        <w:adjustRightInd w:val="0"/>
        <w:rPr>
          <w:b/>
        </w:rPr>
      </w:pPr>
    </w:p>
    <w:p w:rsidR="009E1EE7" w:rsidRPr="009E1EE7" w:rsidRDefault="009E1EE7" w:rsidP="00AE6497">
      <w:pPr>
        <w:autoSpaceDE w:val="0"/>
        <w:autoSpaceDN w:val="0"/>
        <w:adjustRightInd w:val="0"/>
        <w:rPr>
          <w:b/>
        </w:rPr>
      </w:pPr>
    </w:p>
    <w:p w:rsidR="009E1EE7" w:rsidRPr="00AE6497" w:rsidRDefault="009E1EE7" w:rsidP="00AE6497">
      <w:pPr>
        <w:rPr>
          <w:b/>
          <w:noProof/>
        </w:rPr>
      </w:pPr>
      <w:r w:rsidRPr="009E1EE7">
        <w:rPr>
          <w:noProof/>
        </w:rPr>
        <w:tab/>
      </w:r>
      <w:r w:rsidR="00AE6497" w:rsidRPr="00AE6497">
        <w:rPr>
          <w:b/>
          <w:noProof/>
        </w:rPr>
        <w:t>(a)</w:t>
      </w:r>
      <w:r w:rsidRPr="00AE6497">
        <w:rPr>
          <w:b/>
          <w:noProof/>
        </w:rPr>
        <w:tab/>
      </w:r>
      <w:r w:rsidRPr="00AE6497">
        <w:rPr>
          <w:b/>
          <w:noProof/>
        </w:rPr>
        <w:tab/>
      </w:r>
      <w:r w:rsidRPr="00AE6497">
        <w:rPr>
          <w:b/>
          <w:noProof/>
        </w:rPr>
        <w:tab/>
      </w:r>
      <w:r w:rsidRPr="00AE6497">
        <w:rPr>
          <w:b/>
          <w:noProof/>
        </w:rPr>
        <w:tab/>
      </w:r>
      <w:r w:rsidRPr="00AE6497">
        <w:rPr>
          <w:b/>
          <w:noProof/>
        </w:rPr>
        <w:tab/>
      </w:r>
      <w:r w:rsidRPr="00AE6497">
        <w:rPr>
          <w:b/>
          <w:noProof/>
        </w:rPr>
        <w:tab/>
      </w:r>
      <w:r w:rsidRPr="00AE6497">
        <w:rPr>
          <w:b/>
          <w:noProof/>
        </w:rPr>
        <w:tab/>
      </w:r>
    </w:p>
    <w:p w:rsidR="00AE6497" w:rsidRDefault="00AE6497" w:rsidP="00AE6497">
      <w:pPr>
        <w:rPr>
          <w:b/>
        </w:rPr>
      </w:pPr>
      <w:r>
        <w:rPr>
          <w:b/>
        </w:rPr>
        <w:tab/>
      </w:r>
      <w:r>
        <w:rPr>
          <w:b/>
        </w:rPr>
        <w:tab/>
      </w:r>
      <w:r>
        <w:rPr>
          <w:b/>
        </w:rPr>
        <w:tab/>
        <w:t>(b)</w:t>
      </w:r>
    </w:p>
    <w:p w:rsidR="00AE6497" w:rsidRDefault="0009782E" w:rsidP="00AE6497">
      <w:pPr>
        <w:rPr>
          <w:b/>
        </w:rPr>
      </w:pPr>
      <w:r>
        <w:rPr>
          <w:b/>
          <w:noProof/>
        </w:rPr>
        <w:pict>
          <v:shape id="_x0000_s1029" type="#_x0000_t75" style="position:absolute;left:0;text-align:left;margin-left:206.8pt;margin-top:6.65pt;width:218.65pt;height:106.25pt;z-index:-251653120">
            <v:imagedata r:id="rId15" o:title=""/>
          </v:shape>
          <o:OLEObject Type="Embed" ProgID="ACD.ChemSketch.20" ShapeID="_x0000_s1029" DrawAspect="Content" ObjectID="_1722506840" r:id="rId16">
            <o:FieldCodes>\s</o:FieldCodes>
          </o:OLEObject>
        </w:pict>
      </w:r>
      <w:r>
        <w:rPr>
          <w:b/>
          <w:noProof/>
        </w:rPr>
        <w:pict>
          <v:shape id="_x0000_s1028" type="#_x0000_t75" style="position:absolute;left:0;text-align:left;margin-left:21.55pt;margin-top:4pt;width:108pt;height:87pt;z-index:-251654144">
            <v:imagedata r:id="rId17" o:title=""/>
          </v:shape>
          <o:OLEObject Type="Embed" ProgID="ACD.ChemSketch.20" ShapeID="_x0000_s1028" DrawAspect="Content" ObjectID="_1722506841" r:id="rId18">
            <o:FieldCodes>\s</o:FieldCodes>
          </o:OLEObject>
        </w:pict>
      </w:r>
    </w:p>
    <w:p w:rsidR="00AE6497" w:rsidRDefault="00AE6497" w:rsidP="00AE6497">
      <w:pPr>
        <w:rPr>
          <w:b/>
        </w:rPr>
      </w:pPr>
    </w:p>
    <w:p w:rsidR="00AE6497" w:rsidRDefault="00AE6497" w:rsidP="00AE6497">
      <w:pPr>
        <w:rPr>
          <w:b/>
        </w:rPr>
      </w:pPr>
    </w:p>
    <w:p w:rsidR="00AE6497" w:rsidRDefault="00AE6497" w:rsidP="00AE6497">
      <w:pPr>
        <w:rPr>
          <w:b/>
        </w:rPr>
      </w:pPr>
    </w:p>
    <w:p w:rsidR="00AE6497" w:rsidRDefault="00AE6497" w:rsidP="00AE6497">
      <w:pPr>
        <w:rPr>
          <w:b/>
        </w:rPr>
      </w:pPr>
    </w:p>
    <w:p w:rsidR="00AE6497" w:rsidRDefault="00AE6497" w:rsidP="00AE6497">
      <w:pPr>
        <w:rPr>
          <w:b/>
        </w:rPr>
      </w:pPr>
    </w:p>
    <w:p w:rsidR="00AE6497" w:rsidRDefault="00AE6497" w:rsidP="00AE6497">
      <w:pPr>
        <w:rPr>
          <w:b/>
        </w:rPr>
      </w:pPr>
    </w:p>
    <w:p w:rsidR="00AE6497" w:rsidRDefault="00AE6497" w:rsidP="00AE6497">
      <w:pPr>
        <w:rPr>
          <w:b/>
        </w:rPr>
      </w:pPr>
    </w:p>
    <w:p w:rsidR="00AE6497" w:rsidRDefault="00AE6497" w:rsidP="00AE6497">
      <w:pPr>
        <w:tabs>
          <w:tab w:val="left" w:pos="1562"/>
          <w:tab w:val="center" w:pos="4514"/>
        </w:tabs>
        <w:jc w:val="left"/>
        <w:rPr>
          <w:b/>
        </w:rPr>
      </w:pPr>
      <w:r>
        <w:rPr>
          <w:b/>
        </w:rPr>
        <w:tab/>
        <w:t>(c)</w:t>
      </w:r>
      <w:r>
        <w:rPr>
          <w:b/>
        </w:rPr>
        <w:tab/>
      </w:r>
      <w:r>
        <w:rPr>
          <w:b/>
        </w:rPr>
        <w:tab/>
      </w:r>
      <w:r>
        <w:rPr>
          <w:b/>
        </w:rPr>
        <w:tab/>
      </w:r>
      <w:r>
        <w:rPr>
          <w:b/>
        </w:rPr>
        <w:tab/>
        <w:t>(d)</w:t>
      </w:r>
      <w:r>
        <w:rPr>
          <w:b/>
        </w:rPr>
        <w:tab/>
      </w:r>
      <w:r>
        <w:rPr>
          <w:b/>
        </w:rPr>
        <w:tab/>
      </w:r>
      <w:r>
        <w:rPr>
          <w:b/>
        </w:rPr>
        <w:tab/>
      </w:r>
    </w:p>
    <w:p w:rsidR="00AE6497" w:rsidRDefault="00AE6497" w:rsidP="00AE6497">
      <w:pPr>
        <w:rPr>
          <w:b/>
        </w:rPr>
      </w:pPr>
    </w:p>
    <w:p w:rsidR="00AE6497" w:rsidRDefault="00AE6497" w:rsidP="00AE6497">
      <w:pPr>
        <w:rPr>
          <w:b/>
        </w:rPr>
      </w:pPr>
    </w:p>
    <w:p w:rsidR="009E1EE7" w:rsidRDefault="009E1EE7" w:rsidP="00AE6497">
      <w:pPr>
        <w:rPr>
          <w:b/>
        </w:rPr>
      </w:pPr>
      <w:r w:rsidRPr="009E1EE7">
        <w:rPr>
          <w:b/>
        </w:rPr>
        <w:t>Scheme 1 : Structure of (a) Non-ionic gemini surfactant[33](b) Carbohydrate derived surfactants[35,36]and (c) Sugar moiety (d) Drug (Glibenclamide) used for study.</w:t>
      </w:r>
    </w:p>
    <w:p w:rsidR="00AA76A8" w:rsidRPr="009E1EE7" w:rsidRDefault="00AA76A8" w:rsidP="00AE6497">
      <w:pPr>
        <w:rPr>
          <w:b/>
        </w:rPr>
      </w:pPr>
    </w:p>
    <w:p w:rsidR="009E1EE7" w:rsidRDefault="00AA76A8" w:rsidP="00AA76A8">
      <w:pPr>
        <w:rPr>
          <w:rFonts w:eastAsia="Calibri"/>
          <w:b/>
        </w:rPr>
      </w:pPr>
      <w:r>
        <w:rPr>
          <w:rFonts w:eastAsia="Calibri"/>
          <w:b/>
        </w:rPr>
        <w:t xml:space="preserve">E. </w:t>
      </w:r>
      <w:r w:rsidR="009E1EE7" w:rsidRPr="009E1EE7">
        <w:rPr>
          <w:rFonts w:eastAsia="Calibri"/>
          <w:b/>
        </w:rPr>
        <w:t>Determination of the CMC of surfactants</w:t>
      </w:r>
    </w:p>
    <w:p w:rsidR="00AA76A8" w:rsidRPr="009E1EE7" w:rsidRDefault="00AA76A8" w:rsidP="00AA76A8">
      <w:pPr>
        <w:rPr>
          <w:rFonts w:eastAsia="Calibri"/>
          <w:b/>
        </w:rPr>
      </w:pPr>
    </w:p>
    <w:p w:rsidR="009E1EE7" w:rsidRPr="009E1EE7" w:rsidRDefault="009E1EE7" w:rsidP="00AE6497">
      <w:pPr>
        <w:jc w:val="both"/>
      </w:pPr>
      <w:r w:rsidRPr="009E1EE7">
        <w:rPr>
          <w:rFonts w:eastAsia="Calibri"/>
        </w:rPr>
        <w:t xml:space="preserve">Critical micelle concentration was determined by adding </w:t>
      </w:r>
      <w:r w:rsidRPr="009E1EE7">
        <w:t>specified</w:t>
      </w:r>
      <w:r w:rsidRPr="009E1EE7">
        <w:rPr>
          <w:rFonts w:eastAsia="Calibri"/>
        </w:rPr>
        <w:t xml:space="preserve"> volumes of a</w:t>
      </w:r>
      <w:r w:rsidRPr="009E1EE7">
        <w:t xml:space="preserve"> sugar based </w:t>
      </w:r>
      <w:r w:rsidRPr="009E1EE7">
        <w:rPr>
          <w:rFonts w:eastAsia="Calibri"/>
        </w:rPr>
        <w:t>surfactant solution to a volume of double distilled water containing methylene blue dye.</w:t>
      </w:r>
      <w:r w:rsidRPr="009E1EE7">
        <w:t xml:space="preserve">By taking the UV-spectra it was found that the </w:t>
      </w:r>
      <m:oMath>
        <m:sSub>
          <m:sSubPr>
            <m:ctrlPr>
              <w:rPr>
                <w:rFonts w:ascii="Cambria Math" w:hAnsi="Cambria Math"/>
                <w:i/>
              </w:rPr>
            </m:ctrlPr>
          </m:sSubPr>
          <m:e>
            <m:r>
              <w:rPr>
                <w:rFonts w:ascii="Cambria Math" w:hAnsi="Cambria Math"/>
              </w:rPr>
              <m:t>λ</m:t>
            </m:r>
          </m:e>
          <m:sub>
            <m:r>
              <w:rPr>
                <w:rFonts w:ascii="Cambria Math" w:hAnsi="Cambria Math"/>
              </w:rPr>
              <m:t>max</m:t>
            </m:r>
          </m:sub>
        </m:sSub>
      </m:oMath>
      <w:r w:rsidRPr="009E1EE7">
        <w:rPr>
          <w:rFonts w:eastAsiaTheme="minorEastAsia"/>
        </w:rPr>
        <w:t xml:space="preserve"> for dye is </w:t>
      </w:r>
      <w:r w:rsidRPr="009E1EE7">
        <w:rPr>
          <w:rFonts w:eastAsia="Calibri"/>
        </w:rPr>
        <w:t>665 nm</w:t>
      </w:r>
      <w:r w:rsidRPr="009E1EE7">
        <w:t xml:space="preserve">, so at this </w:t>
      </w:r>
      <w:r w:rsidRPr="009E1EE7">
        <w:rPr>
          <w:rFonts w:eastAsia="Calibri"/>
        </w:rPr>
        <w:t xml:space="preserve">wavelength the absorbance were noted and plot of absorbance against concentration of surfactant were constructed and a clear discontinuity gave their CMC values. The CMC values of the </w:t>
      </w:r>
      <w:r w:rsidRPr="009E1EE7">
        <w:t>sugar-based s</w:t>
      </w:r>
      <w:r w:rsidRPr="009E1EE7">
        <w:rPr>
          <w:rFonts w:eastAsia="Calibri"/>
        </w:rPr>
        <w:t xml:space="preserve">urfactants </w:t>
      </w:r>
      <w:r w:rsidRPr="009E1EE7">
        <w:t>(2a-2c; Series 2)</w:t>
      </w:r>
      <w:r w:rsidRPr="009E1EE7">
        <w:rPr>
          <w:rFonts w:eastAsia="Calibri"/>
        </w:rPr>
        <w:t xml:space="preserve"> are given in </w:t>
      </w:r>
      <w:r w:rsidRPr="009E1EE7">
        <w:rPr>
          <w:rFonts w:eastAsia="Calibri"/>
          <w:b/>
        </w:rPr>
        <w:t xml:space="preserve">table </w:t>
      </w:r>
      <w:r w:rsidRPr="009E1EE7">
        <w:rPr>
          <w:b/>
        </w:rPr>
        <w:t>1</w:t>
      </w:r>
      <w:r w:rsidRPr="009E1EE7">
        <w:rPr>
          <w:rFonts w:eastAsia="Calibri"/>
        </w:rPr>
        <w:t>.</w:t>
      </w:r>
    </w:p>
    <w:p w:rsidR="009E1EE7" w:rsidRDefault="009E1EE7" w:rsidP="00AE6497">
      <w:pPr>
        <w:jc w:val="both"/>
      </w:pPr>
      <w:r w:rsidRPr="009E1EE7">
        <w:tab/>
        <w:t>The CMC</w:t>
      </w:r>
      <w:r w:rsidR="00AA76A8">
        <w:t xml:space="preserve"> </w:t>
      </w:r>
      <w:r w:rsidRPr="009E1EE7">
        <w:t xml:space="preserve">of non-ionic gemini surfactants (1a -1c; Series 1) </w:t>
      </w:r>
      <w:r w:rsidR="00C664B7">
        <w:t xml:space="preserve">were calculated by addition of known amount of </w:t>
      </w:r>
      <w:r w:rsidRPr="009E1EE7">
        <w:t xml:space="preserve">concentrated surfactant solution (1 mM), to a volume of 15% aqueous-ethanol system. After each addition the absorbance </w:t>
      </w:r>
      <w:r w:rsidR="00C664B7">
        <w:t xml:space="preserve">is </w:t>
      </w:r>
      <w:r w:rsidRPr="009E1EE7">
        <w:t>determined by double beam spectrophotometer 299 nm. The plots of absorbance vs. concentration of surfactants were drawn and a distinct discontinuity gave the value of cmc.</w:t>
      </w:r>
    </w:p>
    <w:p w:rsidR="00AA76A8" w:rsidRDefault="00AA76A8" w:rsidP="00AE6497">
      <w:pPr>
        <w:jc w:val="both"/>
        <w:rPr>
          <w:rFonts w:eastAsia="Calibri"/>
        </w:rPr>
      </w:pPr>
    </w:p>
    <w:p w:rsidR="009E1EE7" w:rsidRDefault="00AA76A8" w:rsidP="00AA76A8">
      <w:pPr>
        <w:rPr>
          <w:b/>
          <w:bCs/>
        </w:rPr>
      </w:pPr>
      <w:r>
        <w:rPr>
          <w:b/>
          <w:bCs/>
        </w:rPr>
        <w:t xml:space="preserve">F. </w:t>
      </w:r>
      <w:r w:rsidR="009E1EE7" w:rsidRPr="009E1EE7">
        <w:rPr>
          <w:b/>
          <w:bCs/>
        </w:rPr>
        <w:t>Solubilization of poorly water-soluble drugs using non-ionic surfactants</w:t>
      </w:r>
    </w:p>
    <w:p w:rsidR="00AA76A8" w:rsidRPr="009E1EE7" w:rsidRDefault="00AA76A8" w:rsidP="00AA76A8">
      <w:pPr>
        <w:rPr>
          <w:b/>
          <w:bCs/>
        </w:rPr>
      </w:pPr>
    </w:p>
    <w:p w:rsidR="009E1EE7" w:rsidRPr="009E1EE7" w:rsidRDefault="009E1EE7" w:rsidP="00AE6497">
      <w:pPr>
        <w:autoSpaceDE w:val="0"/>
        <w:autoSpaceDN w:val="0"/>
        <w:adjustRightInd w:val="0"/>
        <w:jc w:val="both"/>
      </w:pPr>
      <w:r w:rsidRPr="009E1EE7">
        <w:tab/>
      </w:r>
      <w:r w:rsidR="00C664B7">
        <w:t>The carbohydrate based surfactants were studied for micellization, in order to probes the solubiliziation tendencies by using UV-Vis double beam spectrophotometer.</w:t>
      </w:r>
      <w:r w:rsidRPr="009E1EE7">
        <w:t xml:space="preserve"> The surfactants (5millimol) were shaken in water ethanol mixture (20ml) at room temperature with poorly water-soluble drugs (20mg) for 25 min and filtered. The filtrate was extracted with double distilled n-hexane (2 x 10ml) solution, and the concentration of poorly water-soluble drugs in n-hexane were determined by double beam spectrophotometer at 299nm. Micellar ratio is determined as the ratio of concentration of encapsulated drugs molecules to concentration of surfactants in mole per liter used for encapsulation. </w:t>
      </w:r>
      <w:r w:rsidRPr="009E1EE7">
        <w:rPr>
          <w:b/>
        </w:rPr>
        <w:t>(Scheme 2)</w:t>
      </w:r>
    </w:p>
    <w:p w:rsidR="009E1EE7" w:rsidRPr="009E1EE7" w:rsidRDefault="009E1EE7" w:rsidP="00AE6497">
      <w:pPr>
        <w:autoSpaceDE w:val="0"/>
        <w:autoSpaceDN w:val="0"/>
        <w:adjustRightInd w:val="0"/>
        <w:rPr>
          <w:rFonts w:eastAsiaTheme="minorEastAsia"/>
          <w:b/>
          <w:bCs/>
        </w:rPr>
      </w:pPr>
      <w:r w:rsidRPr="009E1EE7">
        <w:t xml:space="preserve">Micellar ratio </w:t>
      </w:r>
      <w:r w:rsidRPr="009E1EE7">
        <w:rPr>
          <w:b/>
          <w:bCs/>
        </w:rPr>
        <w:t>=</w:t>
      </w:r>
      <m:oMath>
        <m:f>
          <m:fPr>
            <m:ctrlPr>
              <w:rPr>
                <w:rFonts w:ascii="Cambria Math" w:hAnsi="Cambria Math"/>
                <w:b/>
                <w:bCs/>
                <w:i/>
              </w:rPr>
            </m:ctrlPr>
          </m:fPr>
          <m:num>
            <m:r>
              <m:rPr>
                <m:sty m:val="bi"/>
              </m:rPr>
              <w:rPr>
                <w:rFonts w:ascii="Cambria Math" w:hAnsi="Cambria Math"/>
              </w:rPr>
              <m:t>concentration</m:t>
            </m:r>
            <m:r>
              <m:rPr>
                <m:sty m:val="bi"/>
              </m:rPr>
              <w:rPr>
                <w:rFonts w:ascii="Cambria Math"/>
              </w:rPr>
              <m:t xml:space="preserve"> </m:t>
            </m:r>
            <m:r>
              <m:rPr>
                <m:sty m:val="bi"/>
              </m:rPr>
              <w:rPr>
                <w:rFonts w:ascii="Cambria Math" w:hAnsi="Cambria Math"/>
              </w:rPr>
              <m:t>of</m:t>
            </m:r>
            <m:r>
              <m:rPr>
                <m:sty m:val="bi"/>
              </m:rPr>
              <w:rPr>
                <w:rFonts w:ascii="Cambria Math"/>
              </w:rPr>
              <m:t xml:space="preserve"> </m:t>
            </m:r>
            <m:r>
              <m:rPr>
                <m:sty m:val="bi"/>
              </m:rPr>
              <w:rPr>
                <w:rFonts w:ascii="Cambria Math" w:hAnsi="Cambria Math"/>
              </w:rPr>
              <m:t>encpasulated</m:t>
            </m:r>
            <m:r>
              <m:rPr>
                <m:sty m:val="bi"/>
              </m:rPr>
              <w:rPr>
                <w:rFonts w:ascii="Cambria Math"/>
              </w:rPr>
              <m:t xml:space="preserve"> </m:t>
            </m:r>
            <m:r>
              <m:rPr>
                <m:sty m:val="bi"/>
              </m:rPr>
              <w:rPr>
                <w:rFonts w:ascii="Cambria Math" w:hAnsi="Cambria Math"/>
              </w:rPr>
              <m:t>drug</m:t>
            </m:r>
            <m:r>
              <m:rPr>
                <m:sty m:val="bi"/>
              </m:rPr>
              <w:rPr>
                <w:rFonts w:ascii="Cambria Math"/>
              </w:rPr>
              <m:t xml:space="preserve"> </m:t>
            </m:r>
            <m:r>
              <m:rPr>
                <m:sty m:val="bi"/>
              </m:rPr>
              <w:rPr>
                <w:rFonts w:ascii="Cambria Math" w:hAnsi="Cambria Math"/>
              </w:rPr>
              <m:t>molecule</m:t>
            </m:r>
            <m:r>
              <m:rPr>
                <m:sty m:val="bi"/>
              </m:rPr>
              <w:rPr>
                <w:rFonts w:ascii="Cambria Math"/>
              </w:rPr>
              <m:t xml:space="preserve"> </m:t>
            </m:r>
          </m:num>
          <m:den>
            <m:r>
              <m:rPr>
                <m:sty m:val="bi"/>
              </m:rPr>
              <w:rPr>
                <w:rFonts w:ascii="Cambria Math" w:hAnsi="Cambria Math"/>
              </w:rPr>
              <m:t>concentration</m:t>
            </m:r>
            <m:r>
              <m:rPr>
                <m:sty m:val="bi"/>
              </m:rPr>
              <w:rPr>
                <w:rFonts w:ascii="Cambria Math"/>
              </w:rPr>
              <m:t xml:space="preserve"> </m:t>
            </m:r>
            <m:r>
              <m:rPr>
                <m:sty m:val="bi"/>
              </m:rPr>
              <w:rPr>
                <w:rFonts w:ascii="Cambria Math" w:hAnsi="Cambria Math"/>
              </w:rPr>
              <m:t>of</m:t>
            </m:r>
            <m:r>
              <m:rPr>
                <m:sty m:val="bi"/>
              </m:rPr>
              <w:rPr>
                <w:rFonts w:ascii="Cambria Math"/>
              </w:rPr>
              <m:t xml:space="preserve"> </m:t>
            </m:r>
            <m:r>
              <m:rPr>
                <m:sty m:val="bi"/>
              </m:rPr>
              <w:rPr>
                <w:rFonts w:ascii="Cambria Math" w:hAnsi="Cambria Math"/>
              </w:rPr>
              <m:t>surfactant</m:t>
            </m:r>
            <m:r>
              <m:rPr>
                <m:sty m:val="bi"/>
              </m:rPr>
              <w:rPr>
                <w:rFonts w:ascii="Cambria Math"/>
              </w:rPr>
              <m:t xml:space="preserve"> </m:t>
            </m:r>
          </m:den>
        </m:f>
      </m:oMath>
    </w:p>
    <w:p w:rsidR="009E1EE7" w:rsidRPr="009E1EE7" w:rsidRDefault="009E1EE7" w:rsidP="00AE6497">
      <w:pPr>
        <w:autoSpaceDE w:val="0"/>
        <w:autoSpaceDN w:val="0"/>
        <w:adjustRightInd w:val="0"/>
        <w:jc w:val="both"/>
        <w:rPr>
          <w:rFonts w:eastAsiaTheme="minorEastAsia"/>
          <w:bCs/>
        </w:rPr>
      </w:pPr>
    </w:p>
    <w:p w:rsidR="009E1EE7" w:rsidRPr="009E1EE7" w:rsidRDefault="009E1EE7" w:rsidP="00AE6497">
      <w:pPr>
        <w:autoSpaceDE w:val="0"/>
        <w:autoSpaceDN w:val="0"/>
        <w:adjustRightInd w:val="0"/>
        <w:jc w:val="both"/>
        <w:rPr>
          <w:rFonts w:eastAsiaTheme="minorEastAsia"/>
          <w:bCs/>
        </w:rPr>
      </w:pPr>
      <w:r w:rsidRPr="009E1EE7">
        <w:rPr>
          <w:rFonts w:eastAsiaTheme="minorEastAsia"/>
          <w:bCs/>
        </w:rPr>
        <w:t>The surfactants carrying sugar moiety (series I) have more HLB value (Fig. 3) which directly means that they are more water soluble and can solubilize the drugs molecules upto more extent.</w:t>
      </w:r>
    </w:p>
    <w:p w:rsidR="009E1EE7" w:rsidRDefault="009E1EE7" w:rsidP="00AE6497">
      <w:pPr>
        <w:autoSpaceDE w:val="0"/>
        <w:autoSpaceDN w:val="0"/>
        <w:adjustRightInd w:val="0"/>
        <w:jc w:val="both"/>
        <w:rPr>
          <w:rFonts w:eastAsiaTheme="minorEastAsia"/>
          <w:bCs/>
        </w:rPr>
      </w:pPr>
      <w:r w:rsidRPr="009E1EE7">
        <w:rPr>
          <w:rFonts w:eastAsiaTheme="minorEastAsia"/>
          <w:bCs/>
        </w:rPr>
        <w:t xml:space="preserve">Similarly, more CMC value also indicates that they have the more tendencies to form micelle or aggregate which in turn help to encapsulate the drug molecule. The surfactants with sugar moiety series 1) have much more CMC values (Fig 4) as compared to the surfactants without sugar moiety (series 2). Both the above factors favor the solubilization of drug in aqueous medium. The Fig 5 b clearly shows that the surfactants which have sugar moiety are more effective for solubilization of drug in aqueous medium.  </w:t>
      </w:r>
    </w:p>
    <w:p w:rsidR="009E1EE7" w:rsidRPr="009E1EE7" w:rsidRDefault="0009782E" w:rsidP="00AE6497">
      <w:pPr>
        <w:autoSpaceDE w:val="0"/>
        <w:autoSpaceDN w:val="0"/>
        <w:adjustRightInd w:val="0"/>
        <w:jc w:val="both"/>
        <w:rPr>
          <w:rFonts w:eastAsiaTheme="minorEastAsia"/>
          <w:bCs/>
        </w:rPr>
      </w:pPr>
      <w:r w:rsidRPr="0009782E">
        <w:rPr>
          <w:rFonts w:eastAsiaTheme="minorHAnsi"/>
          <w:noProof/>
          <w:color w:val="000000"/>
        </w:rPr>
        <w:pict>
          <v:shape id="_x0000_s1030" type="#_x0000_t75" style="position:absolute;left:0;text-align:left;margin-left:107.95pt;margin-top:22.05pt;width:229.55pt;height:224.8pt;z-index:-251652096">
            <v:imagedata r:id="rId19" o:title=""/>
          </v:shape>
          <o:OLEObject Type="Embed" ProgID="ACD.ChemSketch.20" ShapeID="_x0000_s1030" DrawAspect="Content" ObjectID="_1722506842" r:id="rId20">
            <o:FieldCodes>\s</o:FieldCodes>
          </o:OLEObject>
        </w:pict>
      </w: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r w:rsidRPr="009E1EE7">
        <w:rPr>
          <w:rFonts w:eastAsiaTheme="minorEastAsia"/>
          <w:b/>
          <w:bCs/>
        </w:rPr>
        <w:t xml:space="preserve">(a) </w:t>
      </w:r>
    </w:p>
    <w:p w:rsidR="009E1EE7" w:rsidRPr="009E1EE7" w:rsidRDefault="009E1EE7" w:rsidP="00AE6497">
      <w:pPr>
        <w:autoSpaceDE w:val="0"/>
        <w:autoSpaceDN w:val="0"/>
        <w:adjustRightInd w:val="0"/>
        <w:rPr>
          <w:rFonts w:eastAsiaTheme="minorEastAsia"/>
          <w:b/>
          <w:bCs/>
        </w:rPr>
      </w:pPr>
    </w:p>
    <w:p w:rsidR="009E1EE7" w:rsidRPr="009E1EE7" w:rsidRDefault="0009782E" w:rsidP="00AE6497">
      <w:pPr>
        <w:autoSpaceDE w:val="0"/>
        <w:autoSpaceDN w:val="0"/>
        <w:adjustRightInd w:val="0"/>
        <w:rPr>
          <w:rFonts w:eastAsiaTheme="minorEastAsia"/>
          <w:b/>
          <w:bCs/>
        </w:rPr>
      </w:pPr>
      <w:r w:rsidRPr="0009782E">
        <w:rPr>
          <w:rFonts w:eastAsiaTheme="minorHAnsi"/>
          <w:noProof/>
          <w:color w:val="000000"/>
        </w:rPr>
        <w:pict>
          <v:shape id="_x0000_s1031" type="#_x0000_t75" style="position:absolute;left:0;text-align:left;margin-left:103.45pt;margin-top:10.5pt;width:248.3pt;height:277pt;z-index:-251651072">
            <v:imagedata r:id="rId21" o:title=""/>
          </v:shape>
          <o:OLEObject Type="Embed" ProgID="ACD.ChemSketch.20" ShapeID="_x0000_s1031" DrawAspect="Content" ObjectID="_1722506843" r:id="rId22">
            <o:FieldCodes>\s</o:FieldCodes>
          </o:OLEObject>
        </w:pict>
      </w: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autoSpaceDE w:val="0"/>
        <w:autoSpaceDN w:val="0"/>
        <w:adjustRightInd w:val="0"/>
        <w:rPr>
          <w:rFonts w:eastAsiaTheme="minorEastAsia"/>
          <w:b/>
          <w:bCs/>
        </w:rPr>
      </w:pPr>
    </w:p>
    <w:p w:rsidR="009E1EE7" w:rsidRPr="009E1EE7" w:rsidRDefault="009E1EE7" w:rsidP="00AE6497">
      <w:pPr>
        <w:rPr>
          <w:rFonts w:eastAsiaTheme="minorEastAsia"/>
        </w:rPr>
      </w:pPr>
    </w:p>
    <w:p w:rsidR="009E1EE7" w:rsidRPr="009E1EE7" w:rsidRDefault="009E1EE7" w:rsidP="00AE6497">
      <w:pPr>
        <w:rPr>
          <w:rFonts w:eastAsiaTheme="minorEastAsia"/>
        </w:rPr>
      </w:pPr>
    </w:p>
    <w:p w:rsidR="009E1EE7" w:rsidRPr="009E1EE7" w:rsidRDefault="009E1EE7" w:rsidP="00AE6497">
      <w:pPr>
        <w:rPr>
          <w:rFonts w:eastAsiaTheme="minorEastAsia"/>
        </w:rPr>
      </w:pPr>
    </w:p>
    <w:p w:rsidR="009E1EE7" w:rsidRPr="009E1EE7" w:rsidRDefault="009E1EE7" w:rsidP="00AE6497">
      <w:pPr>
        <w:rPr>
          <w:rFonts w:eastAsiaTheme="minorEastAsia"/>
        </w:rPr>
      </w:pPr>
    </w:p>
    <w:p w:rsidR="009E1EE7" w:rsidRPr="009E1EE7" w:rsidRDefault="009E1EE7" w:rsidP="00AE6497">
      <w:pPr>
        <w:rPr>
          <w:rFonts w:eastAsiaTheme="minorEastAsia"/>
        </w:rPr>
      </w:pPr>
    </w:p>
    <w:p w:rsidR="009E1EE7" w:rsidRPr="009E1EE7" w:rsidRDefault="009E1EE7" w:rsidP="00AE6497">
      <w:pPr>
        <w:rPr>
          <w:rFonts w:eastAsiaTheme="minorEastAsia"/>
        </w:rPr>
      </w:pPr>
    </w:p>
    <w:p w:rsidR="009E1EE7" w:rsidRPr="009E1EE7" w:rsidRDefault="009E1EE7" w:rsidP="00AE6497">
      <w:pPr>
        <w:rPr>
          <w:rFonts w:eastAsiaTheme="minorEastAsia"/>
        </w:rPr>
      </w:pPr>
    </w:p>
    <w:p w:rsidR="009E1EE7" w:rsidRPr="009E1EE7" w:rsidRDefault="009E1EE7" w:rsidP="00AE6497">
      <w:pPr>
        <w:rPr>
          <w:rFonts w:eastAsiaTheme="minorEastAsia"/>
        </w:rPr>
      </w:pPr>
    </w:p>
    <w:p w:rsidR="009E1EE7" w:rsidRPr="009E1EE7" w:rsidRDefault="009E1EE7" w:rsidP="00AE6497">
      <w:pPr>
        <w:rPr>
          <w:rFonts w:eastAsiaTheme="minorEastAsia"/>
          <w:b/>
        </w:rPr>
      </w:pP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r w:rsidRPr="009E1EE7">
        <w:rPr>
          <w:rFonts w:eastAsiaTheme="minorEastAsia"/>
        </w:rPr>
        <w:tab/>
      </w:r>
    </w:p>
    <w:p w:rsidR="009E1EE7" w:rsidRDefault="009E1EE7" w:rsidP="00AE6497">
      <w:pPr>
        <w:jc w:val="both"/>
        <w:rPr>
          <w:b/>
          <w:color w:val="000000"/>
        </w:rPr>
      </w:pPr>
    </w:p>
    <w:p w:rsidR="009E1EE7" w:rsidRDefault="009E1EE7" w:rsidP="00AE6497">
      <w:pPr>
        <w:jc w:val="both"/>
        <w:rPr>
          <w:b/>
          <w:color w:val="000000"/>
        </w:rPr>
      </w:pPr>
    </w:p>
    <w:p w:rsidR="009E1EE7" w:rsidRDefault="009E1EE7" w:rsidP="00AE6497">
      <w:pPr>
        <w:jc w:val="both"/>
        <w:rPr>
          <w:b/>
          <w:color w:val="000000"/>
        </w:rPr>
      </w:pPr>
    </w:p>
    <w:p w:rsidR="009E1EE7" w:rsidRDefault="009E1EE7" w:rsidP="00AE6497">
      <w:pPr>
        <w:jc w:val="both"/>
        <w:rPr>
          <w:b/>
          <w:color w:val="000000"/>
        </w:rPr>
      </w:pPr>
    </w:p>
    <w:p w:rsidR="009E1EE7" w:rsidRDefault="009E1EE7" w:rsidP="00AE6497">
      <w:pPr>
        <w:jc w:val="both"/>
        <w:rPr>
          <w:b/>
          <w:color w:val="000000"/>
        </w:rPr>
      </w:pPr>
    </w:p>
    <w:p w:rsidR="009E1EE7" w:rsidRDefault="009E1EE7" w:rsidP="00AE6497">
      <w:pPr>
        <w:jc w:val="both"/>
        <w:rPr>
          <w:b/>
          <w:color w:val="000000"/>
        </w:rPr>
      </w:pPr>
    </w:p>
    <w:p w:rsidR="009E1EE7" w:rsidRDefault="009E1EE7" w:rsidP="00AE6497">
      <w:pPr>
        <w:jc w:val="both"/>
        <w:rPr>
          <w:b/>
          <w:color w:val="000000"/>
        </w:rPr>
      </w:pPr>
    </w:p>
    <w:p w:rsidR="009E1EE7" w:rsidRDefault="009E1EE7" w:rsidP="00AE6497">
      <w:pPr>
        <w:jc w:val="both"/>
        <w:rPr>
          <w:b/>
          <w:color w:val="000000"/>
        </w:rPr>
      </w:pPr>
    </w:p>
    <w:p w:rsidR="009E1EE7" w:rsidRDefault="009E1EE7" w:rsidP="00AE6497">
      <w:pPr>
        <w:jc w:val="both"/>
        <w:rPr>
          <w:b/>
          <w:color w:val="000000"/>
        </w:rPr>
      </w:pPr>
    </w:p>
    <w:p w:rsidR="009E1EE7" w:rsidRDefault="009E1EE7" w:rsidP="00AE6497">
      <w:pPr>
        <w:jc w:val="both"/>
        <w:rPr>
          <w:b/>
          <w:color w:val="000000"/>
        </w:rPr>
      </w:pPr>
    </w:p>
    <w:p w:rsidR="009E1EE7" w:rsidRDefault="009E1EE7" w:rsidP="00AE6497">
      <w:pPr>
        <w:jc w:val="both"/>
        <w:rPr>
          <w:b/>
          <w:color w:val="000000"/>
        </w:rPr>
      </w:pP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Pr>
          <w:rFonts w:eastAsiaTheme="minorEastAsia"/>
          <w:b/>
        </w:rPr>
        <w:tab/>
      </w:r>
      <w:r w:rsidRPr="009E1EE7">
        <w:rPr>
          <w:rFonts w:eastAsiaTheme="minorEastAsia"/>
          <w:b/>
        </w:rPr>
        <w:t>(b)</w:t>
      </w:r>
    </w:p>
    <w:p w:rsidR="009E1EE7" w:rsidRPr="009E1EE7" w:rsidRDefault="009E1EE7" w:rsidP="00AE6497">
      <w:pPr>
        <w:jc w:val="both"/>
        <w:rPr>
          <w:color w:val="000000"/>
        </w:rPr>
      </w:pPr>
      <w:r w:rsidRPr="009E1EE7">
        <w:rPr>
          <w:b/>
          <w:color w:val="000000"/>
        </w:rPr>
        <w:t>Scheme 2:   (a) and (b) Flow chart for methodology for solubilization of Glibenclamide</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5"/>
      </w:tblGrid>
      <w:tr w:rsidR="009E1EE7" w:rsidRPr="009E1EE7" w:rsidTr="007F3C60">
        <w:tc>
          <w:tcPr>
            <w:tcW w:w="9576" w:type="dxa"/>
          </w:tcPr>
          <w:p w:rsidR="009E1EE7" w:rsidRPr="009E1EE7" w:rsidRDefault="009E1EE7" w:rsidP="00AE6497">
            <w:pPr>
              <w:rPr>
                <w:rFonts w:cs="Times New Roman"/>
                <w:b/>
                <w:sz w:val="20"/>
                <w:szCs w:val="20"/>
              </w:rPr>
            </w:pPr>
            <w:r w:rsidRPr="009E1EE7">
              <w:rPr>
                <w:noProof/>
              </w:rPr>
              <w:lastRenderedPageBreak/>
              <w:drawing>
                <wp:inline distT="0" distB="0" distL="0" distR="0">
                  <wp:extent cx="4685150" cy="3801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srcRect l="4450" t="5650" r="10162" b="1977"/>
                          <a:stretch/>
                        </pic:blipFill>
                        <pic:spPr bwMode="auto">
                          <a:xfrm>
                            <a:off x="0" y="0"/>
                            <a:ext cx="4685150" cy="38016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9E1EE7" w:rsidRPr="009E1EE7" w:rsidTr="007F3C60">
        <w:tc>
          <w:tcPr>
            <w:tcW w:w="9576" w:type="dxa"/>
          </w:tcPr>
          <w:p w:rsidR="009E1EE7" w:rsidRPr="009E1EE7" w:rsidRDefault="009E1EE7" w:rsidP="00AE6497">
            <w:pPr>
              <w:rPr>
                <w:rFonts w:cs="Times New Roman"/>
                <w:b/>
                <w:sz w:val="20"/>
                <w:szCs w:val="20"/>
              </w:rPr>
            </w:pPr>
            <w:r w:rsidRPr="009E1EE7">
              <w:rPr>
                <w:noProof/>
              </w:rPr>
              <w:drawing>
                <wp:inline distT="0" distB="0" distL="0" distR="0">
                  <wp:extent cx="4697383" cy="3801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print"/>
                          <a:srcRect l="3572" t="3705" r="11075" b="4199"/>
                          <a:stretch/>
                        </pic:blipFill>
                        <pic:spPr bwMode="auto">
                          <a:xfrm>
                            <a:off x="0" y="0"/>
                            <a:ext cx="4697383" cy="38016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bl>
    <w:p w:rsidR="009E1EE7" w:rsidRPr="009E1EE7" w:rsidRDefault="009E1EE7" w:rsidP="00AE6497">
      <w:pPr>
        <w:autoSpaceDE w:val="0"/>
        <w:autoSpaceDN w:val="0"/>
        <w:adjustRightInd w:val="0"/>
        <w:rPr>
          <w:b/>
        </w:rPr>
      </w:pPr>
      <w:r w:rsidRPr="009E1EE7">
        <w:rPr>
          <w:b/>
        </w:rPr>
        <w:t xml:space="preserve">Fig. 3: HLB (Hydrophilic- Lipophilic Balance) vs. Tail length (a) for Surfactants without sugar moiety (b) for surfactants with sugar moiety. </w:t>
      </w:r>
    </w:p>
    <w:p w:rsidR="009E1EE7" w:rsidRPr="009E1EE7" w:rsidRDefault="009E1EE7" w:rsidP="00AE6497">
      <w:pPr>
        <w:autoSpaceDE w:val="0"/>
        <w:autoSpaceDN w:val="0"/>
        <w:adjustRightInd w:val="0"/>
        <w:rPr>
          <w:b/>
        </w:rPr>
      </w:pPr>
    </w:p>
    <w:p w:rsidR="009E1EE7" w:rsidRPr="009E1EE7" w:rsidRDefault="009E1EE7" w:rsidP="00AE6497">
      <w:pPr>
        <w:autoSpaceDE w:val="0"/>
        <w:autoSpaceDN w:val="0"/>
        <w:adjustRightInd w:val="0"/>
        <w:rPr>
          <w:b/>
        </w:rPr>
      </w:pP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5"/>
      </w:tblGrid>
      <w:tr w:rsidR="009E1EE7" w:rsidRPr="009E1EE7" w:rsidTr="007F3C60">
        <w:tc>
          <w:tcPr>
            <w:tcW w:w="9854" w:type="dxa"/>
          </w:tcPr>
          <w:p w:rsidR="009E1EE7" w:rsidRPr="009E1EE7" w:rsidRDefault="009E1EE7" w:rsidP="00AE6497">
            <w:pPr>
              <w:autoSpaceDE w:val="0"/>
              <w:autoSpaceDN w:val="0"/>
              <w:adjustRightInd w:val="0"/>
              <w:rPr>
                <w:rFonts w:cs="Times New Roman"/>
                <w:b/>
                <w:sz w:val="20"/>
                <w:szCs w:val="20"/>
              </w:rPr>
            </w:pPr>
            <w:r w:rsidRPr="009E1EE7">
              <w:rPr>
                <w:b/>
                <w:noProof/>
              </w:rPr>
              <w:lastRenderedPageBreak/>
              <w:drawing>
                <wp:inline distT="0" distB="0" distL="0" distR="0">
                  <wp:extent cx="4814308" cy="3806456"/>
                  <wp:effectExtent l="19050" t="0" r="5342" b="0"/>
                  <wp:docPr id="72" name="Picture 72" descr="C:\Users\Dr Nirmal\Deskto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Dr Nirmal\Desktop\13.png"/>
                          <pic:cNvPicPr>
                            <a:picLocks noChangeAspect="1" noChangeArrowheads="1"/>
                          </pic:cNvPicPr>
                        </pic:nvPicPr>
                        <pic:blipFill>
                          <a:blip r:embed="rId25"/>
                          <a:srcRect/>
                          <a:stretch>
                            <a:fillRect/>
                          </a:stretch>
                        </pic:blipFill>
                        <pic:spPr bwMode="auto">
                          <a:xfrm>
                            <a:off x="0" y="0"/>
                            <a:ext cx="4815545" cy="3807434"/>
                          </a:xfrm>
                          <a:prstGeom prst="rect">
                            <a:avLst/>
                          </a:prstGeom>
                          <a:noFill/>
                          <a:ln w="9525">
                            <a:noFill/>
                            <a:miter lim="800000"/>
                            <a:headEnd/>
                            <a:tailEnd/>
                          </a:ln>
                        </pic:spPr>
                      </pic:pic>
                    </a:graphicData>
                  </a:graphic>
                </wp:inline>
              </w:drawing>
            </w:r>
          </w:p>
          <w:p w:rsidR="009E1EE7" w:rsidRPr="009E1EE7" w:rsidRDefault="009E1EE7" w:rsidP="00AE6497">
            <w:pPr>
              <w:autoSpaceDE w:val="0"/>
              <w:autoSpaceDN w:val="0"/>
              <w:adjustRightInd w:val="0"/>
              <w:rPr>
                <w:rFonts w:cs="Times New Roman"/>
                <w:b/>
                <w:sz w:val="20"/>
                <w:szCs w:val="20"/>
              </w:rPr>
            </w:pPr>
            <w:r w:rsidRPr="009E1EE7">
              <w:rPr>
                <w:b/>
                <w:noProof/>
              </w:rPr>
              <w:drawing>
                <wp:inline distT="0" distB="0" distL="0" distR="0">
                  <wp:extent cx="4907882" cy="3882863"/>
                  <wp:effectExtent l="19050" t="0" r="7018" b="0"/>
                  <wp:docPr id="69" name="Picture 69" descr="C:\Users\Dr Nirmal\Desktop\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Dr Nirmal\Desktop\12.png"/>
                          <pic:cNvPicPr>
                            <a:picLocks noChangeAspect="1" noChangeArrowheads="1"/>
                          </pic:cNvPicPr>
                        </pic:nvPicPr>
                        <pic:blipFill>
                          <a:blip r:embed="rId26"/>
                          <a:srcRect/>
                          <a:stretch>
                            <a:fillRect/>
                          </a:stretch>
                        </pic:blipFill>
                        <pic:spPr bwMode="auto">
                          <a:xfrm>
                            <a:off x="0" y="0"/>
                            <a:ext cx="4913788" cy="3887536"/>
                          </a:xfrm>
                          <a:prstGeom prst="rect">
                            <a:avLst/>
                          </a:prstGeom>
                          <a:noFill/>
                          <a:ln w="9525">
                            <a:noFill/>
                            <a:miter lim="800000"/>
                            <a:headEnd/>
                            <a:tailEnd/>
                          </a:ln>
                        </pic:spPr>
                      </pic:pic>
                    </a:graphicData>
                  </a:graphic>
                </wp:inline>
              </w:drawing>
            </w:r>
          </w:p>
        </w:tc>
      </w:tr>
      <w:tr w:rsidR="009E1EE7" w:rsidRPr="009E1EE7" w:rsidTr="007F3C60">
        <w:tc>
          <w:tcPr>
            <w:tcW w:w="9854" w:type="dxa"/>
          </w:tcPr>
          <w:p w:rsidR="009E1EE7" w:rsidRPr="009E1EE7" w:rsidRDefault="009E1EE7" w:rsidP="00AE6497">
            <w:pPr>
              <w:autoSpaceDE w:val="0"/>
              <w:autoSpaceDN w:val="0"/>
              <w:adjustRightInd w:val="0"/>
              <w:rPr>
                <w:rFonts w:cs="Times New Roman"/>
                <w:b/>
                <w:sz w:val="20"/>
                <w:szCs w:val="20"/>
              </w:rPr>
            </w:pPr>
          </w:p>
        </w:tc>
      </w:tr>
    </w:tbl>
    <w:p w:rsidR="009E1EE7" w:rsidRPr="009E1EE7" w:rsidRDefault="009E1EE7" w:rsidP="00AE6497">
      <w:pPr>
        <w:autoSpaceDE w:val="0"/>
        <w:autoSpaceDN w:val="0"/>
        <w:adjustRightInd w:val="0"/>
        <w:rPr>
          <w:b/>
        </w:rPr>
      </w:pPr>
      <w:r w:rsidRPr="009E1EE7">
        <w:rPr>
          <w:b/>
        </w:rPr>
        <w:t>Fig. 4: CMC (Critical Micellization Concentration in mol/L) vs. tail length (a) for surfactants without sugar moiety (b) for surfactants with sugar moiety</w:t>
      </w:r>
    </w:p>
    <w:p w:rsidR="009E1EE7" w:rsidRPr="009E1EE7" w:rsidRDefault="009E1EE7" w:rsidP="00AE6497">
      <w:pPr>
        <w:autoSpaceDE w:val="0"/>
        <w:autoSpaceDN w:val="0"/>
        <w:adjustRightInd w:val="0"/>
        <w:rPr>
          <w:b/>
        </w:rPr>
      </w:pPr>
    </w:p>
    <w:p w:rsidR="009E1EE7" w:rsidRPr="009E1EE7" w:rsidRDefault="009E1EE7" w:rsidP="00AE6497">
      <w:pPr>
        <w:autoSpaceDE w:val="0"/>
        <w:autoSpaceDN w:val="0"/>
        <w:adjustRightInd w:val="0"/>
        <w:rPr>
          <w:b/>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45"/>
      </w:tblGrid>
      <w:tr w:rsidR="009E1EE7" w:rsidRPr="009E1EE7" w:rsidTr="007F3C60">
        <w:tc>
          <w:tcPr>
            <w:tcW w:w="9854" w:type="dxa"/>
          </w:tcPr>
          <w:p w:rsidR="009E1EE7" w:rsidRPr="009E1EE7" w:rsidRDefault="009E1EE7" w:rsidP="00AE6497">
            <w:pPr>
              <w:autoSpaceDE w:val="0"/>
              <w:autoSpaceDN w:val="0"/>
              <w:adjustRightInd w:val="0"/>
              <w:rPr>
                <w:rFonts w:cs="Times New Roman"/>
                <w:b/>
                <w:sz w:val="20"/>
                <w:szCs w:val="20"/>
              </w:rPr>
            </w:pPr>
            <w:r w:rsidRPr="009E1EE7">
              <w:rPr>
                <w:noProof/>
              </w:rPr>
              <w:lastRenderedPageBreak/>
              <w:drawing>
                <wp:inline distT="0" distB="0" distL="0" distR="0">
                  <wp:extent cx="4498273" cy="3801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cstate="print"/>
                          <a:srcRect l="7004" t="6016" r="11599" b="2269"/>
                          <a:stretch/>
                        </pic:blipFill>
                        <pic:spPr bwMode="auto">
                          <a:xfrm>
                            <a:off x="0" y="0"/>
                            <a:ext cx="4498273" cy="38016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r w:rsidR="009E1EE7" w:rsidRPr="009E1EE7" w:rsidTr="007F3C60">
        <w:tc>
          <w:tcPr>
            <w:tcW w:w="9854" w:type="dxa"/>
          </w:tcPr>
          <w:p w:rsidR="009E1EE7" w:rsidRPr="009E1EE7" w:rsidRDefault="009E1EE7" w:rsidP="00AE6497">
            <w:pPr>
              <w:autoSpaceDE w:val="0"/>
              <w:autoSpaceDN w:val="0"/>
              <w:adjustRightInd w:val="0"/>
              <w:rPr>
                <w:rFonts w:cs="Times New Roman"/>
                <w:b/>
                <w:sz w:val="20"/>
                <w:szCs w:val="20"/>
              </w:rPr>
            </w:pPr>
            <w:r w:rsidRPr="009E1EE7">
              <w:rPr>
                <w:noProof/>
              </w:rPr>
              <w:drawing>
                <wp:inline distT="0" distB="0" distL="0" distR="0">
                  <wp:extent cx="4575839" cy="3801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8" cstate="print"/>
                          <a:srcRect l="5759" t="3943" r="12378" b="5381"/>
                          <a:stretch/>
                        </pic:blipFill>
                        <pic:spPr bwMode="auto">
                          <a:xfrm>
                            <a:off x="0" y="0"/>
                            <a:ext cx="4575839" cy="380160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bl>
    <w:p w:rsidR="009E1EE7" w:rsidRPr="009E1EE7" w:rsidRDefault="009E1EE7" w:rsidP="00AE6497">
      <w:pPr>
        <w:autoSpaceDE w:val="0"/>
        <w:autoSpaceDN w:val="0"/>
        <w:adjustRightInd w:val="0"/>
        <w:rPr>
          <w:b/>
        </w:rPr>
      </w:pPr>
      <w:r w:rsidRPr="009E1EE7">
        <w:rPr>
          <w:b/>
        </w:rPr>
        <w:t>Fig. 5: Solubility enhancement vs. tail length (a) for surfactants without sugar moiety (b) for surfactants with sugar moiety</w:t>
      </w:r>
    </w:p>
    <w:p w:rsidR="009E1EE7" w:rsidRPr="009E1EE7" w:rsidRDefault="009E1EE7" w:rsidP="00AE6497">
      <w:pPr>
        <w:autoSpaceDE w:val="0"/>
        <w:autoSpaceDN w:val="0"/>
        <w:adjustRightInd w:val="0"/>
        <w:rPr>
          <w:b/>
        </w:rPr>
      </w:pPr>
    </w:p>
    <w:p w:rsidR="009E1EE7" w:rsidRPr="009E1EE7" w:rsidRDefault="009E1EE7" w:rsidP="00AE6497">
      <w:pPr>
        <w:autoSpaceDE w:val="0"/>
        <w:autoSpaceDN w:val="0"/>
        <w:adjustRightInd w:val="0"/>
        <w:rPr>
          <w:b/>
        </w:rPr>
      </w:pPr>
    </w:p>
    <w:p w:rsidR="009E1EE7" w:rsidRPr="009E1EE7" w:rsidRDefault="009E1EE7" w:rsidP="00AE6497">
      <w:pPr>
        <w:autoSpaceDE w:val="0"/>
        <w:autoSpaceDN w:val="0"/>
        <w:adjustRightInd w:val="0"/>
        <w:rPr>
          <w:b/>
        </w:rPr>
      </w:pPr>
    </w:p>
    <w:p w:rsidR="009E1EE7" w:rsidRPr="009E1EE7" w:rsidRDefault="009E1EE7" w:rsidP="00AE6497">
      <w:pPr>
        <w:autoSpaceDE w:val="0"/>
        <w:autoSpaceDN w:val="0"/>
        <w:adjustRightInd w:val="0"/>
        <w:rPr>
          <w:b/>
        </w:rPr>
      </w:pPr>
    </w:p>
    <w:p w:rsidR="009E1EE7" w:rsidRPr="009E1EE7" w:rsidRDefault="009E1EE7" w:rsidP="00AE6497">
      <w:pPr>
        <w:autoSpaceDE w:val="0"/>
        <w:autoSpaceDN w:val="0"/>
        <w:adjustRightInd w:val="0"/>
        <w:rPr>
          <w:color w:val="FF0000"/>
        </w:rPr>
      </w:pPr>
      <w:r w:rsidRPr="009E1EE7">
        <w:rPr>
          <w:b/>
        </w:rPr>
        <w:t xml:space="preserve">Results and Discussion: </w:t>
      </w:r>
    </w:p>
    <w:p w:rsidR="009E1EE7" w:rsidRPr="009E1EE7" w:rsidRDefault="009E1EE7" w:rsidP="00AE6497">
      <w:pPr>
        <w:autoSpaceDE w:val="0"/>
        <w:autoSpaceDN w:val="0"/>
        <w:adjustRightInd w:val="0"/>
        <w:rPr>
          <w:color w:val="FF0000"/>
        </w:rPr>
      </w:pPr>
    </w:p>
    <w:p w:rsidR="009E1EE7" w:rsidRPr="009E1EE7" w:rsidRDefault="009E1EE7" w:rsidP="00AE6497">
      <w:pPr>
        <w:autoSpaceDE w:val="0"/>
        <w:autoSpaceDN w:val="0"/>
        <w:adjustRightInd w:val="0"/>
        <w:jc w:val="both"/>
      </w:pPr>
      <w:r w:rsidRPr="009E1EE7">
        <w:lastRenderedPageBreak/>
        <w:tab/>
        <w:t xml:space="preserve">The main driving force for the encapsulation of drugs by non-ionic surfactants is the presence of sugar moiety. As per the study, the simple conventional surfactants without sugar moiety did not show any remarkable results. Hydroxyl groups of sugar moiety interact with the drug molecules in two ways. As a donor, it is responsible for free rotation of C-OH angle. This helps in the formation of a linear bond with drug molecules. Hydrophobic portions on sugar surfaces and long alkyl tails contact the hydrophobic portions on drugs. It is also found that the carbohydrate </w:t>
      </w:r>
      <w:r w:rsidR="00C664B7">
        <w:t>based</w:t>
      </w:r>
      <w:r w:rsidRPr="009E1EE7">
        <w:t xml:space="preserve"> surfactants showed more efficiency to encapsulate poorly water-soluble drugs as compared to non-sugar surfactants.</w:t>
      </w:r>
    </w:p>
    <w:p w:rsidR="009E1EE7" w:rsidRPr="009E1EE7" w:rsidRDefault="009E1EE7" w:rsidP="00AE6497">
      <w:pPr>
        <w:autoSpaceDE w:val="0"/>
        <w:autoSpaceDN w:val="0"/>
        <w:adjustRightInd w:val="0"/>
        <w:jc w:val="both"/>
      </w:pPr>
    </w:p>
    <w:p w:rsidR="009E1EE7" w:rsidRPr="009E1EE7" w:rsidRDefault="009E1EE7" w:rsidP="00AE6497">
      <w:pPr>
        <w:autoSpaceDE w:val="0"/>
        <w:autoSpaceDN w:val="0"/>
        <w:adjustRightInd w:val="0"/>
        <w:jc w:val="both"/>
        <w:rPr>
          <w:b/>
        </w:rPr>
      </w:pPr>
      <w:r w:rsidRPr="009E1EE7">
        <w:rPr>
          <w:b/>
        </w:rPr>
        <w:t>Table 1: HLB (Hydrophilic- Lipophilic Balance) [34] of surfactants used for encapsulation of Glibenclamide [33, 35]- comparison</w:t>
      </w:r>
    </w:p>
    <w:p w:rsidR="009E1EE7" w:rsidRPr="009E1EE7" w:rsidRDefault="009E1EE7" w:rsidP="00AE6497">
      <w:pPr>
        <w:autoSpaceDE w:val="0"/>
        <w:autoSpaceDN w:val="0"/>
        <w:adjustRightInd w:val="0"/>
      </w:pPr>
    </w:p>
    <w:tbl>
      <w:tblPr>
        <w:tblStyle w:val="TableGrid"/>
        <w:tblW w:w="0" w:type="auto"/>
        <w:tblLook w:val="04A0"/>
      </w:tblPr>
      <w:tblGrid>
        <w:gridCol w:w="1584"/>
        <w:gridCol w:w="1525"/>
        <w:gridCol w:w="1523"/>
        <w:gridCol w:w="1565"/>
        <w:gridCol w:w="1525"/>
        <w:gridCol w:w="1523"/>
      </w:tblGrid>
      <w:tr w:rsidR="009E1EE7" w:rsidRPr="009E1EE7" w:rsidTr="007F3C60">
        <w:tc>
          <w:tcPr>
            <w:tcW w:w="1596" w:type="dxa"/>
          </w:tcPr>
          <w:p w:rsidR="009E1EE7" w:rsidRPr="009E1EE7" w:rsidRDefault="009E1EE7" w:rsidP="00AE6497">
            <w:pPr>
              <w:pStyle w:val="NoSpacing"/>
              <w:rPr>
                <w:rFonts w:cs="Times New Roman"/>
                <w:sz w:val="20"/>
                <w:szCs w:val="20"/>
              </w:rPr>
            </w:pPr>
            <w:r w:rsidRPr="009E1EE7">
              <w:rPr>
                <w:rFonts w:cs="Times New Roman"/>
                <w:sz w:val="20"/>
                <w:szCs w:val="20"/>
              </w:rPr>
              <w:t>Surfactants</w:t>
            </w:r>
          </w:p>
          <w:p w:rsidR="009E1EE7" w:rsidRPr="009E1EE7" w:rsidRDefault="009E1EE7" w:rsidP="00AE6497">
            <w:pPr>
              <w:pStyle w:val="NoSpacing"/>
              <w:rPr>
                <w:rFonts w:cs="Times New Roman"/>
                <w:sz w:val="20"/>
                <w:szCs w:val="20"/>
              </w:rPr>
            </w:pPr>
            <w:r w:rsidRPr="009E1EE7">
              <w:rPr>
                <w:rFonts w:cs="Times New Roman"/>
                <w:sz w:val="20"/>
                <w:szCs w:val="20"/>
              </w:rPr>
              <w:t>Without sugar moiety (Series I)</w:t>
            </w:r>
          </w:p>
        </w:tc>
        <w:tc>
          <w:tcPr>
            <w:tcW w:w="1596" w:type="dxa"/>
          </w:tcPr>
          <w:p w:rsidR="009E1EE7" w:rsidRPr="009E1EE7" w:rsidRDefault="009E1EE7" w:rsidP="00AE6497">
            <w:pPr>
              <w:pStyle w:val="NoSpacing"/>
              <w:rPr>
                <w:rFonts w:cs="Times New Roman"/>
                <w:b/>
                <w:sz w:val="20"/>
                <w:szCs w:val="20"/>
              </w:rPr>
            </w:pPr>
            <w:r w:rsidRPr="009E1EE7">
              <w:rPr>
                <w:rFonts w:cs="Times New Roman"/>
                <w:sz w:val="20"/>
                <w:szCs w:val="20"/>
              </w:rPr>
              <w:t>HLB Value (20 x Mh/M)</w:t>
            </w:r>
            <w:r w:rsidRPr="009E1EE7">
              <w:rPr>
                <w:rFonts w:cs="Times New Roman"/>
                <w:sz w:val="20"/>
                <w:szCs w:val="20"/>
                <w:vertAlign w:val="superscript"/>
              </w:rPr>
              <w:t>a</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CMC</w:t>
            </w:r>
          </w:p>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(mol/L)</w:t>
            </w:r>
          </w:p>
        </w:tc>
        <w:tc>
          <w:tcPr>
            <w:tcW w:w="1596" w:type="dxa"/>
          </w:tcPr>
          <w:p w:rsidR="009E1EE7" w:rsidRPr="009E1EE7" w:rsidRDefault="009E1EE7" w:rsidP="00AE6497">
            <w:pPr>
              <w:pStyle w:val="NoSpacing"/>
              <w:rPr>
                <w:rFonts w:cs="Times New Roman"/>
                <w:sz w:val="20"/>
                <w:szCs w:val="20"/>
              </w:rPr>
            </w:pPr>
            <w:r w:rsidRPr="009E1EE7">
              <w:rPr>
                <w:rFonts w:cs="Times New Roman"/>
                <w:sz w:val="20"/>
                <w:szCs w:val="20"/>
              </w:rPr>
              <w:t>Surfactants</w:t>
            </w:r>
          </w:p>
          <w:p w:rsidR="009E1EE7" w:rsidRPr="009E1EE7" w:rsidRDefault="009E1EE7" w:rsidP="00AE6497">
            <w:pPr>
              <w:pStyle w:val="NoSpacing"/>
              <w:rPr>
                <w:rFonts w:cs="Times New Roman"/>
                <w:sz w:val="20"/>
                <w:szCs w:val="20"/>
              </w:rPr>
            </w:pPr>
            <w:r w:rsidRPr="009E1EE7">
              <w:rPr>
                <w:rFonts w:cs="Times New Roman"/>
                <w:sz w:val="20"/>
                <w:szCs w:val="20"/>
              </w:rPr>
              <w:t>With sugar moiety (Series 2)</w:t>
            </w:r>
          </w:p>
        </w:tc>
        <w:tc>
          <w:tcPr>
            <w:tcW w:w="1596" w:type="dxa"/>
          </w:tcPr>
          <w:p w:rsidR="009E1EE7" w:rsidRPr="009E1EE7" w:rsidRDefault="009E1EE7" w:rsidP="00AE6497">
            <w:pPr>
              <w:pStyle w:val="NoSpacing"/>
              <w:rPr>
                <w:rFonts w:cs="Times New Roman"/>
                <w:b/>
                <w:sz w:val="20"/>
                <w:szCs w:val="20"/>
              </w:rPr>
            </w:pPr>
            <w:r w:rsidRPr="009E1EE7">
              <w:rPr>
                <w:rFonts w:cs="Times New Roman"/>
                <w:sz w:val="20"/>
                <w:szCs w:val="20"/>
              </w:rPr>
              <w:t>HLB Value (20 x Mh/M)</w:t>
            </w:r>
            <w:r w:rsidRPr="009E1EE7">
              <w:rPr>
                <w:rFonts w:cs="Times New Roman"/>
                <w:sz w:val="20"/>
                <w:szCs w:val="20"/>
                <w:vertAlign w:val="superscript"/>
              </w:rPr>
              <w:t>a</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CMC</w:t>
            </w:r>
          </w:p>
          <w:p w:rsidR="009E1EE7" w:rsidRPr="009E1EE7" w:rsidRDefault="009E1EE7" w:rsidP="00AE6497">
            <w:pPr>
              <w:rPr>
                <w:rFonts w:cs="Times New Roman"/>
                <w:sz w:val="20"/>
                <w:szCs w:val="20"/>
              </w:rPr>
            </w:pPr>
            <w:r w:rsidRPr="009E1EE7">
              <w:rPr>
                <w:rFonts w:cs="Times New Roman"/>
                <w:sz w:val="20"/>
                <w:szCs w:val="20"/>
              </w:rPr>
              <w:t>(mol/L)</w:t>
            </w:r>
          </w:p>
        </w:tc>
      </w:tr>
      <w:tr w:rsidR="009E1EE7" w:rsidRPr="009E1EE7" w:rsidTr="007F3C60">
        <w:tc>
          <w:tcPr>
            <w:tcW w:w="1596" w:type="dxa"/>
          </w:tcPr>
          <w:p w:rsidR="009E1EE7" w:rsidRPr="009E1EE7" w:rsidRDefault="009E1EE7" w:rsidP="00AE6497">
            <w:pPr>
              <w:pStyle w:val="NoSpacing"/>
              <w:rPr>
                <w:rFonts w:cs="Times New Roman"/>
                <w:sz w:val="20"/>
                <w:szCs w:val="20"/>
              </w:rPr>
            </w:pPr>
            <w:r w:rsidRPr="009E1EE7">
              <w:rPr>
                <w:rFonts w:cs="Times New Roman"/>
                <w:sz w:val="20"/>
                <w:szCs w:val="20"/>
              </w:rPr>
              <w:t>1a</w:t>
            </w:r>
          </w:p>
          <w:p w:rsidR="009E1EE7" w:rsidRPr="009E1EE7" w:rsidRDefault="009E1EE7" w:rsidP="00AE6497">
            <w:pPr>
              <w:pStyle w:val="NoSpacing"/>
              <w:rPr>
                <w:rFonts w:cs="Times New Roman"/>
                <w:sz w:val="20"/>
                <w:szCs w:val="20"/>
              </w:rPr>
            </w:pPr>
            <w:r w:rsidRPr="009E1EE7">
              <w:rPr>
                <w:rFonts w:cs="Times New Roman"/>
                <w:b/>
                <w:sz w:val="20"/>
                <w:szCs w:val="20"/>
              </w:rPr>
              <w:t>(C</w:t>
            </w:r>
            <w:r w:rsidRPr="009E1EE7">
              <w:rPr>
                <w:rFonts w:cs="Times New Roman"/>
                <w:b/>
                <w:sz w:val="20"/>
                <w:szCs w:val="20"/>
                <w:vertAlign w:val="subscript"/>
              </w:rPr>
              <w:t>41</w:t>
            </w:r>
            <w:r w:rsidRPr="009E1EE7">
              <w:rPr>
                <w:rFonts w:cs="Times New Roman"/>
                <w:b/>
                <w:sz w:val="20"/>
                <w:szCs w:val="20"/>
              </w:rPr>
              <w:t>H</w:t>
            </w:r>
            <w:r w:rsidRPr="009E1EE7">
              <w:rPr>
                <w:rFonts w:cs="Times New Roman"/>
                <w:b/>
                <w:sz w:val="20"/>
                <w:szCs w:val="20"/>
                <w:vertAlign w:val="subscript"/>
              </w:rPr>
              <w:t>86</w:t>
            </w:r>
            <w:r w:rsidRPr="009E1EE7">
              <w:rPr>
                <w:rFonts w:cs="Times New Roman"/>
                <w:b/>
                <w:sz w:val="20"/>
                <w:szCs w:val="20"/>
              </w:rPr>
              <w:t>N</w:t>
            </w:r>
            <w:r w:rsidRPr="009E1EE7">
              <w:rPr>
                <w:rFonts w:cs="Times New Roman"/>
                <w:b/>
                <w:sz w:val="20"/>
                <w:szCs w:val="20"/>
                <w:vertAlign w:val="subscript"/>
              </w:rPr>
              <w:t>2</w:t>
            </w:r>
            <w:r w:rsidRPr="009E1EE7">
              <w:rPr>
                <w:rFonts w:cs="Times New Roman"/>
                <w:b/>
                <w:sz w:val="20"/>
                <w:szCs w:val="20"/>
              </w:rPr>
              <w:t>O</w:t>
            </w:r>
            <w:r w:rsidRPr="009E1EE7">
              <w:rPr>
                <w:rFonts w:cs="Times New Roman"/>
                <w:b/>
                <w:sz w:val="20"/>
                <w:szCs w:val="20"/>
                <w:vertAlign w:val="subscript"/>
              </w:rPr>
              <w:t>16</w:t>
            </w:r>
            <w:r w:rsidRPr="009E1EE7">
              <w:rPr>
                <w:rFonts w:cs="Times New Roman"/>
                <w:b/>
                <w:sz w:val="20"/>
                <w:szCs w:val="20"/>
              </w:rPr>
              <w:t>)</w:t>
            </w:r>
          </w:p>
        </w:tc>
        <w:tc>
          <w:tcPr>
            <w:tcW w:w="1596" w:type="dxa"/>
          </w:tcPr>
          <w:p w:rsidR="009E1EE7" w:rsidRPr="009E1EE7" w:rsidRDefault="009E1EE7" w:rsidP="00AE6497">
            <w:pPr>
              <w:pStyle w:val="NoSpacing"/>
              <w:rPr>
                <w:rFonts w:cs="Times New Roman"/>
                <w:sz w:val="20"/>
                <w:szCs w:val="20"/>
              </w:rPr>
            </w:pPr>
            <w:r w:rsidRPr="009E1EE7">
              <w:rPr>
                <w:rFonts w:cs="Times New Roman"/>
                <w:sz w:val="20"/>
                <w:szCs w:val="20"/>
              </w:rPr>
              <w:t>12.0</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4.1 x 10</w:t>
            </w:r>
            <w:r w:rsidRPr="009E1EE7">
              <w:rPr>
                <w:rFonts w:cs="Times New Roman"/>
                <w:sz w:val="20"/>
                <w:szCs w:val="20"/>
                <w:vertAlign w:val="superscript"/>
              </w:rPr>
              <w:t>-4</w:t>
            </w:r>
          </w:p>
        </w:tc>
        <w:tc>
          <w:tcPr>
            <w:tcW w:w="1596" w:type="dxa"/>
          </w:tcPr>
          <w:p w:rsidR="009E1EE7" w:rsidRPr="009E1EE7" w:rsidRDefault="009E1EE7" w:rsidP="00AE6497">
            <w:pPr>
              <w:pStyle w:val="NoSpacing"/>
              <w:rPr>
                <w:rFonts w:cs="Times New Roman"/>
                <w:sz w:val="20"/>
                <w:szCs w:val="20"/>
              </w:rPr>
            </w:pPr>
            <w:r w:rsidRPr="009E1EE7">
              <w:rPr>
                <w:rFonts w:cs="Times New Roman"/>
                <w:sz w:val="20"/>
                <w:szCs w:val="20"/>
              </w:rPr>
              <w:t>2a</w:t>
            </w:r>
          </w:p>
          <w:p w:rsidR="009E1EE7" w:rsidRPr="009E1EE7" w:rsidRDefault="009E1EE7" w:rsidP="00AE6497">
            <w:pPr>
              <w:pStyle w:val="NoSpacing"/>
              <w:rPr>
                <w:rFonts w:cs="Times New Roman"/>
                <w:sz w:val="20"/>
                <w:szCs w:val="20"/>
              </w:rPr>
            </w:pPr>
            <w:r w:rsidRPr="009E1EE7">
              <w:rPr>
                <w:rFonts w:cs="Times New Roman"/>
                <w:b/>
                <w:sz w:val="20"/>
                <w:szCs w:val="20"/>
              </w:rPr>
              <w:t>(C</w:t>
            </w:r>
            <w:r w:rsidRPr="009E1EE7">
              <w:rPr>
                <w:rFonts w:cs="Times New Roman"/>
                <w:b/>
                <w:sz w:val="20"/>
                <w:szCs w:val="20"/>
                <w:vertAlign w:val="subscript"/>
              </w:rPr>
              <w:t>25</w:t>
            </w:r>
            <w:r w:rsidRPr="009E1EE7">
              <w:rPr>
                <w:rFonts w:cs="Times New Roman"/>
                <w:b/>
                <w:sz w:val="20"/>
                <w:szCs w:val="20"/>
              </w:rPr>
              <w:t>H</w:t>
            </w:r>
            <w:r w:rsidRPr="009E1EE7">
              <w:rPr>
                <w:rFonts w:cs="Times New Roman"/>
                <w:b/>
                <w:sz w:val="20"/>
                <w:szCs w:val="20"/>
                <w:vertAlign w:val="subscript"/>
              </w:rPr>
              <w:t>46</w:t>
            </w:r>
            <w:r w:rsidRPr="009E1EE7">
              <w:rPr>
                <w:rFonts w:cs="Times New Roman"/>
                <w:b/>
                <w:sz w:val="20"/>
                <w:szCs w:val="20"/>
              </w:rPr>
              <w:t>NO</w:t>
            </w:r>
            <w:r w:rsidRPr="009E1EE7">
              <w:rPr>
                <w:rFonts w:cs="Times New Roman"/>
                <w:b/>
                <w:sz w:val="20"/>
                <w:szCs w:val="20"/>
                <w:vertAlign w:val="subscript"/>
              </w:rPr>
              <w:t>9</w:t>
            </w:r>
            <w:r w:rsidRPr="009E1EE7">
              <w:rPr>
                <w:rFonts w:cs="Times New Roman"/>
                <w:b/>
                <w:sz w:val="20"/>
                <w:szCs w:val="20"/>
              </w:rPr>
              <w:t>)</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12.7</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3.1 x 10</w:t>
            </w:r>
            <w:r w:rsidRPr="009E1EE7">
              <w:rPr>
                <w:rFonts w:cs="Times New Roman"/>
                <w:sz w:val="20"/>
                <w:szCs w:val="20"/>
                <w:vertAlign w:val="superscript"/>
              </w:rPr>
              <w:t>-3</w:t>
            </w:r>
          </w:p>
        </w:tc>
      </w:tr>
      <w:tr w:rsidR="009E1EE7" w:rsidRPr="009E1EE7" w:rsidTr="007F3C60">
        <w:tc>
          <w:tcPr>
            <w:tcW w:w="1596" w:type="dxa"/>
          </w:tcPr>
          <w:p w:rsidR="009E1EE7" w:rsidRPr="009E1EE7" w:rsidRDefault="009E1EE7" w:rsidP="00AE6497">
            <w:pPr>
              <w:pStyle w:val="NoSpacing"/>
              <w:rPr>
                <w:rFonts w:cs="Times New Roman"/>
                <w:sz w:val="20"/>
                <w:szCs w:val="20"/>
              </w:rPr>
            </w:pPr>
            <w:r w:rsidRPr="009E1EE7">
              <w:rPr>
                <w:rFonts w:cs="Times New Roman"/>
                <w:sz w:val="20"/>
                <w:szCs w:val="20"/>
              </w:rPr>
              <w:t>1b</w:t>
            </w:r>
          </w:p>
          <w:p w:rsidR="009E1EE7" w:rsidRPr="009E1EE7" w:rsidRDefault="009E1EE7" w:rsidP="00AE6497">
            <w:pPr>
              <w:pStyle w:val="NoSpacing"/>
              <w:rPr>
                <w:rFonts w:cs="Times New Roman"/>
                <w:sz w:val="20"/>
                <w:szCs w:val="20"/>
              </w:rPr>
            </w:pPr>
            <w:r w:rsidRPr="009E1EE7">
              <w:rPr>
                <w:rFonts w:cs="Times New Roman"/>
                <w:b/>
                <w:sz w:val="20"/>
                <w:szCs w:val="20"/>
              </w:rPr>
              <w:t>(C</w:t>
            </w:r>
            <w:r w:rsidRPr="009E1EE7">
              <w:rPr>
                <w:rFonts w:cs="Times New Roman"/>
                <w:b/>
                <w:sz w:val="20"/>
                <w:szCs w:val="20"/>
                <w:vertAlign w:val="subscript"/>
              </w:rPr>
              <w:t>45</w:t>
            </w:r>
            <w:r w:rsidRPr="009E1EE7">
              <w:rPr>
                <w:rFonts w:cs="Times New Roman"/>
                <w:b/>
                <w:sz w:val="20"/>
                <w:szCs w:val="20"/>
              </w:rPr>
              <w:t>H</w:t>
            </w:r>
            <w:r w:rsidRPr="009E1EE7">
              <w:rPr>
                <w:rFonts w:cs="Times New Roman"/>
                <w:b/>
                <w:sz w:val="20"/>
                <w:szCs w:val="20"/>
                <w:vertAlign w:val="subscript"/>
              </w:rPr>
              <w:t>94</w:t>
            </w:r>
            <w:r w:rsidRPr="009E1EE7">
              <w:rPr>
                <w:rFonts w:cs="Times New Roman"/>
                <w:b/>
                <w:sz w:val="20"/>
                <w:szCs w:val="20"/>
              </w:rPr>
              <w:t>N</w:t>
            </w:r>
            <w:r w:rsidRPr="009E1EE7">
              <w:rPr>
                <w:rFonts w:cs="Times New Roman"/>
                <w:b/>
                <w:sz w:val="20"/>
                <w:szCs w:val="20"/>
                <w:vertAlign w:val="subscript"/>
              </w:rPr>
              <w:t>2</w:t>
            </w:r>
            <w:r w:rsidRPr="009E1EE7">
              <w:rPr>
                <w:rFonts w:cs="Times New Roman"/>
                <w:b/>
                <w:sz w:val="20"/>
                <w:szCs w:val="20"/>
              </w:rPr>
              <w:t>O</w:t>
            </w:r>
            <w:r w:rsidRPr="009E1EE7">
              <w:rPr>
                <w:rFonts w:cs="Times New Roman"/>
                <w:b/>
                <w:sz w:val="20"/>
                <w:szCs w:val="20"/>
                <w:vertAlign w:val="subscript"/>
              </w:rPr>
              <w:t>16</w:t>
            </w:r>
            <w:r w:rsidRPr="009E1EE7">
              <w:rPr>
                <w:rFonts w:cs="Times New Roman"/>
                <w:b/>
                <w:sz w:val="20"/>
                <w:szCs w:val="20"/>
              </w:rPr>
              <w:t>)</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11.6</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3.7 x 10</w:t>
            </w:r>
            <w:r w:rsidRPr="009E1EE7">
              <w:rPr>
                <w:rFonts w:cs="Times New Roman"/>
                <w:sz w:val="20"/>
                <w:szCs w:val="20"/>
                <w:vertAlign w:val="superscript"/>
              </w:rPr>
              <w:t>-4</w:t>
            </w:r>
          </w:p>
        </w:tc>
        <w:tc>
          <w:tcPr>
            <w:tcW w:w="1596" w:type="dxa"/>
          </w:tcPr>
          <w:p w:rsidR="009E1EE7" w:rsidRPr="009E1EE7" w:rsidRDefault="009E1EE7" w:rsidP="00AE6497">
            <w:pPr>
              <w:pStyle w:val="NoSpacing"/>
              <w:rPr>
                <w:rFonts w:cs="Times New Roman"/>
                <w:sz w:val="20"/>
                <w:szCs w:val="20"/>
              </w:rPr>
            </w:pPr>
            <w:r w:rsidRPr="009E1EE7">
              <w:rPr>
                <w:rFonts w:cs="Times New Roman"/>
                <w:sz w:val="20"/>
                <w:szCs w:val="20"/>
              </w:rPr>
              <w:t>2b</w:t>
            </w:r>
          </w:p>
          <w:p w:rsidR="009E1EE7" w:rsidRPr="009E1EE7" w:rsidRDefault="009E1EE7" w:rsidP="00AE6497">
            <w:pPr>
              <w:pStyle w:val="NoSpacing"/>
              <w:rPr>
                <w:rFonts w:cs="Times New Roman"/>
                <w:sz w:val="20"/>
                <w:szCs w:val="20"/>
              </w:rPr>
            </w:pPr>
            <w:r w:rsidRPr="009E1EE7">
              <w:rPr>
                <w:rFonts w:cs="Times New Roman"/>
                <w:b/>
                <w:sz w:val="20"/>
                <w:szCs w:val="20"/>
              </w:rPr>
              <w:t>(C</w:t>
            </w:r>
            <w:r w:rsidRPr="009E1EE7">
              <w:rPr>
                <w:rFonts w:cs="Times New Roman"/>
                <w:b/>
                <w:sz w:val="20"/>
                <w:szCs w:val="20"/>
                <w:vertAlign w:val="subscript"/>
              </w:rPr>
              <w:t>27</w:t>
            </w:r>
            <w:r w:rsidRPr="009E1EE7">
              <w:rPr>
                <w:rFonts w:cs="Times New Roman"/>
                <w:b/>
                <w:sz w:val="20"/>
                <w:szCs w:val="20"/>
              </w:rPr>
              <w:t>H</w:t>
            </w:r>
            <w:r w:rsidRPr="009E1EE7">
              <w:rPr>
                <w:rFonts w:cs="Times New Roman"/>
                <w:b/>
                <w:sz w:val="20"/>
                <w:szCs w:val="20"/>
                <w:vertAlign w:val="subscript"/>
              </w:rPr>
              <w:t>50</w:t>
            </w:r>
            <w:r w:rsidRPr="009E1EE7">
              <w:rPr>
                <w:rFonts w:cs="Times New Roman"/>
                <w:b/>
                <w:sz w:val="20"/>
                <w:szCs w:val="20"/>
              </w:rPr>
              <w:t>NO</w:t>
            </w:r>
            <w:r w:rsidRPr="009E1EE7">
              <w:rPr>
                <w:rFonts w:cs="Times New Roman"/>
                <w:b/>
                <w:sz w:val="20"/>
                <w:szCs w:val="20"/>
                <w:vertAlign w:val="subscript"/>
              </w:rPr>
              <w:t>9</w:t>
            </w:r>
            <w:r w:rsidRPr="009E1EE7">
              <w:rPr>
                <w:rFonts w:cs="Times New Roman"/>
                <w:b/>
                <w:sz w:val="20"/>
                <w:szCs w:val="20"/>
              </w:rPr>
              <w:t>)</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12.0</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9.0 x 10</w:t>
            </w:r>
            <w:r w:rsidRPr="009E1EE7">
              <w:rPr>
                <w:rFonts w:cs="Times New Roman"/>
                <w:sz w:val="20"/>
                <w:szCs w:val="20"/>
                <w:vertAlign w:val="superscript"/>
              </w:rPr>
              <w:t>-4</w:t>
            </w:r>
          </w:p>
        </w:tc>
      </w:tr>
      <w:tr w:rsidR="009E1EE7" w:rsidRPr="009E1EE7" w:rsidTr="007F3C60">
        <w:tc>
          <w:tcPr>
            <w:tcW w:w="1596" w:type="dxa"/>
          </w:tcPr>
          <w:p w:rsidR="009E1EE7" w:rsidRPr="009E1EE7" w:rsidRDefault="009E1EE7" w:rsidP="00AE6497">
            <w:pPr>
              <w:pStyle w:val="NoSpacing"/>
              <w:rPr>
                <w:rFonts w:cs="Times New Roman"/>
                <w:sz w:val="20"/>
                <w:szCs w:val="20"/>
              </w:rPr>
            </w:pPr>
            <w:r w:rsidRPr="009E1EE7">
              <w:rPr>
                <w:rFonts w:cs="Times New Roman"/>
                <w:sz w:val="20"/>
                <w:szCs w:val="20"/>
              </w:rPr>
              <w:t>1c</w:t>
            </w:r>
          </w:p>
          <w:p w:rsidR="009E1EE7" w:rsidRPr="009E1EE7" w:rsidRDefault="009E1EE7" w:rsidP="00AE6497">
            <w:pPr>
              <w:pStyle w:val="NoSpacing"/>
              <w:rPr>
                <w:rFonts w:cs="Times New Roman"/>
                <w:sz w:val="20"/>
                <w:szCs w:val="20"/>
              </w:rPr>
            </w:pPr>
            <w:r w:rsidRPr="009E1EE7">
              <w:rPr>
                <w:rFonts w:cs="Times New Roman"/>
                <w:b/>
                <w:sz w:val="20"/>
                <w:szCs w:val="20"/>
              </w:rPr>
              <w:t>(C</w:t>
            </w:r>
            <w:r w:rsidRPr="009E1EE7">
              <w:rPr>
                <w:rFonts w:cs="Times New Roman"/>
                <w:b/>
                <w:sz w:val="20"/>
                <w:szCs w:val="20"/>
                <w:vertAlign w:val="subscript"/>
              </w:rPr>
              <w:t>49</w:t>
            </w:r>
            <w:r w:rsidRPr="009E1EE7">
              <w:rPr>
                <w:rFonts w:cs="Times New Roman"/>
                <w:b/>
                <w:sz w:val="20"/>
                <w:szCs w:val="20"/>
              </w:rPr>
              <w:t>H</w:t>
            </w:r>
            <w:r w:rsidRPr="009E1EE7">
              <w:rPr>
                <w:rFonts w:cs="Times New Roman"/>
                <w:b/>
                <w:sz w:val="20"/>
                <w:szCs w:val="20"/>
                <w:vertAlign w:val="subscript"/>
              </w:rPr>
              <w:t>102</w:t>
            </w:r>
            <w:r w:rsidRPr="009E1EE7">
              <w:rPr>
                <w:rFonts w:cs="Times New Roman"/>
                <w:b/>
                <w:sz w:val="20"/>
                <w:szCs w:val="20"/>
              </w:rPr>
              <w:t>N</w:t>
            </w:r>
            <w:r w:rsidRPr="009E1EE7">
              <w:rPr>
                <w:rFonts w:cs="Times New Roman"/>
                <w:b/>
                <w:sz w:val="20"/>
                <w:szCs w:val="20"/>
                <w:vertAlign w:val="subscript"/>
              </w:rPr>
              <w:t>2</w:t>
            </w:r>
            <w:r w:rsidRPr="009E1EE7">
              <w:rPr>
                <w:rFonts w:cs="Times New Roman"/>
                <w:b/>
                <w:sz w:val="20"/>
                <w:szCs w:val="20"/>
              </w:rPr>
              <w:t>O</w:t>
            </w:r>
            <w:r w:rsidRPr="009E1EE7">
              <w:rPr>
                <w:rFonts w:cs="Times New Roman"/>
                <w:b/>
                <w:sz w:val="20"/>
                <w:szCs w:val="20"/>
                <w:vertAlign w:val="subscript"/>
              </w:rPr>
              <w:t>16</w:t>
            </w:r>
            <w:r w:rsidRPr="009E1EE7">
              <w:rPr>
                <w:rFonts w:cs="Times New Roman"/>
                <w:b/>
                <w:sz w:val="20"/>
                <w:szCs w:val="20"/>
              </w:rPr>
              <w:t>)</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11.2</w:t>
            </w:r>
          </w:p>
        </w:tc>
        <w:tc>
          <w:tcPr>
            <w:tcW w:w="1596" w:type="dxa"/>
          </w:tcPr>
          <w:p w:rsidR="009E1EE7" w:rsidRPr="009E1EE7" w:rsidRDefault="009E1EE7" w:rsidP="00AE6497">
            <w:pPr>
              <w:pStyle w:val="Default"/>
              <w:jc w:val="center"/>
              <w:rPr>
                <w:rFonts w:cs="Times New Roman"/>
                <w:sz w:val="20"/>
                <w:szCs w:val="20"/>
              </w:rPr>
            </w:pPr>
            <w:r w:rsidRPr="009E1EE7">
              <w:rPr>
                <w:rFonts w:cs="Times New Roman"/>
                <w:sz w:val="20"/>
                <w:szCs w:val="20"/>
              </w:rPr>
              <w:t>3.1 x10</w:t>
            </w:r>
            <w:r w:rsidRPr="009E1EE7">
              <w:rPr>
                <w:rFonts w:cs="Times New Roman"/>
                <w:sz w:val="20"/>
                <w:szCs w:val="20"/>
                <w:vertAlign w:val="superscript"/>
              </w:rPr>
              <w:t>-4</w:t>
            </w:r>
          </w:p>
        </w:tc>
        <w:tc>
          <w:tcPr>
            <w:tcW w:w="1596" w:type="dxa"/>
          </w:tcPr>
          <w:p w:rsidR="009E1EE7" w:rsidRPr="009E1EE7" w:rsidRDefault="009E1EE7" w:rsidP="00AE6497">
            <w:pPr>
              <w:pStyle w:val="NoSpacing"/>
              <w:rPr>
                <w:rFonts w:cs="Times New Roman"/>
                <w:sz w:val="20"/>
                <w:szCs w:val="20"/>
              </w:rPr>
            </w:pPr>
            <w:r w:rsidRPr="009E1EE7">
              <w:rPr>
                <w:rFonts w:cs="Times New Roman"/>
                <w:sz w:val="20"/>
                <w:szCs w:val="20"/>
              </w:rPr>
              <w:t>2c</w:t>
            </w:r>
          </w:p>
          <w:p w:rsidR="009E1EE7" w:rsidRPr="009E1EE7" w:rsidRDefault="009E1EE7" w:rsidP="00AE6497">
            <w:pPr>
              <w:pStyle w:val="NoSpacing"/>
              <w:rPr>
                <w:rFonts w:cs="Times New Roman"/>
                <w:sz w:val="20"/>
                <w:szCs w:val="20"/>
              </w:rPr>
            </w:pPr>
            <w:r w:rsidRPr="009E1EE7">
              <w:rPr>
                <w:rFonts w:cs="Times New Roman"/>
                <w:b/>
                <w:sz w:val="20"/>
                <w:szCs w:val="20"/>
              </w:rPr>
              <w:t>(C</w:t>
            </w:r>
            <w:r w:rsidRPr="009E1EE7">
              <w:rPr>
                <w:rFonts w:cs="Times New Roman"/>
                <w:b/>
                <w:sz w:val="20"/>
                <w:szCs w:val="20"/>
                <w:vertAlign w:val="subscript"/>
              </w:rPr>
              <w:t>29</w:t>
            </w:r>
            <w:r w:rsidRPr="009E1EE7">
              <w:rPr>
                <w:rFonts w:cs="Times New Roman"/>
                <w:b/>
                <w:sz w:val="20"/>
                <w:szCs w:val="20"/>
              </w:rPr>
              <w:t>H</w:t>
            </w:r>
            <w:r w:rsidRPr="009E1EE7">
              <w:rPr>
                <w:rFonts w:cs="Times New Roman"/>
                <w:b/>
                <w:sz w:val="20"/>
                <w:szCs w:val="20"/>
                <w:vertAlign w:val="subscript"/>
              </w:rPr>
              <w:t>54</w:t>
            </w:r>
            <w:r w:rsidRPr="009E1EE7">
              <w:rPr>
                <w:rFonts w:cs="Times New Roman"/>
                <w:b/>
                <w:sz w:val="20"/>
                <w:szCs w:val="20"/>
              </w:rPr>
              <w:t>NO</w:t>
            </w:r>
            <w:r w:rsidRPr="009E1EE7">
              <w:rPr>
                <w:rFonts w:cs="Times New Roman"/>
                <w:b/>
                <w:sz w:val="20"/>
                <w:szCs w:val="20"/>
                <w:vertAlign w:val="subscript"/>
              </w:rPr>
              <w:t>9</w:t>
            </w:r>
            <w:r w:rsidRPr="009E1EE7">
              <w:rPr>
                <w:rFonts w:cs="Times New Roman"/>
                <w:b/>
                <w:sz w:val="20"/>
                <w:szCs w:val="20"/>
              </w:rPr>
              <w:t>)</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11.4</w:t>
            </w:r>
          </w:p>
        </w:tc>
        <w:tc>
          <w:tcPr>
            <w:tcW w:w="1596" w:type="dxa"/>
          </w:tcPr>
          <w:p w:rsidR="009E1EE7" w:rsidRPr="009E1EE7" w:rsidRDefault="009E1EE7" w:rsidP="00AE6497">
            <w:pPr>
              <w:autoSpaceDE w:val="0"/>
              <w:autoSpaceDN w:val="0"/>
              <w:adjustRightInd w:val="0"/>
              <w:rPr>
                <w:rFonts w:cs="Times New Roman"/>
                <w:sz w:val="20"/>
                <w:szCs w:val="20"/>
              </w:rPr>
            </w:pPr>
            <w:r w:rsidRPr="009E1EE7">
              <w:rPr>
                <w:rFonts w:cs="Times New Roman"/>
                <w:sz w:val="20"/>
                <w:szCs w:val="20"/>
              </w:rPr>
              <w:t>6.7 x 10</w:t>
            </w:r>
            <w:r w:rsidRPr="009E1EE7">
              <w:rPr>
                <w:rFonts w:cs="Times New Roman"/>
                <w:sz w:val="20"/>
                <w:szCs w:val="20"/>
                <w:vertAlign w:val="superscript"/>
              </w:rPr>
              <w:t>-4</w:t>
            </w:r>
          </w:p>
        </w:tc>
      </w:tr>
    </w:tbl>
    <w:p w:rsidR="009E1EE7" w:rsidRPr="009E1EE7" w:rsidRDefault="009E1EE7" w:rsidP="00AE6497">
      <w:pPr>
        <w:autoSpaceDE w:val="0"/>
        <w:autoSpaceDN w:val="0"/>
        <w:adjustRightInd w:val="0"/>
      </w:pPr>
      <w:r w:rsidRPr="009E1EE7">
        <w:t>*Mh: molecular mass of hydrophobic portion of carbohydrate surfactant M: molecular mass of the whole carbohydrate surfactant</w:t>
      </w:r>
    </w:p>
    <w:p w:rsidR="009E1EE7" w:rsidRPr="009E1EE7" w:rsidRDefault="009E1EE7" w:rsidP="00AE6497">
      <w:pPr>
        <w:autoSpaceDE w:val="0"/>
        <w:autoSpaceDN w:val="0"/>
        <w:adjustRightInd w:val="0"/>
        <w:jc w:val="both"/>
      </w:pPr>
      <w:r w:rsidRPr="009E1EE7">
        <w:t xml:space="preserve">Hydrophilic–lipophilic balance (HLB) values (Griffin, (1954) of the surfactants are documented in table 1. HLB values are calculated using the formula </w:t>
      </w:r>
    </w:p>
    <w:p w:rsidR="009E1EE7" w:rsidRPr="009E1EE7" w:rsidRDefault="009E1EE7" w:rsidP="00AE6497">
      <w:pPr>
        <w:autoSpaceDE w:val="0"/>
        <w:autoSpaceDN w:val="0"/>
        <w:adjustRightInd w:val="0"/>
        <w:jc w:val="both"/>
      </w:pPr>
    </w:p>
    <w:p w:rsidR="009E1EE7" w:rsidRPr="009E1EE7" w:rsidRDefault="009E1EE7" w:rsidP="00AE6497">
      <w:pPr>
        <w:autoSpaceDE w:val="0"/>
        <w:autoSpaceDN w:val="0"/>
        <w:adjustRightInd w:val="0"/>
        <w:jc w:val="both"/>
      </w:pPr>
    </w:p>
    <w:p w:rsidR="009E1EE7" w:rsidRPr="009E1EE7" w:rsidRDefault="009E1EE7" w:rsidP="00AE6497">
      <w:pPr>
        <w:tabs>
          <w:tab w:val="left" w:pos="904"/>
        </w:tabs>
        <w:jc w:val="both"/>
      </w:pPr>
      <m:oMathPara>
        <m:oMath>
          <m:r>
            <m:rPr>
              <m:sty m:val="p"/>
            </m:rPr>
            <w:rPr>
              <w:rFonts w:ascii="Cambria Math"/>
            </w:rPr>
            <m:t xml:space="preserve">HLB value=20 x </m:t>
          </m:r>
          <m:f>
            <m:fPr>
              <m:ctrlPr>
                <w:rPr>
                  <w:rFonts w:ascii="Cambria Math" w:hAnsi="Cambria Math"/>
                </w:rPr>
              </m:ctrlPr>
            </m:fPr>
            <m:num>
              <m:r>
                <m:rPr>
                  <m:sty m:val="p"/>
                </m:rPr>
                <w:rPr>
                  <w:rFonts w:ascii="Cambria Math"/>
                </w:rPr>
                <m:t>Molecular mass of hydrophobic portion of surfactant molecule</m:t>
              </m:r>
            </m:num>
            <m:den>
              <m:r>
                <m:rPr>
                  <m:sty m:val="p"/>
                </m:rPr>
                <w:rPr>
                  <w:rFonts w:ascii="Cambria Math"/>
                </w:rPr>
                <m:t>Molecular mass of whole surfactant molecule</m:t>
              </m:r>
            </m:den>
          </m:f>
        </m:oMath>
      </m:oMathPara>
    </w:p>
    <w:p w:rsidR="009E1EE7" w:rsidRPr="009E1EE7" w:rsidRDefault="009E1EE7" w:rsidP="00AE6497">
      <w:pPr>
        <w:autoSpaceDE w:val="0"/>
        <w:autoSpaceDN w:val="0"/>
        <w:adjustRightInd w:val="0"/>
        <w:rPr>
          <w:b/>
        </w:rPr>
      </w:pPr>
    </w:p>
    <w:p w:rsidR="009E1EE7" w:rsidRPr="009E1EE7" w:rsidRDefault="009E1EE7" w:rsidP="00AE6497">
      <w:pPr>
        <w:autoSpaceDE w:val="0"/>
        <w:autoSpaceDN w:val="0"/>
        <w:adjustRightInd w:val="0"/>
        <w:rPr>
          <w:b/>
        </w:rPr>
      </w:pPr>
    </w:p>
    <w:p w:rsidR="009E1EE7" w:rsidRPr="009E1EE7" w:rsidRDefault="009E1EE7" w:rsidP="00AE6497">
      <w:pPr>
        <w:autoSpaceDE w:val="0"/>
        <w:autoSpaceDN w:val="0"/>
        <w:adjustRightInd w:val="0"/>
        <w:rPr>
          <w:b/>
        </w:rPr>
      </w:pPr>
    </w:p>
    <w:p w:rsidR="009E1EE7" w:rsidRPr="009E1EE7" w:rsidRDefault="009E1EE7" w:rsidP="00AE6497">
      <w:pPr>
        <w:autoSpaceDE w:val="0"/>
        <w:autoSpaceDN w:val="0"/>
        <w:adjustRightInd w:val="0"/>
      </w:pPr>
      <w:r w:rsidRPr="009E1EE7">
        <w:rPr>
          <w:b/>
        </w:rPr>
        <w:t>Table 2: Solubility enhancement of Glibenclamide [35,36] by various surfactants used in the study</w:t>
      </w:r>
    </w:p>
    <w:tbl>
      <w:tblPr>
        <w:tblStyle w:val="TableGrid"/>
        <w:tblW w:w="0" w:type="auto"/>
        <w:tblLook w:val="04A0"/>
      </w:tblPr>
      <w:tblGrid>
        <w:gridCol w:w="1890"/>
        <w:gridCol w:w="1953"/>
        <w:gridCol w:w="1890"/>
        <w:gridCol w:w="1983"/>
        <w:gridCol w:w="1529"/>
      </w:tblGrid>
      <w:tr w:rsidR="009E1EE7" w:rsidRPr="009E1EE7" w:rsidTr="007F3C60">
        <w:tc>
          <w:tcPr>
            <w:tcW w:w="1967" w:type="dxa"/>
          </w:tcPr>
          <w:p w:rsidR="009E1EE7" w:rsidRPr="009E1EE7" w:rsidRDefault="009E1EE7" w:rsidP="00AE6497">
            <w:pPr>
              <w:pStyle w:val="NoSpacing"/>
              <w:rPr>
                <w:rFonts w:cs="Times New Roman"/>
                <w:b/>
                <w:sz w:val="20"/>
                <w:szCs w:val="20"/>
              </w:rPr>
            </w:pPr>
            <w:r w:rsidRPr="009E1EE7">
              <w:rPr>
                <w:rFonts w:cs="Times New Roman"/>
                <w:b/>
                <w:sz w:val="20"/>
                <w:szCs w:val="20"/>
              </w:rPr>
              <w:t>Surfactants</w:t>
            </w:r>
          </w:p>
          <w:p w:rsidR="009E1EE7" w:rsidRPr="009E1EE7" w:rsidRDefault="009E1EE7" w:rsidP="00AE6497">
            <w:pPr>
              <w:pStyle w:val="NoSpacing"/>
              <w:rPr>
                <w:rFonts w:cs="Times New Roman"/>
                <w:b/>
                <w:sz w:val="20"/>
                <w:szCs w:val="20"/>
              </w:rPr>
            </w:pPr>
            <w:r w:rsidRPr="009E1EE7">
              <w:rPr>
                <w:rFonts w:cs="Times New Roman"/>
                <w:b/>
                <w:sz w:val="20"/>
                <w:szCs w:val="20"/>
              </w:rPr>
              <w:t>Without sugar moiety (Series 1)</w:t>
            </w:r>
          </w:p>
        </w:tc>
        <w:tc>
          <w:tcPr>
            <w:tcW w:w="2049" w:type="dxa"/>
          </w:tcPr>
          <w:p w:rsidR="009E1EE7" w:rsidRPr="009E1EE7" w:rsidRDefault="00C664B7" w:rsidP="00C664B7">
            <w:pPr>
              <w:pStyle w:val="NoSpacing"/>
              <w:rPr>
                <w:rFonts w:cs="Times New Roman"/>
                <w:b/>
                <w:sz w:val="20"/>
                <w:szCs w:val="20"/>
              </w:rPr>
            </w:pPr>
            <w:r>
              <w:rPr>
                <w:rFonts w:cs="Times New Roman"/>
                <w:b/>
                <w:sz w:val="20"/>
                <w:szCs w:val="20"/>
              </w:rPr>
              <w:t xml:space="preserve">Solubilize as </w:t>
            </w:r>
            <w:r w:rsidR="009E1EE7" w:rsidRPr="009E1EE7">
              <w:rPr>
                <w:rFonts w:cs="Times New Roman"/>
                <w:b/>
                <w:sz w:val="20"/>
                <w:szCs w:val="20"/>
              </w:rPr>
              <w:t>times</w:t>
            </w:r>
            <w:r>
              <w:rPr>
                <w:rFonts w:cs="Times New Roman"/>
                <w:b/>
                <w:sz w:val="20"/>
                <w:szCs w:val="20"/>
              </w:rPr>
              <w:t xml:space="preserve"> faster</w:t>
            </w:r>
            <w:r w:rsidR="009E1EE7" w:rsidRPr="009E1EE7">
              <w:rPr>
                <w:rFonts w:cs="Times New Roman"/>
                <w:b/>
                <w:sz w:val="20"/>
                <w:szCs w:val="20"/>
              </w:rPr>
              <w:t xml:space="preserve"> as compared to without surfactant</w:t>
            </w:r>
          </w:p>
        </w:tc>
        <w:tc>
          <w:tcPr>
            <w:tcW w:w="1967" w:type="dxa"/>
          </w:tcPr>
          <w:p w:rsidR="009E1EE7" w:rsidRPr="009E1EE7" w:rsidRDefault="009E1EE7" w:rsidP="00AE6497">
            <w:pPr>
              <w:pStyle w:val="NoSpacing"/>
              <w:rPr>
                <w:rFonts w:cs="Times New Roman"/>
                <w:b/>
                <w:sz w:val="20"/>
                <w:szCs w:val="20"/>
              </w:rPr>
            </w:pPr>
            <w:r w:rsidRPr="009E1EE7">
              <w:rPr>
                <w:rFonts w:cs="Times New Roman"/>
                <w:b/>
                <w:sz w:val="20"/>
                <w:szCs w:val="20"/>
              </w:rPr>
              <w:t>Surfactants</w:t>
            </w:r>
          </w:p>
          <w:p w:rsidR="009E1EE7" w:rsidRPr="009E1EE7" w:rsidRDefault="009E1EE7" w:rsidP="00AE6497">
            <w:pPr>
              <w:pStyle w:val="NoSpacing"/>
              <w:rPr>
                <w:rFonts w:cs="Times New Roman"/>
                <w:b/>
                <w:sz w:val="20"/>
                <w:szCs w:val="20"/>
              </w:rPr>
            </w:pPr>
            <w:r w:rsidRPr="009E1EE7">
              <w:rPr>
                <w:rFonts w:cs="Times New Roman"/>
                <w:b/>
                <w:sz w:val="20"/>
                <w:szCs w:val="20"/>
              </w:rPr>
              <w:t>With Sugar moiety (Series 2)</w:t>
            </w:r>
          </w:p>
        </w:tc>
        <w:tc>
          <w:tcPr>
            <w:tcW w:w="2049" w:type="dxa"/>
          </w:tcPr>
          <w:p w:rsidR="009E1EE7" w:rsidRPr="009E1EE7" w:rsidRDefault="009E1EE7" w:rsidP="00AE6497">
            <w:pPr>
              <w:pStyle w:val="NoSpacing"/>
              <w:rPr>
                <w:rFonts w:cs="Times New Roman"/>
                <w:b/>
                <w:sz w:val="20"/>
                <w:szCs w:val="20"/>
              </w:rPr>
            </w:pPr>
            <w:r w:rsidRPr="009E1EE7">
              <w:rPr>
                <w:rFonts w:cs="Times New Roman"/>
                <w:b/>
                <w:sz w:val="20"/>
                <w:szCs w:val="20"/>
              </w:rPr>
              <w:t xml:space="preserve">Solubility </w:t>
            </w:r>
          </w:p>
          <w:p w:rsidR="009E1EE7" w:rsidRPr="009E1EE7" w:rsidRDefault="009E1EE7" w:rsidP="00AE6497">
            <w:pPr>
              <w:pStyle w:val="NoSpacing"/>
              <w:rPr>
                <w:rFonts w:cs="Times New Roman"/>
                <w:b/>
                <w:sz w:val="20"/>
                <w:szCs w:val="20"/>
              </w:rPr>
            </w:pPr>
            <w:r w:rsidRPr="009E1EE7">
              <w:rPr>
                <w:rFonts w:cs="Times New Roman"/>
                <w:b/>
                <w:sz w:val="20"/>
                <w:szCs w:val="20"/>
              </w:rPr>
              <w:t>Enhancement</w:t>
            </w:r>
          </w:p>
          <w:p w:rsidR="009E1EE7" w:rsidRPr="009E1EE7" w:rsidRDefault="009E1EE7" w:rsidP="00AE6497">
            <w:pPr>
              <w:pStyle w:val="NoSpacing"/>
              <w:rPr>
                <w:rFonts w:cs="Times New Roman"/>
                <w:b/>
                <w:sz w:val="20"/>
                <w:szCs w:val="20"/>
              </w:rPr>
            </w:pPr>
            <w:r w:rsidRPr="009E1EE7">
              <w:rPr>
                <w:rFonts w:cs="Times New Roman"/>
                <w:b/>
                <w:sz w:val="20"/>
                <w:szCs w:val="20"/>
              </w:rPr>
              <w:t>(x times as compared to without surfactant)</w:t>
            </w:r>
          </w:p>
        </w:tc>
        <w:tc>
          <w:tcPr>
            <w:tcW w:w="1544" w:type="dxa"/>
          </w:tcPr>
          <w:p w:rsidR="009E1EE7" w:rsidRPr="009E1EE7" w:rsidRDefault="009E1EE7" w:rsidP="00AE6497">
            <w:pPr>
              <w:pStyle w:val="NoSpacing"/>
              <w:rPr>
                <w:rFonts w:cs="Times New Roman"/>
                <w:b/>
                <w:sz w:val="20"/>
                <w:szCs w:val="20"/>
              </w:rPr>
            </w:pPr>
            <w:r w:rsidRPr="009E1EE7">
              <w:rPr>
                <w:rFonts w:cs="Times New Roman"/>
                <w:b/>
                <w:sz w:val="20"/>
                <w:szCs w:val="20"/>
              </w:rPr>
              <w:t>Net %age Enhancement (effect of Sugar moiety)</w:t>
            </w:r>
          </w:p>
        </w:tc>
      </w:tr>
      <w:tr w:rsidR="009E1EE7" w:rsidRPr="009E1EE7" w:rsidTr="007F3C60">
        <w:tc>
          <w:tcPr>
            <w:tcW w:w="1967" w:type="dxa"/>
          </w:tcPr>
          <w:p w:rsidR="009E1EE7" w:rsidRPr="009E1EE7" w:rsidRDefault="009E1EE7" w:rsidP="00AE6497">
            <w:pPr>
              <w:pStyle w:val="NoSpacing"/>
              <w:rPr>
                <w:rFonts w:cs="Times New Roman"/>
                <w:sz w:val="20"/>
                <w:szCs w:val="20"/>
              </w:rPr>
            </w:pPr>
            <w:r w:rsidRPr="009E1EE7">
              <w:rPr>
                <w:rFonts w:cs="Times New Roman"/>
                <w:sz w:val="20"/>
                <w:szCs w:val="20"/>
              </w:rPr>
              <w:t>1a</w:t>
            </w:r>
          </w:p>
        </w:tc>
        <w:tc>
          <w:tcPr>
            <w:tcW w:w="2049" w:type="dxa"/>
          </w:tcPr>
          <w:p w:rsidR="009E1EE7" w:rsidRPr="009E1EE7" w:rsidRDefault="009E1EE7" w:rsidP="00AE6497">
            <w:pPr>
              <w:pStyle w:val="NoSpacing"/>
              <w:rPr>
                <w:rFonts w:cs="Times New Roman"/>
                <w:sz w:val="20"/>
                <w:szCs w:val="20"/>
              </w:rPr>
            </w:pPr>
            <w:r w:rsidRPr="009E1EE7">
              <w:rPr>
                <w:rFonts w:cs="Times New Roman"/>
                <w:sz w:val="20"/>
                <w:szCs w:val="20"/>
              </w:rPr>
              <w:t>7.3</w:t>
            </w:r>
          </w:p>
        </w:tc>
        <w:tc>
          <w:tcPr>
            <w:tcW w:w="1967" w:type="dxa"/>
          </w:tcPr>
          <w:p w:rsidR="009E1EE7" w:rsidRPr="009E1EE7" w:rsidRDefault="009E1EE7" w:rsidP="00AE6497">
            <w:pPr>
              <w:pStyle w:val="NoSpacing"/>
              <w:rPr>
                <w:rFonts w:cs="Times New Roman"/>
                <w:sz w:val="20"/>
                <w:szCs w:val="20"/>
              </w:rPr>
            </w:pPr>
            <w:r w:rsidRPr="009E1EE7">
              <w:rPr>
                <w:rFonts w:cs="Times New Roman"/>
                <w:sz w:val="20"/>
                <w:szCs w:val="20"/>
              </w:rPr>
              <w:t>2a</w:t>
            </w:r>
          </w:p>
        </w:tc>
        <w:tc>
          <w:tcPr>
            <w:tcW w:w="2049" w:type="dxa"/>
          </w:tcPr>
          <w:p w:rsidR="009E1EE7" w:rsidRPr="009E1EE7" w:rsidRDefault="009E1EE7" w:rsidP="00AE6497">
            <w:pPr>
              <w:pStyle w:val="NoSpacing"/>
              <w:rPr>
                <w:rFonts w:cs="Times New Roman"/>
                <w:sz w:val="20"/>
                <w:szCs w:val="20"/>
              </w:rPr>
            </w:pPr>
            <w:r w:rsidRPr="009E1EE7">
              <w:rPr>
                <w:rFonts w:cs="Times New Roman"/>
                <w:sz w:val="20"/>
                <w:szCs w:val="20"/>
              </w:rPr>
              <w:t>8.3</w:t>
            </w:r>
          </w:p>
        </w:tc>
        <w:tc>
          <w:tcPr>
            <w:tcW w:w="1544" w:type="dxa"/>
          </w:tcPr>
          <w:p w:rsidR="009E1EE7" w:rsidRPr="009E1EE7" w:rsidRDefault="009E1EE7" w:rsidP="00AE6497">
            <w:pPr>
              <w:pStyle w:val="NoSpacing"/>
              <w:rPr>
                <w:rFonts w:cs="Times New Roman"/>
                <w:sz w:val="20"/>
                <w:szCs w:val="20"/>
              </w:rPr>
            </w:pPr>
            <w:r w:rsidRPr="009E1EE7">
              <w:rPr>
                <w:rFonts w:cs="Times New Roman"/>
                <w:sz w:val="20"/>
                <w:szCs w:val="20"/>
              </w:rPr>
              <w:t>13.69%</w:t>
            </w:r>
          </w:p>
        </w:tc>
      </w:tr>
      <w:tr w:rsidR="009E1EE7" w:rsidRPr="009E1EE7" w:rsidTr="007F3C60">
        <w:tc>
          <w:tcPr>
            <w:tcW w:w="1967" w:type="dxa"/>
          </w:tcPr>
          <w:p w:rsidR="009E1EE7" w:rsidRPr="009E1EE7" w:rsidRDefault="009E1EE7" w:rsidP="00AE6497">
            <w:pPr>
              <w:pStyle w:val="NoSpacing"/>
              <w:rPr>
                <w:rFonts w:cs="Times New Roman"/>
                <w:sz w:val="20"/>
                <w:szCs w:val="20"/>
              </w:rPr>
            </w:pPr>
            <w:r w:rsidRPr="009E1EE7">
              <w:rPr>
                <w:rFonts w:cs="Times New Roman"/>
                <w:sz w:val="20"/>
                <w:szCs w:val="20"/>
              </w:rPr>
              <w:t>1b</w:t>
            </w:r>
          </w:p>
        </w:tc>
        <w:tc>
          <w:tcPr>
            <w:tcW w:w="2049" w:type="dxa"/>
          </w:tcPr>
          <w:p w:rsidR="009E1EE7" w:rsidRPr="009E1EE7" w:rsidRDefault="009E1EE7" w:rsidP="00AE6497">
            <w:pPr>
              <w:pStyle w:val="NoSpacing"/>
              <w:rPr>
                <w:rFonts w:cs="Times New Roman"/>
                <w:sz w:val="20"/>
                <w:szCs w:val="20"/>
              </w:rPr>
            </w:pPr>
            <w:r w:rsidRPr="009E1EE7">
              <w:rPr>
                <w:rFonts w:cs="Times New Roman"/>
                <w:sz w:val="20"/>
                <w:szCs w:val="20"/>
              </w:rPr>
              <w:t>8.9</w:t>
            </w:r>
          </w:p>
        </w:tc>
        <w:tc>
          <w:tcPr>
            <w:tcW w:w="1967" w:type="dxa"/>
          </w:tcPr>
          <w:p w:rsidR="009E1EE7" w:rsidRPr="009E1EE7" w:rsidRDefault="009E1EE7" w:rsidP="00AE6497">
            <w:pPr>
              <w:pStyle w:val="NoSpacing"/>
              <w:rPr>
                <w:rFonts w:cs="Times New Roman"/>
                <w:sz w:val="20"/>
                <w:szCs w:val="20"/>
              </w:rPr>
            </w:pPr>
            <w:r w:rsidRPr="009E1EE7">
              <w:rPr>
                <w:rFonts w:cs="Times New Roman"/>
                <w:sz w:val="20"/>
                <w:szCs w:val="20"/>
              </w:rPr>
              <w:t>2b</w:t>
            </w:r>
          </w:p>
        </w:tc>
        <w:tc>
          <w:tcPr>
            <w:tcW w:w="2049" w:type="dxa"/>
          </w:tcPr>
          <w:p w:rsidR="009E1EE7" w:rsidRPr="009E1EE7" w:rsidRDefault="009E1EE7" w:rsidP="00AE6497">
            <w:pPr>
              <w:pStyle w:val="NoSpacing"/>
              <w:rPr>
                <w:rFonts w:cs="Times New Roman"/>
                <w:sz w:val="20"/>
                <w:szCs w:val="20"/>
              </w:rPr>
            </w:pPr>
            <w:r w:rsidRPr="009E1EE7">
              <w:rPr>
                <w:rFonts w:cs="Times New Roman"/>
                <w:sz w:val="20"/>
                <w:szCs w:val="20"/>
              </w:rPr>
              <w:t>9.6</w:t>
            </w:r>
          </w:p>
        </w:tc>
        <w:tc>
          <w:tcPr>
            <w:tcW w:w="1544" w:type="dxa"/>
          </w:tcPr>
          <w:p w:rsidR="009E1EE7" w:rsidRPr="009E1EE7" w:rsidRDefault="009E1EE7" w:rsidP="00AE6497">
            <w:pPr>
              <w:pStyle w:val="NoSpacing"/>
              <w:rPr>
                <w:rFonts w:cs="Times New Roman"/>
                <w:sz w:val="20"/>
                <w:szCs w:val="20"/>
              </w:rPr>
            </w:pPr>
            <w:r w:rsidRPr="009E1EE7">
              <w:rPr>
                <w:rFonts w:cs="Times New Roman"/>
                <w:sz w:val="20"/>
                <w:szCs w:val="20"/>
              </w:rPr>
              <w:t>7.87%</w:t>
            </w:r>
          </w:p>
        </w:tc>
      </w:tr>
      <w:tr w:rsidR="009E1EE7" w:rsidRPr="009E1EE7" w:rsidTr="007F3C60">
        <w:tc>
          <w:tcPr>
            <w:tcW w:w="1967" w:type="dxa"/>
          </w:tcPr>
          <w:p w:rsidR="009E1EE7" w:rsidRPr="009E1EE7" w:rsidRDefault="009E1EE7" w:rsidP="00AE6497">
            <w:pPr>
              <w:pStyle w:val="NoSpacing"/>
              <w:rPr>
                <w:rFonts w:cs="Times New Roman"/>
                <w:sz w:val="20"/>
                <w:szCs w:val="20"/>
              </w:rPr>
            </w:pPr>
            <w:r w:rsidRPr="009E1EE7">
              <w:rPr>
                <w:rFonts w:cs="Times New Roman"/>
                <w:sz w:val="20"/>
                <w:szCs w:val="20"/>
              </w:rPr>
              <w:t>1c</w:t>
            </w:r>
          </w:p>
        </w:tc>
        <w:tc>
          <w:tcPr>
            <w:tcW w:w="2049" w:type="dxa"/>
          </w:tcPr>
          <w:p w:rsidR="009E1EE7" w:rsidRPr="009E1EE7" w:rsidRDefault="009E1EE7" w:rsidP="00AE6497">
            <w:pPr>
              <w:pStyle w:val="NoSpacing"/>
              <w:rPr>
                <w:rFonts w:cs="Times New Roman"/>
                <w:sz w:val="20"/>
                <w:szCs w:val="20"/>
              </w:rPr>
            </w:pPr>
            <w:r w:rsidRPr="009E1EE7">
              <w:rPr>
                <w:rFonts w:cs="Times New Roman"/>
                <w:sz w:val="20"/>
                <w:szCs w:val="20"/>
              </w:rPr>
              <w:t>9.9</w:t>
            </w:r>
          </w:p>
        </w:tc>
        <w:tc>
          <w:tcPr>
            <w:tcW w:w="1967" w:type="dxa"/>
          </w:tcPr>
          <w:p w:rsidR="009E1EE7" w:rsidRPr="009E1EE7" w:rsidRDefault="009E1EE7" w:rsidP="00AE6497">
            <w:pPr>
              <w:pStyle w:val="NoSpacing"/>
              <w:rPr>
                <w:rFonts w:cs="Times New Roman"/>
                <w:sz w:val="20"/>
                <w:szCs w:val="20"/>
              </w:rPr>
            </w:pPr>
            <w:r w:rsidRPr="009E1EE7">
              <w:rPr>
                <w:rFonts w:cs="Times New Roman"/>
                <w:sz w:val="20"/>
                <w:szCs w:val="20"/>
              </w:rPr>
              <w:t>2c</w:t>
            </w:r>
          </w:p>
        </w:tc>
        <w:tc>
          <w:tcPr>
            <w:tcW w:w="2049" w:type="dxa"/>
          </w:tcPr>
          <w:p w:rsidR="009E1EE7" w:rsidRPr="009E1EE7" w:rsidRDefault="009E1EE7" w:rsidP="00AE6497">
            <w:pPr>
              <w:pStyle w:val="NoSpacing"/>
              <w:rPr>
                <w:rFonts w:cs="Times New Roman"/>
                <w:sz w:val="20"/>
                <w:szCs w:val="20"/>
              </w:rPr>
            </w:pPr>
            <w:r w:rsidRPr="009E1EE7">
              <w:rPr>
                <w:rFonts w:cs="Times New Roman"/>
                <w:sz w:val="20"/>
                <w:szCs w:val="20"/>
              </w:rPr>
              <w:t>10.8</w:t>
            </w:r>
          </w:p>
        </w:tc>
        <w:tc>
          <w:tcPr>
            <w:tcW w:w="1544" w:type="dxa"/>
          </w:tcPr>
          <w:p w:rsidR="009E1EE7" w:rsidRPr="009E1EE7" w:rsidRDefault="009E1EE7" w:rsidP="00AE6497">
            <w:pPr>
              <w:pStyle w:val="NoSpacing"/>
              <w:rPr>
                <w:rFonts w:cs="Times New Roman"/>
                <w:sz w:val="20"/>
                <w:szCs w:val="20"/>
              </w:rPr>
            </w:pPr>
            <w:r w:rsidRPr="009E1EE7">
              <w:rPr>
                <w:rFonts w:cs="Times New Roman"/>
                <w:sz w:val="20"/>
                <w:szCs w:val="20"/>
              </w:rPr>
              <w:t>9.09 %</w:t>
            </w:r>
          </w:p>
        </w:tc>
      </w:tr>
    </w:tbl>
    <w:p w:rsidR="009E1EE7" w:rsidRPr="009E1EE7" w:rsidRDefault="009E1EE7" w:rsidP="00AE6497">
      <w:pPr>
        <w:autoSpaceDE w:val="0"/>
        <w:autoSpaceDN w:val="0"/>
        <w:adjustRightInd w:val="0"/>
        <w:jc w:val="both"/>
      </w:pPr>
    </w:p>
    <w:p w:rsidR="009E1EE7" w:rsidRPr="009E1EE7" w:rsidRDefault="009E1EE7" w:rsidP="00AE6497">
      <w:pPr>
        <w:autoSpaceDE w:val="0"/>
        <w:autoSpaceDN w:val="0"/>
        <w:adjustRightInd w:val="0"/>
        <w:jc w:val="both"/>
      </w:pPr>
      <w:r w:rsidRPr="009E1EE7">
        <w:t>Table 2 clearly shows that, the solubility of poorly water-soluble drugs viz. Glibenclamide increased 7.3 times in an aqueous medium by surfactants of Series 1 (1a-1c; Structure given in Scheme 1). This surfactant series contains three surfactants having a varying tail length (C</w:t>
      </w:r>
      <w:r w:rsidRPr="009E1EE7">
        <w:rPr>
          <w:vertAlign w:val="subscript"/>
        </w:rPr>
        <w:t>12</w:t>
      </w:r>
      <w:r w:rsidRPr="009E1EE7">
        <w:t>, C</w:t>
      </w:r>
      <w:r w:rsidRPr="009E1EE7">
        <w:rPr>
          <w:vertAlign w:val="subscript"/>
        </w:rPr>
        <w:t>14</w:t>
      </w:r>
      <w:r w:rsidRPr="009E1EE7">
        <w:t>, C</w:t>
      </w:r>
      <w:r w:rsidRPr="009E1EE7">
        <w:rPr>
          <w:vertAlign w:val="subscript"/>
        </w:rPr>
        <w:t>16</w:t>
      </w:r>
      <w:r w:rsidRPr="009E1EE7">
        <w:t xml:space="preserve">) and solubility increases as the tail length increases. </w:t>
      </w:r>
    </w:p>
    <w:p w:rsidR="009E1EE7" w:rsidRPr="009E1EE7" w:rsidRDefault="009E1EE7" w:rsidP="00AE6497">
      <w:pPr>
        <w:autoSpaceDE w:val="0"/>
        <w:autoSpaceDN w:val="0"/>
        <w:adjustRightInd w:val="0"/>
        <w:jc w:val="both"/>
      </w:pPr>
      <w:r w:rsidRPr="009E1EE7">
        <w:t xml:space="preserve">Similarly, </w:t>
      </w:r>
      <w:r w:rsidR="00C664B7">
        <w:t>Glibenclamide solubilized</w:t>
      </w:r>
      <w:r w:rsidRPr="009E1EE7">
        <w:t xml:space="preserve"> 8.3 times </w:t>
      </w:r>
      <w:r w:rsidR="00C664B7">
        <w:t xml:space="preserve">faster </w:t>
      </w:r>
      <w:r w:rsidRPr="009E1EE7">
        <w:t xml:space="preserve">by surfactants of Series II, the surfactants molecules of this series carrying sugar moiety (2a – 2c; Structure is given in Scheme1) in an aqueous medium. Surfactants in Series 2 were found to show more encapsulation power than surfactants of Series 1.  </w:t>
      </w:r>
    </w:p>
    <w:p w:rsidR="009E1EE7" w:rsidRPr="009E1EE7" w:rsidRDefault="009E1EE7" w:rsidP="00AE6497">
      <w:pPr>
        <w:autoSpaceDE w:val="0"/>
        <w:autoSpaceDN w:val="0"/>
        <w:adjustRightInd w:val="0"/>
        <w:jc w:val="both"/>
      </w:pPr>
      <w:r w:rsidRPr="009E1EE7">
        <w:t>Overall, it is found that the surfactants containing sugar moiety show more efficient results for encapsulation i.e. approximately 14 % more tendencies to encapsulate the drug under study.</w:t>
      </w:r>
    </w:p>
    <w:p w:rsidR="009E1EE7" w:rsidRPr="009E1EE7" w:rsidRDefault="009E1EE7" w:rsidP="00AE6497">
      <w:pPr>
        <w:autoSpaceDE w:val="0"/>
        <w:autoSpaceDN w:val="0"/>
        <w:adjustRightInd w:val="0"/>
        <w:jc w:val="both"/>
      </w:pPr>
      <w:r w:rsidRPr="009E1EE7">
        <w:tab/>
        <w:t xml:space="preserve">In the case of non-ionic gemini surfactants, the –OH groups interact with drug molecules by electrostatic interactions, and the hydrophobic alkyl chain of the surfactant resides at the interface of a micelle. The encapsulation of the drug also depends on the shape and size of the drug molecule. </w:t>
      </w:r>
    </w:p>
    <w:p w:rsidR="009E1EE7" w:rsidRPr="009E1EE7" w:rsidRDefault="009E1EE7" w:rsidP="00AE6497">
      <w:pPr>
        <w:autoSpaceDE w:val="0"/>
        <w:autoSpaceDN w:val="0"/>
        <w:adjustRightInd w:val="0"/>
      </w:pPr>
    </w:p>
    <w:p w:rsidR="009E1EE7" w:rsidRPr="009E1EE7" w:rsidRDefault="009E1EE7" w:rsidP="00AE6497">
      <w:pPr>
        <w:autoSpaceDE w:val="0"/>
        <w:autoSpaceDN w:val="0"/>
        <w:adjustRightInd w:val="0"/>
        <w:jc w:val="both"/>
      </w:pPr>
      <w:r w:rsidRPr="009E1EE7">
        <w:tab/>
        <w:t xml:space="preserve">The solubility enhancement of Glibenclamide by non-ionic gemini surfactants </w:t>
      </w:r>
      <w:r w:rsidRPr="009E1EE7">
        <w:rPr>
          <w:b/>
        </w:rPr>
        <w:t>(1a-1c)</w:t>
      </w:r>
      <w:r w:rsidRPr="009E1EE7">
        <w:t xml:space="preserve"> and by carbohydrate derived surfactants </w:t>
      </w:r>
      <w:r w:rsidRPr="009E1EE7">
        <w:rPr>
          <w:b/>
        </w:rPr>
        <w:t>(2a -2c)</w:t>
      </w:r>
      <w:r w:rsidRPr="009E1EE7">
        <w:t xml:space="preserve"> is documented in </w:t>
      </w:r>
      <w:r w:rsidRPr="009E1EE7">
        <w:rPr>
          <w:b/>
        </w:rPr>
        <w:t>Table 2</w:t>
      </w:r>
      <w:r w:rsidRPr="009E1EE7">
        <w:t>.</w:t>
      </w:r>
    </w:p>
    <w:p w:rsidR="009E1EE7" w:rsidRPr="009E1EE7" w:rsidRDefault="009E1EE7" w:rsidP="00AE6497">
      <w:pPr>
        <w:autoSpaceDE w:val="0"/>
        <w:autoSpaceDN w:val="0"/>
        <w:adjustRightInd w:val="0"/>
        <w:jc w:val="both"/>
      </w:pPr>
      <w:r w:rsidRPr="009E1EE7">
        <w:tab/>
        <w:t xml:space="preserve">Sugar surfactants are non-toxic and biodegradable in nature. The sugar moiety of these surfactants accelerates the encapsulation power of the surfactants many folds. As sugar moiety linked to theses surfactants is dextrorotatory in nature, this character can be used for chiral recognition of enantiomers of chiral drugs. The stereochemistry plays an important role in encapsulation of drug. All these factors are responsible for the fact </w:t>
      </w:r>
      <w:r w:rsidRPr="009E1EE7">
        <w:lastRenderedPageBreak/>
        <w:t xml:space="preserve">that, the sugar derived surfactants encapsulate drug more effectively as compared to non-ionic gemini surfactants without sugar moiety. </w:t>
      </w:r>
    </w:p>
    <w:p w:rsidR="009E1EE7" w:rsidRPr="009E1EE7" w:rsidRDefault="009E1EE7" w:rsidP="00AE6497">
      <w:pPr>
        <w:pStyle w:val="Default"/>
        <w:ind w:firstLine="720"/>
        <w:jc w:val="both"/>
        <w:rPr>
          <w:sz w:val="20"/>
          <w:szCs w:val="20"/>
        </w:rPr>
      </w:pPr>
      <w:r w:rsidRPr="009E1EE7">
        <w:rPr>
          <w:sz w:val="20"/>
          <w:szCs w:val="20"/>
        </w:rPr>
        <w:t xml:space="preserve">Sugar surfactants </w:t>
      </w:r>
      <w:r w:rsidRPr="009E1EE7">
        <w:rPr>
          <w:b/>
          <w:sz w:val="20"/>
          <w:szCs w:val="20"/>
        </w:rPr>
        <w:t xml:space="preserve">(2a – 2c) </w:t>
      </w:r>
      <w:r w:rsidRPr="009E1EE7">
        <w:rPr>
          <w:sz w:val="20"/>
          <w:szCs w:val="20"/>
        </w:rPr>
        <w:t>have more HLB values (</w:t>
      </w:r>
      <w:r w:rsidRPr="009E1EE7">
        <w:rPr>
          <w:b/>
          <w:sz w:val="20"/>
          <w:szCs w:val="20"/>
        </w:rPr>
        <w:t>Table 1</w:t>
      </w:r>
      <w:r w:rsidRPr="009E1EE7">
        <w:rPr>
          <w:sz w:val="20"/>
          <w:szCs w:val="20"/>
        </w:rPr>
        <w:t xml:space="preserve">) as compared to non-ionic gemini surfactants.  The higher surfactant HLB value, the more hydrophilic it is.  More the HLB value of the surfactants, more it acts as solubilizing agent. This is also one of the main factors which explain the more encapsulation efficiency of sugar surfactants as compared to non-ionic gemini surfactants </w:t>
      </w:r>
      <w:r w:rsidRPr="009E1EE7">
        <w:rPr>
          <w:b/>
          <w:sz w:val="20"/>
          <w:szCs w:val="20"/>
        </w:rPr>
        <w:t>(Series 1; 1a -1c)</w:t>
      </w:r>
      <w:r w:rsidRPr="009E1EE7">
        <w:rPr>
          <w:sz w:val="20"/>
          <w:szCs w:val="20"/>
        </w:rPr>
        <w:t>.</w:t>
      </w:r>
    </w:p>
    <w:p w:rsidR="009E1EE7" w:rsidRDefault="009E1EE7" w:rsidP="00AE6497">
      <w:pPr>
        <w:pStyle w:val="Default"/>
        <w:jc w:val="both"/>
        <w:rPr>
          <w:noProof/>
          <w:sz w:val="20"/>
          <w:szCs w:val="20"/>
        </w:rPr>
      </w:pPr>
      <w:r w:rsidRPr="009E1EE7">
        <w:rPr>
          <w:sz w:val="20"/>
          <w:szCs w:val="20"/>
        </w:rPr>
        <w:tab/>
        <w:t>CMC of sugar surfactants (</w:t>
      </w:r>
      <w:r w:rsidRPr="009E1EE7">
        <w:rPr>
          <w:b/>
          <w:sz w:val="20"/>
          <w:szCs w:val="20"/>
        </w:rPr>
        <w:t>Series 2</w:t>
      </w:r>
      <w:r w:rsidRPr="009E1EE7">
        <w:rPr>
          <w:sz w:val="20"/>
          <w:szCs w:val="20"/>
        </w:rPr>
        <w:t xml:space="preserve">: </w:t>
      </w:r>
      <w:r w:rsidRPr="009E1EE7">
        <w:rPr>
          <w:b/>
          <w:sz w:val="20"/>
          <w:szCs w:val="20"/>
        </w:rPr>
        <w:t>2a – 2c</w:t>
      </w:r>
      <w:r w:rsidRPr="009E1EE7">
        <w:rPr>
          <w:sz w:val="20"/>
          <w:szCs w:val="20"/>
        </w:rPr>
        <w:t>) is less than the CMC value of non-ionic surfactants (</w:t>
      </w:r>
      <w:r w:rsidRPr="009E1EE7">
        <w:rPr>
          <w:b/>
          <w:sz w:val="20"/>
          <w:szCs w:val="20"/>
        </w:rPr>
        <w:t>1a -1c</w:t>
      </w:r>
      <w:r w:rsidRPr="009E1EE7">
        <w:rPr>
          <w:sz w:val="20"/>
          <w:szCs w:val="20"/>
        </w:rPr>
        <w:t xml:space="preserve">). Lesser the CMC value of the surfactants means at very low concentration it can form micelle and encapsulate hydrophobic entity. </w:t>
      </w:r>
      <w:r w:rsidRPr="009E1EE7">
        <w:rPr>
          <w:noProof/>
          <w:sz w:val="20"/>
          <w:szCs w:val="20"/>
        </w:rPr>
        <w:tab/>
      </w:r>
    </w:p>
    <w:p w:rsidR="009E1EE7" w:rsidRPr="009E1EE7" w:rsidRDefault="009E1EE7" w:rsidP="00AE6497">
      <w:pPr>
        <w:pStyle w:val="Default"/>
        <w:jc w:val="both"/>
        <w:rPr>
          <w:rFonts w:eastAsiaTheme="minorEastAsia"/>
          <w:b/>
          <w:bCs/>
          <w:sz w:val="20"/>
          <w:szCs w:val="20"/>
        </w:rPr>
      </w:pPr>
      <w:r w:rsidRPr="009E1EE7">
        <w:rPr>
          <w:b/>
          <w:sz w:val="20"/>
          <w:szCs w:val="20"/>
        </w:rPr>
        <w:t xml:space="preserve">Conclusion: </w:t>
      </w:r>
    </w:p>
    <w:p w:rsidR="009E1EE7" w:rsidRDefault="009E1EE7" w:rsidP="00AE6497">
      <w:pPr>
        <w:jc w:val="both"/>
      </w:pPr>
      <w:r w:rsidRPr="009E1EE7">
        <w:tab/>
        <w:t xml:space="preserve">The above investigation revealed that both non-ionic gemini surfactants and carbohydrate derived surfactants enhanced the solubility of </w:t>
      </w:r>
      <w:r w:rsidR="00C664B7">
        <w:t xml:space="preserve">glibenclamide i.e. poor water soluble solubilized </w:t>
      </w:r>
      <w:r w:rsidRPr="009E1EE7">
        <w:t>many folds by micellization. But</w:t>
      </w:r>
      <w:r w:rsidR="00C664B7">
        <w:t xml:space="preserve"> </w:t>
      </w:r>
      <w:r w:rsidRPr="009E1EE7">
        <w:t xml:space="preserve">carbohydrate </w:t>
      </w:r>
      <w:r w:rsidR="00C664B7">
        <w:t>based</w:t>
      </w:r>
      <w:r w:rsidRPr="009E1EE7">
        <w:t xml:space="preserve"> surfactants encapsulate more effectively as compared to non-ionic geminis, due to the presence of sugar moiety in the former. Moreover, the CMC of sugar surfactants is lower and HLB values are higher than non-ionic </w:t>
      </w:r>
      <w:r w:rsidR="00C664B7">
        <w:t xml:space="preserve">Gemini </w:t>
      </w:r>
      <w:r w:rsidRPr="009E1EE7">
        <w:t>surfactants without sugar moiety. This might be the reason for the better performance of carbohydrate derived surfactants.</w:t>
      </w:r>
    </w:p>
    <w:p w:rsidR="009E1EE7" w:rsidRPr="009E1EE7" w:rsidRDefault="009E1EE7" w:rsidP="00AE6497">
      <w:pPr>
        <w:jc w:val="both"/>
      </w:pPr>
      <w:r w:rsidRPr="009E1EE7">
        <w:rPr>
          <w:b/>
          <w:bCs/>
        </w:rPr>
        <w:t xml:space="preserve">Consent for Publication : </w:t>
      </w:r>
    </w:p>
    <w:p w:rsidR="009E1EE7" w:rsidRPr="009E1EE7" w:rsidRDefault="009E1EE7" w:rsidP="00AE6497">
      <w:pPr>
        <w:autoSpaceDE w:val="0"/>
        <w:autoSpaceDN w:val="0"/>
        <w:adjustRightInd w:val="0"/>
        <w:jc w:val="both"/>
        <w:rPr>
          <w:bCs/>
        </w:rPr>
      </w:pPr>
      <w:r w:rsidRPr="009E1EE7">
        <w:rPr>
          <w:bCs/>
        </w:rPr>
        <w:t xml:space="preserve">The synthesis and characterization i.e. </w:t>
      </w:r>
      <w:r w:rsidRPr="009E1EE7">
        <w:rPr>
          <w:bCs/>
          <w:vertAlign w:val="superscript"/>
        </w:rPr>
        <w:t>1</w:t>
      </w:r>
      <w:r w:rsidRPr="009E1EE7">
        <w:rPr>
          <w:bCs/>
        </w:rPr>
        <w:t>H NMR,</w:t>
      </w:r>
      <w:r w:rsidRPr="009E1EE7">
        <w:rPr>
          <w:bCs/>
          <w:vertAlign w:val="superscript"/>
        </w:rPr>
        <w:t>13</w:t>
      </w:r>
      <w:r w:rsidRPr="009E1EE7">
        <w:rPr>
          <w:bCs/>
        </w:rPr>
        <w:t xml:space="preserve">C NMR, m/z etc of Series I surfactants </w:t>
      </w:r>
      <w:r w:rsidRPr="009E1EE7">
        <w:rPr>
          <w:b/>
          <w:bCs/>
        </w:rPr>
        <w:t>(1a, 1b, 1c)</w:t>
      </w:r>
      <w:r w:rsidRPr="009E1EE7">
        <w:rPr>
          <w:bCs/>
        </w:rPr>
        <w:t xml:space="preserve"> [33] and that of Series II surfactants </w:t>
      </w:r>
      <w:r w:rsidRPr="009E1EE7">
        <w:rPr>
          <w:b/>
          <w:bCs/>
        </w:rPr>
        <w:t xml:space="preserve">(2a, 2b, 2c) </w:t>
      </w:r>
      <w:r w:rsidRPr="009E1EE7">
        <w:rPr>
          <w:bCs/>
        </w:rPr>
        <w:t>[35] were reported by us</w:t>
      </w:r>
      <w:r w:rsidRPr="009E1EE7">
        <w:rPr>
          <w:b/>
          <w:bCs/>
        </w:rPr>
        <w:t xml:space="preserve">. </w:t>
      </w:r>
      <w:r w:rsidRPr="009E1EE7">
        <w:rPr>
          <w:bCs/>
        </w:rPr>
        <w:t xml:space="preserve">This paper mainly emphasized the role of sugar moiety which is linked with the sugar surfactants (Series II). </w:t>
      </w:r>
    </w:p>
    <w:p w:rsidR="009E1EE7" w:rsidRPr="009E1EE7" w:rsidRDefault="009E1EE7" w:rsidP="00AE6497">
      <w:pPr>
        <w:autoSpaceDE w:val="0"/>
        <w:autoSpaceDN w:val="0"/>
        <w:adjustRightInd w:val="0"/>
        <w:jc w:val="both"/>
        <w:rPr>
          <w:b/>
          <w:bCs/>
        </w:rPr>
      </w:pPr>
      <w:r w:rsidRPr="009E1EE7">
        <w:rPr>
          <w:b/>
          <w:bCs/>
        </w:rPr>
        <w:t xml:space="preserve">Funding: </w:t>
      </w:r>
    </w:p>
    <w:p w:rsidR="009E1EE7" w:rsidRPr="009E1EE7" w:rsidRDefault="009E1EE7" w:rsidP="00AE6497">
      <w:pPr>
        <w:autoSpaceDE w:val="0"/>
        <w:autoSpaceDN w:val="0"/>
        <w:adjustRightInd w:val="0"/>
        <w:jc w:val="both"/>
        <w:rPr>
          <w:bCs/>
        </w:rPr>
      </w:pPr>
      <w:r w:rsidRPr="009E1EE7">
        <w:rPr>
          <w:bCs/>
        </w:rPr>
        <w:t>We are grateful to the Department of Science and Technology, New Delhi (grant SERC/OC-17/2006) for financialsupport.</w:t>
      </w:r>
    </w:p>
    <w:p w:rsidR="009E1EE7" w:rsidRPr="009E1EE7" w:rsidRDefault="009E1EE7" w:rsidP="00AE6497">
      <w:pPr>
        <w:autoSpaceDE w:val="0"/>
        <w:autoSpaceDN w:val="0"/>
        <w:adjustRightInd w:val="0"/>
        <w:jc w:val="both"/>
        <w:rPr>
          <w:b/>
          <w:bCs/>
        </w:rPr>
      </w:pPr>
      <w:r w:rsidRPr="009E1EE7">
        <w:rPr>
          <w:b/>
          <w:bCs/>
        </w:rPr>
        <w:t xml:space="preserve">Conflict of Interest: </w:t>
      </w:r>
    </w:p>
    <w:p w:rsidR="009E1EE7" w:rsidRPr="009E1EE7" w:rsidRDefault="009E1EE7" w:rsidP="00AE6497">
      <w:pPr>
        <w:autoSpaceDE w:val="0"/>
        <w:autoSpaceDN w:val="0"/>
        <w:adjustRightInd w:val="0"/>
        <w:jc w:val="both"/>
        <w:rPr>
          <w:bCs/>
        </w:rPr>
      </w:pPr>
      <w:r w:rsidRPr="009E1EE7">
        <w:rPr>
          <w:bCs/>
        </w:rPr>
        <w:t>The authors declare no conflict of interest, financial or otherwise.</w:t>
      </w:r>
    </w:p>
    <w:p w:rsidR="009E1EE7" w:rsidRPr="009E1EE7" w:rsidRDefault="009E1EE7" w:rsidP="00AE6497">
      <w:pPr>
        <w:autoSpaceDE w:val="0"/>
        <w:autoSpaceDN w:val="0"/>
        <w:adjustRightInd w:val="0"/>
        <w:jc w:val="both"/>
        <w:rPr>
          <w:b/>
          <w:bCs/>
        </w:rPr>
      </w:pPr>
      <w:r w:rsidRPr="009E1EE7">
        <w:rPr>
          <w:b/>
          <w:bCs/>
        </w:rPr>
        <w:t>Acknowledgements:</w:t>
      </w:r>
    </w:p>
    <w:p w:rsidR="009E1EE7" w:rsidRDefault="009E1EE7" w:rsidP="00AE6497">
      <w:pPr>
        <w:autoSpaceDE w:val="0"/>
        <w:autoSpaceDN w:val="0"/>
        <w:adjustRightInd w:val="0"/>
        <w:jc w:val="both"/>
        <w:rPr>
          <w:bCs/>
        </w:rPr>
      </w:pPr>
      <w:r w:rsidRPr="009E1EE7">
        <w:rPr>
          <w:bCs/>
        </w:rPr>
        <w:t>For spectroscopic analysis, we appreciate SAIF, Panjab University, Chandigarh.</w:t>
      </w:r>
    </w:p>
    <w:p w:rsidR="00A54B35" w:rsidRPr="009E1EE7" w:rsidRDefault="00A54B35" w:rsidP="00AE6497">
      <w:pPr>
        <w:autoSpaceDE w:val="0"/>
        <w:autoSpaceDN w:val="0"/>
        <w:adjustRightInd w:val="0"/>
        <w:jc w:val="both"/>
        <w:rPr>
          <w:bCs/>
        </w:rPr>
      </w:pPr>
    </w:p>
    <w:p w:rsidR="009E1EE7" w:rsidRPr="009E1EE7" w:rsidRDefault="00A54B35" w:rsidP="00AE6497">
      <w:pPr>
        <w:rPr>
          <w:b/>
        </w:rPr>
      </w:pPr>
      <w:r>
        <w:rPr>
          <w:b/>
        </w:rPr>
        <w:t>REFERENCES</w:t>
      </w:r>
    </w:p>
    <w:p w:rsidR="009E1EE7" w:rsidRPr="008F5448" w:rsidRDefault="009E1EE7" w:rsidP="00AE6497">
      <w:pPr>
        <w:pStyle w:val="Heading1"/>
        <w:keepNext w:val="0"/>
        <w:keepLines w:val="0"/>
        <w:numPr>
          <w:ilvl w:val="0"/>
          <w:numId w:val="14"/>
        </w:numPr>
        <w:tabs>
          <w:tab w:val="clear" w:pos="216"/>
          <w:tab w:val="left" w:pos="900"/>
        </w:tabs>
        <w:spacing w:before="0" w:beforeAutospacing="1" w:after="0" w:afterAutospacing="1"/>
        <w:jc w:val="both"/>
        <w:rPr>
          <w:rFonts w:ascii="Times New Roman" w:eastAsia="Calibri" w:hAnsi="Times New Roman"/>
          <w:b w:val="0"/>
          <w:bCs w:val="0"/>
          <w:sz w:val="16"/>
          <w:szCs w:val="20"/>
          <w:lang w:val="de-DE"/>
        </w:rPr>
      </w:pPr>
      <w:r w:rsidRPr="008F5448">
        <w:rPr>
          <w:rFonts w:ascii="Times New Roman" w:eastAsia="Calibri" w:hAnsi="Times New Roman"/>
          <w:b w:val="0"/>
          <w:bCs w:val="0"/>
          <w:sz w:val="16"/>
          <w:szCs w:val="20"/>
          <w:lang w:val="de-DE"/>
        </w:rPr>
        <w:t>Sharma L, Singh S. Synthesis, characterization and reverse-micellar studies of some N-substituted dervivatives of 6-Amino-6-d</w:t>
      </w:r>
      <w:r w:rsidR="008F5448">
        <w:rPr>
          <w:rFonts w:ascii="Times New Roman" w:eastAsia="Calibri" w:hAnsi="Times New Roman"/>
          <w:b w:val="0"/>
          <w:bCs w:val="0"/>
          <w:sz w:val="16"/>
          <w:szCs w:val="20"/>
          <w:lang w:val="de-DE"/>
        </w:rPr>
        <w:t>e</w:t>
      </w:r>
      <w:r w:rsidRPr="008F5448">
        <w:rPr>
          <w:rFonts w:ascii="Times New Roman" w:eastAsia="Calibri" w:hAnsi="Times New Roman"/>
          <w:b w:val="0"/>
          <w:bCs w:val="0"/>
          <w:sz w:val="16"/>
          <w:szCs w:val="20"/>
          <w:lang w:val="de-DE"/>
        </w:rPr>
        <w:t xml:space="preserve">oxy-1,2-O-isoproylidene-d-glucose. Carbohydr. Res., </w:t>
      </w:r>
      <w:r w:rsidRPr="008F5448">
        <w:rPr>
          <w:rFonts w:ascii="Times New Roman" w:eastAsia="Calibri" w:hAnsi="Times New Roman"/>
          <w:bCs w:val="0"/>
          <w:sz w:val="16"/>
          <w:szCs w:val="20"/>
          <w:lang w:val="de-DE"/>
        </w:rPr>
        <w:t>1995;</w:t>
      </w:r>
      <w:r w:rsidRPr="008F5448">
        <w:rPr>
          <w:rFonts w:ascii="Times New Roman" w:eastAsia="Calibri" w:hAnsi="Times New Roman"/>
          <w:b w:val="0"/>
          <w:bCs w:val="0"/>
          <w:sz w:val="16"/>
          <w:szCs w:val="20"/>
          <w:lang w:val="de-DE"/>
        </w:rPr>
        <w:t xml:space="preserve"> 270(1): 43-49.</w:t>
      </w:r>
    </w:p>
    <w:p w:rsidR="009E1EE7" w:rsidRPr="008F5448" w:rsidRDefault="009E1EE7" w:rsidP="00AE6497">
      <w:pPr>
        <w:pStyle w:val="Heading1"/>
        <w:keepNext w:val="0"/>
        <w:keepLines w:val="0"/>
        <w:numPr>
          <w:ilvl w:val="0"/>
          <w:numId w:val="14"/>
        </w:numPr>
        <w:shd w:val="clear" w:color="auto" w:fill="FFFFFF"/>
        <w:tabs>
          <w:tab w:val="clear" w:pos="216"/>
        </w:tabs>
        <w:spacing w:before="136" w:after="136"/>
        <w:jc w:val="both"/>
        <w:rPr>
          <w:rFonts w:ascii="Times New Roman" w:hAnsi="Times New Roman"/>
          <w:b w:val="0"/>
          <w:bCs w:val="0"/>
          <w:color w:val="000000"/>
          <w:sz w:val="16"/>
          <w:szCs w:val="20"/>
        </w:rPr>
      </w:pPr>
      <w:r w:rsidRPr="008F5448">
        <w:rPr>
          <w:rFonts w:ascii="Times New Roman" w:hAnsi="Times New Roman"/>
          <w:b w:val="0"/>
          <w:sz w:val="16"/>
          <w:szCs w:val="20"/>
        </w:rPr>
        <w:t>Singh N, Sharma L</w:t>
      </w:r>
      <w:r w:rsidRPr="008F5448">
        <w:rPr>
          <w:rFonts w:ascii="Times New Roman" w:hAnsi="Times New Roman"/>
          <w:sz w:val="16"/>
          <w:szCs w:val="20"/>
        </w:rPr>
        <w:t xml:space="preserve">. </w:t>
      </w:r>
      <w:r w:rsidRPr="008F5448">
        <w:rPr>
          <w:rFonts w:ascii="Times New Roman" w:hAnsi="Times New Roman"/>
          <w:b w:val="0"/>
          <w:bCs w:val="0"/>
          <w:color w:val="000000"/>
          <w:sz w:val="16"/>
          <w:szCs w:val="20"/>
        </w:rPr>
        <w:t xml:space="preserve">Synthesis of Carbohydrate Derived Non-ionic Gemini Surfactants and Study of Their Micellar and Reverse Micellar Behavior - A Review, Lett. Org. Chem., </w:t>
      </w:r>
      <w:r w:rsidRPr="008F5448">
        <w:rPr>
          <w:rFonts w:ascii="Times New Roman" w:hAnsi="Times New Roman"/>
          <w:bCs w:val="0"/>
          <w:color w:val="000000"/>
          <w:sz w:val="16"/>
          <w:szCs w:val="20"/>
        </w:rPr>
        <w:t xml:space="preserve">2019; </w:t>
      </w:r>
      <w:r w:rsidRPr="008F5448">
        <w:rPr>
          <w:rFonts w:ascii="Times New Roman" w:hAnsi="Times New Roman"/>
          <w:b w:val="0"/>
          <w:bCs w:val="0"/>
          <w:color w:val="000000"/>
          <w:sz w:val="16"/>
          <w:szCs w:val="20"/>
        </w:rPr>
        <w:t>16(8): 607-614.</w:t>
      </w:r>
    </w:p>
    <w:p w:rsidR="009E1EE7" w:rsidRPr="008F5448" w:rsidRDefault="009E1EE7" w:rsidP="00AE6497">
      <w:pPr>
        <w:pStyle w:val="Heading1"/>
        <w:keepNext w:val="0"/>
        <w:keepLines w:val="0"/>
        <w:numPr>
          <w:ilvl w:val="0"/>
          <w:numId w:val="14"/>
        </w:numPr>
        <w:shd w:val="clear" w:color="auto" w:fill="FFFFFF"/>
        <w:tabs>
          <w:tab w:val="clear" w:pos="216"/>
          <w:tab w:val="left" w:pos="810"/>
        </w:tabs>
        <w:spacing w:before="0" w:after="0"/>
        <w:jc w:val="both"/>
        <w:rPr>
          <w:rFonts w:ascii="Times New Roman" w:hAnsi="Times New Roman"/>
          <w:b w:val="0"/>
          <w:sz w:val="16"/>
          <w:szCs w:val="20"/>
        </w:rPr>
      </w:pPr>
      <w:r w:rsidRPr="008F5448">
        <w:rPr>
          <w:rFonts w:ascii="Times New Roman" w:hAnsi="Times New Roman"/>
          <w:b w:val="0"/>
          <w:sz w:val="16"/>
          <w:szCs w:val="20"/>
        </w:rPr>
        <w:t xml:space="preserve">Aveyard R, Binks BP, Chen J, Esquena J, Fletcher PDI, Buscall R, Davies. S. Surface and Colloid Chemistry of Systems Containing Pure Sugar Surfactant, </w:t>
      </w:r>
      <w:r w:rsidRPr="008F5448">
        <w:rPr>
          <w:rFonts w:ascii="Times New Roman" w:hAnsi="Times New Roman"/>
          <w:b w:val="0"/>
          <w:iCs/>
          <w:sz w:val="16"/>
          <w:szCs w:val="20"/>
        </w:rPr>
        <w:t>Langmuir.</w:t>
      </w:r>
      <w:r w:rsidRPr="008F5448">
        <w:rPr>
          <w:rFonts w:ascii="Times New Roman" w:hAnsi="Times New Roman"/>
          <w:sz w:val="16"/>
          <w:szCs w:val="20"/>
        </w:rPr>
        <w:t>1998;</w:t>
      </w:r>
      <w:r w:rsidRPr="008F5448">
        <w:rPr>
          <w:rFonts w:ascii="Times New Roman" w:hAnsi="Times New Roman"/>
          <w:b w:val="0"/>
          <w:iCs/>
          <w:sz w:val="16"/>
          <w:szCs w:val="20"/>
        </w:rPr>
        <w:t xml:space="preserve"> 14(17):</w:t>
      </w:r>
      <w:r w:rsidRPr="008F5448">
        <w:rPr>
          <w:rFonts w:ascii="Times New Roman" w:hAnsi="Times New Roman"/>
          <w:b w:val="0"/>
          <w:sz w:val="16"/>
          <w:szCs w:val="20"/>
        </w:rPr>
        <w:t xml:space="preserve"> 4699-4709.</w:t>
      </w:r>
    </w:p>
    <w:p w:rsidR="009E1EE7" w:rsidRPr="008F5448" w:rsidRDefault="009E1EE7" w:rsidP="00AE6497">
      <w:pPr>
        <w:pStyle w:val="Heading1"/>
        <w:keepNext w:val="0"/>
        <w:keepLines w:val="0"/>
        <w:numPr>
          <w:ilvl w:val="0"/>
          <w:numId w:val="14"/>
        </w:numPr>
        <w:tabs>
          <w:tab w:val="clear" w:pos="216"/>
          <w:tab w:val="left" w:pos="900"/>
        </w:tabs>
        <w:spacing w:before="0" w:after="0"/>
        <w:jc w:val="both"/>
        <w:rPr>
          <w:rFonts w:ascii="Times New Roman" w:hAnsi="Times New Roman"/>
          <w:b w:val="0"/>
          <w:sz w:val="16"/>
          <w:szCs w:val="20"/>
        </w:rPr>
      </w:pPr>
      <w:r w:rsidRPr="008F5448">
        <w:rPr>
          <w:rFonts w:ascii="Times New Roman" w:hAnsi="Times New Roman"/>
          <w:b w:val="0"/>
          <w:sz w:val="16"/>
          <w:szCs w:val="20"/>
        </w:rPr>
        <w:t>Bazito RC, Seoud OAE. Sugar-based cationic surfactants: Synthesis and aggregation of methyl 2-acylamido-6-trimethylammonio-2,6-dideoxy-</w:t>
      </w:r>
      <w:r w:rsidRPr="008F5448">
        <w:rPr>
          <w:rStyle w:val="emphasistypesmallcaps"/>
          <w:rFonts w:ascii="Times New Roman" w:hAnsi="Times New Roman"/>
          <w:b w:val="0"/>
          <w:sz w:val="16"/>
          <w:szCs w:val="20"/>
        </w:rPr>
        <w:t>d</w:t>
      </w:r>
      <w:r w:rsidRPr="008F5448">
        <w:rPr>
          <w:rFonts w:ascii="Times New Roman" w:hAnsi="Times New Roman"/>
          <w:b w:val="0"/>
          <w:sz w:val="16"/>
          <w:szCs w:val="20"/>
        </w:rPr>
        <w:t xml:space="preserve">-glucopyranoside chlorides,J. Surfact. Deterg. </w:t>
      </w:r>
      <w:r w:rsidRPr="008F5448">
        <w:rPr>
          <w:rFonts w:ascii="Times New Roman" w:hAnsi="Times New Roman"/>
          <w:sz w:val="16"/>
          <w:szCs w:val="20"/>
        </w:rPr>
        <w:t>2001;</w:t>
      </w:r>
      <w:r w:rsidRPr="008F5448">
        <w:rPr>
          <w:rFonts w:ascii="Times New Roman" w:hAnsi="Times New Roman"/>
          <w:b w:val="0"/>
          <w:sz w:val="16"/>
          <w:szCs w:val="20"/>
        </w:rPr>
        <w:t>4,395-400.</w:t>
      </w:r>
    </w:p>
    <w:p w:rsidR="009E1EE7" w:rsidRPr="008F5448" w:rsidRDefault="009E1EE7" w:rsidP="00AE6497">
      <w:pPr>
        <w:pStyle w:val="Heading1"/>
        <w:keepNext w:val="0"/>
        <w:keepLines w:val="0"/>
        <w:numPr>
          <w:ilvl w:val="0"/>
          <w:numId w:val="14"/>
        </w:numPr>
        <w:tabs>
          <w:tab w:val="clear" w:pos="216"/>
          <w:tab w:val="left" w:pos="900"/>
        </w:tabs>
        <w:spacing w:before="0" w:after="0"/>
        <w:jc w:val="both"/>
        <w:rPr>
          <w:rFonts w:ascii="Times New Roman" w:hAnsi="Times New Roman"/>
          <w:b w:val="0"/>
          <w:sz w:val="16"/>
          <w:szCs w:val="20"/>
        </w:rPr>
      </w:pPr>
      <w:r w:rsidRPr="008F5448">
        <w:rPr>
          <w:rFonts w:ascii="Times New Roman" w:hAnsi="Times New Roman"/>
          <w:b w:val="0"/>
          <w:sz w:val="16"/>
          <w:szCs w:val="20"/>
        </w:rPr>
        <w:t>Bazito RC, Seoud OAE. Sugar-Based Surfactants:  Adsorption and Micelle Formation of Sodium Methyl 2-Acylamido-2-deoxy-6-</w:t>
      </w:r>
      <w:r w:rsidRPr="008F5448">
        <w:rPr>
          <w:rFonts w:ascii="Times New Roman" w:hAnsi="Times New Roman"/>
          <w:b w:val="0"/>
          <w:i/>
          <w:iCs/>
          <w:sz w:val="16"/>
          <w:szCs w:val="20"/>
        </w:rPr>
        <w:t>O</w:t>
      </w:r>
      <w:r w:rsidRPr="008F5448">
        <w:rPr>
          <w:rFonts w:ascii="Times New Roman" w:hAnsi="Times New Roman"/>
          <w:b w:val="0"/>
          <w:sz w:val="16"/>
          <w:szCs w:val="20"/>
        </w:rPr>
        <w:t>-sulfo-</w:t>
      </w:r>
      <w:r w:rsidRPr="008F5448">
        <w:rPr>
          <w:rStyle w:val="smallcaps"/>
          <w:rFonts w:ascii="Times New Roman" w:hAnsi="Times New Roman"/>
          <w:b w:val="0"/>
          <w:sz w:val="16"/>
          <w:szCs w:val="20"/>
        </w:rPr>
        <w:t>d</w:t>
      </w:r>
      <w:r w:rsidRPr="008F5448">
        <w:rPr>
          <w:rFonts w:ascii="Times New Roman" w:hAnsi="Times New Roman"/>
          <w:b w:val="0"/>
          <w:sz w:val="16"/>
          <w:szCs w:val="20"/>
        </w:rPr>
        <w:t>-glucopyranosides,Langmuir,</w:t>
      </w:r>
      <w:r w:rsidRPr="008F5448">
        <w:rPr>
          <w:rFonts w:ascii="Times New Roman" w:hAnsi="Times New Roman"/>
          <w:sz w:val="16"/>
          <w:szCs w:val="20"/>
        </w:rPr>
        <w:t>2002</w:t>
      </w:r>
      <w:r w:rsidRPr="008F5448">
        <w:rPr>
          <w:rFonts w:ascii="Times New Roman" w:hAnsi="Times New Roman"/>
          <w:b w:val="0"/>
          <w:sz w:val="16"/>
          <w:szCs w:val="20"/>
        </w:rPr>
        <w:t>, 18(11),4362-4366.</w:t>
      </w:r>
    </w:p>
    <w:p w:rsidR="009E1EE7" w:rsidRPr="008F5448" w:rsidRDefault="009E1EE7" w:rsidP="00AE6497">
      <w:pPr>
        <w:pStyle w:val="Heading1"/>
        <w:keepNext w:val="0"/>
        <w:keepLines w:val="0"/>
        <w:numPr>
          <w:ilvl w:val="0"/>
          <w:numId w:val="14"/>
        </w:numPr>
        <w:tabs>
          <w:tab w:val="clear" w:pos="216"/>
          <w:tab w:val="left" w:pos="900"/>
        </w:tabs>
        <w:spacing w:before="0" w:after="0"/>
        <w:jc w:val="both"/>
        <w:rPr>
          <w:rFonts w:ascii="Times New Roman" w:hAnsi="Times New Roman"/>
          <w:b w:val="0"/>
          <w:sz w:val="16"/>
          <w:szCs w:val="20"/>
        </w:rPr>
      </w:pPr>
      <w:r w:rsidRPr="008F5448">
        <w:rPr>
          <w:rFonts w:ascii="Times New Roman" w:hAnsi="Times New Roman"/>
          <w:b w:val="0"/>
          <w:sz w:val="16"/>
          <w:szCs w:val="20"/>
        </w:rPr>
        <w:t xml:space="preserve">Castro MJL, Cirelli AF, Kovensky J. Synthesis and interfacial properties of sugar-based surfactants composed of homo-and heterodimers,J Surfact. Deterg., </w:t>
      </w:r>
      <w:r w:rsidRPr="008F5448">
        <w:rPr>
          <w:rFonts w:ascii="Times New Roman" w:hAnsi="Times New Roman"/>
          <w:sz w:val="16"/>
          <w:szCs w:val="20"/>
        </w:rPr>
        <w:t>2006</w:t>
      </w:r>
      <w:r w:rsidRPr="008F5448">
        <w:rPr>
          <w:rFonts w:ascii="Times New Roman" w:hAnsi="Times New Roman"/>
          <w:b w:val="0"/>
          <w:sz w:val="16"/>
          <w:szCs w:val="20"/>
        </w:rPr>
        <w:t>, 9,279-286.</w:t>
      </w:r>
    </w:p>
    <w:p w:rsidR="009E1EE7" w:rsidRPr="008F5448" w:rsidRDefault="009E1EE7" w:rsidP="00AE6497">
      <w:pPr>
        <w:pStyle w:val="ListParagraph"/>
        <w:numPr>
          <w:ilvl w:val="0"/>
          <w:numId w:val="14"/>
        </w:numPr>
        <w:tabs>
          <w:tab w:val="left" w:pos="900"/>
        </w:tabs>
        <w:spacing w:after="0" w:line="240" w:lineRule="auto"/>
        <w:jc w:val="both"/>
        <w:outlineLvl w:val="0"/>
        <w:rPr>
          <w:rFonts w:ascii="Times New Roman" w:eastAsia="Times New Roman" w:hAnsi="Times New Roman" w:cs="Times New Roman"/>
          <w:bCs/>
          <w:kern w:val="36"/>
          <w:sz w:val="16"/>
          <w:szCs w:val="20"/>
        </w:rPr>
      </w:pPr>
      <w:r w:rsidRPr="008F5448">
        <w:rPr>
          <w:rFonts w:ascii="Times New Roman" w:hAnsi="Times New Roman" w:cs="Times New Roman"/>
          <w:sz w:val="16"/>
          <w:szCs w:val="20"/>
        </w:rPr>
        <w:t>Caussanel F, Andre-Barres C, Lesieur S,Rica-Lattes I</w:t>
      </w:r>
      <w:r w:rsidRPr="008F5448">
        <w:rPr>
          <w:rFonts w:ascii="Times New Roman" w:eastAsia="Times New Roman" w:hAnsi="Times New Roman" w:cs="Times New Roman"/>
          <w:bCs/>
          <w:kern w:val="36"/>
          <w:sz w:val="16"/>
          <w:szCs w:val="20"/>
        </w:rPr>
        <w:t xml:space="preserve">A. Comparative study of sugar-based surfactants for the solubilization of phosphatidylcholine vesicles,Colloids and Surfaces B: Biointerfaces, </w:t>
      </w:r>
      <w:r w:rsidRPr="008F5448">
        <w:rPr>
          <w:rFonts w:ascii="Times New Roman" w:eastAsia="Times New Roman" w:hAnsi="Times New Roman" w:cs="Times New Roman"/>
          <w:b/>
          <w:bCs/>
          <w:kern w:val="36"/>
          <w:sz w:val="16"/>
          <w:szCs w:val="20"/>
        </w:rPr>
        <w:t>2001</w:t>
      </w:r>
      <w:r w:rsidRPr="008F5448">
        <w:rPr>
          <w:rFonts w:ascii="Times New Roman" w:eastAsia="Times New Roman" w:hAnsi="Times New Roman" w:cs="Times New Roman"/>
          <w:bCs/>
          <w:kern w:val="36"/>
          <w:sz w:val="16"/>
          <w:szCs w:val="20"/>
        </w:rPr>
        <w:t>, 22,193-203.</w:t>
      </w:r>
    </w:p>
    <w:p w:rsidR="009E1EE7" w:rsidRPr="008F5448" w:rsidRDefault="009E1EE7" w:rsidP="00AE6497">
      <w:pPr>
        <w:pStyle w:val="Heading1"/>
        <w:keepNext w:val="0"/>
        <w:keepLines w:val="0"/>
        <w:numPr>
          <w:ilvl w:val="0"/>
          <w:numId w:val="14"/>
        </w:numPr>
        <w:tabs>
          <w:tab w:val="clear" w:pos="216"/>
          <w:tab w:val="left" w:pos="990"/>
        </w:tabs>
        <w:spacing w:before="0" w:after="0"/>
        <w:jc w:val="both"/>
        <w:rPr>
          <w:rFonts w:ascii="Times New Roman" w:hAnsi="Times New Roman"/>
          <w:sz w:val="16"/>
          <w:szCs w:val="20"/>
        </w:rPr>
      </w:pPr>
      <w:r w:rsidRPr="008F5448">
        <w:rPr>
          <w:rFonts w:ascii="Times New Roman" w:hAnsi="Times New Roman"/>
          <w:b w:val="0"/>
          <w:sz w:val="16"/>
          <w:szCs w:val="20"/>
        </w:rPr>
        <w:t>Gan C, Wang H, Zhao Z, Yin B. Sugar-Based Ester Quaternary Ammonium Compounds and Their Surfactant Properties,J. Surfact. Deterg.,</w:t>
      </w:r>
      <w:r w:rsidRPr="008F5448">
        <w:rPr>
          <w:rFonts w:ascii="Times New Roman" w:hAnsi="Times New Roman"/>
          <w:sz w:val="16"/>
          <w:szCs w:val="20"/>
        </w:rPr>
        <w:t>2014</w:t>
      </w:r>
      <w:r w:rsidRPr="008F5448">
        <w:rPr>
          <w:rFonts w:ascii="Times New Roman" w:hAnsi="Times New Roman"/>
          <w:b w:val="0"/>
          <w:sz w:val="16"/>
          <w:szCs w:val="20"/>
        </w:rPr>
        <w:t>, 17,465-470.</w:t>
      </w:r>
    </w:p>
    <w:p w:rsidR="009E1EE7" w:rsidRPr="008F5448" w:rsidRDefault="009E1EE7" w:rsidP="00AE6497">
      <w:pPr>
        <w:pStyle w:val="ListParagraph"/>
        <w:numPr>
          <w:ilvl w:val="0"/>
          <w:numId w:val="14"/>
        </w:numPr>
        <w:tabs>
          <w:tab w:val="left" w:pos="0"/>
          <w:tab w:val="left" w:pos="990"/>
          <w:tab w:val="left" w:pos="8222"/>
          <w:tab w:val="left" w:pos="8640"/>
        </w:tabs>
        <w:spacing w:after="0" w:line="240" w:lineRule="auto"/>
        <w:ind w:right="85"/>
        <w:jc w:val="both"/>
        <w:rPr>
          <w:rFonts w:ascii="Times New Roman" w:hAnsi="Times New Roman" w:cs="Times New Roman"/>
          <w:sz w:val="16"/>
          <w:szCs w:val="20"/>
        </w:rPr>
      </w:pPr>
      <w:r w:rsidRPr="008F5448">
        <w:rPr>
          <w:rFonts w:ascii="Times New Roman" w:hAnsi="Times New Roman" w:cs="Times New Roman"/>
          <w:sz w:val="16"/>
          <w:szCs w:val="20"/>
        </w:rPr>
        <w:t>Gao C, Furbey AM, Whitcombe MJ,Vulfson EN. Regioselective Synthesis of Dimeric (Gemini) and Trimeric Sugar Based Surfactants, J. Surfact. Deterg., 1999, 2, 293-302.</w:t>
      </w:r>
    </w:p>
    <w:p w:rsidR="009E1EE7" w:rsidRPr="008F5448" w:rsidRDefault="009E1EE7" w:rsidP="00AE6497">
      <w:pPr>
        <w:pStyle w:val="Heading1"/>
        <w:keepNext w:val="0"/>
        <w:keepLines w:val="0"/>
        <w:numPr>
          <w:ilvl w:val="0"/>
          <w:numId w:val="14"/>
        </w:numPr>
        <w:shd w:val="clear" w:color="auto" w:fill="FFFFFF"/>
        <w:tabs>
          <w:tab w:val="clear" w:pos="216"/>
          <w:tab w:val="left" w:pos="900"/>
        </w:tabs>
        <w:autoSpaceDE w:val="0"/>
        <w:autoSpaceDN w:val="0"/>
        <w:adjustRightInd w:val="0"/>
        <w:spacing w:before="0" w:after="0"/>
        <w:jc w:val="both"/>
        <w:rPr>
          <w:rFonts w:ascii="Times New Roman" w:eastAsia="Calibri" w:hAnsi="Times New Roman"/>
          <w:iCs/>
          <w:sz w:val="16"/>
          <w:szCs w:val="20"/>
        </w:rPr>
      </w:pPr>
      <w:r w:rsidRPr="008F5448">
        <w:rPr>
          <w:rFonts w:ascii="Times New Roman" w:eastAsia="Calibri" w:hAnsi="Times New Roman"/>
          <w:b w:val="0"/>
          <w:iCs/>
          <w:sz w:val="16"/>
          <w:szCs w:val="20"/>
        </w:rPr>
        <w:t xml:space="preserve">Han F, Deng Y, Zhou Y, Xu B. </w:t>
      </w:r>
      <w:r w:rsidRPr="008F5448">
        <w:rPr>
          <w:rFonts w:ascii="Times New Roman" w:hAnsi="Times New Roman"/>
          <w:b w:val="0"/>
          <w:color w:val="1C1D1E"/>
          <w:sz w:val="16"/>
          <w:szCs w:val="20"/>
        </w:rPr>
        <w:t>Carbohydrate</w:t>
      </w:r>
      <w:r w:rsidRPr="008F5448">
        <w:rPr>
          <w:rFonts w:ascii="Cambria Math" w:hAnsi="Cambria Math"/>
          <w:b w:val="0"/>
          <w:color w:val="1C1D1E"/>
          <w:sz w:val="16"/>
          <w:szCs w:val="20"/>
        </w:rPr>
        <w:t>‐</w:t>
      </w:r>
      <w:r w:rsidRPr="008F5448">
        <w:rPr>
          <w:rFonts w:ascii="Times New Roman" w:hAnsi="Times New Roman"/>
          <w:b w:val="0"/>
          <w:color w:val="1C1D1E"/>
          <w:sz w:val="16"/>
          <w:szCs w:val="20"/>
        </w:rPr>
        <w:t xml:space="preserve">Modified Silicone Surfactants, </w:t>
      </w:r>
      <w:r w:rsidRPr="008F5448">
        <w:rPr>
          <w:rFonts w:ascii="Times New Roman" w:eastAsia="Calibri" w:hAnsi="Times New Roman"/>
          <w:b w:val="0"/>
          <w:iCs/>
          <w:sz w:val="16"/>
          <w:szCs w:val="20"/>
        </w:rPr>
        <w:t xml:space="preserve"> J of Surfactants and Detergents, </w:t>
      </w:r>
      <w:r w:rsidRPr="008F5448">
        <w:rPr>
          <w:rFonts w:ascii="Times New Roman" w:eastAsia="Calibri" w:hAnsi="Times New Roman"/>
          <w:iCs/>
          <w:sz w:val="16"/>
          <w:szCs w:val="20"/>
        </w:rPr>
        <w:t>2012</w:t>
      </w:r>
      <w:r w:rsidRPr="008F5448">
        <w:rPr>
          <w:rFonts w:ascii="Times New Roman" w:eastAsia="Calibri" w:hAnsi="Times New Roman"/>
          <w:b w:val="0"/>
          <w:iCs/>
          <w:sz w:val="16"/>
          <w:szCs w:val="20"/>
        </w:rPr>
        <w:t>, 15, 123-129</w:t>
      </w:r>
      <w:r w:rsidRPr="008F5448">
        <w:rPr>
          <w:rFonts w:ascii="Times New Roman" w:eastAsia="Calibri" w:hAnsi="Times New Roman"/>
          <w:iCs/>
          <w:sz w:val="16"/>
          <w:szCs w:val="20"/>
        </w:rPr>
        <w:t>.</w:t>
      </w:r>
    </w:p>
    <w:p w:rsidR="009E1EE7" w:rsidRPr="008F5448" w:rsidRDefault="009E1EE7" w:rsidP="00AE6497">
      <w:pPr>
        <w:pStyle w:val="Heading1"/>
        <w:keepNext w:val="0"/>
        <w:keepLines w:val="0"/>
        <w:numPr>
          <w:ilvl w:val="0"/>
          <w:numId w:val="14"/>
        </w:numPr>
        <w:shd w:val="clear" w:color="auto" w:fill="FFFFFF"/>
        <w:tabs>
          <w:tab w:val="clear" w:pos="216"/>
          <w:tab w:val="left" w:pos="900"/>
        </w:tabs>
        <w:spacing w:before="130" w:after="0"/>
        <w:jc w:val="both"/>
        <w:rPr>
          <w:rFonts w:ascii="Times New Roman" w:eastAsia="Calibri" w:hAnsi="Times New Roman"/>
          <w:b w:val="0"/>
          <w:iCs/>
          <w:sz w:val="16"/>
          <w:szCs w:val="20"/>
        </w:rPr>
      </w:pPr>
      <w:r w:rsidRPr="008F5448">
        <w:rPr>
          <w:rFonts w:ascii="Times New Roman" w:eastAsia="Calibri" w:hAnsi="Times New Roman"/>
          <w:b w:val="0"/>
          <w:iCs/>
          <w:sz w:val="16"/>
          <w:szCs w:val="20"/>
        </w:rPr>
        <w:t xml:space="preserve">Cecutti C, Focher B, Perly. B. </w:t>
      </w:r>
      <w:r w:rsidRPr="008F5448">
        <w:rPr>
          <w:rFonts w:ascii="Times New Roman" w:hAnsi="Times New Roman"/>
          <w:b w:val="0"/>
          <w:sz w:val="16"/>
          <w:szCs w:val="20"/>
        </w:rPr>
        <w:t>Glycolipid self-assembly: micellar structure</w:t>
      </w:r>
      <w:r w:rsidRPr="008F5448">
        <w:rPr>
          <w:rFonts w:ascii="Times New Roman" w:hAnsi="Times New Roman"/>
          <w:b w:val="0"/>
          <w:color w:val="606060"/>
          <w:sz w:val="16"/>
          <w:szCs w:val="20"/>
        </w:rPr>
        <w:t xml:space="preserve">, </w:t>
      </w:r>
      <w:r w:rsidRPr="008F5448">
        <w:rPr>
          <w:rFonts w:ascii="Times New Roman" w:eastAsia="Calibri" w:hAnsi="Times New Roman"/>
          <w:b w:val="0"/>
          <w:iCs/>
          <w:sz w:val="16"/>
          <w:szCs w:val="20"/>
        </w:rPr>
        <w:t xml:space="preserve">Langmuir, </w:t>
      </w:r>
      <w:r w:rsidRPr="008F5448">
        <w:rPr>
          <w:rFonts w:ascii="Times New Roman" w:eastAsia="Calibri" w:hAnsi="Times New Roman"/>
          <w:iCs/>
          <w:sz w:val="16"/>
          <w:szCs w:val="20"/>
        </w:rPr>
        <w:t>1991</w:t>
      </w:r>
      <w:r w:rsidRPr="008F5448">
        <w:rPr>
          <w:rFonts w:ascii="Times New Roman" w:eastAsia="Calibri" w:hAnsi="Times New Roman"/>
          <w:b w:val="0"/>
          <w:iCs/>
          <w:sz w:val="16"/>
          <w:szCs w:val="20"/>
        </w:rPr>
        <w:t>, 7, 2580-2585.</w:t>
      </w:r>
    </w:p>
    <w:p w:rsidR="009E1EE7" w:rsidRPr="008F5448" w:rsidRDefault="009E1EE7" w:rsidP="00AE6497">
      <w:pPr>
        <w:pStyle w:val="NoSpacing"/>
        <w:numPr>
          <w:ilvl w:val="0"/>
          <w:numId w:val="14"/>
        </w:numPr>
        <w:tabs>
          <w:tab w:val="left" w:pos="900"/>
        </w:tabs>
        <w:jc w:val="both"/>
        <w:rPr>
          <w:bCs/>
          <w:kern w:val="36"/>
          <w:sz w:val="16"/>
        </w:rPr>
      </w:pPr>
      <w:r w:rsidRPr="008F5448">
        <w:rPr>
          <w:bCs/>
          <w:kern w:val="36"/>
          <w:sz w:val="16"/>
        </w:rPr>
        <w:t>Ware AM, Waghmare JT, Momin SA. Alkylpolyglycoside: Carbohydrate Based Surfactant, J. Dispersion science and technology,2007, 28, 437-444.</w:t>
      </w:r>
    </w:p>
    <w:p w:rsidR="009E1EE7" w:rsidRPr="008F5448" w:rsidRDefault="009E1EE7" w:rsidP="00AE6497">
      <w:pPr>
        <w:pStyle w:val="Heading1"/>
        <w:keepNext w:val="0"/>
        <w:keepLines w:val="0"/>
        <w:numPr>
          <w:ilvl w:val="0"/>
          <w:numId w:val="14"/>
        </w:numPr>
        <w:shd w:val="clear" w:color="auto" w:fill="FFFFFF"/>
        <w:tabs>
          <w:tab w:val="clear" w:pos="216"/>
          <w:tab w:val="left" w:pos="900"/>
          <w:tab w:val="left" w:pos="990"/>
          <w:tab w:val="left" w:pos="1080"/>
        </w:tabs>
        <w:spacing w:before="0" w:after="143"/>
        <w:jc w:val="both"/>
        <w:rPr>
          <w:rFonts w:ascii="Times New Roman" w:hAnsi="Times New Roman"/>
          <w:b w:val="0"/>
          <w:sz w:val="16"/>
          <w:szCs w:val="20"/>
        </w:rPr>
      </w:pPr>
      <w:r w:rsidRPr="008F5448">
        <w:rPr>
          <w:rFonts w:ascii="Times New Roman" w:hAnsi="Times New Roman"/>
          <w:b w:val="0"/>
          <w:sz w:val="16"/>
          <w:szCs w:val="20"/>
        </w:rPr>
        <w:t xml:space="preserve">Andersson KN, Sauer S, Panknin O, Borg T, Soderling E, Somfai P. </w:t>
      </w:r>
      <w:r w:rsidRPr="008F5448">
        <w:rPr>
          <w:rFonts w:ascii="Times New Roman" w:hAnsi="Times New Roman"/>
          <w:b w:val="0"/>
          <w:color w:val="000000"/>
          <w:sz w:val="16"/>
          <w:szCs w:val="20"/>
        </w:rPr>
        <w:t xml:space="preserve">Synthesis of New Sugar-Based Surfactants and Evaluation of Their Hemolytic Activities, </w:t>
      </w:r>
      <w:r w:rsidRPr="008F5448">
        <w:rPr>
          <w:rFonts w:ascii="Times New Roman" w:hAnsi="Times New Roman"/>
          <w:b w:val="0"/>
          <w:sz w:val="16"/>
          <w:szCs w:val="20"/>
        </w:rPr>
        <w:t xml:space="preserve">The Journal of Org Chem, </w:t>
      </w:r>
      <w:r w:rsidRPr="008F5448">
        <w:rPr>
          <w:rFonts w:ascii="Times New Roman" w:hAnsi="Times New Roman"/>
          <w:sz w:val="16"/>
          <w:szCs w:val="20"/>
        </w:rPr>
        <w:t>2006,</w:t>
      </w:r>
      <w:r w:rsidRPr="008F5448">
        <w:rPr>
          <w:rFonts w:ascii="Times New Roman" w:hAnsi="Times New Roman"/>
          <w:b w:val="0"/>
          <w:sz w:val="16"/>
          <w:szCs w:val="20"/>
        </w:rPr>
        <w:t>71, 3623-3626.</w:t>
      </w:r>
    </w:p>
    <w:p w:rsidR="009E1EE7" w:rsidRPr="008F5448" w:rsidRDefault="009E1EE7" w:rsidP="00AE6497">
      <w:pPr>
        <w:pStyle w:val="ListParagraph"/>
        <w:numPr>
          <w:ilvl w:val="0"/>
          <w:numId w:val="14"/>
        </w:numPr>
        <w:tabs>
          <w:tab w:val="left" w:pos="900"/>
        </w:tabs>
        <w:autoSpaceDE w:val="0"/>
        <w:autoSpaceDN w:val="0"/>
        <w:adjustRightInd w:val="0"/>
        <w:spacing w:after="0" w:line="240" w:lineRule="auto"/>
        <w:jc w:val="both"/>
        <w:rPr>
          <w:rFonts w:ascii="Times New Roman" w:hAnsi="Times New Roman" w:cs="Times New Roman"/>
          <w:sz w:val="16"/>
          <w:szCs w:val="20"/>
        </w:rPr>
      </w:pPr>
      <w:r w:rsidRPr="008F5448">
        <w:rPr>
          <w:rFonts w:ascii="Times New Roman" w:hAnsi="Times New Roman" w:cs="Times New Roman"/>
          <w:sz w:val="16"/>
          <w:szCs w:val="20"/>
        </w:rPr>
        <w:t>Bunton CA, Robinson I, Schaak J, Stern MF. Catalysis of Nucleophilic Substitutions by Micelles of Dicationic Detergents,J. Org. Chem,</w:t>
      </w:r>
      <w:r w:rsidRPr="008F5448">
        <w:rPr>
          <w:rFonts w:ascii="Times New Roman" w:hAnsi="Times New Roman" w:cs="Times New Roman"/>
          <w:b/>
          <w:sz w:val="16"/>
          <w:szCs w:val="20"/>
        </w:rPr>
        <w:t>1971</w:t>
      </w:r>
      <w:r w:rsidRPr="008F5448">
        <w:rPr>
          <w:rFonts w:ascii="Times New Roman" w:hAnsi="Times New Roman" w:cs="Times New Roman"/>
          <w:sz w:val="16"/>
          <w:szCs w:val="20"/>
        </w:rPr>
        <w:t xml:space="preserve">, 36, 2346-2350. </w:t>
      </w:r>
    </w:p>
    <w:p w:rsidR="009E1EE7" w:rsidRPr="008F5448" w:rsidRDefault="009E1EE7" w:rsidP="00AE6497">
      <w:pPr>
        <w:pStyle w:val="Heading1"/>
        <w:keepNext w:val="0"/>
        <w:keepLines w:val="0"/>
        <w:numPr>
          <w:ilvl w:val="0"/>
          <w:numId w:val="14"/>
        </w:numPr>
        <w:shd w:val="clear" w:color="auto" w:fill="FFFFFF"/>
        <w:tabs>
          <w:tab w:val="clear" w:pos="216"/>
          <w:tab w:val="left" w:pos="900"/>
          <w:tab w:val="left" w:pos="990"/>
        </w:tabs>
        <w:autoSpaceDE w:val="0"/>
        <w:autoSpaceDN w:val="0"/>
        <w:adjustRightInd w:val="0"/>
        <w:spacing w:before="0" w:after="0"/>
        <w:jc w:val="both"/>
        <w:rPr>
          <w:rFonts w:ascii="Times New Roman" w:hAnsi="Times New Roman"/>
          <w:b w:val="0"/>
          <w:sz w:val="16"/>
          <w:szCs w:val="20"/>
        </w:rPr>
      </w:pPr>
      <w:r w:rsidRPr="008F5448">
        <w:rPr>
          <w:rFonts w:ascii="Times New Roman" w:hAnsi="Times New Roman"/>
          <w:b w:val="0"/>
          <w:sz w:val="16"/>
          <w:szCs w:val="20"/>
        </w:rPr>
        <w:t xml:space="preserve">Zana R, Talmon Y. </w:t>
      </w:r>
      <w:r w:rsidRPr="008F5448">
        <w:rPr>
          <w:rFonts w:ascii="Times New Roman" w:hAnsi="Times New Roman"/>
          <w:b w:val="0"/>
          <w:color w:val="222222"/>
          <w:sz w:val="16"/>
          <w:szCs w:val="20"/>
        </w:rPr>
        <w:t xml:space="preserve">Dependence of aggregate morphology on structure of dimeric surfactants, </w:t>
      </w:r>
      <w:r w:rsidRPr="008F5448">
        <w:rPr>
          <w:rFonts w:ascii="Times New Roman" w:hAnsi="Times New Roman"/>
          <w:b w:val="0"/>
          <w:sz w:val="16"/>
          <w:szCs w:val="20"/>
        </w:rPr>
        <w:t>Nature,</w:t>
      </w:r>
      <w:r w:rsidRPr="008F5448">
        <w:rPr>
          <w:rFonts w:ascii="Times New Roman" w:hAnsi="Times New Roman"/>
          <w:sz w:val="16"/>
          <w:szCs w:val="20"/>
        </w:rPr>
        <w:t>1993</w:t>
      </w:r>
      <w:r w:rsidRPr="008F5448">
        <w:rPr>
          <w:rFonts w:ascii="Times New Roman" w:hAnsi="Times New Roman"/>
          <w:b w:val="0"/>
          <w:sz w:val="16"/>
          <w:szCs w:val="20"/>
        </w:rPr>
        <w:t>, 362, 228-230.</w:t>
      </w:r>
    </w:p>
    <w:p w:rsidR="009E1EE7" w:rsidRPr="008F5448" w:rsidRDefault="009E1EE7" w:rsidP="00AE6497">
      <w:pPr>
        <w:pStyle w:val="ListParagraph"/>
        <w:numPr>
          <w:ilvl w:val="0"/>
          <w:numId w:val="14"/>
        </w:numPr>
        <w:tabs>
          <w:tab w:val="left" w:pos="900"/>
        </w:tabs>
        <w:autoSpaceDE w:val="0"/>
        <w:autoSpaceDN w:val="0"/>
        <w:adjustRightInd w:val="0"/>
        <w:spacing w:after="0" w:line="240" w:lineRule="auto"/>
        <w:jc w:val="both"/>
        <w:rPr>
          <w:rFonts w:ascii="Times New Roman" w:hAnsi="Times New Roman" w:cs="Times New Roman"/>
          <w:sz w:val="16"/>
          <w:szCs w:val="20"/>
        </w:rPr>
      </w:pPr>
      <w:r w:rsidRPr="008F5448">
        <w:rPr>
          <w:rFonts w:ascii="Times New Roman" w:hAnsi="Times New Roman" w:cs="Times New Roman"/>
          <w:sz w:val="16"/>
          <w:szCs w:val="20"/>
        </w:rPr>
        <w:t>Menger FM, Littau  CA. J Am Chem Soc, 115, 10083-10090 (1993).</w:t>
      </w:r>
    </w:p>
    <w:p w:rsidR="009E1EE7" w:rsidRPr="008F5448" w:rsidRDefault="009E1EE7" w:rsidP="00AE6497">
      <w:pPr>
        <w:pStyle w:val="ListParagraph"/>
        <w:numPr>
          <w:ilvl w:val="0"/>
          <w:numId w:val="14"/>
        </w:numPr>
        <w:tabs>
          <w:tab w:val="left" w:pos="900"/>
        </w:tabs>
        <w:autoSpaceDE w:val="0"/>
        <w:autoSpaceDN w:val="0"/>
        <w:adjustRightInd w:val="0"/>
        <w:spacing w:after="0" w:line="240" w:lineRule="auto"/>
        <w:jc w:val="both"/>
        <w:rPr>
          <w:rFonts w:ascii="Times New Roman" w:hAnsi="Times New Roman" w:cs="Times New Roman"/>
          <w:sz w:val="16"/>
          <w:szCs w:val="20"/>
        </w:rPr>
      </w:pPr>
      <w:r w:rsidRPr="008F5448">
        <w:rPr>
          <w:rFonts w:ascii="Times New Roman" w:hAnsi="Times New Roman" w:cs="Times New Roman"/>
          <w:sz w:val="16"/>
          <w:szCs w:val="20"/>
        </w:rPr>
        <w:t xml:space="preserve">Zana R. Specialist surfactants in: Robb, ID (ed) Champman Hall Ltd., </w:t>
      </w:r>
      <w:r w:rsidRPr="008F5448">
        <w:rPr>
          <w:rFonts w:ascii="Times New Roman" w:hAnsi="Times New Roman" w:cs="Times New Roman"/>
          <w:sz w:val="16"/>
          <w:szCs w:val="20"/>
        </w:rPr>
        <w:tab/>
        <w:t>London (1996), pp. 81.</w:t>
      </w:r>
    </w:p>
    <w:p w:rsidR="009E1EE7" w:rsidRPr="008F5448" w:rsidRDefault="009E1EE7" w:rsidP="00AE6497">
      <w:pPr>
        <w:pStyle w:val="ListParagraph"/>
        <w:numPr>
          <w:ilvl w:val="0"/>
          <w:numId w:val="14"/>
        </w:numPr>
        <w:tabs>
          <w:tab w:val="left" w:pos="900"/>
        </w:tabs>
        <w:autoSpaceDE w:val="0"/>
        <w:autoSpaceDN w:val="0"/>
        <w:adjustRightInd w:val="0"/>
        <w:spacing w:after="0" w:line="240" w:lineRule="auto"/>
        <w:jc w:val="both"/>
        <w:rPr>
          <w:rFonts w:ascii="Times New Roman" w:hAnsi="Times New Roman" w:cs="Times New Roman"/>
          <w:sz w:val="16"/>
          <w:szCs w:val="20"/>
        </w:rPr>
      </w:pPr>
      <w:r w:rsidRPr="008F5448">
        <w:rPr>
          <w:rFonts w:ascii="Times New Roman" w:hAnsi="Times New Roman" w:cs="Times New Roman"/>
          <w:sz w:val="16"/>
          <w:szCs w:val="20"/>
        </w:rPr>
        <w:t xml:space="preserve">Singh N, Sharma L. Novel Carbohydrate Based Non-ionic Gemini Surfactants with Flexible Spacer as Reverse Micellar Systems for Encapsulation of D- and L-Enantiomers of Some Aromatic α- Amino Acids in n-Hexane, TensideSurfact., </w:t>
      </w:r>
      <w:r w:rsidRPr="008F5448">
        <w:rPr>
          <w:rFonts w:ascii="Times New Roman" w:hAnsi="Times New Roman" w:cs="Times New Roman"/>
          <w:b/>
          <w:sz w:val="16"/>
          <w:szCs w:val="20"/>
        </w:rPr>
        <w:t>2018,</w:t>
      </w:r>
      <w:r w:rsidRPr="008F5448">
        <w:rPr>
          <w:rFonts w:ascii="Times New Roman" w:hAnsi="Times New Roman" w:cs="Times New Roman"/>
          <w:sz w:val="16"/>
          <w:szCs w:val="20"/>
        </w:rPr>
        <w:t xml:space="preserve"> 55, 220-225. </w:t>
      </w:r>
    </w:p>
    <w:p w:rsidR="009E1EE7" w:rsidRPr="008F5448" w:rsidRDefault="009E1EE7" w:rsidP="00AE6497">
      <w:pPr>
        <w:pStyle w:val="Heading1"/>
        <w:keepNext w:val="0"/>
        <w:keepLines w:val="0"/>
        <w:numPr>
          <w:ilvl w:val="0"/>
          <w:numId w:val="14"/>
        </w:numPr>
        <w:shd w:val="clear" w:color="auto" w:fill="F7F8FA"/>
        <w:tabs>
          <w:tab w:val="clear" w:pos="216"/>
          <w:tab w:val="left" w:pos="900"/>
        </w:tabs>
        <w:autoSpaceDE w:val="0"/>
        <w:autoSpaceDN w:val="0"/>
        <w:adjustRightInd w:val="0"/>
        <w:spacing w:before="0" w:after="0"/>
        <w:jc w:val="both"/>
        <w:rPr>
          <w:rFonts w:ascii="Times New Roman" w:eastAsiaTheme="minorHAnsi" w:hAnsi="Times New Roman"/>
          <w:b w:val="0"/>
          <w:bCs w:val="0"/>
          <w:kern w:val="0"/>
          <w:sz w:val="16"/>
          <w:szCs w:val="20"/>
        </w:rPr>
      </w:pPr>
      <w:r w:rsidRPr="008F5448">
        <w:rPr>
          <w:rFonts w:ascii="Times New Roman" w:eastAsiaTheme="minorHAnsi" w:hAnsi="Times New Roman"/>
          <w:b w:val="0"/>
          <w:bCs w:val="0"/>
          <w:kern w:val="0"/>
          <w:sz w:val="16"/>
          <w:szCs w:val="20"/>
        </w:rPr>
        <w:t>Sakai K, Tamura M,Umezawa S,Takamatsu Y, Torigue K, Yoshimura  T, Esumi K, Sakai S, Abe M. Adsorption characteristics of sugar-based monomeric and gemini surfactants at the silica/aqueous solution interface,  , Colloids SurfacesA,2008, 328, 100-106.</w:t>
      </w:r>
    </w:p>
    <w:p w:rsidR="009E1EE7" w:rsidRPr="008F5448" w:rsidRDefault="009E1EE7" w:rsidP="00AE6497">
      <w:pPr>
        <w:pStyle w:val="ListParagraph"/>
        <w:numPr>
          <w:ilvl w:val="0"/>
          <w:numId w:val="14"/>
        </w:numPr>
        <w:tabs>
          <w:tab w:val="left" w:pos="990"/>
        </w:tabs>
        <w:spacing w:after="0" w:line="240" w:lineRule="auto"/>
        <w:jc w:val="both"/>
        <w:outlineLvl w:val="0"/>
        <w:rPr>
          <w:rFonts w:ascii="Times New Roman" w:eastAsia="Times New Roman" w:hAnsi="Times New Roman" w:cs="Times New Roman"/>
          <w:bCs/>
          <w:kern w:val="36"/>
          <w:sz w:val="16"/>
          <w:szCs w:val="20"/>
        </w:rPr>
      </w:pPr>
      <w:r w:rsidRPr="008F5448">
        <w:rPr>
          <w:rFonts w:ascii="Times New Roman" w:hAnsi="Times New Roman" w:cs="Times New Roman"/>
          <w:sz w:val="16"/>
          <w:szCs w:val="20"/>
        </w:rPr>
        <w:lastRenderedPageBreak/>
        <w:t>Sakai K, Umezawa S, Tamura M, Takamatsu Y, Tsuchiya K,Torigoe K, Ohkubo T, Yoshimura T, Esumi, K, Sakai H, Abe M.</w:t>
      </w:r>
      <w:r w:rsidRPr="008F5448">
        <w:rPr>
          <w:rFonts w:ascii="Times New Roman" w:eastAsia="Times New Roman" w:hAnsi="Times New Roman" w:cs="Times New Roman"/>
          <w:bCs/>
          <w:kern w:val="36"/>
          <w:sz w:val="16"/>
          <w:szCs w:val="20"/>
        </w:rPr>
        <w:t>Adsorption and micellization behavior of novel gluconamide-type gemini surfactants, J. Colloids Interf. Sci.,</w:t>
      </w:r>
      <w:r w:rsidRPr="008F5448">
        <w:rPr>
          <w:rFonts w:ascii="Times New Roman" w:eastAsia="Times New Roman" w:hAnsi="Times New Roman" w:cs="Times New Roman"/>
          <w:b/>
          <w:bCs/>
          <w:kern w:val="36"/>
          <w:sz w:val="16"/>
          <w:szCs w:val="20"/>
        </w:rPr>
        <w:t>2008</w:t>
      </w:r>
      <w:r w:rsidRPr="008F5448">
        <w:rPr>
          <w:rFonts w:ascii="Times New Roman" w:eastAsia="Times New Roman" w:hAnsi="Times New Roman" w:cs="Times New Roman"/>
          <w:bCs/>
          <w:kern w:val="36"/>
          <w:sz w:val="16"/>
          <w:szCs w:val="20"/>
        </w:rPr>
        <w:t>, 318, 440-448.</w:t>
      </w:r>
    </w:p>
    <w:p w:rsidR="009E1EE7" w:rsidRPr="008F5448" w:rsidRDefault="009E1EE7" w:rsidP="00AE6497">
      <w:pPr>
        <w:pStyle w:val="Heading1"/>
        <w:keepNext w:val="0"/>
        <w:keepLines w:val="0"/>
        <w:numPr>
          <w:ilvl w:val="0"/>
          <w:numId w:val="14"/>
        </w:numPr>
        <w:tabs>
          <w:tab w:val="clear" w:pos="216"/>
        </w:tabs>
        <w:spacing w:before="0" w:beforeAutospacing="1" w:after="0" w:afterAutospacing="1"/>
        <w:jc w:val="both"/>
        <w:rPr>
          <w:rFonts w:ascii="Times New Roman" w:hAnsi="Times New Roman"/>
          <w:b w:val="0"/>
          <w:sz w:val="16"/>
          <w:szCs w:val="20"/>
          <w:shd w:val="clear" w:color="auto" w:fill="FFFFFF"/>
        </w:rPr>
      </w:pPr>
      <w:r w:rsidRPr="008F5448">
        <w:rPr>
          <w:rFonts w:ascii="Times New Roman" w:hAnsi="Times New Roman"/>
          <w:b w:val="0"/>
          <w:sz w:val="16"/>
          <w:szCs w:val="20"/>
        </w:rPr>
        <w:t xml:space="preserve">Mohammed AI,Abboud ZH,Alghanimi AHO. Synthesis of D-mannitol substituted ether-linked bis-1,2,3-triazoles as models of Gemini surfactants, Tetrahedron Lett, </w:t>
      </w:r>
      <w:r w:rsidRPr="008F5448">
        <w:rPr>
          <w:rFonts w:ascii="Times New Roman" w:hAnsi="Times New Roman"/>
          <w:sz w:val="16"/>
          <w:szCs w:val="20"/>
        </w:rPr>
        <w:t>2012</w:t>
      </w:r>
      <w:r w:rsidRPr="008F5448">
        <w:rPr>
          <w:rFonts w:ascii="Times New Roman" w:hAnsi="Times New Roman"/>
          <w:b w:val="0"/>
          <w:sz w:val="16"/>
          <w:szCs w:val="20"/>
        </w:rPr>
        <w:t>, 53, 5081-5083.</w:t>
      </w:r>
    </w:p>
    <w:p w:rsidR="009E1EE7" w:rsidRPr="008F5448" w:rsidRDefault="009E1EE7" w:rsidP="00AE6497">
      <w:pPr>
        <w:pStyle w:val="Heading1"/>
        <w:keepNext w:val="0"/>
        <w:keepLines w:val="0"/>
        <w:numPr>
          <w:ilvl w:val="0"/>
          <w:numId w:val="14"/>
        </w:numPr>
        <w:shd w:val="clear" w:color="auto" w:fill="FFFFFF"/>
        <w:tabs>
          <w:tab w:val="clear" w:pos="216"/>
          <w:tab w:val="left" w:pos="900"/>
        </w:tabs>
        <w:spacing w:before="0" w:after="0"/>
        <w:jc w:val="both"/>
        <w:textAlignment w:val="baseline"/>
        <w:rPr>
          <w:rFonts w:ascii="Times New Roman" w:eastAsiaTheme="minorHAnsi" w:hAnsi="Times New Roman"/>
          <w:b w:val="0"/>
          <w:bCs w:val="0"/>
          <w:kern w:val="0"/>
          <w:sz w:val="16"/>
          <w:szCs w:val="20"/>
        </w:rPr>
      </w:pPr>
      <w:r w:rsidRPr="008F5448">
        <w:rPr>
          <w:rFonts w:ascii="Times New Roman" w:hAnsi="Times New Roman"/>
          <w:b w:val="0"/>
          <w:sz w:val="16"/>
          <w:szCs w:val="20"/>
        </w:rPr>
        <w:t>Deng W, Zhang Y, Zhong Y, Peng J.</w:t>
      </w:r>
      <w:r w:rsidRPr="008F5448">
        <w:rPr>
          <w:rFonts w:ascii="Times New Roman" w:eastAsiaTheme="minorHAnsi" w:hAnsi="Times New Roman"/>
          <w:b w:val="0"/>
          <w:bCs w:val="0"/>
          <w:kern w:val="0"/>
          <w:sz w:val="16"/>
          <w:szCs w:val="20"/>
        </w:rPr>
        <w:t xml:space="preserve">Synthesis and Thermodynamic Properties of Rosin-Based Cationic Gemini Surfactants,J. Surfact. Deterg., </w:t>
      </w:r>
      <w:r w:rsidRPr="008F5448">
        <w:rPr>
          <w:rFonts w:ascii="Times New Roman" w:eastAsiaTheme="minorHAnsi" w:hAnsi="Times New Roman"/>
          <w:bCs w:val="0"/>
          <w:kern w:val="0"/>
          <w:sz w:val="16"/>
          <w:szCs w:val="20"/>
        </w:rPr>
        <w:t>2014</w:t>
      </w:r>
      <w:r w:rsidRPr="008F5448">
        <w:rPr>
          <w:rFonts w:ascii="Times New Roman" w:eastAsiaTheme="minorHAnsi" w:hAnsi="Times New Roman"/>
          <w:b w:val="0"/>
          <w:bCs w:val="0"/>
          <w:kern w:val="0"/>
          <w:sz w:val="16"/>
          <w:szCs w:val="20"/>
        </w:rPr>
        <w:t>,17, 453-458.</w:t>
      </w:r>
    </w:p>
    <w:p w:rsidR="009E1EE7" w:rsidRPr="008F5448" w:rsidRDefault="009E1EE7" w:rsidP="00AE6497">
      <w:pPr>
        <w:pStyle w:val="ListParagraph"/>
        <w:numPr>
          <w:ilvl w:val="0"/>
          <w:numId w:val="14"/>
        </w:numPr>
        <w:tabs>
          <w:tab w:val="left" w:pos="0"/>
          <w:tab w:val="left" w:pos="990"/>
          <w:tab w:val="left" w:pos="8222"/>
          <w:tab w:val="left" w:pos="8640"/>
        </w:tabs>
        <w:spacing w:after="0" w:line="240" w:lineRule="auto"/>
        <w:ind w:right="85"/>
        <w:jc w:val="both"/>
        <w:rPr>
          <w:rFonts w:ascii="Times New Roman" w:hAnsi="Times New Roman" w:cs="Times New Roman"/>
          <w:sz w:val="16"/>
          <w:szCs w:val="20"/>
        </w:rPr>
      </w:pPr>
      <w:r w:rsidRPr="008F5448">
        <w:rPr>
          <w:rFonts w:ascii="Times New Roman" w:hAnsi="Times New Roman" w:cs="Times New Roman"/>
          <w:sz w:val="16"/>
          <w:szCs w:val="20"/>
        </w:rPr>
        <w:t>Han F, Zhang G. Synthesis and Characterization of Glucosamide-Based Trisiloxane Gemini Surfactants, J. Surfact. Deterg.,</w:t>
      </w:r>
      <w:r w:rsidRPr="008F5448">
        <w:rPr>
          <w:rFonts w:ascii="Times New Roman" w:hAnsi="Times New Roman" w:cs="Times New Roman"/>
          <w:b/>
          <w:sz w:val="16"/>
          <w:szCs w:val="20"/>
        </w:rPr>
        <w:t>2004</w:t>
      </w:r>
      <w:r w:rsidRPr="008F5448">
        <w:rPr>
          <w:rFonts w:ascii="Times New Roman" w:hAnsi="Times New Roman" w:cs="Times New Roman"/>
          <w:sz w:val="16"/>
          <w:szCs w:val="20"/>
        </w:rPr>
        <w:t>, 7, 175-180.</w:t>
      </w:r>
    </w:p>
    <w:p w:rsidR="009E1EE7" w:rsidRPr="008F5448" w:rsidRDefault="009E1EE7" w:rsidP="00AE6497">
      <w:pPr>
        <w:pStyle w:val="ListParagraph"/>
        <w:numPr>
          <w:ilvl w:val="0"/>
          <w:numId w:val="14"/>
        </w:numPr>
        <w:tabs>
          <w:tab w:val="left" w:pos="0"/>
          <w:tab w:val="left" w:pos="990"/>
          <w:tab w:val="left" w:pos="7797"/>
          <w:tab w:val="left" w:pos="8222"/>
          <w:tab w:val="left" w:pos="10500"/>
        </w:tabs>
        <w:spacing w:after="0" w:line="240" w:lineRule="auto"/>
        <w:ind w:right="85"/>
        <w:jc w:val="both"/>
        <w:rPr>
          <w:rFonts w:ascii="Times New Roman" w:hAnsi="Times New Roman" w:cs="Times New Roman"/>
          <w:sz w:val="16"/>
          <w:szCs w:val="20"/>
        </w:rPr>
      </w:pPr>
      <w:r w:rsidRPr="008F5448">
        <w:rPr>
          <w:rFonts w:ascii="Times New Roman" w:hAnsi="Times New Roman" w:cs="Times New Roman"/>
          <w:sz w:val="16"/>
          <w:szCs w:val="20"/>
        </w:rPr>
        <w:t xml:space="preserve">Mine Y, Fukunaga K, Samejima K, Yoshimura M, Nakao K, Sugimura Y.Preparation of gemini-type amphiphiles bearing cyclitol head groups and their application as high-performance modifiers for lipases,Carbohydr. Res., </w:t>
      </w:r>
      <w:r w:rsidRPr="008F5448">
        <w:rPr>
          <w:rFonts w:ascii="Times New Roman" w:hAnsi="Times New Roman" w:cs="Times New Roman"/>
          <w:b/>
          <w:sz w:val="16"/>
          <w:szCs w:val="20"/>
        </w:rPr>
        <w:t>2004</w:t>
      </w:r>
      <w:r w:rsidRPr="008F5448">
        <w:rPr>
          <w:rFonts w:ascii="Times New Roman" w:hAnsi="Times New Roman" w:cs="Times New Roman"/>
          <w:sz w:val="16"/>
          <w:szCs w:val="20"/>
        </w:rPr>
        <w:t>, 339, 493-501.</w:t>
      </w:r>
    </w:p>
    <w:p w:rsidR="009E1EE7" w:rsidRPr="008F5448" w:rsidRDefault="009E1EE7" w:rsidP="00AE6497">
      <w:pPr>
        <w:pStyle w:val="ListParagraph"/>
        <w:widowControl w:val="0"/>
        <w:numPr>
          <w:ilvl w:val="0"/>
          <w:numId w:val="14"/>
        </w:numPr>
        <w:tabs>
          <w:tab w:val="left" w:pos="0"/>
          <w:tab w:val="left" w:pos="990"/>
          <w:tab w:val="left" w:pos="1440"/>
          <w:tab w:val="left" w:pos="8222"/>
        </w:tabs>
        <w:autoSpaceDE w:val="0"/>
        <w:autoSpaceDN w:val="0"/>
        <w:adjustRightInd w:val="0"/>
        <w:spacing w:after="0" w:line="240" w:lineRule="auto"/>
        <w:ind w:right="85"/>
        <w:jc w:val="both"/>
        <w:rPr>
          <w:rFonts w:ascii="Times New Roman" w:hAnsi="Times New Roman" w:cs="Times New Roman"/>
          <w:sz w:val="16"/>
          <w:szCs w:val="20"/>
        </w:rPr>
      </w:pPr>
      <w:r w:rsidRPr="008F5448">
        <w:rPr>
          <w:rFonts w:ascii="Times New Roman" w:hAnsi="Times New Roman" w:cs="Times New Roman"/>
          <w:sz w:val="16"/>
          <w:szCs w:val="20"/>
        </w:rPr>
        <w:t>Wagenaar A, Engberts J.B.F.N. Synthesis of Noninoic Reduced-Sugar Based Bola Amphiphiles and Gemini surfactants with an-</w:t>
      </w:r>
      <m:oMath>
        <m:r>
          <w:rPr>
            <w:rFonts w:ascii="Cambria Math" w:hAnsi="Cambria Math" w:cs="Times New Roman"/>
            <w:sz w:val="16"/>
            <w:szCs w:val="20"/>
          </w:rPr>
          <m:t>α</m:t>
        </m:r>
      </m:oMath>
      <w:r w:rsidRPr="008F5448">
        <w:rPr>
          <w:rFonts w:ascii="Times New Roman" w:eastAsiaTheme="minorEastAsia" w:hAnsi="Times New Roman" w:cs="Times New Roman"/>
          <w:sz w:val="16"/>
          <w:szCs w:val="20"/>
        </w:rPr>
        <w:t>-</w:t>
      </w:r>
      <m:oMath>
        <m:r>
          <w:rPr>
            <w:rFonts w:ascii="Cambria Math" w:eastAsiaTheme="minorEastAsia" w:hAnsi="Cambria Math" w:cs="Times New Roman"/>
            <w:sz w:val="16"/>
            <w:szCs w:val="20"/>
          </w:rPr>
          <m:t>ω</m:t>
        </m:r>
      </m:oMath>
      <w:r w:rsidRPr="008F5448">
        <w:rPr>
          <w:rFonts w:ascii="Times New Roman" w:eastAsiaTheme="minorEastAsia" w:hAnsi="Times New Roman" w:cs="Times New Roman"/>
          <w:sz w:val="16"/>
          <w:szCs w:val="20"/>
        </w:rPr>
        <w:t xml:space="preserve">-Diamino-(Oxa)Alkyl Spacer, Tetrahedron, </w:t>
      </w:r>
      <w:r w:rsidRPr="008F5448">
        <w:rPr>
          <w:rFonts w:ascii="Times New Roman" w:eastAsiaTheme="minorEastAsia" w:hAnsi="Times New Roman" w:cs="Times New Roman"/>
          <w:b/>
          <w:sz w:val="16"/>
          <w:szCs w:val="20"/>
        </w:rPr>
        <w:t>2007</w:t>
      </w:r>
      <w:r w:rsidRPr="008F5448">
        <w:rPr>
          <w:rFonts w:ascii="Times New Roman" w:eastAsiaTheme="minorEastAsia" w:hAnsi="Times New Roman" w:cs="Times New Roman"/>
          <w:sz w:val="16"/>
          <w:szCs w:val="20"/>
        </w:rPr>
        <w:t>, 63,10622-10629.</w:t>
      </w:r>
    </w:p>
    <w:p w:rsidR="009E1EE7" w:rsidRPr="008F5448" w:rsidRDefault="009E1EE7" w:rsidP="00AE6497">
      <w:pPr>
        <w:pStyle w:val="ListParagraph"/>
        <w:widowControl w:val="0"/>
        <w:numPr>
          <w:ilvl w:val="0"/>
          <w:numId w:val="14"/>
        </w:numPr>
        <w:tabs>
          <w:tab w:val="left" w:pos="0"/>
          <w:tab w:val="left" w:pos="990"/>
          <w:tab w:val="left" w:pos="1440"/>
          <w:tab w:val="left" w:pos="8222"/>
        </w:tabs>
        <w:autoSpaceDE w:val="0"/>
        <w:autoSpaceDN w:val="0"/>
        <w:adjustRightInd w:val="0"/>
        <w:spacing w:after="0" w:line="240" w:lineRule="auto"/>
        <w:ind w:right="85"/>
        <w:jc w:val="both"/>
        <w:rPr>
          <w:rFonts w:ascii="Times New Roman" w:hAnsi="Times New Roman" w:cs="Times New Roman"/>
          <w:sz w:val="16"/>
          <w:szCs w:val="20"/>
        </w:rPr>
      </w:pPr>
      <w:r w:rsidRPr="008F5448">
        <w:rPr>
          <w:rFonts w:ascii="Times New Roman" w:hAnsi="Times New Roman" w:cs="Times New Roman"/>
          <w:sz w:val="16"/>
          <w:szCs w:val="20"/>
        </w:rPr>
        <w:t xml:space="preserve">Saavedra CC, Gomez EMP, Oliverira RG, Fernandez A. </w:t>
      </w:r>
      <w:r w:rsidRPr="008F5448">
        <w:rPr>
          <w:rFonts w:ascii="Times New Roman" w:eastAsia="Times New Roman" w:hAnsi="Times New Roman" w:cs="Times New Roman"/>
          <w:bCs/>
          <w:color w:val="505050"/>
          <w:kern w:val="36"/>
          <w:sz w:val="16"/>
          <w:szCs w:val="20"/>
        </w:rPr>
        <w:t xml:space="preserve">Aggregation behaviour and solubilization capability of mixed micellar systems formed by a gemini lipoamino acid and a non-ionic surfactant, </w:t>
      </w:r>
      <w:r w:rsidRPr="008F5448">
        <w:rPr>
          <w:rFonts w:ascii="Times New Roman" w:eastAsia="Times New Roman" w:hAnsi="Times New Roman" w:cs="Times New Roman"/>
          <w:sz w:val="16"/>
          <w:szCs w:val="20"/>
        </w:rPr>
        <w:t xml:space="preserve">Colloids and Surfaces A: Physiocochemical and engineering Aspects, </w:t>
      </w:r>
      <w:r w:rsidRPr="008F5448">
        <w:rPr>
          <w:rFonts w:ascii="Times New Roman" w:eastAsia="Times New Roman" w:hAnsi="Times New Roman" w:cs="Times New Roman"/>
          <w:b/>
          <w:sz w:val="16"/>
          <w:szCs w:val="20"/>
        </w:rPr>
        <w:t>2017</w:t>
      </w:r>
      <w:r w:rsidRPr="008F5448">
        <w:rPr>
          <w:rFonts w:ascii="Times New Roman" w:eastAsia="Times New Roman" w:hAnsi="Times New Roman" w:cs="Times New Roman"/>
          <w:sz w:val="16"/>
          <w:szCs w:val="20"/>
        </w:rPr>
        <w:t>, 533, 41-47.</w:t>
      </w:r>
    </w:p>
    <w:p w:rsidR="009E1EE7" w:rsidRPr="008F5448" w:rsidRDefault="009E1EE7" w:rsidP="00AE6497">
      <w:pPr>
        <w:pStyle w:val="NormalWeb"/>
        <w:numPr>
          <w:ilvl w:val="0"/>
          <w:numId w:val="14"/>
        </w:numPr>
        <w:tabs>
          <w:tab w:val="left" w:pos="900"/>
          <w:tab w:val="left" w:pos="990"/>
        </w:tabs>
        <w:spacing w:before="0" w:beforeAutospacing="0" w:after="0" w:afterAutospacing="0"/>
        <w:jc w:val="both"/>
        <w:rPr>
          <w:bCs/>
          <w:sz w:val="16"/>
          <w:szCs w:val="20"/>
        </w:rPr>
      </w:pPr>
      <w:r w:rsidRPr="008F5448">
        <w:rPr>
          <w:bCs/>
          <w:sz w:val="16"/>
          <w:szCs w:val="20"/>
        </w:rPr>
        <w:t xml:space="preserve">Elworthy PH, Florence AT, MacFarlane CB. Solubilization by Surface-Active Agents </w:t>
      </w:r>
      <w:r w:rsidRPr="008F5448">
        <w:rPr>
          <w:bCs/>
          <w:i/>
          <w:sz w:val="16"/>
          <w:szCs w:val="20"/>
        </w:rPr>
        <w:t>Chapman and Hall</w:t>
      </w:r>
      <w:r w:rsidRPr="008F5448">
        <w:rPr>
          <w:bCs/>
          <w:sz w:val="16"/>
          <w:szCs w:val="20"/>
        </w:rPr>
        <w:t xml:space="preserve">, London, </w:t>
      </w:r>
      <w:r w:rsidRPr="008F5448">
        <w:rPr>
          <w:b/>
          <w:bCs/>
          <w:sz w:val="16"/>
          <w:szCs w:val="20"/>
        </w:rPr>
        <w:t>1968</w:t>
      </w:r>
      <w:r w:rsidRPr="008F5448">
        <w:rPr>
          <w:bCs/>
          <w:sz w:val="16"/>
          <w:szCs w:val="20"/>
        </w:rPr>
        <w:t>.</w:t>
      </w:r>
    </w:p>
    <w:p w:rsidR="009E1EE7" w:rsidRPr="008F5448" w:rsidRDefault="009E1EE7" w:rsidP="00AE6497">
      <w:pPr>
        <w:pStyle w:val="Heading1"/>
        <w:keepNext w:val="0"/>
        <w:keepLines w:val="0"/>
        <w:numPr>
          <w:ilvl w:val="0"/>
          <w:numId w:val="14"/>
        </w:numPr>
        <w:shd w:val="clear" w:color="auto" w:fill="FFFFFF"/>
        <w:tabs>
          <w:tab w:val="clear" w:pos="216"/>
          <w:tab w:val="left" w:pos="900"/>
          <w:tab w:val="left" w:pos="990"/>
        </w:tabs>
        <w:spacing w:before="120" w:after="0"/>
        <w:jc w:val="both"/>
        <w:rPr>
          <w:rFonts w:ascii="Times New Roman" w:hAnsi="Times New Roman"/>
          <w:b w:val="0"/>
          <w:sz w:val="16"/>
          <w:szCs w:val="20"/>
        </w:rPr>
      </w:pPr>
      <w:r w:rsidRPr="008F5448">
        <w:rPr>
          <w:rFonts w:ascii="Times New Roman" w:hAnsi="Times New Roman"/>
          <w:b w:val="0"/>
          <w:sz w:val="16"/>
          <w:szCs w:val="20"/>
        </w:rPr>
        <w:t xml:space="preserve">SantVP, Smith D, Leroux JC.  </w:t>
      </w:r>
      <w:r w:rsidRPr="008F5448">
        <w:rPr>
          <w:rFonts w:ascii="Times New Roman" w:hAnsi="Times New Roman"/>
          <w:b w:val="0"/>
          <w:color w:val="000000"/>
          <w:sz w:val="16"/>
          <w:szCs w:val="20"/>
        </w:rPr>
        <w:t xml:space="preserve">Enhancement of oral bioavailability of poorly water-soluble drugs by poly(ethylene glycol)-block-poly(alkyl acrylate-co-methacrylic acid) self-assemblies, </w:t>
      </w:r>
      <w:r w:rsidRPr="008F5448">
        <w:rPr>
          <w:rFonts w:ascii="Times New Roman" w:hAnsi="Times New Roman"/>
          <w:b w:val="0"/>
          <w:sz w:val="16"/>
          <w:szCs w:val="20"/>
        </w:rPr>
        <w:t xml:space="preserve">J Contr Rel, </w:t>
      </w:r>
      <w:r w:rsidRPr="008F5448">
        <w:rPr>
          <w:rFonts w:ascii="Times New Roman" w:hAnsi="Times New Roman"/>
          <w:sz w:val="16"/>
          <w:szCs w:val="20"/>
        </w:rPr>
        <w:t>2005</w:t>
      </w:r>
      <w:r w:rsidRPr="008F5448">
        <w:rPr>
          <w:rFonts w:ascii="Times New Roman" w:hAnsi="Times New Roman"/>
          <w:b w:val="0"/>
          <w:sz w:val="16"/>
          <w:szCs w:val="20"/>
        </w:rPr>
        <w:t xml:space="preserve">, 104, 289-300. </w:t>
      </w:r>
    </w:p>
    <w:p w:rsidR="009E1EE7" w:rsidRPr="008F5448" w:rsidRDefault="009E1EE7" w:rsidP="00AE6497">
      <w:pPr>
        <w:pStyle w:val="Heading1"/>
        <w:keepNext w:val="0"/>
        <w:keepLines w:val="0"/>
        <w:numPr>
          <w:ilvl w:val="0"/>
          <w:numId w:val="14"/>
        </w:numPr>
        <w:shd w:val="clear" w:color="auto" w:fill="FFFFFF"/>
        <w:tabs>
          <w:tab w:val="clear" w:pos="216"/>
          <w:tab w:val="left" w:pos="900"/>
        </w:tabs>
        <w:spacing w:before="120" w:after="120"/>
        <w:jc w:val="both"/>
        <w:rPr>
          <w:rFonts w:ascii="Times New Roman" w:hAnsi="Times New Roman"/>
          <w:b w:val="0"/>
          <w:sz w:val="16"/>
          <w:szCs w:val="20"/>
        </w:rPr>
      </w:pPr>
      <w:r w:rsidRPr="008F5448">
        <w:rPr>
          <w:rFonts w:ascii="Times New Roman" w:hAnsi="Times New Roman"/>
          <w:b w:val="0"/>
          <w:sz w:val="16"/>
          <w:szCs w:val="20"/>
        </w:rPr>
        <w:t xml:space="preserve">Bromberg L.  </w:t>
      </w:r>
      <w:r w:rsidRPr="008F5448">
        <w:rPr>
          <w:rFonts w:ascii="Times New Roman" w:hAnsi="Times New Roman"/>
          <w:b w:val="0"/>
          <w:color w:val="000000"/>
          <w:sz w:val="16"/>
          <w:szCs w:val="20"/>
        </w:rPr>
        <w:t>Polymeric micelles in oral chemotherapy,</w:t>
      </w:r>
      <w:r w:rsidRPr="008F5448">
        <w:rPr>
          <w:rFonts w:ascii="Times New Roman" w:hAnsi="Times New Roman"/>
          <w:b w:val="0"/>
          <w:sz w:val="16"/>
          <w:szCs w:val="20"/>
        </w:rPr>
        <w:t xml:space="preserve">J.Control  Rel, 128, 2008, 99-112. </w:t>
      </w:r>
    </w:p>
    <w:p w:rsidR="009E1EE7" w:rsidRPr="008F5448" w:rsidRDefault="009E1EE7" w:rsidP="00AE6497">
      <w:pPr>
        <w:pStyle w:val="ListParagraph"/>
        <w:numPr>
          <w:ilvl w:val="0"/>
          <w:numId w:val="14"/>
        </w:numPr>
        <w:tabs>
          <w:tab w:val="left" w:pos="900"/>
        </w:tabs>
        <w:spacing w:after="0" w:line="240" w:lineRule="auto"/>
        <w:jc w:val="both"/>
        <w:rPr>
          <w:rFonts w:ascii="Times New Roman" w:hAnsi="Times New Roman" w:cs="Times New Roman"/>
          <w:sz w:val="16"/>
          <w:szCs w:val="20"/>
        </w:rPr>
      </w:pPr>
      <w:r w:rsidRPr="008F5448">
        <w:rPr>
          <w:rFonts w:ascii="Times New Roman" w:hAnsi="Times New Roman" w:cs="Times New Roman"/>
          <w:sz w:val="16"/>
          <w:szCs w:val="20"/>
        </w:rPr>
        <w:t xml:space="preserve">Gaucher G, Sattuerwar P, Jones MC, Furtos A, Leroux JC. Polymeric micelles for oral drug delivery, J. Pharma. Biopharm. 76, </w:t>
      </w:r>
      <w:r w:rsidRPr="008F5448">
        <w:rPr>
          <w:rFonts w:ascii="Times New Roman" w:hAnsi="Times New Roman" w:cs="Times New Roman"/>
          <w:b/>
          <w:sz w:val="16"/>
          <w:szCs w:val="20"/>
        </w:rPr>
        <w:t>2010</w:t>
      </w:r>
      <w:r w:rsidRPr="008F5448">
        <w:rPr>
          <w:rFonts w:ascii="Times New Roman" w:hAnsi="Times New Roman" w:cs="Times New Roman"/>
          <w:sz w:val="16"/>
          <w:szCs w:val="20"/>
        </w:rPr>
        <w:t>, 147-158.</w:t>
      </w:r>
    </w:p>
    <w:p w:rsidR="009E1EE7" w:rsidRPr="008F5448" w:rsidRDefault="009E1EE7" w:rsidP="00AE6497">
      <w:pPr>
        <w:pStyle w:val="Heading1"/>
        <w:keepNext w:val="0"/>
        <w:keepLines w:val="0"/>
        <w:numPr>
          <w:ilvl w:val="0"/>
          <w:numId w:val="14"/>
        </w:numPr>
        <w:shd w:val="clear" w:color="auto" w:fill="FFFFFF"/>
        <w:tabs>
          <w:tab w:val="clear" w:pos="216"/>
          <w:tab w:val="left" w:pos="900"/>
        </w:tabs>
        <w:spacing w:before="120" w:after="120"/>
        <w:jc w:val="both"/>
        <w:rPr>
          <w:rFonts w:ascii="Times New Roman" w:hAnsi="Times New Roman"/>
          <w:b w:val="0"/>
          <w:sz w:val="16"/>
          <w:szCs w:val="20"/>
        </w:rPr>
      </w:pPr>
      <w:r w:rsidRPr="008F5448">
        <w:rPr>
          <w:rFonts w:ascii="Times New Roman" w:hAnsi="Times New Roman"/>
          <w:b w:val="0"/>
          <w:sz w:val="16"/>
          <w:szCs w:val="20"/>
        </w:rPr>
        <w:t xml:space="preserve">Lipinski CA. </w:t>
      </w:r>
      <w:r w:rsidRPr="008F5448">
        <w:rPr>
          <w:rFonts w:ascii="Times New Roman" w:hAnsi="Times New Roman"/>
          <w:b w:val="0"/>
          <w:color w:val="000000"/>
          <w:sz w:val="16"/>
          <w:szCs w:val="20"/>
        </w:rPr>
        <w:t xml:space="preserve">Drug-like properties and the causes of poor solubility and poor permeability, </w:t>
      </w:r>
      <w:r w:rsidRPr="008F5448">
        <w:rPr>
          <w:rFonts w:ascii="Times New Roman" w:hAnsi="Times New Roman"/>
          <w:b w:val="0"/>
          <w:sz w:val="16"/>
          <w:szCs w:val="20"/>
        </w:rPr>
        <w:t xml:space="preserve">J Pharma Toxico Methods, </w:t>
      </w:r>
      <w:r w:rsidRPr="008F5448">
        <w:rPr>
          <w:rFonts w:ascii="Times New Roman" w:hAnsi="Times New Roman"/>
          <w:sz w:val="16"/>
          <w:szCs w:val="20"/>
        </w:rPr>
        <w:t>2000</w:t>
      </w:r>
      <w:r w:rsidRPr="008F5448">
        <w:rPr>
          <w:rFonts w:ascii="Times New Roman" w:hAnsi="Times New Roman"/>
          <w:b w:val="0"/>
          <w:sz w:val="16"/>
          <w:szCs w:val="20"/>
        </w:rPr>
        <w:t>, 44, 235-249.</w:t>
      </w:r>
    </w:p>
    <w:p w:rsidR="009E1EE7" w:rsidRPr="008F5448" w:rsidRDefault="009E1EE7" w:rsidP="00AE6497">
      <w:pPr>
        <w:pStyle w:val="Heading1"/>
        <w:keepNext w:val="0"/>
        <w:keepLines w:val="0"/>
        <w:numPr>
          <w:ilvl w:val="0"/>
          <w:numId w:val="14"/>
        </w:numPr>
        <w:shd w:val="clear" w:color="auto" w:fill="FFFFFF"/>
        <w:tabs>
          <w:tab w:val="clear" w:pos="216"/>
          <w:tab w:val="left" w:pos="900"/>
        </w:tabs>
        <w:spacing w:before="120" w:after="120"/>
        <w:jc w:val="both"/>
        <w:rPr>
          <w:rFonts w:ascii="Times New Roman" w:hAnsi="Times New Roman"/>
          <w:b w:val="0"/>
          <w:sz w:val="16"/>
          <w:szCs w:val="20"/>
        </w:rPr>
      </w:pPr>
      <w:r w:rsidRPr="008F5448">
        <w:rPr>
          <w:rFonts w:ascii="Times New Roman" w:hAnsi="Times New Roman"/>
          <w:b w:val="0"/>
          <w:sz w:val="16"/>
          <w:szCs w:val="20"/>
        </w:rPr>
        <w:t>Choi YK,  Poudel BK, Marasini N, Yang KY, Kim JW, Choi HG, Yong CS.</w:t>
      </w:r>
      <w:r w:rsidRPr="008F5448">
        <w:rPr>
          <w:rFonts w:ascii="Times New Roman" w:hAnsi="Times New Roman"/>
          <w:b w:val="0"/>
          <w:color w:val="000000"/>
          <w:sz w:val="16"/>
          <w:szCs w:val="20"/>
        </w:rPr>
        <w:t xml:space="preserve">Enhanced solubility and oral bioavailability of itraconazole by combining membrane emulsification and spray drying technique, </w:t>
      </w:r>
      <w:r w:rsidRPr="008F5448">
        <w:rPr>
          <w:rFonts w:ascii="Times New Roman" w:hAnsi="Times New Roman"/>
          <w:b w:val="0"/>
          <w:sz w:val="16"/>
          <w:szCs w:val="20"/>
        </w:rPr>
        <w:t xml:space="preserve">Inter. J.  Pharma, </w:t>
      </w:r>
      <w:r w:rsidRPr="008F5448">
        <w:rPr>
          <w:rFonts w:ascii="Times New Roman" w:hAnsi="Times New Roman"/>
          <w:sz w:val="16"/>
          <w:szCs w:val="20"/>
        </w:rPr>
        <w:t>2012</w:t>
      </w:r>
      <w:r w:rsidRPr="008F5448">
        <w:rPr>
          <w:rFonts w:ascii="Times New Roman" w:hAnsi="Times New Roman"/>
          <w:b w:val="0"/>
          <w:sz w:val="16"/>
          <w:szCs w:val="20"/>
        </w:rPr>
        <w:t>, 434, 264-271.</w:t>
      </w:r>
    </w:p>
    <w:p w:rsidR="009E1EE7" w:rsidRPr="008F5448" w:rsidRDefault="009E1EE7" w:rsidP="00AE6497">
      <w:pPr>
        <w:pStyle w:val="ListParagraph"/>
        <w:numPr>
          <w:ilvl w:val="0"/>
          <w:numId w:val="14"/>
        </w:numPr>
        <w:tabs>
          <w:tab w:val="left" w:pos="990"/>
        </w:tabs>
        <w:spacing w:after="0" w:line="240" w:lineRule="auto"/>
        <w:jc w:val="both"/>
        <w:rPr>
          <w:rFonts w:ascii="Times New Roman" w:hAnsi="Times New Roman" w:cs="Times New Roman"/>
          <w:sz w:val="16"/>
          <w:szCs w:val="20"/>
        </w:rPr>
      </w:pPr>
      <w:r w:rsidRPr="008F5448">
        <w:rPr>
          <w:rFonts w:ascii="Times New Roman" w:hAnsi="Times New Roman" w:cs="Times New Roman"/>
          <w:sz w:val="16"/>
          <w:szCs w:val="20"/>
        </w:rPr>
        <w:t>Singh N, Sharma L.  Annual Int'l Conference on Chemical Processes, Ecology &amp; Environmental Engineering (ICCPEE’16) (2016), pp.  6-9.</w:t>
      </w:r>
    </w:p>
    <w:p w:rsidR="009E1EE7" w:rsidRPr="008F5448" w:rsidRDefault="009E1EE7" w:rsidP="00AE6497">
      <w:pPr>
        <w:pStyle w:val="ListParagraph"/>
        <w:numPr>
          <w:ilvl w:val="0"/>
          <w:numId w:val="14"/>
        </w:numPr>
        <w:tabs>
          <w:tab w:val="left" w:pos="990"/>
        </w:tabs>
        <w:spacing w:after="0" w:line="240" w:lineRule="auto"/>
        <w:jc w:val="both"/>
        <w:rPr>
          <w:rFonts w:ascii="Times New Roman" w:eastAsia="Times New Roman" w:hAnsi="Times New Roman" w:cs="Times New Roman"/>
          <w:sz w:val="16"/>
          <w:szCs w:val="20"/>
        </w:rPr>
      </w:pPr>
      <w:r w:rsidRPr="008F5448">
        <w:rPr>
          <w:rFonts w:ascii="Times New Roman" w:eastAsia="Times New Roman" w:hAnsi="Times New Roman" w:cs="Times New Roman"/>
          <w:sz w:val="16"/>
          <w:szCs w:val="20"/>
        </w:rPr>
        <w:t xml:space="preserve">Griffin WC. Calculation of HLB Values of Non-Ionic Surfactants, J. Soc. Cosmet. Chem., </w:t>
      </w:r>
      <w:r w:rsidRPr="008F5448">
        <w:rPr>
          <w:rFonts w:ascii="Times New Roman" w:eastAsia="Times New Roman" w:hAnsi="Times New Roman" w:cs="Times New Roman"/>
          <w:b/>
          <w:sz w:val="16"/>
          <w:szCs w:val="20"/>
        </w:rPr>
        <w:t>1954</w:t>
      </w:r>
      <w:r w:rsidRPr="008F5448">
        <w:rPr>
          <w:rFonts w:ascii="Times New Roman" w:eastAsia="Times New Roman" w:hAnsi="Times New Roman" w:cs="Times New Roman"/>
          <w:sz w:val="16"/>
          <w:szCs w:val="20"/>
        </w:rPr>
        <w:t>, 5, 249-256.</w:t>
      </w:r>
    </w:p>
    <w:p w:rsidR="009E1EE7" w:rsidRPr="008F5448" w:rsidRDefault="009E1EE7" w:rsidP="00AE6497">
      <w:pPr>
        <w:pStyle w:val="ListParagraph"/>
        <w:numPr>
          <w:ilvl w:val="0"/>
          <w:numId w:val="14"/>
        </w:numPr>
        <w:tabs>
          <w:tab w:val="left" w:pos="900"/>
        </w:tabs>
        <w:spacing w:after="0" w:line="240" w:lineRule="auto"/>
        <w:jc w:val="both"/>
        <w:rPr>
          <w:rFonts w:ascii="Times New Roman" w:hAnsi="Times New Roman" w:cs="Times New Roman"/>
          <w:sz w:val="16"/>
          <w:szCs w:val="20"/>
        </w:rPr>
      </w:pPr>
      <w:r w:rsidRPr="008F5448">
        <w:rPr>
          <w:rFonts w:ascii="Times New Roman" w:hAnsi="Times New Roman" w:cs="Times New Roman"/>
          <w:sz w:val="16"/>
          <w:szCs w:val="20"/>
        </w:rPr>
        <w:t>Singh N, Sharma L. Synthesis and use of novel carbohydrate derived non-ionic surfactants for enhancing the aqueous solubility of Norfloxacin by micellization, Trends in Carbo Res, 8,</w:t>
      </w:r>
      <w:r w:rsidRPr="008F5448">
        <w:rPr>
          <w:rFonts w:ascii="Times New Roman" w:hAnsi="Times New Roman" w:cs="Times New Roman"/>
          <w:b/>
          <w:sz w:val="16"/>
          <w:szCs w:val="20"/>
        </w:rPr>
        <w:t>2016</w:t>
      </w:r>
      <w:r w:rsidRPr="008F5448">
        <w:rPr>
          <w:rFonts w:ascii="Times New Roman" w:hAnsi="Times New Roman" w:cs="Times New Roman"/>
          <w:sz w:val="16"/>
          <w:szCs w:val="20"/>
        </w:rPr>
        <w:t>, 33-37.</w:t>
      </w:r>
    </w:p>
    <w:p w:rsidR="009E1EE7" w:rsidRPr="008F5448" w:rsidRDefault="009E1EE7" w:rsidP="00AE6497">
      <w:pPr>
        <w:pStyle w:val="ListParagraph"/>
        <w:numPr>
          <w:ilvl w:val="0"/>
          <w:numId w:val="14"/>
        </w:numPr>
        <w:tabs>
          <w:tab w:val="left" w:pos="900"/>
        </w:tabs>
        <w:spacing w:after="0" w:line="240" w:lineRule="auto"/>
        <w:jc w:val="both"/>
        <w:rPr>
          <w:rFonts w:ascii="Times New Roman" w:hAnsi="Times New Roman" w:cs="Times New Roman"/>
          <w:sz w:val="16"/>
          <w:szCs w:val="20"/>
        </w:rPr>
      </w:pPr>
      <w:r w:rsidRPr="008F5448">
        <w:rPr>
          <w:rFonts w:ascii="Times New Roman" w:hAnsi="Times New Roman" w:cs="Times New Roman"/>
          <w:sz w:val="16"/>
          <w:szCs w:val="20"/>
        </w:rPr>
        <w:t xml:space="preserve">Singh N, Sharma L. Enhancement in solubility of Glibenclamide and Clofibrate drugs using carbohydrate based non-ionic surfactants by micellization, Indo American J of Pharma sci, 4, </w:t>
      </w:r>
      <w:r w:rsidRPr="008F5448">
        <w:rPr>
          <w:rFonts w:ascii="Times New Roman" w:hAnsi="Times New Roman" w:cs="Times New Roman"/>
          <w:b/>
          <w:sz w:val="16"/>
          <w:szCs w:val="20"/>
        </w:rPr>
        <w:t>2017</w:t>
      </w:r>
      <w:r w:rsidRPr="008F5448">
        <w:rPr>
          <w:rFonts w:ascii="Times New Roman" w:hAnsi="Times New Roman" w:cs="Times New Roman"/>
          <w:sz w:val="16"/>
          <w:szCs w:val="20"/>
        </w:rPr>
        <w:t>, 186-192.</w:t>
      </w:r>
    </w:p>
    <w:p w:rsidR="009E1EE7" w:rsidRPr="009E1EE7" w:rsidRDefault="009E1EE7" w:rsidP="00AE6497">
      <w:pPr>
        <w:autoSpaceDE w:val="0"/>
        <w:autoSpaceDN w:val="0"/>
        <w:adjustRightInd w:val="0"/>
        <w:jc w:val="both"/>
        <w:rPr>
          <w:rFonts w:eastAsia="MS Mincho"/>
        </w:rPr>
      </w:pPr>
    </w:p>
    <w:p w:rsidR="000B5B2F" w:rsidRDefault="000B5B2F" w:rsidP="00AE6497">
      <w:pPr>
        <w:rPr>
          <w:rFonts w:eastAsia="MS Mincho"/>
        </w:rPr>
      </w:pPr>
    </w:p>
    <w:p w:rsidR="008A55B5" w:rsidRPr="000B5B2F" w:rsidRDefault="000B5B2F" w:rsidP="00AE6497">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9E1EE7">
      <w:type w:val="continuous"/>
      <w:pgSz w:w="11909" w:h="16834" w:code="9"/>
      <w:pgMar w:top="1440" w:right="1440"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834" w:rsidRDefault="00FB1834" w:rsidP="001E64C4">
      <w:r>
        <w:separator/>
      </w:r>
    </w:p>
  </w:endnote>
  <w:endnote w:type="continuationSeparator" w:id="1">
    <w:p w:rsidR="00FB1834" w:rsidRDefault="00FB1834"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834" w:rsidRDefault="00FB1834" w:rsidP="001E64C4">
      <w:r>
        <w:separator/>
      </w:r>
    </w:p>
  </w:footnote>
  <w:footnote w:type="continuationSeparator" w:id="1">
    <w:p w:rsidR="00FB1834" w:rsidRDefault="00FB1834"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279CA"/>
    <w:multiLevelType w:val="hybridMultilevel"/>
    <w:tmpl w:val="CBAE4AFE"/>
    <w:lvl w:ilvl="0" w:tplc="87F65F1A">
      <w:start w:val="1"/>
      <w:numFmt w:val="decimal"/>
      <w:lvlText w:val="[%1]"/>
      <w:lvlJc w:val="left"/>
      <w:pPr>
        <w:ind w:left="720" w:hanging="360"/>
      </w:pPr>
      <w:rPr>
        <w:rFonts w:hint="default"/>
        <w:b w:val="0"/>
        <w:sz w:val="16"/>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8"/>
  </w:num>
  <w:num w:numId="3">
    <w:abstractNumId w:val="3"/>
  </w:num>
  <w:num w:numId="4">
    <w:abstractNumId w:val="6"/>
  </w:num>
  <w:num w:numId="5">
    <w:abstractNumId w:val="6"/>
  </w:num>
  <w:num w:numId="6">
    <w:abstractNumId w:val="6"/>
  </w:num>
  <w:num w:numId="7">
    <w:abstractNumId w:val="6"/>
  </w:num>
  <w:num w:numId="8">
    <w:abstractNumId w:val="7"/>
  </w:num>
  <w:num w:numId="9">
    <w:abstractNumId w:val="9"/>
  </w:num>
  <w:num w:numId="10">
    <w:abstractNumId w:val="5"/>
  </w:num>
  <w:num w:numId="11">
    <w:abstractNumId w:val="2"/>
  </w:num>
  <w:num w:numId="12">
    <w:abstractNumId w:val="10"/>
  </w:num>
  <w:num w:numId="13">
    <w:abstractNumId w:val="0"/>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8130">
      <o:colormenu v:ext="edit" strokecolor="none"/>
    </o:shapedefaults>
  </w:hdrShapeDefaults>
  <w:footnotePr>
    <w:footnote w:id="0"/>
    <w:footnote w:id="1"/>
  </w:footnotePr>
  <w:endnotePr>
    <w:endnote w:id="0"/>
    <w:endnote w:id="1"/>
  </w:endnotePr>
  <w:compat/>
  <w:rsids>
    <w:rsidRoot w:val="003A59A6"/>
    <w:rsid w:val="000026B6"/>
    <w:rsid w:val="00012DED"/>
    <w:rsid w:val="00036715"/>
    <w:rsid w:val="0004390D"/>
    <w:rsid w:val="00070FAB"/>
    <w:rsid w:val="0009782E"/>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3A4A"/>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8F5448"/>
    <w:rsid w:val="00924FB9"/>
    <w:rsid w:val="0092568F"/>
    <w:rsid w:val="0097508D"/>
    <w:rsid w:val="009D170D"/>
    <w:rsid w:val="009E1EE7"/>
    <w:rsid w:val="00A236A0"/>
    <w:rsid w:val="00A510F7"/>
    <w:rsid w:val="00A54B35"/>
    <w:rsid w:val="00AA0700"/>
    <w:rsid w:val="00AA76A8"/>
    <w:rsid w:val="00AB2FA3"/>
    <w:rsid w:val="00AC6519"/>
    <w:rsid w:val="00AD601F"/>
    <w:rsid w:val="00AE6497"/>
    <w:rsid w:val="00B0160B"/>
    <w:rsid w:val="00B20C8E"/>
    <w:rsid w:val="00B31BF3"/>
    <w:rsid w:val="00B62E35"/>
    <w:rsid w:val="00C0280F"/>
    <w:rsid w:val="00C05F7C"/>
    <w:rsid w:val="00C664B7"/>
    <w:rsid w:val="00C703F9"/>
    <w:rsid w:val="00CB0271"/>
    <w:rsid w:val="00CB66E6"/>
    <w:rsid w:val="00CF25D6"/>
    <w:rsid w:val="00CF7C50"/>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B1834"/>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Spacing">
    <w:name w:val="No Spacing"/>
    <w:uiPriority w:val="1"/>
    <w:qFormat/>
    <w:rsid w:val="009E1EE7"/>
    <w:pPr>
      <w:jc w:val="center"/>
    </w:pPr>
    <w:rPr>
      <w:rFonts w:ascii="Times New Roman" w:hAnsi="Times New Roman"/>
    </w:rPr>
  </w:style>
  <w:style w:type="paragraph" w:customStyle="1" w:styleId="Default">
    <w:name w:val="Default"/>
    <w:rsid w:val="009E1EE7"/>
    <w:pPr>
      <w:autoSpaceDE w:val="0"/>
      <w:autoSpaceDN w:val="0"/>
      <w:adjustRightInd w:val="0"/>
    </w:pPr>
    <w:rPr>
      <w:rFonts w:ascii="Times New Roman" w:eastAsiaTheme="minorHAnsi" w:hAnsi="Times New Roman"/>
      <w:color w:val="000000"/>
      <w:sz w:val="24"/>
      <w:szCs w:val="24"/>
    </w:rPr>
  </w:style>
  <w:style w:type="table" w:styleId="TableGrid">
    <w:name w:val="Table Grid"/>
    <w:basedOn w:val="TableNormal"/>
    <w:uiPriority w:val="59"/>
    <w:rsid w:val="009E1EE7"/>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E1EE7"/>
    <w:pPr>
      <w:spacing w:after="200" w:line="276" w:lineRule="auto"/>
      <w:ind w:left="720"/>
      <w:contextualSpacing/>
      <w:jc w:val="left"/>
    </w:pPr>
    <w:rPr>
      <w:rFonts w:asciiTheme="minorHAnsi" w:eastAsiaTheme="minorHAnsi" w:hAnsiTheme="minorHAnsi" w:cstheme="minorBidi"/>
      <w:sz w:val="22"/>
      <w:szCs w:val="22"/>
    </w:rPr>
  </w:style>
  <w:style w:type="paragraph" w:styleId="NormalWeb">
    <w:name w:val="Normal (Web)"/>
    <w:basedOn w:val="Normal"/>
    <w:uiPriority w:val="99"/>
    <w:unhideWhenUsed/>
    <w:rsid w:val="009E1EE7"/>
    <w:pPr>
      <w:spacing w:before="100" w:beforeAutospacing="1" w:after="100" w:afterAutospacing="1"/>
      <w:jc w:val="left"/>
    </w:pPr>
    <w:rPr>
      <w:sz w:val="24"/>
      <w:szCs w:val="24"/>
    </w:rPr>
  </w:style>
  <w:style w:type="character" w:customStyle="1" w:styleId="emphasistypesmallcaps">
    <w:name w:val="emphasistypesmallcaps"/>
    <w:basedOn w:val="DefaultParagraphFont"/>
    <w:rsid w:val="009E1EE7"/>
  </w:style>
  <w:style w:type="character" w:customStyle="1" w:styleId="smallcaps">
    <w:name w:val="smallcaps"/>
    <w:basedOn w:val="DefaultParagraphFont"/>
    <w:rsid w:val="009E1EE7"/>
  </w:style>
  <w:style w:type="table" w:customStyle="1" w:styleId="TableGrid1">
    <w:name w:val="Table Grid1"/>
    <w:basedOn w:val="TableNormal"/>
    <w:next w:val="TableGrid"/>
    <w:uiPriority w:val="59"/>
    <w:unhideWhenUsed/>
    <w:rsid w:val="009E1EE7"/>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unhideWhenUsed/>
    <w:rsid w:val="009E1EE7"/>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unhideWhenUsed/>
    <w:rsid w:val="009E1EE7"/>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image" Target="media/image2.tiff"/><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1.tif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3763</Words>
  <Characters>21455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Chemistry</cp:lastModifiedBy>
  <cp:revision>3</cp:revision>
  <cp:lastPrinted>2014-07-26T15:11:00Z</cp:lastPrinted>
  <dcterms:created xsi:type="dcterms:W3CDTF">2022-08-12T07:45:00Z</dcterms:created>
  <dcterms:modified xsi:type="dcterms:W3CDTF">2022-08-20T07:51:00Z</dcterms:modified>
</cp:coreProperties>
</file>