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4" w:rsidRDefault="003D4414" w:rsidP="003D441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7DD7">
        <w:rPr>
          <w:rFonts w:ascii="Times New Roman" w:hAnsi="Times New Roman" w:cs="Times New Roman"/>
          <w:b/>
          <w:bCs/>
          <w:sz w:val="48"/>
          <w:szCs w:val="48"/>
        </w:rPr>
        <w:t>Effect of Mulligan’s Mobilization over Routine Physiotherapy treatment in Patient Diagnosed as Frozen Shoulder</w:t>
      </w:r>
    </w:p>
    <w:p w:rsidR="00337DD7" w:rsidRPr="00337DD7" w:rsidRDefault="00337DD7" w:rsidP="003D4414">
      <w:pPr>
        <w:jc w:val="center"/>
        <w:rPr>
          <w:rFonts w:ascii="Times New Roman" w:hAnsi="Times New Roman" w:cs="Times New Roman"/>
        </w:rPr>
      </w:pPr>
    </w:p>
    <w:p w:rsidR="00865AC7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Author:- 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proofErr w:type="spellStart"/>
      <w:r>
        <w:rPr>
          <w:rFonts w:ascii="Times New Roman" w:hAnsi="Times New Roman" w:cs="Times New Roman"/>
          <w:sz w:val="20"/>
          <w:szCs w:val="20"/>
        </w:rPr>
        <w:t>Aditya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Ashok </w:t>
      </w:r>
      <w:proofErr w:type="spellStart"/>
      <w:r>
        <w:rPr>
          <w:rFonts w:ascii="Times New Roman" w:hAnsi="Times New Roman" w:cs="Times New Roman"/>
          <w:sz w:val="20"/>
          <w:szCs w:val="20"/>
        </w:rPr>
        <w:t>Dandekar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[PT]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Ravi Nair Physiotherapy College,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Sawangi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(M), </w:t>
      </w:r>
      <w:proofErr w:type="spellStart"/>
      <w:r>
        <w:rPr>
          <w:rFonts w:ascii="Times New Roman" w:hAnsi="Times New Roman" w:cs="Times New Roman"/>
          <w:sz w:val="20"/>
          <w:szCs w:val="20"/>
        </w:rPr>
        <w:t>Wardha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8E48F0" w:rsidRDefault="008E48F0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8F0" w:rsidRDefault="008E48F0" w:rsidP="008E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48F0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000000" w:rsidRDefault="00492FFF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Idiopathic Frozen shoulder which is also </w:t>
      </w:r>
      <w:r w:rsidRPr="008E48F0">
        <w:rPr>
          <w:rFonts w:ascii="Times New Roman" w:hAnsi="Times New Roman" w:cs="Times New Roman"/>
          <w:sz w:val="20"/>
          <w:szCs w:val="20"/>
        </w:rPr>
        <w:t xml:space="preserve">called as adhesive </w:t>
      </w:r>
      <w:proofErr w:type="spellStart"/>
      <w:r w:rsidRPr="008E48F0">
        <w:rPr>
          <w:rFonts w:ascii="Times New Roman" w:hAnsi="Times New Roman" w:cs="Times New Roman"/>
          <w:sz w:val="20"/>
          <w:szCs w:val="20"/>
        </w:rPr>
        <w:t>capsulitis</w:t>
      </w:r>
      <w:proofErr w:type="spellEnd"/>
      <w:r w:rsidRPr="008E48F0">
        <w:rPr>
          <w:rFonts w:ascii="Times New Roman" w:hAnsi="Times New Roman" w:cs="Times New Roman"/>
          <w:sz w:val="20"/>
          <w:szCs w:val="20"/>
        </w:rPr>
        <w:t xml:space="preserve"> or </w:t>
      </w:r>
      <w:proofErr w:type="spellStart"/>
      <w:r w:rsidRPr="008E48F0">
        <w:rPr>
          <w:rFonts w:ascii="Times New Roman" w:hAnsi="Times New Roman" w:cs="Times New Roman"/>
          <w:sz w:val="20"/>
          <w:szCs w:val="20"/>
        </w:rPr>
        <w:t>periarthritis</w:t>
      </w:r>
      <w:proofErr w:type="spellEnd"/>
      <w:r w:rsidRPr="008E48F0">
        <w:rPr>
          <w:rFonts w:ascii="Times New Roman" w:hAnsi="Times New Roman" w:cs="Times New Roman"/>
          <w:sz w:val="20"/>
          <w:szCs w:val="20"/>
        </w:rPr>
        <w:t xml:space="preserve"> is characterized by development dense adhesions and capsular restrictions especially in dependent fold of capsule rather than arthritic change in cartilage and bone.</w:t>
      </w:r>
      <w:r w:rsidRPr="008E48F0">
        <w:rPr>
          <w:rFonts w:ascii="Times New Roman" w:hAnsi="Times New Roman" w:cs="Times New Roman"/>
          <w:sz w:val="20"/>
          <w:szCs w:val="20"/>
        </w:rPr>
        <w:t xml:space="preserve"> In India since, the data is limited. </w:t>
      </w:r>
      <w:proofErr w:type="gramStart"/>
      <w:r w:rsidRPr="008E48F0">
        <w:rPr>
          <w:rFonts w:ascii="Times New Roman" w:hAnsi="Times New Roman" w:cs="Times New Roman"/>
          <w:sz w:val="20"/>
          <w:szCs w:val="20"/>
        </w:rPr>
        <w:t>As  previous</w:t>
      </w:r>
      <w:proofErr w:type="gramEnd"/>
      <w:r w:rsidRPr="008E48F0">
        <w:rPr>
          <w:rFonts w:ascii="Times New Roman" w:hAnsi="Times New Roman" w:cs="Times New Roman"/>
          <w:sz w:val="20"/>
          <w:szCs w:val="20"/>
        </w:rPr>
        <w:t xml:space="preserve"> study conducted the prevalence rate of frozen shoulder is 2-10</w:t>
      </w:r>
      <w:r w:rsidRPr="008E48F0">
        <w:rPr>
          <w:rFonts w:ascii="Times New Roman" w:hAnsi="Times New Roman" w:cs="Times New Roman"/>
          <w:sz w:val="20"/>
          <w:szCs w:val="20"/>
        </w:rPr>
        <w:t xml:space="preserve"> % among the general population.</w:t>
      </w:r>
      <w:r w:rsidRPr="008E48F0">
        <w:rPr>
          <w:rFonts w:ascii="Times New Roman" w:hAnsi="Times New Roman" w:cs="Times New Roman"/>
          <w:sz w:val="20"/>
          <w:szCs w:val="20"/>
        </w:rPr>
        <w:t xml:space="preserve"> The onset is usually insidious and usually occurs between the </w:t>
      </w:r>
      <w:proofErr w:type="gramStart"/>
      <w:r w:rsidRPr="008E48F0">
        <w:rPr>
          <w:rFonts w:ascii="Times New Roman" w:hAnsi="Times New Roman" w:cs="Times New Roman"/>
          <w:sz w:val="20"/>
          <w:szCs w:val="20"/>
        </w:rPr>
        <w:t>age</w:t>
      </w:r>
      <w:proofErr w:type="gramEnd"/>
      <w:r w:rsidRPr="008E48F0">
        <w:rPr>
          <w:rFonts w:ascii="Times New Roman" w:hAnsi="Times New Roman" w:cs="Times New Roman"/>
          <w:sz w:val="20"/>
          <w:szCs w:val="20"/>
        </w:rPr>
        <w:t xml:space="preserve"> of 30-70 years of age.</w:t>
      </w:r>
      <w:r w:rsidRPr="008E48F0">
        <w:rPr>
          <w:rFonts w:ascii="Times New Roman" w:hAnsi="Times New Roman" w:cs="Times New Roman"/>
          <w:sz w:val="20"/>
          <w:szCs w:val="20"/>
        </w:rPr>
        <w:t xml:space="preserve"> The cause for onset is not definite or no known cause in case of primary frozen shoulder.</w:t>
      </w:r>
      <w:r w:rsidRPr="008E48F0">
        <w:rPr>
          <w:rFonts w:ascii="Times New Roman" w:hAnsi="Times New Roman" w:cs="Times New Roman"/>
          <w:sz w:val="20"/>
          <w:szCs w:val="20"/>
        </w:rPr>
        <w:t xml:space="preserve"> </w:t>
      </w:r>
      <w:r w:rsidRPr="008E48F0">
        <w:rPr>
          <w:rFonts w:ascii="Times New Roman" w:hAnsi="Times New Roman" w:cs="Times New Roman"/>
          <w:sz w:val="20"/>
          <w:szCs w:val="20"/>
        </w:rPr>
        <w:t xml:space="preserve">In primary frozen shoulder the pathogenesis may be from a chronic inflammation in </w:t>
      </w:r>
      <w:proofErr w:type="spellStart"/>
      <w:r w:rsidRPr="008E48F0">
        <w:rPr>
          <w:rFonts w:ascii="Times New Roman" w:hAnsi="Times New Roman" w:cs="Times New Roman"/>
          <w:sz w:val="20"/>
          <w:szCs w:val="20"/>
        </w:rPr>
        <w:t>musculotendinious</w:t>
      </w:r>
      <w:proofErr w:type="spellEnd"/>
      <w:r w:rsidRPr="008E48F0">
        <w:rPr>
          <w:rFonts w:ascii="Times New Roman" w:hAnsi="Times New Roman" w:cs="Times New Roman"/>
          <w:sz w:val="20"/>
          <w:szCs w:val="20"/>
        </w:rPr>
        <w:t xml:space="preserve"> or synovial tissue such as rotator cuff biceps tendon, or joint capsule that results in formation of capsular thickening and adhesion in fold of inferior ca</w:t>
      </w:r>
      <w:r w:rsidRPr="008E48F0">
        <w:rPr>
          <w:rFonts w:ascii="Times New Roman" w:hAnsi="Times New Roman" w:cs="Times New Roman"/>
          <w:sz w:val="20"/>
          <w:szCs w:val="20"/>
        </w:rPr>
        <w:t>psule.</w:t>
      </w:r>
    </w:p>
    <w:p w:rsidR="00000000" w:rsidRPr="008E48F0" w:rsidRDefault="00492FFF" w:rsidP="008E4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 </w:t>
      </w:r>
      <w:r w:rsidR="008E48F0">
        <w:rPr>
          <w:rFonts w:ascii="Times New Roman" w:hAnsi="Times New Roman" w:cs="Times New Roman"/>
          <w:sz w:val="20"/>
          <w:szCs w:val="20"/>
        </w:rPr>
        <w:tab/>
      </w:r>
      <w:r w:rsidRPr="008E48F0">
        <w:rPr>
          <w:rFonts w:ascii="Times New Roman" w:hAnsi="Times New Roman" w:cs="Times New Roman"/>
          <w:sz w:val="20"/>
          <w:szCs w:val="20"/>
        </w:rPr>
        <w:t>Idiopathic frozen shoulder follows a common classical pattern:-</w:t>
      </w:r>
    </w:p>
    <w:p w:rsidR="00000000" w:rsidRPr="008E48F0" w:rsidRDefault="00492FFF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Freezing</w:t>
      </w:r>
    </w:p>
    <w:p w:rsidR="00000000" w:rsidRPr="008E48F0" w:rsidRDefault="00492FFF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Frozen</w:t>
      </w:r>
    </w:p>
    <w:p w:rsidR="00000000" w:rsidRPr="008E48F0" w:rsidRDefault="00492FFF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Thawing </w:t>
      </w:r>
    </w:p>
    <w:p w:rsidR="008E48F0" w:rsidRDefault="008E48F0" w:rsidP="008E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48F0">
        <w:rPr>
          <w:rFonts w:ascii="Times New Roman" w:hAnsi="Times New Roman" w:cs="Times New Roman"/>
          <w:b/>
          <w:bCs/>
          <w:sz w:val="20"/>
          <w:szCs w:val="20"/>
        </w:rPr>
        <w:t>Aim</w:t>
      </w:r>
    </w:p>
    <w:p w:rsidR="00000000" w:rsidRDefault="00492FFF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To study the effect of Mullig</w:t>
      </w:r>
      <w:r w:rsidRPr="008E48F0">
        <w:rPr>
          <w:rFonts w:ascii="Times New Roman" w:hAnsi="Times New Roman" w:cs="Times New Roman"/>
          <w:sz w:val="20"/>
          <w:szCs w:val="20"/>
        </w:rPr>
        <w:t>an</w:t>
      </w:r>
      <w:r w:rsidR="008E48F0">
        <w:rPr>
          <w:rFonts w:ascii="Times New Roman" w:hAnsi="Times New Roman" w:cs="Times New Roman"/>
          <w:sz w:val="20"/>
          <w:szCs w:val="20"/>
        </w:rPr>
        <w:t>’</w:t>
      </w:r>
      <w:r w:rsidRPr="008E48F0">
        <w:rPr>
          <w:rFonts w:ascii="Times New Roman" w:hAnsi="Times New Roman" w:cs="Times New Roman"/>
          <w:sz w:val="20"/>
          <w:szCs w:val="20"/>
        </w:rPr>
        <w:t>s mobilization over routine physiotherapy treatment in patients diagnosed as frozen shoulder.</w:t>
      </w:r>
    </w:p>
    <w:p w:rsidR="001F0991" w:rsidRPr="001F0991" w:rsidRDefault="001F0991" w:rsidP="001F0991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b/>
          <w:bCs/>
          <w:sz w:val="20"/>
          <w:szCs w:val="20"/>
        </w:rPr>
        <w:t>Objectives</w:t>
      </w:r>
    </w:p>
    <w:p w:rsidR="00000000" w:rsidRPr="001F0991" w:rsidRDefault="00492FFF" w:rsidP="001F09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>To create awareness about physiotherapy t</w:t>
      </w:r>
      <w:r w:rsidRPr="001F0991">
        <w:rPr>
          <w:rFonts w:ascii="Times New Roman" w:hAnsi="Times New Roman" w:cs="Times New Roman"/>
          <w:sz w:val="20"/>
          <w:szCs w:val="20"/>
        </w:rPr>
        <w:t>reatment for frozen shoulder.</w:t>
      </w:r>
    </w:p>
    <w:p w:rsidR="00000000" w:rsidRPr="001F0991" w:rsidRDefault="00492FFF" w:rsidP="001F09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>To teach self treatment mode for frozen shoulder.</w:t>
      </w:r>
    </w:p>
    <w:p w:rsidR="00000000" w:rsidRDefault="00492FFF" w:rsidP="001F09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 xml:space="preserve">To find out the effect of Mulligan’s mobilization in patients diagnosed as frozen shoulder. </w:t>
      </w:r>
    </w:p>
    <w:p w:rsidR="001F0991" w:rsidRDefault="001F0991" w:rsidP="001F0991">
      <w:pPr>
        <w:ind w:left="3240" w:firstLine="36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1F0991">
        <w:rPr>
          <w:rFonts w:ascii="Times New Roman" w:hAnsi="Times New Roman" w:cs="Times New Roman"/>
          <w:b/>
          <w:bCs/>
          <w:sz w:val="20"/>
          <w:szCs w:val="20"/>
          <w:lang w:bidi="hi-IN"/>
        </w:rPr>
        <w:t>Material &amp; Methodology</w:t>
      </w:r>
    </w:p>
    <w:p w:rsid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Materials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:-</w:t>
      </w:r>
      <w:proofErr w:type="gram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1. 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Numerical Pain rating Scale.</w:t>
      </w:r>
      <w:proofErr w:type="gramEnd"/>
    </w:p>
    <w:p w:rsidR="00DF4EFE" w:rsidRPr="00DF4EFE" w:rsidRDefault="00DF4EFE" w:rsidP="00DF4EF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            </w:t>
      </w:r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2. Oxford shoulder score.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3. </w:t>
      </w:r>
      <w:proofErr w:type="spell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Goniometer</w:t>
      </w:r>
      <w:proofErr w:type="spellEnd"/>
      <w:r w:rsidRPr="00DF4EFE">
        <w:rPr>
          <w:rFonts w:ascii="Times New Roman" w:hAnsi="Times New Roman" w:cs="Times New Roman"/>
          <w:sz w:val="20"/>
          <w:szCs w:val="20"/>
          <w:lang w:bidi="hi-IN"/>
        </w:rPr>
        <w:t>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Sampling technique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:-</w:t>
      </w:r>
      <w:proofErr w:type="gram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 Purposive sampling.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Study design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:-</w:t>
      </w:r>
      <w:proofErr w:type="gram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Comparative study.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Study setting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:-</w:t>
      </w:r>
      <w:proofErr w:type="gram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R.N.P.C </w:t>
      </w:r>
      <w:proofErr w:type="spell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Sawangi</w:t>
      </w:r>
      <w:proofErr w:type="spell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(M).</w:t>
      </w:r>
    </w:p>
    <w:p w:rsidR="00B009D2" w:rsidRDefault="00DF4EFE" w:rsidP="00B009D2">
      <w:pPr>
        <w:ind w:firstLine="720"/>
        <w:jc w:val="both"/>
        <w:rPr>
          <w:rFonts w:ascii="Franklin Gothic Book" w:eastAsia="+mn-ea" w:hAnsi="Franklin Gothic Book" w:cs="+mn-cs"/>
          <w:b/>
          <w:bCs/>
          <w:color w:val="F8F8F8"/>
          <w:kern w:val="24"/>
          <w:sz w:val="64"/>
          <w:szCs w:val="64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Sample size</w:t>
      </w:r>
      <w:proofErr w:type="gramStart"/>
      <w:r w:rsidRPr="00DF4EFE">
        <w:rPr>
          <w:rFonts w:ascii="Times New Roman" w:hAnsi="Times New Roman" w:cs="Times New Roman"/>
          <w:sz w:val="20"/>
          <w:szCs w:val="20"/>
          <w:lang w:bidi="hi-IN"/>
        </w:rPr>
        <w:t>:-</w:t>
      </w:r>
      <w:proofErr w:type="gramEnd"/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Minimum 20 Subjects.</w:t>
      </w:r>
      <w:r w:rsidR="00B009D2" w:rsidRPr="00B009D2">
        <w:rPr>
          <w:rFonts w:ascii="Franklin Gothic Book" w:eastAsia="+mn-ea" w:hAnsi="Franklin Gothic Book" w:cs="+mn-cs"/>
          <w:b/>
          <w:bCs/>
          <w:color w:val="F8F8F8"/>
          <w:kern w:val="24"/>
          <w:sz w:val="64"/>
          <w:szCs w:val="64"/>
          <w:lang w:bidi="hi-IN"/>
        </w:rPr>
        <w:t xml:space="preserve"> </w:t>
      </w:r>
    </w:p>
    <w:p w:rsid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009D2" w:rsidRP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b/>
          <w:bCs/>
          <w:sz w:val="20"/>
          <w:szCs w:val="20"/>
          <w:lang w:bidi="hi-IN"/>
        </w:rPr>
        <w:lastRenderedPageBreak/>
        <w:t>Inclusion Criteria</w:t>
      </w:r>
    </w:p>
    <w:p w:rsidR="00000000" w:rsidRPr="00B009D2" w:rsidRDefault="00492FFF" w:rsidP="00B009D2">
      <w:pPr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>Both Genders.</w:t>
      </w:r>
    </w:p>
    <w:p w:rsidR="00000000" w:rsidRDefault="00492FFF" w:rsidP="00B009D2">
      <w:pPr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 xml:space="preserve"> Age group (30-70 yrs.).</w:t>
      </w:r>
    </w:p>
    <w:p w:rsidR="00B009D2" w:rsidRDefault="00B009D2" w:rsidP="00B009D2">
      <w:pPr>
        <w:pStyle w:val="ListParagraph"/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 xml:space="preserve">Patients diagnosed as </w:t>
      </w:r>
      <w:proofErr w:type="gramStart"/>
      <w:r w:rsidRPr="00B009D2">
        <w:rPr>
          <w:sz w:val="20"/>
          <w:szCs w:val="20"/>
          <w:lang w:bidi="hi-IN"/>
        </w:rPr>
        <w:t>Frozen</w:t>
      </w:r>
      <w:proofErr w:type="gramEnd"/>
      <w:r w:rsidRPr="00B009D2">
        <w:rPr>
          <w:sz w:val="20"/>
          <w:szCs w:val="20"/>
          <w:lang w:bidi="hi-IN"/>
        </w:rPr>
        <w:t xml:space="preserve"> shoulder.</w:t>
      </w:r>
    </w:p>
    <w:p w:rsidR="00DF4EFE" w:rsidRPr="00DF4EFE" w:rsidRDefault="00B009D2" w:rsidP="00B009D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b/>
          <w:bCs/>
          <w:sz w:val="20"/>
          <w:szCs w:val="20"/>
          <w:lang w:bidi="hi-IN"/>
        </w:rPr>
        <w:t>Exclusion Criteria</w:t>
      </w:r>
    </w:p>
    <w:p w:rsidR="00000000" w:rsidRPr="00B009D2" w:rsidRDefault="00492FFF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>Post traumatic shoulder joint condition &amp; Pathologies.</w:t>
      </w:r>
    </w:p>
    <w:p w:rsidR="00000000" w:rsidRPr="00B009D2" w:rsidRDefault="00492FFF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Shoulder Joint Rheumatoid arthritis.</w:t>
      </w:r>
    </w:p>
    <w:p w:rsidR="00000000" w:rsidRPr="00B009D2" w:rsidRDefault="00492FFF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Patient unde</w:t>
      </w:r>
      <w:r w:rsidRPr="00B009D2">
        <w:rPr>
          <w:rFonts w:ascii="Times New Roman" w:hAnsi="Times New Roman" w:cs="Times New Roman"/>
          <w:sz w:val="20"/>
          <w:szCs w:val="20"/>
          <w:lang w:bidi="hi-IN"/>
        </w:rPr>
        <w:t>r gone corticosteroid injection therapy.</w:t>
      </w:r>
    </w:p>
    <w:p w:rsidR="00000000" w:rsidRPr="00B009D2" w:rsidRDefault="00492FFF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Malignant shoulder joint conditions.</w:t>
      </w:r>
    </w:p>
    <w:p w:rsidR="00000000" w:rsidRDefault="00492FFF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Neurological conditions.</w:t>
      </w:r>
    </w:p>
    <w:p w:rsidR="009D40AE" w:rsidRDefault="009D40AE" w:rsidP="009D40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b/>
          <w:bCs/>
          <w:sz w:val="20"/>
          <w:szCs w:val="20"/>
          <w:lang w:bidi="hi-IN"/>
        </w:rPr>
        <w:t>Procedure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The procedure was explained to the patient and informed consent were obtained from them and were assessed according </w:t>
      </w:r>
      <w:proofErr w:type="gram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to  assessment</w:t>
      </w:r>
      <w:proofErr w:type="gramEnd"/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proofErr w:type="spell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proforma</w:t>
      </w:r>
      <w:proofErr w:type="spellEnd"/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and will be divided into two groups:-</w:t>
      </w:r>
    </w:p>
    <w:p w:rsidR="00000000" w:rsidRPr="009D40AE" w:rsidRDefault="00492FFF" w:rsidP="009D40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Group A:- 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  These were given Mulligan’s </w:t>
      </w:r>
      <w:proofErr w:type="spell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mobilisation</w:t>
      </w:r>
      <w:proofErr w:type="spellEnd"/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along with Mulligan’s self exercise’s in same position that of mobilization and also Ultrasound treatment (Duration -7 min. intensity -0.8 W/</w:t>
      </w:r>
      <w:proofErr w:type="gram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cm</w:t>
      </w:r>
      <w:r w:rsidRPr="009D40AE">
        <w:rPr>
          <w:rFonts w:ascii="Times New Roman" w:hAnsi="Times New Roman" w:cs="Times New Roman"/>
          <w:sz w:val="20"/>
          <w:szCs w:val="20"/>
          <w:vertAlign w:val="superscript"/>
          <w:lang w:bidi="hi-IN"/>
        </w:rPr>
        <w:t>2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,</w:t>
      </w:r>
      <w:proofErr w:type="gramEnd"/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Intermittent mode).</w:t>
      </w:r>
    </w:p>
    <w:p w:rsidR="00000000" w:rsidRPr="009D40AE" w:rsidRDefault="00492FFF" w:rsidP="009D40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>Group B:-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  These were given Ultrasound treatment (Duration -7 min. intensity -0.8 W/</w:t>
      </w:r>
      <w:proofErr w:type="gram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cm</w:t>
      </w:r>
      <w:r w:rsidRPr="009D40AE">
        <w:rPr>
          <w:rFonts w:ascii="Times New Roman" w:hAnsi="Times New Roman" w:cs="Times New Roman"/>
          <w:sz w:val="20"/>
          <w:szCs w:val="20"/>
          <w:vertAlign w:val="superscript"/>
          <w:lang w:bidi="hi-IN"/>
        </w:rPr>
        <w:t>2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,</w:t>
      </w:r>
      <w:proofErr w:type="gramEnd"/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Intermittent mode) and routine physiotherapy treatment as –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</w:t>
      </w:r>
      <w:proofErr w:type="gramStart"/>
      <w:r w:rsidRPr="009D40AE">
        <w:rPr>
          <w:rFonts w:ascii="Times New Roman" w:hAnsi="Times New Roman" w:cs="Times New Roman"/>
          <w:sz w:val="20"/>
          <w:szCs w:val="20"/>
          <w:lang w:bidi="hi-IN"/>
        </w:rPr>
        <w:t>Resting in sling, ice application locally, and exercise.</w:t>
      </w:r>
      <w:proofErr w:type="gramEnd"/>
    </w:p>
    <w:p w:rsidR="002F5B54" w:rsidRDefault="002F5B54" w:rsidP="00B2728E">
      <w:pPr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2F5B54">
        <w:rPr>
          <w:rFonts w:ascii="Times New Roman" w:hAnsi="Times New Roman" w:cs="Times New Roman"/>
          <w:b/>
          <w:bCs/>
          <w:sz w:val="20"/>
          <w:szCs w:val="20"/>
          <w:lang w:bidi="hi-IN"/>
        </w:rPr>
        <w:t>Data Analysis</w:t>
      </w:r>
    </w:p>
    <w:p w:rsidR="00B2728E" w:rsidRDefault="00B2728E" w:rsidP="00B27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  <w:r w:rsidRPr="00B2728E">
        <w:rPr>
          <w:rFonts w:ascii="Times New Roman" w:hAnsi="Times New Roman" w:cs="Times New Roman"/>
          <w:sz w:val="20"/>
          <w:szCs w:val="20"/>
          <w:lang w:bidi="hi-IN"/>
        </w:rPr>
        <w:t>Data was analyzed as follows</w:t>
      </w:r>
      <w:r w:rsidRPr="00B2728E">
        <w:rPr>
          <w:rFonts w:ascii="Times New Roman" w:hAnsi="Times New Roman" w:cs="Times New Roman"/>
          <w:sz w:val="20"/>
          <w:szCs w:val="20"/>
          <w:lang w:val="en-IN" w:bidi="hi-IN"/>
        </w:rPr>
        <w:t xml:space="preserve"> </w:t>
      </w:r>
    </w:p>
    <w:p w:rsidR="00B2728E" w:rsidRPr="00B2728E" w:rsidRDefault="00B2728E" w:rsidP="00B2728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en-IN" w:bidi="hi-IN"/>
        </w:rPr>
      </w:pPr>
      <w:r w:rsidRPr="00B2728E">
        <w:rPr>
          <w:rFonts w:ascii="Times New Roman" w:hAnsi="Times New Roman" w:cs="Times New Roman"/>
          <w:b/>
          <w:bCs/>
          <w:sz w:val="20"/>
          <w:szCs w:val="20"/>
          <w:lang w:bidi="hi-IN"/>
        </w:rPr>
        <w:t>Numerical Pain rating Scale graph</w:t>
      </w:r>
      <w:r w:rsidRPr="00B2728E">
        <w:rPr>
          <w:rFonts w:ascii="Times New Roman" w:hAnsi="Times New Roman" w:cs="Times New Roman"/>
          <w:b/>
          <w:bCs/>
          <w:sz w:val="20"/>
          <w:szCs w:val="20"/>
          <w:lang w:val="en-IN" w:bidi="hi-IN"/>
        </w:rPr>
        <w:t xml:space="preserve"> </w:t>
      </w: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  <w:r>
        <w:rPr>
          <w:rFonts w:ascii="Times New Roman" w:hAnsi="Times New Roman" w:cs="Times New Roman"/>
          <w:sz w:val="20"/>
          <w:szCs w:val="20"/>
          <w:lang w:val="en-IN" w:bidi="hi-IN"/>
        </w:rPr>
        <w:tab/>
      </w:r>
      <w:r w:rsidRPr="00B2728E">
        <w:rPr>
          <w:rFonts w:ascii="Times New Roman" w:hAnsi="Times New Roman" w:cs="Times New Roman"/>
          <w:sz w:val="20"/>
          <w:szCs w:val="20"/>
          <w:lang w:val="en-IN" w:bidi="hi-IN"/>
        </w:rPr>
        <w:drawing>
          <wp:inline distT="0" distB="0" distL="0" distR="0">
            <wp:extent cx="6174716" cy="2363638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10BA9">
        <w:rPr>
          <w:rFonts w:ascii="Times New Roman" w:hAnsi="Times New Roman" w:cs="Times New Roman"/>
          <w:b/>
          <w:bCs/>
          <w:sz w:val="20"/>
          <w:szCs w:val="20"/>
          <w:lang w:bidi="hi-IN"/>
        </w:rPr>
        <w:lastRenderedPageBreak/>
        <w:t>Male &amp; Female distribution ratio</w:t>
      </w:r>
    </w:p>
    <w:p w:rsidR="00710BA9" w:rsidRP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2728E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10BA9">
        <w:rPr>
          <w:rFonts w:ascii="Times New Roman" w:hAnsi="Times New Roman" w:cs="Times New Roman"/>
          <w:b/>
          <w:bCs/>
          <w:sz w:val="20"/>
          <w:szCs w:val="20"/>
          <w:lang w:bidi="hi-IN"/>
        </w:rPr>
        <w:drawing>
          <wp:inline distT="0" distB="0" distL="0" distR="0">
            <wp:extent cx="6131584" cy="2449902"/>
            <wp:effectExtent l="19050" t="0" r="2516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7C40" w:rsidRPr="007D7C40" w:rsidRDefault="007D7C40" w:rsidP="007D7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b/>
          <w:bCs/>
          <w:sz w:val="20"/>
          <w:szCs w:val="20"/>
          <w:lang w:bidi="hi-IN"/>
        </w:rPr>
        <w:t>Result</w:t>
      </w:r>
    </w:p>
    <w:p w:rsidR="00000000" w:rsidRPr="007D7C40" w:rsidRDefault="00492FFF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Mulligan’s Mobilization + Mulligan’s self exercise technique along with ultrasound </w:t>
      </w:r>
      <w:proofErr w:type="spellStart"/>
      <w:r w:rsidRPr="007D7C40">
        <w:rPr>
          <w:rFonts w:ascii="Times New Roman" w:hAnsi="Times New Roman" w:cs="Times New Roman"/>
          <w:sz w:val="20"/>
          <w:szCs w:val="20"/>
          <w:lang w:bidi="hi-IN"/>
        </w:rPr>
        <w:t>tre</w:t>
      </w:r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>atment</w:t>
      </w:r>
      <w:proofErr w:type="spellEnd"/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 xml:space="preserve"> was equally effective as routine physiotherapy in the treatment </w:t>
      </w:r>
      <w:proofErr w:type="gramStart"/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>of  patients</w:t>
      </w:r>
      <w:proofErr w:type="gramEnd"/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 xml:space="preserve"> </w:t>
      </w:r>
      <w:r w:rsidRPr="007D7C40">
        <w:rPr>
          <w:rFonts w:ascii="Times New Roman" w:hAnsi="Times New Roman" w:cs="Times New Roman"/>
          <w:sz w:val="20"/>
          <w:szCs w:val="20"/>
          <w:lang w:bidi="hi-IN"/>
        </w:rPr>
        <w:t>diagnosed as frozen shoulder.</w:t>
      </w:r>
    </w:p>
    <w:p w:rsidR="00000000" w:rsidRPr="007D7C40" w:rsidRDefault="00492FFF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But the pain status in case of Group A is less as compared to Group B  </w:t>
      </w:r>
    </w:p>
    <w:p w:rsidR="00000000" w:rsidRPr="007D7C40" w:rsidRDefault="00492FFF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The percentage of male taking treatment in Group A is more than Gr</w:t>
      </w:r>
      <w:r w:rsidRPr="007D7C40">
        <w:rPr>
          <w:rFonts w:ascii="Times New Roman" w:hAnsi="Times New Roman" w:cs="Times New Roman"/>
          <w:sz w:val="20"/>
          <w:szCs w:val="20"/>
          <w:lang w:bidi="hi-IN"/>
        </w:rPr>
        <w:t>oup B &amp; Vice versa in case of female</w:t>
      </w:r>
    </w:p>
    <w:p w:rsidR="00000000" w:rsidRPr="007D7C40" w:rsidRDefault="00492FFF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Also the result of Oxford shoulder score showed a significant improvement in ADLs.</w:t>
      </w:r>
    </w:p>
    <w:p w:rsidR="00000000" w:rsidRPr="007D7C40" w:rsidRDefault="00492FFF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Also according to goniometric results the range of motion of shoulder Flexion, Abduction &amp; rotation has been improved significantly.</w:t>
      </w:r>
    </w:p>
    <w:p w:rsidR="007D7C40" w:rsidRDefault="007D7C40" w:rsidP="007D7C40">
      <w:pPr>
        <w:ind w:left="360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i-IN"/>
        </w:rPr>
        <w:t xml:space="preserve">            </w:t>
      </w:r>
      <w:r w:rsidRPr="007D7C40">
        <w:rPr>
          <w:rFonts w:ascii="Times New Roman" w:hAnsi="Times New Roman" w:cs="Times New Roman"/>
          <w:b/>
          <w:bCs/>
          <w:sz w:val="20"/>
          <w:szCs w:val="20"/>
          <w:lang w:bidi="hi-IN"/>
        </w:rPr>
        <w:t>Conclusion</w:t>
      </w:r>
    </w:p>
    <w:p w:rsidR="007D7C40" w:rsidRPr="007D7C40" w:rsidRDefault="007D7C40" w:rsidP="007D7C40">
      <w:pPr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Study was concluded as Mulligan </w:t>
      </w:r>
      <w:proofErr w:type="spellStart"/>
      <w:r w:rsidRPr="007D7C40">
        <w:rPr>
          <w:rFonts w:ascii="Times New Roman" w:hAnsi="Times New Roman" w:cs="Times New Roman"/>
          <w:sz w:val="20"/>
          <w:szCs w:val="20"/>
          <w:lang w:bidi="hi-IN"/>
        </w:rPr>
        <w:t>mobilisation</w:t>
      </w:r>
      <w:proofErr w:type="spellEnd"/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+ Mulligan’s self exercise program in same position that of mobilization is an effective measure in treatment of Frozen shoulder and can be practice in daily routine physiotherapy treatment</w:t>
      </w:r>
    </w:p>
    <w:p w:rsidR="007D7C40" w:rsidRPr="007D7C40" w:rsidRDefault="007D7C40" w:rsidP="007D7C40">
      <w:pPr>
        <w:ind w:left="360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710BA9" w:rsidRPr="007D7C40" w:rsidRDefault="00710BA9" w:rsidP="007D7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i-IN"/>
        </w:rPr>
      </w:pPr>
    </w:p>
    <w:p w:rsidR="00710BA9" w:rsidRP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2728E" w:rsidRPr="00B2728E" w:rsidRDefault="00B2728E" w:rsidP="00B27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2F5B54" w:rsidRPr="002F5B54" w:rsidRDefault="002F5B54" w:rsidP="00B2728E">
      <w:pPr>
        <w:spacing w:after="0"/>
        <w:ind w:left="3960" w:firstLine="36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1F0991" w:rsidRPr="001F0991" w:rsidRDefault="001F0991" w:rsidP="001F0991">
      <w:pPr>
        <w:ind w:left="3240" w:firstLine="36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1F0991" w:rsidRPr="001F0991" w:rsidRDefault="001F0991" w:rsidP="001F0991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F0991" w:rsidRPr="001F0991" w:rsidRDefault="001F0991" w:rsidP="001F099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E48F0" w:rsidRPr="008E48F0" w:rsidRDefault="008E48F0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E48F0" w:rsidRPr="008E48F0" w:rsidRDefault="008E48F0" w:rsidP="008E4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E48F0" w:rsidRPr="008E48F0" w:rsidSect="00B0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1.55pt" o:bullet="t">
        <v:imagedata r:id="rId1" o:title="art73C3"/>
      </v:shape>
    </w:pict>
  </w:numPicBullet>
  <w:abstractNum w:abstractNumId="0">
    <w:nsid w:val="01D14AE3"/>
    <w:multiLevelType w:val="hybridMultilevel"/>
    <w:tmpl w:val="5FF82592"/>
    <w:lvl w:ilvl="0" w:tplc="CCBE0F4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0ECAF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9028F2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10E1E2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B819B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616553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A864DA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CA114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CCCCC4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>
    <w:nsid w:val="0A2971B1"/>
    <w:multiLevelType w:val="hybridMultilevel"/>
    <w:tmpl w:val="B0ECE248"/>
    <w:lvl w:ilvl="0" w:tplc="5E184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CF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47D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C11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7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A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E08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824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845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E5F8D"/>
    <w:multiLevelType w:val="hybridMultilevel"/>
    <w:tmpl w:val="C128AF7A"/>
    <w:lvl w:ilvl="0" w:tplc="4E14C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A4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6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AD5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4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8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E6D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EA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60F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734491"/>
    <w:multiLevelType w:val="hybridMultilevel"/>
    <w:tmpl w:val="60700666"/>
    <w:lvl w:ilvl="0" w:tplc="B7D02F4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3CEE5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0E6742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96C6D2B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DEFD2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F5A308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D40CFC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AC56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C7A9FE0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>
    <w:nsid w:val="22554AC2"/>
    <w:multiLevelType w:val="hybridMultilevel"/>
    <w:tmpl w:val="83D4F56E"/>
    <w:lvl w:ilvl="0" w:tplc="141E2ED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2F467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76A14E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B3A87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340762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2966A5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012EE1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33650B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992C64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247C6991"/>
    <w:multiLevelType w:val="hybridMultilevel"/>
    <w:tmpl w:val="37D66380"/>
    <w:lvl w:ilvl="0" w:tplc="A6163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28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1C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E2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0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CE5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C0A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064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642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41FAF"/>
    <w:multiLevelType w:val="hybridMultilevel"/>
    <w:tmpl w:val="7A686552"/>
    <w:lvl w:ilvl="0" w:tplc="651E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62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A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84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63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ED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B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2F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C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C0BB8"/>
    <w:multiLevelType w:val="hybridMultilevel"/>
    <w:tmpl w:val="7630A39C"/>
    <w:lvl w:ilvl="0" w:tplc="378A0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0E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0E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4AB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2A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C66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39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CF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EF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872EA"/>
    <w:multiLevelType w:val="hybridMultilevel"/>
    <w:tmpl w:val="8C4CB03E"/>
    <w:lvl w:ilvl="0" w:tplc="CC2C2ED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F06419C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BB4671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A72407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64B42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1F0EB4E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FEE2DB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32FCC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C448880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9">
    <w:nsid w:val="5CEC06D0"/>
    <w:multiLevelType w:val="hybridMultilevel"/>
    <w:tmpl w:val="EE909E34"/>
    <w:lvl w:ilvl="0" w:tplc="98B62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86F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A28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42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E2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A8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4F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4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C1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576A6F"/>
    <w:multiLevelType w:val="hybridMultilevel"/>
    <w:tmpl w:val="E95AAC62"/>
    <w:lvl w:ilvl="0" w:tplc="AEB6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40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AA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612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45B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8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29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33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9F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BE7C87"/>
    <w:multiLevelType w:val="hybridMultilevel"/>
    <w:tmpl w:val="275A1294"/>
    <w:lvl w:ilvl="0" w:tplc="0A0A89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BC8439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6E6C0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E4BA4DC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BA92EE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71E1DA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FE0E6C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B5048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F344FF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6FC4772F"/>
    <w:multiLevelType w:val="hybridMultilevel"/>
    <w:tmpl w:val="1062FA78"/>
    <w:lvl w:ilvl="0" w:tplc="6E1A3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46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22A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0E6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8E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0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80E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A0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C4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0AA6749"/>
    <w:multiLevelType w:val="hybridMultilevel"/>
    <w:tmpl w:val="5414EC36"/>
    <w:lvl w:ilvl="0" w:tplc="69FA0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81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1A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68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EB4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4B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5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20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29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C1D5D"/>
    <w:multiLevelType w:val="hybridMultilevel"/>
    <w:tmpl w:val="4A840C2E"/>
    <w:lvl w:ilvl="0" w:tplc="AB0EEC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F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8B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45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0F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27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40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8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EA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B3514"/>
    <w:multiLevelType w:val="hybridMultilevel"/>
    <w:tmpl w:val="EA0A0B24"/>
    <w:lvl w:ilvl="0" w:tplc="E216F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A4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472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C8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247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80E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6C6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C1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414"/>
    <w:rsid w:val="00001022"/>
    <w:rsid w:val="00105199"/>
    <w:rsid w:val="001F0991"/>
    <w:rsid w:val="002F5B54"/>
    <w:rsid w:val="00337DD7"/>
    <w:rsid w:val="003D4414"/>
    <w:rsid w:val="004A0FD3"/>
    <w:rsid w:val="006745F8"/>
    <w:rsid w:val="00710BA9"/>
    <w:rsid w:val="007D7C40"/>
    <w:rsid w:val="00865AC7"/>
    <w:rsid w:val="008E48F0"/>
    <w:rsid w:val="009D40AE"/>
    <w:rsid w:val="00AB6F76"/>
    <w:rsid w:val="00B009D2"/>
    <w:rsid w:val="00B2728E"/>
    <w:rsid w:val="00DF4EFE"/>
    <w:rsid w:val="00E82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1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itya\Documents\aditya%20presentations\small%20thesis\small%20thesis%20graph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itya\Documents\aditya%20presentations\small%20thesis\small%20thesis%20graph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Sheet1!$A$5:$A$6</c:f>
              <c:strCache>
                <c:ptCount val="1"/>
                <c:pt idx="0">
                  <c:v>Group A Experimental 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Sheet1!$A$7:$A$16</c:f>
              <c:numCache>
                <c:formatCode>General</c:formatCode>
                <c:ptCount val="10"/>
                <c:pt idx="0">
                  <c:v>3.8</c:v>
                </c:pt>
                <c:pt idx="1">
                  <c:v>2</c:v>
                </c:pt>
                <c:pt idx="2">
                  <c:v>3.8</c:v>
                </c:pt>
                <c:pt idx="3">
                  <c:v>2.8</c:v>
                </c:pt>
                <c:pt idx="4">
                  <c:v>2.2000000000000002</c:v>
                </c:pt>
                <c:pt idx="5">
                  <c:v>4.5999999999999996</c:v>
                </c:pt>
                <c:pt idx="6">
                  <c:v>5</c:v>
                </c:pt>
                <c:pt idx="7">
                  <c:v>3.8</c:v>
                </c:pt>
                <c:pt idx="8">
                  <c:v>4.2</c:v>
                </c:pt>
                <c:pt idx="9">
                  <c:v>3.4</c:v>
                </c:pt>
              </c:numCache>
            </c:numRef>
          </c:val>
        </c:ser>
        <c:ser>
          <c:idx val="1"/>
          <c:order val="1"/>
          <c:tx>
            <c:strRef>
              <c:f>Sheet1!$B$5:$B$6</c:f>
              <c:strCache>
                <c:ptCount val="1"/>
                <c:pt idx="0">
                  <c:v>Group A Experimental 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Sheet1!$B$7:$B$16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Sheet1!$C$5:$C$6</c:f>
              <c:strCache>
                <c:ptCount val="1"/>
                <c:pt idx="0">
                  <c:v>Group B control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Sheet1!$C$7:$C$16</c:f>
              <c:numCache>
                <c:formatCode>General</c:formatCode>
                <c:ptCount val="10"/>
                <c:pt idx="0">
                  <c:v>4.8</c:v>
                </c:pt>
                <c:pt idx="1">
                  <c:v>4</c:v>
                </c:pt>
                <c:pt idx="2">
                  <c:v>5</c:v>
                </c:pt>
                <c:pt idx="3">
                  <c:v>5.2</c:v>
                </c:pt>
                <c:pt idx="4">
                  <c:v>5.2</c:v>
                </c:pt>
                <c:pt idx="5">
                  <c:v>4.8</c:v>
                </c:pt>
                <c:pt idx="6">
                  <c:v>4</c:v>
                </c:pt>
                <c:pt idx="7">
                  <c:v>5</c:v>
                </c:pt>
                <c:pt idx="8">
                  <c:v>4.8</c:v>
                </c:pt>
                <c:pt idx="9">
                  <c:v>5.2</c:v>
                </c:pt>
              </c:numCache>
            </c:numRef>
          </c:val>
        </c:ser>
        <c:dLbls>
          <c:showVal val="1"/>
        </c:dLbls>
        <c:gapWidth val="75"/>
        <c:shape val="cylinder"/>
        <c:axId val="80492032"/>
        <c:axId val="80507264"/>
        <c:axId val="0"/>
      </c:bar3DChart>
      <c:catAx>
        <c:axId val="8049203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0507264"/>
        <c:crosses val="autoZero"/>
        <c:auto val="1"/>
        <c:lblAlgn val="ctr"/>
        <c:lblOffset val="100"/>
      </c:catAx>
      <c:valAx>
        <c:axId val="805072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80492032"/>
        <c:crosses val="autoZero"/>
        <c:crossBetween val="between"/>
      </c:valAx>
    </c:plotArea>
    <c:legend>
      <c:legendPos val="b"/>
      <c:legendEntry>
        <c:idx val="1"/>
        <c:delete val="1"/>
      </c:legendEntry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txPr>
    <a:bodyPr/>
    <a:lstStyle/>
    <a:p>
      <a:pPr>
        <a:defRPr sz="1800"/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Sheet1!$B$25</c:f>
              <c:strCache>
                <c:ptCount val="1"/>
                <c:pt idx="0">
                  <c:v>Male</c:v>
                </c:pt>
              </c:strCache>
            </c:strRef>
          </c:tx>
          <c:cat>
            <c:strRef>
              <c:f>Sheet1!$C$24:$D$24</c:f>
              <c:strCache>
                <c:ptCount val="2"/>
                <c:pt idx="0">
                  <c:v>Group A</c:v>
                </c:pt>
                <c:pt idx="1">
                  <c:v>Group B</c:v>
                </c:pt>
              </c:strCache>
            </c:strRef>
          </c:cat>
          <c:val>
            <c:numRef>
              <c:f>Sheet1!$C$25:$D$25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Sheet1!$B$26</c:f>
              <c:strCache>
                <c:ptCount val="1"/>
                <c:pt idx="0">
                  <c:v>Female</c:v>
                </c:pt>
              </c:strCache>
            </c:strRef>
          </c:tx>
          <c:cat>
            <c:strRef>
              <c:f>Sheet1!$C$24:$D$24</c:f>
              <c:strCache>
                <c:ptCount val="2"/>
                <c:pt idx="0">
                  <c:v>Group A</c:v>
                </c:pt>
                <c:pt idx="1">
                  <c:v>Group B</c:v>
                </c:pt>
              </c:strCache>
            </c:strRef>
          </c:cat>
          <c:val>
            <c:numRef>
              <c:f>Sheet1!$C$26:$D$26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hape val="cylinder"/>
        <c:axId val="56358784"/>
        <c:axId val="56360320"/>
        <c:axId val="80932864"/>
      </c:bar3DChart>
      <c:catAx>
        <c:axId val="5635878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6360320"/>
        <c:crosses val="autoZero"/>
        <c:auto val="1"/>
        <c:lblAlgn val="ctr"/>
        <c:lblOffset val="100"/>
      </c:catAx>
      <c:valAx>
        <c:axId val="5636032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6358784"/>
        <c:crosses val="autoZero"/>
        <c:crossBetween val="between"/>
      </c:valAx>
      <c:serAx>
        <c:axId val="8093286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6360320"/>
        <c:crosses val="autoZero"/>
      </c:serAx>
    </c:plotArea>
    <c:legend>
      <c:legendPos val="r"/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txPr>
    <a:bodyPr/>
    <a:lstStyle/>
    <a:p>
      <a:pPr>
        <a:defRPr sz="1800"/>
      </a:pPr>
      <a:endParaRPr lang="en-US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tro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Trek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Trek">
    <a:fillStyleLst>
      <a:solidFill>
        <a:schemeClr val="phClr"/>
      </a:solidFill>
      <a:gradFill rotWithShape="1">
        <a:gsLst>
          <a:gs pos="0">
            <a:schemeClr val="phClr">
              <a:tint val="30000"/>
              <a:satMod val="250000"/>
            </a:schemeClr>
          </a:gs>
          <a:gs pos="72000">
            <a:schemeClr val="phClr">
              <a:tint val="75000"/>
              <a:satMod val="210000"/>
            </a:schemeClr>
          </a:gs>
          <a:gs pos="100000">
            <a:schemeClr val="phClr">
              <a:tint val="85000"/>
              <a:satMod val="210000"/>
            </a:schemeClr>
          </a:gs>
        </a:gsLst>
        <a:lin ang="5400000" scaled="1"/>
      </a:gradFill>
      <a:gradFill rotWithShape="1">
        <a:gsLst>
          <a:gs pos="0">
            <a:schemeClr val="phClr">
              <a:tint val="75000"/>
              <a:shade val="85000"/>
              <a:satMod val="230000"/>
            </a:schemeClr>
          </a:gs>
          <a:gs pos="25000">
            <a:schemeClr val="phClr">
              <a:tint val="90000"/>
              <a:shade val="70000"/>
              <a:satMod val="220000"/>
            </a:schemeClr>
          </a:gs>
          <a:gs pos="50000">
            <a:schemeClr val="phClr">
              <a:tint val="90000"/>
              <a:shade val="58000"/>
              <a:satMod val="225000"/>
            </a:schemeClr>
          </a:gs>
          <a:gs pos="65000">
            <a:schemeClr val="phClr">
              <a:tint val="90000"/>
              <a:shade val="58000"/>
              <a:satMod val="225000"/>
            </a:schemeClr>
          </a:gs>
          <a:gs pos="80000">
            <a:schemeClr val="phClr">
              <a:tint val="90000"/>
              <a:shade val="69000"/>
              <a:satMod val="220000"/>
            </a:schemeClr>
          </a:gs>
          <a:gs pos="100000">
            <a:schemeClr val="phClr">
              <a:tint val="77000"/>
              <a:shade val="80000"/>
              <a:satMod val="230000"/>
            </a:schemeClr>
          </a:gs>
        </a:gsLst>
        <a:lin ang="5400000" scaled="1"/>
      </a:gradFill>
    </a:fillStyleLst>
    <a:lnStyleLst>
      <a:ln w="100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0"/>
          </a:lightRig>
        </a:scene3d>
        <a:sp3d prstMaterial="metal">
          <a:bevelT w="10000" h="10000"/>
        </a:sp3d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bliqueTopLeft" fov="600000">
            <a:rot lat="0" lon="0" rev="0"/>
          </a:camera>
          <a:lightRig rig="balanced" dir="t">
            <a:rot lat="0" lon="0" rev="19200000"/>
          </a:lightRig>
        </a:scene3d>
        <a:sp3d contourW="12700" prstMaterial="matte">
          <a:bevelT w="60000" h="50800"/>
          <a:contourClr>
            <a:schemeClr val="phClr">
              <a:shade val="60000"/>
              <a:satMod val="110000"/>
            </a:schemeClr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word/theme/themeOverride2.xml><?xml version="1.0" encoding="utf-8"?>
<a:themeOverride xmlns:a="http://schemas.openxmlformats.org/drawingml/2006/main">
  <a:clrScheme name="Metro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Trek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Trek">
    <a:fillStyleLst>
      <a:solidFill>
        <a:schemeClr val="phClr"/>
      </a:solidFill>
      <a:gradFill rotWithShape="1">
        <a:gsLst>
          <a:gs pos="0">
            <a:schemeClr val="phClr">
              <a:tint val="30000"/>
              <a:satMod val="250000"/>
            </a:schemeClr>
          </a:gs>
          <a:gs pos="72000">
            <a:schemeClr val="phClr">
              <a:tint val="75000"/>
              <a:satMod val="210000"/>
            </a:schemeClr>
          </a:gs>
          <a:gs pos="100000">
            <a:schemeClr val="phClr">
              <a:tint val="85000"/>
              <a:satMod val="210000"/>
            </a:schemeClr>
          </a:gs>
        </a:gsLst>
        <a:lin ang="5400000" scaled="1"/>
      </a:gradFill>
      <a:gradFill rotWithShape="1">
        <a:gsLst>
          <a:gs pos="0">
            <a:schemeClr val="phClr">
              <a:tint val="75000"/>
              <a:shade val="85000"/>
              <a:satMod val="230000"/>
            </a:schemeClr>
          </a:gs>
          <a:gs pos="25000">
            <a:schemeClr val="phClr">
              <a:tint val="90000"/>
              <a:shade val="70000"/>
              <a:satMod val="220000"/>
            </a:schemeClr>
          </a:gs>
          <a:gs pos="50000">
            <a:schemeClr val="phClr">
              <a:tint val="90000"/>
              <a:shade val="58000"/>
              <a:satMod val="225000"/>
            </a:schemeClr>
          </a:gs>
          <a:gs pos="65000">
            <a:schemeClr val="phClr">
              <a:tint val="90000"/>
              <a:shade val="58000"/>
              <a:satMod val="225000"/>
            </a:schemeClr>
          </a:gs>
          <a:gs pos="80000">
            <a:schemeClr val="phClr">
              <a:tint val="90000"/>
              <a:shade val="69000"/>
              <a:satMod val="220000"/>
            </a:schemeClr>
          </a:gs>
          <a:gs pos="100000">
            <a:schemeClr val="phClr">
              <a:tint val="77000"/>
              <a:shade val="80000"/>
              <a:satMod val="230000"/>
            </a:schemeClr>
          </a:gs>
        </a:gsLst>
        <a:lin ang="5400000" scaled="1"/>
      </a:gradFill>
    </a:fillStyleLst>
    <a:lnStyleLst>
      <a:ln w="100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0"/>
          </a:lightRig>
        </a:scene3d>
        <a:sp3d prstMaterial="metal">
          <a:bevelT w="10000" h="10000"/>
        </a:sp3d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bliqueTopLeft" fov="600000">
            <a:rot lat="0" lon="0" rev="0"/>
          </a:camera>
          <a:lightRig rig="balanced" dir="t">
            <a:rot lat="0" lon="0" rev="19200000"/>
          </a:lightRig>
        </a:scene3d>
        <a:sp3d contourW="12700" prstMaterial="matte">
          <a:bevelT w="60000" h="50800"/>
          <a:contourClr>
            <a:schemeClr val="phClr">
              <a:shade val="60000"/>
              <a:satMod val="110000"/>
            </a:schemeClr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Thinkcentre</cp:lastModifiedBy>
  <cp:revision>17</cp:revision>
  <dcterms:created xsi:type="dcterms:W3CDTF">2022-07-30T04:21:00Z</dcterms:created>
  <dcterms:modified xsi:type="dcterms:W3CDTF">2022-07-30T05:00:00Z</dcterms:modified>
</cp:coreProperties>
</file>