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731" w:rsidRPr="00624731" w:rsidRDefault="00624731" w:rsidP="00624731">
      <w:pPr>
        <w:spacing w:before="86"/>
        <w:rPr>
          <w:rFonts w:eastAsia="MS Mincho"/>
          <w:bCs/>
          <w:noProof/>
          <w:sz w:val="48"/>
          <w:szCs w:val="48"/>
        </w:rPr>
      </w:pPr>
      <w:r w:rsidRPr="00624731">
        <w:rPr>
          <w:rFonts w:eastAsia="MS Mincho"/>
          <w:bCs/>
          <w:noProof/>
          <w:sz w:val="48"/>
          <w:szCs w:val="48"/>
        </w:rPr>
        <w:t>INFLUENCE OF OPTIMIZED SUPER PLASTICIZER EFFECT ON HIGH STRENGTH CONCRETE</w:t>
      </w:r>
    </w:p>
    <w:p w:rsidR="00466548" w:rsidRPr="00466548" w:rsidRDefault="00466548" w:rsidP="00466548">
      <w:pPr>
        <w:pStyle w:val="papertitle"/>
        <w:spacing w:after="0"/>
        <w:rPr>
          <w:rFonts w:eastAsia="MS Mincho"/>
        </w:rPr>
      </w:pP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8A55B5" w:rsidRPr="00466548" w:rsidRDefault="001B4611" w:rsidP="00466548">
      <w:pPr>
        <w:pStyle w:val="Author"/>
        <w:spacing w:before="0" w:after="0"/>
        <w:rPr>
          <w:rFonts w:eastAsia="MS Mincho"/>
          <w:sz w:val="20"/>
          <w:szCs w:val="20"/>
        </w:rPr>
      </w:pPr>
      <w:r>
        <w:rPr>
          <w:rFonts w:eastAsia="MS Mincho"/>
          <w:sz w:val="20"/>
          <w:szCs w:val="20"/>
        </w:rPr>
        <w:lastRenderedPageBreak/>
        <w:t>Dr.V</w:t>
      </w:r>
      <w:r w:rsidR="0083682E">
        <w:rPr>
          <w:rFonts w:eastAsia="MS Mincho"/>
          <w:sz w:val="20"/>
          <w:szCs w:val="20"/>
        </w:rPr>
        <w:t xml:space="preserve">alikala </w:t>
      </w:r>
      <w:r>
        <w:rPr>
          <w:rFonts w:eastAsia="MS Mincho"/>
          <w:sz w:val="20"/>
          <w:szCs w:val="20"/>
        </w:rPr>
        <w:t>Giridhar</w:t>
      </w:r>
    </w:p>
    <w:p w:rsidR="008A55B5" w:rsidRPr="00466548" w:rsidRDefault="001B4611" w:rsidP="00466548">
      <w:pPr>
        <w:pStyle w:val="Affiliation"/>
        <w:rPr>
          <w:rFonts w:eastAsia="MS Mincho"/>
        </w:rPr>
      </w:pPr>
      <w:r>
        <w:rPr>
          <w:rFonts w:eastAsia="MS Mincho"/>
        </w:rPr>
        <w:t>Professor, Dept. of Civil Engineering</w:t>
      </w:r>
    </w:p>
    <w:p w:rsidR="008A55B5" w:rsidRPr="00466548" w:rsidRDefault="001B4611" w:rsidP="00466548">
      <w:pPr>
        <w:pStyle w:val="Affiliation"/>
        <w:rPr>
          <w:rFonts w:eastAsia="MS Mincho"/>
        </w:rPr>
      </w:pPr>
      <w:r>
        <w:rPr>
          <w:rFonts w:eastAsia="MS Mincho"/>
        </w:rPr>
        <w:t>KSRM College of Engineering,</w:t>
      </w:r>
    </w:p>
    <w:p w:rsidR="008A55B5" w:rsidRPr="00466548" w:rsidRDefault="001B4611" w:rsidP="00466548">
      <w:pPr>
        <w:pStyle w:val="Affiliation"/>
        <w:rPr>
          <w:rFonts w:eastAsia="MS Mincho"/>
        </w:rPr>
      </w:pPr>
      <w:r>
        <w:rPr>
          <w:rFonts w:eastAsia="MS Mincho"/>
        </w:rPr>
        <w:t>Kadapa</w:t>
      </w:r>
      <w:r w:rsidRPr="00466548">
        <w:rPr>
          <w:rFonts w:eastAsia="MS Mincho"/>
        </w:rPr>
        <w:t xml:space="preserve">, </w:t>
      </w:r>
      <w:r>
        <w:rPr>
          <w:rFonts w:eastAsia="MS Mincho"/>
        </w:rPr>
        <w:t>Andhra Pradesh, India</w:t>
      </w:r>
    </w:p>
    <w:p w:rsidR="008A55B5" w:rsidRDefault="001B4611" w:rsidP="00466548">
      <w:pPr>
        <w:pStyle w:val="Affiliation"/>
        <w:rPr>
          <w:rFonts w:eastAsia="MS Mincho"/>
        </w:rPr>
      </w:pPr>
      <w:r>
        <w:rPr>
          <w:rFonts w:eastAsia="MS Mincho"/>
        </w:rPr>
        <w:t>Email: drgiridhar@ksrmce.ac.in</w:t>
      </w:r>
    </w:p>
    <w:p w:rsidR="00466548" w:rsidRPr="00466548" w:rsidRDefault="00466548" w:rsidP="00466548">
      <w:pPr>
        <w:pStyle w:val="Affiliation"/>
        <w:rPr>
          <w:rFonts w:eastAsia="MS Mincho"/>
        </w:rPr>
      </w:pPr>
    </w:p>
    <w:p w:rsidR="008A55B5" w:rsidRPr="00466548" w:rsidRDefault="0083682E" w:rsidP="00466548">
      <w:pPr>
        <w:pStyle w:val="Author"/>
        <w:spacing w:before="0" w:after="0"/>
        <w:rPr>
          <w:rFonts w:eastAsia="MS Mincho"/>
          <w:sz w:val="20"/>
          <w:szCs w:val="20"/>
        </w:rPr>
      </w:pPr>
      <w:r>
        <w:rPr>
          <w:rFonts w:eastAsia="MS Mincho"/>
          <w:sz w:val="20"/>
          <w:szCs w:val="20"/>
        </w:rPr>
        <w:lastRenderedPageBreak/>
        <w:t>Mr. Mahankali Sreenath</w:t>
      </w:r>
    </w:p>
    <w:p w:rsidR="008A55B5" w:rsidRPr="00466548" w:rsidRDefault="0083682E" w:rsidP="00466548">
      <w:pPr>
        <w:pStyle w:val="Affiliation"/>
        <w:rPr>
          <w:rFonts w:eastAsia="MS Mincho"/>
        </w:rPr>
      </w:pPr>
      <w:r>
        <w:rPr>
          <w:rFonts w:eastAsia="MS Mincho"/>
        </w:rPr>
        <w:t>PhD Research Scholar,</w:t>
      </w:r>
      <w:r w:rsidR="008A55B5" w:rsidRPr="00466548">
        <w:rPr>
          <w:rFonts w:eastAsia="MS Mincho"/>
        </w:rPr>
        <w:t xml:space="preserve"> </w:t>
      </w:r>
      <w:r>
        <w:rPr>
          <w:rFonts w:eastAsia="MS Mincho"/>
        </w:rPr>
        <w:t>D</w:t>
      </w:r>
      <w:r w:rsidR="008A55B5" w:rsidRPr="00466548">
        <w:rPr>
          <w:rFonts w:eastAsia="MS Mincho"/>
        </w:rPr>
        <w:t xml:space="preserve">ept. </w:t>
      </w:r>
      <w:r>
        <w:rPr>
          <w:rFonts w:eastAsia="MS Mincho"/>
        </w:rPr>
        <w:t>of Civil Engineering</w:t>
      </w:r>
    </w:p>
    <w:p w:rsidR="008A55B5" w:rsidRPr="00466548" w:rsidRDefault="0083682E" w:rsidP="00466548">
      <w:pPr>
        <w:pStyle w:val="Affiliation"/>
        <w:rPr>
          <w:rFonts w:eastAsia="MS Mincho"/>
        </w:rPr>
      </w:pPr>
      <w:r>
        <w:rPr>
          <w:rFonts w:eastAsia="MS Mincho"/>
        </w:rPr>
        <w:t>Jawaharlal Nehru Technological University,</w:t>
      </w:r>
    </w:p>
    <w:p w:rsidR="008A55B5" w:rsidRPr="00466548" w:rsidRDefault="0083682E" w:rsidP="00466548">
      <w:pPr>
        <w:pStyle w:val="Affiliation"/>
        <w:rPr>
          <w:rFonts w:eastAsia="MS Mincho"/>
        </w:rPr>
      </w:pPr>
      <w:r>
        <w:rPr>
          <w:rFonts w:eastAsia="MS Mincho"/>
        </w:rPr>
        <w:t>Anathapuramu</w:t>
      </w:r>
      <w:r w:rsidR="008A55B5" w:rsidRPr="00466548">
        <w:rPr>
          <w:rFonts w:eastAsia="MS Mincho"/>
        </w:rPr>
        <w:t xml:space="preserve">, </w:t>
      </w:r>
      <w:r>
        <w:rPr>
          <w:rFonts w:eastAsia="MS Mincho"/>
        </w:rPr>
        <w:t>Andhra Pradesh, India</w:t>
      </w:r>
    </w:p>
    <w:p w:rsidR="008A55B5" w:rsidRDefault="0083682E" w:rsidP="00466548">
      <w:pPr>
        <w:pStyle w:val="Affiliation"/>
        <w:rPr>
          <w:rFonts w:eastAsia="MS Mincho"/>
        </w:rPr>
      </w:pPr>
      <w:r>
        <w:rPr>
          <w:rFonts w:eastAsia="MS Mincho"/>
        </w:rPr>
        <w:t>Email: mahankalisreenath.m@gmail.com</w:t>
      </w:r>
    </w:p>
    <w:p w:rsidR="00466548" w:rsidRDefault="00466548" w:rsidP="00466548">
      <w:pPr>
        <w:pStyle w:val="Affiliation"/>
        <w:rPr>
          <w:rFonts w:eastAsia="MS Mincho"/>
        </w:rPr>
      </w:pP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466548">
      <w:pPr>
        <w:pStyle w:val="Affiliation"/>
        <w:rPr>
          <w:rFonts w:eastAsia="MS Mincho"/>
          <w:sz w:val="48"/>
          <w:szCs w:val="48"/>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2110F8" w:rsidRPr="00C331CF" w:rsidRDefault="002110F8" w:rsidP="002110F8">
      <w:pPr>
        <w:pStyle w:val="BodyText"/>
        <w:spacing w:line="240" w:lineRule="auto"/>
      </w:pPr>
      <w:r w:rsidRPr="00C331CF">
        <w:t xml:space="preserve">Chemical admixtures are a valuable choice in concrete production for achieving better performance and desired properties. Super plasticizers are commonly known as excessive Range Water Reducers because it permits low water cement ratio and it influencing the fresh concrete behavior. To determine the optimum dosage of admixture, an experimental investigation was performed and also the effect of higher dosage into the experimentation together studied. The present paper emphasizes on determining optimum Super plasticizer dosage </w:t>
      </w:r>
      <w:r w:rsidR="00D71345">
        <w:t>o</w:t>
      </w:r>
      <w:r w:rsidRPr="00C331CF">
        <w:t>f</w:t>
      </w:r>
      <w:r w:rsidR="00D71345">
        <w:t xml:space="preserve"> </w:t>
      </w:r>
      <w:r w:rsidRPr="00C331CF">
        <w:t>desired workability using Marsh Cone Test at pre-determined water cement ratio of 0.35 for M40 grade concrete. This was studied with the two different types of Super plasticizers of Poly</w:t>
      </w:r>
      <w:r w:rsidR="00405872">
        <w:t>c</w:t>
      </w:r>
      <w:r w:rsidRPr="00C331CF">
        <w:t>arboxyl</w:t>
      </w:r>
      <w:r w:rsidR="00405872">
        <w:t>ate Ether (PCE) and Sulph</w:t>
      </w:r>
      <w:r w:rsidRPr="00C331CF">
        <w:t>onated melamine formaldehyde (SMF) with dosage of 0 to 2 % with the interval of 0.25% on fresh and h</w:t>
      </w:r>
      <w:r w:rsidR="00405872">
        <w:t xml:space="preserve">ardened concrete properties. Experimentation was conducted and conclusions were drawn. A comparative study has been done in this chapter between both the Super Plasticizers. </w:t>
      </w: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2110F8" w:rsidRPr="002110F8">
        <w:rPr>
          <w:rFonts w:eastAsia="MS Mincho"/>
          <w:b w:val="0"/>
          <w:i w:val="0"/>
          <w:sz w:val="20"/>
          <w:szCs w:val="20"/>
        </w:rPr>
        <w:t>Super Plasticizer, Dosage, Marsh Cone Test,Cement,Concrete Strength, RMC</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466548" w:rsidRDefault="006B577B" w:rsidP="00466548">
      <w:pPr>
        <w:pStyle w:val="BodyText"/>
        <w:spacing w:after="0" w:line="240" w:lineRule="auto"/>
        <w:ind w:firstLine="0"/>
      </w:pPr>
      <w:r>
        <w:tab/>
      </w:r>
      <w:r>
        <w:tab/>
      </w:r>
      <w:r w:rsidR="0006556E" w:rsidRPr="00C331CF">
        <w:t>In the current civil construction industry admixtures of chemicals and miners are playing a major role for strengthe</w:t>
      </w:r>
      <w:r w:rsidR="005F1153">
        <w:t xml:space="preserve">n and enhancement of concrete. </w:t>
      </w:r>
      <w:r w:rsidR="005F1153" w:rsidRPr="005F1153">
        <w:t>Chemical admixtures have the capability to significantly improve the workability of concrete and also impart a significant improvement in concrete strength.</w:t>
      </w:r>
      <w:r w:rsidR="003E4218" w:rsidRPr="00C331CF">
        <w:fldChar w:fldCharType="begin" w:fldLock="1"/>
      </w:r>
      <w:r w:rsidR="0006556E" w:rsidRPr="00C331CF">
        <w:instrText>ADDIN CSL_CITATION {"citationItems":[{"id":"ITEM-1","itemData":{"author":[{"dropping-particle":"","family":"H","given":"Abdul Razak B","non-dropping-particle":"","parse-names":false,"suffix":""},{"dropping-particle":"","family":"L","given":"Venkatesh Babu D","non-dropping-particle":"","parse-names":false,"suffix":""},{"dropping-particle":"","family":"Shashikumara","given":"S R","non-dropping-particle":"","parse-names":false,"suffix":""}],"id":"ITEM-1","issued":{"date-parts":[["2016"]]},"page":"801-805","title":"Compatibility study of slag cement with PCE based admixtures","type":"article-journal"},"uris":["http://www.mendeley.com/documents/?uuid=13f98d65-f8fc-47b7-a892-696f85efe446"]}],"mendeley":{"formattedCitation":"[1]","plainTextFormattedCitation":"[1]","previouslyFormattedCitation":"[1]"},"properties":{"noteIndex":0},"schema":"https://github.com/citation-style-language/schema/raw/master/csl-citation.json"}</w:instrText>
      </w:r>
      <w:r w:rsidR="003E4218" w:rsidRPr="00C331CF">
        <w:fldChar w:fldCharType="separate"/>
      </w:r>
      <w:r w:rsidR="0006556E" w:rsidRPr="00C331CF">
        <w:t>[1</w:t>
      </w:r>
      <w:r w:rsidR="004054C0">
        <w:t>,2</w:t>
      </w:r>
      <w:r w:rsidR="0006556E" w:rsidRPr="00C331CF">
        <w:t>]</w:t>
      </w:r>
      <w:r w:rsidR="003E4218" w:rsidRPr="00C331CF">
        <w:fldChar w:fldCharType="end"/>
      </w:r>
      <w:r w:rsidR="004054C0">
        <w:t>.</w:t>
      </w:r>
      <w:r w:rsidR="0006556E" w:rsidRPr="00C331CF">
        <w:t xml:space="preserve"> The advantages will be found when chemical admixtures produce high workable concretes objectives are kept with a primary objective for imparting the strength.  In our admixture less cement content and low water requirement are used for new chemical admixture in providing fresh and hardened stages of concrete.  In chemical admixture we have various uses and ha</w:t>
      </w:r>
      <w:r w:rsidR="004054C0">
        <w:t>ve</w:t>
      </w:r>
      <w:r w:rsidR="0006556E" w:rsidRPr="00C331CF">
        <w:t xml:space="preserve"> positive effects on the fresh and hardened properties of the concrete. In the fresh stage, use of chemical admixture will generally reduce the bleeding effects due to the decrease in water content </w:t>
      </w:r>
      <w:r w:rsidR="003E4218" w:rsidRPr="00C331CF">
        <w:fldChar w:fldCharType="begin" w:fldLock="1"/>
      </w:r>
      <w:r w:rsidR="0006556E" w:rsidRPr="00C331CF">
        <w:instrText>ADDIN CSL_CITATION {"citationItems":[{"id":"ITEM-1","itemData":{"DOI":"10.1088/1757-899X/310/1/012036","ISSN":"1757899X","abstract":"Chemical Admixtures are added to concrete at the time of mixing of its constituents to impart workability. The requirement of right workability is the essence of good concrete. It has been found that the use of optimum use of admixtures is very important since low dosage may result in loss of fluidity and over dosage could lead to segregation, bleeding, excessive air entrainment etc in concrete. Hence it is essential to find optimum dosage of superplasticizer for getting good strength and workability. But large number of trial tests are required in the field to find the saturation dosage of superplasticizer in concrete which requires more materials and consume more time. The paper deals with developing a co-relation between the quantity requirements of superplasticiser in mortar to that of cement concrete to get good workability. In this work for preparing mortar and concrete 4 brands of locally available Portland pozzolana cement (PPC) and superplasticizer (SP) belonging to 4 different families namely Polycarboxylate Ether (PCE), Lignosulphate (LS), Sulfonated Naphthalene Formaldehyde (SNF) and Sulfonated Melamine Formaldehyde (SMF) are used. Two different brands of SP's are taken from each family. Workability study on the superplasticized mortar with cement to sand ratio 1:1.5 and water cement ratio of 0.4 was performed using marsh cone and flow table test and workability study on the concrete with same cement/sand ratio and water cement ratio was done using slump cone and flow table test. Saturation dosage of superplasticizer in mortar and concrete determined experimentally was compared to study the correlation between two. Compressive strength study on concrete cubes were done on concrete mixes with a superplasticizer dosage corresponding to the saturation dosage and a comparative study were done to analyse the improvement in the compressive strength with addition of superplasticizer from different family.","author":[{"dropping-particle":"","family":"Sathyan","given":"Dhanya","non-dropping-particle":"","parse-names":false,"suffix":""},{"dropping-particle":"","family":"Anand","given":"K. B.","non-dropping-particle":"","parse-names":false,"suffix":""},{"dropping-particle":"","family":"Mini","given":"K. M.","non-dropping-particle":"","parse-names":false,"suffix":""},{"dropping-particle":"","family":"Aparna","given":"S.","non-dropping-particle":"","parse-names":false,"suffix":""}],"container-title":"IOP Conference Series: Materials Science and Engineering","id":"ITEM-1","issue":"1","issued":{"date-parts":[["2018"]]},"note":"1. W/C , While SP used = 0.4 \n2. Slump and flow table test","title":"Optimization of superplasticizer in portland pozzolana cement mortar and concrete","type":"article-journal","volume":"310"},"uris":["http://www.mendeley.com/documents/?uuid=6e349a9d-54fc-487c-95ee-ad1fe42b5a6b"]}],"mendeley":{"formattedCitation":"[3]","plainTextFormattedCitation":"[3]","previouslyFormattedCitation":"[3]"},"properties":{"noteIndex":0},"schema":"https://github.com/citation-style-language/schema/raw/master/csl-citation.json"}</w:instrText>
      </w:r>
      <w:r w:rsidR="003E4218" w:rsidRPr="00C331CF">
        <w:fldChar w:fldCharType="separate"/>
      </w:r>
      <w:r w:rsidR="0006556E" w:rsidRPr="00C331CF">
        <w:t>[3]</w:t>
      </w:r>
      <w:r w:rsidR="003E4218" w:rsidRPr="00C331CF">
        <w:fldChar w:fldCharType="end"/>
      </w:r>
      <w:r w:rsidR="0006556E" w:rsidRPr="00C331CF">
        <w:t>. High compressive strength could only be achieved when low water to cement ratio (w/c) is ensured in the mix design , while maintaining adequate workability of the fresh mixture</w:t>
      </w:r>
      <w:r w:rsidR="003E4218" w:rsidRPr="00C331CF">
        <w:fldChar w:fldCharType="begin" w:fldLock="1"/>
      </w:r>
      <w:r w:rsidR="0006556E" w:rsidRPr="00C331CF">
        <w:instrText>ADDIN CSL_CITATION {"citationItems":[{"id":"ITEM-1","itemData":{"DOI":"10.1016/j.proeng.2017.01.442","ISSN":"18777058","abstract":"The use of polycarboxylate ether (PCE) as superplasticizer (SP) in the manufacture of high strength concrete is increasingly common. Each brand of SP available on the market has different compositions, causing differences in dosage requirement and the resulting characteristics. Beside SP type, cement type and composition also affect the fresh and hardened concrete properties. In this study, the optimum dosages of several brands of PCE superplasticizer in making mortar were investigated. Two different cement types were used. The effect of SP on flowability, setting time, and resulting compressive strength were evaluated. The results show that with the increase of SP dosage in mortar mixture, the flowability increased. However, there is an optimum value for each brand and for each water cement ratio. The increase of flowability is accompanied by an increase in compressive strength until it reaches the optimum level. Nevertheless, excessive use of SP could lead to bleeding and segregation, and reduce the compressive strength. It was found that ordinary Portland cement (OPC) requires higher SP dosage than Portland Pozzolan cement (PPC) for the same flowability. Longer setting time was observed for all mixtures employing SP, at different degrees of extension. It correlates with the slump retention time. Simple method to determine the optimum dosage is suggested in this paper.","author":[{"dropping-particle":"","family":"Antoni","given":"","non-dropping-particle":"","parse-names":false,"suffix":""},{"dropping-particle":"","family":"Halim","given":"James Gabriel","non-dropping-particle":"","parse-names":false,"suffix":""},{"dropping-particle":"","family":"Kusuma","given":"Owen Chandra","non-dropping-particle":"","parse-names":false,"suffix":""},{"dropping-particle":"","family":"Hardjito","given":"Djwantoro","non-dropping-particle":"","parse-names":false,"suffix":""}],"container-title":"Procedia Engineering","id":"ITEM-1","issued":{"date-parts":[["2017"]]},"page":"752-759","title":"Optimizing Polycarboxylate Based Superplasticizer Dosage with Different Cement Type","type":"article-journal","volume":"171"},"uris":["http://www.mendeley.com/documents/?uuid=8775062a-962a-4db1-b9fe-8a4604db472c"]}],"mendeley":{"formattedCitation":"[4]","plainTextFormattedCitation":"[4]","previouslyFormattedCitation":"[4]"},"properties":{"noteIndex":0},"schema":"https://github.com/citation-style-language/schema/raw/master/csl-citation.json"}</w:instrText>
      </w:r>
      <w:r w:rsidR="003E4218" w:rsidRPr="00C331CF">
        <w:fldChar w:fldCharType="separate"/>
      </w:r>
      <w:r w:rsidR="0006556E" w:rsidRPr="00C331CF">
        <w:t>[4]</w:t>
      </w:r>
      <w:r w:rsidR="003E4218" w:rsidRPr="00C331CF">
        <w:fldChar w:fldCharType="end"/>
      </w:r>
      <w:r w:rsidR="0006556E" w:rsidRPr="00C331CF">
        <w:t>.  In the current market so many types of branded brands of chemical admixtures are various types and brands available with various properties. Hence the behavior with particular admixtures which uses certain materials wil</w:t>
      </w:r>
      <w:r w:rsidR="00D71345">
        <w:t xml:space="preserve">l be also having some changes. </w:t>
      </w:r>
      <w:r w:rsidR="0006556E" w:rsidRPr="00C331CF">
        <w:t>Our experimental study providing compatibility between cement and admixture is necessary before its application in field</w:t>
      </w:r>
      <w:r w:rsidR="003E4218" w:rsidRPr="00C331CF">
        <w:fldChar w:fldCharType="begin" w:fldLock="1"/>
      </w:r>
      <w:r w:rsidR="0006556E" w:rsidRPr="00C331CF">
        <w:instrText>ADDIN CSL_CITATION {"citationItems":[{"id":"ITEM-1","itemData":{"DOI":"10.17577/ijertv5is090279","author":[{"dropping-particle":"","family":"Tiji K James","given":"","non-dropping-particle":"","parse-names":false,"suffix":""},{"dropping-particle":"","family":"Liji Anna Mathew","given":"","non-dropping-particle":"","parse-names":false,"suffix":""}],"container-title":"International Journal of Engineering Research and","id":"ITEM-1","issue":"09","issued":{"date-parts":[["2016"]]},"page":"503-506","title":"Compatibility Study of an Admixture with Different Cement Brands of Varying Chemical Composition for SCC","type":"article-journal","volume":"V5"},"uris":["http://www.mendeley.com/documents/?uuid=78b782c4-da5a-466e-becb-c23ce7097c6a"]}],"mendeley":{"formattedCitation":"[5]","plainTextFormattedCitation":"[5]","previouslyFormattedCitation":"[5]"},"properties":{"noteIndex":0},"schema":"https://github.com/citation-style-language/schema/raw/master/csl-citation.json"}</w:instrText>
      </w:r>
      <w:r w:rsidR="003E4218" w:rsidRPr="00C331CF">
        <w:fldChar w:fldCharType="separate"/>
      </w:r>
      <w:r w:rsidR="0006556E" w:rsidRPr="00C331CF">
        <w:t>[5]</w:t>
      </w:r>
      <w:r w:rsidR="003E4218" w:rsidRPr="00C331CF">
        <w:fldChar w:fldCharType="end"/>
      </w:r>
      <w:r w:rsidR="0006556E" w:rsidRPr="00C331CF">
        <w:t>. Therefore, our primary concern of application is to provide a better selection of cement and admixture.</w:t>
      </w:r>
    </w:p>
    <w:p w:rsidR="002749A6" w:rsidRDefault="002749A6" w:rsidP="00466548">
      <w:pPr>
        <w:pStyle w:val="BodyText"/>
        <w:spacing w:after="0" w:line="240" w:lineRule="auto"/>
        <w:ind w:firstLine="0"/>
      </w:pPr>
    </w:p>
    <w:p w:rsidR="002749A6" w:rsidRDefault="002749A6" w:rsidP="002749A6">
      <w:pPr>
        <w:pStyle w:val="Heading2"/>
        <w:spacing w:before="0" w:after="0"/>
        <w:ind w:left="0" w:firstLine="0"/>
        <w:rPr>
          <w:b/>
          <w:i w:val="0"/>
        </w:rPr>
      </w:pPr>
      <w:r w:rsidRPr="00C331CF">
        <w:rPr>
          <w:b/>
          <w:i w:val="0"/>
        </w:rPr>
        <w:t>Compatibility of Admixtures and Cementitious Materials</w:t>
      </w:r>
    </w:p>
    <w:p w:rsidR="002749A6" w:rsidRDefault="002749A6" w:rsidP="002749A6">
      <w:pPr>
        <w:pStyle w:val="BodyText"/>
      </w:pPr>
      <w:r>
        <w:tab/>
      </w:r>
      <w:r w:rsidRPr="00C331CF">
        <w:t>Concrete faces compatibility problems like cement- admixture incompatibility and incompatibility between adm</w:t>
      </w:r>
      <w:r w:rsidR="00D71345">
        <w:t xml:space="preserve">ixtures when they are added. </w:t>
      </w:r>
      <w:r w:rsidRPr="00C331CF">
        <w:t xml:space="preserve">The admixture materials used may show a incompatibility for various cementing materials and mixtures without any supplementary methods.  </w:t>
      </w:r>
      <w:r w:rsidR="005F1153">
        <w:t>The following are the incompatibility problems</w:t>
      </w:r>
      <w:r w:rsidRPr="00C331CF">
        <w:t>:</w:t>
      </w:r>
    </w:p>
    <w:p w:rsidR="002749A6" w:rsidRPr="00ED26BF" w:rsidRDefault="00A40D82" w:rsidP="002749A6">
      <w:pPr>
        <w:pStyle w:val="bulletlist"/>
        <w:tabs>
          <w:tab w:val="clear" w:pos="648"/>
        </w:tabs>
        <w:spacing w:after="0" w:line="240" w:lineRule="auto"/>
        <w:ind w:left="0" w:firstLine="0"/>
      </w:pPr>
      <w:r>
        <w:t>L</w:t>
      </w:r>
      <w:r w:rsidR="00BD15BB">
        <w:t>oss</w:t>
      </w:r>
      <w:r>
        <w:t xml:space="preserve"> of Slump</w:t>
      </w:r>
    </w:p>
    <w:p w:rsidR="002749A6" w:rsidRPr="00ED26BF" w:rsidRDefault="002749A6" w:rsidP="002749A6">
      <w:pPr>
        <w:pStyle w:val="bulletlist"/>
        <w:tabs>
          <w:tab w:val="clear" w:pos="648"/>
        </w:tabs>
        <w:spacing w:after="0" w:line="240" w:lineRule="auto"/>
        <w:ind w:left="0" w:firstLine="0"/>
      </w:pPr>
      <w:r w:rsidRPr="00ED26BF">
        <w:t xml:space="preserve">Low strength gain rate </w:t>
      </w:r>
    </w:p>
    <w:p w:rsidR="002749A6" w:rsidRPr="00ED26BF" w:rsidRDefault="00A40D82" w:rsidP="002749A6">
      <w:pPr>
        <w:pStyle w:val="bulletlist"/>
        <w:tabs>
          <w:tab w:val="clear" w:pos="648"/>
        </w:tabs>
        <w:spacing w:after="0" w:line="240" w:lineRule="auto"/>
        <w:ind w:left="0" w:firstLine="0"/>
      </w:pPr>
      <w:r>
        <w:t>S</w:t>
      </w:r>
      <w:r w:rsidR="002749A6" w:rsidRPr="00ED26BF">
        <w:t>tiffening of concrete</w:t>
      </w:r>
      <w:r>
        <w:t xml:space="preserve"> in the early age</w:t>
      </w:r>
    </w:p>
    <w:p w:rsidR="002749A6" w:rsidRDefault="002749A6" w:rsidP="002749A6">
      <w:pPr>
        <w:pStyle w:val="bulletlist"/>
        <w:tabs>
          <w:tab w:val="clear" w:pos="648"/>
        </w:tabs>
        <w:spacing w:after="0" w:line="240" w:lineRule="auto"/>
        <w:ind w:left="0" w:firstLine="0"/>
      </w:pPr>
      <w:r w:rsidRPr="00ED26BF">
        <w:t>Segregation of concrete</w:t>
      </w:r>
    </w:p>
    <w:p w:rsidR="002749A6" w:rsidRDefault="002749A6" w:rsidP="002749A6">
      <w:pPr>
        <w:pStyle w:val="bulletlist"/>
        <w:tabs>
          <w:tab w:val="clear" w:pos="648"/>
        </w:tabs>
        <w:spacing w:after="0" w:line="240" w:lineRule="auto"/>
        <w:ind w:left="0" w:firstLine="0"/>
      </w:pPr>
      <w:r w:rsidRPr="00ED26BF">
        <w:t>Increased water demand</w:t>
      </w:r>
    </w:p>
    <w:p w:rsidR="002749A6" w:rsidRPr="00767BF4" w:rsidRDefault="002749A6" w:rsidP="007B7910">
      <w:pPr>
        <w:pStyle w:val="Heading3"/>
      </w:pPr>
      <w:r>
        <w:lastRenderedPageBreak/>
        <w:t>Origins of Incompatibility</w:t>
      </w:r>
    </w:p>
    <w:p w:rsidR="002749A6" w:rsidRDefault="00D71345" w:rsidP="002749A6">
      <w:pPr>
        <w:pStyle w:val="BodyText"/>
        <w:spacing w:after="0"/>
      </w:pPr>
      <w:r>
        <w:tab/>
      </w:r>
      <w:r w:rsidR="002749A6" w:rsidRPr="00B61EDD">
        <w:t>Some of the causes of incompatibility problems like early stiffening, retardation etc. are listed below.</w:t>
      </w:r>
    </w:p>
    <w:p w:rsidR="002749A6" w:rsidRDefault="002749A6" w:rsidP="002749A6">
      <w:pPr>
        <w:pStyle w:val="bulletlist"/>
        <w:spacing w:after="0" w:line="240" w:lineRule="auto"/>
        <w:ind w:left="0" w:firstLine="0"/>
      </w:pPr>
      <w:r>
        <w:t xml:space="preserve">In cement, admixtures or combination of both materials will be a </w:t>
      </w:r>
      <w:r w:rsidRPr="00ED26BF">
        <w:t xml:space="preserve">Incompatibility of cement and admixtures </w:t>
      </w:r>
      <w:r>
        <w:t xml:space="preserve">due to the chemical composition of materials used to some extent may be not suitable or incompatibility. </w:t>
      </w:r>
    </w:p>
    <w:p w:rsidR="002749A6" w:rsidRPr="00D9436F" w:rsidRDefault="00D71345" w:rsidP="002749A6">
      <w:pPr>
        <w:pStyle w:val="bulletlist"/>
        <w:spacing w:after="0" w:line="240" w:lineRule="auto"/>
        <w:ind w:left="0" w:firstLine="0"/>
      </w:pPr>
      <w:r>
        <w:t>If SO</w:t>
      </w:r>
      <w:r w:rsidR="002749A6" w:rsidRPr="00D71345">
        <w:rPr>
          <w:vertAlign w:val="subscript"/>
        </w:rPr>
        <w:t>4</w:t>
      </w:r>
      <w:r w:rsidR="002749A6" w:rsidRPr="00D9436F">
        <w:t>/C</w:t>
      </w:r>
      <w:r w:rsidR="002749A6" w:rsidRPr="00B61EDD">
        <w:t>3</w:t>
      </w:r>
      <w:r w:rsidR="002749A6" w:rsidRPr="00D9436F">
        <w:t xml:space="preserve">A ratio is too low uncontrolled C3A hydration occurs which result in early stiffening (flash set).  The high ration of calcium sulphates to a gypsum (false set) provides a high ratio of </w:t>
      </w:r>
      <w:r w:rsidR="002749A6" w:rsidRPr="00B61EDD">
        <w:t>S</w:t>
      </w:r>
      <w:r>
        <w:t>O</w:t>
      </w:r>
      <w:r w:rsidR="002749A6" w:rsidRPr="00D71345">
        <w:rPr>
          <w:vertAlign w:val="subscript"/>
        </w:rPr>
        <w:t>4</w:t>
      </w:r>
      <w:r w:rsidR="002749A6" w:rsidRPr="00B61EDD">
        <w:t xml:space="preserve">/C3A </w:t>
      </w:r>
    </w:p>
    <w:p w:rsidR="002749A6" w:rsidRPr="00D9436F" w:rsidRDefault="00092C3F" w:rsidP="002749A6">
      <w:pPr>
        <w:pStyle w:val="bulletlist"/>
        <w:spacing w:after="0" w:line="240" w:lineRule="auto"/>
        <w:ind w:left="0" w:firstLine="0"/>
      </w:pPr>
      <w:r w:rsidRPr="00092C3F">
        <w:t>Another element that affects compatibility is temperature. Limited temperatures result in low fluidity while hot weather conditions boost admixture adsorption, leading to fluidity.</w:t>
      </w:r>
      <w:r w:rsidR="002749A6" w:rsidRPr="00D9436F">
        <w:t xml:space="preserve"> </w:t>
      </w:r>
    </w:p>
    <w:p w:rsidR="002749A6" w:rsidRDefault="00092C3F" w:rsidP="002749A6">
      <w:pPr>
        <w:pStyle w:val="bulletlist"/>
        <w:spacing w:after="0" w:line="240" w:lineRule="auto"/>
        <w:ind w:left="0" w:firstLine="0"/>
      </w:pPr>
      <w:r w:rsidRPr="00092C3F">
        <w:t>Higher alkali cements react more quickly, which increases the stiffening rate and the slump loss.</w:t>
      </w:r>
    </w:p>
    <w:p w:rsidR="002749A6" w:rsidRDefault="002749A6" w:rsidP="002749A6">
      <w:pPr>
        <w:pStyle w:val="bulletlist"/>
        <w:numPr>
          <w:ilvl w:val="0"/>
          <w:numId w:val="0"/>
        </w:numPr>
        <w:spacing w:after="0" w:line="240" w:lineRule="auto"/>
      </w:pPr>
    </w:p>
    <w:p w:rsidR="002749A6" w:rsidRDefault="002749A6" w:rsidP="002749A6">
      <w:pPr>
        <w:pStyle w:val="Heading2"/>
        <w:spacing w:before="0" w:after="0"/>
        <w:ind w:left="0" w:firstLine="0"/>
        <w:rPr>
          <w:b/>
          <w:i w:val="0"/>
        </w:rPr>
      </w:pPr>
      <w:r>
        <w:rPr>
          <w:b/>
          <w:i w:val="0"/>
        </w:rPr>
        <w:t>Chemical Admixtures</w:t>
      </w:r>
    </w:p>
    <w:p w:rsidR="002749A6" w:rsidRPr="00B61EDD" w:rsidRDefault="00D84E01" w:rsidP="002749A6">
      <w:pPr>
        <w:pStyle w:val="BodyText"/>
        <w:spacing w:after="0"/>
      </w:pPr>
      <w:r w:rsidRPr="00D84E01">
        <w:t>Chemical and mineral admixtures are the two main categories of concrete additives. Chemical admixtures are added to concrete to control features such as heat of hydration, speed up or slow down the setting period, increase workability, aid in water savings, disperse/deflocculates cement particles, resource in entrain air, and eventually improve impermeability and durability traits. Fundamentally, they are chemical substances.</w:t>
      </w:r>
      <w:r w:rsidR="002749A6" w:rsidRPr="00B61EDD">
        <w:t xml:space="preserve"> These ranges and dosages will vary from 0.2% to 2% by weight of cement</w:t>
      </w:r>
      <w:r w:rsidR="003E4218" w:rsidRPr="00B61EDD">
        <w:fldChar w:fldCharType="begin" w:fldLock="1"/>
      </w:r>
      <w:r w:rsidR="002749A6" w:rsidRPr="00B61EDD">
        <w:instrText>ADDIN CSL_CITATION {"citationItems":[{"id":"ITEM-1","itemData":{"DOI":"10.1016/j.pisc.2016.04.055","ISSN":"22130209","abstract":"Multiple brand of cement and water reducing admixtures are available in the market, even though these cements and admixture comply with the respective codal provisions there performance are not same in the concrete for each and every brand of cement and water reducing admixture, even if quality and source of other ingredients of concrete is kept same. This has created a lot of confusion among the user about what type/brand of admixture is used with what type/brand of cement and what should be optimum dose of admixture. Common problem associated with incompatibility issue is flash setting, delayed setting, rapid slump loss, improper strength gain and cracking, these not only effect the strength of the concrete but also the durability of the structure. Hence, in the present study different brand/type of cement and water reducing admixture available in the market is used to find study the compatibility issue and optimum dose of admixture. To achieve this marsh cone test has been performed. Test results indicate that the optimum dose of admixture vary from 0.9 to 1.1% of the weight of cement with different type/brand of cement and type/brand of admixture.","author":[{"dropping-particle":"","family":"Shrivastava","given":"A.K.","non-dropping-particle":"","parse-names":false,"suffix":""},{"dropping-particle":"","family":"Kumar","given":"Munendra","non-dropping-particle":"","parse-names":false,"suffix":""}],"container-title":"Perspectives in Science","id":"ITEM-1","issued":{"date-parts":[["2016"]]},"page":"290-292","publisher":"Elsevier GmbH","title":"Compatibility issues of cement with water reducing admixture in concrete","type":"article-journal","volume":"8"},"uris":["http://www.mendeley.com/documents/?uuid=dbe94852-4759-4534-a77d-2871715c2783"]}],"mendeley":{"formattedCitation":"[6]","plainTextFormattedCitation":"[6]","previouslyFormattedCitation":"[6]"},"properties":{"noteIndex":0},"schema":"https://github.com/citation-style-language/schema/raw/master/csl-citation.json"}</w:instrText>
      </w:r>
      <w:r w:rsidR="003E4218" w:rsidRPr="00B61EDD">
        <w:fldChar w:fldCharType="separate"/>
      </w:r>
      <w:r w:rsidR="002749A6" w:rsidRPr="00B61EDD">
        <w:t>[6]</w:t>
      </w:r>
      <w:r w:rsidR="003E4218" w:rsidRPr="00B61EDD">
        <w:fldChar w:fldCharType="end"/>
      </w:r>
      <w:r w:rsidR="002749A6" w:rsidRPr="00B61EDD">
        <w:t>.</w:t>
      </w:r>
    </w:p>
    <w:p w:rsidR="00F83F66" w:rsidRDefault="00F83F66" w:rsidP="007B7910">
      <w:pPr>
        <w:pStyle w:val="Heading3"/>
      </w:pPr>
      <w:r>
        <w:t>Types of Admixtures</w:t>
      </w:r>
    </w:p>
    <w:p w:rsidR="00F83F66" w:rsidRPr="00617BED" w:rsidRDefault="00F83F66" w:rsidP="00F83F66">
      <w:pPr>
        <w:shd w:val="clear" w:color="auto" w:fill="FFFFFF"/>
        <w:jc w:val="both"/>
        <w:textAlignment w:val="baseline"/>
        <w:rPr>
          <w:color w:val="000000"/>
        </w:rPr>
      </w:pPr>
      <w:r w:rsidRPr="00617BED">
        <w:rPr>
          <w:color w:val="000000"/>
        </w:rPr>
        <w:t>Chemical admixtures can be classified into the following types:</w:t>
      </w:r>
    </w:p>
    <w:p w:rsidR="00F83F66" w:rsidRPr="00617BED" w:rsidRDefault="00F83F66" w:rsidP="00F83F66">
      <w:pPr>
        <w:pStyle w:val="ListParagraph"/>
        <w:numPr>
          <w:ilvl w:val="0"/>
          <w:numId w:val="18"/>
        </w:numPr>
        <w:shd w:val="clear" w:color="auto" w:fill="FFFFFF"/>
        <w:spacing w:after="0" w:line="240" w:lineRule="auto"/>
        <w:textAlignment w:val="baseline"/>
        <w:rPr>
          <w:rFonts w:ascii="Times New Roman" w:hAnsi="Times New Roman" w:cs="Times New Roman"/>
          <w:color w:val="000000"/>
          <w:sz w:val="20"/>
          <w:szCs w:val="20"/>
        </w:rPr>
      </w:pPr>
      <w:r w:rsidRPr="00617BED">
        <w:rPr>
          <w:rFonts w:ascii="Times New Roman" w:hAnsi="Times New Roman" w:cs="Times New Roman"/>
          <w:color w:val="000000"/>
          <w:sz w:val="20"/>
          <w:szCs w:val="20"/>
        </w:rPr>
        <w:t>Set Accelerators</w:t>
      </w:r>
    </w:p>
    <w:p w:rsidR="00F83F66" w:rsidRPr="00617BED" w:rsidRDefault="00F83F66" w:rsidP="00F83F66">
      <w:pPr>
        <w:pStyle w:val="ListParagraph"/>
        <w:numPr>
          <w:ilvl w:val="0"/>
          <w:numId w:val="18"/>
        </w:numPr>
        <w:shd w:val="clear" w:color="auto" w:fill="FFFFFF"/>
        <w:spacing w:after="0" w:line="240" w:lineRule="auto"/>
        <w:textAlignment w:val="baseline"/>
        <w:rPr>
          <w:rFonts w:ascii="Times New Roman" w:hAnsi="Times New Roman" w:cs="Times New Roman"/>
          <w:color w:val="000000"/>
          <w:sz w:val="20"/>
          <w:szCs w:val="20"/>
        </w:rPr>
      </w:pPr>
      <w:r w:rsidRPr="00617BED">
        <w:rPr>
          <w:rFonts w:ascii="Times New Roman" w:hAnsi="Times New Roman" w:cs="Times New Roman"/>
          <w:color w:val="000000"/>
          <w:sz w:val="20"/>
          <w:szCs w:val="20"/>
        </w:rPr>
        <w:t>Air Entertainers</w:t>
      </w:r>
    </w:p>
    <w:p w:rsidR="00F83F66" w:rsidRPr="00617BED" w:rsidRDefault="00F83F66" w:rsidP="00F83F66">
      <w:pPr>
        <w:pStyle w:val="ListParagraph"/>
        <w:numPr>
          <w:ilvl w:val="0"/>
          <w:numId w:val="18"/>
        </w:numPr>
        <w:shd w:val="clear" w:color="auto" w:fill="FFFFFF"/>
        <w:spacing w:after="0" w:line="240" w:lineRule="auto"/>
        <w:textAlignment w:val="baseline"/>
        <w:rPr>
          <w:rFonts w:ascii="Times New Roman" w:hAnsi="Times New Roman" w:cs="Times New Roman"/>
          <w:color w:val="000000"/>
          <w:sz w:val="20"/>
          <w:szCs w:val="20"/>
        </w:rPr>
      </w:pPr>
      <w:r w:rsidRPr="00617BED">
        <w:rPr>
          <w:rFonts w:ascii="Times New Roman" w:hAnsi="Times New Roman" w:cs="Times New Roman"/>
          <w:color w:val="000000"/>
          <w:sz w:val="20"/>
          <w:szCs w:val="20"/>
        </w:rPr>
        <w:t>Super plasticizers</w:t>
      </w:r>
    </w:p>
    <w:p w:rsidR="00F83F66" w:rsidRPr="00617BED" w:rsidRDefault="00F83F66" w:rsidP="00F83F66">
      <w:pPr>
        <w:pStyle w:val="ListParagraph"/>
        <w:numPr>
          <w:ilvl w:val="0"/>
          <w:numId w:val="18"/>
        </w:numPr>
        <w:shd w:val="clear" w:color="auto" w:fill="FFFFFF"/>
        <w:spacing w:after="0" w:line="240" w:lineRule="auto"/>
        <w:textAlignment w:val="baseline"/>
        <w:rPr>
          <w:rFonts w:ascii="Times New Roman" w:hAnsi="Times New Roman" w:cs="Times New Roman"/>
          <w:color w:val="000000"/>
          <w:sz w:val="20"/>
          <w:szCs w:val="20"/>
        </w:rPr>
      </w:pPr>
      <w:r w:rsidRPr="00617BED">
        <w:rPr>
          <w:rFonts w:ascii="Times New Roman" w:hAnsi="Times New Roman" w:cs="Times New Roman"/>
          <w:color w:val="000000"/>
          <w:sz w:val="20"/>
          <w:szCs w:val="20"/>
        </w:rPr>
        <w:t>Set Retarders</w:t>
      </w:r>
    </w:p>
    <w:p w:rsidR="00F83F66" w:rsidRPr="00617BED" w:rsidRDefault="00F83F66" w:rsidP="00F83F66">
      <w:pPr>
        <w:pStyle w:val="ListParagraph"/>
        <w:numPr>
          <w:ilvl w:val="0"/>
          <w:numId w:val="18"/>
        </w:numPr>
        <w:shd w:val="clear" w:color="auto" w:fill="FFFFFF"/>
        <w:spacing w:after="0" w:line="240" w:lineRule="auto"/>
        <w:textAlignment w:val="baseline"/>
        <w:rPr>
          <w:rFonts w:ascii="Times New Roman" w:hAnsi="Times New Roman" w:cs="Times New Roman"/>
          <w:color w:val="000000"/>
          <w:sz w:val="20"/>
          <w:szCs w:val="20"/>
        </w:rPr>
      </w:pPr>
      <w:r w:rsidRPr="00617BED">
        <w:rPr>
          <w:rFonts w:ascii="Times New Roman" w:hAnsi="Times New Roman" w:cs="Times New Roman"/>
          <w:color w:val="000000"/>
          <w:sz w:val="20"/>
          <w:szCs w:val="20"/>
        </w:rPr>
        <w:t>Specialty Admixtures</w:t>
      </w:r>
    </w:p>
    <w:p w:rsidR="00F83F66" w:rsidRDefault="00F83F66" w:rsidP="00F83F66">
      <w:pPr>
        <w:pStyle w:val="ListParagraph"/>
        <w:numPr>
          <w:ilvl w:val="0"/>
          <w:numId w:val="18"/>
        </w:numPr>
        <w:shd w:val="clear" w:color="auto" w:fill="FFFFFF"/>
        <w:spacing w:after="0" w:line="240" w:lineRule="auto"/>
        <w:textAlignment w:val="baseline"/>
        <w:rPr>
          <w:rFonts w:ascii="Times New Roman" w:hAnsi="Times New Roman" w:cs="Times New Roman"/>
          <w:color w:val="000000"/>
          <w:sz w:val="20"/>
          <w:szCs w:val="20"/>
        </w:rPr>
      </w:pPr>
      <w:r w:rsidRPr="00617BED">
        <w:rPr>
          <w:rFonts w:ascii="Times New Roman" w:hAnsi="Times New Roman" w:cs="Times New Roman"/>
          <w:color w:val="000000"/>
          <w:sz w:val="20"/>
          <w:szCs w:val="20"/>
        </w:rPr>
        <w:t>Water Reducers</w:t>
      </w:r>
    </w:p>
    <w:p w:rsidR="00A17403" w:rsidRPr="00A17403" w:rsidRDefault="00A17403" w:rsidP="00A17403">
      <w:pPr>
        <w:shd w:val="clear" w:color="auto" w:fill="FFFFFF"/>
        <w:jc w:val="both"/>
        <w:textAlignment w:val="baseline"/>
        <w:rPr>
          <w:color w:val="000000"/>
        </w:rPr>
      </w:pPr>
    </w:p>
    <w:p w:rsidR="004975DE" w:rsidRDefault="004975DE" w:rsidP="004975DE">
      <w:pPr>
        <w:pStyle w:val="Heading2"/>
        <w:spacing w:before="0" w:after="0"/>
        <w:ind w:left="0" w:firstLine="0"/>
        <w:rPr>
          <w:b/>
          <w:i w:val="0"/>
        </w:rPr>
      </w:pPr>
      <w:r>
        <w:rPr>
          <w:b/>
          <w:i w:val="0"/>
        </w:rPr>
        <w:t>Super Plasticizers</w:t>
      </w:r>
    </w:p>
    <w:p w:rsidR="00F83F66" w:rsidRDefault="004975DE" w:rsidP="004975DE">
      <w:pPr>
        <w:ind w:firstLine="720"/>
        <w:jc w:val="both"/>
        <w:rPr>
          <w:rFonts w:eastAsia="MS Mincho"/>
        </w:rPr>
      </w:pPr>
      <w:r w:rsidRPr="00617BED">
        <w:rPr>
          <w:rFonts w:eastAsia="MS Mincho"/>
        </w:rPr>
        <w:t>When describing about the chemical admixture super plasticizers which is also called as high range water reducer in admixture.  This chemical admixture was developed in the years 1960 and 1979 by Ge</w:t>
      </w:r>
      <w:r>
        <w:rPr>
          <w:rFonts w:eastAsia="MS Mincho"/>
        </w:rPr>
        <w:t xml:space="preserve">rmany and Japan respectively. </w:t>
      </w:r>
      <w:r w:rsidRPr="00617BED">
        <w:rPr>
          <w:rFonts w:eastAsia="MS Mincho"/>
        </w:rPr>
        <w:t>This is a different when we compared with normal plasticizers with various dose levels of super plasticizers having higher conventional water reducer ratio of (0.5 to 3.0%) and lesser undesirable properties of concrete with (0.18 to 0.47).   This admixture concrete provides 30% reduction of water producing very effective results on the workability  i.e. without reduction in the workability of concrete</w:t>
      </w:r>
      <w:r w:rsidR="003E4218" w:rsidRPr="00617BED">
        <w:rPr>
          <w:rFonts w:eastAsia="MS Mincho"/>
        </w:rPr>
        <w:fldChar w:fldCharType="begin" w:fldLock="1"/>
      </w:r>
      <w:r w:rsidRPr="00617BED">
        <w:rPr>
          <w:rFonts w:eastAsia="MS Mincho"/>
        </w:rPr>
        <w:instrText>ADDIN CSL_CITATION {"citationItems":[{"id":"ITEM-1","itemData":{"DOI":"10.1080/23311916.2016.1260952","ISSN":"23311916","abstract":"This study, assessed the interaction between Portland cement type I and polycarboxylate-type superplasticizers. Five systems were analyzed with the cement-superplasticizer pair being selected from the viewpoint of its rheological behavior using the Marsh cone test. The rheological behavior was analyzed using plain and mineral additions of 5, 10 and 15 wt% and 1, 2, and 3 wt% of silica fume (SF) and nanosilica (nS), respectively. Mechanical and rheological validations were carried out in binary-concretes with nS or SF. The results showed that addition of amorphous silica in different particle sizes has very different rheological results. Particularly, in SF-concretes, the samples exhibited higher susceptibility to bleeding and segregation for higher SF amounts. This limited the application of high SP dosages, but this fact induced a premature slump loss even at the early age. In contrast, nS-concretes tended to have less bleeding, increased packing density and enhanced cohesiveness of the cement matrix. Therefore, higher SP dosages were possible. The results also showed that when mineral additions are applied in concrete mixes the Marsh cone test results of cement pastes must be interpreted carefully. For SF-concretes the numerical results were effectively anticipated by using the Marsh methodology. Nevertheless, in nS-concretes the numerical results of SP doses did not reflect the doses of SP anticipated from the Marsh’s experiments. Finally, in the hardened state statistical results showed that compressive and splitting tensile strength in some SF/nS-concretes exhibited an increase of up to 35% with respect to control samples.","author":[{"dropping-particle":"","family":"Zapata Orduz","given":"Luis E.","non-dropping-particle":"","parse-names":false,"suffix":""},{"dropping-particle":"","family":"Portela","given":"Genock","non-dropping-particle":"","parse-names":false,"suffix":""},{"dropping-particle":"","family":"Suárez","given":"Oscar Marcelo","non-dropping-particle":"","parse-names":false,"suffix":""},{"dropping-particle":"","family":"Cáceres","given":"Arsenio D.","non-dropping-particle":"","parse-names":false,"suffix":""}],"container-title":"Cogent Engineering","id":"ITEM-1","issue":"1","issued":{"date-parts":[["2016"]]},"publisher":"Cogent","title":"Compatibility analysis between Portland cement type I and micro/nano-SiO2 in the presence of polycarboxylate-type superplasticizers","type":"article-journal","volume":"3"},"uris":["http://www.mendeley.com/documents/?uuid=3a1658e6-2005-45d2-b1c7-d89c07be615c"]}],"mendeley":{"formattedCitation":"[7]","plainTextFormattedCitation":"[7]","previouslyFormattedCitation":"[7]"},"properties":{"noteIndex":0},"schema":"https://github.com/citation-style-language/schema/raw/master/csl-citation.json"}</w:instrText>
      </w:r>
      <w:r w:rsidR="003E4218" w:rsidRPr="00617BED">
        <w:rPr>
          <w:rFonts w:eastAsia="MS Mincho"/>
        </w:rPr>
        <w:fldChar w:fldCharType="separate"/>
      </w:r>
      <w:r w:rsidRPr="00617BED">
        <w:rPr>
          <w:rFonts w:eastAsia="MS Mincho"/>
        </w:rPr>
        <w:t>[7]</w:t>
      </w:r>
      <w:r w:rsidR="003E4218" w:rsidRPr="00617BED">
        <w:rPr>
          <w:rFonts w:eastAsia="MS Mincho"/>
        </w:rPr>
        <w:fldChar w:fldCharType="end"/>
      </w:r>
      <w:r w:rsidRPr="00617BED">
        <w:rPr>
          <w:rFonts w:eastAsia="MS Mincho"/>
        </w:rPr>
        <w:t>. The basic advantages of super-plasticizers are</w:t>
      </w:r>
    </w:p>
    <w:p w:rsidR="004975DE" w:rsidRPr="004975DE" w:rsidRDefault="004975DE" w:rsidP="004975DE">
      <w:pPr>
        <w:pStyle w:val="ListParagraph"/>
        <w:numPr>
          <w:ilvl w:val="0"/>
          <w:numId w:val="18"/>
        </w:numPr>
        <w:shd w:val="clear" w:color="auto" w:fill="FFFFFF"/>
        <w:spacing w:after="0" w:line="240" w:lineRule="auto"/>
        <w:textAlignment w:val="baseline"/>
        <w:rPr>
          <w:rFonts w:ascii="Times New Roman" w:hAnsi="Times New Roman" w:cs="Times New Roman"/>
          <w:color w:val="000000"/>
          <w:sz w:val="20"/>
          <w:szCs w:val="20"/>
        </w:rPr>
      </w:pPr>
      <w:r w:rsidRPr="004975DE">
        <w:rPr>
          <w:rFonts w:ascii="Times New Roman" w:hAnsi="Times New Roman" w:cs="Times New Roman"/>
          <w:color w:val="000000"/>
          <w:sz w:val="20"/>
          <w:szCs w:val="20"/>
        </w:rPr>
        <w:t>This admixture provides a very easy placement with higher strength providing a high workability of concrete</w:t>
      </w:r>
    </w:p>
    <w:p w:rsidR="004975DE" w:rsidRPr="004975DE" w:rsidRDefault="004975DE" w:rsidP="004975DE">
      <w:pPr>
        <w:pStyle w:val="ListParagraph"/>
        <w:numPr>
          <w:ilvl w:val="0"/>
          <w:numId w:val="18"/>
        </w:numPr>
        <w:shd w:val="clear" w:color="auto" w:fill="FFFFFF"/>
        <w:spacing w:after="0" w:line="240" w:lineRule="auto"/>
        <w:textAlignment w:val="baseline"/>
        <w:rPr>
          <w:rFonts w:ascii="Times New Roman" w:hAnsi="Times New Roman" w:cs="Times New Roman"/>
          <w:color w:val="000000"/>
          <w:sz w:val="20"/>
          <w:szCs w:val="20"/>
        </w:rPr>
      </w:pPr>
      <w:r w:rsidRPr="004975DE">
        <w:rPr>
          <w:rFonts w:ascii="Times New Roman" w:hAnsi="Times New Roman" w:cs="Times New Roman"/>
          <w:color w:val="000000"/>
          <w:sz w:val="20"/>
          <w:szCs w:val="20"/>
        </w:rPr>
        <w:t xml:space="preserve">Uses Lower water content with a higher strength concrete  </w:t>
      </w:r>
    </w:p>
    <w:p w:rsidR="004975DE" w:rsidRPr="004975DE" w:rsidRDefault="004975DE" w:rsidP="004975DE">
      <w:pPr>
        <w:pStyle w:val="ListParagraph"/>
        <w:numPr>
          <w:ilvl w:val="0"/>
          <w:numId w:val="18"/>
        </w:numPr>
        <w:shd w:val="clear" w:color="auto" w:fill="FFFFFF"/>
        <w:spacing w:after="0" w:line="240" w:lineRule="auto"/>
        <w:textAlignment w:val="baseline"/>
        <w:rPr>
          <w:rFonts w:ascii="Times New Roman" w:hAnsi="Times New Roman" w:cs="Times New Roman"/>
          <w:color w:val="000000"/>
          <w:sz w:val="20"/>
          <w:szCs w:val="20"/>
        </w:rPr>
      </w:pPr>
      <w:r w:rsidRPr="004975DE">
        <w:rPr>
          <w:rFonts w:ascii="Times New Roman" w:hAnsi="Times New Roman" w:cs="Times New Roman"/>
          <w:color w:val="000000"/>
          <w:sz w:val="20"/>
          <w:szCs w:val="20"/>
        </w:rPr>
        <w:t>Provides a Use of less cement concrete mix having more strength and workability</w:t>
      </w:r>
    </w:p>
    <w:p w:rsidR="004975DE" w:rsidRDefault="004975DE" w:rsidP="00F61400">
      <w:pPr>
        <w:pStyle w:val="BodyText"/>
        <w:spacing w:after="0" w:line="240" w:lineRule="auto"/>
      </w:pPr>
      <w:r w:rsidRPr="00617BED">
        <w:t xml:space="preserve">The admixture is a homogenous cohesive concrete without any bleeding, segregation for provided tendency. </w:t>
      </w:r>
      <w:r w:rsidR="003D3F9F" w:rsidRPr="003D3F9F">
        <w:t>Additionally, it creates flowing concrete when very quick placement is required, whether it is on a floor, pavement slab, or in an accessible position. The creation of extremely strong concrete utili</w:t>
      </w:r>
      <w:r w:rsidR="003D3F9F">
        <w:t>z</w:t>
      </w:r>
      <w:r w:rsidR="003D3F9F" w:rsidRPr="003D3F9F">
        <w:t>ing regular workability but a very low water/cement ratio is a second application for Super Plasticizer.</w:t>
      </w:r>
      <w:r w:rsidR="003D3F9F" w:rsidRPr="00617BED">
        <w:t xml:space="preserve"> </w:t>
      </w:r>
      <w:r w:rsidR="003E4218" w:rsidRPr="00617BED">
        <w:fldChar w:fldCharType="begin" w:fldLock="1"/>
      </w:r>
      <w:r w:rsidRPr="00617BED">
        <w:instrText>ADDIN CSL_CITATION {"citationItems":[{"id":"ITEM-1","itemData":{"DOI":"10.35940/ijrte.B1131.0782S319","ISSN":"22773878","abstract":"Women are an equal soul of men by comprises men in her name itself but really they are treated equal among men. There is a broad gap in between past and present centuries. Women are treated poorly on past centuries by getting huge works, asking more dowries and even killing female infant but in present century these has been reduced and crimes are increased more in numbers against women like abducted, murdered, raped and harassed in various ways. This assessment is on women’s tracking system which helps them in their safety and security. Although there are n numbers of tracking devices still crimes against women are in an increasing rate. These crimes have to be reduced in an effective ways of implementing versatile tracking system by combining various technologies into a single integrated unit.","author":[{"dropping-particle":"","family":"Kashyap","given":"A. Mallinadh","non-dropping-particle":"","parse-names":false,"suffix":""},{"dropping-particle":"","family":"Chakrapani","given":"E. T.","non-dropping-particle":"","parse-names":false,"suffix":""},{"dropping-particle":"","family":"Narasimha Murthy","given":"L.","non-dropping-particle":"","parse-names":false,"suffix":""},{"dropping-particle":"","family":"Suryanarayana Raju","given":"S.","non-dropping-particle":"","parse-names":false,"suffix":""}],"container-title":"International Journal of Recent Technology and Engineering","id":"ITEM-1","issue":"2 Special Issue 3","issued":{"date-parts":[["2019"]]},"page":"707-711","title":"Influence of dosage of super plasticizer on the mechanical properties of binary blended concrete","type":"article-journal","volume":"8"},"uris":["http://www.mendeley.com/documents/?uuid=a6f224c8-1e5f-4e82-85f5-aeac16e1b894"]}],"mendeley":{"formattedCitation":"[8]","plainTextFormattedCitation":"[8]","previouslyFormattedCitation":"[8]"},"properties":{"noteIndex":0},"schema":"https://github.com/citation-style-language/schema/raw/master/csl-citation.json"}</w:instrText>
      </w:r>
      <w:r w:rsidR="003E4218" w:rsidRPr="00617BED">
        <w:fldChar w:fldCharType="separate"/>
      </w:r>
      <w:r w:rsidRPr="00617BED">
        <w:t>[8]</w:t>
      </w:r>
      <w:r w:rsidR="003E4218" w:rsidRPr="00617BED">
        <w:fldChar w:fldCharType="end"/>
      </w:r>
      <w:r w:rsidRPr="00617BED">
        <w:t>.</w:t>
      </w:r>
    </w:p>
    <w:p w:rsidR="004975DE" w:rsidRDefault="004975DE" w:rsidP="007B7910">
      <w:pPr>
        <w:pStyle w:val="Heading3"/>
      </w:pPr>
      <w:r>
        <w:t>Types of Super Plasticizers</w:t>
      </w:r>
    </w:p>
    <w:p w:rsidR="004975DE" w:rsidRDefault="004975DE" w:rsidP="00F61400">
      <w:pPr>
        <w:pStyle w:val="BodyText"/>
        <w:spacing w:after="0" w:line="240" w:lineRule="auto"/>
      </w:pPr>
      <w:r w:rsidRPr="00617BED">
        <w:t xml:space="preserve">Overall, four different Super plasticizer categories can be defined </w:t>
      </w:r>
      <w:r w:rsidR="003E4218" w:rsidRPr="00617BED">
        <w:fldChar w:fldCharType="begin" w:fldLock="1"/>
      </w:r>
      <w:r w:rsidRPr="00617BED">
        <w:instrText>ADDIN CSL_CITATION {"citationItems":[{"id":"ITEM-1","itemData":{"DOI":"10.11648/j.aas.20160102.12","abstract":"The adverse effects of elevated temperatures on the properties of the fresh concrete include increased water demand, shorter setting time and increased slump loss. Superplasticizer (SP) is important to enhance the workability and setting time of concrete under hot weather, hence, an experimental investigation was conducted to determine the effect of dosage of the mentioned admixture. Concrete mixes with SP dosages of 400, 600, 800, 1000 and 1200 ml/100kg of cement were prepared, together with two control mixes (water/cement ratio were 0.56 and 0.66 respectively). After casting, normal curing was carried out on the concrete samples. Properties such as compressive strength, porosity, water absorption, permeability and initial surface absorption were determined, besides determining the workability and setting time of the fresh concrete. Over dosage of SP were found to deteriorate the properties of concrete with indication of lower compressive strength and higher porosity. However, if the dosage levels are lower than the optimum dosage, increase in admixture dosage might help to enhance the concrete characteristics.","author":[{"dropping-particle":"","family":"Mohammed","given":"Muhsen Salam","non-dropping-particle":"","parse-names":false,"suffix":""},{"dropping-particle":"","family":"Mohamed","given":"Salahaldein Alsadey","non-dropping-particle":"","parse-names":false,"suffix":""},{"dropping-particle":"","family":"Megat Johari","given":"Megat Azmi","non-dropping-particle":"","parse-names":false,"suffix":""}],"container-title":"Advances in Applied Sciences","id":"ITEM-1","issue":"2","issued":{"date-parts":[["2016"]]},"page":"30-36","title":"Influence of Superplasticizer Compatibility on the Setting Time, Strength and Stiffening Characteristics of Concrete","type":"article-journal","volume":"1"},"uris":["http://www.mendeley.com/documents/?uuid=899235a9-29a6-4da8-bb61-74f801e81a3a"]}],"mendeley":{"formattedCitation":"[9]","plainTextFormattedCitation":"[9]","previouslyFormattedCitation":"[9]"},"properties":{"noteIndex":0},"schema":"https://github.com/citation-style-language/schema/raw/master/csl-citation.json"}</w:instrText>
      </w:r>
      <w:r w:rsidR="003E4218" w:rsidRPr="00617BED">
        <w:fldChar w:fldCharType="separate"/>
      </w:r>
      <w:r w:rsidRPr="00617BED">
        <w:t>[9]</w:t>
      </w:r>
      <w:r w:rsidR="003E4218" w:rsidRPr="00617BED">
        <w:fldChar w:fldCharType="end"/>
      </w:r>
      <w:r w:rsidRPr="00617BED">
        <w:t>:</w:t>
      </w:r>
    </w:p>
    <w:p w:rsidR="004975DE" w:rsidRPr="004975DE" w:rsidRDefault="004975DE" w:rsidP="00F61400">
      <w:pPr>
        <w:pStyle w:val="ListParagraph"/>
        <w:widowControl w:val="0"/>
        <w:numPr>
          <w:ilvl w:val="0"/>
          <w:numId w:val="20"/>
        </w:numPr>
        <w:tabs>
          <w:tab w:val="left" w:pos="1552"/>
        </w:tabs>
        <w:autoSpaceDE w:val="0"/>
        <w:autoSpaceDN w:val="0"/>
        <w:spacing w:after="0" w:line="240" w:lineRule="auto"/>
        <w:rPr>
          <w:rFonts w:ascii="Times New Roman" w:hAnsi="Times New Roman" w:cs="Times New Roman"/>
          <w:sz w:val="20"/>
          <w:szCs w:val="20"/>
        </w:rPr>
      </w:pPr>
      <w:r w:rsidRPr="004975DE">
        <w:rPr>
          <w:rFonts w:ascii="Times New Roman" w:hAnsi="Times New Roman" w:cs="Times New Roman"/>
          <w:sz w:val="20"/>
          <w:szCs w:val="20"/>
        </w:rPr>
        <w:t>Naphthalenesulfonate</w:t>
      </w:r>
      <w:r w:rsidRPr="004975DE">
        <w:rPr>
          <w:rFonts w:ascii="Times New Roman" w:hAnsi="Times New Roman" w:cs="Times New Roman"/>
          <w:spacing w:val="-3"/>
          <w:sz w:val="20"/>
          <w:szCs w:val="20"/>
        </w:rPr>
        <w:t xml:space="preserve"> </w:t>
      </w:r>
      <w:r w:rsidRPr="004975DE">
        <w:rPr>
          <w:rFonts w:ascii="Times New Roman" w:hAnsi="Times New Roman" w:cs="Times New Roman"/>
          <w:sz w:val="20"/>
          <w:szCs w:val="20"/>
        </w:rPr>
        <w:t>based</w:t>
      </w:r>
      <w:r w:rsidRPr="004975DE">
        <w:rPr>
          <w:rFonts w:ascii="Times New Roman" w:hAnsi="Times New Roman" w:cs="Times New Roman"/>
          <w:spacing w:val="-2"/>
          <w:sz w:val="20"/>
          <w:szCs w:val="20"/>
        </w:rPr>
        <w:t xml:space="preserve"> </w:t>
      </w:r>
      <w:r w:rsidRPr="004975DE">
        <w:rPr>
          <w:rFonts w:ascii="Times New Roman" w:hAnsi="Times New Roman" w:cs="Times New Roman"/>
          <w:sz w:val="20"/>
          <w:szCs w:val="20"/>
        </w:rPr>
        <w:t>Super plasticizers</w:t>
      </w:r>
      <w:r w:rsidRPr="004975DE">
        <w:rPr>
          <w:rFonts w:ascii="Times New Roman" w:hAnsi="Times New Roman" w:cs="Times New Roman"/>
          <w:spacing w:val="-2"/>
          <w:sz w:val="20"/>
          <w:szCs w:val="20"/>
        </w:rPr>
        <w:t xml:space="preserve"> </w:t>
      </w:r>
      <w:r w:rsidRPr="004975DE">
        <w:rPr>
          <w:rFonts w:ascii="Times New Roman" w:hAnsi="Times New Roman" w:cs="Times New Roman"/>
          <w:sz w:val="20"/>
          <w:szCs w:val="20"/>
        </w:rPr>
        <w:t>(SNF)</w:t>
      </w:r>
    </w:p>
    <w:p w:rsidR="004975DE" w:rsidRPr="004975DE" w:rsidRDefault="004975DE" w:rsidP="004975DE">
      <w:pPr>
        <w:pStyle w:val="ListParagraph"/>
        <w:widowControl w:val="0"/>
        <w:numPr>
          <w:ilvl w:val="0"/>
          <w:numId w:val="20"/>
        </w:numPr>
        <w:tabs>
          <w:tab w:val="left" w:pos="1552"/>
        </w:tabs>
        <w:autoSpaceDE w:val="0"/>
        <w:autoSpaceDN w:val="0"/>
        <w:spacing w:after="0" w:line="240" w:lineRule="auto"/>
        <w:rPr>
          <w:rFonts w:ascii="Times New Roman" w:hAnsi="Times New Roman" w:cs="Times New Roman"/>
          <w:sz w:val="20"/>
          <w:szCs w:val="20"/>
        </w:rPr>
      </w:pPr>
      <w:r w:rsidRPr="004975DE">
        <w:rPr>
          <w:rFonts w:ascii="Times New Roman" w:hAnsi="Times New Roman" w:cs="Times New Roman"/>
          <w:sz w:val="20"/>
          <w:szCs w:val="20"/>
        </w:rPr>
        <w:t>Melamine-sulfonate</w:t>
      </w:r>
      <w:r w:rsidRPr="004975DE">
        <w:rPr>
          <w:rFonts w:ascii="Times New Roman" w:hAnsi="Times New Roman" w:cs="Times New Roman"/>
          <w:spacing w:val="-3"/>
          <w:sz w:val="20"/>
          <w:szCs w:val="20"/>
        </w:rPr>
        <w:t xml:space="preserve"> </w:t>
      </w:r>
      <w:r w:rsidRPr="004975DE">
        <w:rPr>
          <w:rFonts w:ascii="Times New Roman" w:hAnsi="Times New Roman" w:cs="Times New Roman"/>
          <w:sz w:val="20"/>
          <w:szCs w:val="20"/>
        </w:rPr>
        <w:t>based</w:t>
      </w:r>
      <w:r w:rsidRPr="004975DE">
        <w:rPr>
          <w:rFonts w:ascii="Times New Roman" w:hAnsi="Times New Roman" w:cs="Times New Roman"/>
          <w:spacing w:val="-2"/>
          <w:sz w:val="20"/>
          <w:szCs w:val="20"/>
        </w:rPr>
        <w:t xml:space="preserve"> </w:t>
      </w:r>
      <w:r w:rsidRPr="004975DE">
        <w:rPr>
          <w:rFonts w:ascii="Times New Roman" w:hAnsi="Times New Roman" w:cs="Times New Roman"/>
          <w:sz w:val="20"/>
          <w:szCs w:val="20"/>
        </w:rPr>
        <w:t>Super plasticizers</w:t>
      </w:r>
      <w:r w:rsidRPr="004975DE">
        <w:rPr>
          <w:rFonts w:ascii="Times New Roman" w:hAnsi="Times New Roman" w:cs="Times New Roman"/>
          <w:spacing w:val="-2"/>
          <w:sz w:val="20"/>
          <w:szCs w:val="20"/>
        </w:rPr>
        <w:t xml:space="preserve"> </w:t>
      </w:r>
      <w:r>
        <w:rPr>
          <w:rFonts w:ascii="Times New Roman" w:hAnsi="Times New Roman" w:cs="Times New Roman"/>
          <w:sz w:val="20"/>
          <w:szCs w:val="20"/>
        </w:rPr>
        <w:t>(SMF)</w:t>
      </w:r>
    </w:p>
    <w:p w:rsidR="004975DE" w:rsidRPr="004975DE" w:rsidRDefault="004975DE" w:rsidP="004975DE">
      <w:pPr>
        <w:pStyle w:val="ListParagraph"/>
        <w:widowControl w:val="0"/>
        <w:numPr>
          <w:ilvl w:val="0"/>
          <w:numId w:val="20"/>
        </w:numPr>
        <w:tabs>
          <w:tab w:val="left" w:pos="1552"/>
        </w:tabs>
        <w:autoSpaceDE w:val="0"/>
        <w:autoSpaceDN w:val="0"/>
        <w:spacing w:after="0" w:line="240" w:lineRule="auto"/>
        <w:rPr>
          <w:rFonts w:ascii="Times New Roman" w:hAnsi="Times New Roman" w:cs="Times New Roman"/>
          <w:sz w:val="20"/>
          <w:szCs w:val="20"/>
        </w:rPr>
      </w:pPr>
      <w:r w:rsidRPr="004975DE">
        <w:rPr>
          <w:rFonts w:ascii="Times New Roman" w:hAnsi="Times New Roman" w:cs="Times New Roman"/>
          <w:sz w:val="20"/>
          <w:szCs w:val="20"/>
        </w:rPr>
        <w:t>Lignosulfonate</w:t>
      </w:r>
      <w:r w:rsidRPr="004975DE">
        <w:rPr>
          <w:rFonts w:ascii="Times New Roman" w:hAnsi="Times New Roman" w:cs="Times New Roman"/>
          <w:spacing w:val="-3"/>
          <w:sz w:val="20"/>
          <w:szCs w:val="20"/>
        </w:rPr>
        <w:t xml:space="preserve"> </w:t>
      </w:r>
      <w:r w:rsidRPr="004975DE">
        <w:rPr>
          <w:rFonts w:ascii="Times New Roman" w:hAnsi="Times New Roman" w:cs="Times New Roman"/>
          <w:sz w:val="20"/>
          <w:szCs w:val="20"/>
        </w:rPr>
        <w:t>based</w:t>
      </w:r>
      <w:r w:rsidRPr="004975DE">
        <w:rPr>
          <w:rFonts w:ascii="Times New Roman" w:hAnsi="Times New Roman" w:cs="Times New Roman"/>
          <w:spacing w:val="-2"/>
          <w:sz w:val="20"/>
          <w:szCs w:val="20"/>
        </w:rPr>
        <w:t xml:space="preserve"> </w:t>
      </w:r>
      <w:r w:rsidRPr="004975DE">
        <w:rPr>
          <w:rFonts w:ascii="Times New Roman" w:hAnsi="Times New Roman" w:cs="Times New Roman"/>
          <w:sz w:val="20"/>
          <w:szCs w:val="20"/>
        </w:rPr>
        <w:t>Super plasticizers</w:t>
      </w:r>
      <w:r w:rsidRPr="004975DE">
        <w:rPr>
          <w:rFonts w:ascii="Times New Roman" w:hAnsi="Times New Roman" w:cs="Times New Roman"/>
          <w:spacing w:val="-1"/>
          <w:sz w:val="20"/>
          <w:szCs w:val="20"/>
        </w:rPr>
        <w:t xml:space="preserve"> </w:t>
      </w:r>
      <w:r w:rsidRPr="004975DE">
        <w:rPr>
          <w:rFonts w:ascii="Times New Roman" w:hAnsi="Times New Roman" w:cs="Times New Roman"/>
          <w:sz w:val="20"/>
          <w:szCs w:val="20"/>
        </w:rPr>
        <w:t>(MLS),</w:t>
      </w:r>
      <w:r w:rsidRPr="004975DE">
        <w:rPr>
          <w:rFonts w:ascii="Times New Roman" w:hAnsi="Times New Roman" w:cs="Times New Roman"/>
          <w:spacing w:val="-2"/>
          <w:sz w:val="20"/>
          <w:szCs w:val="20"/>
        </w:rPr>
        <w:t xml:space="preserve"> </w:t>
      </w:r>
      <w:r w:rsidRPr="004975DE">
        <w:rPr>
          <w:rFonts w:ascii="Times New Roman" w:hAnsi="Times New Roman" w:cs="Times New Roman"/>
          <w:sz w:val="20"/>
          <w:szCs w:val="20"/>
        </w:rPr>
        <w:t>and</w:t>
      </w:r>
    </w:p>
    <w:p w:rsidR="004975DE" w:rsidRDefault="004975DE" w:rsidP="004975DE">
      <w:pPr>
        <w:pStyle w:val="ListParagraph"/>
        <w:widowControl w:val="0"/>
        <w:numPr>
          <w:ilvl w:val="0"/>
          <w:numId w:val="20"/>
        </w:numPr>
        <w:tabs>
          <w:tab w:val="left" w:pos="1552"/>
        </w:tabs>
        <w:autoSpaceDE w:val="0"/>
        <w:autoSpaceDN w:val="0"/>
        <w:spacing w:after="0" w:line="240" w:lineRule="auto"/>
        <w:rPr>
          <w:rFonts w:ascii="Times New Roman" w:hAnsi="Times New Roman" w:cs="Times New Roman"/>
          <w:sz w:val="20"/>
          <w:szCs w:val="20"/>
        </w:rPr>
      </w:pPr>
      <w:r w:rsidRPr="004975DE">
        <w:rPr>
          <w:rFonts w:ascii="Times New Roman" w:hAnsi="Times New Roman" w:cs="Times New Roman"/>
          <w:sz w:val="20"/>
          <w:szCs w:val="20"/>
        </w:rPr>
        <w:t>Polycarboxylates</w:t>
      </w:r>
      <w:r w:rsidRPr="004975DE">
        <w:rPr>
          <w:rFonts w:ascii="Times New Roman" w:hAnsi="Times New Roman" w:cs="Times New Roman"/>
          <w:spacing w:val="-5"/>
          <w:sz w:val="20"/>
          <w:szCs w:val="20"/>
        </w:rPr>
        <w:t xml:space="preserve"> </w:t>
      </w:r>
      <w:r w:rsidRPr="004975DE">
        <w:rPr>
          <w:rFonts w:ascii="Times New Roman" w:hAnsi="Times New Roman" w:cs="Times New Roman"/>
          <w:sz w:val="20"/>
          <w:szCs w:val="20"/>
        </w:rPr>
        <w:t>ether-based</w:t>
      </w:r>
      <w:r w:rsidRPr="004975DE">
        <w:rPr>
          <w:rFonts w:ascii="Times New Roman" w:hAnsi="Times New Roman" w:cs="Times New Roman"/>
          <w:spacing w:val="-5"/>
          <w:sz w:val="20"/>
          <w:szCs w:val="20"/>
        </w:rPr>
        <w:t xml:space="preserve"> </w:t>
      </w:r>
      <w:r>
        <w:rPr>
          <w:rFonts w:ascii="Times New Roman" w:hAnsi="Times New Roman" w:cs="Times New Roman"/>
          <w:sz w:val="20"/>
          <w:szCs w:val="20"/>
        </w:rPr>
        <w:t>Super plasticizers</w:t>
      </w:r>
    </w:p>
    <w:p w:rsidR="004975DE" w:rsidRPr="00617BED" w:rsidRDefault="004975DE" w:rsidP="004975DE">
      <w:pPr>
        <w:pStyle w:val="NormalWeb"/>
        <w:shd w:val="clear" w:color="auto" w:fill="FFFFFF"/>
        <w:spacing w:before="0" w:beforeAutospacing="0" w:after="0" w:afterAutospacing="0"/>
        <w:ind w:firstLine="360"/>
        <w:jc w:val="both"/>
        <w:textAlignment w:val="baseline"/>
        <w:rPr>
          <w:rFonts w:eastAsia="MS Mincho"/>
          <w:sz w:val="20"/>
          <w:szCs w:val="20"/>
        </w:rPr>
      </w:pPr>
      <w:r w:rsidRPr="00617BED">
        <w:rPr>
          <w:rFonts w:eastAsia="MS Mincho"/>
          <w:sz w:val="20"/>
          <w:szCs w:val="20"/>
        </w:rPr>
        <w:t>In the described categories of Naphthalenesulfonate based Super plasticizers (SNF), Melamine-sulfonate based Super plasticizers (SMF). and Lignosulfonate based Super plasticizers (MLS) which were very widely used as a types of super plasticizers for the past decade and they are also named as 1</w:t>
      </w:r>
      <w:r w:rsidRPr="00BD15BB">
        <w:rPr>
          <w:rFonts w:eastAsia="MS Mincho"/>
          <w:sz w:val="20"/>
          <w:szCs w:val="20"/>
          <w:vertAlign w:val="superscript"/>
        </w:rPr>
        <w:t>st</w:t>
      </w:r>
      <w:r w:rsidRPr="00617BED">
        <w:rPr>
          <w:rFonts w:eastAsia="MS Mincho"/>
          <w:sz w:val="20"/>
          <w:szCs w:val="20"/>
        </w:rPr>
        <w:t>,2</w:t>
      </w:r>
      <w:r w:rsidRPr="00BD15BB">
        <w:rPr>
          <w:rFonts w:eastAsia="MS Mincho"/>
          <w:sz w:val="20"/>
          <w:szCs w:val="20"/>
          <w:vertAlign w:val="superscript"/>
        </w:rPr>
        <w:t>nd</w:t>
      </w:r>
      <w:r w:rsidRPr="00617BED">
        <w:rPr>
          <w:rFonts w:eastAsia="MS Mincho"/>
          <w:sz w:val="20"/>
          <w:szCs w:val="20"/>
        </w:rPr>
        <w:t xml:space="preserve"> generation admixture super plasticizers.  But in the provided Category of D which as used in 90’s called as 3</w:t>
      </w:r>
      <w:r w:rsidRPr="00BD15BB">
        <w:rPr>
          <w:rFonts w:eastAsia="MS Mincho"/>
          <w:sz w:val="20"/>
          <w:szCs w:val="20"/>
          <w:vertAlign w:val="superscript"/>
        </w:rPr>
        <w:t>rd</w:t>
      </w:r>
      <w:r w:rsidRPr="00617BED">
        <w:rPr>
          <w:rFonts w:eastAsia="MS Mincho"/>
          <w:sz w:val="20"/>
          <w:szCs w:val="20"/>
        </w:rPr>
        <w:t xml:space="preserve"> generate category which is currently used in cement industry.  The older generations of Super plasticizer have shown an improved dispersion of cement </w:t>
      </w:r>
      <w:r w:rsidR="00F61400">
        <w:rPr>
          <w:rFonts w:eastAsia="MS Mincho"/>
          <w:sz w:val="20"/>
          <w:szCs w:val="20"/>
        </w:rPr>
        <w:t xml:space="preserve">material particles with electro </w:t>
      </w:r>
      <w:r w:rsidRPr="00617BED">
        <w:rPr>
          <w:rFonts w:eastAsia="MS Mincho"/>
          <w:sz w:val="20"/>
          <w:szCs w:val="20"/>
        </w:rPr>
        <w:t>steric repulsions. These categories are generally used for cement concrete as given below:</w:t>
      </w:r>
    </w:p>
    <w:p w:rsidR="006D32F3" w:rsidRPr="006D32F3" w:rsidRDefault="004975DE" w:rsidP="004975DE">
      <w:pPr>
        <w:pStyle w:val="ListParagraph"/>
        <w:widowControl w:val="0"/>
        <w:numPr>
          <w:ilvl w:val="0"/>
          <w:numId w:val="21"/>
        </w:numPr>
        <w:tabs>
          <w:tab w:val="left" w:pos="2003"/>
          <w:tab w:val="left" w:pos="9000"/>
        </w:tabs>
        <w:autoSpaceDE w:val="0"/>
        <w:autoSpaceDN w:val="0"/>
        <w:spacing w:after="0" w:line="240" w:lineRule="auto"/>
        <w:ind w:right="27"/>
        <w:jc w:val="both"/>
        <w:rPr>
          <w:rFonts w:ascii="Times New Roman" w:hAnsi="Times New Roman" w:cs="Times New Roman"/>
          <w:sz w:val="20"/>
          <w:szCs w:val="20"/>
        </w:rPr>
      </w:pPr>
      <w:r w:rsidRPr="00617BED">
        <w:rPr>
          <w:rFonts w:ascii="Times New Roman" w:hAnsi="Times New Roman" w:cs="Times New Roman"/>
          <w:sz w:val="20"/>
          <w:szCs w:val="20"/>
        </w:rPr>
        <w:t>Sulphonated</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melamine</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formaldehyde</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condensates</w:t>
      </w:r>
    </w:p>
    <w:p w:rsidR="006D32F3" w:rsidRDefault="006D32F3" w:rsidP="006D32F3">
      <w:pPr>
        <w:pStyle w:val="ListParagraph"/>
        <w:widowControl w:val="0"/>
        <w:numPr>
          <w:ilvl w:val="1"/>
          <w:numId w:val="21"/>
        </w:numPr>
        <w:tabs>
          <w:tab w:val="left" w:pos="2003"/>
          <w:tab w:val="left" w:pos="9000"/>
        </w:tabs>
        <w:autoSpaceDE w:val="0"/>
        <w:autoSpaceDN w:val="0"/>
        <w:spacing w:after="0" w:line="240" w:lineRule="auto"/>
        <w:ind w:right="27"/>
        <w:jc w:val="both"/>
        <w:rPr>
          <w:rFonts w:ascii="Times New Roman" w:hAnsi="Times New Roman" w:cs="Times New Roman"/>
          <w:sz w:val="20"/>
          <w:szCs w:val="20"/>
        </w:rPr>
      </w:pPr>
      <w:r>
        <w:rPr>
          <w:rFonts w:ascii="Times New Roman" w:hAnsi="Times New Roman" w:cs="Times New Roman"/>
          <w:spacing w:val="1"/>
          <w:sz w:val="20"/>
          <w:szCs w:val="20"/>
        </w:rPr>
        <w:t>S</w:t>
      </w:r>
      <w:r w:rsidR="004975DE" w:rsidRPr="00617BED">
        <w:rPr>
          <w:rFonts w:ascii="Times New Roman" w:hAnsi="Times New Roman" w:cs="Times New Roman"/>
          <w:sz w:val="20"/>
          <w:szCs w:val="20"/>
        </w:rPr>
        <w:t>uitab</w:t>
      </w:r>
      <w:r>
        <w:rPr>
          <w:rFonts w:ascii="Times New Roman" w:hAnsi="Times New Roman" w:cs="Times New Roman"/>
          <w:sz w:val="20"/>
          <w:szCs w:val="20"/>
        </w:rPr>
        <w:t>ility:</w:t>
      </w:r>
      <w:r w:rsidR="004975DE" w:rsidRPr="00617BED">
        <w:rPr>
          <w:rFonts w:ascii="Times New Roman" w:hAnsi="Times New Roman" w:cs="Times New Roman"/>
          <w:spacing w:val="1"/>
          <w:sz w:val="20"/>
          <w:szCs w:val="20"/>
        </w:rPr>
        <w:t xml:space="preserve"> </w:t>
      </w:r>
      <w:r>
        <w:rPr>
          <w:rFonts w:ascii="Times New Roman" w:hAnsi="Times New Roman" w:cs="Times New Roman"/>
          <w:spacing w:val="1"/>
          <w:sz w:val="20"/>
          <w:szCs w:val="20"/>
        </w:rPr>
        <w:t>L</w:t>
      </w:r>
      <w:r w:rsidR="004975DE" w:rsidRPr="00617BED">
        <w:rPr>
          <w:rFonts w:ascii="Times New Roman" w:hAnsi="Times New Roman" w:cs="Times New Roman"/>
          <w:sz w:val="20"/>
          <w:szCs w:val="20"/>
        </w:rPr>
        <w:t>ow</w:t>
      </w:r>
      <w:r w:rsidR="004975DE" w:rsidRPr="00617BED">
        <w:rPr>
          <w:rFonts w:ascii="Times New Roman" w:hAnsi="Times New Roman" w:cs="Times New Roman"/>
          <w:spacing w:val="1"/>
          <w:sz w:val="20"/>
          <w:szCs w:val="20"/>
        </w:rPr>
        <w:t xml:space="preserve"> </w:t>
      </w:r>
      <w:r w:rsidR="004975DE" w:rsidRPr="00617BED">
        <w:rPr>
          <w:rFonts w:ascii="Times New Roman" w:hAnsi="Times New Roman" w:cs="Times New Roman"/>
          <w:sz w:val="20"/>
          <w:szCs w:val="20"/>
        </w:rPr>
        <w:t>temperature</w:t>
      </w:r>
      <w:r w:rsidR="004975DE" w:rsidRPr="00617BED">
        <w:rPr>
          <w:rFonts w:ascii="Times New Roman" w:hAnsi="Times New Roman" w:cs="Times New Roman"/>
          <w:spacing w:val="-2"/>
          <w:sz w:val="20"/>
          <w:szCs w:val="20"/>
        </w:rPr>
        <w:t xml:space="preserve"> </w:t>
      </w:r>
      <w:r>
        <w:rPr>
          <w:rFonts w:ascii="Times New Roman" w:hAnsi="Times New Roman" w:cs="Times New Roman"/>
          <w:sz w:val="20"/>
          <w:szCs w:val="20"/>
        </w:rPr>
        <w:t>areas</w:t>
      </w:r>
    </w:p>
    <w:p w:rsidR="004975DE" w:rsidRPr="00617BED" w:rsidRDefault="006D32F3" w:rsidP="006D32F3">
      <w:pPr>
        <w:pStyle w:val="ListParagraph"/>
        <w:widowControl w:val="0"/>
        <w:numPr>
          <w:ilvl w:val="1"/>
          <w:numId w:val="21"/>
        </w:numPr>
        <w:tabs>
          <w:tab w:val="left" w:pos="2003"/>
          <w:tab w:val="left" w:pos="9000"/>
        </w:tabs>
        <w:autoSpaceDE w:val="0"/>
        <w:autoSpaceDN w:val="0"/>
        <w:spacing w:after="0" w:line="240" w:lineRule="auto"/>
        <w:ind w:right="27"/>
        <w:jc w:val="both"/>
        <w:rPr>
          <w:rFonts w:ascii="Times New Roman" w:hAnsi="Times New Roman" w:cs="Times New Roman"/>
          <w:sz w:val="20"/>
          <w:szCs w:val="20"/>
        </w:rPr>
      </w:pPr>
      <w:r>
        <w:rPr>
          <w:rFonts w:ascii="Times New Roman" w:hAnsi="Times New Roman" w:cs="Times New Roman"/>
          <w:sz w:val="20"/>
          <w:szCs w:val="20"/>
        </w:rPr>
        <w:t xml:space="preserve"> D</w:t>
      </w:r>
      <w:r w:rsidR="004975DE" w:rsidRPr="00617BED">
        <w:rPr>
          <w:rFonts w:ascii="Times New Roman" w:hAnsi="Times New Roman" w:cs="Times New Roman"/>
          <w:sz w:val="20"/>
          <w:szCs w:val="20"/>
        </w:rPr>
        <w:t>osage:</w:t>
      </w:r>
      <w:r w:rsidR="004975DE" w:rsidRPr="00617BED">
        <w:rPr>
          <w:rFonts w:ascii="Times New Roman" w:hAnsi="Times New Roman" w:cs="Times New Roman"/>
          <w:spacing w:val="-1"/>
          <w:sz w:val="20"/>
          <w:szCs w:val="20"/>
        </w:rPr>
        <w:t xml:space="preserve"> </w:t>
      </w:r>
      <w:r w:rsidR="004975DE" w:rsidRPr="00617BED">
        <w:rPr>
          <w:rFonts w:ascii="Times New Roman" w:hAnsi="Times New Roman" w:cs="Times New Roman"/>
          <w:sz w:val="20"/>
          <w:szCs w:val="20"/>
        </w:rPr>
        <w:t>0.5 -</w:t>
      </w:r>
      <w:r w:rsidR="004975DE" w:rsidRPr="00617BED">
        <w:rPr>
          <w:rFonts w:ascii="Times New Roman" w:hAnsi="Times New Roman" w:cs="Times New Roman"/>
          <w:spacing w:val="1"/>
          <w:sz w:val="20"/>
          <w:szCs w:val="20"/>
        </w:rPr>
        <w:t xml:space="preserve"> </w:t>
      </w:r>
      <w:r w:rsidR="004975DE" w:rsidRPr="00617BED">
        <w:rPr>
          <w:rFonts w:ascii="Times New Roman" w:hAnsi="Times New Roman" w:cs="Times New Roman"/>
          <w:sz w:val="20"/>
          <w:szCs w:val="20"/>
        </w:rPr>
        <w:t>3%</w:t>
      </w:r>
      <w:r w:rsidR="004975DE" w:rsidRPr="00617BED">
        <w:rPr>
          <w:rFonts w:ascii="Times New Roman" w:hAnsi="Times New Roman" w:cs="Times New Roman"/>
          <w:spacing w:val="-1"/>
          <w:sz w:val="20"/>
          <w:szCs w:val="20"/>
        </w:rPr>
        <w:t xml:space="preserve"> </w:t>
      </w:r>
      <w:r w:rsidR="004975DE" w:rsidRPr="00617BED">
        <w:rPr>
          <w:rFonts w:ascii="Times New Roman" w:hAnsi="Times New Roman" w:cs="Times New Roman"/>
          <w:sz w:val="20"/>
          <w:szCs w:val="20"/>
        </w:rPr>
        <w:t>by</w:t>
      </w:r>
      <w:r w:rsidR="004975DE" w:rsidRPr="00617BED">
        <w:rPr>
          <w:rFonts w:ascii="Times New Roman" w:hAnsi="Times New Roman" w:cs="Times New Roman"/>
          <w:spacing w:val="-5"/>
          <w:sz w:val="20"/>
          <w:szCs w:val="20"/>
        </w:rPr>
        <w:t xml:space="preserve"> </w:t>
      </w:r>
      <w:r w:rsidR="004975DE" w:rsidRPr="00617BED">
        <w:rPr>
          <w:rFonts w:ascii="Times New Roman" w:hAnsi="Times New Roman" w:cs="Times New Roman"/>
          <w:sz w:val="20"/>
          <w:szCs w:val="20"/>
        </w:rPr>
        <w:t>weight</w:t>
      </w:r>
      <w:r w:rsidR="004975DE" w:rsidRPr="00617BED">
        <w:rPr>
          <w:rFonts w:ascii="Times New Roman" w:hAnsi="Times New Roman" w:cs="Times New Roman"/>
          <w:spacing w:val="-1"/>
          <w:sz w:val="20"/>
          <w:szCs w:val="20"/>
        </w:rPr>
        <w:t xml:space="preserve"> </w:t>
      </w:r>
      <w:r w:rsidR="004975DE" w:rsidRPr="00617BED">
        <w:rPr>
          <w:rFonts w:ascii="Times New Roman" w:hAnsi="Times New Roman" w:cs="Times New Roman"/>
          <w:sz w:val="20"/>
          <w:szCs w:val="20"/>
        </w:rPr>
        <w:t>of</w:t>
      </w:r>
      <w:r w:rsidR="004975DE" w:rsidRPr="00617BED">
        <w:rPr>
          <w:rFonts w:ascii="Times New Roman" w:hAnsi="Times New Roman" w:cs="Times New Roman"/>
          <w:spacing w:val="1"/>
          <w:sz w:val="20"/>
          <w:szCs w:val="20"/>
        </w:rPr>
        <w:t xml:space="preserve"> </w:t>
      </w:r>
      <w:r w:rsidR="004975DE" w:rsidRPr="00617BED">
        <w:rPr>
          <w:rFonts w:ascii="Times New Roman" w:hAnsi="Times New Roman" w:cs="Times New Roman"/>
          <w:sz w:val="20"/>
          <w:szCs w:val="20"/>
        </w:rPr>
        <w:t>cement</w:t>
      </w:r>
    </w:p>
    <w:p w:rsidR="006D32F3" w:rsidRDefault="004975DE" w:rsidP="004975DE">
      <w:pPr>
        <w:pStyle w:val="ListParagraph"/>
        <w:widowControl w:val="0"/>
        <w:numPr>
          <w:ilvl w:val="0"/>
          <w:numId w:val="21"/>
        </w:numPr>
        <w:tabs>
          <w:tab w:val="left" w:pos="2003"/>
        </w:tabs>
        <w:autoSpaceDE w:val="0"/>
        <w:autoSpaceDN w:val="0"/>
        <w:spacing w:after="0" w:line="240" w:lineRule="auto"/>
        <w:ind w:right="27"/>
        <w:jc w:val="both"/>
        <w:rPr>
          <w:rFonts w:ascii="Times New Roman" w:hAnsi="Times New Roman" w:cs="Times New Roman"/>
          <w:sz w:val="20"/>
          <w:szCs w:val="20"/>
        </w:rPr>
      </w:pPr>
      <w:r w:rsidRPr="00617BED">
        <w:rPr>
          <w:rFonts w:ascii="Times New Roman" w:hAnsi="Times New Roman" w:cs="Times New Roman"/>
          <w:sz w:val="20"/>
          <w:szCs w:val="20"/>
        </w:rPr>
        <w:t>Sulphonated naphthalene formaldehyde condensates</w:t>
      </w:r>
    </w:p>
    <w:p w:rsidR="006D32F3" w:rsidRDefault="006D32F3" w:rsidP="006D32F3">
      <w:pPr>
        <w:pStyle w:val="ListParagraph"/>
        <w:widowControl w:val="0"/>
        <w:numPr>
          <w:ilvl w:val="1"/>
          <w:numId w:val="21"/>
        </w:numPr>
        <w:tabs>
          <w:tab w:val="left" w:pos="2003"/>
        </w:tabs>
        <w:autoSpaceDE w:val="0"/>
        <w:autoSpaceDN w:val="0"/>
        <w:spacing w:after="0" w:line="240" w:lineRule="auto"/>
        <w:ind w:right="27"/>
        <w:jc w:val="both"/>
        <w:rPr>
          <w:rFonts w:ascii="Times New Roman" w:hAnsi="Times New Roman" w:cs="Times New Roman"/>
          <w:sz w:val="20"/>
          <w:szCs w:val="20"/>
        </w:rPr>
      </w:pPr>
      <w:r>
        <w:rPr>
          <w:rFonts w:ascii="Times New Roman" w:hAnsi="Times New Roman" w:cs="Times New Roman"/>
          <w:sz w:val="20"/>
          <w:szCs w:val="20"/>
        </w:rPr>
        <w:t>Suitability: H</w:t>
      </w:r>
      <w:r w:rsidR="004975DE" w:rsidRPr="00617BED">
        <w:rPr>
          <w:rFonts w:ascii="Times New Roman" w:hAnsi="Times New Roman" w:cs="Times New Roman"/>
          <w:sz w:val="20"/>
          <w:szCs w:val="20"/>
        </w:rPr>
        <w:t>igh</w:t>
      </w:r>
      <w:r w:rsidR="004975DE" w:rsidRPr="00617BED">
        <w:rPr>
          <w:rFonts w:ascii="Times New Roman" w:hAnsi="Times New Roman" w:cs="Times New Roman"/>
          <w:spacing w:val="-57"/>
          <w:sz w:val="20"/>
          <w:szCs w:val="20"/>
        </w:rPr>
        <w:t xml:space="preserve"> </w:t>
      </w:r>
      <w:r w:rsidR="004975DE" w:rsidRPr="00617BED">
        <w:rPr>
          <w:rFonts w:ascii="Times New Roman" w:hAnsi="Times New Roman" w:cs="Times New Roman"/>
          <w:sz w:val="20"/>
          <w:szCs w:val="20"/>
        </w:rPr>
        <w:t>temperature</w:t>
      </w:r>
      <w:r w:rsidR="004975DE" w:rsidRPr="00617BED">
        <w:rPr>
          <w:rFonts w:ascii="Times New Roman" w:hAnsi="Times New Roman" w:cs="Times New Roman"/>
          <w:spacing w:val="-2"/>
          <w:sz w:val="20"/>
          <w:szCs w:val="20"/>
        </w:rPr>
        <w:t xml:space="preserve"> </w:t>
      </w:r>
      <w:r w:rsidR="004975DE" w:rsidRPr="00617BED">
        <w:rPr>
          <w:rFonts w:ascii="Times New Roman" w:hAnsi="Times New Roman" w:cs="Times New Roman"/>
          <w:sz w:val="20"/>
          <w:szCs w:val="20"/>
        </w:rPr>
        <w:t xml:space="preserve">areas  </w:t>
      </w:r>
    </w:p>
    <w:p w:rsidR="004975DE" w:rsidRPr="00617BED" w:rsidRDefault="006D32F3" w:rsidP="006D32F3">
      <w:pPr>
        <w:pStyle w:val="ListParagraph"/>
        <w:widowControl w:val="0"/>
        <w:numPr>
          <w:ilvl w:val="1"/>
          <w:numId w:val="21"/>
        </w:numPr>
        <w:tabs>
          <w:tab w:val="left" w:pos="2003"/>
        </w:tabs>
        <w:autoSpaceDE w:val="0"/>
        <w:autoSpaceDN w:val="0"/>
        <w:spacing w:after="0" w:line="240" w:lineRule="auto"/>
        <w:ind w:right="27"/>
        <w:jc w:val="both"/>
        <w:rPr>
          <w:rFonts w:ascii="Times New Roman" w:hAnsi="Times New Roman" w:cs="Times New Roman"/>
          <w:sz w:val="20"/>
          <w:szCs w:val="20"/>
        </w:rPr>
      </w:pPr>
      <w:r>
        <w:rPr>
          <w:rFonts w:ascii="Times New Roman" w:hAnsi="Times New Roman" w:cs="Times New Roman"/>
          <w:sz w:val="20"/>
          <w:szCs w:val="20"/>
        </w:rPr>
        <w:lastRenderedPageBreak/>
        <w:t>D</w:t>
      </w:r>
      <w:r w:rsidR="004975DE" w:rsidRPr="00617BED">
        <w:rPr>
          <w:rFonts w:ascii="Times New Roman" w:hAnsi="Times New Roman" w:cs="Times New Roman"/>
          <w:sz w:val="20"/>
          <w:szCs w:val="20"/>
        </w:rPr>
        <w:t>osage:</w:t>
      </w:r>
      <w:r w:rsidR="004975DE" w:rsidRPr="00617BED">
        <w:rPr>
          <w:rFonts w:ascii="Times New Roman" w:hAnsi="Times New Roman" w:cs="Times New Roman"/>
          <w:spacing w:val="-1"/>
          <w:sz w:val="20"/>
          <w:szCs w:val="20"/>
        </w:rPr>
        <w:t xml:space="preserve"> </w:t>
      </w:r>
      <w:r w:rsidR="004975DE" w:rsidRPr="00617BED">
        <w:rPr>
          <w:rFonts w:ascii="Times New Roman" w:hAnsi="Times New Roman" w:cs="Times New Roman"/>
          <w:sz w:val="20"/>
          <w:szCs w:val="20"/>
        </w:rPr>
        <w:t>0.5 -</w:t>
      </w:r>
      <w:r w:rsidR="004975DE" w:rsidRPr="00617BED">
        <w:rPr>
          <w:rFonts w:ascii="Times New Roman" w:hAnsi="Times New Roman" w:cs="Times New Roman"/>
          <w:spacing w:val="1"/>
          <w:sz w:val="20"/>
          <w:szCs w:val="20"/>
        </w:rPr>
        <w:t xml:space="preserve"> </w:t>
      </w:r>
      <w:r w:rsidR="004975DE" w:rsidRPr="00617BED">
        <w:rPr>
          <w:rFonts w:ascii="Times New Roman" w:hAnsi="Times New Roman" w:cs="Times New Roman"/>
          <w:sz w:val="20"/>
          <w:szCs w:val="20"/>
        </w:rPr>
        <w:t>3%</w:t>
      </w:r>
      <w:r w:rsidR="004975DE" w:rsidRPr="00617BED">
        <w:rPr>
          <w:rFonts w:ascii="Times New Roman" w:hAnsi="Times New Roman" w:cs="Times New Roman"/>
          <w:spacing w:val="-1"/>
          <w:sz w:val="20"/>
          <w:szCs w:val="20"/>
        </w:rPr>
        <w:t xml:space="preserve"> </w:t>
      </w:r>
      <w:r w:rsidR="004975DE" w:rsidRPr="00617BED">
        <w:rPr>
          <w:rFonts w:ascii="Times New Roman" w:hAnsi="Times New Roman" w:cs="Times New Roman"/>
          <w:sz w:val="20"/>
          <w:szCs w:val="20"/>
        </w:rPr>
        <w:t>by</w:t>
      </w:r>
      <w:r w:rsidR="004975DE" w:rsidRPr="00617BED">
        <w:rPr>
          <w:rFonts w:ascii="Times New Roman" w:hAnsi="Times New Roman" w:cs="Times New Roman"/>
          <w:spacing w:val="-5"/>
          <w:sz w:val="20"/>
          <w:szCs w:val="20"/>
        </w:rPr>
        <w:t xml:space="preserve"> </w:t>
      </w:r>
      <w:r w:rsidR="004975DE" w:rsidRPr="00617BED">
        <w:rPr>
          <w:rFonts w:ascii="Times New Roman" w:hAnsi="Times New Roman" w:cs="Times New Roman"/>
          <w:sz w:val="20"/>
          <w:szCs w:val="20"/>
        </w:rPr>
        <w:t>weight</w:t>
      </w:r>
      <w:r w:rsidR="004975DE" w:rsidRPr="00617BED">
        <w:rPr>
          <w:rFonts w:ascii="Times New Roman" w:hAnsi="Times New Roman" w:cs="Times New Roman"/>
          <w:spacing w:val="-1"/>
          <w:sz w:val="20"/>
          <w:szCs w:val="20"/>
        </w:rPr>
        <w:t xml:space="preserve"> </w:t>
      </w:r>
      <w:r w:rsidR="004975DE" w:rsidRPr="00617BED">
        <w:rPr>
          <w:rFonts w:ascii="Times New Roman" w:hAnsi="Times New Roman" w:cs="Times New Roman"/>
          <w:sz w:val="20"/>
          <w:szCs w:val="20"/>
        </w:rPr>
        <w:t>of</w:t>
      </w:r>
      <w:r w:rsidR="004975DE" w:rsidRPr="00617BED">
        <w:rPr>
          <w:rFonts w:ascii="Times New Roman" w:hAnsi="Times New Roman" w:cs="Times New Roman"/>
          <w:spacing w:val="1"/>
          <w:sz w:val="20"/>
          <w:szCs w:val="20"/>
        </w:rPr>
        <w:t xml:space="preserve"> </w:t>
      </w:r>
      <w:r w:rsidR="004975DE" w:rsidRPr="00617BED">
        <w:rPr>
          <w:rFonts w:ascii="Times New Roman" w:hAnsi="Times New Roman" w:cs="Times New Roman"/>
          <w:sz w:val="20"/>
          <w:szCs w:val="20"/>
        </w:rPr>
        <w:t>cement</w:t>
      </w:r>
    </w:p>
    <w:p w:rsidR="006D32F3" w:rsidRDefault="004975DE" w:rsidP="004975DE">
      <w:pPr>
        <w:pStyle w:val="ListParagraph"/>
        <w:widowControl w:val="0"/>
        <w:numPr>
          <w:ilvl w:val="0"/>
          <w:numId w:val="21"/>
        </w:numPr>
        <w:tabs>
          <w:tab w:val="left" w:pos="2003"/>
        </w:tabs>
        <w:autoSpaceDE w:val="0"/>
        <w:autoSpaceDN w:val="0"/>
        <w:spacing w:after="0" w:line="240" w:lineRule="auto"/>
        <w:ind w:right="27"/>
        <w:jc w:val="both"/>
        <w:rPr>
          <w:rFonts w:ascii="Times New Roman" w:hAnsi="Times New Roman" w:cs="Times New Roman"/>
          <w:sz w:val="20"/>
          <w:szCs w:val="20"/>
        </w:rPr>
      </w:pPr>
      <w:r w:rsidRPr="00617BED">
        <w:rPr>
          <w:rFonts w:ascii="Times New Roman" w:hAnsi="Times New Roman" w:cs="Times New Roman"/>
          <w:sz w:val="20"/>
          <w:szCs w:val="20"/>
        </w:rPr>
        <w:t>Modified</w:t>
      </w:r>
      <w:r w:rsidRPr="00617BED">
        <w:rPr>
          <w:rFonts w:ascii="Times New Roman" w:hAnsi="Times New Roman" w:cs="Times New Roman"/>
          <w:spacing w:val="59"/>
          <w:sz w:val="20"/>
          <w:szCs w:val="20"/>
        </w:rPr>
        <w:t xml:space="preserve"> </w:t>
      </w:r>
      <w:r w:rsidRPr="00617BED">
        <w:rPr>
          <w:rFonts w:ascii="Times New Roman" w:hAnsi="Times New Roman" w:cs="Times New Roman"/>
          <w:sz w:val="20"/>
          <w:szCs w:val="20"/>
        </w:rPr>
        <w:t>Lignosulphates</w:t>
      </w:r>
    </w:p>
    <w:p w:rsidR="006D32F3" w:rsidRDefault="006D32F3" w:rsidP="006D32F3">
      <w:pPr>
        <w:pStyle w:val="ListParagraph"/>
        <w:widowControl w:val="0"/>
        <w:numPr>
          <w:ilvl w:val="1"/>
          <w:numId w:val="21"/>
        </w:numPr>
        <w:tabs>
          <w:tab w:val="left" w:pos="2003"/>
        </w:tabs>
        <w:autoSpaceDE w:val="0"/>
        <w:autoSpaceDN w:val="0"/>
        <w:spacing w:after="0" w:line="240" w:lineRule="auto"/>
        <w:ind w:right="27"/>
        <w:jc w:val="both"/>
        <w:rPr>
          <w:rFonts w:ascii="Times New Roman" w:hAnsi="Times New Roman" w:cs="Times New Roman"/>
          <w:sz w:val="20"/>
          <w:szCs w:val="20"/>
        </w:rPr>
      </w:pPr>
      <w:r>
        <w:rPr>
          <w:rFonts w:ascii="Times New Roman" w:hAnsi="Times New Roman" w:cs="Times New Roman"/>
          <w:sz w:val="20"/>
          <w:szCs w:val="20"/>
        </w:rPr>
        <w:t>Suitability: T</w:t>
      </w:r>
      <w:r w:rsidR="004975DE" w:rsidRPr="00617BED">
        <w:rPr>
          <w:rFonts w:ascii="Times New Roman" w:hAnsi="Times New Roman" w:cs="Times New Roman"/>
          <w:sz w:val="20"/>
          <w:szCs w:val="20"/>
        </w:rPr>
        <w:t>emperature</w:t>
      </w:r>
      <w:r w:rsidR="004975DE" w:rsidRPr="00617BED">
        <w:rPr>
          <w:rFonts w:ascii="Times New Roman" w:hAnsi="Times New Roman" w:cs="Times New Roman"/>
          <w:spacing w:val="-58"/>
          <w:sz w:val="20"/>
          <w:szCs w:val="20"/>
        </w:rPr>
        <w:t xml:space="preserve"> </w:t>
      </w:r>
      <w:r w:rsidR="004975DE" w:rsidRPr="00617BED">
        <w:rPr>
          <w:rFonts w:ascii="Times New Roman" w:hAnsi="Times New Roman" w:cs="Times New Roman"/>
          <w:sz w:val="20"/>
          <w:szCs w:val="20"/>
        </w:rPr>
        <w:t>variation</w:t>
      </w:r>
      <w:r w:rsidR="004975DE" w:rsidRPr="00617BED">
        <w:rPr>
          <w:rFonts w:ascii="Times New Roman" w:hAnsi="Times New Roman" w:cs="Times New Roman"/>
          <w:spacing w:val="-1"/>
          <w:sz w:val="20"/>
          <w:szCs w:val="20"/>
        </w:rPr>
        <w:t xml:space="preserve"> </w:t>
      </w:r>
      <w:r w:rsidR="004975DE" w:rsidRPr="00617BED">
        <w:rPr>
          <w:rFonts w:ascii="Times New Roman" w:hAnsi="Times New Roman" w:cs="Times New Roman"/>
          <w:sz w:val="20"/>
          <w:szCs w:val="20"/>
        </w:rPr>
        <w:t>is high</w:t>
      </w:r>
    </w:p>
    <w:p w:rsidR="004975DE" w:rsidRDefault="006D32F3" w:rsidP="006D32F3">
      <w:pPr>
        <w:pStyle w:val="ListParagraph"/>
        <w:widowControl w:val="0"/>
        <w:numPr>
          <w:ilvl w:val="1"/>
          <w:numId w:val="21"/>
        </w:numPr>
        <w:tabs>
          <w:tab w:val="left" w:pos="2003"/>
        </w:tabs>
        <w:autoSpaceDE w:val="0"/>
        <w:autoSpaceDN w:val="0"/>
        <w:spacing w:after="0" w:line="240" w:lineRule="auto"/>
        <w:ind w:right="27"/>
        <w:jc w:val="both"/>
        <w:rPr>
          <w:rFonts w:ascii="Times New Roman" w:hAnsi="Times New Roman" w:cs="Times New Roman"/>
          <w:sz w:val="20"/>
          <w:szCs w:val="20"/>
        </w:rPr>
      </w:pPr>
      <w:r>
        <w:rPr>
          <w:rFonts w:ascii="Times New Roman" w:hAnsi="Times New Roman" w:cs="Times New Roman"/>
          <w:sz w:val="20"/>
          <w:szCs w:val="20"/>
        </w:rPr>
        <w:t>D</w:t>
      </w:r>
      <w:r w:rsidR="004975DE" w:rsidRPr="00617BED">
        <w:rPr>
          <w:rFonts w:ascii="Times New Roman" w:hAnsi="Times New Roman" w:cs="Times New Roman"/>
          <w:sz w:val="20"/>
          <w:szCs w:val="20"/>
        </w:rPr>
        <w:t>osage</w:t>
      </w:r>
      <w:r>
        <w:rPr>
          <w:rFonts w:ascii="Times New Roman" w:hAnsi="Times New Roman" w:cs="Times New Roman"/>
          <w:sz w:val="20"/>
          <w:szCs w:val="20"/>
        </w:rPr>
        <w:t>:</w:t>
      </w:r>
      <w:r w:rsidR="004975DE" w:rsidRPr="00617BED">
        <w:rPr>
          <w:rFonts w:ascii="Times New Roman" w:hAnsi="Times New Roman" w:cs="Times New Roman"/>
          <w:spacing w:val="-1"/>
          <w:sz w:val="20"/>
          <w:szCs w:val="20"/>
        </w:rPr>
        <w:t xml:space="preserve"> </w:t>
      </w:r>
      <w:r>
        <w:rPr>
          <w:rFonts w:ascii="Times New Roman" w:hAnsi="Times New Roman" w:cs="Times New Roman"/>
          <w:spacing w:val="-1"/>
          <w:sz w:val="20"/>
          <w:szCs w:val="20"/>
        </w:rPr>
        <w:t xml:space="preserve">Below </w:t>
      </w:r>
      <w:r w:rsidR="004975DE" w:rsidRPr="00617BED">
        <w:rPr>
          <w:rFonts w:ascii="Times New Roman" w:hAnsi="Times New Roman" w:cs="Times New Roman"/>
          <w:sz w:val="20"/>
          <w:szCs w:val="20"/>
        </w:rPr>
        <w:t>0.25%</w:t>
      </w:r>
      <w:r w:rsidR="004975DE" w:rsidRPr="00617BED">
        <w:rPr>
          <w:rFonts w:ascii="Times New Roman" w:hAnsi="Times New Roman" w:cs="Times New Roman"/>
          <w:spacing w:val="-1"/>
          <w:sz w:val="20"/>
          <w:szCs w:val="20"/>
        </w:rPr>
        <w:t xml:space="preserve"> </w:t>
      </w:r>
      <w:r w:rsidR="004975DE" w:rsidRPr="00617BED">
        <w:rPr>
          <w:rFonts w:ascii="Times New Roman" w:hAnsi="Times New Roman" w:cs="Times New Roman"/>
          <w:sz w:val="20"/>
          <w:szCs w:val="20"/>
        </w:rPr>
        <w:t>by</w:t>
      </w:r>
      <w:r w:rsidR="004975DE" w:rsidRPr="00617BED">
        <w:rPr>
          <w:rFonts w:ascii="Times New Roman" w:hAnsi="Times New Roman" w:cs="Times New Roman"/>
          <w:spacing w:val="-4"/>
          <w:sz w:val="20"/>
          <w:szCs w:val="20"/>
        </w:rPr>
        <w:t xml:space="preserve"> </w:t>
      </w:r>
      <w:r w:rsidR="004975DE" w:rsidRPr="00617BED">
        <w:rPr>
          <w:rFonts w:ascii="Times New Roman" w:hAnsi="Times New Roman" w:cs="Times New Roman"/>
          <w:sz w:val="20"/>
          <w:szCs w:val="20"/>
        </w:rPr>
        <w:t>weight of</w:t>
      </w:r>
      <w:r w:rsidR="004975DE" w:rsidRPr="00617BED">
        <w:rPr>
          <w:rFonts w:ascii="Times New Roman" w:hAnsi="Times New Roman" w:cs="Times New Roman"/>
          <w:spacing w:val="-1"/>
          <w:sz w:val="20"/>
          <w:szCs w:val="20"/>
        </w:rPr>
        <w:t xml:space="preserve"> </w:t>
      </w:r>
      <w:r w:rsidR="004975DE" w:rsidRPr="00617BED">
        <w:rPr>
          <w:rFonts w:ascii="Times New Roman" w:hAnsi="Times New Roman" w:cs="Times New Roman"/>
          <w:sz w:val="20"/>
          <w:szCs w:val="20"/>
        </w:rPr>
        <w:t>cement</w:t>
      </w:r>
    </w:p>
    <w:p w:rsidR="006D32F3" w:rsidRDefault="004827E0" w:rsidP="004975DE">
      <w:pPr>
        <w:pStyle w:val="ListParagraph"/>
        <w:widowControl w:val="0"/>
        <w:numPr>
          <w:ilvl w:val="0"/>
          <w:numId w:val="21"/>
        </w:numPr>
        <w:tabs>
          <w:tab w:val="left" w:pos="2003"/>
        </w:tabs>
        <w:autoSpaceDE w:val="0"/>
        <w:autoSpaceDN w:val="0"/>
        <w:spacing w:after="0" w:line="240" w:lineRule="auto"/>
        <w:ind w:right="27"/>
        <w:jc w:val="both"/>
        <w:rPr>
          <w:rFonts w:ascii="Times New Roman" w:hAnsi="Times New Roman" w:cs="Times New Roman"/>
          <w:sz w:val="20"/>
          <w:szCs w:val="20"/>
        </w:rPr>
      </w:pPr>
      <w:r w:rsidRPr="00617BED">
        <w:rPr>
          <w:rFonts w:ascii="Times New Roman" w:hAnsi="Times New Roman" w:cs="Times New Roman"/>
          <w:sz w:val="20"/>
          <w:szCs w:val="20"/>
        </w:rPr>
        <w:t xml:space="preserve">Carboxylated admixture – </w:t>
      </w:r>
    </w:p>
    <w:p w:rsidR="006D32F3" w:rsidRDefault="006D32F3" w:rsidP="006D32F3">
      <w:pPr>
        <w:pStyle w:val="ListParagraph"/>
        <w:widowControl w:val="0"/>
        <w:numPr>
          <w:ilvl w:val="1"/>
          <w:numId w:val="21"/>
        </w:numPr>
        <w:tabs>
          <w:tab w:val="left" w:pos="2003"/>
        </w:tabs>
        <w:autoSpaceDE w:val="0"/>
        <w:autoSpaceDN w:val="0"/>
        <w:spacing w:after="0" w:line="240" w:lineRule="auto"/>
        <w:ind w:right="27"/>
        <w:jc w:val="both"/>
        <w:rPr>
          <w:rFonts w:ascii="Times New Roman" w:hAnsi="Times New Roman" w:cs="Times New Roman"/>
          <w:sz w:val="20"/>
          <w:szCs w:val="20"/>
        </w:rPr>
      </w:pPr>
      <w:r>
        <w:rPr>
          <w:rFonts w:ascii="Times New Roman" w:hAnsi="Times New Roman" w:cs="Times New Roman"/>
          <w:sz w:val="20"/>
          <w:szCs w:val="20"/>
        </w:rPr>
        <w:t>Suitability: W</w:t>
      </w:r>
      <w:r w:rsidR="004827E0" w:rsidRPr="00617BED">
        <w:rPr>
          <w:rFonts w:ascii="Times New Roman" w:hAnsi="Times New Roman" w:cs="Times New Roman"/>
          <w:sz w:val="20"/>
          <w:szCs w:val="20"/>
        </w:rPr>
        <w:t>orkability is required to be</w:t>
      </w:r>
      <w:r w:rsidR="004827E0" w:rsidRPr="00617BED">
        <w:rPr>
          <w:rFonts w:ascii="Times New Roman" w:hAnsi="Times New Roman" w:cs="Times New Roman"/>
          <w:spacing w:val="1"/>
          <w:sz w:val="20"/>
          <w:szCs w:val="20"/>
        </w:rPr>
        <w:t xml:space="preserve"> </w:t>
      </w:r>
      <w:r w:rsidR="004827E0" w:rsidRPr="00617BED">
        <w:rPr>
          <w:rFonts w:ascii="Times New Roman" w:hAnsi="Times New Roman" w:cs="Times New Roman"/>
          <w:sz w:val="20"/>
          <w:szCs w:val="20"/>
        </w:rPr>
        <w:t xml:space="preserve">retained for large duration. </w:t>
      </w:r>
    </w:p>
    <w:p w:rsidR="004827E0" w:rsidRDefault="004827E0" w:rsidP="006D32F3">
      <w:pPr>
        <w:pStyle w:val="ListParagraph"/>
        <w:widowControl w:val="0"/>
        <w:numPr>
          <w:ilvl w:val="1"/>
          <w:numId w:val="21"/>
        </w:numPr>
        <w:tabs>
          <w:tab w:val="left" w:pos="2003"/>
        </w:tabs>
        <w:autoSpaceDE w:val="0"/>
        <w:autoSpaceDN w:val="0"/>
        <w:spacing w:after="0" w:line="240" w:lineRule="auto"/>
        <w:ind w:right="27"/>
        <w:jc w:val="both"/>
        <w:rPr>
          <w:rFonts w:ascii="Times New Roman" w:hAnsi="Times New Roman" w:cs="Times New Roman"/>
          <w:sz w:val="20"/>
          <w:szCs w:val="20"/>
        </w:rPr>
      </w:pPr>
      <w:r w:rsidRPr="00617BED">
        <w:rPr>
          <w:rFonts w:ascii="Times New Roman" w:hAnsi="Times New Roman" w:cs="Times New Roman"/>
          <w:sz w:val="20"/>
          <w:szCs w:val="20"/>
        </w:rPr>
        <w:t>The Super plasticizer is adsorbed onto the cement</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particles,</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thereby</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lowering</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inter-particle</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attraction</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and</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producing</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a</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more</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uniform</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dispersion</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of</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cement</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grains as</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with a</w:t>
      </w:r>
      <w:r w:rsidRPr="00617BED">
        <w:rPr>
          <w:rFonts w:ascii="Times New Roman" w:hAnsi="Times New Roman" w:cs="Times New Roman"/>
          <w:spacing w:val="-2"/>
          <w:sz w:val="20"/>
          <w:szCs w:val="20"/>
        </w:rPr>
        <w:t xml:space="preserve"> </w:t>
      </w:r>
      <w:r w:rsidRPr="00617BED">
        <w:rPr>
          <w:rFonts w:ascii="Times New Roman" w:hAnsi="Times New Roman" w:cs="Times New Roman"/>
          <w:sz w:val="20"/>
          <w:szCs w:val="20"/>
        </w:rPr>
        <w:t>normal</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water-reducer</w:t>
      </w:r>
      <w:r w:rsidR="003E4218" w:rsidRPr="00617BED">
        <w:rPr>
          <w:rFonts w:ascii="Times New Roman" w:hAnsi="Times New Roman" w:cs="Times New Roman"/>
          <w:sz w:val="20"/>
          <w:szCs w:val="20"/>
        </w:rPr>
        <w:fldChar w:fldCharType="begin" w:fldLock="1"/>
      </w:r>
      <w:r w:rsidRPr="00617BED">
        <w:rPr>
          <w:rFonts w:ascii="Times New Roman" w:hAnsi="Times New Roman" w:cs="Times New Roman"/>
          <w:sz w:val="20"/>
          <w:szCs w:val="20"/>
        </w:rPr>
        <w:instrText>ADDIN CSL_CITATION {"citationItems":[{"id":"ITEM-1","itemData":{"DOI":"10.1016/j.conbuildmat.2013.05.105","ISSN":"09500618","abstract":"The effect of different types of superplasticizer on fresh, rheological and strength properties of self-consolidating concrete (SCC) was investigated. The admixtures had same main chain and same polymer structure but different molecular weight and different side chain density of carboxylic acid groups. Fresh concrete properties were determined by using the slump-flow, V-funnel, slump-flow loss and L-box tests. Besides, the rheological parameters including apparent yield stress and plastic viscosity were measured by using a concrete rheometer. The compressive strength, ultrasonic pulse velocity and dynamic elastic modulus of SCC mixtures were determined at 1, 3, 7 and 28 day ages. Test results indicated that V-funnel flow time, plastic viscosity and slump retention of SCC mixtures were affected by the side chains density of polymer considerably. It was observed that the compressive strength of SCC mixtures was also influenced slightly with the incorporation of different types of superplasticizers. The effect was more pronounced at early ages. © 2013 The Authors. Published by Elsevier Ltd. All rights reserved.","author":[{"dropping-particle":"","family":"Mardani-Aghabaglou","given":"Ali","non-dropping-particle":"","parse-names":false,"suffix":""},{"dropping-particle":"","family":"Tuyan","given":"Murat","non-dropping-particle":"","parse-names":false,"suffix":""},{"dropping-particle":"","family":"Yilmaz","given":"Gökhan","non-dropping-particle":"","parse-names":false,"suffix":""},{"dropping-particle":"","family":"Ariöz","given":"Ömer","non-dropping-particle":"","parse-names":false,"suffix":""},{"dropping-particle":"","family":"Ramyar","given":"Kambiz","non-dropping-particle":"","parse-names":false,"suffix":""}],"container-title":"Construction and Building Materials","id":"ITEM-1","issued":{"date-parts":[["2013"]]},"page":"1020-1025","publisher":"Elsevier Ltd","title":"Effect of different types of superplasticizer on fresh, rheological and strength properties of self-consolidating concrete","type":"article-journal","volume":"47"},"uris":["http://www.mendeley.com/documents/?uuid=bc3712dc-f8ea-4cee-bd17-89f70c18a0a1"]}],"mendeley":{"formattedCitation":"[10]","plainTextFormattedCitation":"[10]","previouslyFormattedCitation":"[10]"},"properties":{"noteIndex":0},"schema":"https://github.com/citation-style-language/schema/raw/master/csl-citation.json"}</w:instrText>
      </w:r>
      <w:r w:rsidR="003E4218" w:rsidRPr="00617BED">
        <w:rPr>
          <w:rFonts w:ascii="Times New Roman" w:hAnsi="Times New Roman" w:cs="Times New Roman"/>
          <w:sz w:val="20"/>
          <w:szCs w:val="20"/>
        </w:rPr>
        <w:fldChar w:fldCharType="separate"/>
      </w:r>
      <w:r w:rsidRPr="00617BED">
        <w:rPr>
          <w:rFonts w:ascii="Times New Roman" w:hAnsi="Times New Roman" w:cs="Times New Roman"/>
          <w:noProof/>
          <w:sz w:val="20"/>
          <w:szCs w:val="20"/>
        </w:rPr>
        <w:t>[10]</w:t>
      </w:r>
      <w:r w:rsidR="003E4218" w:rsidRPr="00617BED">
        <w:rPr>
          <w:rFonts w:ascii="Times New Roman" w:hAnsi="Times New Roman" w:cs="Times New Roman"/>
          <w:sz w:val="20"/>
          <w:szCs w:val="20"/>
        </w:rPr>
        <w:fldChar w:fldCharType="end"/>
      </w:r>
      <w:r w:rsidRPr="00617BED">
        <w:rPr>
          <w:rFonts w:ascii="Times New Roman" w:hAnsi="Times New Roman" w:cs="Times New Roman"/>
          <w:sz w:val="20"/>
          <w:szCs w:val="20"/>
        </w:rPr>
        <w:t>.</w:t>
      </w:r>
    </w:p>
    <w:p w:rsidR="00E16192" w:rsidRPr="0022364F" w:rsidRDefault="00502835" w:rsidP="00E16192">
      <w:pPr>
        <w:widowControl w:val="0"/>
        <w:tabs>
          <w:tab w:val="left" w:pos="2003"/>
        </w:tabs>
        <w:autoSpaceDE w:val="0"/>
        <w:autoSpaceDN w:val="0"/>
        <w:ind w:right="27"/>
        <w:jc w:val="both"/>
      </w:pPr>
      <w:r w:rsidRPr="00502835">
        <w:t>The way that Super Plasticizer works is by giving cement particles a strong electrical charge that causes them to reject one another. More water is made available for mixing concrete by deflocculating the cement granules. Super plasticizer dose for common use ranges from 1 to 3 L per m</w:t>
      </w:r>
      <w:r w:rsidRPr="00502835">
        <w:rPr>
          <w:vertAlign w:val="superscript"/>
        </w:rPr>
        <w:t>3</w:t>
      </w:r>
      <w:r w:rsidRPr="00502835">
        <w:t>. The dosage can be raised to between 5 and 20 l/m</w:t>
      </w:r>
      <w:r w:rsidRPr="00502835">
        <w:rPr>
          <w:vertAlign w:val="superscript"/>
        </w:rPr>
        <w:t>3</w:t>
      </w:r>
      <w:r w:rsidRPr="00502835">
        <w:t>, though. The water to cement ratio affects how well a specific dosage of Super plasticizer works. Whenever w/c falls, it rises. One of the most crucial factors that had to be taken into account was compatibility with actual cement; it is not advised that cement and Super plasticizer adher</w:t>
      </w:r>
      <w:r>
        <w:t>e to the standard independently</w:t>
      </w:r>
      <w:r w:rsidRPr="0022364F">
        <w:t xml:space="preserve"> </w:t>
      </w:r>
      <w:r w:rsidR="003E4218" w:rsidRPr="0022364F">
        <w:fldChar w:fldCharType="begin" w:fldLock="1"/>
      </w:r>
      <w:r w:rsidR="00E16192" w:rsidRPr="0022364F">
        <w:instrText>ADDIN CSL_CITATION {"citationItems":[{"id":"ITEM-1","itemData":{"author":[{"dropping-particle":"","family":"Pathak","given":"Vyom B","non-dropping-particle":"","parse-names":false,"suffix":""},{"dropping-particle":"","family":"Shah","given":"Rushabh A","non-dropping-particle":"","parse-names":false,"suffix":""}],"id":"ITEM-1","issue":"9","issued":{"date-parts":[["2013"]]},"page":"52-54","title":"A Compatibility Study on Different Types of Cement and Plasticizer","type":"article-journal","volume":"1"},"uris":["http://www.mendeley.com/documents/?uuid=c04aaf42-ab23-44b1-a14c-925480b217d8"]}],"mendeley":{"formattedCitation":"[11]","plainTextFormattedCitation":"[11]","previouslyFormattedCitation":"[11]"},"properties":{"noteIndex":0},"schema":"https://github.com/citation-style-language/schema/raw/master/csl-citation.json"}</w:instrText>
      </w:r>
      <w:r w:rsidR="003E4218" w:rsidRPr="0022364F">
        <w:fldChar w:fldCharType="separate"/>
      </w:r>
      <w:r w:rsidR="00E16192" w:rsidRPr="0022364F">
        <w:rPr>
          <w:noProof/>
        </w:rPr>
        <w:t>[11]</w:t>
      </w:r>
      <w:r w:rsidR="003E4218" w:rsidRPr="0022364F">
        <w:fldChar w:fldCharType="end"/>
      </w:r>
      <w:r w:rsidR="00E16192" w:rsidRPr="0022364F">
        <w:t>.</w:t>
      </w:r>
    </w:p>
    <w:p w:rsidR="00E16192" w:rsidRDefault="00E16192" w:rsidP="007B7910">
      <w:pPr>
        <w:pStyle w:val="Heading3"/>
      </w:pPr>
      <w:r>
        <w:t>Sulphonated Melamine Formaldehyde(SMF)</w:t>
      </w:r>
    </w:p>
    <w:p w:rsidR="00E16192" w:rsidRPr="0022364F" w:rsidRDefault="000927AC" w:rsidP="000927AC">
      <w:pPr>
        <w:pStyle w:val="BodyText"/>
        <w:rPr>
          <w:noProof/>
        </w:rPr>
      </w:pPr>
      <w:r w:rsidRPr="000927AC">
        <w:rPr>
          <w:noProof/>
        </w:rPr>
        <w:t>Sulfonated melamine formaldehyde (SMF) is a polymer used in cement and plaster-based formulations to decrease the amount of water while enhancing the fluidity and workability of the mixture. Lower porosity is achieved in concretes by adding SMF to an appropriate mix design. better resistance to hostile conditions and increased mechanical strength.</w:t>
      </w:r>
      <w:r w:rsidRPr="0022364F">
        <w:rPr>
          <w:noProof/>
        </w:rPr>
        <w:t xml:space="preserve"> </w:t>
      </w:r>
      <w:r w:rsidR="00E16192" w:rsidRPr="0022364F">
        <w:rPr>
          <w:noProof/>
        </w:rPr>
        <w:t>In self leveling flooring materials and grout for the base of casing equipment.</w:t>
      </w:r>
    </w:p>
    <w:p w:rsidR="00E16192" w:rsidRPr="0022364F" w:rsidRDefault="00E16192" w:rsidP="00E16192">
      <w:pPr>
        <w:pStyle w:val="ListParagraph"/>
        <w:numPr>
          <w:ilvl w:val="0"/>
          <w:numId w:val="22"/>
        </w:numPr>
        <w:spacing w:after="0" w:line="240" w:lineRule="auto"/>
        <w:jc w:val="both"/>
        <w:rPr>
          <w:rFonts w:ascii="Times New Roman" w:hAnsi="Times New Roman" w:cs="Times New Roman"/>
          <w:noProof/>
          <w:sz w:val="20"/>
          <w:szCs w:val="20"/>
        </w:rPr>
      </w:pPr>
      <w:r w:rsidRPr="0022364F">
        <w:rPr>
          <w:rFonts w:ascii="Times New Roman" w:hAnsi="Times New Roman" w:cs="Times New Roman"/>
          <w:noProof/>
          <w:sz w:val="20"/>
          <w:szCs w:val="20"/>
        </w:rPr>
        <w:t>In high stre</w:t>
      </w:r>
      <w:r>
        <w:rPr>
          <w:rFonts w:ascii="Times New Roman" w:hAnsi="Times New Roman" w:cs="Times New Roman"/>
          <w:noProof/>
          <w:sz w:val="20"/>
          <w:szCs w:val="20"/>
        </w:rPr>
        <w:t>ngth gypsum and gypsum products</w:t>
      </w:r>
    </w:p>
    <w:p w:rsidR="00E16192" w:rsidRPr="0022364F" w:rsidRDefault="00E16192" w:rsidP="00E16192">
      <w:pPr>
        <w:pStyle w:val="ListParagraph"/>
        <w:numPr>
          <w:ilvl w:val="0"/>
          <w:numId w:val="22"/>
        </w:numPr>
        <w:spacing w:after="0" w:line="240" w:lineRule="auto"/>
        <w:jc w:val="both"/>
        <w:rPr>
          <w:rFonts w:ascii="Times New Roman" w:hAnsi="Times New Roman" w:cs="Times New Roman"/>
          <w:noProof/>
          <w:sz w:val="20"/>
          <w:szCs w:val="20"/>
        </w:rPr>
      </w:pPr>
      <w:r w:rsidRPr="0022364F">
        <w:rPr>
          <w:rFonts w:ascii="Times New Roman" w:hAnsi="Times New Roman" w:cs="Times New Roman"/>
          <w:noProof/>
          <w:sz w:val="20"/>
          <w:szCs w:val="20"/>
        </w:rPr>
        <w:t>In ready mixed concrete , pumping concrete , flowing concrete , high strength and high performance concrete , self compacted concrete and high strength cement mortar</w:t>
      </w:r>
    </w:p>
    <w:p w:rsidR="00E16192" w:rsidRDefault="00E16192" w:rsidP="00E16192">
      <w:pPr>
        <w:pStyle w:val="ListParagraph"/>
        <w:numPr>
          <w:ilvl w:val="0"/>
          <w:numId w:val="22"/>
        </w:numPr>
        <w:spacing w:after="0" w:line="240" w:lineRule="auto"/>
        <w:jc w:val="both"/>
        <w:rPr>
          <w:rFonts w:ascii="Times New Roman" w:hAnsi="Times New Roman" w:cs="Times New Roman"/>
          <w:noProof/>
          <w:sz w:val="20"/>
          <w:szCs w:val="20"/>
        </w:rPr>
      </w:pPr>
      <w:r w:rsidRPr="0022364F">
        <w:rPr>
          <w:rFonts w:ascii="Times New Roman" w:hAnsi="Times New Roman" w:cs="Times New Roman"/>
          <w:noProof/>
          <w:sz w:val="20"/>
          <w:szCs w:val="20"/>
        </w:rPr>
        <w:t>One of major components of water proofing materials for improving impermiability of concrete or mortar.</w:t>
      </w:r>
    </w:p>
    <w:p w:rsidR="00E16192" w:rsidRDefault="00E16192" w:rsidP="007B7910">
      <w:pPr>
        <w:pStyle w:val="Heading3"/>
      </w:pPr>
      <w:r w:rsidRPr="00E16192">
        <w:t>Polycarboxylic Ether</w:t>
      </w:r>
    </w:p>
    <w:p w:rsidR="00E16192" w:rsidRPr="00E16192" w:rsidRDefault="00E16192" w:rsidP="00E16192">
      <w:pPr>
        <w:ind w:firstLine="720"/>
        <w:jc w:val="both"/>
      </w:pPr>
      <w:r w:rsidRPr="0022364F">
        <w:rPr>
          <w:color w:val="000000"/>
        </w:rPr>
        <w:t>Polycarboxylate concrete admixtures next generation concrete accelerator is a ready-to-use liquid admixture with outstanding performance and no chloride. Initial concrete setting time is one to three times faster with special polycarboxylate concrete admixtures than with regular mortar and concrete. It enhances the workability and strength of cement while also speeding up the hydration process. It makes it easier to place the mix and speeds up construction by reducing the time it takes for the concrete to set. Because forms and alternative protection will be removed early and finishing will begin, labour costs and time will be saved.</w:t>
      </w:r>
    </w:p>
    <w:p w:rsidR="00825E68" w:rsidRDefault="00825E68" w:rsidP="007B7910">
      <w:pPr>
        <w:pStyle w:val="Heading3"/>
      </w:pPr>
      <w:r>
        <w:t>Applications</w:t>
      </w:r>
    </w:p>
    <w:p w:rsidR="00825E68" w:rsidRPr="0022364F" w:rsidRDefault="00C345F5" w:rsidP="00825E68">
      <w:pPr>
        <w:pStyle w:val="NormalWeb"/>
        <w:numPr>
          <w:ilvl w:val="0"/>
          <w:numId w:val="23"/>
        </w:numPr>
        <w:shd w:val="clear" w:color="auto" w:fill="FFFFFF"/>
        <w:spacing w:before="0" w:beforeAutospacing="0" w:after="0" w:afterAutospacing="0"/>
        <w:rPr>
          <w:color w:val="000000"/>
          <w:sz w:val="20"/>
          <w:szCs w:val="20"/>
        </w:rPr>
      </w:pPr>
      <w:r>
        <w:rPr>
          <w:color w:val="000000"/>
          <w:sz w:val="20"/>
          <w:szCs w:val="20"/>
        </w:rPr>
        <w:t xml:space="preserve">For reducing setting time of Cement, in </w:t>
      </w:r>
      <w:r w:rsidR="00825E68" w:rsidRPr="0022364F">
        <w:rPr>
          <w:color w:val="000000"/>
          <w:sz w:val="20"/>
          <w:szCs w:val="20"/>
        </w:rPr>
        <w:t>self compacting concrete and mortars.</w:t>
      </w:r>
    </w:p>
    <w:p w:rsidR="00825E68" w:rsidRPr="0022364F" w:rsidRDefault="00C345F5" w:rsidP="00825E68">
      <w:pPr>
        <w:pStyle w:val="NormalWeb"/>
        <w:numPr>
          <w:ilvl w:val="0"/>
          <w:numId w:val="23"/>
        </w:numPr>
        <w:shd w:val="clear" w:color="auto" w:fill="FFFFFF"/>
        <w:spacing w:before="0" w:beforeAutospacing="0" w:after="0" w:afterAutospacing="0"/>
        <w:rPr>
          <w:color w:val="000000"/>
          <w:sz w:val="20"/>
          <w:szCs w:val="20"/>
        </w:rPr>
      </w:pPr>
      <w:r>
        <w:rPr>
          <w:color w:val="000000"/>
          <w:sz w:val="20"/>
          <w:szCs w:val="20"/>
        </w:rPr>
        <w:t xml:space="preserve">Cement Poles, </w:t>
      </w:r>
      <w:r w:rsidR="00825E68" w:rsidRPr="0022364F">
        <w:rPr>
          <w:color w:val="000000"/>
          <w:sz w:val="20"/>
          <w:szCs w:val="20"/>
        </w:rPr>
        <w:t xml:space="preserve">Pavers Block, </w:t>
      </w:r>
      <w:r>
        <w:rPr>
          <w:color w:val="000000"/>
          <w:sz w:val="20"/>
          <w:szCs w:val="20"/>
        </w:rPr>
        <w:t xml:space="preserve">Cement-Pipes, </w:t>
      </w:r>
      <w:r w:rsidR="00825E68" w:rsidRPr="0022364F">
        <w:rPr>
          <w:color w:val="000000"/>
          <w:sz w:val="20"/>
          <w:szCs w:val="20"/>
        </w:rPr>
        <w:t>Brick.</w:t>
      </w:r>
    </w:p>
    <w:p w:rsidR="00825E68" w:rsidRPr="0022364F" w:rsidRDefault="00825E68" w:rsidP="00825E68">
      <w:pPr>
        <w:pStyle w:val="NormalWeb"/>
        <w:numPr>
          <w:ilvl w:val="0"/>
          <w:numId w:val="23"/>
        </w:numPr>
        <w:shd w:val="clear" w:color="auto" w:fill="FFFFFF"/>
        <w:spacing w:before="0" w:beforeAutospacing="0" w:after="0" w:afterAutospacing="0"/>
        <w:rPr>
          <w:color w:val="000000"/>
          <w:sz w:val="20"/>
          <w:szCs w:val="20"/>
        </w:rPr>
      </w:pPr>
      <w:r w:rsidRPr="0022364F">
        <w:rPr>
          <w:color w:val="000000"/>
          <w:sz w:val="20"/>
          <w:szCs w:val="20"/>
        </w:rPr>
        <w:t xml:space="preserve">Concrete </w:t>
      </w:r>
      <w:r w:rsidR="00C345F5">
        <w:rPr>
          <w:color w:val="000000"/>
          <w:sz w:val="20"/>
          <w:szCs w:val="20"/>
        </w:rPr>
        <w:t>pavements</w:t>
      </w:r>
      <w:r w:rsidRPr="0022364F">
        <w:rPr>
          <w:color w:val="000000"/>
          <w:sz w:val="20"/>
          <w:szCs w:val="20"/>
        </w:rPr>
        <w:t>, High-rise and large scale building construction.</w:t>
      </w:r>
    </w:p>
    <w:p w:rsidR="00825E68" w:rsidRPr="0022364F" w:rsidRDefault="00825E68" w:rsidP="00825E68">
      <w:pPr>
        <w:pStyle w:val="NormalWeb"/>
        <w:numPr>
          <w:ilvl w:val="0"/>
          <w:numId w:val="23"/>
        </w:numPr>
        <w:shd w:val="clear" w:color="auto" w:fill="FFFFFF"/>
        <w:spacing w:before="0" w:beforeAutospacing="0" w:after="0" w:afterAutospacing="0"/>
        <w:rPr>
          <w:color w:val="000000"/>
          <w:sz w:val="20"/>
          <w:szCs w:val="20"/>
        </w:rPr>
      </w:pPr>
      <w:r w:rsidRPr="0022364F">
        <w:rPr>
          <w:color w:val="000000"/>
          <w:sz w:val="20"/>
          <w:szCs w:val="20"/>
        </w:rPr>
        <w:t>Swimming pool construction.</w:t>
      </w:r>
    </w:p>
    <w:p w:rsidR="00825E68" w:rsidRPr="0022364F" w:rsidRDefault="00825E68" w:rsidP="00825E68">
      <w:pPr>
        <w:pStyle w:val="NormalWeb"/>
        <w:numPr>
          <w:ilvl w:val="0"/>
          <w:numId w:val="23"/>
        </w:numPr>
        <w:shd w:val="clear" w:color="auto" w:fill="FFFFFF"/>
        <w:spacing w:before="0" w:beforeAutospacing="0" w:after="0" w:afterAutospacing="0"/>
        <w:rPr>
          <w:color w:val="000000"/>
          <w:sz w:val="20"/>
          <w:szCs w:val="20"/>
        </w:rPr>
      </w:pPr>
      <w:r w:rsidRPr="0022364F">
        <w:rPr>
          <w:color w:val="000000"/>
          <w:sz w:val="20"/>
          <w:szCs w:val="20"/>
        </w:rPr>
        <w:t>For setting mortars &amp; concrete in law temperature climate.</w:t>
      </w:r>
    </w:p>
    <w:p w:rsidR="009220BA" w:rsidRDefault="009220BA" w:rsidP="007B7910">
      <w:pPr>
        <w:pStyle w:val="Heading3"/>
      </w:pPr>
      <w:r>
        <w:t>Dosage</w:t>
      </w:r>
    </w:p>
    <w:p w:rsidR="009220BA" w:rsidRDefault="009220BA" w:rsidP="00F61400">
      <w:pPr>
        <w:pStyle w:val="NormalWeb"/>
        <w:shd w:val="clear" w:color="auto" w:fill="FFFFFF"/>
        <w:spacing w:before="0" w:beforeAutospacing="0" w:after="0" w:afterAutospacing="0"/>
        <w:ind w:firstLine="720"/>
        <w:jc w:val="both"/>
        <w:rPr>
          <w:color w:val="000000"/>
          <w:sz w:val="20"/>
          <w:szCs w:val="20"/>
        </w:rPr>
      </w:pPr>
      <w:r w:rsidRPr="0022364F">
        <w:rPr>
          <w:color w:val="000000"/>
          <w:sz w:val="20"/>
          <w:szCs w:val="20"/>
        </w:rPr>
        <w:t>Practical trials should be used to establish the best dosage. The dosage is determined by the temperature, kind of cement, needed strength, and type of acceleration. A dose range of 0.5 to 2.0</w:t>
      </w:r>
      <w:r w:rsidR="003C5619">
        <w:rPr>
          <w:color w:val="000000"/>
          <w:sz w:val="20"/>
          <w:szCs w:val="20"/>
        </w:rPr>
        <w:t>%</w:t>
      </w:r>
      <w:r w:rsidRPr="0022364F">
        <w:rPr>
          <w:color w:val="000000"/>
          <w:sz w:val="20"/>
          <w:szCs w:val="20"/>
        </w:rPr>
        <w:t xml:space="preserve"> by weight of cement is usually advised as a guideline. Precast ele</w:t>
      </w:r>
      <w:r w:rsidR="00FF5D7C">
        <w:rPr>
          <w:color w:val="000000"/>
          <w:sz w:val="20"/>
          <w:szCs w:val="20"/>
        </w:rPr>
        <w:t>ments, on the other hand, utiliz</w:t>
      </w:r>
      <w:r w:rsidRPr="0022364F">
        <w:rPr>
          <w:color w:val="000000"/>
          <w:sz w:val="20"/>
          <w:szCs w:val="20"/>
        </w:rPr>
        <w:t>e lower dosages, whereas shot cresting uses greater dosages.</w:t>
      </w:r>
    </w:p>
    <w:p w:rsidR="00A17403" w:rsidRPr="0022364F" w:rsidRDefault="00A17403" w:rsidP="00A17403">
      <w:pPr>
        <w:pStyle w:val="NormalWeb"/>
        <w:shd w:val="clear" w:color="auto" w:fill="FFFFFF"/>
        <w:spacing w:before="0" w:beforeAutospacing="0" w:after="0" w:afterAutospacing="0"/>
        <w:jc w:val="both"/>
        <w:rPr>
          <w:color w:val="000000"/>
          <w:sz w:val="20"/>
          <w:szCs w:val="20"/>
        </w:rPr>
      </w:pPr>
    </w:p>
    <w:p w:rsidR="00FB5AB5" w:rsidRDefault="00FB5AB5" w:rsidP="00F61400">
      <w:pPr>
        <w:pStyle w:val="Heading2"/>
        <w:spacing w:before="0" w:after="0"/>
        <w:ind w:left="0" w:firstLine="0"/>
        <w:rPr>
          <w:b/>
          <w:i w:val="0"/>
        </w:rPr>
      </w:pPr>
      <w:r>
        <w:rPr>
          <w:b/>
          <w:i w:val="0"/>
        </w:rPr>
        <w:t>Objectives of the Study</w:t>
      </w:r>
    </w:p>
    <w:p w:rsidR="00FB5AB5" w:rsidRPr="0022364F" w:rsidRDefault="00FB5AB5" w:rsidP="00FB5AB5">
      <w:pPr>
        <w:ind w:firstLine="360"/>
        <w:jc w:val="both"/>
      </w:pPr>
      <w:r w:rsidRPr="0022364F">
        <w:t>The main objective of the study is to determine the Optimum dosage of two different super plasticizers PCE &amp; SMF for M40 grade concrete and its influence on fresh and hardened properties of concrete.</w:t>
      </w:r>
    </w:p>
    <w:p w:rsidR="00FB5AB5" w:rsidRPr="00FB5AB5" w:rsidRDefault="00FB5AB5" w:rsidP="00FB5AB5">
      <w:pPr>
        <w:jc w:val="both"/>
      </w:pPr>
    </w:p>
    <w:p w:rsidR="00FB5AB5" w:rsidRDefault="004054C0" w:rsidP="00FB5AB5">
      <w:pPr>
        <w:pStyle w:val="Heading2"/>
        <w:spacing w:before="0" w:after="0"/>
        <w:ind w:left="0" w:firstLine="0"/>
        <w:rPr>
          <w:b/>
          <w:i w:val="0"/>
        </w:rPr>
      </w:pPr>
      <w:r>
        <w:rPr>
          <w:b/>
          <w:i w:val="0"/>
        </w:rPr>
        <w:t>Step by Step procedure</w:t>
      </w:r>
    </w:p>
    <w:p w:rsidR="00F21138" w:rsidRPr="00BB0AEF" w:rsidRDefault="00F21138" w:rsidP="00F21138">
      <w:pPr>
        <w:pStyle w:val="ListParagraph"/>
        <w:numPr>
          <w:ilvl w:val="0"/>
          <w:numId w:val="24"/>
        </w:numPr>
        <w:autoSpaceDE w:val="0"/>
        <w:autoSpaceDN w:val="0"/>
        <w:adjustRightInd w:val="0"/>
        <w:spacing w:after="0" w:line="240" w:lineRule="auto"/>
        <w:jc w:val="both"/>
        <w:rPr>
          <w:rFonts w:ascii="Times New Roman" w:hAnsi="Times New Roman" w:cs="Times New Roman"/>
          <w:sz w:val="20"/>
          <w:szCs w:val="20"/>
        </w:rPr>
      </w:pPr>
      <w:r w:rsidRPr="00BB0AEF">
        <w:rPr>
          <w:rFonts w:ascii="Times New Roman" w:hAnsi="Times New Roman" w:cs="Times New Roman"/>
          <w:sz w:val="20"/>
          <w:szCs w:val="20"/>
        </w:rPr>
        <w:t xml:space="preserve">To determine the Optimum dosage of two different S.P of PCE &amp; SMF using </w:t>
      </w:r>
      <w:r w:rsidR="004054C0">
        <w:rPr>
          <w:rFonts w:ascii="Times New Roman" w:hAnsi="Times New Roman" w:cs="Times New Roman"/>
          <w:sz w:val="20"/>
          <w:szCs w:val="20"/>
        </w:rPr>
        <w:t>‘</w:t>
      </w:r>
      <w:r w:rsidRPr="004054C0">
        <w:rPr>
          <w:rFonts w:ascii="Times New Roman" w:hAnsi="Times New Roman" w:cs="Times New Roman"/>
          <w:bCs/>
          <w:sz w:val="20"/>
          <w:szCs w:val="20"/>
        </w:rPr>
        <w:t>Marsh Cone Test</w:t>
      </w:r>
      <w:r w:rsidR="004054C0">
        <w:rPr>
          <w:rFonts w:ascii="Times New Roman" w:hAnsi="Times New Roman" w:cs="Times New Roman"/>
          <w:bCs/>
          <w:sz w:val="20"/>
          <w:szCs w:val="20"/>
        </w:rPr>
        <w:t>’</w:t>
      </w:r>
      <w:r w:rsidRPr="00BB0AEF">
        <w:rPr>
          <w:rFonts w:ascii="Times New Roman" w:hAnsi="Times New Roman" w:cs="Times New Roman"/>
          <w:sz w:val="20"/>
          <w:szCs w:val="20"/>
        </w:rPr>
        <w:t>.</w:t>
      </w:r>
    </w:p>
    <w:p w:rsidR="00F21138" w:rsidRPr="00BB0AEF" w:rsidRDefault="00F21138" w:rsidP="00F21138">
      <w:pPr>
        <w:pStyle w:val="ListParagraph"/>
        <w:numPr>
          <w:ilvl w:val="0"/>
          <w:numId w:val="24"/>
        </w:numPr>
        <w:autoSpaceDE w:val="0"/>
        <w:autoSpaceDN w:val="0"/>
        <w:adjustRightInd w:val="0"/>
        <w:spacing w:after="0" w:line="240" w:lineRule="auto"/>
        <w:jc w:val="both"/>
        <w:rPr>
          <w:rFonts w:ascii="Times New Roman" w:hAnsi="Times New Roman" w:cs="Times New Roman"/>
          <w:sz w:val="20"/>
          <w:szCs w:val="20"/>
        </w:rPr>
      </w:pPr>
      <w:r w:rsidRPr="00BB0AEF">
        <w:rPr>
          <w:rFonts w:ascii="Times New Roman" w:hAnsi="Times New Roman" w:cs="Times New Roman"/>
          <w:sz w:val="20"/>
          <w:szCs w:val="20"/>
        </w:rPr>
        <w:t>Work is carried out in comparing the compressive strengths and Split tensile strength of conventional concrete with the dosage of 0 %, 0.25%, 0.5%, 0.75%,</w:t>
      </w:r>
      <w:r w:rsidRPr="00BB0AEF">
        <w:rPr>
          <w:rFonts w:ascii="Times New Roman" w:hAnsi="Times New Roman" w:cs="Times New Roman"/>
          <w:spacing w:val="1"/>
          <w:sz w:val="20"/>
          <w:szCs w:val="20"/>
        </w:rPr>
        <w:t xml:space="preserve"> </w:t>
      </w:r>
      <w:r w:rsidRPr="00BB0AEF">
        <w:rPr>
          <w:rFonts w:ascii="Times New Roman" w:hAnsi="Times New Roman" w:cs="Times New Roman"/>
          <w:sz w:val="20"/>
          <w:szCs w:val="20"/>
        </w:rPr>
        <w:t xml:space="preserve">1.0%, 1.5%, 1.75% and 2.0% of PCE and SMF separately. With the same time fresh concrete properties of Slump cone and compaction factor test were observed in terms of workability of same dosages. </w:t>
      </w:r>
    </w:p>
    <w:p w:rsidR="00F21138" w:rsidRPr="00BB0AEF" w:rsidRDefault="00F21138" w:rsidP="00F21138">
      <w:pPr>
        <w:pStyle w:val="ListParagraph"/>
        <w:numPr>
          <w:ilvl w:val="0"/>
          <w:numId w:val="24"/>
        </w:numPr>
        <w:autoSpaceDE w:val="0"/>
        <w:autoSpaceDN w:val="0"/>
        <w:adjustRightInd w:val="0"/>
        <w:spacing w:after="0" w:line="240" w:lineRule="auto"/>
        <w:jc w:val="both"/>
        <w:rPr>
          <w:rFonts w:ascii="Times New Roman" w:hAnsi="Times New Roman" w:cs="Times New Roman"/>
          <w:sz w:val="20"/>
          <w:szCs w:val="20"/>
        </w:rPr>
      </w:pPr>
      <w:r w:rsidRPr="00BB0AEF">
        <w:rPr>
          <w:rFonts w:ascii="Times New Roman" w:hAnsi="Times New Roman" w:cs="Times New Roman"/>
          <w:sz w:val="20"/>
          <w:szCs w:val="20"/>
        </w:rPr>
        <w:t>As per the replacements</w:t>
      </w:r>
      <w:r w:rsidR="003D63E8">
        <w:rPr>
          <w:rFonts w:ascii="Times New Roman" w:hAnsi="Times New Roman" w:cs="Times New Roman"/>
          <w:sz w:val="20"/>
          <w:szCs w:val="20"/>
        </w:rPr>
        <w:t>,</w:t>
      </w:r>
      <w:r w:rsidRPr="00BB0AEF">
        <w:rPr>
          <w:rFonts w:ascii="Times New Roman" w:hAnsi="Times New Roman" w:cs="Times New Roman"/>
          <w:sz w:val="20"/>
          <w:szCs w:val="20"/>
        </w:rPr>
        <w:t xml:space="preserve"> cubes and cylinders are casted using OPC 53 grade cement for M40 grade concrete. </w:t>
      </w:r>
    </w:p>
    <w:p w:rsidR="00F21138" w:rsidRPr="00BB0AEF" w:rsidRDefault="00F21138" w:rsidP="00F21138">
      <w:pPr>
        <w:pStyle w:val="ListParagraph"/>
        <w:numPr>
          <w:ilvl w:val="0"/>
          <w:numId w:val="24"/>
        </w:numPr>
        <w:autoSpaceDE w:val="0"/>
        <w:autoSpaceDN w:val="0"/>
        <w:adjustRightInd w:val="0"/>
        <w:spacing w:after="0" w:line="240" w:lineRule="auto"/>
        <w:jc w:val="both"/>
        <w:rPr>
          <w:rFonts w:ascii="Times New Roman" w:hAnsi="Times New Roman" w:cs="Times New Roman"/>
          <w:sz w:val="20"/>
          <w:szCs w:val="20"/>
        </w:rPr>
      </w:pPr>
      <w:r w:rsidRPr="00BB0AEF">
        <w:rPr>
          <w:rFonts w:ascii="Times New Roman" w:hAnsi="Times New Roman" w:cs="Times New Roman"/>
          <w:sz w:val="20"/>
          <w:szCs w:val="20"/>
        </w:rPr>
        <w:t xml:space="preserve">The cubes and Cylinders were cured for 7 and 28 days and the compressive strength and split tensile strength of the concrete is determined. </w:t>
      </w:r>
    </w:p>
    <w:p w:rsidR="00F21138" w:rsidRDefault="00F21138" w:rsidP="00F21138">
      <w:pPr>
        <w:pStyle w:val="ListParagraph"/>
        <w:numPr>
          <w:ilvl w:val="0"/>
          <w:numId w:val="24"/>
        </w:numPr>
        <w:autoSpaceDE w:val="0"/>
        <w:autoSpaceDN w:val="0"/>
        <w:adjustRightInd w:val="0"/>
        <w:spacing w:after="0" w:line="240" w:lineRule="auto"/>
        <w:jc w:val="both"/>
        <w:rPr>
          <w:rFonts w:ascii="Times New Roman" w:hAnsi="Times New Roman" w:cs="Times New Roman"/>
          <w:sz w:val="20"/>
          <w:szCs w:val="20"/>
        </w:rPr>
      </w:pPr>
      <w:r w:rsidRPr="00BB0AEF">
        <w:rPr>
          <w:rFonts w:ascii="Times New Roman" w:hAnsi="Times New Roman" w:cs="Times New Roman"/>
          <w:sz w:val="20"/>
          <w:szCs w:val="20"/>
        </w:rPr>
        <w:lastRenderedPageBreak/>
        <w:t xml:space="preserve">Later the analysis of test results is done to </w:t>
      </w:r>
      <w:r w:rsidR="003D63E8">
        <w:rPr>
          <w:rFonts w:ascii="Times New Roman" w:hAnsi="Times New Roman" w:cs="Times New Roman"/>
          <w:sz w:val="20"/>
          <w:szCs w:val="20"/>
        </w:rPr>
        <w:t>draw conclusions.</w:t>
      </w:r>
    </w:p>
    <w:p w:rsidR="002749A6" w:rsidRPr="00ED26BF" w:rsidRDefault="002749A6" w:rsidP="002749A6">
      <w:pPr>
        <w:pStyle w:val="bulletlist"/>
        <w:numPr>
          <w:ilvl w:val="0"/>
          <w:numId w:val="0"/>
        </w:numPr>
        <w:spacing w:after="0" w:line="240" w:lineRule="auto"/>
      </w:pPr>
    </w:p>
    <w:p w:rsidR="008A55B5" w:rsidRPr="00402841" w:rsidRDefault="00F21138" w:rsidP="00466548">
      <w:pPr>
        <w:pStyle w:val="Heading1"/>
        <w:spacing w:before="0" w:after="0"/>
        <w:ind w:firstLine="0"/>
        <w:rPr>
          <w:rFonts w:eastAsia="MS Mincho"/>
        </w:rPr>
      </w:pPr>
      <w:r>
        <w:rPr>
          <w:rFonts w:ascii="Times New Roman" w:eastAsia="MS Mincho" w:hAnsi="Times New Roman"/>
          <w:sz w:val="20"/>
          <w:szCs w:val="20"/>
        </w:rPr>
        <w:t>LITERATURE REVIEW</w:t>
      </w:r>
    </w:p>
    <w:p w:rsidR="00466548" w:rsidRPr="00466548" w:rsidRDefault="00466548" w:rsidP="00466548">
      <w:pPr>
        <w:rPr>
          <w:rFonts w:eastAsia="MS Mincho"/>
        </w:rPr>
      </w:pPr>
    </w:p>
    <w:p w:rsidR="00767BF4" w:rsidRPr="00767BF4" w:rsidRDefault="00F21138" w:rsidP="00767BF4">
      <w:pPr>
        <w:pStyle w:val="Heading2"/>
        <w:spacing w:before="0" w:after="0"/>
        <w:ind w:left="0" w:firstLine="0"/>
        <w:rPr>
          <w:b/>
          <w:i w:val="0"/>
        </w:rPr>
      </w:pPr>
      <w:r>
        <w:rPr>
          <w:b/>
          <w:i w:val="0"/>
        </w:rPr>
        <w:t>Effect of Super Plasticizers on Properties of Concrete</w:t>
      </w:r>
    </w:p>
    <w:p w:rsidR="00F21138" w:rsidRDefault="006B577B" w:rsidP="00F21138">
      <w:pPr>
        <w:pStyle w:val="BodyText"/>
        <w:ind w:right="104"/>
      </w:pPr>
      <w:r>
        <w:tab/>
      </w:r>
      <w:r>
        <w:tab/>
      </w:r>
      <w:r w:rsidR="00006DEA" w:rsidRPr="00006DEA">
        <w:rPr>
          <w:color w:val="101010"/>
        </w:rPr>
        <w:t>At a water cement ratio of 0.4 to 0.55 and a super plasticizer level of 0%, the compressive strength ranged from 11.38 to 18.04 N/mm2 at 7 days of curing, but at the same level of super plasticizer and water-cement ratio at 14 days of curing, it ranged from 12.78 to 18.80 N/mm2. At a water cement ratio of 0.4 to 0.55 and a super plasticizer level of 0-3.5%, the compressive strengths varied from 14.00 to 21.90 N/mm</w:t>
      </w:r>
      <w:r w:rsidR="00006DEA" w:rsidRPr="00006DEA">
        <w:rPr>
          <w:color w:val="101010"/>
          <w:vertAlign w:val="superscript"/>
        </w:rPr>
        <w:t>2</w:t>
      </w:r>
      <w:r w:rsidR="00006DEA" w:rsidRPr="00006DEA">
        <w:rPr>
          <w:color w:val="101010"/>
        </w:rPr>
        <w:t xml:space="preserve"> and 15.00 to 23.10 N/mm</w:t>
      </w:r>
      <w:r w:rsidR="00006DEA" w:rsidRPr="00006DEA">
        <w:rPr>
          <w:color w:val="101010"/>
          <w:vertAlign w:val="superscript"/>
        </w:rPr>
        <w:t>2</w:t>
      </w:r>
      <w:r w:rsidR="00006DEA" w:rsidRPr="00006DEA">
        <w:rPr>
          <w:color w:val="101010"/>
        </w:rPr>
        <w:t xml:space="preserve"> for curing times of 21 and 28 days, respectively. The slump test varied from 10-90mm at a super plasticizer level of 0–3.5% at a water-cement ratio of 0.4–0.55.</w:t>
      </w:r>
      <w:r w:rsidR="003E4218" w:rsidRPr="00BB0AEF">
        <w:fldChar w:fldCharType="begin" w:fldLock="1"/>
      </w:r>
      <w:r w:rsidR="00F21138" w:rsidRPr="00BB0AEF">
        <w:instrText>ADDIN CSL_CITATION {"citationItems":[{"id":"ITEM-1","itemData":{"DOI":"10.1016/j.conbuildmat.2013.05.105","ISSN":"09500618","abstract":"The effect of different types of superplasticizer on fresh, rheological and strength properties of self-consolidating concrete (SCC) was investigated. The admixtures had same main chain and same polymer structure but different molecular weight and different side chain density of carboxylic acid groups. Fresh concrete properties were determined by using the slump-flow, V-funnel, slump-flow loss and L-box tests. Besides, the rheological parameters including apparent yield stress and plastic viscosity were measured by using a concrete rheometer. The compressive strength, ultrasonic pulse velocity and dynamic elastic modulus of SCC mixtures were determined at 1, 3, 7 and 28 day ages. Test results indicated that V-funnel flow time, plastic viscosity and slump retention of SCC mixtures were affected by the side chains density of polymer considerably. It was observed that the compressive strength of SCC mixtures was also influenced slightly with the incorporation of different types of superplasticizers. The effect was more pronounced at early ages. © 2013 The Authors. Published by Elsevier Ltd. All rights reserved.","author":[{"dropping-particle":"","family":"Mardani-Aghabaglou","given":"Ali","non-dropping-particle":"","parse-names":false,"suffix":""},{"dropping-particle":"","family":"Tuyan","given":"Murat","non-dropping-particle":"","parse-names":false,"suffix":""},{"dropping-particle":"","family":"Yilmaz","given":"Gökhan","non-dropping-particle":"","parse-names":false,"suffix":""},{"dropping-particle":"","family":"Ariöz","given":"Ömer","non-dropping-particle":"","parse-names":false,"suffix":""},{"dropping-particle":"","family":"Ramyar","given":"Kambiz","non-dropping-particle":"","parse-names":false,"suffix":""}],"container-title":"Construction and Building Materials","id":"ITEM-1","issued":{"date-parts":[["2013"]]},"page":"1020-1025","publisher":"Elsevier Ltd","title":"Effect of different types of superplasticizer on fresh, rheological and strength properties of self-consolidating concrete","type":"article-journal","volume":"47"},"uris":["http://www.mendeley.com/documents/?uuid=bc3712dc-f8ea-4cee-bd17-89f70c18a0a1"]}],"mendeley":{"formattedCitation":"[10]","plainTextFormattedCitation":"[10]","previouslyFormattedCitation":"[10]"},"properties":{"noteIndex":0},"schema":"https://github.com/citation-style-language/schema/raw/master/csl-citation.json"}</w:instrText>
      </w:r>
      <w:r w:rsidR="003E4218" w:rsidRPr="00BB0AEF">
        <w:fldChar w:fldCharType="separate"/>
      </w:r>
      <w:r w:rsidR="00F21138" w:rsidRPr="00BB0AEF">
        <w:rPr>
          <w:noProof/>
        </w:rPr>
        <w:t>[10]</w:t>
      </w:r>
      <w:r w:rsidR="003E4218" w:rsidRPr="00BB0AEF">
        <w:fldChar w:fldCharType="end"/>
      </w:r>
      <w:r w:rsidR="00F21138" w:rsidRPr="00BB0AEF">
        <w:t>.</w:t>
      </w:r>
      <w:r w:rsidR="00F21138">
        <w:t xml:space="preserve"> </w:t>
      </w:r>
      <w:r w:rsidR="00F21138" w:rsidRPr="00BB0AEF">
        <w:t>Effect of Super</w:t>
      </w:r>
      <w:r w:rsidR="00187313">
        <w:t xml:space="preserve"> </w:t>
      </w:r>
      <w:r w:rsidR="00F21138" w:rsidRPr="00BB0AEF">
        <w:t>plasticizing Admixture on Concrete Properties was the topic of a research study presented. The goals of this study were to identify the optimum dosage of concrete super plasticizer for normal concrete and to evaluate the influence of super plasticizer on concrete parameters, with a focus on 30 N/mm</w:t>
      </w:r>
      <w:r w:rsidR="00F21138" w:rsidRPr="000B5963">
        <w:rPr>
          <w:vertAlign w:val="superscript"/>
        </w:rPr>
        <w:t>2</w:t>
      </w:r>
      <w:r w:rsidR="00F21138" w:rsidRPr="00BB0AEF">
        <w:t xml:space="preserve"> characteristic</w:t>
      </w:r>
      <w:r w:rsidR="001945DD">
        <w:t xml:space="preserve"> </w:t>
      </w:r>
      <w:r w:rsidR="00F21138" w:rsidRPr="00BB0AEF">
        <w:t>strength at 28 days. Ordinary Portland cement, 20 mm granite coarse aggregate, and sea sand were used to make one control mix. Finally, the study found that super plasticizer had a considerable impact on both fresh and hardened concrete properties</w:t>
      </w:r>
      <w:r w:rsidR="001945DD">
        <w:t xml:space="preserve"> </w:t>
      </w:r>
      <w:r w:rsidR="00F21138" w:rsidRPr="00BB0AEF">
        <w:t xml:space="preserve">[8]. SP concrete's compressive strengths are often higher than the comparable strengths of reference mixes. A water reducer of up to 32-33 percent c is used when SP is employed can be accomplished SP concrete's compressive strength increases as a result of this phenomenon. New generations of SP have recently been created to produce extremely high strength concrete with compressive strengths of 15000 psi and higher, as well as very high early strength at 2 to 4 hours. There is no unnecessary segregation or bleeding of concrete in water-reduced SP concrete since the water content is lower </w:t>
      </w:r>
      <w:r w:rsidR="003E4218" w:rsidRPr="00BB0AEF">
        <w:fldChar w:fldCharType="begin" w:fldLock="1"/>
      </w:r>
      <w:r w:rsidR="00F21138" w:rsidRPr="00BB0AEF">
        <w:instrText>ADDIN CSL_CITATION {"citationItems":[{"id":"ITEM-1","itemData":{"ISSN":"09766316","abstract":"The performance of concrete primarily depends upon the type and ratio of its constituents, compaction, curing conditions and admixtures used during curing process. Part of this research emphasis to calculate the consequences on strength of concrete when water-cement ratio is constant and the increase in slump occurs with the increase in amount of superplasticizer by percentage. The rest of the investigation is carried out to study the effects of superplasticizer with different dosages under different curing regimes at an ambient field temperature ranges between 45°C -50°C. For this purpose, a concrete mix at 20MPa with all parameters constant was prepared by using an ASTM C494 type A, and F, anionic melamine polycondensate non-toxic superplasticizer with no chlorides. Different dosages of superplasticizer were used in different batches of all 95 specimens, and cured under different curing conditions and then tested for compressive and tensile strengths following ASTM standards. In all cases, the water curing up to 28 days testing showed maximum strength. The highest and lowest values of compressive strength were obtained with the addition of 0.5% and 1% superplasticizer respectively. It was found that without increasing the W/C ratio, the addition of superplasticizer exhibits increase in strength.","author":[{"dropping-particle":"","family":"Nagaraj","given":"S.","non-dropping-particle":"","parse-names":false,"suffix":""},{"dropping-particle":"","family":"Jeyakumar","given":"D.","non-dropping-particle":"","parse-names":false,"suffix":""}],"container-title":"International Journal of Civil Engineering and Technology","id":"ITEM-1","issue":"4","issued":{"date-parts":[["2018"]]},"page":"865-870","title":"Behaviour of normal concrete using superplasticizer under different curing regimes","type":"article-journal","volume":"9"},"uris":["http://www.mendeley.com/documents/?uuid=cb016c15-9b71-4ea3-ab28-0ed754761245"]}],"mendeley":{"formattedCitation":"[13]","plainTextFormattedCitation":"[13]","previouslyFormattedCitation":"[13]"},"properties":{"noteIndex":0},"schema":"https://github.com/citation-style-language/schema/raw/master/csl-citation.json"}</w:instrText>
      </w:r>
      <w:r w:rsidR="003E4218" w:rsidRPr="00BB0AEF">
        <w:fldChar w:fldCharType="separate"/>
      </w:r>
      <w:r w:rsidR="00F21138" w:rsidRPr="00BB0AEF">
        <w:rPr>
          <w:noProof/>
        </w:rPr>
        <w:t>[13]</w:t>
      </w:r>
      <w:r w:rsidR="003E4218" w:rsidRPr="00BB0AEF">
        <w:fldChar w:fldCharType="end"/>
      </w:r>
      <w:r w:rsidR="00F21138" w:rsidRPr="00BB0AEF">
        <w:t>.</w:t>
      </w:r>
      <w:r w:rsidR="00F21138">
        <w:t xml:space="preserve"> </w:t>
      </w:r>
      <w:r w:rsidR="00F21138" w:rsidRPr="00BB0AEF">
        <w:t>The slump and compaction factor experiments revealed that concrete containing fly ash and super plasticizer produces good workability and marginally accelerates and increases the compressive strength of self-compacting concrete</w:t>
      </w:r>
      <w:r w:rsidR="003E4218" w:rsidRPr="00BB0AEF">
        <w:fldChar w:fldCharType="begin" w:fldLock="1"/>
      </w:r>
      <w:r w:rsidR="00F21138" w:rsidRPr="00BB0AEF">
        <w:instrText>ADDIN CSL_CITATION {"citationItems":[{"id":"ITEM-1","itemData":{"DOI":"10.1016/j.conbuildmat.2013.05.105","ISSN":"09500618","abstract":"The effect of different types of superplasticizer on fresh, rheological and strength properties of self-consolidating concrete (SCC) was investigated. The admixtures had same main chain and same polymer structure but different molecular weight and different side chain density of carboxylic acid groups. Fresh concrete properties were determined by using the slump-flow, V-funnel, slump-flow loss and L-box tests. Besides, the rheological parameters including apparent yield stress and plastic viscosity were measured by using a concrete rheometer. The compressive strength, ultrasonic pulse velocity and dynamic elastic modulus of SCC mixtures were determined at 1, 3, 7 and 28 day ages. Test results indicated that V-funnel flow time, plastic viscosity and slump retention of SCC mixtures were affected by the side chains density of polymer considerably. It was observed that the compressive strength of SCC mixtures was also influenced slightly with the incorporation of different types of superplasticizers. The effect was more pronounced at early ages. © 2013 The Authors. Published by Elsevier Ltd. All rights reserved.","author":[{"dropping-particle":"","family":"Mardani-Aghabaglou","given":"Ali","non-dropping-particle":"","parse-names":false,"suffix":""},{"dropping-particle":"","family":"Tuyan","given":"Murat","non-dropping-particle":"","parse-names":false,"suffix":""},{"dropping-particle":"","family":"Yilmaz","given":"Gökhan","non-dropping-particle":"","parse-names":false,"suffix":""},{"dropping-particle":"","family":"Ariöz","given":"Ömer","non-dropping-particle":"","parse-names":false,"suffix":""},{"dropping-particle":"","family":"Ramyar","given":"Kambiz","non-dropping-particle":"","parse-names":false,"suffix":""}],"container-title":"Construction and Building Materials","id":"ITEM-1","issued":{"date-parts":[["2013"]]},"page":"1020-1025","publisher":"Elsevier Ltd","title":"Effect of different types of superplasticizer on fresh, rheological and strength properties of self-consolidating concrete","type":"article-journal","volume":"47"},"uris":["http://www.mendeley.com/documents/?uuid=bc3712dc-f8ea-4cee-bd17-89f70c18a0a1"]}],"mendeley":{"formattedCitation":"[10]","plainTextFormattedCitation":"[10]","previouslyFormattedCitation":"[10]"},"properties":{"noteIndex":0},"schema":"https://github.com/citation-style-language/schema/raw/master/csl-citation.json"}</w:instrText>
      </w:r>
      <w:r w:rsidR="003E4218" w:rsidRPr="00BB0AEF">
        <w:fldChar w:fldCharType="separate"/>
      </w:r>
      <w:r w:rsidR="00F21138" w:rsidRPr="00BB0AEF">
        <w:rPr>
          <w:noProof/>
        </w:rPr>
        <w:t>[10]</w:t>
      </w:r>
      <w:r w:rsidR="003E4218" w:rsidRPr="00BB0AEF">
        <w:fldChar w:fldCharType="end"/>
      </w:r>
      <w:r w:rsidR="00F21138" w:rsidRPr="00BB0AEF">
        <w:t>.</w:t>
      </w:r>
      <w:r w:rsidR="00F21138">
        <w:t xml:space="preserve"> </w:t>
      </w:r>
      <w:r w:rsidR="00F21138" w:rsidRPr="00BB0AEF">
        <w:t>Plasticizers also increased workability at constant water-cement ratios while increasing compressive strength at lower water-cement ratios. To avoid bleeding and segregation, the cement content was reduced while the sand content was increased</w:t>
      </w:r>
      <w:r w:rsidR="00BC32B4">
        <w:t xml:space="preserve"> </w:t>
      </w:r>
      <w:r w:rsidR="003E4218" w:rsidRPr="00BB0AEF">
        <w:fldChar w:fldCharType="begin" w:fldLock="1"/>
      </w:r>
      <w:r w:rsidR="00F21138" w:rsidRPr="00BB0AEF">
        <w:instrText>ADDIN CSL_CITATION {"citationItems":[{"id":"ITEM-1","itemData":{"DOI":"10.11648/j.aas.20160102.12","abstract":"The adverse effects of elevated temperatures on the properties of the fresh concrete include increased water demand, shorter setting time and increased slump loss. Superplasticizer (SP) is important to enhance the workability and setting time of concrete under hot weather, hence, an experimental investigation was conducted to determine the effect of dosage of the mentioned admixture. Concrete mixes with SP dosages of 400, 600, 800, 1000 and 1200 ml/100kg of cement were prepared, together with two control mixes (water/cement ratio were 0.56 and 0.66 respectively). After casting, normal curing was carried out on the concrete samples. Properties such as compressive strength, porosity, water absorption, permeability and initial surface absorption were determined, besides determining the workability and setting time of the fresh concrete. Over dosage of SP were found to deteriorate the properties of concrete with indication of lower compressive strength and higher porosity. However, if the dosage levels are lower than the optimum dosage, increase in admixture dosage might help to enhance the concrete characteristics.","author":[{"dropping-particle":"","family":"Mohammed","given":"Muhsen Salam","non-dropping-particle":"","parse-names":false,"suffix":""},{"dropping-particle":"","family":"Mohamed","given":"Salahaldein Alsadey","non-dropping-particle":"","parse-names":false,"suffix":""},{"dropping-particle":"","family":"Megat Johari","given":"Megat Azmi","non-dropping-particle":"","parse-names":false,"suffix":""}],"container-title":"Advances in Applied Sciences","id":"ITEM-1","issue":"2","issued":{"date-parts":[["2016"]]},"page":"30-36","title":"Influence of Superplasticizer Compatibility on the Setting Time, Strength and Stiffening Characteristics of Concrete","type":"article-journal","volume":"1"},"uris":["http://www.mendeley.com/documents/?uuid=899235a9-29a6-4da8-bb61-74f801e81a3a"]}],"mendeley":{"formattedCitation":"[9]","plainTextFormattedCitation":"[9]","previouslyFormattedCitation":"[9]"},"properties":{"noteIndex":0},"schema":"https://github.com/citation-style-language/schema/raw/master/csl-citation.json"}</w:instrText>
      </w:r>
      <w:r w:rsidR="003E4218" w:rsidRPr="00BB0AEF">
        <w:fldChar w:fldCharType="separate"/>
      </w:r>
      <w:r w:rsidR="00F21138" w:rsidRPr="00BB0AEF">
        <w:rPr>
          <w:noProof/>
        </w:rPr>
        <w:t>[9]</w:t>
      </w:r>
      <w:r w:rsidR="003E4218" w:rsidRPr="00BB0AEF">
        <w:fldChar w:fldCharType="end"/>
      </w:r>
      <w:r w:rsidR="00F21138" w:rsidRPr="00BB0AEF">
        <w:t>.</w:t>
      </w:r>
      <w:r w:rsidR="00F21138">
        <w:t xml:space="preserve"> </w:t>
      </w:r>
      <w:r w:rsidR="00F21138" w:rsidRPr="00BB0AEF">
        <w:t>The study demonstrated the effect of re-dosing super plasticizer to regain slump on concrete with the goal of determining the variance of super plasticizer contribution and its effect on the compressive strength of concrete owing to re-dosing. Ordinary Portland cement was used to make one control mix. M-sand with a fineness modulus of 2.96 and crushed stone that has been sieved at 20mm.</w:t>
      </w:r>
      <w:r w:rsidR="00F21138" w:rsidRPr="00BB0AEF">
        <w:rPr>
          <w:spacing w:val="-1"/>
        </w:rPr>
        <w:t xml:space="preserve"> </w:t>
      </w:r>
      <w:r w:rsidR="00F21138" w:rsidRPr="00BB0AEF">
        <w:t>The results</w:t>
      </w:r>
      <w:r w:rsidR="00F21138" w:rsidRPr="00BB0AEF">
        <w:rPr>
          <w:spacing w:val="4"/>
        </w:rPr>
        <w:t xml:space="preserve"> </w:t>
      </w:r>
      <w:r w:rsidR="00F21138" w:rsidRPr="00BB0AEF">
        <w:t>obtained showed</w:t>
      </w:r>
      <w:r w:rsidR="00F21138" w:rsidRPr="00BB0AEF">
        <w:rPr>
          <w:spacing w:val="3"/>
        </w:rPr>
        <w:t xml:space="preserve"> </w:t>
      </w:r>
      <w:r w:rsidR="00F21138" w:rsidRPr="00BB0AEF">
        <w:t>that:</w:t>
      </w:r>
    </w:p>
    <w:p w:rsidR="00F21138" w:rsidRPr="00BB0AEF" w:rsidRDefault="00F21138" w:rsidP="00F21138">
      <w:pPr>
        <w:pStyle w:val="Default"/>
        <w:numPr>
          <w:ilvl w:val="0"/>
          <w:numId w:val="25"/>
        </w:numPr>
        <w:jc w:val="both"/>
        <w:rPr>
          <w:rFonts w:ascii="Times New Roman" w:eastAsia="Times New Roman" w:hAnsi="Times New Roman" w:cs="Times New Roman"/>
          <w:color w:val="auto"/>
          <w:sz w:val="20"/>
          <w:szCs w:val="20"/>
        </w:rPr>
      </w:pPr>
      <w:r w:rsidRPr="00BB0AEF">
        <w:rPr>
          <w:rFonts w:ascii="Times New Roman" w:eastAsia="Times New Roman" w:hAnsi="Times New Roman" w:cs="Times New Roman"/>
          <w:color w:val="auto"/>
          <w:sz w:val="20"/>
          <w:szCs w:val="20"/>
        </w:rPr>
        <w:t>Those blends with a higher initial dose of super plasticizer had less slump loss in the period allotted.</w:t>
      </w:r>
    </w:p>
    <w:p w:rsidR="00F21138" w:rsidRDefault="00F21138" w:rsidP="00F21138">
      <w:pPr>
        <w:pStyle w:val="ListParagraph"/>
        <w:widowControl w:val="0"/>
        <w:numPr>
          <w:ilvl w:val="0"/>
          <w:numId w:val="25"/>
        </w:numPr>
        <w:tabs>
          <w:tab w:val="left" w:pos="801"/>
        </w:tabs>
        <w:autoSpaceDE w:val="0"/>
        <w:autoSpaceDN w:val="0"/>
        <w:spacing w:after="0" w:line="240" w:lineRule="auto"/>
        <w:ind w:right="110"/>
        <w:contextualSpacing w:val="0"/>
        <w:jc w:val="both"/>
        <w:rPr>
          <w:rFonts w:ascii="Times New Roman" w:hAnsi="Times New Roman" w:cs="Times New Roman"/>
          <w:sz w:val="20"/>
          <w:szCs w:val="20"/>
        </w:rPr>
      </w:pPr>
      <w:r w:rsidRPr="00BB0AEF">
        <w:rPr>
          <w:rFonts w:ascii="Times New Roman" w:hAnsi="Times New Roman" w:cs="Times New Roman"/>
          <w:sz w:val="20"/>
          <w:szCs w:val="20"/>
        </w:rPr>
        <w:t>The qualities of hardened concrete, such as compressive strength, were found to be higher in super</w:t>
      </w:r>
      <w:r w:rsidR="001945DD">
        <w:rPr>
          <w:rFonts w:ascii="Times New Roman" w:hAnsi="Times New Roman" w:cs="Times New Roman"/>
          <w:sz w:val="20"/>
          <w:szCs w:val="20"/>
        </w:rPr>
        <w:t xml:space="preserve"> </w:t>
      </w:r>
      <w:r w:rsidRPr="00BB0AEF">
        <w:rPr>
          <w:rFonts w:ascii="Times New Roman" w:hAnsi="Times New Roman" w:cs="Times New Roman"/>
          <w:sz w:val="20"/>
          <w:szCs w:val="20"/>
        </w:rPr>
        <w:t>plasticized concrete than in control mix, indicating that super</w:t>
      </w:r>
      <w:r w:rsidR="001945DD">
        <w:rPr>
          <w:rFonts w:ascii="Times New Roman" w:hAnsi="Times New Roman" w:cs="Times New Roman"/>
          <w:sz w:val="20"/>
          <w:szCs w:val="20"/>
        </w:rPr>
        <w:t xml:space="preserve"> </w:t>
      </w:r>
      <w:r w:rsidRPr="00BB0AEF">
        <w:rPr>
          <w:rFonts w:ascii="Times New Roman" w:hAnsi="Times New Roman" w:cs="Times New Roman"/>
          <w:sz w:val="20"/>
          <w:szCs w:val="20"/>
        </w:rPr>
        <w:t>plasticizers improved the strength of concrete by improving its workability, resulting in a denser and less porous structure</w:t>
      </w:r>
      <w:r w:rsidR="003E4218" w:rsidRPr="00BB0AEF">
        <w:rPr>
          <w:rFonts w:ascii="Times New Roman" w:hAnsi="Times New Roman" w:cs="Times New Roman"/>
          <w:sz w:val="20"/>
          <w:szCs w:val="20"/>
        </w:rPr>
        <w:fldChar w:fldCharType="begin" w:fldLock="1"/>
      </w:r>
      <w:r w:rsidRPr="00BB0AEF">
        <w:rPr>
          <w:rFonts w:ascii="Times New Roman" w:hAnsi="Times New Roman" w:cs="Times New Roman"/>
          <w:sz w:val="20"/>
          <w:szCs w:val="20"/>
        </w:rPr>
        <w:instrText>ADDIN CSL_CITATION {"citationItems":[{"id":"ITEM-1","itemData":{"DOI":"10.1051/e3sconf/202018401079","ISSN":"22671242","abstract":"In the present study, compatibility assessment of commercially available cements (OPC and PPC) and SNF &amp; PCE based super plasticizers are made by evaluating the workabilities, setting times and compressive strengths of M40 grade concrete mixes made with two different brands of cement and with two different chemical admixtures. The dosage of SNF and PCE based chemical admixtures to be used in M40 grade concrete is determined using marsh cone test. It was found that M40 concrete made with SNF based superplasticizer has achieved desired compressive strength than the concrete made with PCE based superplasticizer. This shows that SNF based superplasticizer is more compatible for M40 grade concrete than PCE based superplasticizer. So it is suggested that for the development of PPC based M40 grade concrete SNF superplasticizers can be used.","author":[{"dropping-particle":"","family":"Shrihari","given":"S.","non-dropping-particle":"","parse-names":false,"suffix":""},{"dropping-particle":"V.","family":"Seshagiri Rao","given":"M.","non-dropping-particle":"","parse-names":false,"suffix":""},{"dropping-particle":"","family":"Reddy","given":"V. Srinivasa","non-dropping-particle":"","parse-names":false,"suffix":""},{"dropping-particle":"","family":"Manasa","given":"Amandu","non-dropping-particle":"","parse-names":false,"suffix":""}],"container-title":"E3S Web of Conferences","id":"ITEM-1","issue":"June 2017","issued":{"date-parts":[["2020"]]},"note":"PORTLAND SLAG CEMENT \n\nA. SPECIFIC GRAVITY = 2.88\nB.STANDARD CONSISTANCY =32 %\nC.INITIAL SETTING TIME = 160 MIN\nD.FINAL SETTING TIME = 250 MIN\nE. SOUNDNESS = 0 MM","title":"Compatibility Assessment of Commercial Cements with superplasticizers","type":"article-journal","volume":"184"},"uris":["http://www.mendeley.com/documents/?uuid=13308da0-df84-429d-8d24-d370847a0300"]}],"mendeley":{"formattedCitation":"[14]","plainTextFormattedCitation":"[14]","previouslyFormattedCitation":"[14]"},"properties":{"noteIndex":0},"schema":"https://github.com/citation-style-language/schema/raw/master/csl-citation.json"}</w:instrText>
      </w:r>
      <w:r w:rsidR="003E4218" w:rsidRPr="00BB0AEF">
        <w:rPr>
          <w:rFonts w:ascii="Times New Roman" w:hAnsi="Times New Roman" w:cs="Times New Roman"/>
          <w:sz w:val="20"/>
          <w:szCs w:val="20"/>
        </w:rPr>
        <w:fldChar w:fldCharType="separate"/>
      </w:r>
      <w:r w:rsidRPr="00BB0AEF">
        <w:rPr>
          <w:rFonts w:ascii="Times New Roman" w:hAnsi="Times New Roman" w:cs="Times New Roman"/>
          <w:noProof/>
          <w:sz w:val="20"/>
          <w:szCs w:val="20"/>
        </w:rPr>
        <w:t>[14]</w:t>
      </w:r>
      <w:r w:rsidR="003E4218" w:rsidRPr="00BB0AEF">
        <w:rPr>
          <w:rFonts w:ascii="Times New Roman" w:hAnsi="Times New Roman" w:cs="Times New Roman"/>
          <w:sz w:val="20"/>
          <w:szCs w:val="20"/>
        </w:rPr>
        <w:fldChar w:fldCharType="end"/>
      </w:r>
      <w:r w:rsidRPr="00BB0AEF">
        <w:rPr>
          <w:rFonts w:ascii="Times New Roman" w:hAnsi="Times New Roman" w:cs="Times New Roman"/>
          <w:sz w:val="20"/>
          <w:szCs w:val="20"/>
        </w:rPr>
        <w:t>.</w:t>
      </w:r>
    </w:p>
    <w:p w:rsidR="00F21138" w:rsidRPr="00BB0AEF" w:rsidRDefault="00F21138" w:rsidP="00F21138">
      <w:pPr>
        <w:pStyle w:val="Default"/>
        <w:ind w:firstLine="360"/>
        <w:jc w:val="both"/>
        <w:rPr>
          <w:rFonts w:ascii="Times New Roman" w:hAnsi="Times New Roman" w:cs="Times New Roman"/>
          <w:sz w:val="20"/>
          <w:szCs w:val="20"/>
        </w:rPr>
      </w:pPr>
      <w:r w:rsidRPr="00BB0AEF">
        <w:rPr>
          <w:rFonts w:ascii="Times New Roman" w:hAnsi="Times New Roman" w:cs="Times New Roman"/>
          <w:sz w:val="20"/>
          <w:szCs w:val="20"/>
        </w:rPr>
        <w:t>The non destructive testing values were also found to be in good agreement with the strength behaviour of super</w:t>
      </w:r>
      <w:r w:rsidR="001945DD">
        <w:rPr>
          <w:rFonts w:ascii="Times New Roman" w:hAnsi="Times New Roman" w:cs="Times New Roman"/>
          <w:sz w:val="20"/>
          <w:szCs w:val="20"/>
        </w:rPr>
        <w:t xml:space="preserve"> </w:t>
      </w:r>
      <w:r w:rsidRPr="00BB0AEF">
        <w:rPr>
          <w:rFonts w:ascii="Times New Roman" w:hAnsi="Times New Roman" w:cs="Times New Roman"/>
          <w:sz w:val="20"/>
          <w:szCs w:val="20"/>
        </w:rPr>
        <w:t>plasticized concrete for destructive testing, and the compatibility of Sulphonated Naphthalene Formaldehyde and Lignosulphonates based superplasticizers with Portland slag cements was investigated. Even when the coarse and fine aggregates, water, chemical additive family, and concrete mix design procedure were all maintained same, different brands of cement performed differently</w:t>
      </w:r>
      <w:r w:rsidR="00BC32B4">
        <w:rPr>
          <w:rFonts w:ascii="Times New Roman" w:hAnsi="Times New Roman" w:cs="Times New Roman"/>
          <w:sz w:val="20"/>
          <w:szCs w:val="20"/>
        </w:rPr>
        <w:t xml:space="preserve"> </w:t>
      </w:r>
      <w:r w:rsidR="003E4218" w:rsidRPr="00BB0AEF">
        <w:rPr>
          <w:rFonts w:ascii="Times New Roman" w:hAnsi="Times New Roman" w:cs="Times New Roman"/>
          <w:sz w:val="20"/>
          <w:szCs w:val="20"/>
        </w:rPr>
        <w:fldChar w:fldCharType="begin" w:fldLock="1"/>
      </w:r>
      <w:r w:rsidRPr="00BB0AEF">
        <w:rPr>
          <w:rFonts w:ascii="Times New Roman" w:hAnsi="Times New Roman" w:cs="Times New Roman"/>
          <w:sz w:val="20"/>
          <w:szCs w:val="20"/>
        </w:rPr>
        <w:instrText>ADDIN CSL_CITATION {"citationItems":[{"id":"ITEM-1","itemData":{"DOI":"10.17485/ijst/2016/v9i34/95865","ISSN":"0974-6846","author":[{"dropping-particle":"","family":"Kannan Rajkumar","given":"P. R.","non-dropping-particle":"","parse-names":false,"suffix":""},{"dropping-particle":"","family":"Ravichandran","given":"P. T.","non-dropping-particle":"","parse-names":false,"suffix":""},{"dropping-particle":"","family":"Ravi","given":"J. K.","non-dropping-particle":"","parse-names":false,"suffix":""},{"dropping-particle":"","family":"Krishnaraj","given":"L.","non-dropping-particle":"","parse-names":false,"suffix":""}],"container-title":"Indian Journal of Science and Technology","id":"ITEM-1","issue":"34","issued":{"date-parts":[["2016"]]},"title":"Investigation on the Compatibility of Cement Paste with SNF and PCE based Superplasticizers","type":"article-journal","volume":"9"},"uris":["http://www.mendeley.com/documents/?uuid=44e9a7f9-fa69-4b0f-9d88-ceb3025a44e5"]}],"mendeley":{"formattedCitation":"[15]","plainTextFormattedCitation":"[15]","previouslyFormattedCitation":"[15]"},"properties":{"noteIndex":0},"schema":"https://github.com/citation-style-language/schema/raw/master/csl-citation.json"}</w:instrText>
      </w:r>
      <w:r w:rsidR="003E4218" w:rsidRPr="00BB0AEF">
        <w:rPr>
          <w:rFonts w:ascii="Times New Roman" w:hAnsi="Times New Roman" w:cs="Times New Roman"/>
          <w:sz w:val="20"/>
          <w:szCs w:val="20"/>
        </w:rPr>
        <w:fldChar w:fldCharType="separate"/>
      </w:r>
      <w:r w:rsidRPr="00BB0AEF">
        <w:rPr>
          <w:rFonts w:ascii="Times New Roman" w:hAnsi="Times New Roman" w:cs="Times New Roman"/>
          <w:noProof/>
          <w:sz w:val="20"/>
          <w:szCs w:val="20"/>
        </w:rPr>
        <w:t>[15]</w:t>
      </w:r>
      <w:r w:rsidR="003E4218" w:rsidRPr="00BB0AEF">
        <w:rPr>
          <w:rFonts w:ascii="Times New Roman" w:hAnsi="Times New Roman" w:cs="Times New Roman"/>
          <w:sz w:val="20"/>
          <w:szCs w:val="20"/>
        </w:rPr>
        <w:fldChar w:fldCharType="end"/>
      </w:r>
      <w:r w:rsidRPr="00BB0AEF">
        <w:rPr>
          <w:rFonts w:ascii="Times New Roman" w:hAnsi="Times New Roman" w:cs="Times New Roman"/>
          <w:sz w:val="20"/>
          <w:szCs w:val="20"/>
        </w:rPr>
        <w:t xml:space="preserve">. </w:t>
      </w:r>
    </w:p>
    <w:p w:rsidR="00F21138" w:rsidRPr="00BB0AEF" w:rsidRDefault="009D13FE" w:rsidP="00F21138">
      <w:pPr>
        <w:autoSpaceDE w:val="0"/>
        <w:autoSpaceDN w:val="0"/>
        <w:adjustRightInd w:val="0"/>
        <w:ind w:firstLine="360"/>
        <w:jc w:val="both"/>
      </w:pPr>
      <w:r w:rsidRPr="009D13FE">
        <w:t>Super</w:t>
      </w:r>
      <w:r>
        <w:t xml:space="preserve"> </w:t>
      </w:r>
      <w:r w:rsidRPr="009D13FE">
        <w:t>plasticizers</w:t>
      </w:r>
      <w:r>
        <w:t xml:space="preserve"> </w:t>
      </w:r>
      <w:r w:rsidRPr="009D13FE">
        <w:t>(SMF, SNF, MLS, and other organic admixtures) have an impact on a variety of the physico-chemical characteristics of cement and concrete. Chemical properties include, among others, adsorption behaviour, conductivity changes, zeta potential changes, heat of hydration, chlorine penetration, and sulphate attack. Physical properties include theology, morphology, microstructure, compressive strengths, pore size distributions, and workability. According to slump and compaction factor trials, concrete containing fly ash and super plasticizer has good workability, marginally speeds self-compaction, and boosts compressive strength.</w:t>
      </w:r>
      <w:r w:rsidR="003E4218" w:rsidRPr="00BB0AEF">
        <w:fldChar w:fldCharType="begin" w:fldLock="1"/>
      </w:r>
      <w:r w:rsidR="00F21138" w:rsidRPr="00BB0AEF">
        <w:instrText>ADDIN CSL_CITATION {"citationItems":[{"id":"ITEM-1","itemData":{"abstract":"In order to meet the performance requirements of concrete for various infrastructure projects, concrete mixtures have to be designed and produced using combination of different cementitious materials with water and aggregate and chemical admixtures. The active constituent of concrete is cement paste and largely it determines the performance of concrete. Admixtures in concrete confer some beneficial effects such as air entrainment, water reduction, plasticity, etc. on the cement paste. Also setting time acceleration / retardation can be achieved by the use of admixtures. Addition of some particular admixture may develop undesirable interaction between varying ingredients of concrete. Many times addition of admixture beyond certain limit may show incompatibility. The term \"incompatibility\" has been applied to various types of abnormal performance characteristics of concrete in both plastic and hardened stages, including setting and strength gain issues, excessive slump losses and increased water demand. Marsh cone test is used to formulate the optimum dose of particular admixture to the cement thereby avoiding cement-admixture incompatibility. For high Strength concrete and high performance concrete, depending on location i.e. distance of site from the plant, the retention time of the concrete plays important role. Because of retention time, the workability of concrete mix is increased as well as other properties like flowability, setting time of concrete is enhanced.","author":[{"dropping-particle":"","family":"Jadhav","given":"Durgesh","non-dropping-particle":"","parse-names":false,"suffix":""}],"container-title":"International Journal of Advances in Mechanical and Civil Engineering","id":"ITEM-1","issue":"3","issued":{"date-parts":[["2016"]]},"page":"2394-2827","title":"Compatibility of Chemical Admixture With Cement: Marsh Cone Test","type":"article-journal"},"uris":["http://www.mendeley.com/documents/?uuid=c6e895eb-1690-4d9e-857c-7fc7eac65730"]}],"mendeley":{"formattedCitation":"[16]","plainTextFormattedCitation":"[16]"},"properties":{"noteIndex":0},"schema":"https://github.com/citation-style-language/schema/raw/master/csl-citation.json"}</w:instrText>
      </w:r>
      <w:r w:rsidR="003E4218" w:rsidRPr="00BB0AEF">
        <w:fldChar w:fldCharType="separate"/>
      </w:r>
      <w:r w:rsidR="00F21138" w:rsidRPr="00BB0AEF">
        <w:rPr>
          <w:noProof/>
        </w:rPr>
        <w:t>[16]</w:t>
      </w:r>
      <w:r w:rsidR="003E4218" w:rsidRPr="00BB0AEF">
        <w:fldChar w:fldCharType="end"/>
      </w:r>
      <w:r w:rsidR="00F21138" w:rsidRPr="00BB0AEF">
        <w:t>.</w:t>
      </w:r>
    </w:p>
    <w:p w:rsidR="00F21138" w:rsidRPr="00F21138" w:rsidRDefault="00F21138" w:rsidP="00F21138">
      <w:pPr>
        <w:widowControl w:val="0"/>
        <w:tabs>
          <w:tab w:val="left" w:pos="801"/>
        </w:tabs>
        <w:autoSpaceDE w:val="0"/>
        <w:autoSpaceDN w:val="0"/>
        <w:ind w:right="110"/>
        <w:jc w:val="both"/>
      </w:pPr>
    </w:p>
    <w:p w:rsidR="008A55B5" w:rsidRPr="00402841" w:rsidRDefault="00F21138" w:rsidP="00466548">
      <w:pPr>
        <w:pStyle w:val="Heading1"/>
        <w:spacing w:before="0" w:after="0"/>
        <w:ind w:firstLine="0"/>
        <w:rPr>
          <w:rFonts w:eastAsia="MS Mincho"/>
        </w:rPr>
      </w:pPr>
      <w:r>
        <w:rPr>
          <w:rFonts w:ascii="Times New Roman" w:eastAsia="MS Mincho" w:hAnsi="Times New Roman"/>
          <w:sz w:val="20"/>
          <w:szCs w:val="20"/>
        </w:rPr>
        <w:t>MATERIALS AND METHODS</w:t>
      </w:r>
    </w:p>
    <w:p w:rsidR="00767BF4" w:rsidRPr="00767BF4" w:rsidRDefault="00767BF4" w:rsidP="00767BF4">
      <w:pPr>
        <w:rPr>
          <w:rFonts w:eastAsia="MS Mincho"/>
        </w:rPr>
      </w:pPr>
    </w:p>
    <w:p w:rsidR="00767BF4" w:rsidRPr="00466548" w:rsidRDefault="00D01167" w:rsidP="00F21138">
      <w:pPr>
        <w:pStyle w:val="BodyText"/>
        <w:spacing w:line="240" w:lineRule="auto"/>
        <w:ind w:right="-36"/>
      </w:pPr>
      <w:r>
        <w:tab/>
      </w:r>
      <w:r>
        <w:tab/>
      </w:r>
      <w:r w:rsidR="00C94FD8" w:rsidRPr="00C94FD8">
        <w:t>Cement, sand as a fi</w:t>
      </w:r>
      <w:r w:rsidR="00C94FD8">
        <w:t xml:space="preserve">ne aggregate, crushed rock as </w:t>
      </w:r>
      <w:r w:rsidR="00C94FD8" w:rsidRPr="00C94FD8">
        <w:t>coarse aggregate, water, and additives make up the building material known as concrete. Therefore, before conducting any actual experiments, it is crucial to perform physical characteristic testing on the materials employed for the inquiry.</w:t>
      </w:r>
    </w:p>
    <w:p w:rsidR="00767BF4" w:rsidRPr="00767BF4" w:rsidRDefault="00F21138" w:rsidP="00767BF4">
      <w:pPr>
        <w:pStyle w:val="Heading2"/>
        <w:spacing w:before="0" w:after="0"/>
        <w:ind w:left="0" w:firstLine="0"/>
        <w:rPr>
          <w:b/>
          <w:i w:val="0"/>
        </w:rPr>
      </w:pPr>
      <w:r>
        <w:rPr>
          <w:b/>
          <w:i w:val="0"/>
        </w:rPr>
        <w:t>Project Design</w:t>
      </w:r>
    </w:p>
    <w:p w:rsidR="00F21138" w:rsidRDefault="00F21138" w:rsidP="00B44A8F">
      <w:pPr>
        <w:pStyle w:val="BodyText"/>
        <w:spacing w:after="0" w:line="240" w:lineRule="auto"/>
      </w:pPr>
      <w:r>
        <w:tab/>
      </w:r>
      <w:r w:rsidRPr="00BB0AEF">
        <w:t>The purpose of these experimental design were determining optimized dosage of super plasticizer using OPC 53 grade  cement and Two different types of  Super plasticizers PCE and SMF with pre-determining of water to cement ratio of 0.35 (constant) , to observe the effects of Super plasticizer on workability of fresh concrete and concrete strength.</w:t>
      </w:r>
    </w:p>
    <w:p w:rsidR="00B44A8F" w:rsidRPr="00BB0AEF" w:rsidRDefault="00B44A8F" w:rsidP="00B44A8F">
      <w:pPr>
        <w:pStyle w:val="BodyText"/>
        <w:spacing w:after="0" w:line="240" w:lineRule="auto"/>
      </w:pPr>
    </w:p>
    <w:p w:rsidR="00D01167" w:rsidRDefault="00F21138" w:rsidP="00D01167">
      <w:pPr>
        <w:pStyle w:val="Heading2"/>
        <w:spacing w:before="0" w:after="0"/>
        <w:ind w:left="0" w:firstLine="0"/>
        <w:rPr>
          <w:b/>
          <w:i w:val="0"/>
        </w:rPr>
      </w:pPr>
      <w:r>
        <w:rPr>
          <w:b/>
          <w:i w:val="0"/>
        </w:rPr>
        <w:lastRenderedPageBreak/>
        <w:t>Variable Parameters</w:t>
      </w:r>
    </w:p>
    <w:p w:rsidR="004768CF" w:rsidRPr="00BB0AEF" w:rsidRDefault="00604990" w:rsidP="004768CF">
      <w:pPr>
        <w:pStyle w:val="BodyText"/>
        <w:spacing w:line="240" w:lineRule="auto"/>
      </w:pPr>
      <w:r w:rsidRPr="00604990">
        <w:t>The following have been chosen as the study's variable parameters. The types of cement used, the Super plasticizer dose, and the amount of water used were chosen as variables to examine how the</w:t>
      </w:r>
      <w:r>
        <w:t>se factors affected the behavio</w:t>
      </w:r>
      <w:r w:rsidRPr="00604990">
        <w:t>r of the concrete as a whole.</w:t>
      </w:r>
    </w:p>
    <w:p w:rsidR="004768CF" w:rsidRPr="00BB0AEF" w:rsidRDefault="004768CF" w:rsidP="004768CF">
      <w:pPr>
        <w:pStyle w:val="bulletlist"/>
        <w:tabs>
          <w:tab w:val="clear" w:pos="288"/>
          <w:tab w:val="clear" w:pos="648"/>
          <w:tab w:val="num" w:pos="270"/>
        </w:tabs>
        <w:spacing w:after="0"/>
      </w:pPr>
      <w:r w:rsidRPr="00BB0AEF">
        <w:t>As per IS 10262-2009 &amp; IS 456-2000 recommends the following components with the specified content to achieve</w:t>
      </w:r>
      <w:r w:rsidRPr="00BB0AEF">
        <w:rPr>
          <w:spacing w:val="1"/>
        </w:rPr>
        <w:t xml:space="preserve"> </w:t>
      </w:r>
      <w:r w:rsidRPr="00BB0AEF">
        <w:t>good</w:t>
      </w:r>
      <w:r w:rsidRPr="00BB0AEF">
        <w:rPr>
          <w:spacing w:val="-1"/>
        </w:rPr>
        <w:t xml:space="preserve"> </w:t>
      </w:r>
      <w:r w:rsidRPr="00BB0AEF">
        <w:t>Concrete</w:t>
      </w:r>
    </w:p>
    <w:p w:rsidR="004768CF" w:rsidRPr="00BB0AEF" w:rsidRDefault="004768CF" w:rsidP="004768CF">
      <w:pPr>
        <w:pStyle w:val="bulletlist"/>
        <w:spacing w:after="0"/>
      </w:pPr>
      <w:r w:rsidRPr="00BB0AEF">
        <w:t>For</w:t>
      </w:r>
      <w:r w:rsidRPr="00BB0AEF">
        <w:rPr>
          <w:spacing w:val="-2"/>
        </w:rPr>
        <w:t xml:space="preserve"> </w:t>
      </w:r>
      <w:r w:rsidRPr="00BB0AEF">
        <w:t>slumps  25</w:t>
      </w:r>
      <w:r w:rsidRPr="00BB0AEF">
        <w:rPr>
          <w:spacing w:val="-1"/>
        </w:rPr>
        <w:t xml:space="preserve"> </w:t>
      </w:r>
      <w:r w:rsidRPr="00BB0AEF">
        <w:t>to 100mm,</w:t>
      </w:r>
    </w:p>
    <w:p w:rsidR="004768CF" w:rsidRPr="00BB0AEF" w:rsidRDefault="004768CF" w:rsidP="004768CF">
      <w:pPr>
        <w:pStyle w:val="bulletlist"/>
        <w:spacing w:after="0"/>
      </w:pPr>
      <w:r w:rsidRPr="00BB0AEF">
        <w:t>A</w:t>
      </w:r>
      <w:r w:rsidRPr="00BB0AEF">
        <w:rPr>
          <w:spacing w:val="-2"/>
        </w:rPr>
        <w:t xml:space="preserve"> </w:t>
      </w:r>
      <w:r w:rsidRPr="00BB0AEF">
        <w:t>minimum</w:t>
      </w:r>
      <w:r w:rsidRPr="00BB0AEF">
        <w:rPr>
          <w:spacing w:val="-1"/>
        </w:rPr>
        <w:t xml:space="preserve"> </w:t>
      </w:r>
      <w:r w:rsidRPr="00BB0AEF">
        <w:t>cement</w:t>
      </w:r>
      <w:r w:rsidRPr="00BB0AEF">
        <w:rPr>
          <w:spacing w:val="-1"/>
        </w:rPr>
        <w:t xml:space="preserve"> </w:t>
      </w:r>
      <w:r w:rsidRPr="00BB0AEF">
        <w:t>content</w:t>
      </w:r>
      <w:r w:rsidRPr="00BB0AEF">
        <w:rPr>
          <w:spacing w:val="-1"/>
        </w:rPr>
        <w:t xml:space="preserve"> </w:t>
      </w:r>
      <w:r w:rsidRPr="00BB0AEF">
        <w:t>of</w:t>
      </w:r>
      <w:r w:rsidRPr="00BB0AEF">
        <w:rPr>
          <w:spacing w:val="-2"/>
        </w:rPr>
        <w:t xml:space="preserve"> </w:t>
      </w:r>
      <w:r w:rsidRPr="00BB0AEF">
        <w:t>8 bags</w:t>
      </w:r>
      <w:r w:rsidRPr="00BB0AEF">
        <w:rPr>
          <w:spacing w:val="-1"/>
        </w:rPr>
        <w:t xml:space="preserve"> </w:t>
      </w:r>
      <w:r w:rsidRPr="00BB0AEF">
        <w:t>per</w:t>
      </w:r>
      <w:r w:rsidRPr="00BB0AEF">
        <w:rPr>
          <w:spacing w:val="-2"/>
        </w:rPr>
        <w:t xml:space="preserve"> </w:t>
      </w:r>
      <w:r w:rsidRPr="00BB0AEF">
        <w:t>m</w:t>
      </w:r>
      <w:r w:rsidRPr="00BB0AEF">
        <w:rPr>
          <w:vertAlign w:val="superscript"/>
        </w:rPr>
        <w:t>3</w:t>
      </w:r>
      <w:r w:rsidRPr="00BB0AEF">
        <w:t xml:space="preserve"> of concrete</w:t>
      </w:r>
    </w:p>
    <w:p w:rsidR="004768CF" w:rsidRPr="00BB0AEF" w:rsidRDefault="004768CF" w:rsidP="004768CF">
      <w:pPr>
        <w:pStyle w:val="bulletlist"/>
        <w:spacing w:after="0"/>
      </w:pPr>
      <w:r w:rsidRPr="00BB0AEF">
        <w:t>Nominal</w:t>
      </w:r>
      <w:r w:rsidRPr="00BB0AEF">
        <w:rPr>
          <w:spacing w:val="-2"/>
        </w:rPr>
        <w:t xml:space="preserve"> </w:t>
      </w:r>
      <w:r w:rsidRPr="00BB0AEF">
        <w:t>maximum</w:t>
      </w:r>
      <w:r w:rsidRPr="00BB0AEF">
        <w:rPr>
          <w:spacing w:val="-3"/>
        </w:rPr>
        <w:t xml:space="preserve"> </w:t>
      </w:r>
      <w:r w:rsidRPr="00BB0AEF">
        <w:t>sizes</w:t>
      </w:r>
      <w:r w:rsidRPr="00BB0AEF">
        <w:rPr>
          <w:spacing w:val="-1"/>
        </w:rPr>
        <w:t xml:space="preserve"> </w:t>
      </w:r>
      <w:r w:rsidRPr="00BB0AEF">
        <w:t>of</w:t>
      </w:r>
      <w:r w:rsidRPr="00BB0AEF">
        <w:rPr>
          <w:spacing w:val="-2"/>
        </w:rPr>
        <w:t xml:space="preserve"> </w:t>
      </w:r>
      <w:r w:rsidRPr="00BB0AEF">
        <w:t>aggregates</w:t>
      </w:r>
      <w:r w:rsidRPr="00BB0AEF">
        <w:rPr>
          <w:spacing w:val="-1"/>
        </w:rPr>
        <w:t xml:space="preserve"> </w:t>
      </w:r>
      <w:r w:rsidRPr="00BB0AEF">
        <w:t>(20mm)</w:t>
      </w:r>
    </w:p>
    <w:p w:rsidR="004768CF" w:rsidRPr="00BB0AEF" w:rsidRDefault="005B46F1" w:rsidP="004768CF">
      <w:pPr>
        <w:pStyle w:val="bulletlist"/>
        <w:tabs>
          <w:tab w:val="clear" w:pos="288"/>
          <w:tab w:val="clear" w:pos="648"/>
          <w:tab w:val="num" w:pos="270"/>
        </w:tabs>
        <w:spacing w:after="0"/>
      </w:pPr>
      <w:r>
        <w:rPr>
          <w:spacing w:val="-2"/>
        </w:rPr>
        <w:t>To a</w:t>
      </w:r>
      <w:r w:rsidR="004768CF" w:rsidRPr="00BB0AEF">
        <w:rPr>
          <w:spacing w:val="-2"/>
        </w:rPr>
        <w:t xml:space="preserve"> </w:t>
      </w:r>
      <w:r w:rsidR="004768CF" w:rsidRPr="00BB0AEF">
        <w:t>maximum</w:t>
      </w:r>
      <w:r w:rsidR="004768CF" w:rsidRPr="00BB0AEF">
        <w:rPr>
          <w:spacing w:val="-1"/>
        </w:rPr>
        <w:t xml:space="preserve"> </w:t>
      </w:r>
      <w:r w:rsidR="004768CF" w:rsidRPr="00BB0AEF">
        <w:t>water</w:t>
      </w:r>
      <w:r w:rsidR="004768CF" w:rsidRPr="00BB0AEF">
        <w:rPr>
          <w:spacing w:val="-2"/>
        </w:rPr>
        <w:t xml:space="preserve"> </w:t>
      </w:r>
      <w:r w:rsidR="004768CF" w:rsidRPr="00BB0AEF">
        <w:t>content</w:t>
      </w:r>
      <w:r w:rsidR="004768CF" w:rsidRPr="00BB0AEF">
        <w:rPr>
          <w:spacing w:val="-1"/>
        </w:rPr>
        <w:t xml:space="preserve"> </w:t>
      </w:r>
      <w:r w:rsidR="004768CF" w:rsidRPr="00BB0AEF">
        <w:t>of</w:t>
      </w:r>
      <w:r w:rsidR="004768CF" w:rsidRPr="00BB0AEF">
        <w:rPr>
          <w:spacing w:val="-1"/>
        </w:rPr>
        <w:t xml:space="preserve"> </w:t>
      </w:r>
      <w:r w:rsidR="004768CF" w:rsidRPr="00BB0AEF">
        <w:t>207</w:t>
      </w:r>
      <w:r w:rsidR="004768CF" w:rsidRPr="00BB0AEF">
        <w:rPr>
          <w:spacing w:val="-1"/>
        </w:rPr>
        <w:t xml:space="preserve"> </w:t>
      </w:r>
      <w:r w:rsidR="004768CF" w:rsidRPr="00BB0AEF">
        <w:t>kg/m</w:t>
      </w:r>
      <w:r w:rsidR="004768CF" w:rsidRPr="00BB0AEF">
        <w:rPr>
          <w:vertAlign w:val="superscript"/>
        </w:rPr>
        <w:t>3</w:t>
      </w:r>
      <w:r w:rsidR="004768CF" w:rsidRPr="00BB0AEF">
        <w:t xml:space="preserve"> (w/c</w:t>
      </w:r>
      <w:r w:rsidR="004768CF" w:rsidRPr="00BB0AEF">
        <w:rPr>
          <w:spacing w:val="-2"/>
        </w:rPr>
        <w:t xml:space="preserve"> </w:t>
      </w:r>
      <w:r w:rsidR="004768CF" w:rsidRPr="00BB0AEF">
        <w:t>of 0.45)</w:t>
      </w:r>
    </w:p>
    <w:p w:rsidR="008C0F77" w:rsidRDefault="008C0F77" w:rsidP="00EF1D11">
      <w:pPr>
        <w:pStyle w:val="Heading3"/>
      </w:pPr>
      <w:r>
        <w:t>Variables were selected as follows</w:t>
      </w:r>
    </w:p>
    <w:p w:rsidR="008C0F77" w:rsidRPr="00037447" w:rsidRDefault="008C0F77" w:rsidP="008C0F77">
      <w:pPr>
        <w:pStyle w:val="ListParagraph"/>
        <w:widowControl w:val="0"/>
        <w:numPr>
          <w:ilvl w:val="0"/>
          <w:numId w:val="27"/>
        </w:numPr>
        <w:tabs>
          <w:tab w:val="left" w:pos="540"/>
        </w:tabs>
        <w:autoSpaceDE w:val="0"/>
        <w:autoSpaceDN w:val="0"/>
        <w:spacing w:after="0" w:line="240" w:lineRule="auto"/>
        <w:rPr>
          <w:rFonts w:ascii="Times New Roman" w:hAnsi="Times New Roman" w:cs="Times New Roman"/>
          <w:sz w:val="20"/>
          <w:szCs w:val="20"/>
        </w:rPr>
      </w:pPr>
      <w:r w:rsidRPr="00037447">
        <w:rPr>
          <w:rFonts w:ascii="Times New Roman" w:hAnsi="Times New Roman" w:cs="Times New Roman"/>
          <w:sz w:val="20"/>
          <w:szCs w:val="20"/>
        </w:rPr>
        <w:t>Super plasticizer</w:t>
      </w:r>
      <w:r w:rsidRPr="00037447">
        <w:rPr>
          <w:rFonts w:ascii="Times New Roman" w:hAnsi="Times New Roman" w:cs="Times New Roman"/>
          <w:spacing w:val="-2"/>
          <w:sz w:val="20"/>
          <w:szCs w:val="20"/>
        </w:rPr>
        <w:t xml:space="preserve"> </w:t>
      </w:r>
      <w:r w:rsidRPr="00037447">
        <w:rPr>
          <w:rFonts w:ascii="Times New Roman" w:hAnsi="Times New Roman" w:cs="Times New Roman"/>
          <w:sz w:val="20"/>
          <w:szCs w:val="20"/>
        </w:rPr>
        <w:t>-</w:t>
      </w:r>
      <w:r w:rsidRPr="00037447">
        <w:rPr>
          <w:rFonts w:ascii="Times New Roman" w:hAnsi="Times New Roman" w:cs="Times New Roman"/>
          <w:spacing w:val="57"/>
          <w:sz w:val="20"/>
          <w:szCs w:val="20"/>
        </w:rPr>
        <w:t xml:space="preserve"> </w:t>
      </w:r>
      <w:r w:rsidRPr="00037447">
        <w:rPr>
          <w:rFonts w:ascii="Times New Roman" w:hAnsi="Times New Roman" w:cs="Times New Roman"/>
          <w:sz w:val="20"/>
          <w:szCs w:val="20"/>
        </w:rPr>
        <w:t>from</w:t>
      </w:r>
      <w:r w:rsidRPr="00037447">
        <w:rPr>
          <w:rFonts w:ascii="Times New Roman" w:hAnsi="Times New Roman" w:cs="Times New Roman"/>
          <w:spacing w:val="1"/>
          <w:sz w:val="20"/>
          <w:szCs w:val="20"/>
        </w:rPr>
        <w:t xml:space="preserve"> </w:t>
      </w:r>
      <w:r w:rsidRPr="00037447">
        <w:rPr>
          <w:rFonts w:ascii="Times New Roman" w:hAnsi="Times New Roman" w:cs="Times New Roman"/>
          <w:sz w:val="20"/>
          <w:szCs w:val="20"/>
        </w:rPr>
        <w:t>0%,</w:t>
      </w:r>
      <w:r w:rsidRPr="00037447">
        <w:rPr>
          <w:rFonts w:ascii="Times New Roman" w:hAnsi="Times New Roman" w:cs="Times New Roman"/>
          <w:spacing w:val="-1"/>
          <w:sz w:val="20"/>
          <w:szCs w:val="20"/>
        </w:rPr>
        <w:t xml:space="preserve"> </w:t>
      </w:r>
      <w:r w:rsidRPr="00037447">
        <w:rPr>
          <w:rFonts w:ascii="Times New Roman" w:hAnsi="Times New Roman" w:cs="Times New Roman"/>
          <w:sz w:val="20"/>
          <w:szCs w:val="20"/>
        </w:rPr>
        <w:t>to 2.5%</w:t>
      </w:r>
      <w:r w:rsidRPr="00037447">
        <w:rPr>
          <w:rFonts w:ascii="Times New Roman" w:hAnsi="Times New Roman" w:cs="Times New Roman"/>
          <w:spacing w:val="57"/>
          <w:sz w:val="20"/>
          <w:szCs w:val="20"/>
        </w:rPr>
        <w:t xml:space="preserve"> </w:t>
      </w:r>
      <w:r w:rsidRPr="00037447">
        <w:rPr>
          <w:rFonts w:ascii="Times New Roman" w:hAnsi="Times New Roman" w:cs="Times New Roman"/>
          <w:sz w:val="20"/>
          <w:szCs w:val="20"/>
        </w:rPr>
        <w:t>for</w:t>
      </w:r>
      <w:r w:rsidRPr="00037447">
        <w:rPr>
          <w:rFonts w:ascii="Times New Roman" w:hAnsi="Times New Roman" w:cs="Times New Roman"/>
          <w:spacing w:val="-2"/>
          <w:sz w:val="20"/>
          <w:szCs w:val="20"/>
        </w:rPr>
        <w:t xml:space="preserve"> </w:t>
      </w:r>
      <w:r w:rsidRPr="00037447">
        <w:rPr>
          <w:rFonts w:ascii="Times New Roman" w:hAnsi="Times New Roman" w:cs="Times New Roman"/>
          <w:sz w:val="20"/>
          <w:szCs w:val="20"/>
        </w:rPr>
        <w:t>Marsh</w:t>
      </w:r>
      <w:r w:rsidRPr="00037447">
        <w:rPr>
          <w:rFonts w:ascii="Times New Roman" w:hAnsi="Times New Roman" w:cs="Times New Roman"/>
          <w:spacing w:val="1"/>
          <w:sz w:val="20"/>
          <w:szCs w:val="20"/>
        </w:rPr>
        <w:t xml:space="preserve"> </w:t>
      </w:r>
      <w:r w:rsidRPr="00037447">
        <w:rPr>
          <w:rFonts w:ascii="Times New Roman" w:hAnsi="Times New Roman" w:cs="Times New Roman"/>
          <w:sz w:val="20"/>
          <w:szCs w:val="20"/>
        </w:rPr>
        <w:t>Cone</w:t>
      </w:r>
      <w:r w:rsidRPr="00037447">
        <w:rPr>
          <w:rFonts w:ascii="Times New Roman" w:hAnsi="Times New Roman" w:cs="Times New Roman"/>
          <w:spacing w:val="-2"/>
          <w:sz w:val="20"/>
          <w:szCs w:val="20"/>
        </w:rPr>
        <w:t xml:space="preserve"> </w:t>
      </w:r>
      <w:r w:rsidRPr="00037447">
        <w:rPr>
          <w:rFonts w:ascii="Times New Roman" w:hAnsi="Times New Roman" w:cs="Times New Roman"/>
          <w:sz w:val="20"/>
          <w:szCs w:val="20"/>
        </w:rPr>
        <w:t>Test</w:t>
      </w:r>
    </w:p>
    <w:p w:rsidR="008C0F77" w:rsidRDefault="008C0F77" w:rsidP="008C0F77">
      <w:pPr>
        <w:pStyle w:val="ListParagraph"/>
        <w:widowControl w:val="0"/>
        <w:numPr>
          <w:ilvl w:val="0"/>
          <w:numId w:val="27"/>
        </w:numPr>
        <w:tabs>
          <w:tab w:val="left" w:pos="540"/>
        </w:tabs>
        <w:autoSpaceDE w:val="0"/>
        <w:autoSpaceDN w:val="0"/>
        <w:spacing w:after="0" w:line="240" w:lineRule="auto"/>
        <w:rPr>
          <w:rFonts w:ascii="Times New Roman" w:hAnsi="Times New Roman" w:cs="Times New Roman"/>
          <w:sz w:val="20"/>
          <w:szCs w:val="20"/>
        </w:rPr>
      </w:pPr>
      <w:r w:rsidRPr="00037447">
        <w:rPr>
          <w:rFonts w:ascii="Times New Roman" w:hAnsi="Times New Roman" w:cs="Times New Roman"/>
          <w:sz w:val="20"/>
          <w:szCs w:val="20"/>
        </w:rPr>
        <w:t>Water</w:t>
      </w:r>
      <w:r w:rsidRPr="00037447">
        <w:rPr>
          <w:rFonts w:ascii="Times New Roman" w:hAnsi="Times New Roman" w:cs="Times New Roman"/>
          <w:spacing w:val="-2"/>
          <w:sz w:val="20"/>
          <w:szCs w:val="20"/>
        </w:rPr>
        <w:t xml:space="preserve"> </w:t>
      </w:r>
      <w:r w:rsidRPr="00037447">
        <w:rPr>
          <w:rFonts w:ascii="Times New Roman" w:hAnsi="Times New Roman" w:cs="Times New Roman"/>
          <w:sz w:val="20"/>
          <w:szCs w:val="20"/>
        </w:rPr>
        <w:t>to</w:t>
      </w:r>
      <w:r w:rsidRPr="00037447">
        <w:rPr>
          <w:rFonts w:ascii="Times New Roman" w:hAnsi="Times New Roman" w:cs="Times New Roman"/>
          <w:spacing w:val="-1"/>
          <w:sz w:val="20"/>
          <w:szCs w:val="20"/>
        </w:rPr>
        <w:t xml:space="preserve"> </w:t>
      </w:r>
      <w:r w:rsidRPr="00037447">
        <w:rPr>
          <w:rFonts w:ascii="Times New Roman" w:hAnsi="Times New Roman" w:cs="Times New Roman"/>
          <w:sz w:val="20"/>
          <w:szCs w:val="20"/>
        </w:rPr>
        <w:t>Cement</w:t>
      </w:r>
      <w:r w:rsidRPr="00037447">
        <w:rPr>
          <w:rFonts w:ascii="Times New Roman" w:hAnsi="Times New Roman" w:cs="Times New Roman"/>
          <w:spacing w:val="-1"/>
          <w:sz w:val="20"/>
          <w:szCs w:val="20"/>
        </w:rPr>
        <w:t xml:space="preserve"> </w:t>
      </w:r>
      <w:r w:rsidRPr="00037447">
        <w:rPr>
          <w:rFonts w:ascii="Times New Roman" w:hAnsi="Times New Roman" w:cs="Times New Roman"/>
          <w:sz w:val="20"/>
          <w:szCs w:val="20"/>
        </w:rPr>
        <w:t>ratio –</w:t>
      </w:r>
      <w:r w:rsidRPr="00037447">
        <w:rPr>
          <w:rFonts w:ascii="Times New Roman" w:hAnsi="Times New Roman" w:cs="Times New Roman"/>
          <w:spacing w:val="-2"/>
          <w:sz w:val="20"/>
          <w:szCs w:val="20"/>
        </w:rPr>
        <w:t xml:space="preserve"> </w:t>
      </w:r>
      <w:r w:rsidRPr="00037447">
        <w:rPr>
          <w:rFonts w:ascii="Times New Roman" w:hAnsi="Times New Roman" w:cs="Times New Roman"/>
          <w:sz w:val="20"/>
          <w:szCs w:val="20"/>
        </w:rPr>
        <w:t>0.35</w:t>
      </w:r>
    </w:p>
    <w:p w:rsidR="008C0F77" w:rsidRDefault="008C0F77" w:rsidP="008C0F77">
      <w:pPr>
        <w:pStyle w:val="ListParagraph"/>
        <w:widowControl w:val="0"/>
        <w:numPr>
          <w:ilvl w:val="0"/>
          <w:numId w:val="27"/>
        </w:numPr>
        <w:tabs>
          <w:tab w:val="left" w:pos="540"/>
        </w:tabs>
        <w:autoSpaceDE w:val="0"/>
        <w:autoSpaceDN w:val="0"/>
        <w:spacing w:after="0" w:line="240" w:lineRule="auto"/>
        <w:ind w:left="360" w:firstLine="0"/>
        <w:jc w:val="both"/>
        <w:rPr>
          <w:rFonts w:ascii="Times New Roman" w:hAnsi="Times New Roman" w:cs="Times New Roman"/>
          <w:sz w:val="20"/>
          <w:szCs w:val="20"/>
        </w:rPr>
      </w:pPr>
      <w:r w:rsidRPr="008C0F77">
        <w:rPr>
          <w:rFonts w:ascii="Times New Roman" w:hAnsi="Times New Roman" w:cs="Times New Roman"/>
          <w:sz w:val="20"/>
          <w:szCs w:val="20"/>
        </w:rPr>
        <w:t>Super plasticizer</w:t>
      </w:r>
      <w:r w:rsidRPr="008C0F77">
        <w:rPr>
          <w:rFonts w:ascii="Times New Roman" w:hAnsi="Times New Roman" w:cs="Times New Roman"/>
          <w:spacing w:val="-2"/>
          <w:sz w:val="20"/>
          <w:szCs w:val="20"/>
        </w:rPr>
        <w:t xml:space="preserve"> </w:t>
      </w:r>
      <w:r w:rsidRPr="008C0F77">
        <w:rPr>
          <w:rFonts w:ascii="Times New Roman" w:hAnsi="Times New Roman" w:cs="Times New Roman"/>
          <w:sz w:val="20"/>
          <w:szCs w:val="20"/>
        </w:rPr>
        <w:t>-</w:t>
      </w:r>
      <w:r w:rsidRPr="008C0F77">
        <w:rPr>
          <w:rFonts w:ascii="Times New Roman" w:hAnsi="Times New Roman" w:cs="Times New Roman"/>
          <w:spacing w:val="58"/>
          <w:sz w:val="20"/>
          <w:szCs w:val="20"/>
        </w:rPr>
        <w:t xml:space="preserve"> </w:t>
      </w:r>
      <w:r w:rsidRPr="008C0F77">
        <w:rPr>
          <w:rFonts w:ascii="Times New Roman" w:hAnsi="Times New Roman" w:cs="Times New Roman"/>
          <w:sz w:val="20"/>
          <w:szCs w:val="20"/>
        </w:rPr>
        <w:t>0%,</w:t>
      </w:r>
      <w:r w:rsidRPr="008C0F77">
        <w:rPr>
          <w:rFonts w:ascii="Times New Roman" w:hAnsi="Times New Roman" w:cs="Times New Roman"/>
          <w:spacing w:val="1"/>
          <w:sz w:val="20"/>
          <w:szCs w:val="20"/>
        </w:rPr>
        <w:t xml:space="preserve"> </w:t>
      </w:r>
      <w:r w:rsidRPr="008C0F77">
        <w:rPr>
          <w:rFonts w:ascii="Times New Roman" w:hAnsi="Times New Roman" w:cs="Times New Roman"/>
          <w:sz w:val="20"/>
          <w:szCs w:val="20"/>
        </w:rPr>
        <w:t>0.5%,</w:t>
      </w:r>
      <w:r w:rsidRPr="008C0F77">
        <w:rPr>
          <w:rFonts w:ascii="Times New Roman" w:hAnsi="Times New Roman" w:cs="Times New Roman"/>
          <w:spacing w:val="-1"/>
          <w:sz w:val="20"/>
          <w:szCs w:val="20"/>
        </w:rPr>
        <w:t xml:space="preserve"> 0.75%,</w:t>
      </w:r>
      <w:r w:rsidRPr="008C0F77">
        <w:rPr>
          <w:rFonts w:ascii="Times New Roman" w:hAnsi="Times New Roman" w:cs="Times New Roman"/>
          <w:sz w:val="20"/>
          <w:szCs w:val="20"/>
        </w:rPr>
        <w:t xml:space="preserve"> 1.0%, 1.25%, and 1.5%</w:t>
      </w:r>
      <w:r w:rsidRPr="008C0F77">
        <w:rPr>
          <w:rFonts w:ascii="Times New Roman" w:hAnsi="Times New Roman" w:cs="Times New Roman"/>
          <w:spacing w:val="-2"/>
          <w:sz w:val="20"/>
          <w:szCs w:val="20"/>
        </w:rPr>
        <w:t xml:space="preserve"> </w:t>
      </w:r>
      <w:r w:rsidRPr="008C0F77">
        <w:rPr>
          <w:rFonts w:ascii="Times New Roman" w:hAnsi="Times New Roman" w:cs="Times New Roman"/>
          <w:spacing w:val="58"/>
          <w:sz w:val="20"/>
          <w:szCs w:val="20"/>
        </w:rPr>
        <w:t>for</w:t>
      </w:r>
      <w:r w:rsidRPr="008C0F77">
        <w:rPr>
          <w:rFonts w:ascii="Times New Roman" w:hAnsi="Times New Roman" w:cs="Times New Roman"/>
          <w:spacing w:val="-2"/>
          <w:sz w:val="20"/>
          <w:szCs w:val="20"/>
        </w:rPr>
        <w:t xml:space="preserve"> </w:t>
      </w:r>
      <w:r w:rsidRPr="008C0F77">
        <w:rPr>
          <w:rFonts w:ascii="Times New Roman" w:hAnsi="Times New Roman" w:cs="Times New Roman"/>
          <w:sz w:val="20"/>
          <w:szCs w:val="20"/>
        </w:rPr>
        <w:t>Slump</w:t>
      </w:r>
      <w:r w:rsidRPr="008C0F77">
        <w:rPr>
          <w:rFonts w:ascii="Times New Roman" w:hAnsi="Times New Roman" w:cs="Times New Roman"/>
          <w:spacing w:val="59"/>
          <w:sz w:val="20"/>
          <w:szCs w:val="20"/>
        </w:rPr>
        <w:t xml:space="preserve"> </w:t>
      </w:r>
      <w:r w:rsidRPr="008C0F77">
        <w:rPr>
          <w:rFonts w:ascii="Times New Roman" w:hAnsi="Times New Roman" w:cs="Times New Roman"/>
          <w:sz w:val="20"/>
          <w:szCs w:val="20"/>
        </w:rPr>
        <w:t xml:space="preserve">Test &amp; strength tests of concrete. </w:t>
      </w:r>
    </w:p>
    <w:p w:rsidR="008C0F77" w:rsidRPr="00B44A8F" w:rsidRDefault="008C0F77" w:rsidP="00B44A8F">
      <w:pPr>
        <w:pStyle w:val="ListParagraph"/>
        <w:widowControl w:val="0"/>
        <w:numPr>
          <w:ilvl w:val="0"/>
          <w:numId w:val="27"/>
        </w:numPr>
        <w:tabs>
          <w:tab w:val="left" w:pos="540"/>
        </w:tabs>
        <w:autoSpaceDE w:val="0"/>
        <w:autoSpaceDN w:val="0"/>
        <w:spacing w:after="0" w:line="240" w:lineRule="auto"/>
        <w:jc w:val="both"/>
        <w:rPr>
          <w:rFonts w:ascii="Times New Roman" w:hAnsi="Times New Roman" w:cs="Times New Roman"/>
          <w:sz w:val="20"/>
          <w:szCs w:val="20"/>
        </w:rPr>
      </w:pPr>
      <w:r w:rsidRPr="00B44A8F">
        <w:rPr>
          <w:rFonts w:ascii="Times New Roman" w:hAnsi="Times New Roman" w:cs="Times New Roman"/>
          <w:sz w:val="20"/>
          <w:szCs w:val="20"/>
        </w:rPr>
        <w:t>Marsh</w:t>
      </w:r>
      <w:r w:rsidRPr="00B44A8F">
        <w:rPr>
          <w:rFonts w:ascii="Times New Roman" w:hAnsi="Times New Roman" w:cs="Times New Roman"/>
          <w:spacing w:val="-1"/>
          <w:sz w:val="20"/>
          <w:szCs w:val="20"/>
        </w:rPr>
        <w:t xml:space="preserve"> </w:t>
      </w:r>
      <w:r w:rsidRPr="00B44A8F">
        <w:rPr>
          <w:rFonts w:ascii="Times New Roman" w:hAnsi="Times New Roman" w:cs="Times New Roman"/>
          <w:sz w:val="20"/>
          <w:szCs w:val="20"/>
        </w:rPr>
        <w:t>Cone</w:t>
      </w:r>
      <w:r w:rsidRPr="00B44A8F">
        <w:rPr>
          <w:rFonts w:ascii="Times New Roman" w:hAnsi="Times New Roman" w:cs="Times New Roman"/>
          <w:spacing w:val="-3"/>
          <w:sz w:val="20"/>
          <w:szCs w:val="20"/>
        </w:rPr>
        <w:t xml:space="preserve"> </w:t>
      </w:r>
      <w:r w:rsidRPr="00B44A8F">
        <w:rPr>
          <w:rFonts w:ascii="Times New Roman" w:hAnsi="Times New Roman" w:cs="Times New Roman"/>
          <w:sz w:val="20"/>
          <w:szCs w:val="20"/>
        </w:rPr>
        <w:t>Time</w:t>
      </w:r>
      <w:r w:rsidRPr="00B44A8F">
        <w:rPr>
          <w:rFonts w:ascii="Times New Roman" w:hAnsi="Times New Roman" w:cs="Times New Roman"/>
          <w:spacing w:val="-3"/>
          <w:sz w:val="20"/>
          <w:szCs w:val="20"/>
        </w:rPr>
        <w:t xml:space="preserve"> </w:t>
      </w:r>
      <w:r w:rsidRPr="00B44A8F">
        <w:rPr>
          <w:rFonts w:ascii="Times New Roman" w:hAnsi="Times New Roman" w:cs="Times New Roman"/>
          <w:sz w:val="20"/>
          <w:szCs w:val="20"/>
        </w:rPr>
        <w:t>and</w:t>
      </w:r>
      <w:r w:rsidRPr="00B44A8F">
        <w:rPr>
          <w:rFonts w:ascii="Times New Roman" w:hAnsi="Times New Roman" w:cs="Times New Roman"/>
          <w:spacing w:val="-1"/>
          <w:sz w:val="20"/>
          <w:szCs w:val="20"/>
        </w:rPr>
        <w:t xml:space="preserve"> </w:t>
      </w:r>
      <w:r w:rsidRPr="00B44A8F">
        <w:rPr>
          <w:rFonts w:ascii="Times New Roman" w:hAnsi="Times New Roman" w:cs="Times New Roman"/>
          <w:sz w:val="20"/>
          <w:szCs w:val="20"/>
        </w:rPr>
        <w:t>Slump</w:t>
      </w:r>
      <w:r w:rsidRPr="00B44A8F">
        <w:rPr>
          <w:rFonts w:ascii="Times New Roman" w:hAnsi="Times New Roman" w:cs="Times New Roman"/>
          <w:spacing w:val="-2"/>
          <w:sz w:val="20"/>
          <w:szCs w:val="20"/>
        </w:rPr>
        <w:t xml:space="preserve"> </w:t>
      </w:r>
      <w:r w:rsidRPr="00B44A8F">
        <w:rPr>
          <w:rFonts w:ascii="Times New Roman" w:hAnsi="Times New Roman" w:cs="Times New Roman"/>
          <w:sz w:val="20"/>
          <w:szCs w:val="20"/>
        </w:rPr>
        <w:t>values were</w:t>
      </w:r>
      <w:r w:rsidRPr="00B44A8F">
        <w:rPr>
          <w:rFonts w:ascii="Times New Roman" w:hAnsi="Times New Roman" w:cs="Times New Roman"/>
          <w:spacing w:val="-1"/>
          <w:sz w:val="20"/>
          <w:szCs w:val="20"/>
        </w:rPr>
        <w:t xml:space="preserve"> </w:t>
      </w:r>
      <w:r w:rsidRPr="00B44A8F">
        <w:rPr>
          <w:rFonts w:ascii="Times New Roman" w:hAnsi="Times New Roman" w:cs="Times New Roman"/>
          <w:sz w:val="20"/>
          <w:szCs w:val="20"/>
        </w:rPr>
        <w:t>recorded.</w:t>
      </w:r>
    </w:p>
    <w:p w:rsidR="008C0F77" w:rsidRPr="008C0F77" w:rsidRDefault="008C0F77" w:rsidP="008C0F77">
      <w:pPr>
        <w:jc w:val="both"/>
      </w:pPr>
    </w:p>
    <w:p w:rsidR="008C0F77" w:rsidRPr="00767BF4" w:rsidRDefault="008C0F77" w:rsidP="008C0F77">
      <w:pPr>
        <w:pStyle w:val="Heading2"/>
        <w:spacing w:before="0" w:after="0"/>
        <w:ind w:left="0" w:firstLine="0"/>
        <w:rPr>
          <w:b/>
          <w:i w:val="0"/>
        </w:rPr>
      </w:pPr>
      <w:r>
        <w:rPr>
          <w:b/>
          <w:i w:val="0"/>
        </w:rPr>
        <w:t>Materials</w:t>
      </w:r>
    </w:p>
    <w:p w:rsidR="008C0F77" w:rsidRDefault="008C0F77" w:rsidP="00EF1D11">
      <w:pPr>
        <w:pStyle w:val="Heading3"/>
      </w:pPr>
      <w:r>
        <w:t>Cement</w:t>
      </w:r>
    </w:p>
    <w:p w:rsidR="008C0F77" w:rsidRDefault="008C0F77" w:rsidP="008C0F77">
      <w:pPr>
        <w:pStyle w:val="BodyText"/>
        <w:tabs>
          <w:tab w:val="left" w:pos="8784"/>
        </w:tabs>
        <w:spacing w:line="240" w:lineRule="auto"/>
        <w:ind w:right="54"/>
      </w:pPr>
      <w:r w:rsidRPr="00037447">
        <w:t xml:space="preserve">IS Mark </w:t>
      </w:r>
      <w:r w:rsidR="00517052">
        <w:t>OPC-</w:t>
      </w:r>
      <w:r w:rsidRPr="00037447">
        <w:t>53 grade cement become used for all concrete mix</w:t>
      </w:r>
      <w:r w:rsidR="00517052">
        <w:t>es</w:t>
      </w:r>
      <w:r w:rsidRPr="00037447">
        <w:t>. The cement used become fresh and with none lumps. Testing of cement changed into executed as in step with IS: 8112-1989. The various assessments outcomes conducted at the cement are mentioned in Table</w:t>
      </w:r>
      <w:r w:rsidRPr="00037447">
        <w:rPr>
          <w:spacing w:val="1"/>
        </w:rPr>
        <w:t xml:space="preserve"> </w:t>
      </w:r>
      <w:r w:rsidR="00693C00">
        <w:t>1 and selected cement properties are within limits and is suitable for experimentation.</w:t>
      </w:r>
    </w:p>
    <w:p w:rsidR="008C0F77" w:rsidRPr="00037447" w:rsidRDefault="008C0F77" w:rsidP="008C0F77">
      <w:pPr>
        <w:pStyle w:val="BodyText"/>
        <w:tabs>
          <w:tab w:val="left" w:pos="8784"/>
        </w:tabs>
        <w:spacing w:line="240" w:lineRule="auto"/>
        <w:ind w:right="54"/>
        <w:jc w:val="center"/>
        <w:rPr>
          <w:w w:val="105"/>
        </w:rPr>
      </w:pPr>
      <w:r w:rsidRPr="000B5B2F">
        <w:rPr>
          <w:b/>
        </w:rPr>
        <w:t xml:space="preserve">Table 1: </w:t>
      </w:r>
      <w:r w:rsidRPr="008C0F77">
        <w:rPr>
          <w:b/>
        </w:rPr>
        <w:t>Properties of cement</w:t>
      </w:r>
    </w:p>
    <w:tbl>
      <w:tblPr>
        <w:tblStyle w:val="TableGrid"/>
        <w:tblW w:w="0" w:type="auto"/>
        <w:tblInd w:w="918" w:type="dxa"/>
        <w:tblLook w:val="04A0"/>
      </w:tblPr>
      <w:tblGrid>
        <w:gridCol w:w="672"/>
        <w:gridCol w:w="2658"/>
        <w:gridCol w:w="1980"/>
        <w:gridCol w:w="1530"/>
      </w:tblGrid>
      <w:tr w:rsidR="00CC50B9" w:rsidRPr="00A45AF7" w:rsidTr="009C2139">
        <w:tc>
          <w:tcPr>
            <w:tcW w:w="672" w:type="dxa"/>
          </w:tcPr>
          <w:p w:rsidR="00CC50B9" w:rsidRPr="00A45AF7" w:rsidRDefault="00CC50B9" w:rsidP="009C2139">
            <w:pPr>
              <w:rPr>
                <w:b/>
                <w:bCs/>
              </w:rPr>
            </w:pPr>
            <w:r w:rsidRPr="00A45AF7">
              <w:rPr>
                <w:b/>
                <w:bCs/>
              </w:rPr>
              <w:t>S.No.</w:t>
            </w:r>
          </w:p>
        </w:tc>
        <w:tc>
          <w:tcPr>
            <w:tcW w:w="2658" w:type="dxa"/>
          </w:tcPr>
          <w:p w:rsidR="00CC50B9" w:rsidRPr="00A45AF7" w:rsidRDefault="00CC50B9" w:rsidP="009C2139">
            <w:pPr>
              <w:rPr>
                <w:b/>
                <w:bCs/>
              </w:rPr>
            </w:pPr>
            <w:r w:rsidRPr="00A45AF7">
              <w:rPr>
                <w:b/>
                <w:bCs/>
              </w:rPr>
              <w:t>Description</w:t>
            </w:r>
          </w:p>
        </w:tc>
        <w:tc>
          <w:tcPr>
            <w:tcW w:w="1980" w:type="dxa"/>
          </w:tcPr>
          <w:p w:rsidR="00CC50B9" w:rsidRPr="00A45AF7" w:rsidRDefault="00CC50B9" w:rsidP="009C2139">
            <w:pPr>
              <w:rPr>
                <w:b/>
                <w:bCs/>
              </w:rPr>
            </w:pPr>
            <w:r w:rsidRPr="00A45AF7">
              <w:rPr>
                <w:b/>
                <w:bCs/>
              </w:rPr>
              <w:t>Test Results</w:t>
            </w:r>
          </w:p>
        </w:tc>
        <w:tc>
          <w:tcPr>
            <w:tcW w:w="1530" w:type="dxa"/>
          </w:tcPr>
          <w:p w:rsidR="00CC50B9" w:rsidRPr="00A45AF7" w:rsidRDefault="00CC50B9" w:rsidP="009C2139">
            <w:pPr>
              <w:rPr>
                <w:b/>
                <w:bCs/>
              </w:rPr>
            </w:pPr>
            <w:r w:rsidRPr="00A45AF7">
              <w:rPr>
                <w:b/>
                <w:bCs/>
              </w:rPr>
              <w:t>IS Code Limits</w:t>
            </w:r>
          </w:p>
        </w:tc>
      </w:tr>
      <w:tr w:rsidR="00CC50B9" w:rsidTr="009C2139">
        <w:tc>
          <w:tcPr>
            <w:tcW w:w="672" w:type="dxa"/>
          </w:tcPr>
          <w:p w:rsidR="00CC50B9" w:rsidRDefault="00CC50B9" w:rsidP="009C2139">
            <w:r>
              <w:t>1.</w:t>
            </w:r>
          </w:p>
        </w:tc>
        <w:tc>
          <w:tcPr>
            <w:tcW w:w="2658" w:type="dxa"/>
          </w:tcPr>
          <w:p w:rsidR="00CC50B9" w:rsidRDefault="00CC50B9" w:rsidP="009C2139">
            <w:r>
              <w:t>Specific Gravity</w:t>
            </w:r>
          </w:p>
        </w:tc>
        <w:tc>
          <w:tcPr>
            <w:tcW w:w="1980" w:type="dxa"/>
          </w:tcPr>
          <w:p w:rsidR="00CC50B9" w:rsidRDefault="00CC50B9" w:rsidP="009C2139">
            <w:r>
              <w:t>3.14</w:t>
            </w:r>
          </w:p>
        </w:tc>
        <w:tc>
          <w:tcPr>
            <w:tcW w:w="1530" w:type="dxa"/>
          </w:tcPr>
          <w:p w:rsidR="00CC50B9" w:rsidRDefault="00CC50B9" w:rsidP="009C2139">
            <w:r>
              <w:t>3.10-3.15</w:t>
            </w:r>
          </w:p>
        </w:tc>
      </w:tr>
      <w:tr w:rsidR="00CC50B9" w:rsidTr="009C2139">
        <w:tc>
          <w:tcPr>
            <w:tcW w:w="672" w:type="dxa"/>
          </w:tcPr>
          <w:p w:rsidR="00CC50B9" w:rsidRDefault="00CC50B9" w:rsidP="009C2139">
            <w:r>
              <w:t>2.</w:t>
            </w:r>
          </w:p>
        </w:tc>
        <w:tc>
          <w:tcPr>
            <w:tcW w:w="2658" w:type="dxa"/>
          </w:tcPr>
          <w:p w:rsidR="00CC50B9" w:rsidRDefault="00CC50B9" w:rsidP="009C2139">
            <w:r>
              <w:t>Fineness Modulus</w:t>
            </w:r>
          </w:p>
        </w:tc>
        <w:tc>
          <w:tcPr>
            <w:tcW w:w="1980" w:type="dxa"/>
          </w:tcPr>
          <w:p w:rsidR="00CC50B9" w:rsidRDefault="00CC50B9" w:rsidP="009C2139">
            <w:r>
              <w:t>4.16</w:t>
            </w:r>
          </w:p>
        </w:tc>
        <w:tc>
          <w:tcPr>
            <w:tcW w:w="1530" w:type="dxa"/>
          </w:tcPr>
          <w:p w:rsidR="00CC50B9" w:rsidRDefault="00CC50B9" w:rsidP="009C2139">
            <w:r>
              <w:t>&lt;10%</w:t>
            </w:r>
          </w:p>
        </w:tc>
      </w:tr>
      <w:tr w:rsidR="00CC50B9" w:rsidTr="009C2139">
        <w:tc>
          <w:tcPr>
            <w:tcW w:w="672" w:type="dxa"/>
          </w:tcPr>
          <w:p w:rsidR="00CC50B9" w:rsidRDefault="00CC50B9" w:rsidP="009C2139">
            <w:r>
              <w:t>3.</w:t>
            </w:r>
          </w:p>
        </w:tc>
        <w:tc>
          <w:tcPr>
            <w:tcW w:w="2658" w:type="dxa"/>
          </w:tcPr>
          <w:p w:rsidR="00CC50B9" w:rsidRDefault="00CC50B9" w:rsidP="009C2139">
            <w:r>
              <w:t>Normal Consistency</w:t>
            </w:r>
          </w:p>
        </w:tc>
        <w:tc>
          <w:tcPr>
            <w:tcW w:w="1980" w:type="dxa"/>
          </w:tcPr>
          <w:p w:rsidR="00CC50B9" w:rsidRDefault="00CC50B9" w:rsidP="009C2139">
            <w:r>
              <w:t>29%</w:t>
            </w:r>
          </w:p>
        </w:tc>
        <w:tc>
          <w:tcPr>
            <w:tcW w:w="1530" w:type="dxa"/>
          </w:tcPr>
          <w:p w:rsidR="00CC50B9" w:rsidRDefault="00CC50B9" w:rsidP="009C2139">
            <w:r>
              <w:t>&gt;26%</w:t>
            </w:r>
          </w:p>
        </w:tc>
      </w:tr>
      <w:tr w:rsidR="00CC50B9" w:rsidTr="009C2139">
        <w:tc>
          <w:tcPr>
            <w:tcW w:w="672" w:type="dxa"/>
          </w:tcPr>
          <w:p w:rsidR="00CC50B9" w:rsidRDefault="00CC50B9" w:rsidP="009C2139">
            <w:r>
              <w:t>4.</w:t>
            </w:r>
          </w:p>
        </w:tc>
        <w:tc>
          <w:tcPr>
            <w:tcW w:w="2658" w:type="dxa"/>
          </w:tcPr>
          <w:p w:rsidR="00CC50B9" w:rsidRDefault="00CC50B9" w:rsidP="009C2139">
            <w:r>
              <w:t>Initial Setting Time</w:t>
            </w:r>
          </w:p>
        </w:tc>
        <w:tc>
          <w:tcPr>
            <w:tcW w:w="1980" w:type="dxa"/>
          </w:tcPr>
          <w:p w:rsidR="00CC50B9" w:rsidRDefault="00CC50B9" w:rsidP="002F73FB">
            <w:r>
              <w:t xml:space="preserve">68 </w:t>
            </w:r>
            <w:r w:rsidR="00F6556F">
              <w:t>M</w:t>
            </w:r>
            <w:r>
              <w:t>inutes</w:t>
            </w:r>
          </w:p>
        </w:tc>
        <w:tc>
          <w:tcPr>
            <w:tcW w:w="1530" w:type="dxa"/>
          </w:tcPr>
          <w:p w:rsidR="00CC50B9" w:rsidRDefault="00CC50B9" w:rsidP="00F6556F">
            <w:r>
              <w:t xml:space="preserve">&gt;30 </w:t>
            </w:r>
            <w:r w:rsidR="00F6556F">
              <w:t>M</w:t>
            </w:r>
            <w:r>
              <w:t>inutes</w:t>
            </w:r>
          </w:p>
        </w:tc>
      </w:tr>
      <w:tr w:rsidR="00CC50B9" w:rsidTr="009C2139">
        <w:tc>
          <w:tcPr>
            <w:tcW w:w="672" w:type="dxa"/>
          </w:tcPr>
          <w:p w:rsidR="00CC50B9" w:rsidRDefault="00CC50B9" w:rsidP="009C2139">
            <w:r>
              <w:t>5.</w:t>
            </w:r>
          </w:p>
        </w:tc>
        <w:tc>
          <w:tcPr>
            <w:tcW w:w="2658" w:type="dxa"/>
          </w:tcPr>
          <w:p w:rsidR="00CC50B9" w:rsidRDefault="00CC50B9" w:rsidP="009C2139">
            <w:r>
              <w:t>Final Setting Time</w:t>
            </w:r>
          </w:p>
        </w:tc>
        <w:tc>
          <w:tcPr>
            <w:tcW w:w="1980" w:type="dxa"/>
          </w:tcPr>
          <w:p w:rsidR="00CC50B9" w:rsidRDefault="00F6556F" w:rsidP="009C2139">
            <w:r>
              <w:t>169 M</w:t>
            </w:r>
            <w:r w:rsidR="00CC50B9">
              <w:t>inutes</w:t>
            </w:r>
          </w:p>
        </w:tc>
        <w:tc>
          <w:tcPr>
            <w:tcW w:w="1530" w:type="dxa"/>
          </w:tcPr>
          <w:p w:rsidR="00CC50B9" w:rsidRDefault="00CC50B9" w:rsidP="009C2139">
            <w:r>
              <w:t>&lt;3 Hours</w:t>
            </w:r>
          </w:p>
        </w:tc>
      </w:tr>
    </w:tbl>
    <w:p w:rsidR="008C0F77" w:rsidRDefault="008C0F77" w:rsidP="008C0F77"/>
    <w:p w:rsidR="008C0F77" w:rsidRDefault="008C0F77" w:rsidP="00EF1D11">
      <w:pPr>
        <w:pStyle w:val="Heading3"/>
      </w:pPr>
      <w:r>
        <w:t>Coarse Aggregate</w:t>
      </w:r>
    </w:p>
    <w:p w:rsidR="00593ECA" w:rsidRDefault="00593ECA" w:rsidP="00593ECA">
      <w:pPr>
        <w:pStyle w:val="BodyText"/>
        <w:spacing w:line="240" w:lineRule="auto"/>
        <w:ind w:right="-36"/>
        <w:rPr>
          <w:spacing w:val="1"/>
        </w:rPr>
      </w:pPr>
      <w:r w:rsidRPr="00037447">
        <w:t>In our present work we have used coarse aggregates having 10mm and 20mm sizes which are available local market, and the testing coarse aggregates were done as per IS:</w:t>
      </w:r>
      <w:r w:rsidRPr="00037447">
        <w:rPr>
          <w:spacing w:val="1"/>
        </w:rPr>
        <w:t xml:space="preserve"> </w:t>
      </w:r>
      <w:r w:rsidRPr="00037447">
        <w:t>383-1970</w:t>
      </w:r>
      <w:r w:rsidR="00DE1057">
        <w:t xml:space="preserve"> and their results are shown in Table 2</w:t>
      </w:r>
      <w:r w:rsidRPr="00037447">
        <w:t xml:space="preserve">. </w:t>
      </w:r>
      <w:r w:rsidR="006D0CF4" w:rsidRPr="006D0CF4">
        <w:t>The 20mm aggregates were initially sieved via a 20mm sieve, while the 10mm aggregates were sieved first through a 10mm sieve, followed by a 4.75 mm sieve.</w:t>
      </w:r>
      <w:r w:rsidRPr="00037447">
        <w:rPr>
          <w:spacing w:val="1"/>
        </w:rPr>
        <w:t xml:space="preserve"> </w:t>
      </w:r>
    </w:p>
    <w:p w:rsidR="00593ECA" w:rsidRDefault="00593ECA" w:rsidP="00593ECA">
      <w:pPr>
        <w:pStyle w:val="BodyText"/>
        <w:spacing w:line="240" w:lineRule="auto"/>
        <w:ind w:right="-36"/>
        <w:jc w:val="center"/>
        <w:rPr>
          <w:b/>
        </w:rPr>
      </w:pPr>
      <w:r w:rsidRPr="000B5B2F">
        <w:rPr>
          <w:b/>
        </w:rPr>
        <w:t xml:space="preserve">Table </w:t>
      </w:r>
      <w:r>
        <w:rPr>
          <w:b/>
        </w:rPr>
        <w:t>2</w:t>
      </w:r>
      <w:r w:rsidRPr="000B5B2F">
        <w:rPr>
          <w:b/>
        </w:rPr>
        <w:t xml:space="preserve">: </w:t>
      </w:r>
      <w:r>
        <w:rPr>
          <w:b/>
        </w:rPr>
        <w:t>Properties of Coarse Aggregate</w:t>
      </w:r>
    </w:p>
    <w:tbl>
      <w:tblPr>
        <w:tblStyle w:val="TableGrid"/>
        <w:tblW w:w="0" w:type="auto"/>
        <w:jc w:val="center"/>
        <w:tblInd w:w="918" w:type="dxa"/>
        <w:tblLook w:val="04A0"/>
      </w:tblPr>
      <w:tblGrid>
        <w:gridCol w:w="672"/>
        <w:gridCol w:w="2959"/>
        <w:gridCol w:w="1679"/>
      </w:tblGrid>
      <w:tr w:rsidR="002C2D11" w:rsidTr="002C2D11">
        <w:trPr>
          <w:jc w:val="center"/>
        </w:trPr>
        <w:tc>
          <w:tcPr>
            <w:tcW w:w="672" w:type="dxa"/>
          </w:tcPr>
          <w:p w:rsidR="002C2D11" w:rsidRPr="00A45AF7" w:rsidRDefault="002C2D11" w:rsidP="009C2139">
            <w:pPr>
              <w:rPr>
                <w:b/>
                <w:bCs/>
              </w:rPr>
            </w:pPr>
            <w:r w:rsidRPr="00A45AF7">
              <w:rPr>
                <w:b/>
                <w:bCs/>
              </w:rPr>
              <w:t>S.No.</w:t>
            </w:r>
          </w:p>
        </w:tc>
        <w:tc>
          <w:tcPr>
            <w:tcW w:w="2959" w:type="dxa"/>
          </w:tcPr>
          <w:p w:rsidR="002C2D11" w:rsidRPr="00A45AF7" w:rsidRDefault="002C2D11" w:rsidP="009C2139">
            <w:pPr>
              <w:rPr>
                <w:b/>
                <w:bCs/>
              </w:rPr>
            </w:pPr>
            <w:r>
              <w:rPr>
                <w:b/>
                <w:bCs/>
              </w:rPr>
              <w:t>Characteristics</w:t>
            </w:r>
          </w:p>
        </w:tc>
        <w:tc>
          <w:tcPr>
            <w:tcW w:w="1679" w:type="dxa"/>
          </w:tcPr>
          <w:p w:rsidR="002C2D11" w:rsidRPr="00A45AF7" w:rsidRDefault="002C2D11" w:rsidP="009C2139">
            <w:pPr>
              <w:rPr>
                <w:b/>
                <w:bCs/>
              </w:rPr>
            </w:pPr>
            <w:r>
              <w:rPr>
                <w:b/>
                <w:bCs/>
              </w:rPr>
              <w:t>Value</w:t>
            </w:r>
          </w:p>
        </w:tc>
      </w:tr>
      <w:tr w:rsidR="002C2D11" w:rsidTr="002C2D11">
        <w:trPr>
          <w:jc w:val="center"/>
        </w:trPr>
        <w:tc>
          <w:tcPr>
            <w:tcW w:w="672" w:type="dxa"/>
          </w:tcPr>
          <w:p w:rsidR="002C2D11" w:rsidRDefault="002C2D11" w:rsidP="009C2139">
            <w:r>
              <w:t>1.</w:t>
            </w:r>
          </w:p>
        </w:tc>
        <w:tc>
          <w:tcPr>
            <w:tcW w:w="2959" w:type="dxa"/>
          </w:tcPr>
          <w:p w:rsidR="002C2D11" w:rsidRDefault="002C2D11" w:rsidP="009C2139">
            <w:r>
              <w:t>Type</w:t>
            </w:r>
          </w:p>
        </w:tc>
        <w:tc>
          <w:tcPr>
            <w:tcW w:w="1679" w:type="dxa"/>
          </w:tcPr>
          <w:p w:rsidR="002C2D11" w:rsidRDefault="002C2D11" w:rsidP="009C2139">
            <w:r>
              <w:t>Crushed</w:t>
            </w:r>
          </w:p>
        </w:tc>
      </w:tr>
      <w:tr w:rsidR="002C2D11" w:rsidTr="002C2D11">
        <w:trPr>
          <w:jc w:val="center"/>
        </w:trPr>
        <w:tc>
          <w:tcPr>
            <w:tcW w:w="672" w:type="dxa"/>
          </w:tcPr>
          <w:p w:rsidR="002C2D11" w:rsidRDefault="002C2D11" w:rsidP="009C2139">
            <w:r>
              <w:t>2.</w:t>
            </w:r>
          </w:p>
        </w:tc>
        <w:tc>
          <w:tcPr>
            <w:tcW w:w="2959" w:type="dxa"/>
          </w:tcPr>
          <w:p w:rsidR="002C2D11" w:rsidRDefault="002C2D11" w:rsidP="009C2139">
            <w:r>
              <w:t>Maximum Size</w:t>
            </w:r>
          </w:p>
        </w:tc>
        <w:tc>
          <w:tcPr>
            <w:tcW w:w="1679" w:type="dxa"/>
          </w:tcPr>
          <w:p w:rsidR="002C2D11" w:rsidRDefault="002C2D11" w:rsidP="009C2139">
            <w:r>
              <w:t>20 mm</w:t>
            </w:r>
          </w:p>
        </w:tc>
      </w:tr>
      <w:tr w:rsidR="002C2D11" w:rsidTr="002C2D11">
        <w:trPr>
          <w:jc w:val="center"/>
        </w:trPr>
        <w:tc>
          <w:tcPr>
            <w:tcW w:w="672" w:type="dxa"/>
          </w:tcPr>
          <w:p w:rsidR="002C2D11" w:rsidRDefault="002C2D11" w:rsidP="009C2139">
            <w:r>
              <w:t>3.</w:t>
            </w:r>
          </w:p>
        </w:tc>
        <w:tc>
          <w:tcPr>
            <w:tcW w:w="2959" w:type="dxa"/>
          </w:tcPr>
          <w:p w:rsidR="002C2D11" w:rsidRDefault="002C2D11" w:rsidP="009C2139">
            <w:r>
              <w:t>Specific Gravity (10mm)</w:t>
            </w:r>
          </w:p>
        </w:tc>
        <w:tc>
          <w:tcPr>
            <w:tcW w:w="1679" w:type="dxa"/>
          </w:tcPr>
          <w:p w:rsidR="002C2D11" w:rsidRDefault="002C2D11" w:rsidP="009C2139">
            <w:r>
              <w:t>2.704</w:t>
            </w:r>
          </w:p>
        </w:tc>
      </w:tr>
      <w:tr w:rsidR="002C2D11" w:rsidTr="002C2D11">
        <w:trPr>
          <w:jc w:val="center"/>
        </w:trPr>
        <w:tc>
          <w:tcPr>
            <w:tcW w:w="672" w:type="dxa"/>
          </w:tcPr>
          <w:p w:rsidR="002C2D11" w:rsidRDefault="002C2D11" w:rsidP="009C2139">
            <w:r>
              <w:t>4.</w:t>
            </w:r>
          </w:p>
        </w:tc>
        <w:tc>
          <w:tcPr>
            <w:tcW w:w="2959" w:type="dxa"/>
          </w:tcPr>
          <w:p w:rsidR="002C2D11" w:rsidRDefault="002C2D11" w:rsidP="009C2139">
            <w:r>
              <w:t>Specific Gravity (20mm)</w:t>
            </w:r>
          </w:p>
        </w:tc>
        <w:tc>
          <w:tcPr>
            <w:tcW w:w="1679" w:type="dxa"/>
          </w:tcPr>
          <w:p w:rsidR="002C2D11" w:rsidRDefault="002C2D11" w:rsidP="009C2139">
            <w:r>
              <w:t>2.825</w:t>
            </w:r>
          </w:p>
        </w:tc>
      </w:tr>
      <w:tr w:rsidR="002C2D11" w:rsidTr="002C2D11">
        <w:trPr>
          <w:jc w:val="center"/>
        </w:trPr>
        <w:tc>
          <w:tcPr>
            <w:tcW w:w="672" w:type="dxa"/>
          </w:tcPr>
          <w:p w:rsidR="002C2D11" w:rsidRDefault="002C2D11" w:rsidP="009C2139">
            <w:r>
              <w:t>5.</w:t>
            </w:r>
          </w:p>
        </w:tc>
        <w:tc>
          <w:tcPr>
            <w:tcW w:w="2959" w:type="dxa"/>
          </w:tcPr>
          <w:p w:rsidR="002C2D11" w:rsidRDefault="002C2D11" w:rsidP="009C2139">
            <w:r>
              <w:t>Total Water Absorption (10mm)</w:t>
            </w:r>
          </w:p>
        </w:tc>
        <w:tc>
          <w:tcPr>
            <w:tcW w:w="1679" w:type="dxa"/>
          </w:tcPr>
          <w:p w:rsidR="002C2D11" w:rsidRDefault="002C2D11" w:rsidP="009C2139">
            <w:r>
              <w:t>1.6432%</w:t>
            </w:r>
          </w:p>
        </w:tc>
      </w:tr>
      <w:tr w:rsidR="002C2D11" w:rsidTr="002C2D11">
        <w:trPr>
          <w:jc w:val="center"/>
        </w:trPr>
        <w:tc>
          <w:tcPr>
            <w:tcW w:w="672" w:type="dxa"/>
          </w:tcPr>
          <w:p w:rsidR="002C2D11" w:rsidRDefault="002C2D11" w:rsidP="009C2139">
            <w:r>
              <w:t>6.</w:t>
            </w:r>
          </w:p>
        </w:tc>
        <w:tc>
          <w:tcPr>
            <w:tcW w:w="2959" w:type="dxa"/>
          </w:tcPr>
          <w:p w:rsidR="002C2D11" w:rsidRDefault="002C2D11" w:rsidP="009C2139">
            <w:r>
              <w:t>Total Water Absorption (20mm)</w:t>
            </w:r>
          </w:p>
        </w:tc>
        <w:tc>
          <w:tcPr>
            <w:tcW w:w="1679" w:type="dxa"/>
          </w:tcPr>
          <w:p w:rsidR="002C2D11" w:rsidRDefault="002C2D11" w:rsidP="009C2139">
            <w:r>
              <w:t>3.645%</w:t>
            </w:r>
          </w:p>
        </w:tc>
      </w:tr>
      <w:tr w:rsidR="002C2D11" w:rsidTr="002C2D11">
        <w:trPr>
          <w:jc w:val="center"/>
        </w:trPr>
        <w:tc>
          <w:tcPr>
            <w:tcW w:w="672" w:type="dxa"/>
          </w:tcPr>
          <w:p w:rsidR="002C2D11" w:rsidRDefault="002C2D11" w:rsidP="009C2139">
            <w:r>
              <w:t>7.</w:t>
            </w:r>
          </w:p>
        </w:tc>
        <w:tc>
          <w:tcPr>
            <w:tcW w:w="2959" w:type="dxa"/>
          </w:tcPr>
          <w:p w:rsidR="002C2D11" w:rsidRDefault="002C2D11" w:rsidP="009C2139">
            <w:r>
              <w:t>Moisture Content (10mm)</w:t>
            </w:r>
          </w:p>
        </w:tc>
        <w:tc>
          <w:tcPr>
            <w:tcW w:w="1679" w:type="dxa"/>
          </w:tcPr>
          <w:p w:rsidR="002C2D11" w:rsidRDefault="002C2D11" w:rsidP="009C2139">
            <w:r>
              <w:t>0.806%</w:t>
            </w:r>
          </w:p>
        </w:tc>
      </w:tr>
      <w:tr w:rsidR="002C2D11" w:rsidTr="002C2D11">
        <w:trPr>
          <w:jc w:val="center"/>
        </w:trPr>
        <w:tc>
          <w:tcPr>
            <w:tcW w:w="672" w:type="dxa"/>
          </w:tcPr>
          <w:p w:rsidR="002C2D11" w:rsidRDefault="002C2D11" w:rsidP="009C2139">
            <w:r>
              <w:t>8.</w:t>
            </w:r>
          </w:p>
        </w:tc>
        <w:tc>
          <w:tcPr>
            <w:tcW w:w="2959" w:type="dxa"/>
          </w:tcPr>
          <w:p w:rsidR="002C2D11" w:rsidRDefault="002C2D11" w:rsidP="009C2139">
            <w:r>
              <w:t>Moisture Content (20mm)</w:t>
            </w:r>
          </w:p>
        </w:tc>
        <w:tc>
          <w:tcPr>
            <w:tcW w:w="1679" w:type="dxa"/>
          </w:tcPr>
          <w:p w:rsidR="002C2D11" w:rsidRDefault="002C2D11" w:rsidP="009C2139">
            <w:r>
              <w:t>0.7049%</w:t>
            </w:r>
          </w:p>
        </w:tc>
      </w:tr>
      <w:tr w:rsidR="002C2D11" w:rsidTr="002C2D11">
        <w:trPr>
          <w:jc w:val="center"/>
        </w:trPr>
        <w:tc>
          <w:tcPr>
            <w:tcW w:w="672" w:type="dxa"/>
          </w:tcPr>
          <w:p w:rsidR="002C2D11" w:rsidRDefault="002C2D11" w:rsidP="009C2139">
            <w:r>
              <w:t>9.</w:t>
            </w:r>
          </w:p>
        </w:tc>
        <w:tc>
          <w:tcPr>
            <w:tcW w:w="2959" w:type="dxa"/>
          </w:tcPr>
          <w:p w:rsidR="002C2D11" w:rsidRDefault="002C2D11" w:rsidP="009C2139">
            <w:r>
              <w:t>Fineness Modulus (10mm)</w:t>
            </w:r>
          </w:p>
        </w:tc>
        <w:tc>
          <w:tcPr>
            <w:tcW w:w="1679" w:type="dxa"/>
          </w:tcPr>
          <w:p w:rsidR="002C2D11" w:rsidRDefault="002C2D11" w:rsidP="009C2139">
            <w:r>
              <w:t>6.46</w:t>
            </w:r>
          </w:p>
        </w:tc>
      </w:tr>
      <w:tr w:rsidR="002C2D11" w:rsidTr="002C2D11">
        <w:trPr>
          <w:jc w:val="center"/>
        </w:trPr>
        <w:tc>
          <w:tcPr>
            <w:tcW w:w="672" w:type="dxa"/>
          </w:tcPr>
          <w:p w:rsidR="002C2D11" w:rsidRDefault="002C2D11" w:rsidP="009C2139">
            <w:r>
              <w:t>10.</w:t>
            </w:r>
          </w:p>
        </w:tc>
        <w:tc>
          <w:tcPr>
            <w:tcW w:w="2959" w:type="dxa"/>
          </w:tcPr>
          <w:p w:rsidR="002C2D11" w:rsidRDefault="002C2D11" w:rsidP="009C2139">
            <w:r>
              <w:t>Fineness Modulus (20mm)</w:t>
            </w:r>
          </w:p>
        </w:tc>
        <w:tc>
          <w:tcPr>
            <w:tcW w:w="1679" w:type="dxa"/>
          </w:tcPr>
          <w:p w:rsidR="002C2D11" w:rsidRDefault="002C2D11" w:rsidP="009C2139">
            <w:r>
              <w:t>7.68</w:t>
            </w:r>
          </w:p>
        </w:tc>
      </w:tr>
    </w:tbl>
    <w:p w:rsidR="00593ECA" w:rsidRDefault="00593ECA" w:rsidP="00EF1D11">
      <w:pPr>
        <w:pStyle w:val="Heading3"/>
      </w:pPr>
      <w:r>
        <w:t>Fine Aggregate</w:t>
      </w:r>
    </w:p>
    <w:p w:rsidR="00593ECA" w:rsidRDefault="00835293" w:rsidP="00593ECA">
      <w:pPr>
        <w:pStyle w:val="BodyText"/>
        <w:spacing w:line="240" w:lineRule="auto"/>
        <w:ind w:right="49"/>
      </w:pPr>
      <w:r w:rsidRPr="00835293">
        <w:t>The majority of aggregates that pass through a 4.75 mm IS sieve are referred to be fine aggregates. Table 3 displays the outcomes of this experimental program using fine aggregate that was locally sourced and in compliance with Indian Standard Specifications IS: 383-1970. Any particles larger than 4.75 mm and in compliance with grading zone I were removed from the sand by sieving it using a 4.75 mm sieve.</w:t>
      </w:r>
      <w:r w:rsidR="00593ECA" w:rsidRPr="00037447">
        <w:t xml:space="preserve"> </w:t>
      </w:r>
    </w:p>
    <w:p w:rsidR="00593ECA" w:rsidRDefault="00593ECA" w:rsidP="00593ECA">
      <w:pPr>
        <w:pStyle w:val="BodyText"/>
        <w:spacing w:line="240" w:lineRule="auto"/>
        <w:ind w:right="-36"/>
        <w:jc w:val="center"/>
        <w:rPr>
          <w:b/>
        </w:rPr>
      </w:pPr>
      <w:r w:rsidRPr="000B5B2F">
        <w:rPr>
          <w:b/>
        </w:rPr>
        <w:t xml:space="preserve">Table </w:t>
      </w:r>
      <w:r>
        <w:rPr>
          <w:b/>
        </w:rPr>
        <w:t>3</w:t>
      </w:r>
      <w:r w:rsidRPr="000B5B2F">
        <w:rPr>
          <w:b/>
        </w:rPr>
        <w:t xml:space="preserve">: </w:t>
      </w:r>
      <w:r w:rsidRPr="00593ECA">
        <w:rPr>
          <w:b/>
        </w:rPr>
        <w:t>Properties of Coarse Aggregates</w:t>
      </w:r>
    </w:p>
    <w:tbl>
      <w:tblPr>
        <w:tblStyle w:val="TableGrid"/>
        <w:tblW w:w="0" w:type="auto"/>
        <w:jc w:val="center"/>
        <w:tblInd w:w="918" w:type="dxa"/>
        <w:tblLook w:val="04A0"/>
      </w:tblPr>
      <w:tblGrid>
        <w:gridCol w:w="672"/>
        <w:gridCol w:w="2658"/>
        <w:gridCol w:w="1980"/>
      </w:tblGrid>
      <w:tr w:rsidR="00DE1057" w:rsidTr="009C2139">
        <w:trPr>
          <w:jc w:val="center"/>
        </w:trPr>
        <w:tc>
          <w:tcPr>
            <w:tcW w:w="672" w:type="dxa"/>
          </w:tcPr>
          <w:p w:rsidR="00DE1057" w:rsidRPr="00A45AF7" w:rsidRDefault="00DE1057" w:rsidP="009C2139">
            <w:pPr>
              <w:rPr>
                <w:b/>
                <w:bCs/>
              </w:rPr>
            </w:pPr>
            <w:r w:rsidRPr="00A45AF7">
              <w:rPr>
                <w:b/>
                <w:bCs/>
              </w:rPr>
              <w:t>S.No.</w:t>
            </w:r>
          </w:p>
        </w:tc>
        <w:tc>
          <w:tcPr>
            <w:tcW w:w="2658" w:type="dxa"/>
          </w:tcPr>
          <w:p w:rsidR="00DE1057" w:rsidRPr="00A45AF7" w:rsidRDefault="00DE1057" w:rsidP="009C2139">
            <w:pPr>
              <w:rPr>
                <w:b/>
                <w:bCs/>
              </w:rPr>
            </w:pPr>
            <w:r>
              <w:rPr>
                <w:b/>
                <w:bCs/>
              </w:rPr>
              <w:t>Characteristics</w:t>
            </w:r>
          </w:p>
        </w:tc>
        <w:tc>
          <w:tcPr>
            <w:tcW w:w="1980" w:type="dxa"/>
          </w:tcPr>
          <w:p w:rsidR="00DE1057" w:rsidRPr="00A45AF7" w:rsidRDefault="00DE1057" w:rsidP="009C2139">
            <w:pPr>
              <w:rPr>
                <w:b/>
                <w:bCs/>
              </w:rPr>
            </w:pPr>
            <w:r>
              <w:rPr>
                <w:b/>
                <w:bCs/>
              </w:rPr>
              <w:t>Value</w:t>
            </w:r>
          </w:p>
        </w:tc>
      </w:tr>
      <w:tr w:rsidR="00DE1057" w:rsidTr="009C2139">
        <w:trPr>
          <w:jc w:val="center"/>
        </w:trPr>
        <w:tc>
          <w:tcPr>
            <w:tcW w:w="672" w:type="dxa"/>
          </w:tcPr>
          <w:p w:rsidR="00DE1057" w:rsidRDefault="00DE1057" w:rsidP="009C2139">
            <w:r>
              <w:lastRenderedPageBreak/>
              <w:t>1.</w:t>
            </w:r>
          </w:p>
        </w:tc>
        <w:tc>
          <w:tcPr>
            <w:tcW w:w="2658" w:type="dxa"/>
          </w:tcPr>
          <w:p w:rsidR="00DE1057" w:rsidRDefault="00DE1057" w:rsidP="009C2139">
            <w:r>
              <w:t>Type</w:t>
            </w:r>
          </w:p>
        </w:tc>
        <w:tc>
          <w:tcPr>
            <w:tcW w:w="1980" w:type="dxa"/>
          </w:tcPr>
          <w:p w:rsidR="00DE1057" w:rsidRDefault="00DE1057" w:rsidP="009C2139">
            <w:r>
              <w:t>Uncrushed (Natural)</w:t>
            </w:r>
          </w:p>
        </w:tc>
      </w:tr>
      <w:tr w:rsidR="00DE1057" w:rsidTr="009C2139">
        <w:trPr>
          <w:jc w:val="center"/>
        </w:trPr>
        <w:tc>
          <w:tcPr>
            <w:tcW w:w="672" w:type="dxa"/>
          </w:tcPr>
          <w:p w:rsidR="00DE1057" w:rsidRDefault="00DE1057" w:rsidP="009C2139">
            <w:r>
              <w:t>2.</w:t>
            </w:r>
          </w:p>
        </w:tc>
        <w:tc>
          <w:tcPr>
            <w:tcW w:w="2658" w:type="dxa"/>
          </w:tcPr>
          <w:p w:rsidR="00DE1057" w:rsidRDefault="00DE1057" w:rsidP="009C2139">
            <w:r>
              <w:t>Specific Gravity</w:t>
            </w:r>
          </w:p>
        </w:tc>
        <w:tc>
          <w:tcPr>
            <w:tcW w:w="1980" w:type="dxa"/>
          </w:tcPr>
          <w:p w:rsidR="00DE1057" w:rsidRDefault="00DE1057" w:rsidP="009C2139">
            <w:r>
              <w:t>2.566</w:t>
            </w:r>
          </w:p>
        </w:tc>
      </w:tr>
      <w:tr w:rsidR="00DE1057" w:rsidTr="009C2139">
        <w:trPr>
          <w:jc w:val="center"/>
        </w:trPr>
        <w:tc>
          <w:tcPr>
            <w:tcW w:w="672" w:type="dxa"/>
          </w:tcPr>
          <w:p w:rsidR="00DE1057" w:rsidRDefault="00DE1057" w:rsidP="009C2139">
            <w:r>
              <w:t>3.</w:t>
            </w:r>
          </w:p>
        </w:tc>
        <w:tc>
          <w:tcPr>
            <w:tcW w:w="2658" w:type="dxa"/>
          </w:tcPr>
          <w:p w:rsidR="00DE1057" w:rsidRDefault="00DE1057" w:rsidP="009C2139">
            <w:r>
              <w:t>Total Water Absorption</w:t>
            </w:r>
          </w:p>
        </w:tc>
        <w:tc>
          <w:tcPr>
            <w:tcW w:w="1980" w:type="dxa"/>
          </w:tcPr>
          <w:p w:rsidR="00DE1057" w:rsidRDefault="00DE1057" w:rsidP="009C2139">
            <w:r>
              <w:t>1.02%</w:t>
            </w:r>
          </w:p>
        </w:tc>
      </w:tr>
      <w:tr w:rsidR="00DE1057" w:rsidTr="009C2139">
        <w:trPr>
          <w:jc w:val="center"/>
        </w:trPr>
        <w:tc>
          <w:tcPr>
            <w:tcW w:w="672" w:type="dxa"/>
          </w:tcPr>
          <w:p w:rsidR="00DE1057" w:rsidRDefault="00DE1057" w:rsidP="009C2139">
            <w:r>
              <w:t>4.</w:t>
            </w:r>
          </w:p>
        </w:tc>
        <w:tc>
          <w:tcPr>
            <w:tcW w:w="2658" w:type="dxa"/>
          </w:tcPr>
          <w:p w:rsidR="00DE1057" w:rsidRDefault="00DE1057" w:rsidP="009C2139">
            <w:r>
              <w:t>Moisture Content</w:t>
            </w:r>
          </w:p>
        </w:tc>
        <w:tc>
          <w:tcPr>
            <w:tcW w:w="1980" w:type="dxa"/>
          </w:tcPr>
          <w:p w:rsidR="00DE1057" w:rsidRDefault="00DE1057" w:rsidP="009C2139">
            <w:r>
              <w:t>1%</w:t>
            </w:r>
          </w:p>
        </w:tc>
      </w:tr>
      <w:tr w:rsidR="00DE1057" w:rsidTr="009C2139">
        <w:trPr>
          <w:jc w:val="center"/>
        </w:trPr>
        <w:tc>
          <w:tcPr>
            <w:tcW w:w="672" w:type="dxa"/>
          </w:tcPr>
          <w:p w:rsidR="00DE1057" w:rsidRDefault="00DE1057" w:rsidP="009C2139">
            <w:r>
              <w:t>5.</w:t>
            </w:r>
          </w:p>
        </w:tc>
        <w:tc>
          <w:tcPr>
            <w:tcW w:w="2658" w:type="dxa"/>
          </w:tcPr>
          <w:p w:rsidR="00DE1057" w:rsidRDefault="00DE1057" w:rsidP="009C2139">
            <w:r>
              <w:t>Net Water Absorption</w:t>
            </w:r>
          </w:p>
        </w:tc>
        <w:tc>
          <w:tcPr>
            <w:tcW w:w="1980" w:type="dxa"/>
          </w:tcPr>
          <w:p w:rsidR="00DE1057" w:rsidRDefault="00DE1057" w:rsidP="009C2139">
            <w:r>
              <w:t>0.86%</w:t>
            </w:r>
          </w:p>
        </w:tc>
      </w:tr>
      <w:tr w:rsidR="00DE1057" w:rsidTr="009C2139">
        <w:trPr>
          <w:jc w:val="center"/>
        </w:trPr>
        <w:tc>
          <w:tcPr>
            <w:tcW w:w="672" w:type="dxa"/>
          </w:tcPr>
          <w:p w:rsidR="00DE1057" w:rsidRDefault="00DE1057" w:rsidP="009C2139">
            <w:r>
              <w:t>6.</w:t>
            </w:r>
          </w:p>
        </w:tc>
        <w:tc>
          <w:tcPr>
            <w:tcW w:w="2658" w:type="dxa"/>
          </w:tcPr>
          <w:p w:rsidR="00DE1057" w:rsidRDefault="00DE1057" w:rsidP="009C2139">
            <w:r>
              <w:t>Fineness Modulus</w:t>
            </w:r>
          </w:p>
        </w:tc>
        <w:tc>
          <w:tcPr>
            <w:tcW w:w="1980" w:type="dxa"/>
          </w:tcPr>
          <w:p w:rsidR="00DE1057" w:rsidRDefault="00DE1057" w:rsidP="009C2139">
            <w:r>
              <w:t>4.02</w:t>
            </w:r>
          </w:p>
        </w:tc>
      </w:tr>
      <w:tr w:rsidR="00DE1057" w:rsidTr="009C2139">
        <w:trPr>
          <w:jc w:val="center"/>
        </w:trPr>
        <w:tc>
          <w:tcPr>
            <w:tcW w:w="672" w:type="dxa"/>
          </w:tcPr>
          <w:p w:rsidR="00DE1057" w:rsidRDefault="00DE1057" w:rsidP="009C2139">
            <w:r>
              <w:t>7.</w:t>
            </w:r>
          </w:p>
        </w:tc>
        <w:tc>
          <w:tcPr>
            <w:tcW w:w="2658" w:type="dxa"/>
          </w:tcPr>
          <w:p w:rsidR="00DE1057" w:rsidRDefault="00DE1057" w:rsidP="009C2139">
            <w:r>
              <w:t>Bulk Density</w:t>
            </w:r>
          </w:p>
        </w:tc>
        <w:tc>
          <w:tcPr>
            <w:tcW w:w="1980" w:type="dxa"/>
          </w:tcPr>
          <w:p w:rsidR="00DE1057" w:rsidRDefault="00DE1057" w:rsidP="009C2139">
            <w:r>
              <w:t>1.3</w:t>
            </w:r>
          </w:p>
        </w:tc>
      </w:tr>
      <w:tr w:rsidR="00DE1057" w:rsidTr="009C2139">
        <w:trPr>
          <w:jc w:val="center"/>
        </w:trPr>
        <w:tc>
          <w:tcPr>
            <w:tcW w:w="672" w:type="dxa"/>
          </w:tcPr>
          <w:p w:rsidR="00DE1057" w:rsidRDefault="00DE1057" w:rsidP="009C2139">
            <w:r>
              <w:t>8.</w:t>
            </w:r>
          </w:p>
        </w:tc>
        <w:tc>
          <w:tcPr>
            <w:tcW w:w="2658" w:type="dxa"/>
          </w:tcPr>
          <w:p w:rsidR="00DE1057" w:rsidRDefault="00DE1057" w:rsidP="009C2139">
            <w:r>
              <w:t xml:space="preserve">Grading Zone </w:t>
            </w:r>
          </w:p>
        </w:tc>
        <w:tc>
          <w:tcPr>
            <w:tcW w:w="1980" w:type="dxa"/>
          </w:tcPr>
          <w:p w:rsidR="00DE1057" w:rsidRDefault="00DE1057" w:rsidP="009C2139">
            <w:r>
              <w:t>I</w:t>
            </w:r>
          </w:p>
        </w:tc>
      </w:tr>
    </w:tbl>
    <w:p w:rsidR="00593ECA" w:rsidRDefault="00593ECA" w:rsidP="00593ECA">
      <w:pPr>
        <w:pStyle w:val="BodyText"/>
        <w:spacing w:line="240" w:lineRule="auto"/>
        <w:ind w:right="49" w:firstLine="0"/>
        <w:jc w:val="center"/>
        <w:rPr>
          <w:b/>
          <w:sz w:val="22"/>
          <w:szCs w:val="22"/>
        </w:rPr>
      </w:pPr>
    </w:p>
    <w:p w:rsidR="00593ECA" w:rsidRDefault="00593ECA" w:rsidP="00593ECA">
      <w:pPr>
        <w:pStyle w:val="BodyText"/>
        <w:spacing w:line="240" w:lineRule="auto"/>
        <w:ind w:right="49" w:firstLine="0"/>
        <w:jc w:val="center"/>
        <w:rPr>
          <w:b/>
        </w:rPr>
      </w:pPr>
      <w:r>
        <w:rPr>
          <w:b/>
        </w:rPr>
        <w:t>Graph</w:t>
      </w:r>
      <w:r w:rsidRPr="009344C8">
        <w:rPr>
          <w:b/>
        </w:rPr>
        <w:t xml:space="preserve"> </w:t>
      </w:r>
      <w:r>
        <w:rPr>
          <w:b/>
        </w:rPr>
        <w:t>1</w:t>
      </w:r>
      <w:r w:rsidR="00B93283">
        <w:rPr>
          <w:b/>
        </w:rPr>
        <w:t>:</w:t>
      </w:r>
      <w:r w:rsidRPr="009344C8">
        <w:rPr>
          <w:b/>
        </w:rPr>
        <w:t xml:space="preserve"> Sieve Analysis of Fine Aggregate</w:t>
      </w:r>
    </w:p>
    <w:p w:rsidR="00593ECA" w:rsidRPr="00593ECA" w:rsidRDefault="00593ECA" w:rsidP="00593ECA">
      <w:pPr>
        <w:pStyle w:val="BodyText"/>
        <w:spacing w:line="240" w:lineRule="auto"/>
        <w:ind w:right="49" w:firstLine="0"/>
        <w:jc w:val="center"/>
        <w:rPr>
          <w:b/>
          <w:sz w:val="22"/>
          <w:szCs w:val="22"/>
        </w:rPr>
      </w:pPr>
      <w:r>
        <w:rPr>
          <w:noProof/>
          <w:lang w:bidi="te-IN"/>
        </w:rPr>
        <w:drawing>
          <wp:inline distT="0" distB="0" distL="0" distR="0">
            <wp:extent cx="3114675" cy="1733550"/>
            <wp:effectExtent l="0" t="0" r="0" b="0"/>
            <wp:docPr id="10"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93ECA" w:rsidRPr="00767BF4" w:rsidRDefault="00593ECA" w:rsidP="00EF1D11">
      <w:pPr>
        <w:pStyle w:val="Heading3"/>
      </w:pPr>
      <w:r>
        <w:t>Super Plasticizers</w:t>
      </w:r>
    </w:p>
    <w:p w:rsidR="00593ECA" w:rsidRDefault="00593ECA" w:rsidP="00593ECA">
      <w:pPr>
        <w:jc w:val="both"/>
      </w:pPr>
      <w:r w:rsidRPr="00037447">
        <w:t>In this project we are using two types of super plasticizers</w:t>
      </w:r>
    </w:p>
    <w:p w:rsidR="00EF1D11" w:rsidRDefault="00EF1D11" w:rsidP="00593ECA">
      <w:pPr>
        <w:pStyle w:val="Heading4"/>
        <w:numPr>
          <w:ilvl w:val="3"/>
          <w:numId w:val="28"/>
        </w:numPr>
      </w:pPr>
      <w:r w:rsidRPr="00EF1D11">
        <w:t>Polycarboxilite Ether</w:t>
      </w:r>
    </w:p>
    <w:p w:rsidR="00EF1D11" w:rsidRDefault="000C2368" w:rsidP="00EF1D11">
      <w:pPr>
        <w:adjustRightInd w:val="0"/>
        <w:ind w:right="-70" w:firstLine="720"/>
        <w:jc w:val="both"/>
        <w:rPr>
          <w:spacing w:val="1"/>
        </w:rPr>
      </w:pPr>
      <w:r w:rsidRPr="000C2368">
        <w:t>In the experiment, a chemical admixture called polycarboxilite ether was used. It is made by the New Delhi-based Sri Krishna Overseas firm and sold online. It is a highly effective concrete admixture that is especially well suited for the creation of free-flowing concrete and concrete with high strengths. Its chemical foundations are either, and the tests and standards meet EN 934-2 requirements. It is typically advised to use a dosage range of 0.5 to 2.0 percent by weight of cement. Table 4 summarizes the properties.</w:t>
      </w:r>
    </w:p>
    <w:p w:rsidR="00EF1D11" w:rsidRDefault="00EF1D11" w:rsidP="00EF1D11">
      <w:pPr>
        <w:pStyle w:val="BodyText"/>
        <w:spacing w:line="240" w:lineRule="auto"/>
        <w:ind w:right="-36"/>
        <w:jc w:val="center"/>
        <w:rPr>
          <w:b/>
        </w:rPr>
      </w:pPr>
      <w:r w:rsidRPr="000B5B2F">
        <w:rPr>
          <w:b/>
        </w:rPr>
        <w:t xml:space="preserve">Table </w:t>
      </w:r>
      <w:r>
        <w:rPr>
          <w:b/>
        </w:rPr>
        <w:t>4</w:t>
      </w:r>
      <w:r w:rsidRPr="000B5B2F">
        <w:rPr>
          <w:b/>
        </w:rPr>
        <w:t xml:space="preserve">: </w:t>
      </w:r>
      <w:r w:rsidRPr="000B0C6D">
        <w:rPr>
          <w:b/>
        </w:rPr>
        <w:t>Typical properties of PCE Super plasticizer up to 25°C</w:t>
      </w:r>
    </w:p>
    <w:tbl>
      <w:tblPr>
        <w:tblW w:w="4521" w:type="dxa"/>
        <w:jc w:val="center"/>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94"/>
        <w:gridCol w:w="2627"/>
      </w:tblGrid>
      <w:tr w:rsidR="00EF1D11" w:rsidRPr="009C1A67" w:rsidTr="00B44A8F">
        <w:trPr>
          <w:trHeight w:val="215"/>
          <w:jc w:val="center"/>
        </w:trPr>
        <w:tc>
          <w:tcPr>
            <w:tcW w:w="1894" w:type="dxa"/>
          </w:tcPr>
          <w:p w:rsidR="00EF1D11" w:rsidRPr="00D045C6" w:rsidRDefault="00EF1D11" w:rsidP="00D045C6">
            <w:pPr>
              <w:pStyle w:val="TableParagraph"/>
              <w:jc w:val="center"/>
              <w:rPr>
                <w:b/>
                <w:sz w:val="20"/>
                <w:szCs w:val="20"/>
              </w:rPr>
            </w:pPr>
            <w:r w:rsidRPr="00D045C6">
              <w:rPr>
                <w:b/>
                <w:sz w:val="20"/>
                <w:szCs w:val="20"/>
              </w:rPr>
              <w:t>Properties</w:t>
            </w:r>
          </w:p>
        </w:tc>
        <w:tc>
          <w:tcPr>
            <w:tcW w:w="2627" w:type="dxa"/>
            <w:vAlign w:val="center"/>
          </w:tcPr>
          <w:p w:rsidR="00EF1D11" w:rsidRPr="00D045C6" w:rsidRDefault="00EF1D11" w:rsidP="00D045C6">
            <w:pPr>
              <w:pStyle w:val="TableParagraph"/>
              <w:ind w:left="108"/>
              <w:jc w:val="center"/>
              <w:rPr>
                <w:b/>
                <w:sz w:val="20"/>
                <w:szCs w:val="20"/>
              </w:rPr>
            </w:pPr>
            <w:r w:rsidRPr="00D045C6">
              <w:rPr>
                <w:b/>
                <w:sz w:val="20"/>
                <w:szCs w:val="20"/>
              </w:rPr>
              <w:t>Value</w:t>
            </w:r>
          </w:p>
        </w:tc>
      </w:tr>
      <w:tr w:rsidR="00EF1D11" w:rsidRPr="009C1A67" w:rsidTr="00B44A8F">
        <w:trPr>
          <w:trHeight w:val="215"/>
          <w:jc w:val="center"/>
        </w:trPr>
        <w:tc>
          <w:tcPr>
            <w:tcW w:w="1894" w:type="dxa"/>
          </w:tcPr>
          <w:p w:rsidR="00EF1D11" w:rsidRPr="00D045C6" w:rsidRDefault="00EF1D11" w:rsidP="00D045C6">
            <w:pPr>
              <w:pStyle w:val="TableParagraph"/>
              <w:jc w:val="center"/>
              <w:rPr>
                <w:sz w:val="20"/>
                <w:szCs w:val="20"/>
              </w:rPr>
            </w:pPr>
            <w:r w:rsidRPr="00D045C6">
              <w:rPr>
                <w:sz w:val="20"/>
                <w:szCs w:val="20"/>
              </w:rPr>
              <w:t>Form</w:t>
            </w:r>
          </w:p>
        </w:tc>
        <w:tc>
          <w:tcPr>
            <w:tcW w:w="2627" w:type="dxa"/>
            <w:vAlign w:val="center"/>
          </w:tcPr>
          <w:p w:rsidR="00EF1D11" w:rsidRPr="00D045C6" w:rsidRDefault="00EF1D11" w:rsidP="00D045C6">
            <w:pPr>
              <w:pStyle w:val="TableParagraph"/>
              <w:ind w:left="108"/>
              <w:jc w:val="center"/>
              <w:rPr>
                <w:sz w:val="20"/>
                <w:szCs w:val="20"/>
              </w:rPr>
            </w:pPr>
            <w:r w:rsidRPr="00D045C6">
              <w:rPr>
                <w:sz w:val="20"/>
                <w:szCs w:val="20"/>
              </w:rPr>
              <w:t>Liquid</w:t>
            </w:r>
          </w:p>
        </w:tc>
      </w:tr>
      <w:tr w:rsidR="00EF1D11" w:rsidRPr="009C1A67" w:rsidTr="00B44A8F">
        <w:trPr>
          <w:trHeight w:val="215"/>
          <w:jc w:val="center"/>
        </w:trPr>
        <w:tc>
          <w:tcPr>
            <w:tcW w:w="1894" w:type="dxa"/>
          </w:tcPr>
          <w:p w:rsidR="00EF1D11" w:rsidRPr="00D045C6" w:rsidRDefault="00EF1D11" w:rsidP="00D045C6">
            <w:pPr>
              <w:pStyle w:val="TableParagraph"/>
              <w:jc w:val="center"/>
              <w:rPr>
                <w:sz w:val="20"/>
                <w:szCs w:val="20"/>
              </w:rPr>
            </w:pPr>
            <w:r w:rsidRPr="00D045C6">
              <w:rPr>
                <w:sz w:val="20"/>
                <w:szCs w:val="20"/>
              </w:rPr>
              <w:t>Appearance/Color</w:t>
            </w:r>
          </w:p>
        </w:tc>
        <w:tc>
          <w:tcPr>
            <w:tcW w:w="2627" w:type="dxa"/>
            <w:vAlign w:val="center"/>
          </w:tcPr>
          <w:p w:rsidR="00EF1D11" w:rsidRPr="00D045C6" w:rsidRDefault="00EF1D11" w:rsidP="00D045C6">
            <w:pPr>
              <w:pStyle w:val="TableParagraph"/>
              <w:tabs>
                <w:tab w:val="left" w:pos="1540"/>
              </w:tabs>
              <w:ind w:left="108"/>
              <w:jc w:val="center"/>
              <w:rPr>
                <w:sz w:val="20"/>
                <w:szCs w:val="20"/>
              </w:rPr>
            </w:pPr>
            <w:r w:rsidRPr="00D045C6">
              <w:rPr>
                <w:sz w:val="20"/>
                <w:szCs w:val="20"/>
              </w:rPr>
              <w:t>Dark</w:t>
            </w:r>
            <w:r w:rsidRPr="00D045C6">
              <w:rPr>
                <w:spacing w:val="-1"/>
                <w:sz w:val="20"/>
                <w:szCs w:val="20"/>
              </w:rPr>
              <w:t xml:space="preserve"> </w:t>
            </w:r>
            <w:r w:rsidRPr="00D045C6">
              <w:rPr>
                <w:sz w:val="20"/>
                <w:szCs w:val="20"/>
              </w:rPr>
              <w:t>Brown</w:t>
            </w:r>
            <w:r w:rsidRPr="00D045C6">
              <w:rPr>
                <w:sz w:val="20"/>
                <w:szCs w:val="20"/>
              </w:rPr>
              <w:tab/>
              <w:t>Liquid</w:t>
            </w:r>
          </w:p>
        </w:tc>
      </w:tr>
      <w:tr w:rsidR="00EF1D11" w:rsidRPr="009C1A67" w:rsidTr="00B44A8F">
        <w:trPr>
          <w:trHeight w:val="215"/>
          <w:jc w:val="center"/>
        </w:trPr>
        <w:tc>
          <w:tcPr>
            <w:tcW w:w="1894" w:type="dxa"/>
          </w:tcPr>
          <w:p w:rsidR="00EF1D11" w:rsidRPr="00D045C6" w:rsidRDefault="00EF1D11" w:rsidP="00D045C6">
            <w:pPr>
              <w:pStyle w:val="TableParagraph"/>
              <w:jc w:val="center"/>
              <w:rPr>
                <w:sz w:val="20"/>
                <w:szCs w:val="20"/>
              </w:rPr>
            </w:pPr>
            <w:r w:rsidRPr="00D045C6">
              <w:rPr>
                <w:sz w:val="20"/>
                <w:szCs w:val="20"/>
              </w:rPr>
              <w:t>Density</w:t>
            </w:r>
          </w:p>
        </w:tc>
        <w:tc>
          <w:tcPr>
            <w:tcW w:w="2627" w:type="dxa"/>
            <w:vAlign w:val="center"/>
          </w:tcPr>
          <w:p w:rsidR="00EF1D11" w:rsidRPr="00D045C6" w:rsidRDefault="00EF1D11" w:rsidP="00D045C6">
            <w:pPr>
              <w:pStyle w:val="TableParagraph"/>
              <w:ind w:left="108"/>
              <w:jc w:val="center"/>
              <w:rPr>
                <w:sz w:val="20"/>
                <w:szCs w:val="20"/>
              </w:rPr>
            </w:pPr>
            <w:r w:rsidRPr="00D045C6">
              <w:rPr>
                <w:sz w:val="20"/>
                <w:szCs w:val="20"/>
              </w:rPr>
              <w:t>1.2</w:t>
            </w:r>
            <w:r w:rsidRPr="00D045C6">
              <w:rPr>
                <w:spacing w:val="-1"/>
                <w:sz w:val="20"/>
                <w:szCs w:val="20"/>
              </w:rPr>
              <w:t xml:space="preserve"> </w:t>
            </w:r>
            <w:r w:rsidRPr="00D045C6">
              <w:rPr>
                <w:sz w:val="20"/>
                <w:szCs w:val="20"/>
              </w:rPr>
              <w:t>±</w:t>
            </w:r>
            <w:r w:rsidRPr="00D045C6">
              <w:rPr>
                <w:spacing w:val="-1"/>
                <w:sz w:val="20"/>
                <w:szCs w:val="20"/>
              </w:rPr>
              <w:t xml:space="preserve"> </w:t>
            </w:r>
            <w:r w:rsidRPr="00D045C6">
              <w:rPr>
                <w:sz w:val="20"/>
                <w:szCs w:val="20"/>
              </w:rPr>
              <w:t>0.02kg/l</w:t>
            </w:r>
          </w:p>
        </w:tc>
      </w:tr>
      <w:tr w:rsidR="00EF1D11" w:rsidRPr="009C1A67" w:rsidTr="00B44A8F">
        <w:trPr>
          <w:trHeight w:val="215"/>
          <w:jc w:val="center"/>
        </w:trPr>
        <w:tc>
          <w:tcPr>
            <w:tcW w:w="1894" w:type="dxa"/>
          </w:tcPr>
          <w:p w:rsidR="00EF1D11" w:rsidRPr="00D045C6" w:rsidRDefault="00EF1D11" w:rsidP="00D045C6">
            <w:pPr>
              <w:pStyle w:val="TableParagraph"/>
              <w:jc w:val="center"/>
              <w:rPr>
                <w:sz w:val="20"/>
                <w:szCs w:val="20"/>
              </w:rPr>
            </w:pPr>
            <w:r w:rsidRPr="00D045C6">
              <w:rPr>
                <w:sz w:val="20"/>
                <w:szCs w:val="20"/>
              </w:rPr>
              <w:t>Chloride</w:t>
            </w:r>
            <w:r w:rsidRPr="00D045C6">
              <w:rPr>
                <w:spacing w:val="-3"/>
                <w:sz w:val="20"/>
                <w:szCs w:val="20"/>
              </w:rPr>
              <w:t xml:space="preserve"> </w:t>
            </w:r>
            <w:r w:rsidRPr="00D045C6">
              <w:rPr>
                <w:sz w:val="20"/>
                <w:szCs w:val="20"/>
              </w:rPr>
              <w:t>content</w:t>
            </w:r>
          </w:p>
        </w:tc>
        <w:tc>
          <w:tcPr>
            <w:tcW w:w="2627" w:type="dxa"/>
            <w:vAlign w:val="center"/>
          </w:tcPr>
          <w:p w:rsidR="00EF1D11" w:rsidRPr="00D045C6" w:rsidRDefault="00EF1D11" w:rsidP="00D045C6">
            <w:pPr>
              <w:pStyle w:val="TableParagraph"/>
              <w:ind w:left="108"/>
              <w:jc w:val="center"/>
              <w:rPr>
                <w:sz w:val="20"/>
                <w:szCs w:val="20"/>
              </w:rPr>
            </w:pPr>
            <w:r w:rsidRPr="00D045C6">
              <w:rPr>
                <w:sz w:val="20"/>
                <w:szCs w:val="20"/>
              </w:rPr>
              <w:t>Nill</w:t>
            </w:r>
          </w:p>
        </w:tc>
      </w:tr>
      <w:tr w:rsidR="00EF1D11" w:rsidRPr="009C1A67" w:rsidTr="00B44A8F">
        <w:trPr>
          <w:trHeight w:val="215"/>
          <w:jc w:val="center"/>
        </w:trPr>
        <w:tc>
          <w:tcPr>
            <w:tcW w:w="1894" w:type="dxa"/>
          </w:tcPr>
          <w:p w:rsidR="00EF1D11" w:rsidRPr="00D045C6" w:rsidRDefault="00EF1D11" w:rsidP="00D045C6">
            <w:pPr>
              <w:pStyle w:val="TableParagraph"/>
              <w:jc w:val="center"/>
              <w:rPr>
                <w:sz w:val="20"/>
                <w:szCs w:val="20"/>
              </w:rPr>
            </w:pPr>
            <w:r w:rsidRPr="00D045C6">
              <w:rPr>
                <w:sz w:val="20"/>
                <w:szCs w:val="20"/>
              </w:rPr>
              <w:t>pH</w:t>
            </w:r>
            <w:r w:rsidRPr="00D045C6">
              <w:rPr>
                <w:spacing w:val="-2"/>
                <w:sz w:val="20"/>
                <w:szCs w:val="20"/>
              </w:rPr>
              <w:t xml:space="preserve"> </w:t>
            </w:r>
            <w:r w:rsidRPr="00D045C6">
              <w:rPr>
                <w:sz w:val="20"/>
                <w:szCs w:val="20"/>
              </w:rPr>
              <w:t>(23 ± 2 ºC)</w:t>
            </w:r>
          </w:p>
        </w:tc>
        <w:tc>
          <w:tcPr>
            <w:tcW w:w="2627" w:type="dxa"/>
            <w:vAlign w:val="center"/>
          </w:tcPr>
          <w:p w:rsidR="00EF1D11" w:rsidRPr="00D045C6" w:rsidRDefault="00EF1D11" w:rsidP="00D045C6">
            <w:pPr>
              <w:pStyle w:val="TableParagraph"/>
              <w:ind w:left="0" w:right="35"/>
              <w:jc w:val="center"/>
              <w:rPr>
                <w:sz w:val="20"/>
                <w:szCs w:val="20"/>
              </w:rPr>
            </w:pPr>
            <w:r w:rsidRPr="00D045C6">
              <w:rPr>
                <w:sz w:val="20"/>
                <w:szCs w:val="20"/>
              </w:rPr>
              <w:t>8 ± 1</w:t>
            </w:r>
          </w:p>
        </w:tc>
      </w:tr>
    </w:tbl>
    <w:p w:rsidR="00EF1D11" w:rsidRPr="004478DD" w:rsidRDefault="00EF1D11" w:rsidP="00EF1D11">
      <w:pPr>
        <w:adjustRightInd w:val="0"/>
        <w:ind w:right="-70" w:firstLine="720"/>
        <w:jc w:val="both"/>
        <w:rPr>
          <w:spacing w:val="1"/>
        </w:rPr>
      </w:pPr>
    </w:p>
    <w:p w:rsidR="00EF1D11" w:rsidRDefault="00EF1D11" w:rsidP="00EF1D11">
      <w:pPr>
        <w:pStyle w:val="Heading4"/>
        <w:numPr>
          <w:ilvl w:val="3"/>
          <w:numId w:val="28"/>
        </w:numPr>
      </w:pPr>
      <w:r w:rsidRPr="00EF1D11">
        <w:t>Sulfonated Melamine Formaldihide</w:t>
      </w:r>
    </w:p>
    <w:p w:rsidR="00EF1D11" w:rsidRDefault="008B75A1" w:rsidP="00EF1D11">
      <w:pPr>
        <w:pStyle w:val="BodyText"/>
        <w:spacing w:line="240" w:lineRule="auto"/>
        <w:ind w:right="20"/>
      </w:pPr>
      <w:r w:rsidRPr="008B75A1">
        <w:t>SMF is a liquid super</w:t>
      </w:r>
      <w:r>
        <w:t xml:space="preserve"> </w:t>
      </w:r>
      <w:r w:rsidRPr="008B75A1">
        <w:t>plasticizer for high performance concrete that is melamine based. SMF's great workability with concrete mixes allows it to transform stiff concrete into flow</w:t>
      </w:r>
      <w:r>
        <w:t>-</w:t>
      </w:r>
      <w:r w:rsidRPr="008B75A1">
        <w:t>able concrete. The concrete performs well in both the plastic and hardening states because to its good slump and retention capabilities without affecting the setting time and the ability to significantly reduce water content. It is made by the New Delhi-based Sri Krishna Overseas Company and sold online. Table 5 summarizes the properties.</w:t>
      </w:r>
      <w:r w:rsidR="00EF1D11" w:rsidRPr="004478DD">
        <w:t xml:space="preserve"> </w:t>
      </w:r>
    </w:p>
    <w:p w:rsidR="00EF1D11" w:rsidRDefault="00EF1D11" w:rsidP="00EF1D11">
      <w:pPr>
        <w:pStyle w:val="BodyText"/>
        <w:spacing w:line="240" w:lineRule="auto"/>
        <w:ind w:right="20"/>
        <w:jc w:val="center"/>
        <w:rPr>
          <w:b/>
        </w:rPr>
      </w:pPr>
      <w:r w:rsidRPr="000B5B2F">
        <w:rPr>
          <w:b/>
        </w:rPr>
        <w:t xml:space="preserve">Table </w:t>
      </w:r>
      <w:r>
        <w:rPr>
          <w:b/>
        </w:rPr>
        <w:t>5</w:t>
      </w:r>
      <w:r w:rsidRPr="000B5B2F">
        <w:rPr>
          <w:b/>
        </w:rPr>
        <w:t xml:space="preserve">: </w:t>
      </w:r>
      <w:r w:rsidRPr="000B0C6D">
        <w:rPr>
          <w:b/>
        </w:rPr>
        <w:t xml:space="preserve">Typical properties of </w:t>
      </w:r>
      <w:r>
        <w:rPr>
          <w:b/>
        </w:rPr>
        <w:t>SMF</w:t>
      </w:r>
      <w:r w:rsidRPr="000B0C6D">
        <w:rPr>
          <w:b/>
        </w:rPr>
        <w:t xml:space="preserve"> Super plasticizer up to 25°C</w:t>
      </w:r>
    </w:p>
    <w:tbl>
      <w:tblPr>
        <w:tblStyle w:val="TableGrid"/>
        <w:tblW w:w="0" w:type="auto"/>
        <w:jc w:val="center"/>
        <w:tblInd w:w="154" w:type="dxa"/>
        <w:tblLook w:val="04A0"/>
      </w:tblPr>
      <w:tblGrid>
        <w:gridCol w:w="672"/>
        <w:gridCol w:w="3774"/>
        <w:gridCol w:w="2314"/>
      </w:tblGrid>
      <w:tr w:rsidR="00926C8F" w:rsidTr="00471D66">
        <w:trPr>
          <w:jc w:val="center"/>
        </w:trPr>
        <w:tc>
          <w:tcPr>
            <w:tcW w:w="672" w:type="dxa"/>
          </w:tcPr>
          <w:p w:rsidR="00926C8F" w:rsidRPr="00A45AF7" w:rsidRDefault="00926C8F" w:rsidP="00B1732B">
            <w:pPr>
              <w:rPr>
                <w:b/>
                <w:bCs/>
              </w:rPr>
            </w:pPr>
            <w:r w:rsidRPr="00A45AF7">
              <w:rPr>
                <w:b/>
                <w:bCs/>
              </w:rPr>
              <w:t>S.No.</w:t>
            </w:r>
          </w:p>
        </w:tc>
        <w:tc>
          <w:tcPr>
            <w:tcW w:w="3774" w:type="dxa"/>
          </w:tcPr>
          <w:p w:rsidR="00926C8F" w:rsidRPr="00A45AF7" w:rsidRDefault="00926C8F" w:rsidP="00B1732B">
            <w:pPr>
              <w:rPr>
                <w:b/>
                <w:bCs/>
              </w:rPr>
            </w:pPr>
            <w:r>
              <w:rPr>
                <w:b/>
                <w:bCs/>
              </w:rPr>
              <w:t>Chemical and Physical Properties</w:t>
            </w:r>
          </w:p>
        </w:tc>
        <w:tc>
          <w:tcPr>
            <w:tcW w:w="2314" w:type="dxa"/>
          </w:tcPr>
          <w:p w:rsidR="00926C8F" w:rsidRPr="00A45AF7" w:rsidRDefault="00926C8F" w:rsidP="00B1732B">
            <w:pPr>
              <w:rPr>
                <w:b/>
                <w:bCs/>
              </w:rPr>
            </w:pPr>
            <w:r>
              <w:rPr>
                <w:b/>
                <w:bCs/>
              </w:rPr>
              <w:t>SMF Liquid</w:t>
            </w:r>
          </w:p>
        </w:tc>
      </w:tr>
      <w:tr w:rsidR="00926C8F" w:rsidTr="00471D66">
        <w:trPr>
          <w:trHeight w:val="152"/>
          <w:jc w:val="center"/>
        </w:trPr>
        <w:tc>
          <w:tcPr>
            <w:tcW w:w="672" w:type="dxa"/>
          </w:tcPr>
          <w:p w:rsidR="00926C8F" w:rsidRDefault="00926C8F" w:rsidP="00B1732B">
            <w:r>
              <w:t>1.</w:t>
            </w:r>
          </w:p>
        </w:tc>
        <w:tc>
          <w:tcPr>
            <w:tcW w:w="3774" w:type="dxa"/>
          </w:tcPr>
          <w:p w:rsidR="00926C8F" w:rsidRDefault="00926C8F" w:rsidP="00B1732B">
            <w:r>
              <w:t>Appearance</w:t>
            </w:r>
          </w:p>
        </w:tc>
        <w:tc>
          <w:tcPr>
            <w:tcW w:w="2314" w:type="dxa"/>
          </w:tcPr>
          <w:p w:rsidR="00926C8F" w:rsidRDefault="00926C8F" w:rsidP="00B1732B">
            <w:r>
              <w:t>White to off white powder</w:t>
            </w:r>
          </w:p>
        </w:tc>
      </w:tr>
      <w:tr w:rsidR="00926C8F" w:rsidTr="00471D66">
        <w:trPr>
          <w:jc w:val="center"/>
        </w:trPr>
        <w:tc>
          <w:tcPr>
            <w:tcW w:w="672" w:type="dxa"/>
          </w:tcPr>
          <w:p w:rsidR="00926C8F" w:rsidRDefault="00926C8F" w:rsidP="00B1732B">
            <w:r>
              <w:t>2.</w:t>
            </w:r>
          </w:p>
        </w:tc>
        <w:tc>
          <w:tcPr>
            <w:tcW w:w="3774" w:type="dxa"/>
          </w:tcPr>
          <w:p w:rsidR="00926C8F" w:rsidRDefault="00926C8F" w:rsidP="00B1732B">
            <w:r>
              <w:t>Moisture, max %</w:t>
            </w:r>
          </w:p>
        </w:tc>
        <w:tc>
          <w:tcPr>
            <w:tcW w:w="2314" w:type="dxa"/>
          </w:tcPr>
          <w:p w:rsidR="00926C8F" w:rsidRDefault="00926C8F" w:rsidP="00B1732B">
            <w:r>
              <w:t>4</w:t>
            </w:r>
          </w:p>
        </w:tc>
      </w:tr>
      <w:tr w:rsidR="00926C8F" w:rsidTr="00471D66">
        <w:trPr>
          <w:jc w:val="center"/>
        </w:trPr>
        <w:tc>
          <w:tcPr>
            <w:tcW w:w="672" w:type="dxa"/>
          </w:tcPr>
          <w:p w:rsidR="00926C8F" w:rsidRDefault="00926C8F" w:rsidP="00B1732B">
            <w:r>
              <w:t>3.</w:t>
            </w:r>
          </w:p>
        </w:tc>
        <w:tc>
          <w:tcPr>
            <w:tcW w:w="3774" w:type="dxa"/>
          </w:tcPr>
          <w:p w:rsidR="00926C8F" w:rsidRDefault="00926C8F" w:rsidP="00B1732B">
            <w:r>
              <w:t>Bulk Density, g/cc</w:t>
            </w:r>
          </w:p>
        </w:tc>
        <w:tc>
          <w:tcPr>
            <w:tcW w:w="2314" w:type="dxa"/>
          </w:tcPr>
          <w:p w:rsidR="00926C8F" w:rsidRDefault="00926C8F" w:rsidP="00B1732B">
            <w:r>
              <w:t>55 to 85</w:t>
            </w:r>
          </w:p>
        </w:tc>
      </w:tr>
      <w:tr w:rsidR="00926C8F" w:rsidTr="00471D66">
        <w:trPr>
          <w:jc w:val="center"/>
        </w:trPr>
        <w:tc>
          <w:tcPr>
            <w:tcW w:w="672" w:type="dxa"/>
          </w:tcPr>
          <w:p w:rsidR="00926C8F" w:rsidRDefault="00926C8F" w:rsidP="00B1732B">
            <w:r>
              <w:t>4.</w:t>
            </w:r>
          </w:p>
        </w:tc>
        <w:tc>
          <w:tcPr>
            <w:tcW w:w="3774" w:type="dxa"/>
          </w:tcPr>
          <w:p w:rsidR="00926C8F" w:rsidRDefault="00926C8F" w:rsidP="00B1732B">
            <w:r>
              <w:t>pH value of 20% aqueous solutions@ 20</w:t>
            </w:r>
            <w:r w:rsidR="00FA338C" w:rsidRPr="00FA338C">
              <w:rPr>
                <w:vertAlign w:val="superscript"/>
              </w:rPr>
              <w:t>0</w:t>
            </w:r>
            <w:r>
              <w:t>C</w:t>
            </w:r>
          </w:p>
        </w:tc>
        <w:tc>
          <w:tcPr>
            <w:tcW w:w="2314" w:type="dxa"/>
          </w:tcPr>
          <w:p w:rsidR="00926C8F" w:rsidRDefault="00926C8F" w:rsidP="00B1732B">
            <w:r>
              <w:t>7.0 to 10.0</w:t>
            </w:r>
          </w:p>
        </w:tc>
      </w:tr>
      <w:tr w:rsidR="00926C8F" w:rsidTr="00471D66">
        <w:trPr>
          <w:jc w:val="center"/>
        </w:trPr>
        <w:tc>
          <w:tcPr>
            <w:tcW w:w="672" w:type="dxa"/>
          </w:tcPr>
          <w:p w:rsidR="00926C8F" w:rsidRDefault="00926C8F" w:rsidP="00B1732B">
            <w:r>
              <w:t>5.</w:t>
            </w:r>
          </w:p>
        </w:tc>
        <w:tc>
          <w:tcPr>
            <w:tcW w:w="3774" w:type="dxa"/>
          </w:tcPr>
          <w:p w:rsidR="00926C8F" w:rsidRDefault="00926C8F" w:rsidP="00B1732B">
            <w:r>
              <w:t>Particle Size, &gt;200mm, %</w:t>
            </w:r>
          </w:p>
        </w:tc>
        <w:tc>
          <w:tcPr>
            <w:tcW w:w="2314" w:type="dxa"/>
          </w:tcPr>
          <w:p w:rsidR="00926C8F" w:rsidRDefault="00926C8F" w:rsidP="00B1732B">
            <w:r>
              <w:t>5 to 25</w:t>
            </w:r>
          </w:p>
        </w:tc>
      </w:tr>
      <w:tr w:rsidR="00926C8F" w:rsidTr="00471D66">
        <w:trPr>
          <w:jc w:val="center"/>
        </w:trPr>
        <w:tc>
          <w:tcPr>
            <w:tcW w:w="672" w:type="dxa"/>
          </w:tcPr>
          <w:p w:rsidR="00926C8F" w:rsidRDefault="00926C8F" w:rsidP="00B1732B">
            <w:r>
              <w:t>6.</w:t>
            </w:r>
          </w:p>
        </w:tc>
        <w:tc>
          <w:tcPr>
            <w:tcW w:w="3774" w:type="dxa"/>
          </w:tcPr>
          <w:p w:rsidR="00926C8F" w:rsidRDefault="00926C8F" w:rsidP="00B1732B">
            <w:r>
              <w:t>Particle Size, &lt;100mm, %</w:t>
            </w:r>
          </w:p>
        </w:tc>
        <w:tc>
          <w:tcPr>
            <w:tcW w:w="2314" w:type="dxa"/>
          </w:tcPr>
          <w:p w:rsidR="00926C8F" w:rsidRDefault="00926C8F" w:rsidP="00B1732B">
            <w:r>
              <w:t>15 to 40</w:t>
            </w:r>
          </w:p>
        </w:tc>
      </w:tr>
      <w:tr w:rsidR="00926C8F" w:rsidTr="00471D66">
        <w:trPr>
          <w:jc w:val="center"/>
        </w:trPr>
        <w:tc>
          <w:tcPr>
            <w:tcW w:w="672" w:type="dxa"/>
          </w:tcPr>
          <w:p w:rsidR="00926C8F" w:rsidRDefault="00926C8F" w:rsidP="00B1732B">
            <w:r>
              <w:t>7.</w:t>
            </w:r>
          </w:p>
        </w:tc>
        <w:tc>
          <w:tcPr>
            <w:tcW w:w="3774" w:type="dxa"/>
          </w:tcPr>
          <w:p w:rsidR="00926C8F" w:rsidRDefault="00926C8F" w:rsidP="00B1732B">
            <w:r>
              <w:t>Free formaldehyde, max %</w:t>
            </w:r>
          </w:p>
        </w:tc>
        <w:tc>
          <w:tcPr>
            <w:tcW w:w="2314" w:type="dxa"/>
          </w:tcPr>
          <w:p w:rsidR="00926C8F" w:rsidRDefault="00926C8F" w:rsidP="00B1732B">
            <w:r>
              <w:t>0.1</w:t>
            </w:r>
          </w:p>
        </w:tc>
      </w:tr>
      <w:tr w:rsidR="00926C8F" w:rsidTr="00471D66">
        <w:trPr>
          <w:jc w:val="center"/>
        </w:trPr>
        <w:tc>
          <w:tcPr>
            <w:tcW w:w="672" w:type="dxa"/>
          </w:tcPr>
          <w:p w:rsidR="00926C8F" w:rsidRDefault="00926C8F" w:rsidP="00B1732B">
            <w:r>
              <w:t>8.</w:t>
            </w:r>
          </w:p>
        </w:tc>
        <w:tc>
          <w:tcPr>
            <w:tcW w:w="3774" w:type="dxa"/>
          </w:tcPr>
          <w:p w:rsidR="00926C8F" w:rsidRDefault="00926C8F" w:rsidP="00B1732B">
            <w:r>
              <w:t xml:space="preserve">Chloride, Max % </w:t>
            </w:r>
          </w:p>
        </w:tc>
        <w:tc>
          <w:tcPr>
            <w:tcW w:w="2314" w:type="dxa"/>
          </w:tcPr>
          <w:p w:rsidR="00926C8F" w:rsidRDefault="00926C8F" w:rsidP="00B1732B">
            <w:r>
              <w:t>0.05</w:t>
            </w:r>
          </w:p>
        </w:tc>
      </w:tr>
      <w:tr w:rsidR="00926C8F" w:rsidTr="00471D66">
        <w:trPr>
          <w:jc w:val="center"/>
        </w:trPr>
        <w:tc>
          <w:tcPr>
            <w:tcW w:w="672" w:type="dxa"/>
          </w:tcPr>
          <w:p w:rsidR="00926C8F" w:rsidRDefault="00926C8F" w:rsidP="00B1732B">
            <w:r>
              <w:lastRenderedPageBreak/>
              <w:t>9.</w:t>
            </w:r>
          </w:p>
        </w:tc>
        <w:tc>
          <w:tcPr>
            <w:tcW w:w="3774" w:type="dxa"/>
          </w:tcPr>
          <w:p w:rsidR="00926C8F" w:rsidRDefault="00926C8F" w:rsidP="00B1732B">
            <w:r>
              <w:t>Sodium %</w:t>
            </w:r>
          </w:p>
        </w:tc>
        <w:tc>
          <w:tcPr>
            <w:tcW w:w="2314" w:type="dxa"/>
          </w:tcPr>
          <w:p w:rsidR="00926C8F" w:rsidRDefault="00926C8F" w:rsidP="00B1732B">
            <w:r>
              <w:t>9 to 11</w:t>
            </w:r>
          </w:p>
        </w:tc>
      </w:tr>
    </w:tbl>
    <w:p w:rsidR="00EF1D11" w:rsidRPr="00EF1D11" w:rsidRDefault="00EF1D11" w:rsidP="00EF1D11">
      <w:pPr>
        <w:jc w:val="both"/>
      </w:pPr>
    </w:p>
    <w:p w:rsidR="00CA56F6" w:rsidRDefault="00CA56F6" w:rsidP="00CA56F6">
      <w:pPr>
        <w:pStyle w:val="Heading2"/>
        <w:spacing w:before="0" w:after="0"/>
        <w:ind w:left="0" w:firstLine="0"/>
        <w:rPr>
          <w:b/>
          <w:i w:val="0"/>
        </w:rPr>
      </w:pPr>
      <w:r w:rsidRPr="00CA56F6">
        <w:rPr>
          <w:b/>
          <w:i w:val="0"/>
        </w:rPr>
        <w:t xml:space="preserve">Marsh Cone Test </w:t>
      </w:r>
    </w:p>
    <w:p w:rsidR="00CA56F6" w:rsidRPr="004478DD" w:rsidRDefault="00CA56F6" w:rsidP="00CA56F6">
      <w:pPr>
        <w:adjustRightInd w:val="0"/>
        <w:ind w:right="20" w:firstLine="720"/>
        <w:jc w:val="both"/>
        <w:rPr>
          <w:rFonts w:eastAsia="Calibri"/>
        </w:rPr>
      </w:pPr>
      <w:r w:rsidRPr="004478DD">
        <w:rPr>
          <w:rFonts w:eastAsia="Calibri"/>
        </w:rPr>
        <w:t>To test the workability for various specifications and quality control of cement pastes the marsh cone was implemented In our experiential results.  Though the test standards are varying from country to country result the principle output is same.   In the marsh cone test various amount of materials, their flow out, time are recorded for measuring the flow time which is l inked with the fluidity of the tested material.   As longer the flow time we have observed lower the fluidity.   As the proposed approach Marsh cone test is very simple to observe the data readings about cement pastes behavior.  In our used cement based materials, mix design order to define the saturation point, i.e. the dosage beyond which the flow time does not decrease appreciably.  As Marsh Cone test is tested with filled fluid material with nozzle kept closed and also measured the quantity of fluid with nozzle opened for freely flow activity. Used Marsh cone time for measuring time, quantity of materials to record the flow out activity.  The saturation point is defined as the chemical admixture dosage beyond which the flow time dose not decrease appreciably.  The dosage at which the Marsh cone time is lowest is called the saturation point.  The dosage is the optimum dosage for that brand of cement and admixture (plasticizer or super plasticizer) for that w/c ratio.</w:t>
      </w:r>
      <w:r w:rsidR="005131E4">
        <w:rPr>
          <w:rFonts w:eastAsia="Calibri"/>
        </w:rPr>
        <w:t xml:space="preserve"> The apparatus of Marsh Cone is shown in Figure 1.</w:t>
      </w:r>
    </w:p>
    <w:p w:rsidR="00CA56F6" w:rsidRDefault="00CA56F6" w:rsidP="00CA56F6">
      <w:pPr>
        <w:pStyle w:val="Heading3"/>
      </w:pPr>
      <w:r>
        <w:t>Methodology</w:t>
      </w:r>
    </w:p>
    <w:p w:rsidR="00CA56F6" w:rsidRPr="004478DD" w:rsidRDefault="00CA56F6" w:rsidP="00CA56F6">
      <w:pPr>
        <w:autoSpaceDE w:val="0"/>
        <w:autoSpaceDN w:val="0"/>
        <w:adjustRightInd w:val="0"/>
        <w:ind w:right="20"/>
        <w:jc w:val="both"/>
        <w:rPr>
          <w:rFonts w:eastAsia="Calibri"/>
        </w:rPr>
      </w:pPr>
      <w:r w:rsidRPr="004478DD">
        <w:rPr>
          <w:rFonts w:eastAsia="Calibri"/>
        </w:rPr>
        <w:t>Observations for 1 minute retention period are taken.</w:t>
      </w:r>
    </w:p>
    <w:p w:rsidR="00CA56F6" w:rsidRPr="004478DD" w:rsidRDefault="00CA56F6" w:rsidP="00CA56F6">
      <w:pPr>
        <w:pStyle w:val="ListParagraph"/>
        <w:numPr>
          <w:ilvl w:val="0"/>
          <w:numId w:val="29"/>
        </w:numPr>
        <w:autoSpaceDE w:val="0"/>
        <w:autoSpaceDN w:val="0"/>
        <w:adjustRightInd w:val="0"/>
        <w:spacing w:after="0" w:line="240" w:lineRule="auto"/>
        <w:ind w:left="360" w:right="20"/>
        <w:contextualSpacing w:val="0"/>
        <w:jc w:val="both"/>
        <w:rPr>
          <w:rFonts w:ascii="Times New Roman" w:eastAsia="Calibri" w:hAnsi="Times New Roman" w:cs="Times New Roman"/>
          <w:sz w:val="20"/>
          <w:szCs w:val="20"/>
        </w:rPr>
      </w:pPr>
      <w:r w:rsidRPr="004478DD">
        <w:rPr>
          <w:rFonts w:ascii="Times New Roman" w:eastAsia="Calibri" w:hAnsi="Times New Roman" w:cs="Times New Roman"/>
          <w:sz w:val="20"/>
          <w:szCs w:val="20"/>
        </w:rPr>
        <w:t>In our first test, water cement ratio is kept as 0.35 and PCE dosage of 0, 0.5, 0.75, 1, 1.25 and 1.5 % is administered. Temperature is noted down.</w:t>
      </w:r>
    </w:p>
    <w:p w:rsidR="00CA56F6" w:rsidRPr="004478DD" w:rsidRDefault="00A8214C" w:rsidP="00CA56F6">
      <w:pPr>
        <w:pStyle w:val="ListParagraph"/>
        <w:numPr>
          <w:ilvl w:val="0"/>
          <w:numId w:val="29"/>
        </w:numPr>
        <w:autoSpaceDE w:val="0"/>
        <w:autoSpaceDN w:val="0"/>
        <w:adjustRightInd w:val="0"/>
        <w:spacing w:after="0" w:line="240" w:lineRule="auto"/>
        <w:ind w:left="360" w:right="20"/>
        <w:contextualSpacing w:val="0"/>
        <w:jc w:val="both"/>
        <w:rPr>
          <w:rFonts w:ascii="Times New Roman" w:eastAsia="Calibri" w:hAnsi="Times New Roman" w:cs="Times New Roman"/>
          <w:sz w:val="20"/>
          <w:szCs w:val="20"/>
        </w:rPr>
      </w:pPr>
      <w:r w:rsidRPr="00A8214C">
        <w:rPr>
          <w:rFonts w:ascii="Times New Roman" w:eastAsia="Calibri" w:hAnsi="Times New Roman" w:cs="Times New Roman"/>
          <w:sz w:val="20"/>
          <w:szCs w:val="20"/>
        </w:rPr>
        <w:t>In a mechanical mixer, fully mix the 2 kg of OPC cement, water, and PCE super plasticizer to make 1 litre of cement paste. Place the water in the mixing bowl first, and then add the 2 kg of cement. After stirring for a minute, add the necessary amount of PCE Super Plasticizer, and continue stirring for an additional minute. So, slurry is created.</w:t>
      </w:r>
      <w:r w:rsidR="00CA56F6" w:rsidRPr="004478DD">
        <w:rPr>
          <w:rFonts w:ascii="Times New Roman" w:eastAsia="Calibri" w:hAnsi="Times New Roman" w:cs="Times New Roman"/>
          <w:sz w:val="20"/>
          <w:szCs w:val="20"/>
        </w:rPr>
        <w:t xml:space="preserve"> </w:t>
      </w:r>
    </w:p>
    <w:p w:rsidR="00CA56F6" w:rsidRPr="004478DD" w:rsidRDefault="00A8214C" w:rsidP="00CA56F6">
      <w:pPr>
        <w:pStyle w:val="ListParagraph"/>
        <w:numPr>
          <w:ilvl w:val="0"/>
          <w:numId w:val="29"/>
        </w:numPr>
        <w:autoSpaceDE w:val="0"/>
        <w:autoSpaceDN w:val="0"/>
        <w:adjustRightInd w:val="0"/>
        <w:spacing w:after="0" w:line="240" w:lineRule="auto"/>
        <w:ind w:left="360" w:right="20"/>
        <w:contextualSpacing w:val="0"/>
        <w:jc w:val="both"/>
        <w:rPr>
          <w:rFonts w:ascii="Times New Roman" w:eastAsia="Calibri" w:hAnsi="Times New Roman" w:cs="Times New Roman"/>
          <w:sz w:val="20"/>
          <w:szCs w:val="20"/>
        </w:rPr>
      </w:pPr>
      <w:r>
        <w:rPr>
          <w:rFonts w:ascii="Times New Roman" w:eastAsia="Calibri" w:hAnsi="Times New Roman" w:cs="Times New Roman"/>
          <w:sz w:val="20"/>
          <w:szCs w:val="20"/>
        </w:rPr>
        <w:t>Pour one lit</w:t>
      </w:r>
      <w:r w:rsidRPr="00A8214C">
        <w:rPr>
          <w:rFonts w:ascii="Times New Roman" w:eastAsia="Calibri" w:hAnsi="Times New Roman" w:cs="Times New Roman"/>
          <w:sz w:val="20"/>
          <w:szCs w:val="20"/>
        </w:rPr>
        <w:t>e</w:t>
      </w:r>
      <w:r>
        <w:rPr>
          <w:rFonts w:ascii="Times New Roman" w:eastAsia="Calibri" w:hAnsi="Times New Roman" w:cs="Times New Roman"/>
          <w:sz w:val="20"/>
          <w:szCs w:val="20"/>
        </w:rPr>
        <w:t>r</w:t>
      </w:r>
      <w:r w:rsidRPr="00A8214C">
        <w:rPr>
          <w:rFonts w:ascii="Times New Roman" w:eastAsia="Calibri" w:hAnsi="Times New Roman" w:cs="Times New Roman"/>
          <w:sz w:val="20"/>
          <w:szCs w:val="20"/>
        </w:rPr>
        <w:t xml:space="preserve"> of the slurry (measured in a 1000-ml jar) into the marsh cone while properly sealing the opening at the bottom with a finger.</w:t>
      </w:r>
    </w:p>
    <w:p w:rsidR="00CA56F6" w:rsidRPr="004478DD" w:rsidRDefault="00A8214C" w:rsidP="00CA56F6">
      <w:pPr>
        <w:pStyle w:val="ListParagraph"/>
        <w:numPr>
          <w:ilvl w:val="0"/>
          <w:numId w:val="29"/>
        </w:numPr>
        <w:autoSpaceDE w:val="0"/>
        <w:autoSpaceDN w:val="0"/>
        <w:adjustRightInd w:val="0"/>
        <w:spacing w:after="0" w:line="240" w:lineRule="auto"/>
        <w:ind w:left="360" w:right="20"/>
        <w:contextualSpacing w:val="0"/>
        <w:jc w:val="both"/>
        <w:rPr>
          <w:rFonts w:ascii="Times New Roman" w:eastAsia="Calibri" w:hAnsi="Times New Roman" w:cs="Times New Roman"/>
          <w:sz w:val="20"/>
          <w:szCs w:val="20"/>
        </w:rPr>
      </w:pPr>
      <w:r w:rsidRPr="00A8214C">
        <w:rPr>
          <w:rFonts w:ascii="Times New Roman" w:eastAsia="Calibri" w:hAnsi="Times New Roman" w:cs="Times New Roman"/>
          <w:sz w:val="20"/>
          <w:szCs w:val="20"/>
        </w:rPr>
        <w:t>Set the stopwatch to start while removing the finger. Take note of how long it took to empty the Marsh Cone. "Marsh Cone Time" is the name given to this period.</w:t>
      </w:r>
    </w:p>
    <w:p w:rsidR="00A8214C" w:rsidRPr="00A8214C" w:rsidRDefault="00A8214C" w:rsidP="00A8214C">
      <w:pPr>
        <w:pStyle w:val="ListParagraph"/>
        <w:numPr>
          <w:ilvl w:val="0"/>
          <w:numId w:val="29"/>
        </w:numPr>
        <w:autoSpaceDE w:val="0"/>
        <w:autoSpaceDN w:val="0"/>
        <w:adjustRightInd w:val="0"/>
        <w:spacing w:after="0" w:line="240" w:lineRule="auto"/>
        <w:ind w:left="360" w:right="20"/>
        <w:contextualSpacing w:val="0"/>
        <w:jc w:val="both"/>
        <w:rPr>
          <w:rFonts w:ascii="Times New Roman" w:eastAsia="Calibri" w:hAnsi="Times New Roman" w:cs="Times New Roman"/>
          <w:sz w:val="20"/>
          <w:szCs w:val="20"/>
        </w:rPr>
      </w:pPr>
      <w:r w:rsidRPr="00A8214C">
        <w:rPr>
          <w:rFonts w:ascii="Times New Roman" w:eastAsia="Calibri" w:hAnsi="Times New Roman" w:cs="Times New Roman"/>
          <w:sz w:val="20"/>
          <w:szCs w:val="20"/>
        </w:rPr>
        <w:t>Conduct the test again using the same retention period, the same mixture, and the appropriate recording of Marsh Cone time. Throughout the test, the cement and additive mixture should be mixed.</w:t>
      </w:r>
    </w:p>
    <w:p w:rsidR="00A8214C" w:rsidRPr="00A8214C" w:rsidRDefault="00A8214C" w:rsidP="00A8214C">
      <w:pPr>
        <w:pStyle w:val="ListParagraph"/>
        <w:numPr>
          <w:ilvl w:val="0"/>
          <w:numId w:val="29"/>
        </w:numPr>
        <w:autoSpaceDE w:val="0"/>
        <w:autoSpaceDN w:val="0"/>
        <w:adjustRightInd w:val="0"/>
        <w:spacing w:after="0" w:line="240" w:lineRule="auto"/>
        <w:ind w:left="360" w:right="20"/>
        <w:contextualSpacing w:val="0"/>
        <w:jc w:val="both"/>
        <w:rPr>
          <w:rFonts w:ascii="Times New Roman" w:eastAsia="Calibri" w:hAnsi="Times New Roman" w:cs="Times New Roman"/>
          <w:sz w:val="20"/>
          <w:szCs w:val="20"/>
        </w:rPr>
      </w:pPr>
      <w:r w:rsidRPr="00A8214C">
        <w:rPr>
          <w:rFonts w:ascii="Times New Roman" w:eastAsia="Calibri" w:hAnsi="Times New Roman" w:cs="Times New Roman"/>
          <w:sz w:val="20"/>
          <w:szCs w:val="20"/>
        </w:rPr>
        <w:t>Repeat the test for each dosage level of the super plasticizer SMF.</w:t>
      </w:r>
    </w:p>
    <w:p w:rsidR="00CA56F6" w:rsidRPr="004478DD" w:rsidRDefault="00A8214C" w:rsidP="00A8214C">
      <w:pPr>
        <w:pStyle w:val="ListParagraph"/>
        <w:numPr>
          <w:ilvl w:val="0"/>
          <w:numId w:val="29"/>
        </w:numPr>
        <w:autoSpaceDE w:val="0"/>
        <w:autoSpaceDN w:val="0"/>
        <w:adjustRightInd w:val="0"/>
        <w:spacing w:after="0" w:line="240" w:lineRule="auto"/>
        <w:ind w:left="360" w:right="20"/>
        <w:contextualSpacing w:val="0"/>
        <w:jc w:val="both"/>
        <w:rPr>
          <w:rFonts w:ascii="Times New Roman" w:eastAsia="Calibri" w:hAnsi="Times New Roman" w:cs="Times New Roman"/>
          <w:sz w:val="20"/>
          <w:szCs w:val="20"/>
        </w:rPr>
      </w:pPr>
      <w:r w:rsidRPr="00A8214C">
        <w:rPr>
          <w:rFonts w:ascii="Times New Roman" w:eastAsia="Calibri" w:hAnsi="Times New Roman" w:cs="Times New Roman"/>
          <w:sz w:val="20"/>
          <w:szCs w:val="20"/>
        </w:rPr>
        <w:t xml:space="preserve">The ideal dosage is determined by drawing a typical graph of Marsh Cone Time in Seconds vs. Admixture/Cement dosage in percentage. </w:t>
      </w:r>
      <w:r w:rsidR="00CA56F6" w:rsidRPr="004478DD">
        <w:rPr>
          <w:rFonts w:ascii="Times New Roman" w:eastAsia="Calibri" w:hAnsi="Times New Roman" w:cs="Times New Roman"/>
          <w:sz w:val="20"/>
          <w:szCs w:val="20"/>
        </w:rPr>
        <w:t xml:space="preserve">This point is known as “Saturation Point” </w:t>
      </w:r>
      <w:bookmarkStart w:id="0" w:name="3.5___Materials"/>
      <w:bookmarkStart w:id="1" w:name="_bookmark39"/>
      <w:bookmarkStart w:id="2" w:name="3.5.1___Cement"/>
      <w:bookmarkStart w:id="3" w:name="_bookmark40"/>
      <w:bookmarkStart w:id="4" w:name="3.5.2.1_Fine_Aggregate"/>
      <w:bookmarkStart w:id="5" w:name="_bookmark42"/>
      <w:bookmarkEnd w:id="0"/>
      <w:bookmarkEnd w:id="1"/>
      <w:bookmarkEnd w:id="2"/>
      <w:bookmarkEnd w:id="3"/>
      <w:bookmarkEnd w:id="4"/>
      <w:bookmarkEnd w:id="5"/>
    </w:p>
    <w:p w:rsidR="00416613" w:rsidRDefault="00CA56F6" w:rsidP="00416613">
      <w:pPr>
        <w:pStyle w:val="BodyText"/>
        <w:spacing w:before="135"/>
        <w:ind w:right="1656"/>
        <w:jc w:val="center"/>
      </w:pPr>
      <w:r w:rsidRPr="00CA56F6">
        <w:t xml:space="preserve"> </w:t>
      </w:r>
      <w:r w:rsidR="00416613">
        <w:rPr>
          <w:rFonts w:ascii="MS Gothic"/>
          <w:noProof/>
          <w:sz w:val="23"/>
          <w:lang w:bidi="te-IN"/>
        </w:rPr>
        <w:drawing>
          <wp:inline distT="0" distB="0" distL="0" distR="0">
            <wp:extent cx="3000375" cy="923925"/>
            <wp:effectExtent l="1905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000375" cy="923925"/>
                    </a:xfrm>
                    <a:prstGeom prst="rect">
                      <a:avLst/>
                    </a:prstGeom>
                    <a:noFill/>
                    <a:ln w="9525">
                      <a:noFill/>
                      <a:miter lim="800000"/>
                      <a:headEnd/>
                      <a:tailEnd/>
                    </a:ln>
                  </pic:spPr>
                </pic:pic>
              </a:graphicData>
            </a:graphic>
          </wp:inline>
        </w:drawing>
      </w:r>
    </w:p>
    <w:p w:rsidR="00CA56F6" w:rsidRPr="00896137" w:rsidRDefault="00416613" w:rsidP="00416613">
      <w:pPr>
        <w:pStyle w:val="BodyText"/>
        <w:spacing w:before="135"/>
        <w:ind w:right="1656"/>
        <w:jc w:val="center"/>
      </w:pPr>
      <w:r w:rsidRPr="00896137">
        <w:rPr>
          <w:b/>
        </w:rPr>
        <w:t xml:space="preserve">Figure 1: </w:t>
      </w:r>
      <w:r w:rsidRPr="00896137">
        <w:rPr>
          <w:b/>
          <w:noProof/>
        </w:rPr>
        <w:t>Cement, PCE, SMF, Marshcone Setup</w:t>
      </w:r>
    </w:p>
    <w:p w:rsidR="00CA56F6" w:rsidRPr="00CA56F6" w:rsidRDefault="00CA56F6" w:rsidP="00CA56F6">
      <w:pPr>
        <w:jc w:val="both"/>
      </w:pPr>
    </w:p>
    <w:p w:rsidR="00416613" w:rsidRDefault="00416613" w:rsidP="00416613">
      <w:pPr>
        <w:pStyle w:val="Heading2"/>
        <w:spacing w:before="0" w:after="0"/>
        <w:ind w:left="0" w:firstLine="0"/>
        <w:rPr>
          <w:b/>
          <w:i w:val="0"/>
        </w:rPr>
      </w:pPr>
      <w:r w:rsidRPr="00416613">
        <w:rPr>
          <w:b/>
          <w:i w:val="0"/>
        </w:rPr>
        <w:t>Moulds</w:t>
      </w:r>
    </w:p>
    <w:p w:rsidR="00416613" w:rsidRPr="004478DD" w:rsidRDefault="00416613" w:rsidP="00416613">
      <w:pPr>
        <w:pStyle w:val="BodyText"/>
        <w:spacing w:line="240" w:lineRule="auto"/>
        <w:ind w:right="10"/>
      </w:pPr>
      <w:r w:rsidRPr="004478DD">
        <w:t>For preparation of concrete specimens of various dosages we have used size</w:t>
      </w:r>
      <w:r w:rsidRPr="004478DD">
        <w:rPr>
          <w:spacing w:val="1"/>
        </w:rPr>
        <w:t xml:space="preserve"> </w:t>
      </w:r>
      <w:r w:rsidRPr="004478DD">
        <w:t>150mm</w:t>
      </w:r>
      <w:r w:rsidR="005131E4">
        <w:t xml:space="preserve"> x </w:t>
      </w:r>
      <w:r w:rsidRPr="004478DD">
        <w:t>150mm</w:t>
      </w:r>
      <w:r w:rsidRPr="004478DD">
        <w:rPr>
          <w:spacing w:val="1"/>
        </w:rPr>
        <w:t xml:space="preserve"> </w:t>
      </w:r>
      <w:r w:rsidRPr="004478DD">
        <w:t>Cubical</w:t>
      </w:r>
      <w:r w:rsidRPr="004478DD">
        <w:rPr>
          <w:spacing w:val="1"/>
        </w:rPr>
        <w:t xml:space="preserve"> </w:t>
      </w:r>
      <w:r w:rsidRPr="004478DD">
        <w:t>moulds</w:t>
      </w:r>
      <w:r w:rsidRPr="004478DD">
        <w:rPr>
          <w:spacing w:val="1"/>
        </w:rPr>
        <w:t xml:space="preserve"> to provide </w:t>
      </w:r>
      <w:r w:rsidR="005131E4">
        <w:rPr>
          <w:spacing w:val="1"/>
        </w:rPr>
        <w:t>t</w:t>
      </w:r>
      <w:r w:rsidRPr="004478DD">
        <w:t>wo super plasticizers to the determination of compressive strength Care was taken in using proper compaction through casting and vibrator was used for</w:t>
      </w:r>
      <w:r w:rsidRPr="004478DD">
        <w:rPr>
          <w:spacing w:val="1"/>
        </w:rPr>
        <w:t xml:space="preserve"> </w:t>
      </w:r>
      <w:r w:rsidRPr="004478DD">
        <w:t>proper</w:t>
      </w:r>
      <w:r w:rsidRPr="004478DD">
        <w:rPr>
          <w:spacing w:val="-2"/>
        </w:rPr>
        <w:t xml:space="preserve"> </w:t>
      </w:r>
      <w:r w:rsidRPr="004478DD">
        <w:t xml:space="preserve">compaction. For determination of split tensile strength we have used </w:t>
      </w:r>
      <w:r w:rsidR="005131E4">
        <w:t xml:space="preserve">cylindrical mould of size 150 mm x </w:t>
      </w:r>
      <w:r w:rsidRPr="004478DD">
        <w:t>300 mm with concrete</w:t>
      </w:r>
      <w:r w:rsidRPr="004478DD">
        <w:rPr>
          <w:spacing w:val="1"/>
        </w:rPr>
        <w:t xml:space="preserve"> </w:t>
      </w:r>
      <w:r w:rsidRPr="004478DD">
        <w:t>specimens and also followed and prepared in accordance</w:t>
      </w:r>
      <w:r w:rsidRPr="004478DD">
        <w:rPr>
          <w:spacing w:val="1"/>
        </w:rPr>
        <w:t xml:space="preserve"> </w:t>
      </w:r>
      <w:r w:rsidRPr="004478DD">
        <w:t>with</w:t>
      </w:r>
      <w:r w:rsidRPr="004478DD">
        <w:rPr>
          <w:spacing w:val="1"/>
        </w:rPr>
        <w:t xml:space="preserve"> </w:t>
      </w:r>
      <w:r w:rsidRPr="004478DD">
        <w:t>Indian</w:t>
      </w:r>
      <w:r w:rsidRPr="004478DD">
        <w:rPr>
          <w:spacing w:val="1"/>
        </w:rPr>
        <w:t xml:space="preserve"> </w:t>
      </w:r>
      <w:r w:rsidRPr="004478DD">
        <w:t>Standard Specifications IS: 516-1959.</w:t>
      </w:r>
    </w:p>
    <w:p w:rsidR="00416613" w:rsidRDefault="00416613" w:rsidP="00416613">
      <w:pPr>
        <w:pStyle w:val="BodyText"/>
        <w:spacing w:line="240" w:lineRule="auto"/>
        <w:ind w:right="20"/>
        <w:jc w:val="center"/>
        <w:rPr>
          <w:b/>
        </w:rPr>
      </w:pPr>
      <w:r w:rsidRPr="000B5B2F">
        <w:rPr>
          <w:b/>
        </w:rPr>
        <w:t xml:space="preserve">Table </w:t>
      </w:r>
      <w:r>
        <w:rPr>
          <w:b/>
        </w:rPr>
        <w:t>6</w:t>
      </w:r>
      <w:r w:rsidRPr="000B5B2F">
        <w:rPr>
          <w:b/>
        </w:rPr>
        <w:t xml:space="preserve">: </w:t>
      </w:r>
      <w:r w:rsidRPr="00416613">
        <w:rPr>
          <w:b/>
        </w:rPr>
        <w:t>Quantity of materials in kg for 1m</w:t>
      </w:r>
      <w:r w:rsidRPr="005131E4">
        <w:rPr>
          <w:b/>
          <w:vertAlign w:val="superscript"/>
        </w:rPr>
        <w:t>3</w:t>
      </w:r>
      <w:r w:rsidRPr="00416613">
        <w:rPr>
          <w:b/>
        </w:rPr>
        <w:t>, M40 grade concrete grade production</w:t>
      </w:r>
    </w:p>
    <w:tbl>
      <w:tblPr>
        <w:tblW w:w="8578" w:type="dxa"/>
        <w:jc w:val="center"/>
        <w:tblInd w:w="-536" w:type="dxa"/>
        <w:tblLook w:val="04A0"/>
      </w:tblPr>
      <w:tblGrid>
        <w:gridCol w:w="1591"/>
        <w:gridCol w:w="761"/>
        <w:gridCol w:w="883"/>
        <w:gridCol w:w="1472"/>
        <w:gridCol w:w="1233"/>
        <w:gridCol w:w="1260"/>
        <w:gridCol w:w="1378"/>
      </w:tblGrid>
      <w:tr w:rsidR="00345C35" w:rsidRPr="009C1A67" w:rsidTr="00345C35">
        <w:trPr>
          <w:trHeight w:val="350"/>
          <w:jc w:val="center"/>
        </w:trPr>
        <w:tc>
          <w:tcPr>
            <w:tcW w:w="159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16613" w:rsidRPr="005131E4" w:rsidRDefault="00416613" w:rsidP="00345C35">
            <w:pPr>
              <w:rPr>
                <w:b/>
                <w:bCs/>
                <w:color w:val="000000"/>
              </w:rPr>
            </w:pPr>
            <w:r w:rsidRPr="005131E4">
              <w:rPr>
                <w:b/>
                <w:bCs/>
                <w:color w:val="000000"/>
                <w:lang w:val="en-IN" w:eastAsia="en-IN"/>
              </w:rPr>
              <w:t>T</w:t>
            </w:r>
            <w:r w:rsidR="00AE6E2B">
              <w:rPr>
                <w:b/>
                <w:bCs/>
                <w:color w:val="000000"/>
                <w:lang w:val="en-IN" w:eastAsia="en-IN"/>
              </w:rPr>
              <w:t xml:space="preserve">arget </w:t>
            </w:r>
            <w:r w:rsidRPr="005131E4">
              <w:rPr>
                <w:b/>
                <w:bCs/>
                <w:color w:val="000000"/>
                <w:lang w:val="en-IN" w:eastAsia="en-IN"/>
              </w:rPr>
              <w:t>M</w:t>
            </w:r>
            <w:r w:rsidR="00AE6E2B">
              <w:rPr>
                <w:b/>
                <w:bCs/>
                <w:color w:val="000000"/>
                <w:lang w:val="en-IN" w:eastAsia="en-IN"/>
              </w:rPr>
              <w:t xml:space="preserve">ean </w:t>
            </w:r>
            <w:r w:rsidRPr="005131E4">
              <w:rPr>
                <w:b/>
                <w:bCs/>
                <w:color w:val="000000"/>
                <w:lang w:val="en-IN" w:eastAsia="en-IN"/>
              </w:rPr>
              <w:t>S</w:t>
            </w:r>
            <w:r w:rsidR="00AE6E2B">
              <w:rPr>
                <w:b/>
                <w:bCs/>
                <w:color w:val="000000"/>
                <w:lang w:val="en-IN" w:eastAsia="en-IN"/>
              </w:rPr>
              <w:t>trength</w:t>
            </w:r>
            <w:r w:rsidRPr="005131E4">
              <w:rPr>
                <w:b/>
                <w:bCs/>
                <w:color w:val="000000"/>
                <w:lang w:val="en-IN" w:eastAsia="en-IN"/>
              </w:rPr>
              <w:t xml:space="preserve">        =  48.25 MPa</w:t>
            </w:r>
          </w:p>
        </w:tc>
        <w:tc>
          <w:tcPr>
            <w:tcW w:w="76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16613" w:rsidRPr="005131E4" w:rsidRDefault="006A01AB" w:rsidP="00345C35">
            <w:pPr>
              <w:rPr>
                <w:b/>
                <w:bCs/>
                <w:color w:val="000000"/>
              </w:rPr>
            </w:pPr>
            <w:r>
              <w:rPr>
                <w:b/>
                <w:bCs/>
                <w:color w:val="000000"/>
                <w:lang w:val="en-IN"/>
              </w:rPr>
              <w:t>Water in</w:t>
            </w:r>
            <w:r w:rsidR="00345C35">
              <w:rPr>
                <w:b/>
                <w:bCs/>
                <w:color w:val="000000"/>
                <w:lang w:val="en-IN"/>
              </w:rPr>
              <w:t xml:space="preserve">             L</w:t>
            </w:r>
            <w:r w:rsidR="00416613" w:rsidRPr="005131E4">
              <w:rPr>
                <w:b/>
                <w:bCs/>
                <w:color w:val="000000"/>
                <w:lang w:val="en-IN"/>
              </w:rPr>
              <w:t>it</w:t>
            </w:r>
            <w:r>
              <w:rPr>
                <w:b/>
                <w:bCs/>
                <w:color w:val="000000"/>
                <w:lang w:val="en-IN"/>
              </w:rPr>
              <w:t>ers</w:t>
            </w:r>
          </w:p>
        </w:tc>
        <w:tc>
          <w:tcPr>
            <w:tcW w:w="88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16613" w:rsidRPr="005131E4" w:rsidRDefault="00416613" w:rsidP="006A01AB">
            <w:pPr>
              <w:rPr>
                <w:b/>
                <w:bCs/>
                <w:color w:val="000000"/>
              </w:rPr>
            </w:pPr>
            <w:r w:rsidRPr="005131E4">
              <w:rPr>
                <w:b/>
                <w:bCs/>
                <w:color w:val="000000"/>
                <w:lang w:val="en-IN"/>
              </w:rPr>
              <w:t>C</w:t>
            </w:r>
            <w:r w:rsidR="006A01AB">
              <w:rPr>
                <w:b/>
                <w:bCs/>
                <w:color w:val="000000"/>
                <w:lang w:val="en-IN"/>
              </w:rPr>
              <w:t>ement</w:t>
            </w:r>
            <w:r w:rsidRPr="005131E4">
              <w:rPr>
                <w:b/>
                <w:bCs/>
                <w:color w:val="000000"/>
                <w:lang w:val="en-IN"/>
              </w:rPr>
              <w:t xml:space="preserve"> (kg)</w:t>
            </w:r>
          </w:p>
        </w:tc>
        <w:tc>
          <w:tcPr>
            <w:tcW w:w="1472" w:type="dxa"/>
            <w:tcBorders>
              <w:top w:val="single" w:sz="4" w:space="0" w:color="auto"/>
              <w:left w:val="nil"/>
              <w:bottom w:val="single" w:sz="4" w:space="0" w:color="auto"/>
              <w:right w:val="single" w:sz="4" w:space="0" w:color="auto"/>
            </w:tcBorders>
            <w:shd w:val="clear" w:color="auto" w:fill="auto"/>
            <w:vAlign w:val="bottom"/>
            <w:hideMark/>
          </w:tcPr>
          <w:p w:rsidR="00416613" w:rsidRPr="005131E4" w:rsidRDefault="00416613" w:rsidP="006A01AB">
            <w:pPr>
              <w:rPr>
                <w:b/>
                <w:bCs/>
                <w:color w:val="000000"/>
              </w:rPr>
            </w:pPr>
            <w:r w:rsidRPr="005131E4">
              <w:rPr>
                <w:b/>
                <w:bCs/>
                <w:color w:val="000000"/>
                <w:lang w:val="en-IN" w:eastAsia="en-IN"/>
              </w:rPr>
              <w:t>F</w:t>
            </w:r>
            <w:r w:rsidR="006A01AB">
              <w:rPr>
                <w:b/>
                <w:bCs/>
                <w:color w:val="000000"/>
                <w:lang w:val="en-IN" w:eastAsia="en-IN"/>
              </w:rPr>
              <w:t>ine</w:t>
            </w:r>
            <w:r w:rsidR="00345C35">
              <w:rPr>
                <w:b/>
                <w:bCs/>
                <w:color w:val="000000"/>
                <w:lang w:val="en-IN" w:eastAsia="en-IN"/>
              </w:rPr>
              <w:t xml:space="preserve"> </w:t>
            </w:r>
            <w:r w:rsidRPr="005131E4">
              <w:rPr>
                <w:b/>
                <w:bCs/>
                <w:color w:val="000000"/>
                <w:lang w:val="en-IN" w:eastAsia="en-IN"/>
              </w:rPr>
              <w:t>A</w:t>
            </w:r>
            <w:r w:rsidR="006A01AB">
              <w:rPr>
                <w:b/>
                <w:bCs/>
                <w:color w:val="000000"/>
                <w:lang w:val="en-IN" w:eastAsia="en-IN"/>
              </w:rPr>
              <w:t>ggregate</w:t>
            </w:r>
          </w:p>
        </w:tc>
        <w:tc>
          <w:tcPr>
            <w:tcW w:w="1233" w:type="dxa"/>
            <w:tcBorders>
              <w:top w:val="single" w:sz="4" w:space="0" w:color="auto"/>
              <w:left w:val="nil"/>
              <w:bottom w:val="single" w:sz="4" w:space="0" w:color="auto"/>
              <w:right w:val="single" w:sz="4" w:space="0" w:color="auto"/>
            </w:tcBorders>
            <w:shd w:val="clear" w:color="auto" w:fill="auto"/>
            <w:vAlign w:val="bottom"/>
            <w:hideMark/>
          </w:tcPr>
          <w:p w:rsidR="00416613" w:rsidRPr="005131E4" w:rsidRDefault="00416613" w:rsidP="006A01AB">
            <w:pPr>
              <w:rPr>
                <w:b/>
                <w:bCs/>
                <w:color w:val="000000"/>
              </w:rPr>
            </w:pPr>
            <w:r w:rsidRPr="005131E4">
              <w:rPr>
                <w:b/>
                <w:bCs/>
                <w:color w:val="000000"/>
                <w:lang w:val="en-IN" w:eastAsia="en-IN"/>
              </w:rPr>
              <w:t>C</w:t>
            </w:r>
            <w:r w:rsidR="006A01AB">
              <w:rPr>
                <w:b/>
                <w:bCs/>
                <w:color w:val="000000"/>
                <w:lang w:val="en-IN" w:eastAsia="en-IN"/>
              </w:rPr>
              <w:t xml:space="preserve">oarse </w:t>
            </w:r>
            <w:r w:rsidRPr="005131E4">
              <w:rPr>
                <w:b/>
                <w:bCs/>
                <w:color w:val="000000"/>
                <w:lang w:val="en-IN" w:eastAsia="en-IN"/>
              </w:rPr>
              <w:t>A</w:t>
            </w:r>
            <w:r w:rsidR="006A01AB">
              <w:rPr>
                <w:b/>
                <w:bCs/>
                <w:color w:val="000000"/>
                <w:lang w:val="en-IN" w:eastAsia="en-IN"/>
              </w:rPr>
              <w:t>ggregate</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416613" w:rsidRPr="005131E4" w:rsidRDefault="00416613" w:rsidP="006A01AB">
            <w:pPr>
              <w:rPr>
                <w:b/>
                <w:bCs/>
                <w:color w:val="000000"/>
              </w:rPr>
            </w:pPr>
            <w:r w:rsidRPr="005131E4">
              <w:rPr>
                <w:b/>
                <w:bCs/>
                <w:color w:val="000000"/>
                <w:lang w:val="en-IN" w:eastAsia="en-IN"/>
              </w:rPr>
              <w:t>S</w:t>
            </w:r>
            <w:r w:rsidR="006A01AB">
              <w:rPr>
                <w:b/>
                <w:bCs/>
                <w:color w:val="000000"/>
                <w:lang w:val="en-IN" w:eastAsia="en-IN"/>
              </w:rPr>
              <w:t xml:space="preserve">uper </w:t>
            </w:r>
            <w:r w:rsidRPr="005131E4">
              <w:rPr>
                <w:b/>
                <w:bCs/>
                <w:color w:val="000000"/>
                <w:lang w:val="en-IN" w:eastAsia="en-IN"/>
              </w:rPr>
              <w:t>P</w:t>
            </w:r>
            <w:r w:rsidR="006A01AB">
              <w:rPr>
                <w:b/>
                <w:bCs/>
                <w:color w:val="000000"/>
                <w:lang w:val="en-IN" w:eastAsia="en-IN"/>
              </w:rPr>
              <w:t>lasticizer</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16613" w:rsidRPr="005131E4" w:rsidRDefault="00416613" w:rsidP="006A01AB">
            <w:pPr>
              <w:rPr>
                <w:b/>
                <w:bCs/>
                <w:color w:val="000000"/>
              </w:rPr>
            </w:pPr>
            <w:r w:rsidRPr="005131E4">
              <w:rPr>
                <w:b/>
                <w:bCs/>
                <w:color w:val="000000"/>
                <w:lang w:val="en-IN" w:eastAsia="en-IN"/>
              </w:rPr>
              <w:t>W:C</w:t>
            </w:r>
          </w:p>
        </w:tc>
      </w:tr>
      <w:tr w:rsidR="00345C35" w:rsidRPr="009C1A67" w:rsidTr="00345C35">
        <w:trPr>
          <w:trHeight w:val="242"/>
          <w:jc w:val="center"/>
        </w:trPr>
        <w:tc>
          <w:tcPr>
            <w:tcW w:w="1591" w:type="dxa"/>
            <w:vMerge/>
            <w:tcBorders>
              <w:top w:val="single" w:sz="4" w:space="0" w:color="auto"/>
              <w:left w:val="single" w:sz="4" w:space="0" w:color="auto"/>
              <w:bottom w:val="single" w:sz="4" w:space="0" w:color="auto"/>
              <w:right w:val="single" w:sz="4" w:space="0" w:color="auto"/>
            </w:tcBorders>
            <w:vAlign w:val="center"/>
            <w:hideMark/>
          </w:tcPr>
          <w:p w:rsidR="00416613" w:rsidRPr="005131E4" w:rsidRDefault="00416613" w:rsidP="006A01AB">
            <w:pPr>
              <w:rPr>
                <w:b/>
                <w:bCs/>
                <w:color w:val="000000"/>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rsidR="00416613" w:rsidRPr="005131E4" w:rsidRDefault="00416613" w:rsidP="006A01AB">
            <w:pPr>
              <w:rPr>
                <w:b/>
                <w:bCs/>
                <w:color w:val="000000"/>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rsidR="00416613" w:rsidRPr="005131E4" w:rsidRDefault="00416613" w:rsidP="006A01AB">
            <w:pPr>
              <w:rPr>
                <w:b/>
                <w:bCs/>
                <w:color w:val="000000"/>
              </w:rPr>
            </w:pPr>
          </w:p>
        </w:tc>
        <w:tc>
          <w:tcPr>
            <w:tcW w:w="1472" w:type="dxa"/>
            <w:tcBorders>
              <w:top w:val="nil"/>
              <w:left w:val="nil"/>
              <w:bottom w:val="single" w:sz="4" w:space="0" w:color="auto"/>
              <w:right w:val="single" w:sz="4" w:space="0" w:color="auto"/>
            </w:tcBorders>
            <w:shd w:val="clear" w:color="auto" w:fill="auto"/>
            <w:vAlign w:val="bottom"/>
            <w:hideMark/>
          </w:tcPr>
          <w:p w:rsidR="00416613" w:rsidRPr="005131E4" w:rsidRDefault="00416613" w:rsidP="006A01AB">
            <w:pPr>
              <w:rPr>
                <w:b/>
                <w:bCs/>
                <w:color w:val="000000"/>
              </w:rPr>
            </w:pPr>
            <w:r w:rsidRPr="005131E4">
              <w:rPr>
                <w:b/>
                <w:bCs/>
                <w:color w:val="000000"/>
                <w:lang w:val="en-IN" w:eastAsia="en-IN"/>
              </w:rPr>
              <w:t>(kg)</w:t>
            </w:r>
          </w:p>
        </w:tc>
        <w:tc>
          <w:tcPr>
            <w:tcW w:w="1233" w:type="dxa"/>
            <w:tcBorders>
              <w:top w:val="nil"/>
              <w:left w:val="nil"/>
              <w:bottom w:val="single" w:sz="4" w:space="0" w:color="auto"/>
              <w:right w:val="single" w:sz="4" w:space="0" w:color="auto"/>
            </w:tcBorders>
            <w:shd w:val="clear" w:color="auto" w:fill="auto"/>
            <w:vAlign w:val="bottom"/>
            <w:hideMark/>
          </w:tcPr>
          <w:p w:rsidR="00416613" w:rsidRPr="005131E4" w:rsidRDefault="00416613" w:rsidP="006A01AB">
            <w:pPr>
              <w:rPr>
                <w:b/>
                <w:bCs/>
                <w:color w:val="000000"/>
              </w:rPr>
            </w:pPr>
            <w:r w:rsidRPr="005131E4">
              <w:rPr>
                <w:b/>
                <w:bCs/>
                <w:color w:val="000000"/>
                <w:lang w:val="en-IN" w:eastAsia="en-IN"/>
              </w:rPr>
              <w:t>(kg)</w:t>
            </w:r>
          </w:p>
        </w:tc>
        <w:tc>
          <w:tcPr>
            <w:tcW w:w="1260" w:type="dxa"/>
            <w:tcBorders>
              <w:top w:val="nil"/>
              <w:left w:val="nil"/>
              <w:bottom w:val="single" w:sz="4" w:space="0" w:color="auto"/>
              <w:right w:val="single" w:sz="4" w:space="0" w:color="auto"/>
            </w:tcBorders>
            <w:shd w:val="clear" w:color="auto" w:fill="auto"/>
            <w:vAlign w:val="bottom"/>
            <w:hideMark/>
          </w:tcPr>
          <w:p w:rsidR="00416613" w:rsidRPr="005131E4" w:rsidRDefault="00416613" w:rsidP="006A01AB">
            <w:pPr>
              <w:rPr>
                <w:b/>
                <w:bCs/>
                <w:color w:val="000000"/>
              </w:rPr>
            </w:pPr>
            <w:r w:rsidRPr="005131E4">
              <w:rPr>
                <w:b/>
                <w:bCs/>
                <w:color w:val="000000"/>
                <w:lang w:val="en-IN" w:eastAsia="en-IN"/>
              </w:rPr>
              <w:t>(ml)</w:t>
            </w: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416613" w:rsidRPr="005131E4" w:rsidRDefault="00416613" w:rsidP="006A01AB">
            <w:pPr>
              <w:rPr>
                <w:b/>
                <w:bCs/>
                <w:color w:val="000000"/>
              </w:rPr>
            </w:pPr>
          </w:p>
        </w:tc>
      </w:tr>
      <w:tr w:rsidR="006A01AB" w:rsidRPr="009C1A67" w:rsidTr="00345C35">
        <w:trPr>
          <w:trHeight w:val="330"/>
          <w:jc w:val="center"/>
        </w:trPr>
        <w:tc>
          <w:tcPr>
            <w:tcW w:w="1591" w:type="dxa"/>
            <w:tcBorders>
              <w:top w:val="nil"/>
              <w:left w:val="single" w:sz="4" w:space="0" w:color="auto"/>
              <w:bottom w:val="single" w:sz="4" w:space="0" w:color="auto"/>
              <w:right w:val="single" w:sz="4" w:space="0" w:color="auto"/>
            </w:tcBorders>
            <w:shd w:val="clear" w:color="auto" w:fill="auto"/>
            <w:vAlign w:val="bottom"/>
            <w:hideMark/>
          </w:tcPr>
          <w:p w:rsidR="00416613" w:rsidRPr="005131E4" w:rsidRDefault="00416613" w:rsidP="006A01AB">
            <w:pPr>
              <w:rPr>
                <w:color w:val="000000"/>
              </w:rPr>
            </w:pPr>
            <w:r w:rsidRPr="005131E4">
              <w:rPr>
                <w:color w:val="000000"/>
                <w:lang w:val="en-IN" w:eastAsia="en-IN"/>
              </w:rPr>
              <w:t>1m</w:t>
            </w:r>
            <w:r w:rsidRPr="005131E4">
              <w:rPr>
                <w:color w:val="000000"/>
                <w:vertAlign w:val="superscript"/>
                <w:lang w:val="en-IN" w:eastAsia="en-IN"/>
              </w:rPr>
              <w:t>3</w:t>
            </w:r>
          </w:p>
        </w:tc>
        <w:tc>
          <w:tcPr>
            <w:tcW w:w="761" w:type="dxa"/>
            <w:tcBorders>
              <w:top w:val="nil"/>
              <w:left w:val="nil"/>
              <w:bottom w:val="single" w:sz="4" w:space="0" w:color="auto"/>
              <w:right w:val="single" w:sz="4" w:space="0" w:color="auto"/>
            </w:tcBorders>
            <w:shd w:val="clear" w:color="auto" w:fill="auto"/>
            <w:vAlign w:val="bottom"/>
            <w:hideMark/>
          </w:tcPr>
          <w:p w:rsidR="00416613" w:rsidRPr="005131E4" w:rsidRDefault="00416613" w:rsidP="006A01AB">
            <w:pPr>
              <w:rPr>
                <w:color w:val="000000"/>
              </w:rPr>
            </w:pPr>
            <w:r w:rsidRPr="005131E4">
              <w:rPr>
                <w:color w:val="000000"/>
                <w:lang w:val="en-IN" w:eastAsia="en-IN"/>
              </w:rPr>
              <w:t>146</w:t>
            </w:r>
          </w:p>
        </w:tc>
        <w:tc>
          <w:tcPr>
            <w:tcW w:w="883" w:type="dxa"/>
            <w:tcBorders>
              <w:top w:val="nil"/>
              <w:left w:val="nil"/>
              <w:bottom w:val="single" w:sz="4" w:space="0" w:color="auto"/>
              <w:right w:val="single" w:sz="4" w:space="0" w:color="auto"/>
            </w:tcBorders>
            <w:shd w:val="clear" w:color="auto" w:fill="auto"/>
            <w:vAlign w:val="bottom"/>
            <w:hideMark/>
          </w:tcPr>
          <w:p w:rsidR="00416613" w:rsidRPr="005131E4" w:rsidRDefault="00416613" w:rsidP="006A01AB">
            <w:pPr>
              <w:rPr>
                <w:color w:val="000000"/>
              </w:rPr>
            </w:pPr>
            <w:r w:rsidRPr="005131E4">
              <w:rPr>
                <w:color w:val="000000"/>
                <w:lang w:val="en-IN" w:eastAsia="en-IN"/>
              </w:rPr>
              <w:t>417</w:t>
            </w:r>
          </w:p>
        </w:tc>
        <w:tc>
          <w:tcPr>
            <w:tcW w:w="1472" w:type="dxa"/>
            <w:tcBorders>
              <w:top w:val="nil"/>
              <w:left w:val="nil"/>
              <w:bottom w:val="single" w:sz="4" w:space="0" w:color="auto"/>
              <w:right w:val="single" w:sz="4" w:space="0" w:color="auto"/>
            </w:tcBorders>
            <w:shd w:val="clear" w:color="auto" w:fill="auto"/>
            <w:vAlign w:val="bottom"/>
            <w:hideMark/>
          </w:tcPr>
          <w:p w:rsidR="00416613" w:rsidRPr="005131E4" w:rsidRDefault="00416613" w:rsidP="006A01AB">
            <w:pPr>
              <w:rPr>
                <w:color w:val="000000"/>
              </w:rPr>
            </w:pPr>
            <w:r w:rsidRPr="005131E4">
              <w:rPr>
                <w:color w:val="000000"/>
                <w:lang w:val="en-IN" w:eastAsia="en-IN"/>
              </w:rPr>
              <w:t>797</w:t>
            </w:r>
          </w:p>
        </w:tc>
        <w:tc>
          <w:tcPr>
            <w:tcW w:w="1233" w:type="dxa"/>
            <w:tcBorders>
              <w:top w:val="nil"/>
              <w:left w:val="nil"/>
              <w:bottom w:val="single" w:sz="4" w:space="0" w:color="auto"/>
              <w:right w:val="single" w:sz="4" w:space="0" w:color="auto"/>
            </w:tcBorders>
            <w:shd w:val="clear" w:color="auto" w:fill="auto"/>
            <w:vAlign w:val="bottom"/>
            <w:hideMark/>
          </w:tcPr>
          <w:p w:rsidR="00416613" w:rsidRPr="005131E4" w:rsidRDefault="00416613" w:rsidP="006A01AB">
            <w:pPr>
              <w:rPr>
                <w:color w:val="000000"/>
              </w:rPr>
            </w:pPr>
            <w:r w:rsidRPr="005131E4">
              <w:rPr>
                <w:color w:val="000000"/>
                <w:lang w:val="en-IN" w:eastAsia="en-IN"/>
              </w:rPr>
              <w:t>1211</w:t>
            </w:r>
          </w:p>
        </w:tc>
        <w:tc>
          <w:tcPr>
            <w:tcW w:w="1260" w:type="dxa"/>
            <w:tcBorders>
              <w:top w:val="nil"/>
              <w:left w:val="nil"/>
              <w:bottom w:val="single" w:sz="4" w:space="0" w:color="auto"/>
              <w:right w:val="single" w:sz="4" w:space="0" w:color="auto"/>
            </w:tcBorders>
            <w:shd w:val="clear" w:color="auto" w:fill="auto"/>
            <w:vAlign w:val="bottom"/>
            <w:hideMark/>
          </w:tcPr>
          <w:p w:rsidR="00416613" w:rsidRPr="005131E4" w:rsidRDefault="00416613" w:rsidP="006A01AB">
            <w:pPr>
              <w:rPr>
                <w:color w:val="000000"/>
              </w:rPr>
            </w:pPr>
            <w:r w:rsidRPr="005131E4">
              <w:rPr>
                <w:color w:val="000000"/>
                <w:lang w:val="en-IN" w:eastAsia="en-IN"/>
              </w:rPr>
              <w:t>4170</w:t>
            </w:r>
          </w:p>
        </w:tc>
        <w:tc>
          <w:tcPr>
            <w:tcW w:w="1378" w:type="dxa"/>
            <w:tcBorders>
              <w:top w:val="nil"/>
              <w:left w:val="nil"/>
              <w:bottom w:val="single" w:sz="4" w:space="0" w:color="auto"/>
              <w:right w:val="single" w:sz="4" w:space="0" w:color="auto"/>
            </w:tcBorders>
            <w:shd w:val="clear" w:color="auto" w:fill="auto"/>
            <w:vAlign w:val="bottom"/>
            <w:hideMark/>
          </w:tcPr>
          <w:p w:rsidR="00416613" w:rsidRPr="005131E4" w:rsidRDefault="00416613" w:rsidP="006A01AB">
            <w:pPr>
              <w:rPr>
                <w:color w:val="000000"/>
              </w:rPr>
            </w:pPr>
            <w:r w:rsidRPr="005131E4">
              <w:rPr>
                <w:color w:val="000000"/>
                <w:lang w:val="en-IN" w:eastAsia="en-IN"/>
              </w:rPr>
              <w:t>0.35</w:t>
            </w:r>
          </w:p>
        </w:tc>
      </w:tr>
    </w:tbl>
    <w:p w:rsidR="00416613" w:rsidRPr="00416613" w:rsidRDefault="00416613" w:rsidP="00416613">
      <w:pPr>
        <w:jc w:val="both"/>
      </w:pPr>
    </w:p>
    <w:p w:rsidR="00416613" w:rsidRDefault="00416613" w:rsidP="00416613">
      <w:pPr>
        <w:pStyle w:val="Heading3"/>
      </w:pPr>
      <w:r>
        <w:t>Preparation and Casting of Specimens</w:t>
      </w:r>
    </w:p>
    <w:p w:rsidR="00896137" w:rsidRDefault="00896137" w:rsidP="00896137">
      <w:pPr>
        <w:ind w:firstLine="288"/>
        <w:jc w:val="both"/>
      </w:pPr>
      <w:r w:rsidRPr="004478DD">
        <w:rPr>
          <w:bCs/>
        </w:rPr>
        <w:t xml:space="preserve">Proper preparation and casting of concrete specimens are essential parts of testing process in this section, we will show the sum of figs which are represented as preparation and casting of specimens. </w:t>
      </w:r>
      <w:r w:rsidRPr="004478DD">
        <w:t xml:space="preserve">All the specimens </w:t>
      </w:r>
      <w:r w:rsidRPr="004478DD">
        <w:lastRenderedPageBreak/>
        <w:t xml:space="preserve">were cast having mix proportions as given in Tables </w:t>
      </w:r>
      <w:r w:rsidR="005131E4">
        <w:t>6</w:t>
      </w:r>
      <w:r w:rsidRPr="004478DD">
        <w:t>. For these mix proportions, required quantities of materials were weighed.</w:t>
      </w:r>
    </w:p>
    <w:p w:rsidR="00896137" w:rsidRPr="00402841" w:rsidRDefault="00896137" w:rsidP="00896137">
      <w:pPr>
        <w:pStyle w:val="Heading1"/>
        <w:spacing w:before="0" w:after="0"/>
        <w:ind w:firstLine="0"/>
        <w:rPr>
          <w:rFonts w:eastAsia="MS Mincho"/>
        </w:rPr>
      </w:pPr>
      <w:r>
        <w:rPr>
          <w:rFonts w:ascii="Times New Roman" w:eastAsia="MS Mincho" w:hAnsi="Times New Roman"/>
          <w:sz w:val="20"/>
          <w:szCs w:val="20"/>
        </w:rPr>
        <w:t>RESULTS AND DISCUSSION</w:t>
      </w:r>
    </w:p>
    <w:p w:rsidR="00896137" w:rsidRPr="00767BF4" w:rsidRDefault="00896137" w:rsidP="00896137">
      <w:pPr>
        <w:rPr>
          <w:rFonts w:eastAsia="MS Mincho"/>
        </w:rPr>
      </w:pPr>
    </w:p>
    <w:p w:rsidR="00896137" w:rsidRPr="004478DD" w:rsidRDefault="00896137" w:rsidP="00896137">
      <w:pPr>
        <w:pStyle w:val="Default"/>
        <w:jc w:val="both"/>
        <w:rPr>
          <w:rFonts w:ascii="Times New Roman" w:hAnsi="Times New Roman" w:cs="Times New Roman"/>
          <w:sz w:val="18"/>
          <w:szCs w:val="18"/>
        </w:rPr>
      </w:pPr>
      <w:r>
        <w:tab/>
      </w:r>
      <w:r>
        <w:tab/>
      </w:r>
      <w:r w:rsidRPr="004478DD">
        <w:rPr>
          <w:rFonts w:ascii="Times New Roman" w:hAnsi="Times New Roman" w:cs="Times New Roman"/>
          <w:sz w:val="20"/>
          <w:szCs w:val="20"/>
        </w:rPr>
        <w:t>The test has performed by considering 0.35</w:t>
      </w:r>
      <w:r w:rsidRPr="004478DD">
        <w:rPr>
          <w:rFonts w:ascii="Times New Roman" w:hAnsi="Times New Roman" w:cs="Times New Roman"/>
          <w:spacing w:val="60"/>
          <w:sz w:val="20"/>
          <w:szCs w:val="20"/>
        </w:rPr>
        <w:t xml:space="preserve"> </w:t>
      </w:r>
      <w:r w:rsidRPr="004478DD">
        <w:rPr>
          <w:rFonts w:ascii="Times New Roman" w:hAnsi="Times New Roman" w:cs="Times New Roman"/>
          <w:sz w:val="20"/>
          <w:szCs w:val="20"/>
        </w:rPr>
        <w:t>water</w:t>
      </w:r>
      <w:r w:rsidR="00D231F3">
        <w:rPr>
          <w:rFonts w:ascii="Times New Roman" w:hAnsi="Times New Roman" w:cs="Times New Roman"/>
          <w:sz w:val="20"/>
          <w:szCs w:val="20"/>
        </w:rPr>
        <w:t>-</w:t>
      </w:r>
      <w:r w:rsidRPr="004478DD">
        <w:rPr>
          <w:rFonts w:ascii="Times New Roman" w:hAnsi="Times New Roman" w:cs="Times New Roman"/>
          <w:sz w:val="20"/>
          <w:szCs w:val="20"/>
        </w:rPr>
        <w:t>cement ratio based varying</w:t>
      </w:r>
      <w:r w:rsidRPr="004478DD">
        <w:rPr>
          <w:rFonts w:ascii="Times New Roman" w:hAnsi="Times New Roman" w:cs="Times New Roman"/>
          <w:spacing w:val="-3"/>
          <w:sz w:val="20"/>
          <w:szCs w:val="20"/>
        </w:rPr>
        <w:t xml:space="preserve"> </w:t>
      </w:r>
      <w:r w:rsidRPr="004478DD">
        <w:rPr>
          <w:rFonts w:ascii="Times New Roman" w:hAnsi="Times New Roman" w:cs="Times New Roman"/>
          <w:sz w:val="20"/>
          <w:szCs w:val="20"/>
        </w:rPr>
        <w:t>percentage</w:t>
      </w:r>
      <w:r w:rsidRPr="004478DD">
        <w:rPr>
          <w:rFonts w:ascii="Times New Roman" w:hAnsi="Times New Roman" w:cs="Times New Roman"/>
          <w:spacing w:val="-1"/>
          <w:sz w:val="20"/>
          <w:szCs w:val="20"/>
        </w:rPr>
        <w:t xml:space="preserve"> </w:t>
      </w:r>
      <w:r w:rsidRPr="004478DD">
        <w:rPr>
          <w:rFonts w:ascii="Times New Roman" w:hAnsi="Times New Roman" w:cs="Times New Roman"/>
          <w:sz w:val="20"/>
          <w:szCs w:val="20"/>
        </w:rPr>
        <w:t>of</w:t>
      </w:r>
      <w:r w:rsidRPr="004478DD">
        <w:rPr>
          <w:rFonts w:ascii="Times New Roman" w:hAnsi="Times New Roman" w:cs="Times New Roman"/>
          <w:spacing w:val="-1"/>
          <w:sz w:val="20"/>
          <w:szCs w:val="20"/>
        </w:rPr>
        <w:t xml:space="preserve"> </w:t>
      </w:r>
      <w:r w:rsidRPr="004478DD">
        <w:rPr>
          <w:rFonts w:ascii="Times New Roman" w:hAnsi="Times New Roman" w:cs="Times New Roman"/>
          <w:sz w:val="20"/>
          <w:szCs w:val="20"/>
        </w:rPr>
        <w:t xml:space="preserve">super plasticizer. </w:t>
      </w:r>
      <w:r w:rsidR="00FA1AFD" w:rsidRPr="00FA1AFD">
        <w:rPr>
          <w:rFonts w:ascii="Times New Roman" w:hAnsi="Times New Roman" w:cs="Times New Roman"/>
          <w:sz w:val="20"/>
          <w:szCs w:val="20"/>
        </w:rPr>
        <w:t>Additionally, the test was carried out on hardened concrete utili</w:t>
      </w:r>
      <w:r w:rsidR="00FA1AFD">
        <w:rPr>
          <w:rFonts w:ascii="Times New Roman" w:hAnsi="Times New Roman" w:cs="Times New Roman"/>
          <w:sz w:val="20"/>
          <w:szCs w:val="20"/>
        </w:rPr>
        <w:t>z</w:t>
      </w:r>
      <w:r w:rsidR="00FA1AFD" w:rsidRPr="00FA1AFD">
        <w:rPr>
          <w:rFonts w:ascii="Times New Roman" w:hAnsi="Times New Roman" w:cs="Times New Roman"/>
          <w:sz w:val="20"/>
          <w:szCs w:val="20"/>
        </w:rPr>
        <w:t>ing testing equipment to determine the concrete's compressive and split tensile strengths after curing for 7 and 28 days while employing various Super plasticizer dosages in the concrete mixtures.</w:t>
      </w:r>
    </w:p>
    <w:p w:rsidR="00896137" w:rsidRPr="004478DD" w:rsidRDefault="00896137" w:rsidP="00896137"/>
    <w:p w:rsidR="00416613" w:rsidRDefault="00896137" w:rsidP="00896137">
      <w:pPr>
        <w:pStyle w:val="Heading2"/>
        <w:tabs>
          <w:tab w:val="clear" w:pos="360"/>
          <w:tab w:val="num" w:pos="288"/>
        </w:tabs>
        <w:spacing w:before="0" w:after="0"/>
        <w:ind w:left="0" w:firstLine="0"/>
        <w:rPr>
          <w:b/>
          <w:i w:val="0"/>
        </w:rPr>
      </w:pPr>
      <w:r w:rsidRPr="00896137">
        <w:rPr>
          <w:b/>
          <w:i w:val="0"/>
        </w:rPr>
        <w:t>Determination of Optimum Dosage of Super plasticizer on Marsh Cone Test</w:t>
      </w:r>
    </w:p>
    <w:p w:rsidR="00896137" w:rsidRPr="004478DD" w:rsidRDefault="00B653E9" w:rsidP="00896137">
      <w:pPr>
        <w:pStyle w:val="BodyText"/>
        <w:spacing w:after="0" w:line="240" w:lineRule="auto"/>
      </w:pPr>
      <w:r w:rsidRPr="00B653E9">
        <w:t>The Marsh Cone Test was used in the study to determine the best amount of chemical admixture to add to each batch in order to compare how well OPC cement worked with the two types of SP. For a specific water to cement ratio of 0.35, super plasticizers PCE and SMF are used. A predetermined volume of paste was fed through the funnel one time, and that time was recorded. According to EN 445 and ASTM 939 94a test procedures, the test was conducted.</w:t>
      </w:r>
      <w:r w:rsidR="00896137" w:rsidRPr="004478DD">
        <w:t xml:space="preserve"> </w:t>
      </w:r>
    </w:p>
    <w:p w:rsidR="00896137" w:rsidRPr="004478DD" w:rsidRDefault="00896137" w:rsidP="00896137">
      <w:pPr>
        <w:pStyle w:val="BodyText"/>
        <w:spacing w:after="0" w:line="240" w:lineRule="auto"/>
      </w:pPr>
      <w:r w:rsidRPr="004478DD">
        <w:t>When carrying out the experimental works, Marsh Cone Time was recorded as shown in</w:t>
      </w:r>
      <w:r w:rsidRPr="004478DD">
        <w:rPr>
          <w:spacing w:val="1"/>
        </w:rPr>
        <w:t xml:space="preserve"> </w:t>
      </w:r>
      <w:r w:rsidRPr="004478DD">
        <w:t xml:space="preserve">Table </w:t>
      </w:r>
      <w:r w:rsidR="008F53F8">
        <w:t>7</w:t>
      </w:r>
      <w:r w:rsidRPr="004478DD">
        <w:t xml:space="preserve"> and Table </w:t>
      </w:r>
      <w:r w:rsidR="008F53F8">
        <w:t>8 i</w:t>
      </w:r>
      <w:r w:rsidRPr="004478DD">
        <w:t xml:space="preserve">n Figure </w:t>
      </w:r>
      <w:r w:rsidR="008F53F8">
        <w:t>2,</w:t>
      </w:r>
      <w:r w:rsidRPr="004478DD">
        <w:t xml:space="preserve"> Y axis is the Marsh Cone Time</w:t>
      </w:r>
      <w:r w:rsidRPr="004478DD">
        <w:rPr>
          <w:spacing w:val="1"/>
        </w:rPr>
        <w:t xml:space="preserve"> </w:t>
      </w:r>
      <w:r w:rsidRPr="004478DD">
        <w:t>in Seconds and X axis is Super plasticizer percentage of dosage was drawn through optimum dose ascertained.</w:t>
      </w:r>
      <w:r w:rsidRPr="004478DD">
        <w:rPr>
          <w:spacing w:val="2"/>
        </w:rPr>
        <w:t xml:space="preserve"> </w:t>
      </w:r>
      <w:r w:rsidRPr="004478DD">
        <w:t xml:space="preserve">This point </w:t>
      </w:r>
      <w:r w:rsidR="008F53F8">
        <w:t xml:space="preserve">is </w:t>
      </w:r>
      <w:r w:rsidRPr="004478DD">
        <w:t>known as “Saturation</w:t>
      </w:r>
      <w:r w:rsidRPr="004478DD">
        <w:rPr>
          <w:spacing w:val="2"/>
        </w:rPr>
        <w:t xml:space="preserve"> </w:t>
      </w:r>
      <w:r w:rsidRPr="004478DD">
        <w:t xml:space="preserve">Point”.  Figure </w:t>
      </w:r>
      <w:r w:rsidR="008F53F8">
        <w:t>2</w:t>
      </w:r>
      <w:r w:rsidRPr="004478DD">
        <w:t xml:space="preserve"> is demonstrated Marsh Cone Test experimental outputs. During performing the</w:t>
      </w:r>
      <w:r w:rsidRPr="004478DD">
        <w:rPr>
          <w:spacing w:val="1"/>
        </w:rPr>
        <w:t xml:space="preserve"> </w:t>
      </w:r>
      <w:r w:rsidRPr="004478DD">
        <w:t>test,</w:t>
      </w:r>
      <w:r w:rsidRPr="004478DD">
        <w:rPr>
          <w:spacing w:val="1"/>
        </w:rPr>
        <w:t xml:space="preserve"> </w:t>
      </w:r>
      <w:r w:rsidRPr="004478DD">
        <w:t>predetermined</w:t>
      </w:r>
      <w:r w:rsidRPr="004478DD">
        <w:rPr>
          <w:spacing w:val="1"/>
        </w:rPr>
        <w:t xml:space="preserve"> </w:t>
      </w:r>
      <w:r w:rsidRPr="004478DD">
        <w:t>volume</w:t>
      </w:r>
      <w:r w:rsidRPr="004478DD">
        <w:rPr>
          <w:spacing w:val="1"/>
        </w:rPr>
        <w:t xml:space="preserve"> </w:t>
      </w:r>
      <w:r w:rsidRPr="004478DD">
        <w:t>of</w:t>
      </w:r>
      <w:r w:rsidRPr="004478DD">
        <w:rPr>
          <w:spacing w:val="1"/>
        </w:rPr>
        <w:t xml:space="preserve"> </w:t>
      </w:r>
      <w:r w:rsidRPr="004478DD">
        <w:t>paste</w:t>
      </w:r>
      <w:r w:rsidRPr="004478DD">
        <w:rPr>
          <w:spacing w:val="1"/>
        </w:rPr>
        <w:t xml:space="preserve"> </w:t>
      </w:r>
      <w:r w:rsidRPr="004478DD">
        <w:t>poured</w:t>
      </w:r>
      <w:r w:rsidRPr="004478DD">
        <w:rPr>
          <w:spacing w:val="1"/>
        </w:rPr>
        <w:t xml:space="preserve"> </w:t>
      </w:r>
      <w:r w:rsidRPr="004478DD">
        <w:t>into</w:t>
      </w:r>
      <w:r w:rsidRPr="004478DD">
        <w:rPr>
          <w:spacing w:val="1"/>
        </w:rPr>
        <w:t xml:space="preserve"> </w:t>
      </w:r>
      <w:r w:rsidRPr="004478DD">
        <w:t>metal</w:t>
      </w:r>
      <w:r w:rsidRPr="004478DD">
        <w:rPr>
          <w:spacing w:val="1"/>
        </w:rPr>
        <w:t xml:space="preserve"> </w:t>
      </w:r>
      <w:r w:rsidRPr="004478DD">
        <w:t>cone</w:t>
      </w:r>
      <w:r w:rsidRPr="004478DD">
        <w:rPr>
          <w:spacing w:val="1"/>
        </w:rPr>
        <w:t xml:space="preserve"> </w:t>
      </w:r>
      <w:r w:rsidRPr="004478DD">
        <w:t>and</w:t>
      </w:r>
      <w:r w:rsidRPr="004478DD">
        <w:rPr>
          <w:spacing w:val="1"/>
        </w:rPr>
        <w:t xml:space="preserve"> </w:t>
      </w:r>
      <w:r w:rsidRPr="004478DD">
        <w:t>the</w:t>
      </w:r>
      <w:r w:rsidRPr="004478DD">
        <w:rPr>
          <w:spacing w:val="1"/>
        </w:rPr>
        <w:t xml:space="preserve"> </w:t>
      </w:r>
      <w:r w:rsidRPr="004478DD">
        <w:t>time</w:t>
      </w:r>
      <w:r w:rsidRPr="004478DD">
        <w:rPr>
          <w:spacing w:val="1"/>
        </w:rPr>
        <w:t xml:space="preserve"> </w:t>
      </w:r>
      <w:r w:rsidRPr="004478DD">
        <w:t>required</w:t>
      </w:r>
      <w:r w:rsidRPr="004478DD">
        <w:rPr>
          <w:spacing w:val="1"/>
        </w:rPr>
        <w:t xml:space="preserve"> </w:t>
      </w:r>
      <w:r w:rsidRPr="004478DD">
        <w:t>is</w:t>
      </w:r>
      <w:r w:rsidRPr="004478DD">
        <w:rPr>
          <w:spacing w:val="1"/>
        </w:rPr>
        <w:t xml:space="preserve"> </w:t>
      </w:r>
      <w:r w:rsidRPr="004478DD">
        <w:t>measured using stopwatch. The test was carried out using OPC – 53 grade cement with</w:t>
      </w:r>
      <w:r w:rsidRPr="004478DD">
        <w:rPr>
          <w:spacing w:val="1"/>
        </w:rPr>
        <w:t xml:space="preserve"> </w:t>
      </w:r>
      <w:r w:rsidRPr="004478DD">
        <w:t>PCE for</w:t>
      </w:r>
      <w:r w:rsidRPr="004478DD">
        <w:rPr>
          <w:spacing w:val="-1"/>
        </w:rPr>
        <w:t xml:space="preserve"> </w:t>
      </w:r>
      <w:r w:rsidRPr="004478DD">
        <w:t>constant w/c ratio of 0.35.</w:t>
      </w:r>
    </w:p>
    <w:p w:rsidR="00896137" w:rsidRDefault="00896137" w:rsidP="00896137">
      <w:pPr>
        <w:ind w:firstLine="288"/>
        <w:jc w:val="both"/>
      </w:pPr>
      <w:r w:rsidRPr="004478DD">
        <w:t xml:space="preserve">From Table </w:t>
      </w:r>
      <w:r w:rsidR="00B653E9">
        <w:t>7</w:t>
      </w:r>
      <w:r w:rsidRPr="004478DD">
        <w:t xml:space="preserve"> the lowest the Marsh Cone</w:t>
      </w:r>
      <w:r w:rsidRPr="004478DD">
        <w:rPr>
          <w:spacing w:val="1"/>
        </w:rPr>
        <w:t xml:space="preserve"> </w:t>
      </w:r>
      <w:r w:rsidRPr="004478DD">
        <w:t>Time (MCT1) is 32</w:t>
      </w:r>
      <w:r w:rsidRPr="004478DD">
        <w:rPr>
          <w:spacing w:val="1"/>
        </w:rPr>
        <w:t xml:space="preserve"> </w:t>
      </w:r>
      <w:r w:rsidRPr="004478DD">
        <w:t>sec</w:t>
      </w:r>
      <w:r w:rsidRPr="004478DD">
        <w:rPr>
          <w:spacing w:val="1"/>
        </w:rPr>
        <w:t xml:space="preserve"> </w:t>
      </w:r>
      <w:r w:rsidRPr="004478DD">
        <w:t>at 1%</w:t>
      </w:r>
      <w:r w:rsidRPr="004478DD">
        <w:rPr>
          <w:spacing w:val="1"/>
        </w:rPr>
        <w:t xml:space="preserve"> </w:t>
      </w:r>
      <w:r w:rsidRPr="004478DD">
        <w:t>Super plasticizer</w:t>
      </w:r>
      <w:r w:rsidRPr="004478DD">
        <w:rPr>
          <w:spacing w:val="1"/>
        </w:rPr>
        <w:t xml:space="preserve"> </w:t>
      </w:r>
      <w:r w:rsidRPr="004478DD">
        <w:t>dosage.</w:t>
      </w:r>
      <w:r w:rsidRPr="004478DD">
        <w:rPr>
          <w:spacing w:val="1"/>
        </w:rPr>
        <w:t xml:space="preserve"> </w:t>
      </w:r>
      <w:r w:rsidRPr="004478DD">
        <w:t>Therefore,</w:t>
      </w:r>
      <w:r w:rsidRPr="004478DD">
        <w:rPr>
          <w:spacing w:val="1"/>
        </w:rPr>
        <w:t xml:space="preserve"> </w:t>
      </w:r>
      <w:r w:rsidRPr="004478DD">
        <w:t>1.0%</w:t>
      </w:r>
      <w:r w:rsidRPr="004478DD">
        <w:rPr>
          <w:spacing w:val="1"/>
        </w:rPr>
        <w:t xml:space="preserve"> </w:t>
      </w:r>
      <w:r w:rsidRPr="004478DD">
        <w:t>is</w:t>
      </w:r>
      <w:r w:rsidRPr="004478DD">
        <w:rPr>
          <w:spacing w:val="1"/>
        </w:rPr>
        <w:t xml:space="preserve"> </w:t>
      </w:r>
      <w:r w:rsidRPr="004478DD">
        <w:t>an</w:t>
      </w:r>
      <w:r w:rsidRPr="004478DD">
        <w:rPr>
          <w:spacing w:val="1"/>
        </w:rPr>
        <w:t xml:space="preserve"> </w:t>
      </w:r>
      <w:r w:rsidRPr="004478DD">
        <w:t>optimum</w:t>
      </w:r>
      <w:r w:rsidRPr="004478DD">
        <w:rPr>
          <w:spacing w:val="1"/>
        </w:rPr>
        <w:t xml:space="preserve"> </w:t>
      </w:r>
      <w:r w:rsidRPr="004478DD">
        <w:t>dosage</w:t>
      </w:r>
      <w:r w:rsidRPr="004478DD">
        <w:rPr>
          <w:spacing w:val="1"/>
        </w:rPr>
        <w:t xml:space="preserve"> </w:t>
      </w:r>
      <w:r w:rsidRPr="004478DD">
        <w:t>for</w:t>
      </w:r>
      <w:r w:rsidRPr="004478DD">
        <w:rPr>
          <w:spacing w:val="1"/>
        </w:rPr>
        <w:t xml:space="preserve"> </w:t>
      </w:r>
      <w:r w:rsidRPr="004478DD">
        <w:t>0.35</w:t>
      </w:r>
      <w:r w:rsidRPr="004478DD">
        <w:rPr>
          <w:spacing w:val="60"/>
        </w:rPr>
        <w:t xml:space="preserve"> </w:t>
      </w:r>
      <w:r w:rsidRPr="004478DD">
        <w:t>water</w:t>
      </w:r>
      <w:r w:rsidRPr="004478DD">
        <w:rPr>
          <w:spacing w:val="1"/>
        </w:rPr>
        <w:t xml:space="preserve"> </w:t>
      </w:r>
      <w:r w:rsidRPr="004478DD">
        <w:t>cement</w:t>
      </w:r>
      <w:r w:rsidRPr="004478DD">
        <w:rPr>
          <w:spacing w:val="-1"/>
        </w:rPr>
        <w:t xml:space="preserve"> </w:t>
      </w:r>
      <w:r w:rsidRPr="004478DD">
        <w:t>ratio, as indicted</w:t>
      </w:r>
      <w:r w:rsidRPr="004478DD">
        <w:rPr>
          <w:spacing w:val="2"/>
        </w:rPr>
        <w:t xml:space="preserve"> </w:t>
      </w:r>
      <w:r w:rsidRPr="004478DD">
        <w:t>in Figure</w:t>
      </w:r>
      <w:r w:rsidRPr="004478DD">
        <w:rPr>
          <w:spacing w:val="-1"/>
        </w:rPr>
        <w:t xml:space="preserve"> </w:t>
      </w:r>
      <w:r w:rsidR="00AF5713">
        <w:rPr>
          <w:spacing w:val="-1"/>
        </w:rPr>
        <w:t>2</w:t>
      </w:r>
      <w:r w:rsidRPr="004478DD">
        <w:rPr>
          <w:position w:val="1"/>
        </w:rPr>
        <w:t>. The</w:t>
      </w:r>
      <w:r w:rsidRPr="004478DD">
        <w:rPr>
          <w:spacing w:val="1"/>
          <w:position w:val="1"/>
        </w:rPr>
        <w:t xml:space="preserve"> </w:t>
      </w:r>
      <w:r w:rsidRPr="004478DD">
        <w:rPr>
          <w:position w:val="1"/>
        </w:rPr>
        <w:t>optimum</w:t>
      </w:r>
      <w:r w:rsidRPr="004478DD">
        <w:rPr>
          <w:spacing w:val="1"/>
          <w:position w:val="1"/>
        </w:rPr>
        <w:t xml:space="preserve"> </w:t>
      </w:r>
      <w:r w:rsidRPr="004478DD">
        <w:rPr>
          <w:position w:val="1"/>
        </w:rPr>
        <w:t>dosage</w:t>
      </w:r>
      <w:r w:rsidRPr="004478DD">
        <w:rPr>
          <w:spacing w:val="1"/>
          <w:position w:val="1"/>
        </w:rPr>
        <w:t xml:space="preserve"> </w:t>
      </w:r>
      <w:r w:rsidRPr="004478DD">
        <w:rPr>
          <w:position w:val="1"/>
        </w:rPr>
        <w:t>of</w:t>
      </w:r>
      <w:r w:rsidRPr="004478DD">
        <w:rPr>
          <w:spacing w:val="1"/>
          <w:position w:val="1"/>
        </w:rPr>
        <w:t xml:space="preserve"> </w:t>
      </w:r>
      <w:r w:rsidRPr="004478DD">
        <w:rPr>
          <w:position w:val="1"/>
        </w:rPr>
        <w:t>Poly carboxylic Ether (PCE)</w:t>
      </w:r>
      <w:r w:rsidRPr="004478DD">
        <w:rPr>
          <w:spacing w:val="1"/>
        </w:rPr>
        <w:t xml:space="preserve"> </w:t>
      </w:r>
      <w:r w:rsidRPr="004478DD">
        <w:t>for</w:t>
      </w:r>
      <w:r w:rsidRPr="004478DD">
        <w:rPr>
          <w:spacing w:val="1"/>
        </w:rPr>
        <w:t xml:space="preserve"> </w:t>
      </w:r>
      <w:r w:rsidRPr="004478DD">
        <w:t>water</w:t>
      </w:r>
      <w:r w:rsidRPr="004478DD">
        <w:rPr>
          <w:spacing w:val="1"/>
        </w:rPr>
        <w:t xml:space="preserve"> </w:t>
      </w:r>
      <w:r w:rsidRPr="004478DD">
        <w:t>cement</w:t>
      </w:r>
      <w:r w:rsidRPr="004478DD">
        <w:rPr>
          <w:spacing w:val="1"/>
        </w:rPr>
        <w:t xml:space="preserve"> </w:t>
      </w:r>
      <w:r w:rsidRPr="004478DD">
        <w:t>ratio</w:t>
      </w:r>
      <w:r w:rsidRPr="004478DD">
        <w:rPr>
          <w:spacing w:val="1"/>
        </w:rPr>
        <w:t xml:space="preserve"> </w:t>
      </w:r>
      <w:r w:rsidRPr="004478DD">
        <w:t>of</w:t>
      </w:r>
      <w:r w:rsidRPr="004478DD">
        <w:rPr>
          <w:spacing w:val="1"/>
        </w:rPr>
        <w:t xml:space="preserve"> </w:t>
      </w:r>
      <w:r w:rsidRPr="004478DD">
        <w:t>0.35</w:t>
      </w:r>
      <w:r w:rsidRPr="004478DD">
        <w:rPr>
          <w:spacing w:val="1"/>
        </w:rPr>
        <w:t xml:space="preserve"> </w:t>
      </w:r>
      <w:r w:rsidRPr="004478DD">
        <w:t>is 1.0%</w:t>
      </w:r>
      <w:r w:rsidRPr="004478DD">
        <w:rPr>
          <w:spacing w:val="1"/>
        </w:rPr>
        <w:t xml:space="preserve"> </w:t>
      </w:r>
      <w:r w:rsidRPr="004478DD">
        <w:t xml:space="preserve">for OPC cement type as shown in Table </w:t>
      </w:r>
      <w:r w:rsidR="00AF5713">
        <w:t>7</w:t>
      </w:r>
      <w:r w:rsidRPr="004478DD">
        <w:t xml:space="preserve"> and Fig</w:t>
      </w:r>
      <w:r w:rsidR="00AF5713">
        <w:t>ure</w:t>
      </w:r>
      <w:r w:rsidRPr="004478DD">
        <w:t xml:space="preserve"> </w:t>
      </w:r>
      <w:r w:rsidR="00AF5713">
        <w:t xml:space="preserve">2. </w:t>
      </w:r>
      <w:r w:rsidRPr="004478DD">
        <w:t>Since,</w:t>
      </w:r>
      <w:r w:rsidRPr="004478DD">
        <w:rPr>
          <w:spacing w:val="1"/>
        </w:rPr>
        <w:t xml:space="preserve"> </w:t>
      </w:r>
      <w:r w:rsidRPr="004478DD">
        <w:t>those</w:t>
      </w:r>
      <w:r w:rsidRPr="004478DD">
        <w:rPr>
          <w:spacing w:val="1"/>
        </w:rPr>
        <w:t xml:space="preserve"> </w:t>
      </w:r>
      <w:r w:rsidRPr="004478DD">
        <w:t>are</w:t>
      </w:r>
      <w:r w:rsidRPr="004478DD">
        <w:rPr>
          <w:spacing w:val="1"/>
        </w:rPr>
        <w:t xml:space="preserve"> </w:t>
      </w:r>
      <w:r w:rsidRPr="004478DD">
        <w:t>considering</w:t>
      </w:r>
      <w:r w:rsidRPr="004478DD">
        <w:rPr>
          <w:spacing w:val="1"/>
        </w:rPr>
        <w:t xml:space="preserve"> </w:t>
      </w:r>
      <w:r w:rsidRPr="004478DD">
        <w:t>optimum</w:t>
      </w:r>
      <w:r w:rsidRPr="004478DD">
        <w:rPr>
          <w:spacing w:val="1"/>
        </w:rPr>
        <w:t xml:space="preserve"> </w:t>
      </w:r>
      <w:r w:rsidRPr="004478DD">
        <w:t>dose</w:t>
      </w:r>
      <w:r w:rsidRPr="004478DD">
        <w:rPr>
          <w:spacing w:val="1"/>
        </w:rPr>
        <w:t xml:space="preserve"> </w:t>
      </w:r>
      <w:r w:rsidRPr="004478DD">
        <w:t>of</w:t>
      </w:r>
      <w:r w:rsidRPr="004478DD">
        <w:rPr>
          <w:spacing w:val="1"/>
        </w:rPr>
        <w:t xml:space="preserve"> </w:t>
      </w:r>
      <w:r w:rsidRPr="004478DD">
        <w:t>cement</w:t>
      </w:r>
      <w:r w:rsidRPr="004478DD">
        <w:rPr>
          <w:spacing w:val="1"/>
        </w:rPr>
        <w:t xml:space="preserve"> </w:t>
      </w:r>
      <w:r w:rsidRPr="004478DD">
        <w:t>and</w:t>
      </w:r>
      <w:r w:rsidRPr="004478DD">
        <w:rPr>
          <w:spacing w:val="1"/>
        </w:rPr>
        <w:t xml:space="preserve"> </w:t>
      </w:r>
      <w:r w:rsidRPr="004478DD">
        <w:t>super plasticizer</w:t>
      </w:r>
      <w:r w:rsidRPr="004478DD">
        <w:rPr>
          <w:spacing w:val="-2"/>
        </w:rPr>
        <w:t xml:space="preserve"> </w:t>
      </w:r>
      <w:r w:rsidRPr="004478DD">
        <w:t>for</w:t>
      </w:r>
      <w:r w:rsidRPr="004478DD">
        <w:rPr>
          <w:spacing w:val="-1"/>
        </w:rPr>
        <w:t xml:space="preserve"> </w:t>
      </w:r>
      <w:r w:rsidRPr="004478DD">
        <w:t>selected water</w:t>
      </w:r>
      <w:r w:rsidRPr="004478DD">
        <w:rPr>
          <w:spacing w:val="1"/>
        </w:rPr>
        <w:t xml:space="preserve"> </w:t>
      </w:r>
      <w:r w:rsidRPr="004478DD">
        <w:t>cement</w:t>
      </w:r>
      <w:r w:rsidRPr="004478DD">
        <w:rPr>
          <w:spacing w:val="2"/>
        </w:rPr>
        <w:t xml:space="preserve"> </w:t>
      </w:r>
      <w:r w:rsidRPr="004478DD">
        <w:t>ratio.</w:t>
      </w:r>
    </w:p>
    <w:p w:rsidR="00896137" w:rsidRPr="00CF41EF" w:rsidRDefault="00896137" w:rsidP="00896137">
      <w:pPr>
        <w:rPr>
          <w:b/>
          <w:bCs/>
        </w:rPr>
      </w:pPr>
      <w:r w:rsidRPr="000B5B2F">
        <w:rPr>
          <w:b/>
        </w:rPr>
        <w:t xml:space="preserve">Table </w:t>
      </w:r>
      <w:r>
        <w:rPr>
          <w:b/>
        </w:rPr>
        <w:t>7</w:t>
      </w:r>
      <w:r w:rsidRPr="000B5B2F">
        <w:rPr>
          <w:b/>
        </w:rPr>
        <w:t xml:space="preserve">: </w:t>
      </w:r>
      <w:r w:rsidRPr="00896137">
        <w:rPr>
          <w:rFonts w:eastAsia="MS Mincho"/>
          <w:b/>
        </w:rPr>
        <w:t>Mix Proportions for Cement Paste in Marsh Cone Test using PCE super plasticizer with constant w/c of 0.3</w:t>
      </w:r>
    </w:p>
    <w:tbl>
      <w:tblPr>
        <w:tblW w:w="8077" w:type="dxa"/>
        <w:jc w:val="center"/>
        <w:tblInd w:w="-1212" w:type="dxa"/>
        <w:tblLayout w:type="fixed"/>
        <w:tblLook w:val="04A0"/>
      </w:tblPr>
      <w:tblGrid>
        <w:gridCol w:w="967"/>
        <w:gridCol w:w="1080"/>
        <w:gridCol w:w="1167"/>
        <w:gridCol w:w="990"/>
        <w:gridCol w:w="1080"/>
        <w:gridCol w:w="1170"/>
        <w:gridCol w:w="1623"/>
      </w:tblGrid>
      <w:tr w:rsidR="00896137" w:rsidRPr="009C1A67" w:rsidTr="00292E40">
        <w:trPr>
          <w:trHeight w:val="84"/>
          <w:jc w:val="center"/>
        </w:trPr>
        <w:tc>
          <w:tcPr>
            <w:tcW w:w="967" w:type="dxa"/>
            <w:tcBorders>
              <w:top w:val="single" w:sz="4" w:space="0" w:color="auto"/>
              <w:left w:val="single" w:sz="4" w:space="0" w:color="auto"/>
              <w:bottom w:val="nil"/>
              <w:right w:val="single" w:sz="4" w:space="0" w:color="auto"/>
            </w:tcBorders>
            <w:shd w:val="clear" w:color="auto" w:fill="auto"/>
            <w:hideMark/>
          </w:tcPr>
          <w:p w:rsidR="00896137" w:rsidRPr="00385B22" w:rsidRDefault="00896137" w:rsidP="00567754">
            <w:pPr>
              <w:rPr>
                <w:b/>
                <w:bCs/>
                <w:color w:val="000000"/>
                <w:sz w:val="18"/>
                <w:szCs w:val="18"/>
              </w:rPr>
            </w:pPr>
            <w:r w:rsidRPr="00385B22">
              <w:rPr>
                <w:b/>
                <w:bCs/>
                <w:color w:val="000000"/>
                <w:sz w:val="18"/>
                <w:szCs w:val="18"/>
              </w:rPr>
              <w:t>Mix No.</w:t>
            </w:r>
          </w:p>
        </w:tc>
        <w:tc>
          <w:tcPr>
            <w:tcW w:w="1080" w:type="dxa"/>
            <w:tcBorders>
              <w:top w:val="single" w:sz="4" w:space="0" w:color="auto"/>
              <w:left w:val="nil"/>
              <w:bottom w:val="nil"/>
              <w:right w:val="single" w:sz="4" w:space="0" w:color="auto"/>
            </w:tcBorders>
            <w:shd w:val="clear" w:color="auto" w:fill="auto"/>
            <w:hideMark/>
          </w:tcPr>
          <w:p w:rsidR="00896137" w:rsidRPr="00385B22" w:rsidRDefault="00896137" w:rsidP="00567754">
            <w:pPr>
              <w:rPr>
                <w:b/>
                <w:bCs/>
                <w:color w:val="000000"/>
                <w:sz w:val="18"/>
                <w:szCs w:val="18"/>
              </w:rPr>
            </w:pPr>
            <w:r w:rsidRPr="00385B22">
              <w:rPr>
                <w:b/>
                <w:bCs/>
                <w:color w:val="000000"/>
                <w:sz w:val="18"/>
                <w:szCs w:val="18"/>
              </w:rPr>
              <w:t>W/C ratio</w:t>
            </w:r>
          </w:p>
        </w:tc>
        <w:tc>
          <w:tcPr>
            <w:tcW w:w="1167" w:type="dxa"/>
            <w:tcBorders>
              <w:top w:val="single" w:sz="4" w:space="0" w:color="auto"/>
              <w:left w:val="nil"/>
              <w:bottom w:val="single" w:sz="4" w:space="0" w:color="auto"/>
              <w:right w:val="single" w:sz="4" w:space="0" w:color="auto"/>
            </w:tcBorders>
            <w:shd w:val="clear" w:color="auto" w:fill="auto"/>
            <w:hideMark/>
          </w:tcPr>
          <w:p w:rsidR="00896137" w:rsidRPr="00385B22" w:rsidRDefault="00896137" w:rsidP="00567754">
            <w:pPr>
              <w:rPr>
                <w:b/>
                <w:bCs/>
                <w:color w:val="000000"/>
                <w:sz w:val="18"/>
                <w:szCs w:val="18"/>
              </w:rPr>
            </w:pPr>
            <w:r w:rsidRPr="00385B22">
              <w:rPr>
                <w:b/>
                <w:bCs/>
                <w:color w:val="000000"/>
                <w:sz w:val="18"/>
                <w:szCs w:val="18"/>
              </w:rPr>
              <w:t>Cement   (gm)</w:t>
            </w:r>
          </w:p>
        </w:tc>
        <w:tc>
          <w:tcPr>
            <w:tcW w:w="990" w:type="dxa"/>
            <w:tcBorders>
              <w:top w:val="single" w:sz="4" w:space="0" w:color="auto"/>
              <w:left w:val="nil"/>
              <w:bottom w:val="single" w:sz="4" w:space="0" w:color="auto"/>
              <w:right w:val="single" w:sz="4" w:space="0" w:color="auto"/>
            </w:tcBorders>
            <w:shd w:val="clear" w:color="auto" w:fill="auto"/>
            <w:hideMark/>
          </w:tcPr>
          <w:p w:rsidR="00896137" w:rsidRPr="00385B22" w:rsidRDefault="00896137" w:rsidP="00567754">
            <w:pPr>
              <w:rPr>
                <w:b/>
                <w:bCs/>
                <w:color w:val="000000"/>
                <w:sz w:val="18"/>
                <w:szCs w:val="18"/>
              </w:rPr>
            </w:pPr>
            <w:r w:rsidRPr="00385B22">
              <w:rPr>
                <w:b/>
                <w:bCs/>
                <w:color w:val="000000"/>
                <w:sz w:val="18"/>
                <w:szCs w:val="18"/>
              </w:rPr>
              <w:t>Water             ml</w:t>
            </w:r>
          </w:p>
        </w:tc>
        <w:tc>
          <w:tcPr>
            <w:tcW w:w="1080" w:type="dxa"/>
            <w:tcBorders>
              <w:top w:val="single" w:sz="4" w:space="0" w:color="auto"/>
              <w:left w:val="nil"/>
              <w:bottom w:val="single" w:sz="4" w:space="0" w:color="auto"/>
              <w:right w:val="single" w:sz="4" w:space="0" w:color="auto"/>
            </w:tcBorders>
            <w:shd w:val="clear" w:color="auto" w:fill="auto"/>
            <w:hideMark/>
          </w:tcPr>
          <w:p w:rsidR="00896137" w:rsidRPr="00385B22" w:rsidRDefault="00896137" w:rsidP="00567754">
            <w:pPr>
              <w:rPr>
                <w:b/>
                <w:bCs/>
                <w:color w:val="000000"/>
                <w:sz w:val="18"/>
                <w:szCs w:val="18"/>
              </w:rPr>
            </w:pPr>
            <w:r w:rsidRPr="00385B22">
              <w:rPr>
                <w:b/>
                <w:bCs/>
                <w:color w:val="000000"/>
                <w:sz w:val="18"/>
                <w:szCs w:val="18"/>
              </w:rPr>
              <w:t>PCE dosage  ,                %</w:t>
            </w:r>
          </w:p>
        </w:tc>
        <w:tc>
          <w:tcPr>
            <w:tcW w:w="1170" w:type="dxa"/>
            <w:tcBorders>
              <w:top w:val="single" w:sz="4" w:space="0" w:color="auto"/>
              <w:left w:val="nil"/>
              <w:bottom w:val="single" w:sz="4" w:space="0" w:color="auto"/>
              <w:right w:val="single" w:sz="4" w:space="0" w:color="auto"/>
            </w:tcBorders>
            <w:shd w:val="clear" w:color="auto" w:fill="auto"/>
            <w:hideMark/>
          </w:tcPr>
          <w:p w:rsidR="00896137" w:rsidRPr="00385B22" w:rsidRDefault="00896137" w:rsidP="00567754">
            <w:pPr>
              <w:rPr>
                <w:b/>
                <w:bCs/>
                <w:color w:val="000000"/>
                <w:sz w:val="18"/>
                <w:szCs w:val="18"/>
              </w:rPr>
            </w:pPr>
            <w:r w:rsidRPr="00385B22">
              <w:rPr>
                <w:b/>
                <w:bCs/>
                <w:color w:val="000000"/>
                <w:sz w:val="18"/>
                <w:szCs w:val="18"/>
              </w:rPr>
              <w:t>PCE  in           (ml)</w:t>
            </w:r>
          </w:p>
        </w:tc>
        <w:tc>
          <w:tcPr>
            <w:tcW w:w="1623" w:type="dxa"/>
            <w:tcBorders>
              <w:top w:val="single" w:sz="4" w:space="0" w:color="auto"/>
              <w:left w:val="nil"/>
              <w:bottom w:val="single" w:sz="4" w:space="0" w:color="auto"/>
              <w:right w:val="single" w:sz="4" w:space="0" w:color="auto"/>
            </w:tcBorders>
            <w:shd w:val="clear" w:color="auto" w:fill="auto"/>
            <w:hideMark/>
          </w:tcPr>
          <w:p w:rsidR="00896137" w:rsidRPr="00385B22" w:rsidRDefault="00896137" w:rsidP="00567754">
            <w:pPr>
              <w:rPr>
                <w:b/>
                <w:bCs/>
                <w:color w:val="000000"/>
                <w:sz w:val="18"/>
                <w:szCs w:val="18"/>
              </w:rPr>
            </w:pPr>
            <w:r w:rsidRPr="00385B22">
              <w:rPr>
                <w:b/>
                <w:bCs/>
                <w:color w:val="000000"/>
                <w:sz w:val="18"/>
                <w:szCs w:val="18"/>
              </w:rPr>
              <w:t>Marsh Cone Time  (sec)</w:t>
            </w:r>
          </w:p>
        </w:tc>
      </w:tr>
      <w:tr w:rsidR="00264F77" w:rsidRPr="009C1A67" w:rsidTr="000927AC">
        <w:trPr>
          <w:trHeight w:val="23"/>
          <w:jc w:val="center"/>
        </w:trPr>
        <w:tc>
          <w:tcPr>
            <w:tcW w:w="967" w:type="dxa"/>
            <w:tcBorders>
              <w:top w:val="single" w:sz="4" w:space="0" w:color="auto"/>
              <w:left w:val="single" w:sz="4" w:space="0" w:color="auto"/>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T1</w:t>
            </w:r>
          </w:p>
        </w:tc>
        <w:tc>
          <w:tcPr>
            <w:tcW w:w="1080" w:type="dxa"/>
            <w:vMerge w:val="restart"/>
            <w:tcBorders>
              <w:top w:val="single" w:sz="4" w:space="0" w:color="auto"/>
              <w:left w:val="single" w:sz="4" w:space="0" w:color="auto"/>
              <w:right w:val="single" w:sz="4" w:space="0" w:color="auto"/>
            </w:tcBorders>
            <w:shd w:val="clear" w:color="auto" w:fill="auto"/>
            <w:vAlign w:val="center"/>
            <w:hideMark/>
          </w:tcPr>
          <w:p w:rsidR="00264F77" w:rsidRPr="001602C2" w:rsidRDefault="00264F77" w:rsidP="00567754">
            <w:pPr>
              <w:rPr>
                <w:color w:val="000000"/>
              </w:rPr>
            </w:pPr>
            <w:r w:rsidRPr="001602C2">
              <w:rPr>
                <w:color w:val="000000"/>
              </w:rPr>
              <w:t>0.35</w:t>
            </w:r>
          </w:p>
        </w:tc>
        <w:tc>
          <w:tcPr>
            <w:tcW w:w="1167"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2000</w:t>
            </w:r>
          </w:p>
        </w:tc>
        <w:tc>
          <w:tcPr>
            <w:tcW w:w="99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700</w:t>
            </w:r>
          </w:p>
        </w:tc>
        <w:tc>
          <w:tcPr>
            <w:tcW w:w="108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0</w:t>
            </w:r>
          </w:p>
        </w:tc>
        <w:tc>
          <w:tcPr>
            <w:tcW w:w="117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0</w:t>
            </w:r>
          </w:p>
        </w:tc>
        <w:tc>
          <w:tcPr>
            <w:tcW w:w="1623"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60</w:t>
            </w:r>
          </w:p>
        </w:tc>
      </w:tr>
      <w:tr w:rsidR="00264F77" w:rsidRPr="009C1A67" w:rsidTr="000927AC">
        <w:trPr>
          <w:trHeight w:val="23"/>
          <w:jc w:val="center"/>
        </w:trPr>
        <w:tc>
          <w:tcPr>
            <w:tcW w:w="967" w:type="dxa"/>
            <w:tcBorders>
              <w:top w:val="nil"/>
              <w:left w:val="single" w:sz="4" w:space="0" w:color="auto"/>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T2</w:t>
            </w:r>
          </w:p>
        </w:tc>
        <w:tc>
          <w:tcPr>
            <w:tcW w:w="1080" w:type="dxa"/>
            <w:vMerge/>
            <w:tcBorders>
              <w:left w:val="single" w:sz="4" w:space="0" w:color="auto"/>
              <w:right w:val="single" w:sz="4" w:space="0" w:color="auto"/>
            </w:tcBorders>
            <w:vAlign w:val="center"/>
            <w:hideMark/>
          </w:tcPr>
          <w:p w:rsidR="00264F77" w:rsidRPr="001602C2" w:rsidRDefault="00264F77" w:rsidP="00567754">
            <w:pPr>
              <w:rPr>
                <w:color w:val="000000"/>
              </w:rPr>
            </w:pPr>
          </w:p>
        </w:tc>
        <w:tc>
          <w:tcPr>
            <w:tcW w:w="1167"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2000</w:t>
            </w:r>
          </w:p>
        </w:tc>
        <w:tc>
          <w:tcPr>
            <w:tcW w:w="99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700</w:t>
            </w:r>
          </w:p>
        </w:tc>
        <w:tc>
          <w:tcPr>
            <w:tcW w:w="108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0.25</w:t>
            </w:r>
          </w:p>
        </w:tc>
        <w:tc>
          <w:tcPr>
            <w:tcW w:w="117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5</w:t>
            </w:r>
          </w:p>
        </w:tc>
        <w:tc>
          <w:tcPr>
            <w:tcW w:w="1623"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48</w:t>
            </w:r>
          </w:p>
        </w:tc>
      </w:tr>
      <w:tr w:rsidR="00264F77" w:rsidRPr="009C1A67" w:rsidTr="000927AC">
        <w:trPr>
          <w:trHeight w:val="23"/>
          <w:jc w:val="center"/>
        </w:trPr>
        <w:tc>
          <w:tcPr>
            <w:tcW w:w="967" w:type="dxa"/>
            <w:tcBorders>
              <w:top w:val="nil"/>
              <w:left w:val="single" w:sz="4" w:space="0" w:color="auto"/>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T3</w:t>
            </w:r>
          </w:p>
        </w:tc>
        <w:tc>
          <w:tcPr>
            <w:tcW w:w="1080" w:type="dxa"/>
            <w:vMerge/>
            <w:tcBorders>
              <w:left w:val="single" w:sz="4" w:space="0" w:color="auto"/>
              <w:right w:val="single" w:sz="4" w:space="0" w:color="auto"/>
            </w:tcBorders>
            <w:vAlign w:val="center"/>
            <w:hideMark/>
          </w:tcPr>
          <w:p w:rsidR="00264F77" w:rsidRPr="001602C2" w:rsidRDefault="00264F77" w:rsidP="00567754">
            <w:pPr>
              <w:rPr>
                <w:color w:val="000000"/>
              </w:rPr>
            </w:pPr>
          </w:p>
        </w:tc>
        <w:tc>
          <w:tcPr>
            <w:tcW w:w="1167"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2000</w:t>
            </w:r>
          </w:p>
        </w:tc>
        <w:tc>
          <w:tcPr>
            <w:tcW w:w="99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700</w:t>
            </w:r>
          </w:p>
        </w:tc>
        <w:tc>
          <w:tcPr>
            <w:tcW w:w="108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0.5</w:t>
            </w:r>
          </w:p>
        </w:tc>
        <w:tc>
          <w:tcPr>
            <w:tcW w:w="117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10</w:t>
            </w:r>
          </w:p>
        </w:tc>
        <w:tc>
          <w:tcPr>
            <w:tcW w:w="1623"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44</w:t>
            </w:r>
          </w:p>
        </w:tc>
      </w:tr>
      <w:tr w:rsidR="00264F77" w:rsidRPr="009C1A67" w:rsidTr="000927AC">
        <w:trPr>
          <w:trHeight w:val="23"/>
          <w:jc w:val="center"/>
        </w:trPr>
        <w:tc>
          <w:tcPr>
            <w:tcW w:w="967" w:type="dxa"/>
            <w:tcBorders>
              <w:top w:val="nil"/>
              <w:left w:val="single" w:sz="4" w:space="0" w:color="auto"/>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T4</w:t>
            </w:r>
          </w:p>
        </w:tc>
        <w:tc>
          <w:tcPr>
            <w:tcW w:w="1080" w:type="dxa"/>
            <w:vMerge/>
            <w:tcBorders>
              <w:left w:val="single" w:sz="4" w:space="0" w:color="auto"/>
              <w:right w:val="single" w:sz="4" w:space="0" w:color="auto"/>
            </w:tcBorders>
            <w:vAlign w:val="center"/>
            <w:hideMark/>
          </w:tcPr>
          <w:p w:rsidR="00264F77" w:rsidRPr="001602C2" w:rsidRDefault="00264F77" w:rsidP="00567754">
            <w:pPr>
              <w:rPr>
                <w:color w:val="000000"/>
              </w:rPr>
            </w:pPr>
          </w:p>
        </w:tc>
        <w:tc>
          <w:tcPr>
            <w:tcW w:w="1167"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2000</w:t>
            </w:r>
          </w:p>
        </w:tc>
        <w:tc>
          <w:tcPr>
            <w:tcW w:w="99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700</w:t>
            </w:r>
          </w:p>
        </w:tc>
        <w:tc>
          <w:tcPr>
            <w:tcW w:w="108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0.75</w:t>
            </w:r>
          </w:p>
        </w:tc>
        <w:tc>
          <w:tcPr>
            <w:tcW w:w="117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15</w:t>
            </w:r>
          </w:p>
        </w:tc>
        <w:tc>
          <w:tcPr>
            <w:tcW w:w="1623"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40</w:t>
            </w:r>
          </w:p>
        </w:tc>
      </w:tr>
      <w:tr w:rsidR="00264F77" w:rsidRPr="009C1A67" w:rsidTr="000927AC">
        <w:trPr>
          <w:trHeight w:val="23"/>
          <w:jc w:val="center"/>
        </w:trPr>
        <w:tc>
          <w:tcPr>
            <w:tcW w:w="967" w:type="dxa"/>
            <w:tcBorders>
              <w:top w:val="nil"/>
              <w:left w:val="single" w:sz="4" w:space="0" w:color="auto"/>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T5</w:t>
            </w:r>
          </w:p>
        </w:tc>
        <w:tc>
          <w:tcPr>
            <w:tcW w:w="1080" w:type="dxa"/>
            <w:vMerge/>
            <w:tcBorders>
              <w:left w:val="single" w:sz="4" w:space="0" w:color="auto"/>
              <w:right w:val="single" w:sz="4" w:space="0" w:color="auto"/>
            </w:tcBorders>
            <w:vAlign w:val="center"/>
            <w:hideMark/>
          </w:tcPr>
          <w:p w:rsidR="00264F77" w:rsidRPr="001602C2" w:rsidRDefault="00264F77" w:rsidP="00567754">
            <w:pPr>
              <w:rPr>
                <w:color w:val="000000"/>
              </w:rPr>
            </w:pPr>
          </w:p>
        </w:tc>
        <w:tc>
          <w:tcPr>
            <w:tcW w:w="1167"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2000</w:t>
            </w:r>
          </w:p>
        </w:tc>
        <w:tc>
          <w:tcPr>
            <w:tcW w:w="99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700</w:t>
            </w:r>
          </w:p>
        </w:tc>
        <w:tc>
          <w:tcPr>
            <w:tcW w:w="1080" w:type="dxa"/>
            <w:tcBorders>
              <w:top w:val="nil"/>
              <w:left w:val="nil"/>
              <w:bottom w:val="single" w:sz="4" w:space="0" w:color="auto"/>
              <w:right w:val="single" w:sz="4" w:space="0" w:color="auto"/>
            </w:tcBorders>
            <w:shd w:val="clear" w:color="auto" w:fill="auto"/>
            <w:hideMark/>
          </w:tcPr>
          <w:p w:rsidR="00264F77" w:rsidRPr="00567754" w:rsidRDefault="00264F77" w:rsidP="00567754">
            <w:pPr>
              <w:rPr>
                <w:color w:val="002060"/>
              </w:rPr>
            </w:pPr>
            <w:r w:rsidRPr="00567754">
              <w:rPr>
                <w:color w:val="002060"/>
              </w:rPr>
              <w:t>1</w:t>
            </w:r>
          </w:p>
        </w:tc>
        <w:tc>
          <w:tcPr>
            <w:tcW w:w="1170" w:type="dxa"/>
            <w:tcBorders>
              <w:top w:val="nil"/>
              <w:left w:val="nil"/>
              <w:bottom w:val="single" w:sz="4" w:space="0" w:color="auto"/>
              <w:right w:val="single" w:sz="4" w:space="0" w:color="auto"/>
            </w:tcBorders>
            <w:shd w:val="clear" w:color="auto" w:fill="auto"/>
            <w:hideMark/>
          </w:tcPr>
          <w:p w:rsidR="00264F77" w:rsidRPr="00567754" w:rsidRDefault="00264F77" w:rsidP="00567754">
            <w:pPr>
              <w:rPr>
                <w:color w:val="000000"/>
              </w:rPr>
            </w:pPr>
            <w:r w:rsidRPr="00567754">
              <w:rPr>
                <w:color w:val="000000"/>
              </w:rPr>
              <w:t>20</w:t>
            </w:r>
          </w:p>
        </w:tc>
        <w:tc>
          <w:tcPr>
            <w:tcW w:w="1623" w:type="dxa"/>
            <w:tcBorders>
              <w:top w:val="nil"/>
              <w:left w:val="nil"/>
              <w:bottom w:val="single" w:sz="4" w:space="0" w:color="auto"/>
              <w:right w:val="single" w:sz="4" w:space="0" w:color="auto"/>
            </w:tcBorders>
            <w:shd w:val="clear" w:color="auto" w:fill="auto"/>
            <w:hideMark/>
          </w:tcPr>
          <w:p w:rsidR="00264F77" w:rsidRPr="00567754" w:rsidRDefault="00264F77" w:rsidP="00567754">
            <w:pPr>
              <w:rPr>
                <w:color w:val="000000"/>
              </w:rPr>
            </w:pPr>
            <w:r w:rsidRPr="00567754">
              <w:rPr>
                <w:color w:val="000000"/>
              </w:rPr>
              <w:t>32</w:t>
            </w:r>
          </w:p>
        </w:tc>
      </w:tr>
      <w:tr w:rsidR="00264F77" w:rsidRPr="009C1A67" w:rsidTr="000927AC">
        <w:trPr>
          <w:trHeight w:val="23"/>
          <w:jc w:val="center"/>
        </w:trPr>
        <w:tc>
          <w:tcPr>
            <w:tcW w:w="967" w:type="dxa"/>
            <w:tcBorders>
              <w:top w:val="nil"/>
              <w:left w:val="single" w:sz="4" w:space="0" w:color="auto"/>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T6</w:t>
            </w:r>
          </w:p>
        </w:tc>
        <w:tc>
          <w:tcPr>
            <w:tcW w:w="1080" w:type="dxa"/>
            <w:vMerge/>
            <w:tcBorders>
              <w:left w:val="single" w:sz="4" w:space="0" w:color="auto"/>
              <w:right w:val="single" w:sz="4" w:space="0" w:color="auto"/>
            </w:tcBorders>
            <w:vAlign w:val="center"/>
            <w:hideMark/>
          </w:tcPr>
          <w:p w:rsidR="00264F77" w:rsidRPr="001602C2" w:rsidRDefault="00264F77" w:rsidP="00567754">
            <w:pPr>
              <w:rPr>
                <w:color w:val="000000"/>
              </w:rPr>
            </w:pPr>
          </w:p>
        </w:tc>
        <w:tc>
          <w:tcPr>
            <w:tcW w:w="1167"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2000</w:t>
            </w:r>
          </w:p>
        </w:tc>
        <w:tc>
          <w:tcPr>
            <w:tcW w:w="99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700</w:t>
            </w:r>
          </w:p>
        </w:tc>
        <w:tc>
          <w:tcPr>
            <w:tcW w:w="108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1.25</w:t>
            </w:r>
          </w:p>
        </w:tc>
        <w:tc>
          <w:tcPr>
            <w:tcW w:w="117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25</w:t>
            </w:r>
          </w:p>
        </w:tc>
        <w:tc>
          <w:tcPr>
            <w:tcW w:w="1623"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33</w:t>
            </w:r>
          </w:p>
        </w:tc>
      </w:tr>
      <w:tr w:rsidR="00264F77" w:rsidRPr="009C1A67" w:rsidTr="000927AC">
        <w:trPr>
          <w:trHeight w:val="23"/>
          <w:jc w:val="center"/>
        </w:trPr>
        <w:tc>
          <w:tcPr>
            <w:tcW w:w="967" w:type="dxa"/>
            <w:tcBorders>
              <w:top w:val="nil"/>
              <w:left w:val="single" w:sz="4" w:space="0" w:color="auto"/>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T7</w:t>
            </w:r>
          </w:p>
        </w:tc>
        <w:tc>
          <w:tcPr>
            <w:tcW w:w="1080" w:type="dxa"/>
            <w:vMerge/>
            <w:tcBorders>
              <w:left w:val="single" w:sz="4" w:space="0" w:color="auto"/>
              <w:right w:val="single" w:sz="4" w:space="0" w:color="auto"/>
            </w:tcBorders>
            <w:vAlign w:val="center"/>
            <w:hideMark/>
          </w:tcPr>
          <w:p w:rsidR="00264F77" w:rsidRPr="001602C2" w:rsidRDefault="00264F77" w:rsidP="00567754">
            <w:pPr>
              <w:rPr>
                <w:color w:val="000000"/>
              </w:rPr>
            </w:pPr>
          </w:p>
        </w:tc>
        <w:tc>
          <w:tcPr>
            <w:tcW w:w="1167"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2000</w:t>
            </w:r>
          </w:p>
        </w:tc>
        <w:tc>
          <w:tcPr>
            <w:tcW w:w="99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700</w:t>
            </w:r>
          </w:p>
        </w:tc>
        <w:tc>
          <w:tcPr>
            <w:tcW w:w="108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1.5</w:t>
            </w:r>
          </w:p>
        </w:tc>
        <w:tc>
          <w:tcPr>
            <w:tcW w:w="117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30</w:t>
            </w:r>
          </w:p>
        </w:tc>
        <w:tc>
          <w:tcPr>
            <w:tcW w:w="1623"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35</w:t>
            </w:r>
          </w:p>
        </w:tc>
      </w:tr>
      <w:tr w:rsidR="00264F77" w:rsidRPr="009C1A67" w:rsidTr="000927AC">
        <w:trPr>
          <w:trHeight w:val="23"/>
          <w:jc w:val="center"/>
        </w:trPr>
        <w:tc>
          <w:tcPr>
            <w:tcW w:w="967" w:type="dxa"/>
            <w:tcBorders>
              <w:top w:val="nil"/>
              <w:left w:val="single" w:sz="4" w:space="0" w:color="auto"/>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T8</w:t>
            </w:r>
          </w:p>
        </w:tc>
        <w:tc>
          <w:tcPr>
            <w:tcW w:w="1080" w:type="dxa"/>
            <w:vMerge/>
            <w:tcBorders>
              <w:left w:val="single" w:sz="4" w:space="0" w:color="auto"/>
              <w:right w:val="single" w:sz="4" w:space="0" w:color="auto"/>
            </w:tcBorders>
            <w:vAlign w:val="center"/>
            <w:hideMark/>
          </w:tcPr>
          <w:p w:rsidR="00264F77" w:rsidRPr="001602C2" w:rsidRDefault="00264F77" w:rsidP="00567754">
            <w:pPr>
              <w:rPr>
                <w:color w:val="000000"/>
              </w:rPr>
            </w:pPr>
          </w:p>
        </w:tc>
        <w:tc>
          <w:tcPr>
            <w:tcW w:w="1167"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2000</w:t>
            </w:r>
          </w:p>
        </w:tc>
        <w:tc>
          <w:tcPr>
            <w:tcW w:w="99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700</w:t>
            </w:r>
          </w:p>
        </w:tc>
        <w:tc>
          <w:tcPr>
            <w:tcW w:w="108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1.75</w:t>
            </w:r>
          </w:p>
        </w:tc>
        <w:tc>
          <w:tcPr>
            <w:tcW w:w="117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35</w:t>
            </w:r>
          </w:p>
        </w:tc>
        <w:tc>
          <w:tcPr>
            <w:tcW w:w="1623"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34</w:t>
            </w:r>
          </w:p>
        </w:tc>
      </w:tr>
      <w:tr w:rsidR="00264F77" w:rsidRPr="009C1A67" w:rsidTr="000927AC">
        <w:trPr>
          <w:trHeight w:val="23"/>
          <w:jc w:val="center"/>
        </w:trPr>
        <w:tc>
          <w:tcPr>
            <w:tcW w:w="967" w:type="dxa"/>
            <w:tcBorders>
              <w:top w:val="nil"/>
              <w:left w:val="single" w:sz="4" w:space="0" w:color="auto"/>
              <w:bottom w:val="nil"/>
              <w:right w:val="single" w:sz="4" w:space="0" w:color="auto"/>
            </w:tcBorders>
            <w:shd w:val="clear" w:color="auto" w:fill="auto"/>
            <w:hideMark/>
          </w:tcPr>
          <w:p w:rsidR="00264F77" w:rsidRPr="001602C2" w:rsidRDefault="00264F77" w:rsidP="00567754">
            <w:pPr>
              <w:rPr>
                <w:color w:val="000000"/>
              </w:rPr>
            </w:pPr>
            <w:r w:rsidRPr="001602C2">
              <w:rPr>
                <w:color w:val="000000"/>
              </w:rPr>
              <w:t>T9</w:t>
            </w:r>
          </w:p>
        </w:tc>
        <w:tc>
          <w:tcPr>
            <w:tcW w:w="1080" w:type="dxa"/>
            <w:vMerge/>
            <w:tcBorders>
              <w:left w:val="single" w:sz="4" w:space="0" w:color="auto"/>
              <w:right w:val="single" w:sz="4" w:space="0" w:color="auto"/>
            </w:tcBorders>
            <w:vAlign w:val="center"/>
            <w:hideMark/>
          </w:tcPr>
          <w:p w:rsidR="00264F77" w:rsidRPr="001602C2" w:rsidRDefault="00264F77" w:rsidP="00567754">
            <w:pPr>
              <w:rPr>
                <w:color w:val="000000"/>
              </w:rPr>
            </w:pPr>
          </w:p>
        </w:tc>
        <w:tc>
          <w:tcPr>
            <w:tcW w:w="1167" w:type="dxa"/>
            <w:tcBorders>
              <w:top w:val="nil"/>
              <w:left w:val="nil"/>
              <w:bottom w:val="nil"/>
              <w:right w:val="single" w:sz="4" w:space="0" w:color="auto"/>
            </w:tcBorders>
            <w:shd w:val="clear" w:color="auto" w:fill="auto"/>
            <w:hideMark/>
          </w:tcPr>
          <w:p w:rsidR="00264F77" w:rsidRPr="001602C2" w:rsidRDefault="00264F77" w:rsidP="00567754">
            <w:pPr>
              <w:rPr>
                <w:color w:val="000000"/>
              </w:rPr>
            </w:pPr>
            <w:r w:rsidRPr="001602C2">
              <w:rPr>
                <w:color w:val="000000"/>
              </w:rPr>
              <w:t>2000</w:t>
            </w:r>
          </w:p>
        </w:tc>
        <w:tc>
          <w:tcPr>
            <w:tcW w:w="990" w:type="dxa"/>
            <w:tcBorders>
              <w:top w:val="nil"/>
              <w:left w:val="nil"/>
              <w:bottom w:val="nil"/>
              <w:right w:val="single" w:sz="4" w:space="0" w:color="auto"/>
            </w:tcBorders>
            <w:shd w:val="clear" w:color="auto" w:fill="auto"/>
            <w:hideMark/>
          </w:tcPr>
          <w:p w:rsidR="00264F77" w:rsidRPr="001602C2" w:rsidRDefault="00264F77" w:rsidP="00567754">
            <w:pPr>
              <w:rPr>
                <w:color w:val="000000"/>
              </w:rPr>
            </w:pPr>
            <w:r w:rsidRPr="001602C2">
              <w:rPr>
                <w:color w:val="000000"/>
              </w:rPr>
              <w:t>700</w:t>
            </w:r>
          </w:p>
        </w:tc>
        <w:tc>
          <w:tcPr>
            <w:tcW w:w="1080" w:type="dxa"/>
            <w:tcBorders>
              <w:top w:val="nil"/>
              <w:left w:val="nil"/>
              <w:bottom w:val="nil"/>
              <w:right w:val="single" w:sz="4" w:space="0" w:color="auto"/>
            </w:tcBorders>
            <w:shd w:val="clear" w:color="auto" w:fill="auto"/>
            <w:hideMark/>
          </w:tcPr>
          <w:p w:rsidR="00264F77" w:rsidRPr="001602C2" w:rsidRDefault="00264F77" w:rsidP="00567754">
            <w:pPr>
              <w:rPr>
                <w:color w:val="000000"/>
              </w:rPr>
            </w:pPr>
            <w:r w:rsidRPr="001602C2">
              <w:rPr>
                <w:color w:val="000000"/>
              </w:rPr>
              <w:t>2</w:t>
            </w:r>
          </w:p>
        </w:tc>
        <w:tc>
          <w:tcPr>
            <w:tcW w:w="1170" w:type="dxa"/>
            <w:tcBorders>
              <w:top w:val="nil"/>
              <w:left w:val="nil"/>
              <w:bottom w:val="nil"/>
              <w:right w:val="single" w:sz="4" w:space="0" w:color="auto"/>
            </w:tcBorders>
            <w:shd w:val="clear" w:color="auto" w:fill="auto"/>
            <w:hideMark/>
          </w:tcPr>
          <w:p w:rsidR="00264F77" w:rsidRPr="001602C2" w:rsidRDefault="00264F77" w:rsidP="00567754">
            <w:pPr>
              <w:rPr>
                <w:color w:val="000000"/>
              </w:rPr>
            </w:pPr>
            <w:r w:rsidRPr="001602C2">
              <w:rPr>
                <w:color w:val="000000"/>
              </w:rPr>
              <w:t>40</w:t>
            </w:r>
          </w:p>
        </w:tc>
        <w:tc>
          <w:tcPr>
            <w:tcW w:w="1623" w:type="dxa"/>
            <w:tcBorders>
              <w:top w:val="nil"/>
              <w:left w:val="nil"/>
              <w:bottom w:val="nil"/>
              <w:right w:val="single" w:sz="4" w:space="0" w:color="auto"/>
            </w:tcBorders>
            <w:shd w:val="clear" w:color="auto" w:fill="auto"/>
            <w:hideMark/>
          </w:tcPr>
          <w:p w:rsidR="00264F77" w:rsidRPr="001602C2" w:rsidRDefault="00264F77" w:rsidP="00567754">
            <w:pPr>
              <w:rPr>
                <w:color w:val="000000"/>
              </w:rPr>
            </w:pPr>
            <w:r w:rsidRPr="001602C2">
              <w:rPr>
                <w:color w:val="000000"/>
              </w:rPr>
              <w:t>33</w:t>
            </w:r>
          </w:p>
        </w:tc>
      </w:tr>
      <w:tr w:rsidR="00264F77" w:rsidRPr="009C1A67" w:rsidTr="000927AC">
        <w:trPr>
          <w:trHeight w:val="23"/>
          <w:jc w:val="center"/>
        </w:trPr>
        <w:tc>
          <w:tcPr>
            <w:tcW w:w="967" w:type="dxa"/>
            <w:tcBorders>
              <w:top w:val="nil"/>
              <w:left w:val="single" w:sz="4" w:space="0" w:color="auto"/>
              <w:bottom w:val="single" w:sz="4" w:space="0" w:color="auto"/>
              <w:right w:val="single" w:sz="4" w:space="0" w:color="auto"/>
            </w:tcBorders>
            <w:shd w:val="clear" w:color="auto" w:fill="auto"/>
            <w:hideMark/>
          </w:tcPr>
          <w:p w:rsidR="00264F77" w:rsidRPr="001602C2" w:rsidRDefault="00264F77" w:rsidP="00B44A8F">
            <w:pPr>
              <w:spacing w:line="360" w:lineRule="auto"/>
              <w:rPr>
                <w:color w:val="000000"/>
              </w:rPr>
            </w:pPr>
          </w:p>
        </w:tc>
        <w:tc>
          <w:tcPr>
            <w:tcW w:w="1080" w:type="dxa"/>
            <w:vMerge/>
            <w:tcBorders>
              <w:left w:val="single" w:sz="4" w:space="0" w:color="auto"/>
              <w:bottom w:val="single" w:sz="4" w:space="0" w:color="000000"/>
              <w:right w:val="single" w:sz="4" w:space="0" w:color="auto"/>
            </w:tcBorders>
            <w:vAlign w:val="center"/>
            <w:hideMark/>
          </w:tcPr>
          <w:p w:rsidR="00264F77" w:rsidRPr="001602C2" w:rsidRDefault="00264F77" w:rsidP="00B44A8F">
            <w:pPr>
              <w:spacing w:line="360" w:lineRule="auto"/>
              <w:rPr>
                <w:color w:val="000000"/>
              </w:rPr>
            </w:pPr>
          </w:p>
        </w:tc>
        <w:tc>
          <w:tcPr>
            <w:tcW w:w="1167" w:type="dxa"/>
            <w:tcBorders>
              <w:top w:val="nil"/>
              <w:left w:val="nil"/>
              <w:bottom w:val="single" w:sz="4" w:space="0" w:color="auto"/>
              <w:right w:val="single" w:sz="4" w:space="0" w:color="auto"/>
            </w:tcBorders>
            <w:shd w:val="clear" w:color="auto" w:fill="auto"/>
            <w:hideMark/>
          </w:tcPr>
          <w:p w:rsidR="00264F77" w:rsidRPr="001602C2" w:rsidRDefault="00264F77" w:rsidP="00B44A8F">
            <w:pPr>
              <w:spacing w:line="360" w:lineRule="auto"/>
              <w:rPr>
                <w:color w:val="000000"/>
              </w:rPr>
            </w:pPr>
          </w:p>
        </w:tc>
        <w:tc>
          <w:tcPr>
            <w:tcW w:w="990" w:type="dxa"/>
            <w:tcBorders>
              <w:top w:val="nil"/>
              <w:left w:val="nil"/>
              <w:bottom w:val="single" w:sz="4" w:space="0" w:color="auto"/>
              <w:right w:val="single" w:sz="4" w:space="0" w:color="auto"/>
            </w:tcBorders>
            <w:shd w:val="clear" w:color="auto" w:fill="auto"/>
            <w:hideMark/>
          </w:tcPr>
          <w:p w:rsidR="00264F77" w:rsidRPr="001602C2" w:rsidRDefault="00264F77" w:rsidP="00B44A8F">
            <w:pPr>
              <w:spacing w:line="360" w:lineRule="auto"/>
              <w:rPr>
                <w:color w:val="000000"/>
              </w:rPr>
            </w:pPr>
          </w:p>
        </w:tc>
        <w:tc>
          <w:tcPr>
            <w:tcW w:w="1080" w:type="dxa"/>
            <w:tcBorders>
              <w:top w:val="nil"/>
              <w:left w:val="nil"/>
              <w:bottom w:val="single" w:sz="4" w:space="0" w:color="auto"/>
              <w:right w:val="single" w:sz="4" w:space="0" w:color="auto"/>
            </w:tcBorders>
            <w:shd w:val="clear" w:color="auto" w:fill="auto"/>
            <w:hideMark/>
          </w:tcPr>
          <w:p w:rsidR="00264F77" w:rsidRPr="001602C2" w:rsidRDefault="00264F77" w:rsidP="00B44A8F">
            <w:pPr>
              <w:spacing w:line="360" w:lineRule="auto"/>
              <w:rPr>
                <w:color w:val="000000"/>
              </w:rPr>
            </w:pPr>
          </w:p>
        </w:tc>
        <w:tc>
          <w:tcPr>
            <w:tcW w:w="1170" w:type="dxa"/>
            <w:tcBorders>
              <w:top w:val="nil"/>
              <w:left w:val="nil"/>
              <w:bottom w:val="single" w:sz="4" w:space="0" w:color="auto"/>
              <w:right w:val="single" w:sz="4" w:space="0" w:color="auto"/>
            </w:tcBorders>
            <w:shd w:val="clear" w:color="auto" w:fill="auto"/>
            <w:hideMark/>
          </w:tcPr>
          <w:p w:rsidR="00264F77" w:rsidRPr="001602C2" w:rsidRDefault="00264F77" w:rsidP="00B44A8F">
            <w:pPr>
              <w:spacing w:line="360" w:lineRule="auto"/>
              <w:rPr>
                <w:color w:val="000000"/>
              </w:rPr>
            </w:pPr>
          </w:p>
        </w:tc>
        <w:tc>
          <w:tcPr>
            <w:tcW w:w="1623" w:type="dxa"/>
            <w:tcBorders>
              <w:top w:val="nil"/>
              <w:left w:val="nil"/>
              <w:bottom w:val="single" w:sz="4" w:space="0" w:color="auto"/>
              <w:right w:val="single" w:sz="4" w:space="0" w:color="auto"/>
            </w:tcBorders>
            <w:shd w:val="clear" w:color="auto" w:fill="auto"/>
            <w:hideMark/>
          </w:tcPr>
          <w:p w:rsidR="00264F77" w:rsidRPr="001602C2" w:rsidRDefault="00264F77" w:rsidP="00B44A8F">
            <w:pPr>
              <w:spacing w:line="360" w:lineRule="auto"/>
              <w:rPr>
                <w:color w:val="000000"/>
              </w:rPr>
            </w:pPr>
          </w:p>
        </w:tc>
      </w:tr>
    </w:tbl>
    <w:p w:rsidR="00896137" w:rsidRDefault="00896137" w:rsidP="00896137">
      <w:pPr>
        <w:ind w:firstLine="288"/>
        <w:jc w:val="both"/>
      </w:pPr>
    </w:p>
    <w:p w:rsidR="00896137" w:rsidRDefault="00896137" w:rsidP="00896137">
      <w:pPr>
        <w:pStyle w:val="BodyText"/>
        <w:tabs>
          <w:tab w:val="left" w:pos="720"/>
        </w:tabs>
        <w:spacing w:line="240" w:lineRule="auto"/>
        <w:ind w:right="49"/>
        <w:jc w:val="center"/>
        <w:rPr>
          <w:position w:val="1"/>
        </w:rPr>
      </w:pPr>
      <w:r>
        <w:rPr>
          <w:noProof/>
          <w:lang w:bidi="te-IN"/>
        </w:rPr>
        <w:drawing>
          <wp:inline distT="0" distB="0" distL="0" distR="0">
            <wp:extent cx="3002573" cy="1999852"/>
            <wp:effectExtent l="12169" t="6113" r="8493" b="0"/>
            <wp:docPr id="1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96137" w:rsidRDefault="00896137" w:rsidP="00896137">
      <w:pPr>
        <w:pStyle w:val="BodyText"/>
        <w:tabs>
          <w:tab w:val="left" w:pos="720"/>
        </w:tabs>
        <w:spacing w:line="240" w:lineRule="auto"/>
        <w:ind w:right="49"/>
        <w:jc w:val="center"/>
        <w:rPr>
          <w:b/>
          <w:noProof/>
        </w:rPr>
      </w:pPr>
      <w:r w:rsidRPr="00896137">
        <w:rPr>
          <w:b/>
        </w:rPr>
        <w:t xml:space="preserve">Figure </w:t>
      </w:r>
      <w:r>
        <w:rPr>
          <w:b/>
        </w:rPr>
        <w:t>2</w:t>
      </w:r>
      <w:r w:rsidRPr="00896137">
        <w:rPr>
          <w:b/>
        </w:rPr>
        <w:t xml:space="preserve">: </w:t>
      </w:r>
      <w:r w:rsidRPr="00896137">
        <w:rPr>
          <w:b/>
          <w:noProof/>
        </w:rPr>
        <w:t>Analysis of Marsh Cone Test results using PCE</w:t>
      </w:r>
    </w:p>
    <w:p w:rsidR="00896137" w:rsidRPr="00CF41EF" w:rsidRDefault="00896137" w:rsidP="00896137">
      <w:pPr>
        <w:rPr>
          <w:b/>
          <w:bCs/>
        </w:rPr>
      </w:pPr>
      <w:r w:rsidRPr="000B5B2F">
        <w:rPr>
          <w:b/>
        </w:rPr>
        <w:t xml:space="preserve">Table </w:t>
      </w:r>
      <w:r>
        <w:rPr>
          <w:b/>
        </w:rPr>
        <w:t>8</w:t>
      </w:r>
      <w:r w:rsidRPr="000B5B2F">
        <w:rPr>
          <w:b/>
        </w:rPr>
        <w:t xml:space="preserve">: </w:t>
      </w:r>
      <w:r w:rsidRPr="00896137">
        <w:rPr>
          <w:rFonts w:eastAsia="MS Mincho"/>
          <w:b/>
        </w:rPr>
        <w:t>Mix Proportions for Cement Paste in Marsh Cone Test using SMF super plasticizer with constant w/c of 0.35</w:t>
      </w:r>
    </w:p>
    <w:tbl>
      <w:tblPr>
        <w:tblW w:w="8061" w:type="dxa"/>
        <w:jc w:val="center"/>
        <w:tblInd w:w="-1281" w:type="dxa"/>
        <w:tblLayout w:type="fixed"/>
        <w:tblLook w:val="04A0"/>
      </w:tblPr>
      <w:tblGrid>
        <w:gridCol w:w="850"/>
        <w:gridCol w:w="916"/>
        <w:gridCol w:w="1350"/>
        <w:gridCol w:w="990"/>
        <w:gridCol w:w="1260"/>
        <w:gridCol w:w="1080"/>
        <w:gridCol w:w="1615"/>
      </w:tblGrid>
      <w:tr w:rsidR="00344C7B" w:rsidRPr="009C1A67" w:rsidTr="00344C7B">
        <w:trPr>
          <w:trHeight w:val="314"/>
          <w:jc w:val="center"/>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896137" w:rsidRPr="00A105AD" w:rsidRDefault="00896137" w:rsidP="00344C7B">
            <w:pPr>
              <w:rPr>
                <w:b/>
                <w:bCs/>
                <w:color w:val="000000"/>
                <w:sz w:val="16"/>
                <w:szCs w:val="16"/>
              </w:rPr>
            </w:pPr>
            <w:r w:rsidRPr="00A105AD">
              <w:rPr>
                <w:b/>
                <w:bCs/>
                <w:color w:val="000000"/>
                <w:sz w:val="16"/>
                <w:szCs w:val="16"/>
              </w:rPr>
              <w:t>Mix No.</w:t>
            </w:r>
          </w:p>
        </w:tc>
        <w:tc>
          <w:tcPr>
            <w:tcW w:w="916" w:type="dxa"/>
            <w:tcBorders>
              <w:top w:val="single" w:sz="4" w:space="0" w:color="auto"/>
              <w:left w:val="nil"/>
              <w:bottom w:val="single" w:sz="4" w:space="0" w:color="auto"/>
              <w:right w:val="single" w:sz="4" w:space="0" w:color="auto"/>
            </w:tcBorders>
            <w:shd w:val="clear" w:color="auto" w:fill="auto"/>
            <w:hideMark/>
          </w:tcPr>
          <w:p w:rsidR="00896137" w:rsidRPr="00A105AD" w:rsidRDefault="00896137" w:rsidP="00344C7B">
            <w:pPr>
              <w:rPr>
                <w:b/>
                <w:bCs/>
                <w:color w:val="000000"/>
                <w:sz w:val="16"/>
                <w:szCs w:val="16"/>
              </w:rPr>
            </w:pPr>
            <w:r w:rsidRPr="00A105AD">
              <w:rPr>
                <w:b/>
                <w:bCs/>
                <w:color w:val="000000"/>
                <w:sz w:val="16"/>
                <w:szCs w:val="16"/>
              </w:rPr>
              <w:t>W/C ratio</w:t>
            </w:r>
          </w:p>
        </w:tc>
        <w:tc>
          <w:tcPr>
            <w:tcW w:w="1350" w:type="dxa"/>
            <w:tcBorders>
              <w:top w:val="single" w:sz="4" w:space="0" w:color="auto"/>
              <w:left w:val="nil"/>
              <w:bottom w:val="single" w:sz="4" w:space="0" w:color="auto"/>
              <w:right w:val="single" w:sz="4" w:space="0" w:color="auto"/>
            </w:tcBorders>
            <w:shd w:val="clear" w:color="auto" w:fill="auto"/>
            <w:hideMark/>
          </w:tcPr>
          <w:p w:rsidR="00896137" w:rsidRPr="00A105AD" w:rsidRDefault="00896137" w:rsidP="00344C7B">
            <w:pPr>
              <w:rPr>
                <w:b/>
                <w:bCs/>
                <w:color w:val="000000"/>
                <w:sz w:val="16"/>
                <w:szCs w:val="16"/>
              </w:rPr>
            </w:pPr>
            <w:r w:rsidRPr="00A105AD">
              <w:rPr>
                <w:b/>
                <w:bCs/>
                <w:color w:val="000000"/>
                <w:sz w:val="16"/>
                <w:szCs w:val="16"/>
              </w:rPr>
              <w:t>Cement   (gm)</w:t>
            </w:r>
          </w:p>
        </w:tc>
        <w:tc>
          <w:tcPr>
            <w:tcW w:w="990" w:type="dxa"/>
            <w:tcBorders>
              <w:top w:val="single" w:sz="4" w:space="0" w:color="auto"/>
              <w:left w:val="nil"/>
              <w:bottom w:val="single" w:sz="4" w:space="0" w:color="auto"/>
              <w:right w:val="single" w:sz="4" w:space="0" w:color="auto"/>
            </w:tcBorders>
            <w:shd w:val="clear" w:color="auto" w:fill="auto"/>
            <w:hideMark/>
          </w:tcPr>
          <w:p w:rsidR="00896137" w:rsidRPr="00A105AD" w:rsidRDefault="00896137" w:rsidP="00344C7B">
            <w:pPr>
              <w:rPr>
                <w:b/>
                <w:bCs/>
                <w:color w:val="000000"/>
                <w:sz w:val="16"/>
                <w:szCs w:val="16"/>
              </w:rPr>
            </w:pPr>
            <w:r w:rsidRPr="00A105AD">
              <w:rPr>
                <w:b/>
                <w:bCs/>
                <w:color w:val="000000"/>
                <w:sz w:val="16"/>
                <w:szCs w:val="16"/>
              </w:rPr>
              <w:t xml:space="preserve">Water             </w:t>
            </w:r>
            <w:r w:rsidRPr="00A105AD">
              <w:rPr>
                <w:b/>
                <w:bCs/>
                <w:color w:val="000000"/>
                <w:sz w:val="16"/>
                <w:szCs w:val="16"/>
              </w:rPr>
              <w:lastRenderedPageBreak/>
              <w:t>ml</w:t>
            </w:r>
          </w:p>
        </w:tc>
        <w:tc>
          <w:tcPr>
            <w:tcW w:w="1260" w:type="dxa"/>
            <w:tcBorders>
              <w:top w:val="single" w:sz="4" w:space="0" w:color="auto"/>
              <w:left w:val="nil"/>
              <w:bottom w:val="single" w:sz="4" w:space="0" w:color="auto"/>
              <w:right w:val="single" w:sz="4" w:space="0" w:color="auto"/>
            </w:tcBorders>
            <w:shd w:val="clear" w:color="auto" w:fill="auto"/>
            <w:hideMark/>
          </w:tcPr>
          <w:p w:rsidR="00896137" w:rsidRPr="00A105AD" w:rsidRDefault="00896137" w:rsidP="00344C7B">
            <w:pPr>
              <w:rPr>
                <w:b/>
                <w:bCs/>
                <w:color w:val="000000"/>
                <w:sz w:val="16"/>
                <w:szCs w:val="16"/>
              </w:rPr>
            </w:pPr>
            <w:r w:rsidRPr="00A105AD">
              <w:rPr>
                <w:b/>
                <w:bCs/>
                <w:color w:val="000000"/>
                <w:sz w:val="16"/>
                <w:szCs w:val="16"/>
              </w:rPr>
              <w:lastRenderedPageBreak/>
              <w:t>SMF dosage,</w:t>
            </w:r>
            <w:r w:rsidR="00344C7B">
              <w:rPr>
                <w:b/>
                <w:bCs/>
                <w:color w:val="000000"/>
                <w:sz w:val="16"/>
                <w:szCs w:val="16"/>
              </w:rPr>
              <w:t xml:space="preserve">      </w:t>
            </w:r>
            <w:r w:rsidRPr="00A105AD">
              <w:rPr>
                <w:b/>
                <w:bCs/>
                <w:color w:val="000000"/>
                <w:sz w:val="16"/>
                <w:szCs w:val="16"/>
              </w:rPr>
              <w:lastRenderedPageBreak/>
              <w:t>%</w:t>
            </w:r>
          </w:p>
        </w:tc>
        <w:tc>
          <w:tcPr>
            <w:tcW w:w="1080" w:type="dxa"/>
            <w:tcBorders>
              <w:top w:val="single" w:sz="4" w:space="0" w:color="auto"/>
              <w:left w:val="nil"/>
              <w:bottom w:val="single" w:sz="4" w:space="0" w:color="auto"/>
              <w:right w:val="single" w:sz="4" w:space="0" w:color="auto"/>
            </w:tcBorders>
            <w:shd w:val="clear" w:color="auto" w:fill="auto"/>
            <w:hideMark/>
          </w:tcPr>
          <w:p w:rsidR="00896137" w:rsidRPr="00A105AD" w:rsidRDefault="00896137" w:rsidP="00344C7B">
            <w:pPr>
              <w:rPr>
                <w:b/>
                <w:bCs/>
                <w:color w:val="000000"/>
                <w:sz w:val="16"/>
                <w:szCs w:val="16"/>
              </w:rPr>
            </w:pPr>
            <w:r w:rsidRPr="00A105AD">
              <w:rPr>
                <w:b/>
                <w:bCs/>
                <w:color w:val="000000"/>
                <w:sz w:val="16"/>
                <w:szCs w:val="16"/>
              </w:rPr>
              <w:lastRenderedPageBreak/>
              <w:t xml:space="preserve">SMF in           </w:t>
            </w:r>
            <w:r w:rsidRPr="00A105AD">
              <w:rPr>
                <w:b/>
                <w:bCs/>
                <w:color w:val="000000"/>
                <w:sz w:val="16"/>
                <w:szCs w:val="16"/>
              </w:rPr>
              <w:lastRenderedPageBreak/>
              <w:t>(ml)</w:t>
            </w:r>
          </w:p>
        </w:tc>
        <w:tc>
          <w:tcPr>
            <w:tcW w:w="1615" w:type="dxa"/>
            <w:tcBorders>
              <w:top w:val="single" w:sz="4" w:space="0" w:color="auto"/>
              <w:left w:val="nil"/>
              <w:bottom w:val="single" w:sz="4" w:space="0" w:color="auto"/>
              <w:right w:val="single" w:sz="4" w:space="0" w:color="auto"/>
            </w:tcBorders>
            <w:shd w:val="clear" w:color="auto" w:fill="auto"/>
            <w:hideMark/>
          </w:tcPr>
          <w:p w:rsidR="00896137" w:rsidRPr="00A105AD" w:rsidRDefault="00896137" w:rsidP="00344C7B">
            <w:pPr>
              <w:rPr>
                <w:b/>
                <w:bCs/>
                <w:color w:val="000000"/>
                <w:sz w:val="16"/>
                <w:szCs w:val="16"/>
              </w:rPr>
            </w:pPr>
            <w:r w:rsidRPr="00A105AD">
              <w:rPr>
                <w:b/>
                <w:bCs/>
                <w:color w:val="000000"/>
                <w:sz w:val="16"/>
                <w:szCs w:val="16"/>
              </w:rPr>
              <w:lastRenderedPageBreak/>
              <w:t>Marsh Cone Time</w:t>
            </w:r>
            <w:r>
              <w:rPr>
                <w:b/>
                <w:bCs/>
                <w:color w:val="000000"/>
                <w:sz w:val="16"/>
                <w:szCs w:val="16"/>
              </w:rPr>
              <w:t xml:space="preserve">   </w:t>
            </w:r>
            <w:r w:rsidRPr="00A105AD">
              <w:rPr>
                <w:b/>
                <w:bCs/>
                <w:color w:val="000000"/>
                <w:sz w:val="16"/>
                <w:szCs w:val="16"/>
              </w:rPr>
              <w:lastRenderedPageBreak/>
              <w:t>(sec)</w:t>
            </w:r>
          </w:p>
        </w:tc>
      </w:tr>
      <w:tr w:rsidR="00344C7B" w:rsidRPr="009C1A67" w:rsidTr="00344C7B">
        <w:trPr>
          <w:trHeight w:val="217"/>
          <w:jc w:val="center"/>
        </w:trPr>
        <w:tc>
          <w:tcPr>
            <w:tcW w:w="850" w:type="dxa"/>
            <w:tcBorders>
              <w:top w:val="nil"/>
              <w:left w:val="single" w:sz="4" w:space="0" w:color="auto"/>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lastRenderedPageBreak/>
              <w:t>T1</w:t>
            </w:r>
          </w:p>
        </w:tc>
        <w:tc>
          <w:tcPr>
            <w:tcW w:w="916" w:type="dxa"/>
            <w:vMerge w:val="restart"/>
            <w:tcBorders>
              <w:top w:val="nil"/>
              <w:left w:val="single" w:sz="4" w:space="0" w:color="auto"/>
              <w:bottom w:val="single" w:sz="4" w:space="0" w:color="000000"/>
              <w:right w:val="single" w:sz="4" w:space="0" w:color="auto"/>
            </w:tcBorders>
            <w:shd w:val="clear" w:color="auto" w:fill="auto"/>
            <w:vAlign w:val="center"/>
            <w:hideMark/>
          </w:tcPr>
          <w:p w:rsidR="00896137" w:rsidRPr="00A52B0F" w:rsidRDefault="00896137" w:rsidP="00303232">
            <w:pPr>
              <w:rPr>
                <w:color w:val="000000"/>
              </w:rPr>
            </w:pPr>
            <w:r w:rsidRPr="00A52B0F">
              <w:rPr>
                <w:color w:val="000000"/>
              </w:rPr>
              <w:t>0.35</w:t>
            </w:r>
          </w:p>
        </w:tc>
        <w:tc>
          <w:tcPr>
            <w:tcW w:w="135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2000</w:t>
            </w:r>
          </w:p>
        </w:tc>
        <w:tc>
          <w:tcPr>
            <w:tcW w:w="99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700</w:t>
            </w:r>
          </w:p>
        </w:tc>
        <w:tc>
          <w:tcPr>
            <w:tcW w:w="126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0</w:t>
            </w:r>
          </w:p>
        </w:tc>
        <w:tc>
          <w:tcPr>
            <w:tcW w:w="108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0</w:t>
            </w:r>
          </w:p>
        </w:tc>
        <w:tc>
          <w:tcPr>
            <w:tcW w:w="1615"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60</w:t>
            </w:r>
          </w:p>
        </w:tc>
      </w:tr>
      <w:tr w:rsidR="00344C7B" w:rsidRPr="009C1A67" w:rsidTr="00344C7B">
        <w:trPr>
          <w:trHeight w:val="217"/>
          <w:jc w:val="center"/>
        </w:trPr>
        <w:tc>
          <w:tcPr>
            <w:tcW w:w="850" w:type="dxa"/>
            <w:tcBorders>
              <w:top w:val="nil"/>
              <w:left w:val="single" w:sz="4" w:space="0" w:color="auto"/>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T2</w:t>
            </w:r>
          </w:p>
        </w:tc>
        <w:tc>
          <w:tcPr>
            <w:tcW w:w="916" w:type="dxa"/>
            <w:vMerge/>
            <w:tcBorders>
              <w:top w:val="nil"/>
              <w:left w:val="single" w:sz="4" w:space="0" w:color="auto"/>
              <w:bottom w:val="single" w:sz="4" w:space="0" w:color="000000"/>
              <w:right w:val="single" w:sz="4" w:space="0" w:color="auto"/>
            </w:tcBorders>
            <w:vAlign w:val="center"/>
            <w:hideMark/>
          </w:tcPr>
          <w:p w:rsidR="00896137" w:rsidRPr="00A52B0F" w:rsidRDefault="00896137" w:rsidP="00303232">
            <w:pPr>
              <w:rPr>
                <w:color w:val="000000"/>
              </w:rPr>
            </w:pPr>
          </w:p>
        </w:tc>
        <w:tc>
          <w:tcPr>
            <w:tcW w:w="135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2000</w:t>
            </w:r>
          </w:p>
        </w:tc>
        <w:tc>
          <w:tcPr>
            <w:tcW w:w="99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700</w:t>
            </w:r>
          </w:p>
        </w:tc>
        <w:tc>
          <w:tcPr>
            <w:tcW w:w="126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0.25</w:t>
            </w:r>
          </w:p>
        </w:tc>
        <w:tc>
          <w:tcPr>
            <w:tcW w:w="108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5</w:t>
            </w:r>
          </w:p>
        </w:tc>
        <w:tc>
          <w:tcPr>
            <w:tcW w:w="1615"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52</w:t>
            </w:r>
          </w:p>
        </w:tc>
      </w:tr>
      <w:tr w:rsidR="00344C7B" w:rsidRPr="009C1A67" w:rsidTr="00344C7B">
        <w:trPr>
          <w:trHeight w:val="233"/>
          <w:jc w:val="center"/>
        </w:trPr>
        <w:tc>
          <w:tcPr>
            <w:tcW w:w="850" w:type="dxa"/>
            <w:tcBorders>
              <w:top w:val="nil"/>
              <w:left w:val="single" w:sz="4" w:space="0" w:color="auto"/>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T3</w:t>
            </w:r>
          </w:p>
        </w:tc>
        <w:tc>
          <w:tcPr>
            <w:tcW w:w="916" w:type="dxa"/>
            <w:vMerge/>
            <w:tcBorders>
              <w:top w:val="nil"/>
              <w:left w:val="single" w:sz="4" w:space="0" w:color="auto"/>
              <w:bottom w:val="single" w:sz="4" w:space="0" w:color="000000"/>
              <w:right w:val="single" w:sz="4" w:space="0" w:color="auto"/>
            </w:tcBorders>
            <w:vAlign w:val="center"/>
            <w:hideMark/>
          </w:tcPr>
          <w:p w:rsidR="00896137" w:rsidRPr="00A52B0F" w:rsidRDefault="00896137" w:rsidP="00303232">
            <w:pPr>
              <w:rPr>
                <w:color w:val="000000"/>
              </w:rPr>
            </w:pPr>
          </w:p>
        </w:tc>
        <w:tc>
          <w:tcPr>
            <w:tcW w:w="135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2000</w:t>
            </w:r>
          </w:p>
        </w:tc>
        <w:tc>
          <w:tcPr>
            <w:tcW w:w="99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700</w:t>
            </w:r>
          </w:p>
        </w:tc>
        <w:tc>
          <w:tcPr>
            <w:tcW w:w="126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0.5</w:t>
            </w:r>
          </w:p>
        </w:tc>
        <w:tc>
          <w:tcPr>
            <w:tcW w:w="108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10</w:t>
            </w:r>
          </w:p>
        </w:tc>
        <w:tc>
          <w:tcPr>
            <w:tcW w:w="1615"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46</w:t>
            </w:r>
          </w:p>
        </w:tc>
      </w:tr>
      <w:tr w:rsidR="00344C7B" w:rsidRPr="009C1A67" w:rsidTr="00344C7B">
        <w:trPr>
          <w:trHeight w:val="217"/>
          <w:jc w:val="center"/>
        </w:trPr>
        <w:tc>
          <w:tcPr>
            <w:tcW w:w="850" w:type="dxa"/>
            <w:tcBorders>
              <w:top w:val="nil"/>
              <w:left w:val="single" w:sz="4" w:space="0" w:color="auto"/>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T4</w:t>
            </w:r>
          </w:p>
        </w:tc>
        <w:tc>
          <w:tcPr>
            <w:tcW w:w="916" w:type="dxa"/>
            <w:vMerge/>
            <w:tcBorders>
              <w:top w:val="nil"/>
              <w:left w:val="single" w:sz="4" w:space="0" w:color="auto"/>
              <w:bottom w:val="single" w:sz="4" w:space="0" w:color="000000"/>
              <w:right w:val="single" w:sz="4" w:space="0" w:color="auto"/>
            </w:tcBorders>
            <w:vAlign w:val="center"/>
            <w:hideMark/>
          </w:tcPr>
          <w:p w:rsidR="00896137" w:rsidRPr="00A52B0F" w:rsidRDefault="00896137" w:rsidP="00303232">
            <w:pPr>
              <w:rPr>
                <w:color w:val="000000"/>
              </w:rPr>
            </w:pPr>
          </w:p>
        </w:tc>
        <w:tc>
          <w:tcPr>
            <w:tcW w:w="135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2000</w:t>
            </w:r>
          </w:p>
        </w:tc>
        <w:tc>
          <w:tcPr>
            <w:tcW w:w="99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700</w:t>
            </w:r>
          </w:p>
        </w:tc>
        <w:tc>
          <w:tcPr>
            <w:tcW w:w="126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0.75</w:t>
            </w:r>
          </w:p>
        </w:tc>
        <w:tc>
          <w:tcPr>
            <w:tcW w:w="108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15</w:t>
            </w:r>
          </w:p>
        </w:tc>
        <w:tc>
          <w:tcPr>
            <w:tcW w:w="1615"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42</w:t>
            </w:r>
          </w:p>
        </w:tc>
      </w:tr>
      <w:tr w:rsidR="00344C7B" w:rsidRPr="009C1A67" w:rsidTr="00344C7B">
        <w:trPr>
          <w:trHeight w:val="217"/>
          <w:jc w:val="center"/>
        </w:trPr>
        <w:tc>
          <w:tcPr>
            <w:tcW w:w="850" w:type="dxa"/>
            <w:tcBorders>
              <w:top w:val="nil"/>
              <w:left w:val="single" w:sz="4" w:space="0" w:color="auto"/>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T5</w:t>
            </w:r>
          </w:p>
        </w:tc>
        <w:tc>
          <w:tcPr>
            <w:tcW w:w="916" w:type="dxa"/>
            <w:vMerge/>
            <w:tcBorders>
              <w:top w:val="nil"/>
              <w:left w:val="single" w:sz="4" w:space="0" w:color="auto"/>
              <w:bottom w:val="single" w:sz="4" w:space="0" w:color="000000"/>
              <w:right w:val="single" w:sz="4" w:space="0" w:color="auto"/>
            </w:tcBorders>
            <w:vAlign w:val="center"/>
            <w:hideMark/>
          </w:tcPr>
          <w:p w:rsidR="00896137" w:rsidRPr="00A52B0F" w:rsidRDefault="00896137" w:rsidP="00303232">
            <w:pPr>
              <w:rPr>
                <w:color w:val="000000"/>
              </w:rPr>
            </w:pPr>
          </w:p>
        </w:tc>
        <w:tc>
          <w:tcPr>
            <w:tcW w:w="135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2000</w:t>
            </w:r>
          </w:p>
        </w:tc>
        <w:tc>
          <w:tcPr>
            <w:tcW w:w="99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700</w:t>
            </w:r>
          </w:p>
        </w:tc>
        <w:tc>
          <w:tcPr>
            <w:tcW w:w="126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2060"/>
              </w:rPr>
            </w:pPr>
            <w:r w:rsidRPr="00A52B0F">
              <w:rPr>
                <w:color w:val="002060"/>
              </w:rPr>
              <w:t>1</w:t>
            </w:r>
          </w:p>
        </w:tc>
        <w:tc>
          <w:tcPr>
            <w:tcW w:w="108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20</w:t>
            </w:r>
          </w:p>
        </w:tc>
        <w:tc>
          <w:tcPr>
            <w:tcW w:w="1615"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39</w:t>
            </w:r>
          </w:p>
        </w:tc>
      </w:tr>
      <w:tr w:rsidR="00344C7B" w:rsidRPr="009C1A67" w:rsidTr="00344C7B">
        <w:trPr>
          <w:trHeight w:val="217"/>
          <w:jc w:val="center"/>
        </w:trPr>
        <w:tc>
          <w:tcPr>
            <w:tcW w:w="850" w:type="dxa"/>
            <w:tcBorders>
              <w:top w:val="nil"/>
              <w:left w:val="single" w:sz="4" w:space="0" w:color="auto"/>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T6</w:t>
            </w:r>
          </w:p>
        </w:tc>
        <w:tc>
          <w:tcPr>
            <w:tcW w:w="916" w:type="dxa"/>
            <w:vMerge/>
            <w:tcBorders>
              <w:top w:val="nil"/>
              <w:left w:val="single" w:sz="4" w:space="0" w:color="auto"/>
              <w:bottom w:val="single" w:sz="4" w:space="0" w:color="000000"/>
              <w:right w:val="single" w:sz="4" w:space="0" w:color="auto"/>
            </w:tcBorders>
            <w:vAlign w:val="center"/>
            <w:hideMark/>
          </w:tcPr>
          <w:p w:rsidR="00896137" w:rsidRPr="00A52B0F" w:rsidRDefault="00896137" w:rsidP="00303232">
            <w:pPr>
              <w:rPr>
                <w:color w:val="000000"/>
              </w:rPr>
            </w:pPr>
          </w:p>
        </w:tc>
        <w:tc>
          <w:tcPr>
            <w:tcW w:w="135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2000</w:t>
            </w:r>
          </w:p>
        </w:tc>
        <w:tc>
          <w:tcPr>
            <w:tcW w:w="99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700</w:t>
            </w:r>
          </w:p>
        </w:tc>
        <w:tc>
          <w:tcPr>
            <w:tcW w:w="126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1.25</w:t>
            </w:r>
          </w:p>
        </w:tc>
        <w:tc>
          <w:tcPr>
            <w:tcW w:w="108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b/>
                <w:bCs/>
                <w:color w:val="000000"/>
              </w:rPr>
            </w:pPr>
            <w:r w:rsidRPr="00A52B0F">
              <w:rPr>
                <w:b/>
                <w:bCs/>
                <w:color w:val="000000"/>
              </w:rPr>
              <w:t>25</w:t>
            </w:r>
          </w:p>
        </w:tc>
        <w:tc>
          <w:tcPr>
            <w:tcW w:w="1615" w:type="dxa"/>
            <w:tcBorders>
              <w:top w:val="nil"/>
              <w:left w:val="nil"/>
              <w:bottom w:val="single" w:sz="4" w:space="0" w:color="auto"/>
              <w:right w:val="single" w:sz="4" w:space="0" w:color="auto"/>
            </w:tcBorders>
            <w:shd w:val="clear" w:color="auto" w:fill="auto"/>
            <w:hideMark/>
          </w:tcPr>
          <w:p w:rsidR="00896137" w:rsidRPr="00A52B0F" w:rsidRDefault="00896137" w:rsidP="00303232">
            <w:pPr>
              <w:rPr>
                <w:b/>
                <w:bCs/>
                <w:color w:val="000000"/>
              </w:rPr>
            </w:pPr>
            <w:r w:rsidRPr="00A52B0F">
              <w:rPr>
                <w:b/>
                <w:bCs/>
                <w:color w:val="000000"/>
              </w:rPr>
              <w:t>31</w:t>
            </w:r>
          </w:p>
        </w:tc>
      </w:tr>
      <w:tr w:rsidR="00344C7B" w:rsidRPr="009C1A67" w:rsidTr="00344C7B">
        <w:trPr>
          <w:trHeight w:val="217"/>
          <w:jc w:val="center"/>
        </w:trPr>
        <w:tc>
          <w:tcPr>
            <w:tcW w:w="850" w:type="dxa"/>
            <w:tcBorders>
              <w:top w:val="nil"/>
              <w:left w:val="single" w:sz="4" w:space="0" w:color="auto"/>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T7</w:t>
            </w:r>
          </w:p>
        </w:tc>
        <w:tc>
          <w:tcPr>
            <w:tcW w:w="916" w:type="dxa"/>
            <w:vMerge/>
            <w:tcBorders>
              <w:top w:val="nil"/>
              <w:left w:val="single" w:sz="4" w:space="0" w:color="auto"/>
              <w:bottom w:val="single" w:sz="4" w:space="0" w:color="000000"/>
              <w:right w:val="single" w:sz="4" w:space="0" w:color="auto"/>
            </w:tcBorders>
            <w:vAlign w:val="center"/>
            <w:hideMark/>
          </w:tcPr>
          <w:p w:rsidR="00896137" w:rsidRPr="00A52B0F" w:rsidRDefault="00896137" w:rsidP="00303232">
            <w:pPr>
              <w:rPr>
                <w:color w:val="000000"/>
              </w:rPr>
            </w:pPr>
          </w:p>
        </w:tc>
        <w:tc>
          <w:tcPr>
            <w:tcW w:w="135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2000</w:t>
            </w:r>
          </w:p>
        </w:tc>
        <w:tc>
          <w:tcPr>
            <w:tcW w:w="99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700</w:t>
            </w:r>
          </w:p>
        </w:tc>
        <w:tc>
          <w:tcPr>
            <w:tcW w:w="126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1.5</w:t>
            </w:r>
          </w:p>
        </w:tc>
        <w:tc>
          <w:tcPr>
            <w:tcW w:w="108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30</w:t>
            </w:r>
          </w:p>
        </w:tc>
        <w:tc>
          <w:tcPr>
            <w:tcW w:w="1615"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34</w:t>
            </w:r>
          </w:p>
        </w:tc>
      </w:tr>
      <w:tr w:rsidR="00344C7B" w:rsidRPr="009C1A67" w:rsidTr="00344C7B">
        <w:trPr>
          <w:trHeight w:val="217"/>
          <w:jc w:val="center"/>
        </w:trPr>
        <w:tc>
          <w:tcPr>
            <w:tcW w:w="850" w:type="dxa"/>
            <w:tcBorders>
              <w:top w:val="nil"/>
              <w:left w:val="single" w:sz="4" w:space="0" w:color="auto"/>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T8</w:t>
            </w:r>
          </w:p>
        </w:tc>
        <w:tc>
          <w:tcPr>
            <w:tcW w:w="916" w:type="dxa"/>
            <w:vMerge/>
            <w:tcBorders>
              <w:top w:val="nil"/>
              <w:left w:val="single" w:sz="4" w:space="0" w:color="auto"/>
              <w:bottom w:val="single" w:sz="4" w:space="0" w:color="000000"/>
              <w:right w:val="single" w:sz="4" w:space="0" w:color="auto"/>
            </w:tcBorders>
            <w:vAlign w:val="center"/>
            <w:hideMark/>
          </w:tcPr>
          <w:p w:rsidR="00896137" w:rsidRPr="00A52B0F" w:rsidRDefault="00896137" w:rsidP="00303232">
            <w:pPr>
              <w:rPr>
                <w:color w:val="000000"/>
              </w:rPr>
            </w:pPr>
          </w:p>
        </w:tc>
        <w:tc>
          <w:tcPr>
            <w:tcW w:w="135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2000</w:t>
            </w:r>
          </w:p>
        </w:tc>
        <w:tc>
          <w:tcPr>
            <w:tcW w:w="99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700</w:t>
            </w:r>
          </w:p>
        </w:tc>
        <w:tc>
          <w:tcPr>
            <w:tcW w:w="126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1.75</w:t>
            </w:r>
          </w:p>
        </w:tc>
        <w:tc>
          <w:tcPr>
            <w:tcW w:w="108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35</w:t>
            </w:r>
          </w:p>
        </w:tc>
        <w:tc>
          <w:tcPr>
            <w:tcW w:w="1615"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35</w:t>
            </w:r>
          </w:p>
        </w:tc>
      </w:tr>
      <w:tr w:rsidR="00344C7B" w:rsidRPr="009C1A67" w:rsidTr="00344C7B">
        <w:trPr>
          <w:trHeight w:val="233"/>
          <w:jc w:val="center"/>
        </w:trPr>
        <w:tc>
          <w:tcPr>
            <w:tcW w:w="850" w:type="dxa"/>
            <w:tcBorders>
              <w:top w:val="nil"/>
              <w:left w:val="single" w:sz="4" w:space="0" w:color="auto"/>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T9</w:t>
            </w:r>
          </w:p>
        </w:tc>
        <w:tc>
          <w:tcPr>
            <w:tcW w:w="916" w:type="dxa"/>
            <w:vMerge/>
            <w:tcBorders>
              <w:top w:val="nil"/>
              <w:left w:val="single" w:sz="4" w:space="0" w:color="auto"/>
              <w:bottom w:val="single" w:sz="4" w:space="0" w:color="000000"/>
              <w:right w:val="single" w:sz="4" w:space="0" w:color="auto"/>
            </w:tcBorders>
            <w:vAlign w:val="center"/>
            <w:hideMark/>
          </w:tcPr>
          <w:p w:rsidR="00896137" w:rsidRPr="00A52B0F" w:rsidRDefault="00896137" w:rsidP="00303232">
            <w:pPr>
              <w:rPr>
                <w:color w:val="000000"/>
              </w:rPr>
            </w:pPr>
          </w:p>
        </w:tc>
        <w:tc>
          <w:tcPr>
            <w:tcW w:w="135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2000</w:t>
            </w:r>
          </w:p>
        </w:tc>
        <w:tc>
          <w:tcPr>
            <w:tcW w:w="99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700</w:t>
            </w:r>
          </w:p>
        </w:tc>
        <w:tc>
          <w:tcPr>
            <w:tcW w:w="126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2</w:t>
            </w:r>
          </w:p>
        </w:tc>
        <w:tc>
          <w:tcPr>
            <w:tcW w:w="108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40</w:t>
            </w:r>
          </w:p>
        </w:tc>
        <w:tc>
          <w:tcPr>
            <w:tcW w:w="1615"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34</w:t>
            </w:r>
          </w:p>
        </w:tc>
      </w:tr>
    </w:tbl>
    <w:p w:rsidR="00896137" w:rsidRDefault="00896137" w:rsidP="00896137">
      <w:pPr>
        <w:pStyle w:val="BodyText"/>
        <w:tabs>
          <w:tab w:val="left" w:pos="720"/>
        </w:tabs>
        <w:spacing w:line="240" w:lineRule="auto"/>
        <w:ind w:right="49"/>
        <w:jc w:val="center"/>
        <w:rPr>
          <w:position w:val="1"/>
        </w:rPr>
      </w:pPr>
      <w:r>
        <w:rPr>
          <w:noProof/>
          <w:lang w:bidi="te-IN"/>
        </w:rPr>
        <w:drawing>
          <wp:inline distT="0" distB="0" distL="0" distR="0">
            <wp:extent cx="2998789" cy="1984658"/>
            <wp:effectExtent l="12154" t="6067" r="8482" b="0"/>
            <wp:docPr id="19"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32EE7" w:rsidRDefault="00332EE7" w:rsidP="00896137">
      <w:pPr>
        <w:pStyle w:val="BodyText"/>
        <w:tabs>
          <w:tab w:val="left" w:pos="720"/>
        </w:tabs>
        <w:spacing w:line="240" w:lineRule="auto"/>
        <w:ind w:right="49"/>
        <w:jc w:val="center"/>
        <w:rPr>
          <w:b/>
        </w:rPr>
      </w:pPr>
      <w:r w:rsidRPr="00896137">
        <w:rPr>
          <w:b/>
        </w:rPr>
        <w:t xml:space="preserve">Figure </w:t>
      </w:r>
      <w:r>
        <w:rPr>
          <w:b/>
        </w:rPr>
        <w:t>3</w:t>
      </w:r>
      <w:r w:rsidRPr="00896137">
        <w:rPr>
          <w:b/>
        </w:rPr>
        <w:t>: Analysis of Marsh Cone Test results using SMF</w:t>
      </w:r>
    </w:p>
    <w:p w:rsidR="00896137" w:rsidRPr="00CF41EF" w:rsidRDefault="00896137" w:rsidP="00896137">
      <w:pPr>
        <w:rPr>
          <w:b/>
          <w:bCs/>
        </w:rPr>
      </w:pPr>
      <w:r w:rsidRPr="000B5B2F">
        <w:rPr>
          <w:b/>
        </w:rPr>
        <w:t>Table</w:t>
      </w:r>
      <w:r>
        <w:rPr>
          <w:b/>
        </w:rPr>
        <w:t xml:space="preserve"> 9</w:t>
      </w:r>
      <w:r w:rsidRPr="000B5B2F">
        <w:rPr>
          <w:b/>
        </w:rPr>
        <w:t xml:space="preserve">: </w:t>
      </w:r>
      <w:r w:rsidRPr="00896137">
        <w:rPr>
          <w:rFonts w:eastAsia="MS Mincho"/>
          <w:b/>
        </w:rPr>
        <w:t>Summary of Cement Super plasticizer Compatibility Study</w:t>
      </w:r>
    </w:p>
    <w:tbl>
      <w:tblPr>
        <w:tblW w:w="4871" w:type="dxa"/>
        <w:jc w:val="center"/>
        <w:tblInd w:w="96" w:type="dxa"/>
        <w:tblLook w:val="04A0"/>
      </w:tblPr>
      <w:tblGrid>
        <w:gridCol w:w="461"/>
        <w:gridCol w:w="1015"/>
        <w:gridCol w:w="1150"/>
        <w:gridCol w:w="1195"/>
        <w:gridCol w:w="1050"/>
      </w:tblGrid>
      <w:tr w:rsidR="00896137" w:rsidRPr="009C1A67" w:rsidTr="00896137">
        <w:trPr>
          <w:trHeight w:val="395"/>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6137" w:rsidRPr="00DE52D1" w:rsidRDefault="00896137" w:rsidP="00DE52D1">
            <w:pPr>
              <w:rPr>
                <w:b/>
                <w:bCs/>
                <w:color w:val="000000"/>
                <w:szCs w:val="22"/>
              </w:rPr>
            </w:pPr>
            <w:r w:rsidRPr="00DE52D1">
              <w:rPr>
                <w:b/>
                <w:bCs/>
                <w:color w:val="000000"/>
                <w:szCs w:val="22"/>
              </w:rPr>
              <w:t>No</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896137" w:rsidRPr="00DE52D1" w:rsidRDefault="00896137" w:rsidP="00DE52D1">
            <w:pPr>
              <w:rPr>
                <w:b/>
                <w:bCs/>
                <w:color w:val="000000"/>
                <w:szCs w:val="22"/>
              </w:rPr>
            </w:pPr>
            <w:r w:rsidRPr="00DE52D1">
              <w:rPr>
                <w:b/>
                <w:bCs/>
                <w:color w:val="000000"/>
                <w:szCs w:val="22"/>
              </w:rPr>
              <w:t>Cement Type</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896137" w:rsidRPr="00DE52D1" w:rsidRDefault="00896137" w:rsidP="00DE52D1">
            <w:pPr>
              <w:rPr>
                <w:b/>
                <w:bCs/>
                <w:color w:val="000000"/>
                <w:szCs w:val="22"/>
              </w:rPr>
            </w:pPr>
            <w:r w:rsidRPr="00DE52D1">
              <w:rPr>
                <w:b/>
                <w:bCs/>
                <w:color w:val="000000"/>
                <w:szCs w:val="22"/>
              </w:rPr>
              <w:t>Chemical Admixture Type</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rsidR="00896137" w:rsidRPr="00DE52D1" w:rsidRDefault="00896137" w:rsidP="00DE52D1">
            <w:pPr>
              <w:rPr>
                <w:b/>
                <w:bCs/>
                <w:color w:val="000000"/>
                <w:szCs w:val="22"/>
              </w:rPr>
            </w:pPr>
            <w:r w:rsidRPr="00DE52D1">
              <w:rPr>
                <w:b/>
                <w:bCs/>
                <w:color w:val="000000"/>
                <w:szCs w:val="22"/>
              </w:rPr>
              <w:t>Water cement ratio</w:t>
            </w:r>
          </w:p>
        </w:tc>
        <w:tc>
          <w:tcPr>
            <w:tcW w:w="967" w:type="dxa"/>
            <w:tcBorders>
              <w:top w:val="single" w:sz="4" w:space="0" w:color="auto"/>
              <w:left w:val="nil"/>
              <w:bottom w:val="single" w:sz="4" w:space="0" w:color="auto"/>
              <w:right w:val="single" w:sz="4" w:space="0" w:color="auto"/>
            </w:tcBorders>
            <w:shd w:val="clear" w:color="auto" w:fill="auto"/>
            <w:vAlign w:val="center"/>
            <w:hideMark/>
          </w:tcPr>
          <w:p w:rsidR="00896137" w:rsidRPr="00DE52D1" w:rsidRDefault="00896137" w:rsidP="00DE52D1">
            <w:pPr>
              <w:rPr>
                <w:b/>
                <w:bCs/>
                <w:color w:val="000000"/>
                <w:szCs w:val="22"/>
              </w:rPr>
            </w:pPr>
            <w:r w:rsidRPr="00DE52D1">
              <w:rPr>
                <w:b/>
                <w:bCs/>
                <w:color w:val="000000"/>
                <w:szCs w:val="22"/>
              </w:rPr>
              <w:t>Optimum Dosage of</w:t>
            </w:r>
          </w:p>
        </w:tc>
      </w:tr>
      <w:tr w:rsidR="00896137" w:rsidRPr="009C1A67" w:rsidTr="00896137">
        <w:trPr>
          <w:trHeight w:val="249"/>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6137" w:rsidRPr="00DF733D" w:rsidRDefault="00896137" w:rsidP="00DE52D1">
            <w:pPr>
              <w:rPr>
                <w:color w:val="000000"/>
              </w:rPr>
            </w:pPr>
            <w:r w:rsidRPr="00DF733D">
              <w:rPr>
                <w:color w:val="000000"/>
              </w:rPr>
              <w:t>1</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896137" w:rsidRPr="00DF733D" w:rsidRDefault="00896137" w:rsidP="00DE52D1">
            <w:pPr>
              <w:rPr>
                <w:color w:val="000000"/>
              </w:rPr>
            </w:pPr>
            <w:r w:rsidRPr="00DF733D">
              <w:rPr>
                <w:color w:val="000000"/>
              </w:rPr>
              <w:t>OPC -53</w:t>
            </w:r>
          </w:p>
        </w:tc>
        <w:tc>
          <w:tcPr>
            <w:tcW w:w="1061" w:type="dxa"/>
            <w:tcBorders>
              <w:top w:val="nil"/>
              <w:left w:val="nil"/>
              <w:bottom w:val="single" w:sz="4" w:space="0" w:color="auto"/>
              <w:right w:val="single" w:sz="4" w:space="0" w:color="auto"/>
            </w:tcBorders>
            <w:shd w:val="clear" w:color="auto" w:fill="auto"/>
            <w:vAlign w:val="center"/>
            <w:hideMark/>
          </w:tcPr>
          <w:p w:rsidR="00896137" w:rsidRPr="00DF733D" w:rsidRDefault="00896137" w:rsidP="00DE52D1">
            <w:pPr>
              <w:rPr>
                <w:color w:val="000000"/>
              </w:rPr>
            </w:pPr>
            <w:r w:rsidRPr="00DF733D">
              <w:rPr>
                <w:color w:val="000000"/>
              </w:rPr>
              <w:t>PCE</w:t>
            </w:r>
          </w:p>
        </w:tc>
        <w:tc>
          <w:tcPr>
            <w:tcW w:w="1322" w:type="dxa"/>
            <w:vMerge w:val="restart"/>
            <w:tcBorders>
              <w:top w:val="nil"/>
              <w:left w:val="single" w:sz="4" w:space="0" w:color="auto"/>
              <w:bottom w:val="single" w:sz="4" w:space="0" w:color="auto"/>
              <w:right w:val="single" w:sz="4" w:space="0" w:color="auto"/>
            </w:tcBorders>
            <w:shd w:val="clear" w:color="auto" w:fill="auto"/>
            <w:vAlign w:val="center"/>
            <w:hideMark/>
          </w:tcPr>
          <w:p w:rsidR="00896137" w:rsidRPr="00DF733D" w:rsidRDefault="00896137" w:rsidP="00DE52D1">
            <w:pPr>
              <w:rPr>
                <w:color w:val="000000"/>
              </w:rPr>
            </w:pPr>
            <w:r w:rsidRPr="00DF733D">
              <w:rPr>
                <w:color w:val="000000"/>
              </w:rPr>
              <w:t>0.35</w:t>
            </w:r>
          </w:p>
        </w:tc>
        <w:tc>
          <w:tcPr>
            <w:tcW w:w="967" w:type="dxa"/>
            <w:tcBorders>
              <w:top w:val="nil"/>
              <w:left w:val="nil"/>
              <w:bottom w:val="single" w:sz="4" w:space="0" w:color="auto"/>
              <w:right w:val="single" w:sz="4" w:space="0" w:color="auto"/>
            </w:tcBorders>
            <w:shd w:val="clear" w:color="auto" w:fill="auto"/>
            <w:vAlign w:val="center"/>
            <w:hideMark/>
          </w:tcPr>
          <w:p w:rsidR="00896137" w:rsidRPr="00DF733D" w:rsidRDefault="00896137" w:rsidP="00DE52D1">
            <w:pPr>
              <w:rPr>
                <w:b/>
                <w:bCs/>
                <w:color w:val="000000"/>
              </w:rPr>
            </w:pPr>
            <w:r w:rsidRPr="00DF733D">
              <w:rPr>
                <w:b/>
                <w:bCs/>
                <w:color w:val="000000"/>
              </w:rPr>
              <w:t>1%</w:t>
            </w:r>
          </w:p>
        </w:tc>
      </w:tr>
      <w:tr w:rsidR="00896137" w:rsidRPr="009C1A67" w:rsidTr="00896137">
        <w:trPr>
          <w:trHeight w:val="249"/>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6137" w:rsidRPr="00DF733D" w:rsidRDefault="00896137" w:rsidP="00DE52D1">
            <w:pPr>
              <w:rPr>
                <w:color w:val="000000"/>
              </w:rPr>
            </w:pPr>
            <w:r w:rsidRPr="00DF733D">
              <w:rPr>
                <w:color w:val="000000"/>
              </w:rPr>
              <w:t>2</w:t>
            </w:r>
          </w:p>
        </w:tc>
        <w:tc>
          <w:tcPr>
            <w:tcW w:w="1060" w:type="dxa"/>
            <w:vMerge/>
            <w:tcBorders>
              <w:top w:val="nil"/>
              <w:left w:val="single" w:sz="4" w:space="0" w:color="auto"/>
              <w:bottom w:val="single" w:sz="4" w:space="0" w:color="auto"/>
              <w:right w:val="single" w:sz="4" w:space="0" w:color="auto"/>
            </w:tcBorders>
            <w:vAlign w:val="center"/>
            <w:hideMark/>
          </w:tcPr>
          <w:p w:rsidR="00896137" w:rsidRPr="00DF733D" w:rsidRDefault="00896137" w:rsidP="00DE52D1">
            <w:pPr>
              <w:rPr>
                <w:color w:val="000000"/>
              </w:rPr>
            </w:pPr>
          </w:p>
        </w:tc>
        <w:tc>
          <w:tcPr>
            <w:tcW w:w="1061" w:type="dxa"/>
            <w:tcBorders>
              <w:top w:val="nil"/>
              <w:left w:val="nil"/>
              <w:bottom w:val="single" w:sz="4" w:space="0" w:color="auto"/>
              <w:right w:val="single" w:sz="4" w:space="0" w:color="auto"/>
            </w:tcBorders>
            <w:shd w:val="clear" w:color="auto" w:fill="auto"/>
            <w:vAlign w:val="center"/>
            <w:hideMark/>
          </w:tcPr>
          <w:p w:rsidR="00896137" w:rsidRPr="00DF733D" w:rsidRDefault="00896137" w:rsidP="00DE52D1">
            <w:pPr>
              <w:rPr>
                <w:color w:val="000000"/>
              </w:rPr>
            </w:pPr>
            <w:r w:rsidRPr="00DF733D">
              <w:rPr>
                <w:color w:val="000000"/>
              </w:rPr>
              <w:t>SMF</w:t>
            </w:r>
          </w:p>
        </w:tc>
        <w:tc>
          <w:tcPr>
            <w:tcW w:w="1322" w:type="dxa"/>
            <w:vMerge/>
            <w:tcBorders>
              <w:top w:val="nil"/>
              <w:left w:val="single" w:sz="4" w:space="0" w:color="auto"/>
              <w:bottom w:val="single" w:sz="4" w:space="0" w:color="auto"/>
              <w:right w:val="single" w:sz="4" w:space="0" w:color="auto"/>
            </w:tcBorders>
            <w:vAlign w:val="center"/>
            <w:hideMark/>
          </w:tcPr>
          <w:p w:rsidR="00896137" w:rsidRPr="00DF733D" w:rsidRDefault="00896137" w:rsidP="00DE52D1">
            <w:pPr>
              <w:rPr>
                <w:color w:val="000000"/>
              </w:rPr>
            </w:pPr>
          </w:p>
        </w:tc>
        <w:tc>
          <w:tcPr>
            <w:tcW w:w="967" w:type="dxa"/>
            <w:tcBorders>
              <w:top w:val="nil"/>
              <w:left w:val="nil"/>
              <w:bottom w:val="single" w:sz="4" w:space="0" w:color="auto"/>
              <w:right w:val="single" w:sz="4" w:space="0" w:color="auto"/>
            </w:tcBorders>
            <w:shd w:val="clear" w:color="auto" w:fill="auto"/>
            <w:vAlign w:val="center"/>
            <w:hideMark/>
          </w:tcPr>
          <w:p w:rsidR="00896137" w:rsidRPr="00DF733D" w:rsidRDefault="00896137" w:rsidP="00DE52D1">
            <w:pPr>
              <w:rPr>
                <w:b/>
                <w:bCs/>
                <w:color w:val="000000"/>
              </w:rPr>
            </w:pPr>
            <w:r w:rsidRPr="00DF733D">
              <w:rPr>
                <w:b/>
                <w:bCs/>
                <w:color w:val="000000"/>
              </w:rPr>
              <w:t>1.25%</w:t>
            </w:r>
          </w:p>
        </w:tc>
      </w:tr>
    </w:tbl>
    <w:p w:rsidR="00896137" w:rsidRPr="00896137" w:rsidRDefault="00896137" w:rsidP="00896137">
      <w:pPr>
        <w:pStyle w:val="BodyText"/>
        <w:tabs>
          <w:tab w:val="left" w:pos="720"/>
        </w:tabs>
        <w:spacing w:line="240" w:lineRule="auto"/>
        <w:ind w:right="49"/>
        <w:jc w:val="center"/>
        <w:rPr>
          <w:b/>
        </w:rPr>
      </w:pPr>
    </w:p>
    <w:p w:rsidR="00896137" w:rsidRPr="004478DD" w:rsidRDefault="00896137" w:rsidP="00896137">
      <w:pPr>
        <w:pStyle w:val="BodyText"/>
        <w:tabs>
          <w:tab w:val="left" w:pos="720"/>
        </w:tabs>
        <w:spacing w:line="240" w:lineRule="auto"/>
        <w:ind w:right="49"/>
        <w:rPr>
          <w:position w:val="1"/>
        </w:rPr>
      </w:pPr>
      <w:r w:rsidRPr="004478DD">
        <w:rPr>
          <w:position w:val="1"/>
        </w:rPr>
        <w:t>The</w:t>
      </w:r>
      <w:r w:rsidRPr="004478DD">
        <w:rPr>
          <w:spacing w:val="1"/>
          <w:position w:val="1"/>
        </w:rPr>
        <w:t xml:space="preserve"> </w:t>
      </w:r>
      <w:r w:rsidRPr="004478DD">
        <w:rPr>
          <w:position w:val="1"/>
        </w:rPr>
        <w:t>optimum</w:t>
      </w:r>
      <w:r w:rsidRPr="004478DD">
        <w:rPr>
          <w:spacing w:val="1"/>
          <w:position w:val="1"/>
        </w:rPr>
        <w:t xml:space="preserve"> </w:t>
      </w:r>
      <w:r w:rsidRPr="004478DD">
        <w:rPr>
          <w:position w:val="1"/>
        </w:rPr>
        <w:t>dosage</w:t>
      </w:r>
      <w:r w:rsidRPr="004478DD">
        <w:rPr>
          <w:spacing w:val="1"/>
          <w:position w:val="1"/>
        </w:rPr>
        <w:t xml:space="preserve"> given a </w:t>
      </w:r>
      <w:r w:rsidRPr="004478DD">
        <w:t>water</w:t>
      </w:r>
      <w:r w:rsidRPr="004478DD">
        <w:rPr>
          <w:spacing w:val="1"/>
        </w:rPr>
        <w:t xml:space="preserve"> </w:t>
      </w:r>
      <w:r w:rsidRPr="004478DD">
        <w:t>cement</w:t>
      </w:r>
      <w:r w:rsidRPr="004478DD">
        <w:rPr>
          <w:spacing w:val="1"/>
        </w:rPr>
        <w:t xml:space="preserve"> </w:t>
      </w:r>
      <w:r w:rsidRPr="004478DD">
        <w:t>ratio</w:t>
      </w:r>
      <w:r w:rsidRPr="004478DD">
        <w:rPr>
          <w:spacing w:val="1"/>
        </w:rPr>
        <w:t xml:space="preserve"> </w:t>
      </w:r>
      <w:r w:rsidRPr="004478DD">
        <w:t>of</w:t>
      </w:r>
      <w:r w:rsidRPr="004478DD">
        <w:rPr>
          <w:spacing w:val="1"/>
        </w:rPr>
        <w:t xml:space="preserve"> </w:t>
      </w:r>
      <w:r w:rsidRPr="004478DD">
        <w:t>0.35</w:t>
      </w:r>
      <w:r w:rsidRPr="004478DD">
        <w:rPr>
          <w:spacing w:val="1"/>
        </w:rPr>
        <w:t xml:space="preserve"> </w:t>
      </w:r>
      <w:r w:rsidRPr="004478DD">
        <w:t>is 1.25%</w:t>
      </w:r>
      <w:r w:rsidRPr="004478DD">
        <w:rPr>
          <w:spacing w:val="1"/>
        </w:rPr>
        <w:t xml:space="preserve"> using of Sulphonated Melamine Formaldehyde (SMF) for </w:t>
      </w:r>
      <w:r w:rsidRPr="004478DD">
        <w:t xml:space="preserve">OPC cement type as shown in Table </w:t>
      </w:r>
      <w:r w:rsidR="00B56020">
        <w:t>8</w:t>
      </w:r>
      <w:r w:rsidRPr="004478DD">
        <w:t xml:space="preserve"> and Fig</w:t>
      </w:r>
      <w:r w:rsidR="00B56020">
        <w:t>ure</w:t>
      </w:r>
      <w:r w:rsidRPr="004478DD">
        <w:t xml:space="preserve"> </w:t>
      </w:r>
      <w:r w:rsidR="00B56020">
        <w:t>3</w:t>
      </w:r>
      <w:r w:rsidRPr="004478DD">
        <w:t>.  Since,</w:t>
      </w:r>
      <w:r w:rsidRPr="004478DD">
        <w:rPr>
          <w:spacing w:val="1"/>
        </w:rPr>
        <w:t xml:space="preserve"> </w:t>
      </w:r>
      <w:r w:rsidRPr="004478DD">
        <w:t>those</w:t>
      </w:r>
      <w:r w:rsidRPr="004478DD">
        <w:rPr>
          <w:spacing w:val="1"/>
        </w:rPr>
        <w:t xml:space="preserve"> </w:t>
      </w:r>
      <w:r w:rsidRPr="004478DD">
        <w:t>are</w:t>
      </w:r>
      <w:r w:rsidRPr="004478DD">
        <w:rPr>
          <w:spacing w:val="1"/>
        </w:rPr>
        <w:t xml:space="preserve"> </w:t>
      </w:r>
      <w:r w:rsidRPr="004478DD">
        <w:t>considering</w:t>
      </w:r>
      <w:r w:rsidRPr="004478DD">
        <w:rPr>
          <w:spacing w:val="1"/>
        </w:rPr>
        <w:t xml:space="preserve"> </w:t>
      </w:r>
      <w:r w:rsidRPr="004478DD">
        <w:t>optimum</w:t>
      </w:r>
      <w:r w:rsidRPr="004478DD">
        <w:rPr>
          <w:spacing w:val="1"/>
        </w:rPr>
        <w:t xml:space="preserve"> </w:t>
      </w:r>
      <w:r w:rsidRPr="004478DD">
        <w:t>dose</w:t>
      </w:r>
      <w:r w:rsidRPr="004478DD">
        <w:rPr>
          <w:spacing w:val="1"/>
        </w:rPr>
        <w:t xml:space="preserve"> </w:t>
      </w:r>
      <w:r w:rsidRPr="004478DD">
        <w:t>of</w:t>
      </w:r>
      <w:r w:rsidRPr="004478DD">
        <w:rPr>
          <w:spacing w:val="1"/>
        </w:rPr>
        <w:t xml:space="preserve"> </w:t>
      </w:r>
      <w:r w:rsidRPr="004478DD">
        <w:t>super plasticizer</w:t>
      </w:r>
      <w:r w:rsidRPr="004478DD">
        <w:rPr>
          <w:spacing w:val="-2"/>
        </w:rPr>
        <w:t xml:space="preserve"> and cement </w:t>
      </w:r>
      <w:r w:rsidRPr="004478DD">
        <w:t>for</w:t>
      </w:r>
      <w:r w:rsidRPr="004478DD">
        <w:rPr>
          <w:spacing w:val="-1"/>
        </w:rPr>
        <w:t xml:space="preserve"> </w:t>
      </w:r>
      <w:r w:rsidRPr="004478DD">
        <w:t>selected water</w:t>
      </w:r>
      <w:r w:rsidRPr="004478DD">
        <w:rPr>
          <w:spacing w:val="1"/>
        </w:rPr>
        <w:t xml:space="preserve"> </w:t>
      </w:r>
      <w:r w:rsidRPr="004478DD">
        <w:t>cement</w:t>
      </w:r>
      <w:r w:rsidRPr="004478DD">
        <w:rPr>
          <w:spacing w:val="2"/>
        </w:rPr>
        <w:t xml:space="preserve"> </w:t>
      </w:r>
      <w:r w:rsidRPr="004478DD">
        <w:t>ratio.</w:t>
      </w:r>
    </w:p>
    <w:p w:rsidR="00F95050" w:rsidRPr="00F95050" w:rsidRDefault="00F95050" w:rsidP="00F95050">
      <w:pPr>
        <w:pStyle w:val="Heading2"/>
        <w:spacing w:before="0" w:after="0"/>
        <w:ind w:left="0" w:firstLine="0"/>
        <w:rPr>
          <w:b/>
          <w:i w:val="0"/>
        </w:rPr>
      </w:pPr>
      <w:r w:rsidRPr="00F95050">
        <w:rPr>
          <w:b/>
          <w:i w:val="0"/>
        </w:rPr>
        <w:t>Effects of Super plasticizer Dosage on Slump Test</w:t>
      </w:r>
    </w:p>
    <w:p w:rsidR="00F95050" w:rsidRDefault="00B537AB" w:rsidP="00F95050">
      <w:pPr>
        <w:pStyle w:val="BodyText"/>
        <w:spacing w:line="240" w:lineRule="auto"/>
        <w:ind w:right="13" w:firstLine="540"/>
        <w:rPr>
          <w:spacing w:val="-1"/>
        </w:rPr>
      </w:pPr>
      <w:r w:rsidRPr="00B537AB">
        <w:t>Additionally, slump cone tests were performed on freshly mixed concrete materials using both super plasticizers and those without at a water to cement ratio of 0.35 and varying water amount decrease. As a result, the slump test was carried out in line with the table 10 requirements of the IS standards. For Super Plasticizer with or without values, various slump values measured (in mm) are obtained.</w:t>
      </w:r>
    </w:p>
    <w:p w:rsidR="00D531C2" w:rsidRPr="00CF41EF" w:rsidRDefault="00D531C2" w:rsidP="00D531C2">
      <w:pPr>
        <w:rPr>
          <w:b/>
          <w:bCs/>
        </w:rPr>
      </w:pPr>
      <w:r w:rsidRPr="006F6731">
        <w:rPr>
          <w:b/>
        </w:rPr>
        <w:t>T</w:t>
      </w:r>
      <w:r>
        <w:rPr>
          <w:b/>
        </w:rPr>
        <w:t>able 10:</w:t>
      </w:r>
      <w:r w:rsidRPr="006F6731">
        <w:rPr>
          <w:b/>
        </w:rPr>
        <w:t xml:space="preserve"> Slump Test with &amp; without Super plasticizer – PCE &amp; SMF</w:t>
      </w:r>
    </w:p>
    <w:tbl>
      <w:tblPr>
        <w:tblW w:w="4725" w:type="dxa"/>
        <w:jc w:val="center"/>
        <w:tblInd w:w="95" w:type="dxa"/>
        <w:tblLook w:val="04A0"/>
      </w:tblPr>
      <w:tblGrid>
        <w:gridCol w:w="643"/>
        <w:gridCol w:w="1080"/>
        <w:gridCol w:w="1604"/>
        <w:gridCol w:w="1398"/>
      </w:tblGrid>
      <w:tr w:rsidR="00F95050" w:rsidRPr="009C1A67" w:rsidTr="00264F77">
        <w:trPr>
          <w:trHeight w:val="107"/>
          <w:jc w:val="center"/>
        </w:trPr>
        <w:tc>
          <w:tcPr>
            <w:tcW w:w="6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5050" w:rsidRPr="003B3319" w:rsidRDefault="00F95050" w:rsidP="00A52B0F">
            <w:pPr>
              <w:rPr>
                <w:b/>
                <w:bCs/>
                <w:color w:val="000000"/>
              </w:rPr>
            </w:pPr>
            <w:r w:rsidRPr="003B3319">
              <w:rPr>
                <w:b/>
                <w:bCs/>
                <w:color w:val="000000"/>
              </w:rPr>
              <w:t>S.No</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95050" w:rsidRPr="003B3319" w:rsidRDefault="00F95050" w:rsidP="00A52B0F">
            <w:pPr>
              <w:rPr>
                <w:b/>
                <w:bCs/>
                <w:color w:val="000000"/>
              </w:rPr>
            </w:pPr>
            <w:r w:rsidRPr="003B3319">
              <w:rPr>
                <w:b/>
                <w:bCs/>
                <w:color w:val="000000"/>
              </w:rPr>
              <w:t>SP dosage           %</w:t>
            </w:r>
          </w:p>
        </w:tc>
        <w:tc>
          <w:tcPr>
            <w:tcW w:w="300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95050" w:rsidRPr="003B3319" w:rsidRDefault="00F95050" w:rsidP="00F43733">
            <w:pPr>
              <w:rPr>
                <w:b/>
                <w:bCs/>
                <w:color w:val="000000"/>
              </w:rPr>
            </w:pPr>
            <w:r w:rsidRPr="003B3319">
              <w:rPr>
                <w:b/>
                <w:bCs/>
                <w:color w:val="000000"/>
              </w:rPr>
              <w:t>S</w:t>
            </w:r>
            <w:r w:rsidR="00F43733">
              <w:rPr>
                <w:b/>
                <w:bCs/>
                <w:color w:val="000000"/>
              </w:rPr>
              <w:t>lump</w:t>
            </w:r>
            <w:r w:rsidRPr="003B3319">
              <w:rPr>
                <w:b/>
                <w:bCs/>
                <w:color w:val="000000"/>
              </w:rPr>
              <w:t xml:space="preserve"> Cone test , mm</w:t>
            </w:r>
          </w:p>
        </w:tc>
      </w:tr>
      <w:tr w:rsidR="00F95050" w:rsidRPr="009C1A67" w:rsidTr="00B44A8F">
        <w:trPr>
          <w:trHeight w:val="236"/>
          <w:jc w:val="center"/>
        </w:trPr>
        <w:tc>
          <w:tcPr>
            <w:tcW w:w="643" w:type="dxa"/>
            <w:vMerge/>
            <w:tcBorders>
              <w:top w:val="single" w:sz="4" w:space="0" w:color="auto"/>
              <w:left w:val="single" w:sz="4" w:space="0" w:color="auto"/>
              <w:bottom w:val="single" w:sz="4" w:space="0" w:color="auto"/>
              <w:right w:val="single" w:sz="4" w:space="0" w:color="auto"/>
            </w:tcBorders>
            <w:vAlign w:val="center"/>
            <w:hideMark/>
          </w:tcPr>
          <w:p w:rsidR="00F95050" w:rsidRPr="003B3319" w:rsidRDefault="00F95050" w:rsidP="00A52B0F">
            <w:pPr>
              <w:rPr>
                <w:b/>
                <w:bCs/>
                <w:color w:val="00000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F95050" w:rsidRPr="003B3319" w:rsidRDefault="00F95050" w:rsidP="00A52B0F">
            <w:pPr>
              <w:rPr>
                <w:b/>
                <w:bCs/>
                <w:color w:val="000000"/>
              </w:rPr>
            </w:pPr>
          </w:p>
        </w:tc>
        <w:tc>
          <w:tcPr>
            <w:tcW w:w="1604" w:type="dxa"/>
            <w:tcBorders>
              <w:top w:val="nil"/>
              <w:left w:val="nil"/>
              <w:bottom w:val="single" w:sz="4" w:space="0" w:color="auto"/>
              <w:right w:val="single" w:sz="4" w:space="0" w:color="auto"/>
            </w:tcBorders>
            <w:shd w:val="clear" w:color="auto" w:fill="auto"/>
            <w:noWrap/>
            <w:vAlign w:val="bottom"/>
            <w:hideMark/>
          </w:tcPr>
          <w:p w:rsidR="00F95050" w:rsidRPr="003B3319" w:rsidRDefault="00F95050" w:rsidP="00A52B0F">
            <w:pPr>
              <w:rPr>
                <w:b/>
                <w:bCs/>
                <w:color w:val="000000"/>
              </w:rPr>
            </w:pPr>
            <w:r w:rsidRPr="003B3319">
              <w:rPr>
                <w:b/>
                <w:bCs/>
                <w:color w:val="000000"/>
              </w:rPr>
              <w:t>PCE</w:t>
            </w:r>
          </w:p>
        </w:tc>
        <w:tc>
          <w:tcPr>
            <w:tcW w:w="1398" w:type="dxa"/>
            <w:tcBorders>
              <w:top w:val="nil"/>
              <w:left w:val="nil"/>
              <w:bottom w:val="single" w:sz="4" w:space="0" w:color="auto"/>
              <w:right w:val="single" w:sz="4" w:space="0" w:color="auto"/>
            </w:tcBorders>
            <w:shd w:val="clear" w:color="auto" w:fill="auto"/>
            <w:noWrap/>
            <w:vAlign w:val="bottom"/>
            <w:hideMark/>
          </w:tcPr>
          <w:p w:rsidR="00F95050" w:rsidRPr="003B3319" w:rsidRDefault="00F95050" w:rsidP="00A52B0F">
            <w:pPr>
              <w:rPr>
                <w:b/>
                <w:bCs/>
                <w:color w:val="000000"/>
              </w:rPr>
            </w:pPr>
            <w:r w:rsidRPr="003B3319">
              <w:rPr>
                <w:b/>
                <w:bCs/>
                <w:color w:val="000000"/>
              </w:rPr>
              <w:t>SMF</w:t>
            </w:r>
          </w:p>
        </w:tc>
      </w:tr>
      <w:tr w:rsidR="00F95050" w:rsidRPr="009C1A67" w:rsidTr="00F43733">
        <w:trPr>
          <w:trHeight w:val="224"/>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1</w:t>
            </w:r>
          </w:p>
        </w:tc>
        <w:tc>
          <w:tcPr>
            <w:tcW w:w="1080"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0</w:t>
            </w:r>
          </w:p>
        </w:tc>
        <w:tc>
          <w:tcPr>
            <w:tcW w:w="1604"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5</w:t>
            </w:r>
          </w:p>
        </w:tc>
        <w:tc>
          <w:tcPr>
            <w:tcW w:w="1398"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5</w:t>
            </w:r>
          </w:p>
        </w:tc>
      </w:tr>
      <w:tr w:rsidR="00F95050" w:rsidRPr="009C1A67" w:rsidTr="00B44A8F">
        <w:trPr>
          <w:trHeight w:val="248"/>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2</w:t>
            </w:r>
          </w:p>
        </w:tc>
        <w:tc>
          <w:tcPr>
            <w:tcW w:w="1080"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0.25</w:t>
            </w:r>
          </w:p>
        </w:tc>
        <w:tc>
          <w:tcPr>
            <w:tcW w:w="1604"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20</w:t>
            </w:r>
          </w:p>
        </w:tc>
        <w:tc>
          <w:tcPr>
            <w:tcW w:w="1398"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25</w:t>
            </w:r>
          </w:p>
        </w:tc>
      </w:tr>
      <w:tr w:rsidR="00F95050" w:rsidRPr="009C1A67" w:rsidTr="00B44A8F">
        <w:trPr>
          <w:trHeight w:val="248"/>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3</w:t>
            </w:r>
          </w:p>
        </w:tc>
        <w:tc>
          <w:tcPr>
            <w:tcW w:w="1080"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0.5</w:t>
            </w:r>
          </w:p>
        </w:tc>
        <w:tc>
          <w:tcPr>
            <w:tcW w:w="1604"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30</w:t>
            </w:r>
          </w:p>
        </w:tc>
        <w:tc>
          <w:tcPr>
            <w:tcW w:w="1398"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34</w:t>
            </w:r>
          </w:p>
        </w:tc>
      </w:tr>
      <w:tr w:rsidR="00F95050" w:rsidRPr="009C1A67" w:rsidTr="00B44A8F">
        <w:trPr>
          <w:trHeight w:val="248"/>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4</w:t>
            </w:r>
          </w:p>
        </w:tc>
        <w:tc>
          <w:tcPr>
            <w:tcW w:w="1080"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1</w:t>
            </w:r>
          </w:p>
        </w:tc>
        <w:tc>
          <w:tcPr>
            <w:tcW w:w="1604"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60</w:t>
            </w:r>
          </w:p>
        </w:tc>
        <w:tc>
          <w:tcPr>
            <w:tcW w:w="1398"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51</w:t>
            </w:r>
          </w:p>
        </w:tc>
      </w:tr>
      <w:tr w:rsidR="00F95050" w:rsidRPr="009C1A67" w:rsidTr="00B44A8F">
        <w:trPr>
          <w:trHeight w:val="248"/>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5</w:t>
            </w:r>
          </w:p>
        </w:tc>
        <w:tc>
          <w:tcPr>
            <w:tcW w:w="1080"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1.25</w:t>
            </w:r>
          </w:p>
        </w:tc>
        <w:tc>
          <w:tcPr>
            <w:tcW w:w="1604"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115</w:t>
            </w:r>
          </w:p>
        </w:tc>
        <w:tc>
          <w:tcPr>
            <w:tcW w:w="1398"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70</w:t>
            </w:r>
          </w:p>
        </w:tc>
      </w:tr>
      <w:tr w:rsidR="00F95050" w:rsidRPr="009C1A67" w:rsidTr="00B44A8F">
        <w:trPr>
          <w:trHeight w:val="248"/>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6</w:t>
            </w:r>
          </w:p>
        </w:tc>
        <w:tc>
          <w:tcPr>
            <w:tcW w:w="1080"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1.5</w:t>
            </w:r>
          </w:p>
        </w:tc>
        <w:tc>
          <w:tcPr>
            <w:tcW w:w="1604"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125</w:t>
            </w:r>
          </w:p>
        </w:tc>
        <w:tc>
          <w:tcPr>
            <w:tcW w:w="1398"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110</w:t>
            </w:r>
          </w:p>
        </w:tc>
      </w:tr>
      <w:tr w:rsidR="00F95050" w:rsidRPr="009C1A67" w:rsidTr="00B44A8F">
        <w:trPr>
          <w:trHeight w:val="248"/>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7</w:t>
            </w:r>
          </w:p>
        </w:tc>
        <w:tc>
          <w:tcPr>
            <w:tcW w:w="1080"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1.75</w:t>
            </w:r>
          </w:p>
        </w:tc>
        <w:tc>
          <w:tcPr>
            <w:tcW w:w="1604"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130</w:t>
            </w:r>
          </w:p>
        </w:tc>
        <w:tc>
          <w:tcPr>
            <w:tcW w:w="1398"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128</w:t>
            </w:r>
          </w:p>
        </w:tc>
      </w:tr>
    </w:tbl>
    <w:p w:rsidR="00F95050" w:rsidRPr="006F6731" w:rsidRDefault="00F95050" w:rsidP="00F95050">
      <w:pPr>
        <w:pStyle w:val="BodyText"/>
        <w:spacing w:line="240" w:lineRule="auto"/>
        <w:ind w:right="13" w:firstLine="720"/>
      </w:pPr>
      <w:r w:rsidRPr="006F6731">
        <w:t xml:space="preserve">Slump values results of super plasticizer are been described in Table </w:t>
      </w:r>
      <w:r w:rsidR="00B56020">
        <w:t>10</w:t>
      </w:r>
      <w:r w:rsidRPr="006F6731">
        <w:t xml:space="preserve"> and Fig </w:t>
      </w:r>
      <w:r w:rsidR="00B56020">
        <w:t>4</w:t>
      </w:r>
      <w:r w:rsidRPr="006F6731">
        <w:t xml:space="preserve"> for PCE &amp; SMF super plasticizers respectively. Percentage of SP, SP amount and slump value were recorded. It is demonstrated in Figure </w:t>
      </w:r>
      <w:r w:rsidR="00B56020">
        <w:t>4</w:t>
      </w:r>
      <w:r w:rsidRPr="006F6731">
        <w:t xml:space="preserve"> Y-axis is the slump height (mm) and X-axis is Super plasticizer in percentage. It was clear the required slump 60 mm and 70 mm was achieved at both super plasticizers optimum dosage of 1 % &amp; 1.25 % and without SP slump value close to ‘0’ because of lesser water cement ratio.</w:t>
      </w:r>
    </w:p>
    <w:p w:rsidR="00896137" w:rsidRPr="004478DD" w:rsidRDefault="00F95050" w:rsidP="00F95050">
      <w:pPr>
        <w:ind w:firstLine="288"/>
      </w:pPr>
      <w:r w:rsidRPr="00F95050">
        <w:rPr>
          <w:noProof/>
          <w:lang w:bidi="te-IN"/>
        </w:rPr>
        <w:lastRenderedPageBreak/>
        <w:drawing>
          <wp:inline distT="0" distB="0" distL="0" distR="0">
            <wp:extent cx="3179638" cy="2102755"/>
            <wp:effectExtent l="19050" t="0" r="20762" b="0"/>
            <wp:docPr id="11"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95050" w:rsidRDefault="00F95050" w:rsidP="00F95050">
      <w:pPr>
        <w:pStyle w:val="Heading2"/>
        <w:numPr>
          <w:ilvl w:val="0"/>
          <w:numId w:val="0"/>
        </w:numPr>
        <w:spacing w:before="0" w:after="0"/>
        <w:rPr>
          <w:rFonts w:eastAsia="Times New Roman"/>
          <w:i w:val="0"/>
          <w:iCs w:val="0"/>
          <w:noProof w:val="0"/>
        </w:rPr>
      </w:pPr>
    </w:p>
    <w:p w:rsidR="00332EE7" w:rsidRDefault="00332EE7" w:rsidP="00F95050">
      <w:pPr>
        <w:rPr>
          <w:b/>
        </w:rPr>
      </w:pPr>
      <w:r w:rsidRPr="00896137">
        <w:rPr>
          <w:b/>
        </w:rPr>
        <w:t xml:space="preserve">Figure </w:t>
      </w:r>
      <w:r>
        <w:rPr>
          <w:b/>
        </w:rPr>
        <w:t>4</w:t>
      </w:r>
      <w:r w:rsidRPr="00896137">
        <w:rPr>
          <w:b/>
        </w:rPr>
        <w:t xml:space="preserve">: </w:t>
      </w:r>
      <w:r w:rsidRPr="006F6731">
        <w:rPr>
          <w:b/>
        </w:rPr>
        <w:t xml:space="preserve">Effect of SP of PCE &amp; SMF </w:t>
      </w:r>
      <w:r>
        <w:rPr>
          <w:b/>
        </w:rPr>
        <w:t>i</w:t>
      </w:r>
      <w:r w:rsidRPr="006F6731">
        <w:rPr>
          <w:b/>
        </w:rPr>
        <w:t>n Slump Cone</w:t>
      </w:r>
    </w:p>
    <w:p w:rsidR="00F95050" w:rsidRPr="006676E6" w:rsidRDefault="00F95050" w:rsidP="00F95050">
      <w:pPr>
        <w:ind w:right="13" w:firstLine="180"/>
        <w:jc w:val="both"/>
      </w:pPr>
      <w:r w:rsidRPr="006F6731">
        <w:t xml:space="preserve">Hence, the SP dosage increased on the concrete mix with the two types of SP of PCE and SMF has distinct results as shown in Figure </w:t>
      </w:r>
      <w:r w:rsidR="00B56020">
        <w:t>4</w:t>
      </w:r>
      <w:r w:rsidRPr="006F6731">
        <w:t>. However, water cement ratios are not altered through super plasticizing through admixtures which has increase the workability. Based on the required slump value of specific construction of structure the dosage of both the Super plasticizers were increased</w:t>
      </w:r>
      <w:r w:rsidRPr="006676E6">
        <w:t>.</w:t>
      </w:r>
    </w:p>
    <w:p w:rsidR="00F95050" w:rsidRPr="00F95050" w:rsidRDefault="00F95050" w:rsidP="00F95050">
      <w:pPr>
        <w:pStyle w:val="Heading2"/>
        <w:spacing w:before="0" w:after="0"/>
        <w:ind w:left="0" w:firstLine="0"/>
        <w:rPr>
          <w:b/>
          <w:i w:val="0"/>
        </w:rPr>
      </w:pPr>
      <w:r w:rsidRPr="00F95050">
        <w:rPr>
          <w:b/>
          <w:i w:val="0"/>
        </w:rPr>
        <w:t>Effect of Super plasticizer on Properties of Hardened Concrete Strength</w:t>
      </w:r>
    </w:p>
    <w:p w:rsidR="00F95050" w:rsidRDefault="00F95050" w:rsidP="00F95050">
      <w:pPr>
        <w:ind w:right="13" w:firstLine="180"/>
        <w:jc w:val="both"/>
      </w:pPr>
      <w:r w:rsidRPr="006F6731">
        <w:t>The intense effect of Super plasticizer (SP) on properties</w:t>
      </w:r>
      <w:r w:rsidR="00B1732B">
        <w:t xml:space="preserve"> of hardened concrete has also p</w:t>
      </w:r>
      <w:r w:rsidRPr="006F6731">
        <w:t xml:space="preserve">roviding a enhanced compressive strength which are using the properties of concrete using the tensile strength. These tests were performed on 7 days and 28 days. The values of SP dosage and Compressive and Splitting Tensile strength at different specific dosage of Super plasticizer also demonstrated in Table </w:t>
      </w:r>
      <w:r w:rsidR="00B56020">
        <w:t>11</w:t>
      </w:r>
      <w:r w:rsidRPr="006F6731">
        <w:t xml:space="preserve"> and Figure </w:t>
      </w:r>
      <w:r w:rsidR="00B56020">
        <w:t>7</w:t>
      </w:r>
      <w:r w:rsidRPr="006F6731">
        <w:t xml:space="preserve"> consequently.</w:t>
      </w:r>
    </w:p>
    <w:p w:rsidR="00D531C2" w:rsidRPr="006F6731" w:rsidRDefault="00D531C2" w:rsidP="00D531C2">
      <w:pPr>
        <w:ind w:right="13" w:firstLine="180"/>
      </w:pPr>
      <w:r w:rsidRPr="006F6731">
        <w:rPr>
          <w:b/>
        </w:rPr>
        <w:t xml:space="preserve">Table </w:t>
      </w:r>
      <w:r>
        <w:rPr>
          <w:b/>
        </w:rPr>
        <w:t>11:</w:t>
      </w:r>
      <w:r w:rsidRPr="006F6731">
        <w:rPr>
          <w:b/>
        </w:rPr>
        <w:t xml:space="preserve"> Compressive and split tensile Strength of concrete of super plastered Concrete using PCE super plasticizer</w:t>
      </w:r>
    </w:p>
    <w:p w:rsidR="00F95050" w:rsidRDefault="00F95050" w:rsidP="00E9257B">
      <w:pPr>
        <w:pStyle w:val="Heading3"/>
        <w:widowControl w:val="0"/>
        <w:numPr>
          <w:ilvl w:val="0"/>
          <w:numId w:val="0"/>
        </w:numPr>
        <w:autoSpaceDE w:val="0"/>
        <w:autoSpaceDN w:val="0"/>
        <w:spacing w:before="76" w:line="360" w:lineRule="auto"/>
        <w:ind w:left="180" w:right="13"/>
        <w:jc w:val="center"/>
      </w:pPr>
      <w:r>
        <w:rPr>
          <w:lang w:bidi="te-IN"/>
        </w:rPr>
        <w:drawing>
          <wp:inline distT="0" distB="0" distL="0" distR="0">
            <wp:extent cx="3193415" cy="1992630"/>
            <wp:effectExtent l="19050" t="0" r="6985"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3193415" cy="1992630"/>
                    </a:xfrm>
                    <a:prstGeom prst="rect">
                      <a:avLst/>
                    </a:prstGeom>
                    <a:noFill/>
                    <a:ln w="9525">
                      <a:noFill/>
                      <a:miter lim="800000"/>
                      <a:headEnd/>
                      <a:tailEnd/>
                    </a:ln>
                  </pic:spPr>
                </pic:pic>
              </a:graphicData>
            </a:graphic>
          </wp:inline>
        </w:drawing>
      </w:r>
    </w:p>
    <w:p w:rsidR="00D531C2" w:rsidRPr="00D531C2" w:rsidRDefault="00D531C2" w:rsidP="00D531C2">
      <w:r w:rsidRPr="006F6731">
        <w:rPr>
          <w:b/>
        </w:rPr>
        <w:t xml:space="preserve">Table </w:t>
      </w:r>
      <w:r>
        <w:rPr>
          <w:b/>
        </w:rPr>
        <w:t>12:</w:t>
      </w:r>
      <w:r w:rsidRPr="006F6731">
        <w:rPr>
          <w:b/>
        </w:rPr>
        <w:t xml:space="preserve"> Compressive and split tensile Strength of concrete of super plastered Concrete using SMF super plasticizer</w:t>
      </w:r>
    </w:p>
    <w:p w:rsidR="00F95050" w:rsidRDefault="00F95050" w:rsidP="00F95050">
      <w:pPr>
        <w:ind w:right="13"/>
      </w:pPr>
      <w:r>
        <w:rPr>
          <w:noProof/>
          <w:lang w:bidi="te-IN"/>
        </w:rPr>
        <w:lastRenderedPageBreak/>
        <w:drawing>
          <wp:inline distT="0" distB="0" distL="0" distR="0">
            <wp:extent cx="3091180" cy="247015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3091180" cy="2470150"/>
                    </a:xfrm>
                    <a:prstGeom prst="rect">
                      <a:avLst/>
                    </a:prstGeom>
                    <a:noFill/>
                    <a:ln w="9525">
                      <a:noFill/>
                      <a:miter lim="800000"/>
                      <a:headEnd/>
                      <a:tailEnd/>
                    </a:ln>
                  </pic:spPr>
                </pic:pic>
              </a:graphicData>
            </a:graphic>
          </wp:inline>
        </w:drawing>
      </w:r>
    </w:p>
    <w:p w:rsidR="00F95050" w:rsidRPr="006F6731" w:rsidRDefault="00F95050" w:rsidP="00F95050">
      <w:pPr>
        <w:rPr>
          <w:b/>
        </w:rPr>
      </w:pPr>
    </w:p>
    <w:p w:rsidR="00F95050" w:rsidRPr="008E5587" w:rsidRDefault="00F95050" w:rsidP="00F95050">
      <w:pPr>
        <w:spacing w:line="360" w:lineRule="auto"/>
        <w:ind w:right="13"/>
        <w:rPr>
          <w:b/>
          <w:bCs/>
        </w:rPr>
      </w:pPr>
      <w:r>
        <w:rPr>
          <w:b/>
          <w:bCs/>
          <w:noProof/>
          <w:lang w:bidi="te-IN"/>
        </w:rPr>
        <w:drawing>
          <wp:inline distT="0" distB="0" distL="0" distR="0">
            <wp:extent cx="3079946" cy="1949611"/>
            <wp:effectExtent l="12165" t="6084" r="6054" b="2645"/>
            <wp:docPr id="1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31AF7" w:rsidRDefault="00431AF7" w:rsidP="00F95050">
      <w:pPr>
        <w:rPr>
          <w:b/>
        </w:rPr>
      </w:pPr>
      <w:r w:rsidRPr="00896137">
        <w:rPr>
          <w:b/>
        </w:rPr>
        <w:t xml:space="preserve">Figure </w:t>
      </w:r>
      <w:r>
        <w:rPr>
          <w:b/>
        </w:rPr>
        <w:t>5</w:t>
      </w:r>
      <w:r w:rsidRPr="00896137">
        <w:rPr>
          <w:b/>
        </w:rPr>
        <w:t xml:space="preserve">: </w:t>
      </w:r>
      <w:r w:rsidRPr="006F6731">
        <w:rPr>
          <w:b/>
        </w:rPr>
        <w:t>Effect of SP of PCE &amp; SMF on 7 days Compressive strength of concrete with comparison of 0 % of super plasticizer</w:t>
      </w:r>
    </w:p>
    <w:p w:rsidR="00F95050" w:rsidRPr="008E5587" w:rsidRDefault="00F95050" w:rsidP="00F95050">
      <w:pPr>
        <w:spacing w:line="360" w:lineRule="auto"/>
        <w:ind w:right="13"/>
        <w:rPr>
          <w:b/>
          <w:bCs/>
        </w:rPr>
      </w:pPr>
      <w:r>
        <w:rPr>
          <w:b/>
          <w:bCs/>
          <w:noProof/>
          <w:lang w:bidi="te-IN"/>
        </w:rPr>
        <w:drawing>
          <wp:inline distT="0" distB="0" distL="0" distR="0">
            <wp:extent cx="3098483" cy="2005023"/>
            <wp:effectExtent l="12170" t="6077" r="7832" b="1850"/>
            <wp:docPr id="15"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95050" w:rsidRPr="00F95050" w:rsidRDefault="00431AF7" w:rsidP="00431AF7">
      <w:r w:rsidRPr="00896137">
        <w:rPr>
          <w:b/>
        </w:rPr>
        <w:t xml:space="preserve">Figure </w:t>
      </w:r>
      <w:r>
        <w:rPr>
          <w:b/>
        </w:rPr>
        <w:t>6</w:t>
      </w:r>
      <w:r w:rsidRPr="00896137">
        <w:rPr>
          <w:b/>
        </w:rPr>
        <w:t xml:space="preserve">: </w:t>
      </w:r>
      <w:r w:rsidRPr="006F6731">
        <w:rPr>
          <w:b/>
        </w:rPr>
        <w:t xml:space="preserve">Effect of SP of PCE &amp; SMF on </w:t>
      </w:r>
      <w:r>
        <w:rPr>
          <w:b/>
        </w:rPr>
        <w:t>28</w:t>
      </w:r>
      <w:r w:rsidRPr="006F6731">
        <w:rPr>
          <w:b/>
        </w:rPr>
        <w:t xml:space="preserve"> days Compressive strength of concrete with comparison of 0 % of super plasticizer</w:t>
      </w:r>
    </w:p>
    <w:p w:rsidR="00F95050" w:rsidRDefault="00F95050" w:rsidP="00E9257B">
      <w:pPr>
        <w:pStyle w:val="Heading3"/>
      </w:pPr>
      <w:r>
        <w:t>Compressive Strength</w:t>
      </w:r>
    </w:p>
    <w:p w:rsidR="00F95050" w:rsidRPr="006F6731" w:rsidRDefault="00985101" w:rsidP="00F95050">
      <w:pPr>
        <w:pStyle w:val="BodyText"/>
        <w:spacing w:after="0" w:line="240" w:lineRule="auto"/>
        <w:ind w:right="13"/>
      </w:pPr>
      <w:r w:rsidRPr="00985101">
        <w:t>It is clear from Figures 5 and 6 that the strength increases steadily when the dosage of Super Plasticizer is increased. Additionally, it was discovered that the Super Plasticizer's dosage values, which correspond to compressive strength, are lowest and greatest. Continuous Super Plasticizer Agent addition may not be able to increase the compressive strength of concrete continuously; rather, excessive dose significantly lowers the electricity It is accurate to say that when dosage rises, compressive strength does as well. However, overdosing on SP disrupted the hydration process because it adds additional water to the concrete during the mixing phase. Overdosing causes cement particles to defloc</w:t>
      </w:r>
      <w:r>
        <w:t>c</w:t>
      </w:r>
      <w:r w:rsidRPr="00985101">
        <w:t>ulate</w:t>
      </w:r>
      <w:r>
        <w:t>d</w:t>
      </w:r>
      <w:r w:rsidRPr="00985101">
        <w:t xml:space="preserve"> more quickly.</w:t>
      </w:r>
    </w:p>
    <w:p w:rsidR="00F95050" w:rsidRPr="006F6731" w:rsidRDefault="00F95050" w:rsidP="00F95050">
      <w:pPr>
        <w:pStyle w:val="BodyText"/>
        <w:spacing w:after="0" w:line="240" w:lineRule="auto"/>
        <w:ind w:right="13"/>
      </w:pPr>
      <w:r w:rsidRPr="006F6731">
        <w:lastRenderedPageBreak/>
        <w:t xml:space="preserve">Figure </w:t>
      </w:r>
      <w:r w:rsidR="00B1732B">
        <w:t>5</w:t>
      </w:r>
      <w:r w:rsidRPr="006F6731">
        <w:t xml:space="preserve"> demonstrate strength verses dosage of Super plasticizer using PCE &amp; SMF in concrete mixture. It is observed the compressive strength of concrete is maximum at 1 and 1.25 % Super plasticizer dosage and obtained as 49.2 N/mm</w:t>
      </w:r>
      <w:r w:rsidRPr="004704D4">
        <w:rPr>
          <w:vertAlign w:val="superscript"/>
        </w:rPr>
        <w:t>2</w:t>
      </w:r>
      <w:r w:rsidRPr="006F6731">
        <w:t xml:space="preserve"> and 48.2 N/mm</w:t>
      </w:r>
      <w:r w:rsidRPr="004704D4">
        <w:rPr>
          <w:vertAlign w:val="superscript"/>
        </w:rPr>
        <w:t>2</w:t>
      </w:r>
      <w:r w:rsidRPr="006F6731">
        <w:t xml:space="preserve"> respectively of PCE and SMF for 28 days. </w:t>
      </w:r>
    </w:p>
    <w:p w:rsidR="00F95050" w:rsidRPr="006F6731" w:rsidRDefault="00F95050" w:rsidP="00E9257B">
      <w:pPr>
        <w:pStyle w:val="BodyText"/>
        <w:tabs>
          <w:tab w:val="left" w:pos="4860"/>
        </w:tabs>
        <w:spacing w:after="0" w:line="240" w:lineRule="auto"/>
        <w:ind w:right="13"/>
      </w:pPr>
      <w:r w:rsidRPr="006F6731">
        <w:t>Hence, it can be concluded that the optimum dosage of Super plasticizer for strength criteria is obtained for PCE and SMF super plasticizers with respect to 0 % of super plasticizers; along this competitively PCE super plasticizer gives good compatibility it means cohesiveness PCE with OPC is well as uniformity of the concrete.  With OPC cement with lesser dosage value of 1 % instead of SMF. With the acceptance of the statement of PCE was better than SMF for higher strength development of concrete same time SMF also very much better other than 0 % SP usage in development of higher strength concrete development</w:t>
      </w:r>
    </w:p>
    <w:p w:rsidR="00F95050" w:rsidRDefault="00F95050" w:rsidP="00E9257B">
      <w:pPr>
        <w:pStyle w:val="Heading3"/>
      </w:pPr>
      <w:r>
        <w:t>Split Tensile Strength</w:t>
      </w:r>
    </w:p>
    <w:p w:rsidR="00F95050" w:rsidRDefault="00F95050" w:rsidP="00F95050">
      <w:pPr>
        <w:jc w:val="both"/>
      </w:pPr>
      <w:r w:rsidRPr="006F6731">
        <w:t>In this concrete it is very difficult to measure directly to determine by tension method because of the problem associated gripping test specimens. For this reasons, the indirect tests such as splitting tensile test and the flexural are used. The indirect tension test is also called the Brazilian test,</w:t>
      </w:r>
      <w:r w:rsidR="00EA43D1">
        <w:t xml:space="preserve"> </w:t>
      </w:r>
      <w:r w:rsidRPr="006F6731">
        <w:t>splitting test.  The determination of tensile strength of concrete was carried out by splitting tensile test.  Cylinders of 150mm dia. x 300mm high were cast from concrete mixes and kept on moisture condition in laboratory.</w:t>
      </w:r>
    </w:p>
    <w:p w:rsidR="00F8799F" w:rsidRPr="006F6731" w:rsidRDefault="00F8799F" w:rsidP="00F95050">
      <w:pPr>
        <w:jc w:val="both"/>
      </w:pPr>
    </w:p>
    <w:p w:rsidR="00F8799F" w:rsidRPr="00402841" w:rsidRDefault="00F8799F" w:rsidP="00F8799F">
      <w:pPr>
        <w:pStyle w:val="Heading1"/>
        <w:spacing w:before="0" w:after="0"/>
        <w:ind w:firstLine="0"/>
        <w:rPr>
          <w:rFonts w:eastAsia="MS Mincho"/>
        </w:rPr>
      </w:pPr>
      <w:r>
        <w:rPr>
          <w:rFonts w:ascii="Times New Roman" w:eastAsia="MS Mincho" w:hAnsi="Times New Roman"/>
          <w:sz w:val="20"/>
          <w:szCs w:val="20"/>
        </w:rPr>
        <w:t>CONCLUSIONS</w:t>
      </w:r>
    </w:p>
    <w:p w:rsidR="00F95050" w:rsidRPr="00F95050" w:rsidRDefault="00F95050" w:rsidP="00F95050">
      <w:pPr>
        <w:jc w:val="both"/>
      </w:pPr>
    </w:p>
    <w:p w:rsidR="00F8799F" w:rsidRPr="000C3891" w:rsidRDefault="00F8799F" w:rsidP="00F8799F">
      <w:pPr>
        <w:pStyle w:val="BodyText"/>
        <w:spacing w:after="0" w:line="240" w:lineRule="auto"/>
        <w:ind w:right="13"/>
      </w:pPr>
      <w:r w:rsidRPr="000C3891">
        <w:t>From our experiential results we concluded and provide outlined Information:</w:t>
      </w:r>
    </w:p>
    <w:p w:rsidR="00F8799F" w:rsidRPr="00A44D36" w:rsidRDefault="00F8799F" w:rsidP="00F8799F">
      <w:pPr>
        <w:pStyle w:val="bulletlist"/>
        <w:numPr>
          <w:ilvl w:val="0"/>
          <w:numId w:val="27"/>
        </w:numPr>
        <w:tabs>
          <w:tab w:val="num" w:pos="648"/>
        </w:tabs>
        <w:spacing w:after="0" w:line="240" w:lineRule="auto"/>
        <w:ind w:left="0" w:firstLine="0"/>
      </w:pPr>
      <w:r w:rsidRPr="00A44D36">
        <w:t>From the investigation, Optimum Dosage of super plastic</w:t>
      </w:r>
      <w:r w:rsidR="00DE5CFF">
        <w:t>i</w:t>
      </w:r>
      <w:r w:rsidRPr="00A44D36">
        <w:t>zer of PCE and SMF   are</w:t>
      </w:r>
      <w:r w:rsidRPr="000C3891">
        <w:t xml:space="preserve"> </w:t>
      </w:r>
      <w:r w:rsidRPr="00A44D36">
        <w:t>1.0% and 1.25%</w:t>
      </w:r>
      <w:r w:rsidRPr="000C3891">
        <w:t xml:space="preserve"> </w:t>
      </w:r>
      <w:r w:rsidRPr="00A44D36">
        <w:t>in</w:t>
      </w:r>
      <w:r w:rsidRPr="000C3891">
        <w:t xml:space="preserve"> </w:t>
      </w:r>
      <w:r w:rsidRPr="00A44D36">
        <w:t>the respect of</w:t>
      </w:r>
      <w:r w:rsidRPr="000C3891">
        <w:t xml:space="preserve"> </w:t>
      </w:r>
      <w:r w:rsidRPr="00A44D36">
        <w:t xml:space="preserve">OPC 53 grade </w:t>
      </w:r>
      <w:r w:rsidRPr="000C3891">
        <w:t>Cement</w:t>
      </w:r>
      <w:r w:rsidRPr="00A44D36">
        <w:t xml:space="preserve"> for a selected water cement ratio of 0.35 of</w:t>
      </w:r>
      <w:r>
        <w:t xml:space="preserve"> </w:t>
      </w:r>
      <w:r w:rsidRPr="00A44D36">
        <w:t>M</w:t>
      </w:r>
      <w:r>
        <w:t>-</w:t>
      </w:r>
      <w:r w:rsidRPr="00A44D36">
        <w:t xml:space="preserve">40 grade concrete. </w:t>
      </w:r>
    </w:p>
    <w:p w:rsidR="00F8799F" w:rsidRPr="00A44D36" w:rsidRDefault="00F8799F" w:rsidP="00F8799F">
      <w:pPr>
        <w:pStyle w:val="bulletlist"/>
        <w:numPr>
          <w:ilvl w:val="0"/>
          <w:numId w:val="27"/>
        </w:numPr>
        <w:tabs>
          <w:tab w:val="num" w:pos="648"/>
        </w:tabs>
        <w:spacing w:after="0" w:line="240" w:lineRule="auto"/>
        <w:ind w:left="0" w:firstLine="0"/>
      </w:pPr>
      <w:r w:rsidRPr="006953B1">
        <w:t>It observed that the top of the line dosages derived from the above tests fall inside the range encouraged via manufactures and it can be point out the two SPs are compatible with the cement used for decided on water cement ratio</w:t>
      </w:r>
    </w:p>
    <w:p w:rsidR="00F8799F" w:rsidRDefault="00F8799F" w:rsidP="00F8799F">
      <w:pPr>
        <w:pStyle w:val="bulletlist"/>
        <w:numPr>
          <w:ilvl w:val="0"/>
          <w:numId w:val="27"/>
        </w:numPr>
        <w:tabs>
          <w:tab w:val="num" w:pos="648"/>
        </w:tabs>
        <w:spacing w:after="0" w:line="240" w:lineRule="auto"/>
        <w:ind w:left="0" w:firstLine="0"/>
      </w:pPr>
      <w:r>
        <w:t>The super plasticizer admixture doses as shown a effective and useful optimization with marsh cone test results.</w:t>
      </w:r>
    </w:p>
    <w:p w:rsidR="00F8799F" w:rsidRPr="00A44D36" w:rsidRDefault="00F80C83" w:rsidP="00F8799F">
      <w:pPr>
        <w:pStyle w:val="bulletlist"/>
        <w:numPr>
          <w:ilvl w:val="0"/>
          <w:numId w:val="27"/>
        </w:numPr>
        <w:tabs>
          <w:tab w:val="num" w:pos="648"/>
        </w:tabs>
        <w:spacing w:after="0" w:line="240" w:lineRule="auto"/>
        <w:ind w:left="0" w:firstLine="0"/>
      </w:pPr>
      <w:r w:rsidRPr="00F80C83">
        <w:t>According to test results, adding Super Plasticizers to admixtures enhances workability without raising water consumption. The addition of 0.5% Super Plasticizer Admixture to the concrete mix did not significantly improve the workability of cement concrete mix, as required by IS 10262 - 2009 and IS 456-200 standard. However, adding 1%, 1.5%, and 2% of SPs to the concrete mix significantly alters the cement's ability to be worked. Additionally, the additions of 0.5%, 1.0%, and 1.5% of SPs in the trial mix with OPC cement have demonstrated an increase in the degree of workability. However, impacts of bleeding and segregation of concrete mix occur over 1.5% SP.</w:t>
      </w:r>
    </w:p>
    <w:p w:rsidR="00F8799F" w:rsidRPr="006953B1" w:rsidRDefault="00F8799F" w:rsidP="00F8799F">
      <w:pPr>
        <w:pStyle w:val="bulletlist"/>
        <w:numPr>
          <w:ilvl w:val="0"/>
          <w:numId w:val="27"/>
        </w:numPr>
        <w:tabs>
          <w:tab w:val="num" w:pos="648"/>
        </w:tabs>
        <w:spacing w:after="0" w:line="240" w:lineRule="auto"/>
        <w:ind w:left="0" w:firstLine="0"/>
      </w:pPr>
      <w:r w:rsidRPr="006953B1">
        <w:t xml:space="preserve">Through our performed experimental results and observations the admixture Super plasticizer </w:t>
      </w:r>
      <w:r>
        <w:t xml:space="preserve">as shown a very impressive </w:t>
      </w:r>
      <w:r w:rsidRPr="006953B1">
        <w:t>Compressive</w:t>
      </w:r>
      <w:r w:rsidRPr="000C3891">
        <w:t xml:space="preserve"> </w:t>
      </w:r>
      <w:r w:rsidRPr="006953B1">
        <w:t>strength of concrete mix. It is observed the</w:t>
      </w:r>
      <w:r w:rsidRPr="000C3891">
        <w:t xml:space="preserve"> </w:t>
      </w:r>
      <w:r w:rsidRPr="006953B1">
        <w:t>compressive</w:t>
      </w:r>
      <w:r w:rsidRPr="000C3891">
        <w:t xml:space="preserve"> </w:t>
      </w:r>
      <w:r w:rsidRPr="006953B1">
        <w:t>strength of concrete</w:t>
      </w:r>
      <w:r w:rsidRPr="000C3891">
        <w:t xml:space="preserve"> </w:t>
      </w:r>
      <w:r w:rsidRPr="006953B1">
        <w:t>is maximum at 1 % and 1.25 % Super plasticizer dosage and obtained as 49.2 N/mm</w:t>
      </w:r>
      <w:r w:rsidRPr="00EA58BF">
        <w:rPr>
          <w:vertAlign w:val="superscript"/>
        </w:rPr>
        <w:t>2</w:t>
      </w:r>
      <w:r w:rsidRPr="006953B1">
        <w:t xml:space="preserve"> and 48.2 N/mm</w:t>
      </w:r>
      <w:r w:rsidRPr="00EA58BF">
        <w:rPr>
          <w:vertAlign w:val="superscript"/>
        </w:rPr>
        <w:t xml:space="preserve">2 </w:t>
      </w:r>
      <w:r w:rsidRPr="006953B1">
        <w:t>respectively of PCE and SMF for 28 days.</w:t>
      </w:r>
      <w:r w:rsidRPr="000C3891">
        <w:t xml:space="preserve"> </w:t>
      </w:r>
    </w:p>
    <w:p w:rsidR="00F8799F" w:rsidRPr="00A44D36" w:rsidRDefault="00F8799F" w:rsidP="00F8799F">
      <w:pPr>
        <w:pStyle w:val="bulletlist"/>
        <w:numPr>
          <w:ilvl w:val="0"/>
          <w:numId w:val="27"/>
        </w:numPr>
        <w:tabs>
          <w:tab w:val="num" w:pos="648"/>
        </w:tabs>
        <w:spacing w:after="0" w:line="240" w:lineRule="auto"/>
        <w:ind w:left="0" w:firstLine="0"/>
      </w:pPr>
      <w:r w:rsidRPr="00A44D36">
        <w:t>It is observed the</w:t>
      </w:r>
      <w:r w:rsidRPr="000C3891">
        <w:t xml:space="preserve"> </w:t>
      </w:r>
      <w:r w:rsidRPr="00A44D36">
        <w:t>split tensile</w:t>
      </w:r>
      <w:r w:rsidRPr="000C3891">
        <w:t xml:space="preserve"> </w:t>
      </w:r>
      <w:r w:rsidRPr="00A44D36">
        <w:t>strength of concrete</w:t>
      </w:r>
      <w:r w:rsidRPr="000C3891">
        <w:t xml:space="preserve"> </w:t>
      </w:r>
      <w:r w:rsidRPr="00A44D36">
        <w:t>is maximum at 1 and 1.25 % Super plasticizer dosage and obtained as 4.94 N/mm</w:t>
      </w:r>
      <w:r w:rsidRPr="00EA58BF">
        <w:rPr>
          <w:vertAlign w:val="superscript"/>
        </w:rPr>
        <w:t>2</w:t>
      </w:r>
      <w:r w:rsidRPr="00A44D36">
        <w:t xml:space="preserve"> and 5.1 N/mm</w:t>
      </w:r>
      <w:r w:rsidRPr="00EA58BF">
        <w:rPr>
          <w:vertAlign w:val="superscript"/>
        </w:rPr>
        <w:t>2</w:t>
      </w:r>
      <w:r w:rsidRPr="00A44D36">
        <w:t xml:space="preserve"> respectively of PCE and SMF for 28 days.  </w:t>
      </w:r>
    </w:p>
    <w:p w:rsidR="00F8799F" w:rsidRPr="00A44D36" w:rsidRDefault="00F8799F" w:rsidP="00F8799F">
      <w:pPr>
        <w:pStyle w:val="bulletlist"/>
        <w:numPr>
          <w:ilvl w:val="0"/>
          <w:numId w:val="27"/>
        </w:numPr>
        <w:tabs>
          <w:tab w:val="num" w:pos="648"/>
        </w:tabs>
        <w:spacing w:after="0" w:line="240" w:lineRule="auto"/>
        <w:ind w:left="0" w:firstLine="0"/>
      </w:pPr>
      <w:r w:rsidRPr="00A44D36">
        <w:t>It also observed that amount of water can be reduced by 24.5 % using these types of high water reducer Sp of PCE and SMF; It was did while designing the mix design of M40 grade concrete, the actual requirement of water is 196 liters for 1 m</w:t>
      </w:r>
      <w:r w:rsidRPr="00F11136">
        <w:rPr>
          <w:vertAlign w:val="superscript"/>
        </w:rPr>
        <w:t>3</w:t>
      </w:r>
      <w:r w:rsidRPr="000C3891">
        <w:t xml:space="preserve"> </w:t>
      </w:r>
      <w:r w:rsidRPr="00A44D36">
        <w:t>with the usage of these type of SP designed water quantity are 146 lit</w:t>
      </w:r>
      <w:r w:rsidR="00F11136">
        <w:t>ers</w:t>
      </w:r>
      <w:r w:rsidRPr="00A44D36">
        <w:t xml:space="preserve">. </w:t>
      </w:r>
    </w:p>
    <w:p w:rsidR="00F8799F" w:rsidRPr="00A44D36" w:rsidRDefault="00A02FD3" w:rsidP="00F8799F">
      <w:pPr>
        <w:pStyle w:val="bulletlist"/>
        <w:numPr>
          <w:ilvl w:val="0"/>
          <w:numId w:val="27"/>
        </w:numPr>
        <w:tabs>
          <w:tab w:val="num" w:pos="648"/>
        </w:tabs>
        <w:spacing w:after="0" w:line="240" w:lineRule="auto"/>
        <w:ind w:left="0" w:firstLine="0"/>
      </w:pPr>
      <w:r w:rsidRPr="00A02FD3">
        <w:t>Additionally, it was shown that at 7 and 28 days, the super</w:t>
      </w:r>
      <w:r w:rsidR="00231A76">
        <w:t xml:space="preserve"> </w:t>
      </w:r>
      <w:r w:rsidRPr="00A02FD3">
        <w:t>plasticized concrete specimens provided greater strength in splitting tensile strength and compressive than the control specimens. As a result, when admixtures are applied to fresh concrete, the compressive and cracking tensile strengths are increased.</w:t>
      </w:r>
    </w:p>
    <w:p w:rsidR="00EE4362" w:rsidRPr="00402841" w:rsidRDefault="00EE4362" w:rsidP="00466548">
      <w:pPr>
        <w:rPr>
          <w:rFonts w:eastAsia="MS Mincho"/>
          <w:b/>
        </w:rPr>
      </w:pP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rsidR="00466548" w:rsidRPr="00466548" w:rsidRDefault="00466548" w:rsidP="00466548">
      <w:pPr>
        <w:rPr>
          <w:rFonts w:eastAsia="MS Mincho"/>
          <w:sz w:val="16"/>
          <w:szCs w:val="16"/>
        </w:rPr>
      </w:pPr>
    </w:p>
    <w:p w:rsidR="000406CD" w:rsidRPr="000C3891" w:rsidRDefault="003E4218" w:rsidP="000406CD">
      <w:pPr>
        <w:pStyle w:val="ListParagraph"/>
        <w:widowControl w:val="0"/>
        <w:numPr>
          <w:ilvl w:val="0"/>
          <w:numId w:val="34"/>
        </w:numPr>
        <w:autoSpaceDE w:val="0"/>
        <w:autoSpaceDN w:val="0"/>
        <w:adjustRightInd w:val="0"/>
        <w:spacing w:after="0" w:line="240" w:lineRule="auto"/>
        <w:jc w:val="both"/>
        <w:rPr>
          <w:rFonts w:ascii="Times New Roman" w:hAnsi="Times New Roman" w:cs="Times New Roman"/>
          <w:noProof/>
          <w:sz w:val="16"/>
          <w:szCs w:val="16"/>
        </w:rPr>
      </w:pPr>
      <w:r w:rsidRPr="000C3891">
        <w:rPr>
          <w:rFonts w:ascii="Times New Roman" w:hAnsi="Times New Roman" w:cs="Times New Roman"/>
          <w:sz w:val="16"/>
          <w:szCs w:val="16"/>
        </w:rPr>
        <w:fldChar w:fldCharType="begin" w:fldLock="1"/>
      </w:r>
      <w:r w:rsidR="000406CD" w:rsidRPr="000C3891">
        <w:rPr>
          <w:rFonts w:ascii="Times New Roman" w:hAnsi="Times New Roman" w:cs="Times New Roman"/>
          <w:sz w:val="16"/>
          <w:szCs w:val="16"/>
        </w:rPr>
        <w:instrText xml:space="preserve">ADDIN Mendeley Bibliography CSL_BIBLIOGRAPHY </w:instrText>
      </w:r>
      <w:r w:rsidRPr="000C3891">
        <w:rPr>
          <w:rFonts w:ascii="Times New Roman" w:hAnsi="Times New Roman" w:cs="Times New Roman"/>
          <w:sz w:val="16"/>
          <w:szCs w:val="16"/>
        </w:rPr>
        <w:fldChar w:fldCharType="separate"/>
      </w:r>
      <w:r w:rsidR="000406CD" w:rsidRPr="000C3891">
        <w:rPr>
          <w:rFonts w:ascii="Times New Roman" w:hAnsi="Times New Roman" w:cs="Times New Roman"/>
          <w:noProof/>
          <w:sz w:val="16"/>
          <w:szCs w:val="16"/>
        </w:rPr>
        <w:t>A. R. B. H, V. B. D. L, and S. R. Shashikumara, “Compatibility study of slag cement with PCE based admixtures,” pp. 801–805, 2016.</w:t>
      </w:r>
    </w:p>
    <w:p w:rsidR="000406CD" w:rsidRPr="000C3891" w:rsidRDefault="000406CD" w:rsidP="000406CD">
      <w:pPr>
        <w:pStyle w:val="ListParagraph"/>
        <w:widowControl w:val="0"/>
        <w:numPr>
          <w:ilvl w:val="0"/>
          <w:numId w:val="34"/>
        </w:numPr>
        <w:autoSpaceDE w:val="0"/>
        <w:autoSpaceDN w:val="0"/>
        <w:adjustRightInd w:val="0"/>
        <w:spacing w:after="0" w:line="240" w:lineRule="auto"/>
        <w:jc w:val="both"/>
        <w:rPr>
          <w:rFonts w:ascii="Times New Roman" w:hAnsi="Times New Roman" w:cs="Times New Roman"/>
          <w:noProof/>
          <w:sz w:val="16"/>
          <w:szCs w:val="16"/>
        </w:rPr>
      </w:pPr>
      <w:r w:rsidRPr="000C3891">
        <w:rPr>
          <w:rFonts w:ascii="Times New Roman" w:hAnsi="Times New Roman" w:cs="Times New Roman"/>
          <w:noProof/>
          <w:sz w:val="16"/>
          <w:szCs w:val="16"/>
        </w:rPr>
        <w:t>A. Borsoi, S. Collepardi, L. Coppola, R. Troli, and M. Collepardi, “Strength and durability of concretes with slag-fly ash- Portland cement.”</w:t>
      </w:r>
    </w:p>
    <w:p w:rsidR="000406CD" w:rsidRPr="000C3891" w:rsidRDefault="000406CD" w:rsidP="000406CD">
      <w:pPr>
        <w:pStyle w:val="ListParagraph"/>
        <w:widowControl w:val="0"/>
        <w:numPr>
          <w:ilvl w:val="0"/>
          <w:numId w:val="34"/>
        </w:numPr>
        <w:autoSpaceDE w:val="0"/>
        <w:autoSpaceDN w:val="0"/>
        <w:adjustRightInd w:val="0"/>
        <w:spacing w:after="0" w:line="240" w:lineRule="auto"/>
        <w:jc w:val="both"/>
        <w:rPr>
          <w:rFonts w:ascii="Times New Roman" w:hAnsi="Times New Roman" w:cs="Times New Roman"/>
          <w:noProof/>
          <w:sz w:val="16"/>
          <w:szCs w:val="16"/>
        </w:rPr>
      </w:pPr>
      <w:r w:rsidRPr="000C3891">
        <w:rPr>
          <w:rFonts w:ascii="Times New Roman" w:hAnsi="Times New Roman" w:cs="Times New Roman"/>
          <w:noProof/>
          <w:sz w:val="16"/>
          <w:szCs w:val="16"/>
        </w:rPr>
        <w:t xml:space="preserve">D. Sathyan, K. B. Anand, K. M. Mini, and S. Aparna, “Optimization of superplasticizer in portland pozzolana cement mortar and concrete,” </w:t>
      </w:r>
      <w:r w:rsidRPr="000C3891">
        <w:rPr>
          <w:rFonts w:ascii="Times New Roman" w:hAnsi="Times New Roman" w:cs="Times New Roman"/>
          <w:i/>
          <w:iCs/>
          <w:noProof/>
          <w:sz w:val="16"/>
          <w:szCs w:val="16"/>
        </w:rPr>
        <w:t>IOP Conf. Ser. Mater. Sci. Eng.</w:t>
      </w:r>
      <w:r w:rsidRPr="000C3891">
        <w:rPr>
          <w:rFonts w:ascii="Times New Roman" w:hAnsi="Times New Roman" w:cs="Times New Roman"/>
          <w:noProof/>
          <w:sz w:val="16"/>
          <w:szCs w:val="16"/>
        </w:rPr>
        <w:t>, vol. 310, no. 1, 2018, doi: 10.1088/1757-899X/310/1/012036.</w:t>
      </w:r>
    </w:p>
    <w:p w:rsidR="000406CD" w:rsidRPr="000C3891" w:rsidRDefault="000406CD" w:rsidP="000406CD">
      <w:pPr>
        <w:pStyle w:val="ListParagraph"/>
        <w:widowControl w:val="0"/>
        <w:numPr>
          <w:ilvl w:val="0"/>
          <w:numId w:val="34"/>
        </w:numPr>
        <w:autoSpaceDE w:val="0"/>
        <w:autoSpaceDN w:val="0"/>
        <w:adjustRightInd w:val="0"/>
        <w:spacing w:after="0" w:line="240" w:lineRule="auto"/>
        <w:jc w:val="both"/>
        <w:rPr>
          <w:rFonts w:ascii="Times New Roman" w:hAnsi="Times New Roman" w:cs="Times New Roman"/>
          <w:noProof/>
          <w:sz w:val="16"/>
          <w:szCs w:val="16"/>
        </w:rPr>
      </w:pPr>
      <w:r w:rsidRPr="000C3891">
        <w:rPr>
          <w:rFonts w:ascii="Times New Roman" w:hAnsi="Times New Roman" w:cs="Times New Roman"/>
          <w:noProof/>
          <w:sz w:val="16"/>
          <w:szCs w:val="16"/>
        </w:rPr>
        <w:t xml:space="preserve">Antoni, J. G. Halim, O. C. Kusuma, and D. Hardjito, “Optimizing Polycarboxylate Based Superplasticizer Dosage with Different Cement Type,” </w:t>
      </w:r>
      <w:r w:rsidRPr="000C3891">
        <w:rPr>
          <w:rFonts w:ascii="Times New Roman" w:hAnsi="Times New Roman" w:cs="Times New Roman"/>
          <w:i/>
          <w:iCs/>
          <w:noProof/>
          <w:sz w:val="16"/>
          <w:szCs w:val="16"/>
        </w:rPr>
        <w:t>Procedia Eng.</w:t>
      </w:r>
      <w:r w:rsidRPr="000C3891">
        <w:rPr>
          <w:rFonts w:ascii="Times New Roman" w:hAnsi="Times New Roman" w:cs="Times New Roman"/>
          <w:noProof/>
          <w:sz w:val="16"/>
          <w:szCs w:val="16"/>
        </w:rPr>
        <w:t>, vol. 171, pp. 752–759, 2017, doi: 10.1016/j.proeng.2017.01.442.</w:t>
      </w:r>
    </w:p>
    <w:p w:rsidR="000406CD" w:rsidRPr="000C3891" w:rsidRDefault="000406CD" w:rsidP="000406CD">
      <w:pPr>
        <w:pStyle w:val="ListParagraph"/>
        <w:widowControl w:val="0"/>
        <w:numPr>
          <w:ilvl w:val="0"/>
          <w:numId w:val="34"/>
        </w:numPr>
        <w:autoSpaceDE w:val="0"/>
        <w:autoSpaceDN w:val="0"/>
        <w:adjustRightInd w:val="0"/>
        <w:spacing w:after="0" w:line="240" w:lineRule="auto"/>
        <w:jc w:val="both"/>
        <w:rPr>
          <w:rFonts w:ascii="Times New Roman" w:hAnsi="Times New Roman" w:cs="Times New Roman"/>
          <w:noProof/>
          <w:sz w:val="16"/>
          <w:szCs w:val="16"/>
        </w:rPr>
      </w:pPr>
      <w:r w:rsidRPr="000C3891">
        <w:rPr>
          <w:rFonts w:ascii="Times New Roman" w:hAnsi="Times New Roman" w:cs="Times New Roman"/>
          <w:noProof/>
          <w:sz w:val="16"/>
          <w:szCs w:val="16"/>
        </w:rPr>
        <w:t xml:space="preserve">Tiji K James and Liji Anna Mathew, “Compatibility Study of an Admixture with Different Cement Brands of Varying Chemical Composition for SCC,” </w:t>
      </w:r>
      <w:r w:rsidRPr="000C3891">
        <w:rPr>
          <w:rFonts w:ascii="Times New Roman" w:hAnsi="Times New Roman" w:cs="Times New Roman"/>
          <w:i/>
          <w:iCs/>
          <w:noProof/>
          <w:sz w:val="16"/>
          <w:szCs w:val="16"/>
        </w:rPr>
        <w:t>Int. J. Eng. Res.</w:t>
      </w:r>
      <w:r w:rsidRPr="000C3891">
        <w:rPr>
          <w:rFonts w:ascii="Times New Roman" w:hAnsi="Times New Roman" w:cs="Times New Roman"/>
          <w:noProof/>
          <w:sz w:val="16"/>
          <w:szCs w:val="16"/>
        </w:rPr>
        <w:t>, vol. V5, no. 09, pp. 503–506, 2016, doi: 10.17577/ijertv5is090279.</w:t>
      </w:r>
    </w:p>
    <w:p w:rsidR="000406CD" w:rsidRPr="000C3891" w:rsidRDefault="000406CD" w:rsidP="000406CD">
      <w:pPr>
        <w:pStyle w:val="ListParagraph"/>
        <w:widowControl w:val="0"/>
        <w:numPr>
          <w:ilvl w:val="0"/>
          <w:numId w:val="34"/>
        </w:numPr>
        <w:autoSpaceDE w:val="0"/>
        <w:autoSpaceDN w:val="0"/>
        <w:adjustRightInd w:val="0"/>
        <w:spacing w:after="0" w:line="240" w:lineRule="auto"/>
        <w:jc w:val="both"/>
        <w:rPr>
          <w:rFonts w:ascii="Times New Roman" w:hAnsi="Times New Roman" w:cs="Times New Roman"/>
          <w:noProof/>
          <w:sz w:val="16"/>
          <w:szCs w:val="16"/>
        </w:rPr>
      </w:pPr>
      <w:r w:rsidRPr="000C3891">
        <w:rPr>
          <w:rFonts w:ascii="Times New Roman" w:hAnsi="Times New Roman" w:cs="Times New Roman"/>
          <w:noProof/>
          <w:sz w:val="16"/>
          <w:szCs w:val="16"/>
        </w:rPr>
        <w:t xml:space="preserve">A. K. Shrivastava and M. Kumar, “Compatibility issues of cement with water reducing admixture in concrete,” </w:t>
      </w:r>
      <w:r w:rsidRPr="000C3891">
        <w:rPr>
          <w:rFonts w:ascii="Times New Roman" w:hAnsi="Times New Roman" w:cs="Times New Roman"/>
          <w:i/>
          <w:iCs/>
          <w:noProof/>
          <w:sz w:val="16"/>
          <w:szCs w:val="16"/>
        </w:rPr>
        <w:t>Perspect. Sci.</w:t>
      </w:r>
      <w:r w:rsidRPr="000C3891">
        <w:rPr>
          <w:rFonts w:ascii="Times New Roman" w:hAnsi="Times New Roman" w:cs="Times New Roman"/>
          <w:noProof/>
          <w:sz w:val="16"/>
          <w:szCs w:val="16"/>
        </w:rPr>
        <w:t>, vol. 8, pp. 290–292, 2016, doi: 10.1016/j.pisc.2016.04.055.</w:t>
      </w:r>
    </w:p>
    <w:p w:rsidR="000406CD" w:rsidRPr="000C3891" w:rsidRDefault="000406CD" w:rsidP="000406CD">
      <w:pPr>
        <w:pStyle w:val="ListParagraph"/>
        <w:widowControl w:val="0"/>
        <w:numPr>
          <w:ilvl w:val="0"/>
          <w:numId w:val="34"/>
        </w:numPr>
        <w:autoSpaceDE w:val="0"/>
        <w:autoSpaceDN w:val="0"/>
        <w:adjustRightInd w:val="0"/>
        <w:spacing w:after="0" w:line="240" w:lineRule="auto"/>
        <w:jc w:val="both"/>
        <w:rPr>
          <w:rFonts w:ascii="Times New Roman" w:hAnsi="Times New Roman" w:cs="Times New Roman"/>
          <w:noProof/>
          <w:sz w:val="16"/>
          <w:szCs w:val="16"/>
        </w:rPr>
      </w:pPr>
      <w:r w:rsidRPr="000C3891">
        <w:rPr>
          <w:rFonts w:ascii="Times New Roman" w:hAnsi="Times New Roman" w:cs="Times New Roman"/>
          <w:noProof/>
          <w:sz w:val="16"/>
          <w:szCs w:val="16"/>
        </w:rPr>
        <w:t xml:space="preserve">L. E. Zapata Orduz, G. Portela, O. M. Suárez, and A. D. Cáceres, “Compatibility analysis between Portland cement type I and micro/nano-SiO2 in the presence of polycarboxylate-type superplasticizers,” </w:t>
      </w:r>
      <w:r w:rsidRPr="000C3891">
        <w:rPr>
          <w:rFonts w:ascii="Times New Roman" w:hAnsi="Times New Roman" w:cs="Times New Roman"/>
          <w:i/>
          <w:iCs/>
          <w:noProof/>
          <w:sz w:val="16"/>
          <w:szCs w:val="16"/>
        </w:rPr>
        <w:t>Cogent Eng.</w:t>
      </w:r>
      <w:r w:rsidRPr="000C3891">
        <w:rPr>
          <w:rFonts w:ascii="Times New Roman" w:hAnsi="Times New Roman" w:cs="Times New Roman"/>
          <w:noProof/>
          <w:sz w:val="16"/>
          <w:szCs w:val="16"/>
        </w:rPr>
        <w:t>, vol. 3, no. 1, 2016, doi: 10.1080/23311916.2016.1260952.</w:t>
      </w:r>
    </w:p>
    <w:p w:rsidR="000406CD" w:rsidRPr="000C3891" w:rsidRDefault="000406CD" w:rsidP="000406CD">
      <w:pPr>
        <w:pStyle w:val="ListParagraph"/>
        <w:widowControl w:val="0"/>
        <w:numPr>
          <w:ilvl w:val="0"/>
          <w:numId w:val="34"/>
        </w:numPr>
        <w:autoSpaceDE w:val="0"/>
        <w:autoSpaceDN w:val="0"/>
        <w:adjustRightInd w:val="0"/>
        <w:spacing w:after="0" w:line="240" w:lineRule="auto"/>
        <w:jc w:val="both"/>
        <w:rPr>
          <w:rFonts w:ascii="Times New Roman" w:hAnsi="Times New Roman" w:cs="Times New Roman"/>
          <w:noProof/>
          <w:sz w:val="16"/>
          <w:szCs w:val="16"/>
        </w:rPr>
      </w:pPr>
      <w:r w:rsidRPr="000C3891">
        <w:rPr>
          <w:rFonts w:ascii="Times New Roman" w:hAnsi="Times New Roman" w:cs="Times New Roman"/>
          <w:noProof/>
          <w:sz w:val="16"/>
          <w:szCs w:val="16"/>
        </w:rPr>
        <w:lastRenderedPageBreak/>
        <w:t xml:space="preserve">A. M. Kashyap, E. T. Chakrapani, L. Narasimha Murthy, and S. Suryanarayana Raju, “Influence of dosage of super plasticizer on the mechanical properties of binary blended concrete,” </w:t>
      </w:r>
      <w:r w:rsidRPr="000C3891">
        <w:rPr>
          <w:rFonts w:ascii="Times New Roman" w:hAnsi="Times New Roman" w:cs="Times New Roman"/>
          <w:i/>
          <w:iCs/>
          <w:noProof/>
          <w:sz w:val="16"/>
          <w:szCs w:val="16"/>
        </w:rPr>
        <w:t>Int. J. Recent Technol. Eng.</w:t>
      </w:r>
      <w:r w:rsidRPr="000C3891">
        <w:rPr>
          <w:rFonts w:ascii="Times New Roman" w:hAnsi="Times New Roman" w:cs="Times New Roman"/>
          <w:noProof/>
          <w:sz w:val="16"/>
          <w:szCs w:val="16"/>
        </w:rPr>
        <w:t>, vol. 8, no. 2 Special Issue 3, pp. 707–711, 2019, doi: 10.35940/ijrte.B1131.0782S319.</w:t>
      </w:r>
    </w:p>
    <w:p w:rsidR="000406CD" w:rsidRPr="000C3891" w:rsidRDefault="000406CD" w:rsidP="000406CD">
      <w:pPr>
        <w:pStyle w:val="ListParagraph"/>
        <w:widowControl w:val="0"/>
        <w:numPr>
          <w:ilvl w:val="0"/>
          <w:numId w:val="34"/>
        </w:numPr>
        <w:autoSpaceDE w:val="0"/>
        <w:autoSpaceDN w:val="0"/>
        <w:adjustRightInd w:val="0"/>
        <w:spacing w:after="0" w:line="240" w:lineRule="auto"/>
        <w:jc w:val="both"/>
        <w:rPr>
          <w:rFonts w:ascii="Times New Roman" w:hAnsi="Times New Roman" w:cs="Times New Roman"/>
          <w:noProof/>
          <w:sz w:val="16"/>
          <w:szCs w:val="16"/>
        </w:rPr>
      </w:pPr>
      <w:r w:rsidRPr="000C3891">
        <w:rPr>
          <w:rFonts w:ascii="Times New Roman" w:hAnsi="Times New Roman" w:cs="Times New Roman"/>
          <w:noProof/>
          <w:sz w:val="16"/>
          <w:szCs w:val="16"/>
        </w:rPr>
        <w:t xml:space="preserve">M. S. Mohammed, S. A. Mohamed, and M. A. Megat Johari, “Influence of Superplasticizer Compatibility on the Setting Time, Strength and Stiffening Characteristics of Concrete,” </w:t>
      </w:r>
      <w:r w:rsidRPr="000C3891">
        <w:rPr>
          <w:rFonts w:ascii="Times New Roman" w:hAnsi="Times New Roman" w:cs="Times New Roman"/>
          <w:i/>
          <w:iCs/>
          <w:noProof/>
          <w:sz w:val="16"/>
          <w:szCs w:val="16"/>
        </w:rPr>
        <w:t>Adv. Appl. Sci.</w:t>
      </w:r>
      <w:r w:rsidRPr="000C3891">
        <w:rPr>
          <w:rFonts w:ascii="Times New Roman" w:hAnsi="Times New Roman" w:cs="Times New Roman"/>
          <w:noProof/>
          <w:sz w:val="16"/>
          <w:szCs w:val="16"/>
        </w:rPr>
        <w:t>, vol. 1, no. 2, pp. 30–36, 2016, doi: 10.11648/j.aas.20160102.12.</w:t>
      </w:r>
    </w:p>
    <w:p w:rsidR="000406CD" w:rsidRPr="000C3891" w:rsidRDefault="000406CD" w:rsidP="000406CD">
      <w:pPr>
        <w:pStyle w:val="ListParagraph"/>
        <w:widowControl w:val="0"/>
        <w:numPr>
          <w:ilvl w:val="0"/>
          <w:numId w:val="34"/>
        </w:numPr>
        <w:autoSpaceDE w:val="0"/>
        <w:autoSpaceDN w:val="0"/>
        <w:adjustRightInd w:val="0"/>
        <w:spacing w:after="0" w:line="240" w:lineRule="auto"/>
        <w:jc w:val="both"/>
        <w:rPr>
          <w:rFonts w:ascii="Times New Roman" w:hAnsi="Times New Roman" w:cs="Times New Roman"/>
          <w:noProof/>
          <w:sz w:val="16"/>
          <w:szCs w:val="16"/>
        </w:rPr>
      </w:pPr>
      <w:r w:rsidRPr="000C3891">
        <w:rPr>
          <w:rFonts w:ascii="Times New Roman" w:hAnsi="Times New Roman" w:cs="Times New Roman"/>
          <w:noProof/>
          <w:sz w:val="16"/>
          <w:szCs w:val="16"/>
        </w:rPr>
        <w:t xml:space="preserve">A. Mardani-Aghabaglou, M. Tuyan, G. Yilmaz, Ö. Ariöz, and K. Ramyar, “Effect of different types of superplasticizer on fresh, rheological and strength properties of self-consolidating concrete,” </w:t>
      </w:r>
      <w:r w:rsidRPr="000C3891">
        <w:rPr>
          <w:rFonts w:ascii="Times New Roman" w:hAnsi="Times New Roman" w:cs="Times New Roman"/>
          <w:i/>
          <w:iCs/>
          <w:noProof/>
          <w:sz w:val="16"/>
          <w:szCs w:val="16"/>
        </w:rPr>
        <w:t>Constr. Build. Mater.</w:t>
      </w:r>
      <w:r w:rsidRPr="000C3891">
        <w:rPr>
          <w:rFonts w:ascii="Times New Roman" w:hAnsi="Times New Roman" w:cs="Times New Roman"/>
          <w:noProof/>
          <w:sz w:val="16"/>
          <w:szCs w:val="16"/>
        </w:rPr>
        <w:t>, vol. 47, pp. 1020–1025, 2013, doi: 10.1016/j.conbuildmat.2013.05.105.</w:t>
      </w:r>
    </w:p>
    <w:p w:rsidR="000406CD" w:rsidRPr="000C3891" w:rsidRDefault="000406CD" w:rsidP="000406CD">
      <w:pPr>
        <w:pStyle w:val="ListParagraph"/>
        <w:widowControl w:val="0"/>
        <w:numPr>
          <w:ilvl w:val="0"/>
          <w:numId w:val="34"/>
        </w:numPr>
        <w:autoSpaceDE w:val="0"/>
        <w:autoSpaceDN w:val="0"/>
        <w:adjustRightInd w:val="0"/>
        <w:spacing w:after="0" w:line="240" w:lineRule="auto"/>
        <w:jc w:val="both"/>
        <w:rPr>
          <w:rFonts w:ascii="Times New Roman" w:hAnsi="Times New Roman" w:cs="Times New Roman"/>
          <w:noProof/>
          <w:sz w:val="16"/>
          <w:szCs w:val="16"/>
        </w:rPr>
      </w:pPr>
      <w:r w:rsidRPr="000C3891">
        <w:rPr>
          <w:rFonts w:ascii="Times New Roman" w:hAnsi="Times New Roman" w:cs="Times New Roman"/>
          <w:noProof/>
          <w:sz w:val="16"/>
          <w:szCs w:val="16"/>
        </w:rPr>
        <w:t>V. B. Pathak and R. A. Shah, “A Compatibility Study on Different Types of Cement and Plasticizer,” vol. 1, no. 9, pp. 52–54, 2013, [Online]. Available: www.ijsrd.com.</w:t>
      </w:r>
    </w:p>
    <w:p w:rsidR="000406CD" w:rsidRPr="000C3891" w:rsidRDefault="000406CD" w:rsidP="000406CD">
      <w:pPr>
        <w:pStyle w:val="ListParagraph"/>
        <w:widowControl w:val="0"/>
        <w:numPr>
          <w:ilvl w:val="0"/>
          <w:numId w:val="34"/>
        </w:numPr>
        <w:autoSpaceDE w:val="0"/>
        <w:autoSpaceDN w:val="0"/>
        <w:adjustRightInd w:val="0"/>
        <w:spacing w:after="0" w:line="240" w:lineRule="auto"/>
        <w:jc w:val="both"/>
        <w:rPr>
          <w:rFonts w:ascii="Times New Roman" w:hAnsi="Times New Roman" w:cs="Times New Roman"/>
          <w:noProof/>
          <w:sz w:val="16"/>
          <w:szCs w:val="16"/>
        </w:rPr>
      </w:pPr>
      <w:r w:rsidRPr="000C3891">
        <w:rPr>
          <w:rFonts w:ascii="Times New Roman" w:hAnsi="Times New Roman" w:cs="Times New Roman"/>
          <w:noProof/>
          <w:sz w:val="16"/>
          <w:szCs w:val="16"/>
        </w:rPr>
        <w:t xml:space="preserve">D. Arpitha, C. Rajasekaran, and N. Puttaswamy, “Investigations on compatibility of cement-superplasticizer interaction and its influence on mortar workability incorporating copper slag as fine aggregate,” </w:t>
      </w:r>
      <w:r w:rsidRPr="000C3891">
        <w:rPr>
          <w:rFonts w:ascii="Times New Roman" w:hAnsi="Times New Roman" w:cs="Times New Roman"/>
          <w:i/>
          <w:iCs/>
          <w:noProof/>
          <w:sz w:val="16"/>
          <w:szCs w:val="16"/>
        </w:rPr>
        <w:t>IOP Conf. Ser. Mater. Sci. Eng.</w:t>
      </w:r>
      <w:r w:rsidRPr="000C3891">
        <w:rPr>
          <w:rFonts w:ascii="Times New Roman" w:hAnsi="Times New Roman" w:cs="Times New Roman"/>
          <w:noProof/>
          <w:sz w:val="16"/>
          <w:szCs w:val="16"/>
        </w:rPr>
        <w:t>, vol. 431, no. 8, 2018, doi: 10.1088/1757-899X/431/8/082009.</w:t>
      </w:r>
    </w:p>
    <w:p w:rsidR="000406CD" w:rsidRPr="000C3891" w:rsidRDefault="000406CD" w:rsidP="000406CD">
      <w:pPr>
        <w:pStyle w:val="ListParagraph"/>
        <w:widowControl w:val="0"/>
        <w:numPr>
          <w:ilvl w:val="0"/>
          <w:numId w:val="34"/>
        </w:numPr>
        <w:autoSpaceDE w:val="0"/>
        <w:autoSpaceDN w:val="0"/>
        <w:adjustRightInd w:val="0"/>
        <w:spacing w:after="0" w:line="240" w:lineRule="auto"/>
        <w:jc w:val="both"/>
        <w:rPr>
          <w:rFonts w:ascii="Times New Roman" w:hAnsi="Times New Roman" w:cs="Times New Roman"/>
          <w:noProof/>
          <w:sz w:val="16"/>
          <w:szCs w:val="16"/>
        </w:rPr>
      </w:pPr>
      <w:r w:rsidRPr="000C3891">
        <w:rPr>
          <w:rFonts w:ascii="Times New Roman" w:hAnsi="Times New Roman" w:cs="Times New Roman"/>
          <w:noProof/>
          <w:sz w:val="16"/>
          <w:szCs w:val="16"/>
        </w:rPr>
        <w:t xml:space="preserve">S. Nagaraj and D. Jeyakumar, “Behaviour of normal concrete using superplasticizer under different curing regimes,” </w:t>
      </w:r>
      <w:r w:rsidRPr="000C3891">
        <w:rPr>
          <w:rFonts w:ascii="Times New Roman" w:hAnsi="Times New Roman" w:cs="Times New Roman"/>
          <w:i/>
          <w:iCs/>
          <w:noProof/>
          <w:sz w:val="16"/>
          <w:szCs w:val="16"/>
        </w:rPr>
        <w:t>Int. J. Civ. Eng. Technol.</w:t>
      </w:r>
      <w:r w:rsidRPr="000C3891">
        <w:rPr>
          <w:rFonts w:ascii="Times New Roman" w:hAnsi="Times New Roman" w:cs="Times New Roman"/>
          <w:noProof/>
          <w:sz w:val="16"/>
          <w:szCs w:val="16"/>
        </w:rPr>
        <w:t>, vol. 9, no. 4, pp. 865–870, 2018.</w:t>
      </w:r>
    </w:p>
    <w:p w:rsidR="000406CD" w:rsidRPr="000C3891" w:rsidRDefault="000406CD" w:rsidP="000406CD">
      <w:pPr>
        <w:pStyle w:val="ListParagraph"/>
        <w:widowControl w:val="0"/>
        <w:numPr>
          <w:ilvl w:val="0"/>
          <w:numId w:val="34"/>
        </w:numPr>
        <w:autoSpaceDE w:val="0"/>
        <w:autoSpaceDN w:val="0"/>
        <w:adjustRightInd w:val="0"/>
        <w:spacing w:after="0" w:line="240" w:lineRule="auto"/>
        <w:jc w:val="both"/>
        <w:rPr>
          <w:rFonts w:ascii="Times New Roman" w:hAnsi="Times New Roman" w:cs="Times New Roman"/>
          <w:noProof/>
          <w:sz w:val="16"/>
          <w:szCs w:val="16"/>
        </w:rPr>
      </w:pPr>
      <w:r w:rsidRPr="000C3891">
        <w:rPr>
          <w:rFonts w:ascii="Times New Roman" w:hAnsi="Times New Roman" w:cs="Times New Roman"/>
          <w:noProof/>
          <w:sz w:val="16"/>
          <w:szCs w:val="16"/>
        </w:rPr>
        <w:t xml:space="preserve">S. Shrihari, M. V. Seshagiri Rao, V. S. Reddy, and A. Manasa, “Compatibility Assessment of Commercial Cements with superplasticizers,” </w:t>
      </w:r>
      <w:r w:rsidRPr="000C3891">
        <w:rPr>
          <w:rFonts w:ascii="Times New Roman" w:hAnsi="Times New Roman" w:cs="Times New Roman"/>
          <w:i/>
          <w:iCs/>
          <w:noProof/>
          <w:sz w:val="16"/>
          <w:szCs w:val="16"/>
        </w:rPr>
        <w:t>E3S Web Conf.</w:t>
      </w:r>
      <w:r w:rsidRPr="000C3891">
        <w:rPr>
          <w:rFonts w:ascii="Times New Roman" w:hAnsi="Times New Roman" w:cs="Times New Roman"/>
          <w:noProof/>
          <w:sz w:val="16"/>
          <w:szCs w:val="16"/>
        </w:rPr>
        <w:t>, vol. 184, no. June 2017, 2020, doi: 10.1051/e3sconf/202018401079.</w:t>
      </w:r>
    </w:p>
    <w:p w:rsidR="000406CD" w:rsidRPr="000C3891" w:rsidRDefault="000406CD" w:rsidP="000406CD">
      <w:pPr>
        <w:pStyle w:val="ListParagraph"/>
        <w:widowControl w:val="0"/>
        <w:numPr>
          <w:ilvl w:val="0"/>
          <w:numId w:val="34"/>
        </w:numPr>
        <w:autoSpaceDE w:val="0"/>
        <w:autoSpaceDN w:val="0"/>
        <w:adjustRightInd w:val="0"/>
        <w:spacing w:after="0" w:line="240" w:lineRule="auto"/>
        <w:jc w:val="both"/>
        <w:rPr>
          <w:rFonts w:ascii="Times New Roman" w:hAnsi="Times New Roman" w:cs="Times New Roman"/>
          <w:noProof/>
          <w:sz w:val="16"/>
          <w:szCs w:val="16"/>
        </w:rPr>
      </w:pPr>
      <w:r w:rsidRPr="000C3891">
        <w:rPr>
          <w:rFonts w:ascii="Times New Roman" w:hAnsi="Times New Roman" w:cs="Times New Roman"/>
          <w:noProof/>
          <w:sz w:val="16"/>
          <w:szCs w:val="16"/>
        </w:rPr>
        <w:t xml:space="preserve">P. R. Kannan Rajkumar, P. T. Ravichandran, J. K. Ravi, and L. Krishnaraj, “Investigation on the Compatibility of Cement Paste with SNF and PCE based Superplasticizers,” </w:t>
      </w:r>
      <w:r w:rsidRPr="000C3891">
        <w:rPr>
          <w:rFonts w:ascii="Times New Roman" w:hAnsi="Times New Roman" w:cs="Times New Roman"/>
          <w:i/>
          <w:iCs/>
          <w:noProof/>
          <w:sz w:val="16"/>
          <w:szCs w:val="16"/>
        </w:rPr>
        <w:t>Indian J. Sci. Technol.</w:t>
      </w:r>
      <w:r w:rsidRPr="000C3891">
        <w:rPr>
          <w:rFonts w:ascii="Times New Roman" w:hAnsi="Times New Roman" w:cs="Times New Roman"/>
          <w:noProof/>
          <w:sz w:val="16"/>
          <w:szCs w:val="16"/>
        </w:rPr>
        <w:t>, vol. 9, no. 34, 2016, doi: 10.17485/ijst/2016/v9i3 4/95865.</w:t>
      </w:r>
    </w:p>
    <w:p w:rsidR="000406CD" w:rsidRPr="000C3891" w:rsidRDefault="000406CD" w:rsidP="000406CD">
      <w:pPr>
        <w:pStyle w:val="ListParagraph"/>
        <w:widowControl w:val="0"/>
        <w:numPr>
          <w:ilvl w:val="0"/>
          <w:numId w:val="34"/>
        </w:numPr>
        <w:autoSpaceDE w:val="0"/>
        <w:autoSpaceDN w:val="0"/>
        <w:adjustRightInd w:val="0"/>
        <w:spacing w:after="0" w:line="240" w:lineRule="auto"/>
        <w:jc w:val="both"/>
        <w:rPr>
          <w:rFonts w:ascii="Times New Roman" w:hAnsi="Times New Roman" w:cs="Times New Roman"/>
          <w:noProof/>
          <w:sz w:val="16"/>
          <w:szCs w:val="16"/>
        </w:rPr>
      </w:pPr>
      <w:r w:rsidRPr="000C3891">
        <w:rPr>
          <w:rFonts w:ascii="Times New Roman" w:hAnsi="Times New Roman" w:cs="Times New Roman"/>
          <w:noProof/>
          <w:sz w:val="16"/>
          <w:szCs w:val="16"/>
        </w:rPr>
        <w:t xml:space="preserve">D. Jadhav, “Compatibility of Chemical Admixture With Cement: Marsh Cone Test,” </w:t>
      </w:r>
      <w:r w:rsidRPr="000C3891">
        <w:rPr>
          <w:rFonts w:ascii="Times New Roman" w:hAnsi="Times New Roman" w:cs="Times New Roman"/>
          <w:i/>
          <w:iCs/>
          <w:noProof/>
          <w:sz w:val="16"/>
          <w:szCs w:val="16"/>
        </w:rPr>
        <w:t>Int. J. Adv. Mech. Civ. Eng.</w:t>
      </w:r>
      <w:r w:rsidRPr="000C3891">
        <w:rPr>
          <w:rFonts w:ascii="Times New Roman" w:hAnsi="Times New Roman" w:cs="Times New Roman"/>
          <w:noProof/>
          <w:sz w:val="16"/>
          <w:szCs w:val="16"/>
        </w:rPr>
        <w:t>, no. 3, pp. 2394–2827, 2016.</w:t>
      </w:r>
    </w:p>
    <w:p w:rsidR="008A55B5" w:rsidRPr="000406CD" w:rsidRDefault="003E4218" w:rsidP="000406CD">
      <w:pPr>
        <w:widowControl w:val="0"/>
        <w:autoSpaceDE w:val="0"/>
        <w:autoSpaceDN w:val="0"/>
        <w:adjustRightInd w:val="0"/>
        <w:ind w:left="640" w:hanging="640"/>
        <w:jc w:val="both"/>
        <w:rPr>
          <w:sz w:val="16"/>
          <w:szCs w:val="16"/>
        </w:rPr>
      </w:pPr>
      <w:r w:rsidRPr="000C3891">
        <w:rPr>
          <w:sz w:val="16"/>
          <w:szCs w:val="16"/>
        </w:rPr>
        <w:fldChar w:fldCharType="end"/>
      </w:r>
    </w:p>
    <w:sectPr w:rsidR="008A55B5" w:rsidRPr="000406CD"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FDD" w:rsidRDefault="00535FDD" w:rsidP="001E64C4">
      <w:r>
        <w:separator/>
      </w:r>
    </w:p>
  </w:endnote>
  <w:endnote w:type="continuationSeparator" w:id="1">
    <w:p w:rsidR="00535FDD" w:rsidRDefault="00535FDD"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7AC" w:rsidRPr="00012DED" w:rsidRDefault="000927AC"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FDD" w:rsidRDefault="00535FDD" w:rsidP="001E64C4">
      <w:r>
        <w:separator/>
      </w:r>
    </w:p>
  </w:footnote>
  <w:footnote w:type="continuationSeparator" w:id="1">
    <w:p w:rsidR="00535FDD" w:rsidRDefault="00535FDD"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7AC" w:rsidRPr="00012DED" w:rsidRDefault="000927AC"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BC6EDE"/>
    <w:multiLevelType w:val="multilevel"/>
    <w:tmpl w:val="406A895A"/>
    <w:lvl w:ilvl="0">
      <w:start w:val="1"/>
      <w:numFmt w:val="bullet"/>
      <w:lvlText w:val=""/>
      <w:lvlJc w:val="left"/>
      <w:pPr>
        <w:ind w:left="720" w:hanging="360"/>
      </w:pPr>
      <w:rPr>
        <w:rFonts w:ascii="Symbol" w:hAnsi="Symbol"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D5C4323"/>
    <w:multiLevelType w:val="hybridMultilevel"/>
    <w:tmpl w:val="BB2628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9006BA"/>
    <w:multiLevelType w:val="multilevel"/>
    <w:tmpl w:val="9ACCFC1C"/>
    <w:lvl w:ilvl="0">
      <w:start w:val="1"/>
      <w:numFmt w:val="bullet"/>
      <w:lvlText w:val=""/>
      <w:lvlJc w:val="left"/>
      <w:pPr>
        <w:tabs>
          <w:tab w:val="num" w:pos="576"/>
        </w:tabs>
        <w:ind w:firstLine="216"/>
      </w:pPr>
      <w:rPr>
        <w:rFonts w:ascii="Symbol" w:hAnsi="Symbol" w:hint="default"/>
        <w:caps w:val="0"/>
        <w:strike w:val="0"/>
        <w:dstrike w:val="0"/>
        <w:outline w:val="0"/>
        <w:shadow w:val="0"/>
        <w:emboss w:val="0"/>
        <w:imprint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nsid w:val="103034A6"/>
    <w:multiLevelType w:val="multilevel"/>
    <w:tmpl w:val="406A895A"/>
    <w:lvl w:ilvl="0">
      <w:start w:val="1"/>
      <w:numFmt w:val="bullet"/>
      <w:lvlText w:val=""/>
      <w:lvlJc w:val="left"/>
      <w:pPr>
        <w:ind w:left="720" w:hanging="360"/>
      </w:pPr>
      <w:rPr>
        <w:rFonts w:ascii="Symbol" w:hAnsi="Symbol"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16E2181E"/>
    <w:multiLevelType w:val="hybridMultilevel"/>
    <w:tmpl w:val="E09EBC20"/>
    <w:lvl w:ilvl="0" w:tplc="525ACA42">
      <w:start w:val="1"/>
      <w:numFmt w:val="decimal"/>
      <w:lvlText w:val="[%1]"/>
      <w:lvlJc w:val="right"/>
      <w:pPr>
        <w:ind w:left="720" w:hanging="360"/>
      </w:pPr>
      <w:rPr>
        <w:rFonts w:ascii="Times New Roman" w:hAnsi="Times New Roman"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43D6180"/>
    <w:multiLevelType w:val="hybridMultilevel"/>
    <w:tmpl w:val="8392D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1">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nsid w:val="4CD144EC"/>
    <w:multiLevelType w:val="hybridMultilevel"/>
    <w:tmpl w:val="8DF22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4F178A"/>
    <w:multiLevelType w:val="hybridMultilevel"/>
    <w:tmpl w:val="586C8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nsid w:val="53FF3130"/>
    <w:multiLevelType w:val="hybridMultilevel"/>
    <w:tmpl w:val="924E372E"/>
    <w:lvl w:ilvl="0" w:tplc="8E42F9A4">
      <w:start w:val="1"/>
      <w:numFmt w:val="upperLetter"/>
      <w:lvlText w:val="%1."/>
      <w:lvlJc w:val="left"/>
      <w:pPr>
        <w:ind w:left="900" w:hanging="360"/>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578C6DEB"/>
    <w:multiLevelType w:val="multilevel"/>
    <w:tmpl w:val="406A895A"/>
    <w:lvl w:ilvl="0">
      <w:start w:val="1"/>
      <w:numFmt w:val="bullet"/>
      <w:lvlText w:val=""/>
      <w:lvlJc w:val="left"/>
      <w:pPr>
        <w:ind w:left="720" w:hanging="360"/>
      </w:pPr>
      <w:rPr>
        <w:rFonts w:ascii="Symbol" w:hAnsi="Symbol"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57FA4EF6"/>
    <w:multiLevelType w:val="multilevel"/>
    <w:tmpl w:val="406A895A"/>
    <w:lvl w:ilvl="0">
      <w:start w:val="1"/>
      <w:numFmt w:val="bullet"/>
      <w:lvlText w:val=""/>
      <w:lvlJc w:val="left"/>
      <w:pPr>
        <w:ind w:left="720" w:hanging="360"/>
      </w:pPr>
      <w:rPr>
        <w:rFonts w:ascii="Symbol" w:hAnsi="Symbol"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581737F5"/>
    <w:multiLevelType w:val="hybridMultilevel"/>
    <w:tmpl w:val="ED0696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DA538F"/>
    <w:multiLevelType w:val="hybridMultilevel"/>
    <w:tmpl w:val="D4401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D61372"/>
    <w:multiLevelType w:val="hybridMultilevel"/>
    <w:tmpl w:val="760E67E8"/>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3">
    <w:nsid w:val="787E49B3"/>
    <w:multiLevelType w:val="multilevel"/>
    <w:tmpl w:val="406A895A"/>
    <w:lvl w:ilvl="0">
      <w:start w:val="1"/>
      <w:numFmt w:val="bullet"/>
      <w:lvlText w:val=""/>
      <w:lvlJc w:val="left"/>
      <w:pPr>
        <w:ind w:left="720" w:hanging="360"/>
      </w:pPr>
      <w:rPr>
        <w:rFonts w:ascii="Symbol" w:hAnsi="Symbol"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9"/>
  </w:num>
  <w:num w:numId="2">
    <w:abstractNumId w:val="21"/>
  </w:num>
  <w:num w:numId="3">
    <w:abstractNumId w:val="8"/>
  </w:num>
  <w:num w:numId="4">
    <w:abstractNumId w:val="11"/>
  </w:num>
  <w:num w:numId="5">
    <w:abstractNumId w:val="11"/>
  </w:num>
  <w:num w:numId="6">
    <w:abstractNumId w:val="11"/>
  </w:num>
  <w:num w:numId="7">
    <w:abstractNumId w:val="11"/>
  </w:num>
  <w:num w:numId="8">
    <w:abstractNumId w:val="14"/>
  </w:num>
  <w:num w:numId="9">
    <w:abstractNumId w:val="22"/>
  </w:num>
  <w:num w:numId="10">
    <w:abstractNumId w:val="10"/>
  </w:num>
  <w:num w:numId="11">
    <w:abstractNumId w:val="6"/>
  </w:num>
  <w:num w:numId="12">
    <w:abstractNumId w:val="24"/>
  </w:num>
  <w:num w:numId="13">
    <w:abstractNumId w:val="0"/>
  </w:num>
  <w:num w:numId="14">
    <w:abstractNumId w:val="7"/>
  </w:num>
  <w:num w:numId="15">
    <w:abstractNumId w:val="9"/>
  </w:num>
  <w:num w:numId="16">
    <w:abstractNumId w:val="3"/>
  </w:num>
  <w:num w:numId="17">
    <w:abstractNumId w:val="9"/>
  </w:num>
  <w:num w:numId="18">
    <w:abstractNumId w:val="19"/>
  </w:num>
  <w:num w:numId="19">
    <w:abstractNumId w:val="18"/>
  </w:num>
  <w:num w:numId="20">
    <w:abstractNumId w:val="2"/>
  </w:num>
  <w:num w:numId="21">
    <w:abstractNumId w:val="12"/>
  </w:num>
  <w:num w:numId="22">
    <w:abstractNumId w:val="23"/>
  </w:num>
  <w:num w:numId="23">
    <w:abstractNumId w:val="16"/>
  </w:num>
  <w:num w:numId="24">
    <w:abstractNumId w:val="4"/>
  </w:num>
  <w:num w:numId="25">
    <w:abstractNumId w:val="13"/>
  </w:num>
  <w:num w:numId="26">
    <w:abstractNumId w:val="17"/>
  </w:num>
  <w:num w:numId="27">
    <w:abstractNumId w:val="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1"/>
  </w:num>
  <w:num w:numId="31">
    <w:abstractNumId w:val="15"/>
  </w:num>
  <w:num w:numId="32">
    <w:abstractNumId w:val="11"/>
  </w:num>
  <w:num w:numId="33">
    <w:abstractNumId w:val="11"/>
  </w:num>
  <w:num w:numId="3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75778">
      <o:colormenu v:ext="edit" strokecolor="none"/>
    </o:shapedefaults>
  </w:hdrShapeDefaults>
  <w:footnotePr>
    <w:footnote w:id="0"/>
    <w:footnote w:id="1"/>
  </w:footnotePr>
  <w:endnotePr>
    <w:endnote w:id="0"/>
    <w:endnote w:id="1"/>
  </w:endnotePr>
  <w:compat/>
  <w:rsids>
    <w:rsidRoot w:val="003A59A6"/>
    <w:rsid w:val="000026B6"/>
    <w:rsid w:val="00006DEA"/>
    <w:rsid w:val="00012DED"/>
    <w:rsid w:val="00036715"/>
    <w:rsid w:val="000406CD"/>
    <w:rsid w:val="0004390D"/>
    <w:rsid w:val="00064314"/>
    <w:rsid w:val="0006556E"/>
    <w:rsid w:val="00070FAB"/>
    <w:rsid w:val="000927AC"/>
    <w:rsid w:val="00092C3F"/>
    <w:rsid w:val="000B4641"/>
    <w:rsid w:val="000B5963"/>
    <w:rsid w:val="000B5B2F"/>
    <w:rsid w:val="000C2368"/>
    <w:rsid w:val="000D5355"/>
    <w:rsid w:val="000F456A"/>
    <w:rsid w:val="0010711E"/>
    <w:rsid w:val="0011627D"/>
    <w:rsid w:val="00125E34"/>
    <w:rsid w:val="00127EDD"/>
    <w:rsid w:val="001461E7"/>
    <w:rsid w:val="0018330F"/>
    <w:rsid w:val="00187313"/>
    <w:rsid w:val="001945DD"/>
    <w:rsid w:val="001B4611"/>
    <w:rsid w:val="001D2353"/>
    <w:rsid w:val="001D4508"/>
    <w:rsid w:val="001E48C1"/>
    <w:rsid w:val="001E64C4"/>
    <w:rsid w:val="002110F8"/>
    <w:rsid w:val="002165A6"/>
    <w:rsid w:val="00231A76"/>
    <w:rsid w:val="00237505"/>
    <w:rsid w:val="00240391"/>
    <w:rsid w:val="00264F77"/>
    <w:rsid w:val="002749A6"/>
    <w:rsid w:val="00276735"/>
    <w:rsid w:val="00280068"/>
    <w:rsid w:val="00284C20"/>
    <w:rsid w:val="002864A3"/>
    <w:rsid w:val="00292E40"/>
    <w:rsid w:val="00292EF9"/>
    <w:rsid w:val="00296792"/>
    <w:rsid w:val="00297DFE"/>
    <w:rsid w:val="002B3B81"/>
    <w:rsid w:val="002C108B"/>
    <w:rsid w:val="002C1EB7"/>
    <w:rsid w:val="002C2D11"/>
    <w:rsid w:val="002D49CD"/>
    <w:rsid w:val="002E1666"/>
    <w:rsid w:val="002E17E9"/>
    <w:rsid w:val="002E7F1B"/>
    <w:rsid w:val="002F73FB"/>
    <w:rsid w:val="00303232"/>
    <w:rsid w:val="00326BEB"/>
    <w:rsid w:val="00332EE7"/>
    <w:rsid w:val="00344C7B"/>
    <w:rsid w:val="00345C35"/>
    <w:rsid w:val="00387C87"/>
    <w:rsid w:val="00390F41"/>
    <w:rsid w:val="003960F9"/>
    <w:rsid w:val="003A47B5"/>
    <w:rsid w:val="003A59A6"/>
    <w:rsid w:val="003A6CB6"/>
    <w:rsid w:val="003C5619"/>
    <w:rsid w:val="003D3F9F"/>
    <w:rsid w:val="003D63E8"/>
    <w:rsid w:val="003E4218"/>
    <w:rsid w:val="00402841"/>
    <w:rsid w:val="00402C25"/>
    <w:rsid w:val="004054C0"/>
    <w:rsid w:val="00405872"/>
    <w:rsid w:val="004059FE"/>
    <w:rsid w:val="00416613"/>
    <w:rsid w:val="004171C7"/>
    <w:rsid w:val="00430355"/>
    <w:rsid w:val="00431AF7"/>
    <w:rsid w:val="004445B3"/>
    <w:rsid w:val="004562BA"/>
    <w:rsid w:val="0046220E"/>
    <w:rsid w:val="00466548"/>
    <w:rsid w:val="004704D4"/>
    <w:rsid w:val="00471D66"/>
    <w:rsid w:val="004768CF"/>
    <w:rsid w:val="004827E0"/>
    <w:rsid w:val="004975DE"/>
    <w:rsid w:val="004A7D1A"/>
    <w:rsid w:val="004C04C8"/>
    <w:rsid w:val="004C2429"/>
    <w:rsid w:val="004C3DF5"/>
    <w:rsid w:val="004E0B04"/>
    <w:rsid w:val="004E7372"/>
    <w:rsid w:val="00502835"/>
    <w:rsid w:val="005131E4"/>
    <w:rsid w:val="00517052"/>
    <w:rsid w:val="00525FAE"/>
    <w:rsid w:val="00530820"/>
    <w:rsid w:val="0053092C"/>
    <w:rsid w:val="00535FDD"/>
    <w:rsid w:val="00552F05"/>
    <w:rsid w:val="00567754"/>
    <w:rsid w:val="0057660D"/>
    <w:rsid w:val="005818F8"/>
    <w:rsid w:val="00593ECA"/>
    <w:rsid w:val="005957E3"/>
    <w:rsid w:val="005974A7"/>
    <w:rsid w:val="005A1BD5"/>
    <w:rsid w:val="005B46F1"/>
    <w:rsid w:val="005B520E"/>
    <w:rsid w:val="005B535B"/>
    <w:rsid w:val="005C1954"/>
    <w:rsid w:val="005D4F83"/>
    <w:rsid w:val="005F10BD"/>
    <w:rsid w:val="005F1153"/>
    <w:rsid w:val="005F3022"/>
    <w:rsid w:val="00604990"/>
    <w:rsid w:val="0060789F"/>
    <w:rsid w:val="006108A4"/>
    <w:rsid w:val="006122E9"/>
    <w:rsid w:val="00624731"/>
    <w:rsid w:val="00655A28"/>
    <w:rsid w:val="00693C00"/>
    <w:rsid w:val="0069740E"/>
    <w:rsid w:val="006A01AB"/>
    <w:rsid w:val="006B577B"/>
    <w:rsid w:val="006B7B59"/>
    <w:rsid w:val="006C4648"/>
    <w:rsid w:val="006D0CF4"/>
    <w:rsid w:val="006D32F3"/>
    <w:rsid w:val="0070334B"/>
    <w:rsid w:val="00705409"/>
    <w:rsid w:val="007110C2"/>
    <w:rsid w:val="007137EC"/>
    <w:rsid w:val="0072064C"/>
    <w:rsid w:val="007442B3"/>
    <w:rsid w:val="007467D9"/>
    <w:rsid w:val="00753F7B"/>
    <w:rsid w:val="007633D0"/>
    <w:rsid w:val="00767BF4"/>
    <w:rsid w:val="0078291A"/>
    <w:rsid w:val="00787C5A"/>
    <w:rsid w:val="00790C81"/>
    <w:rsid w:val="007919DE"/>
    <w:rsid w:val="007B7910"/>
    <w:rsid w:val="007C0308"/>
    <w:rsid w:val="007F00F0"/>
    <w:rsid w:val="008014D2"/>
    <w:rsid w:val="008054BC"/>
    <w:rsid w:val="00823839"/>
    <w:rsid w:val="00825E68"/>
    <w:rsid w:val="00835293"/>
    <w:rsid w:val="0083682E"/>
    <w:rsid w:val="008609CA"/>
    <w:rsid w:val="00896137"/>
    <w:rsid w:val="008A55B5"/>
    <w:rsid w:val="008A75C8"/>
    <w:rsid w:val="008B5270"/>
    <w:rsid w:val="008B75A1"/>
    <w:rsid w:val="008C0928"/>
    <w:rsid w:val="008C0F77"/>
    <w:rsid w:val="008C6ED1"/>
    <w:rsid w:val="008F53F8"/>
    <w:rsid w:val="009220BA"/>
    <w:rsid w:val="00924FB9"/>
    <w:rsid w:val="0092568F"/>
    <w:rsid w:val="0092658A"/>
    <w:rsid w:val="00926AC4"/>
    <w:rsid w:val="00926C8F"/>
    <w:rsid w:val="0097508D"/>
    <w:rsid w:val="00985101"/>
    <w:rsid w:val="009C2139"/>
    <w:rsid w:val="009D13FE"/>
    <w:rsid w:val="009D170D"/>
    <w:rsid w:val="009E70B3"/>
    <w:rsid w:val="00A0060D"/>
    <w:rsid w:val="00A02FD3"/>
    <w:rsid w:val="00A17403"/>
    <w:rsid w:val="00A236A0"/>
    <w:rsid w:val="00A40D82"/>
    <w:rsid w:val="00A510F7"/>
    <w:rsid w:val="00A52B0F"/>
    <w:rsid w:val="00A8214C"/>
    <w:rsid w:val="00AA0700"/>
    <w:rsid w:val="00AB7508"/>
    <w:rsid w:val="00AC6519"/>
    <w:rsid w:val="00AD601F"/>
    <w:rsid w:val="00AE6E2B"/>
    <w:rsid w:val="00AF5713"/>
    <w:rsid w:val="00B0160B"/>
    <w:rsid w:val="00B0223F"/>
    <w:rsid w:val="00B1732B"/>
    <w:rsid w:val="00B20C8E"/>
    <w:rsid w:val="00B219BC"/>
    <w:rsid w:val="00B44A8F"/>
    <w:rsid w:val="00B537AB"/>
    <w:rsid w:val="00B56020"/>
    <w:rsid w:val="00B62E35"/>
    <w:rsid w:val="00B653E9"/>
    <w:rsid w:val="00B93283"/>
    <w:rsid w:val="00BB609E"/>
    <w:rsid w:val="00BC32B4"/>
    <w:rsid w:val="00BD15BB"/>
    <w:rsid w:val="00C0280F"/>
    <w:rsid w:val="00C05F7C"/>
    <w:rsid w:val="00C345F5"/>
    <w:rsid w:val="00C703F9"/>
    <w:rsid w:val="00C94FD8"/>
    <w:rsid w:val="00CA56F6"/>
    <w:rsid w:val="00CB0271"/>
    <w:rsid w:val="00CB66E6"/>
    <w:rsid w:val="00CC50B9"/>
    <w:rsid w:val="00CC778C"/>
    <w:rsid w:val="00CF25D6"/>
    <w:rsid w:val="00D01167"/>
    <w:rsid w:val="00D045C6"/>
    <w:rsid w:val="00D231F3"/>
    <w:rsid w:val="00D531C2"/>
    <w:rsid w:val="00D6227A"/>
    <w:rsid w:val="00D71345"/>
    <w:rsid w:val="00D84E01"/>
    <w:rsid w:val="00D9156D"/>
    <w:rsid w:val="00DB42A0"/>
    <w:rsid w:val="00DE1057"/>
    <w:rsid w:val="00DE52D1"/>
    <w:rsid w:val="00DE5CFF"/>
    <w:rsid w:val="00E11872"/>
    <w:rsid w:val="00E16192"/>
    <w:rsid w:val="00E70833"/>
    <w:rsid w:val="00E91219"/>
    <w:rsid w:val="00E9257B"/>
    <w:rsid w:val="00E97E42"/>
    <w:rsid w:val="00EA0ABA"/>
    <w:rsid w:val="00EA43D1"/>
    <w:rsid w:val="00EA506F"/>
    <w:rsid w:val="00EA53DF"/>
    <w:rsid w:val="00EA58BF"/>
    <w:rsid w:val="00EC6857"/>
    <w:rsid w:val="00EE4362"/>
    <w:rsid w:val="00EF18D7"/>
    <w:rsid w:val="00EF1D11"/>
    <w:rsid w:val="00EF1E8A"/>
    <w:rsid w:val="00EF3A1A"/>
    <w:rsid w:val="00F11136"/>
    <w:rsid w:val="00F21138"/>
    <w:rsid w:val="00F23229"/>
    <w:rsid w:val="00F43733"/>
    <w:rsid w:val="00F531E1"/>
    <w:rsid w:val="00F61400"/>
    <w:rsid w:val="00F6556F"/>
    <w:rsid w:val="00F71F8B"/>
    <w:rsid w:val="00F80C83"/>
    <w:rsid w:val="00F83F66"/>
    <w:rsid w:val="00F8799F"/>
    <w:rsid w:val="00F95050"/>
    <w:rsid w:val="00FA1AFD"/>
    <w:rsid w:val="00FA3271"/>
    <w:rsid w:val="00FA338C"/>
    <w:rsid w:val="00FA5537"/>
    <w:rsid w:val="00FA7465"/>
    <w:rsid w:val="00FB0705"/>
    <w:rsid w:val="00FB5AB5"/>
    <w:rsid w:val="00FD5DF1"/>
    <w:rsid w:val="00FE2DDA"/>
    <w:rsid w:val="00FF4B7B"/>
    <w:rsid w:val="00FF5D7C"/>
    <w:rsid w:val="00FF6355"/>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1"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spacing w:before="120" w:after="60"/>
      <w:jc w:val="left"/>
      <w:outlineLvl w:val="1"/>
    </w:pPr>
    <w:rPr>
      <w:rFonts w:eastAsia="MS Mincho"/>
      <w:i/>
      <w:iCs/>
      <w:noProof/>
    </w:rPr>
  </w:style>
  <w:style w:type="paragraph" w:styleId="Heading3">
    <w:name w:val="heading 3"/>
    <w:basedOn w:val="Normal"/>
    <w:next w:val="Normal"/>
    <w:link w:val="Heading3Char"/>
    <w:uiPriority w:val="1"/>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i/>
      <w:iCs/>
      <w:noProof/>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1"/>
    <w:qFormat/>
    <w:rsid w:val="002749A6"/>
    <w:pPr>
      <w:spacing w:after="200" w:line="276" w:lineRule="auto"/>
      <w:ind w:left="720"/>
      <w:contextualSpacing/>
      <w:jc w:val="left"/>
    </w:pPr>
    <w:rPr>
      <w:rFonts w:ascii="Calibri" w:hAnsi="Calibri" w:cs="Gautami"/>
      <w:sz w:val="22"/>
      <w:szCs w:val="22"/>
    </w:rPr>
  </w:style>
  <w:style w:type="character" w:styleId="Strong">
    <w:name w:val="Strong"/>
    <w:uiPriority w:val="22"/>
    <w:qFormat/>
    <w:rsid w:val="002749A6"/>
    <w:rPr>
      <w:b/>
      <w:bCs/>
    </w:rPr>
  </w:style>
  <w:style w:type="paragraph" w:styleId="NormalWeb">
    <w:name w:val="Normal (Web)"/>
    <w:basedOn w:val="Normal"/>
    <w:uiPriority w:val="99"/>
    <w:unhideWhenUsed/>
    <w:rsid w:val="002749A6"/>
    <w:pPr>
      <w:spacing w:before="100" w:beforeAutospacing="1" w:after="100" w:afterAutospacing="1"/>
      <w:jc w:val="left"/>
    </w:pPr>
    <w:rPr>
      <w:sz w:val="24"/>
      <w:szCs w:val="24"/>
    </w:rPr>
  </w:style>
  <w:style w:type="paragraph" w:customStyle="1" w:styleId="Default">
    <w:name w:val="Default"/>
    <w:rsid w:val="00F21138"/>
    <w:pPr>
      <w:autoSpaceDE w:val="0"/>
      <w:autoSpaceDN w:val="0"/>
      <w:adjustRightInd w:val="0"/>
    </w:pPr>
    <w:rPr>
      <w:rFonts w:ascii="Cambria" w:eastAsia="Calibri" w:hAnsi="Cambria" w:cs="Cambria"/>
      <w:color w:val="000000"/>
      <w:sz w:val="24"/>
      <w:szCs w:val="24"/>
    </w:rPr>
  </w:style>
  <w:style w:type="paragraph" w:customStyle="1" w:styleId="TableParagraph">
    <w:name w:val="Table Paragraph"/>
    <w:basedOn w:val="Normal"/>
    <w:uiPriority w:val="1"/>
    <w:qFormat/>
    <w:rsid w:val="00EF1D11"/>
    <w:pPr>
      <w:widowControl w:val="0"/>
      <w:autoSpaceDE w:val="0"/>
      <w:autoSpaceDN w:val="0"/>
      <w:ind w:left="107"/>
      <w:jc w:val="left"/>
    </w:pPr>
    <w:rPr>
      <w:sz w:val="22"/>
      <w:szCs w:val="22"/>
    </w:rPr>
  </w:style>
  <w:style w:type="table" w:styleId="TableGrid">
    <w:name w:val="Table Grid"/>
    <w:basedOn w:val="TableNormal"/>
    <w:uiPriority w:val="59"/>
    <w:rsid w:val="00CC50B9"/>
    <w:rPr>
      <w:rFonts w:ascii="Times New Roman" w:eastAsiaTheme="minorHAnsi" w:hAnsi="Times New Roman"/>
      <w:lang w:bidi="te-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hart" Target="charts/chart3.xml"/><Relationship Id="rId17"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chart" Target="charts/chart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H:\KSRM%20PRATHIMA\GRAPHS%20PRATHIM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KSRM%20PRATHIMA\GRAPHS%20PRATHIM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ELL\Desktop\KSRM%20PRATHIMA\GRAPHS%20PRATHIM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Desktop\GRAPHS%20PRATHIM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Desktop\GRAPHS%20PRATHIM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a:pPr>
            <a:r>
              <a:rPr lang="en-US"/>
              <a:t>Sieve analysis</a:t>
            </a:r>
          </a:p>
        </c:rich>
      </c:tx>
      <c:layout>
        <c:manualLayout>
          <c:xMode val="edge"/>
          <c:yMode val="edge"/>
          <c:x val="0.34292646752489603"/>
          <c:y val="0"/>
        </c:manualLayout>
      </c:layout>
      <c:overlay val="1"/>
    </c:title>
    <c:plotArea>
      <c:layout>
        <c:manualLayout>
          <c:layoutTarget val="inner"/>
          <c:xMode val="edge"/>
          <c:yMode val="edge"/>
          <c:x val="0.17970298749421482"/>
          <c:y val="0.15866694294792688"/>
          <c:w val="0.67341844218003533"/>
          <c:h val="0.6323406547865944"/>
        </c:manualLayout>
      </c:layout>
      <c:scatterChart>
        <c:scatterStyle val="smoothMarker"/>
        <c:ser>
          <c:idx val="0"/>
          <c:order val="0"/>
          <c:tx>
            <c:strRef>
              <c:f>Sheet1!$B$1</c:f>
              <c:strCache>
                <c:ptCount val="1"/>
                <c:pt idx="0">
                  <c:v>Y-Values</c:v>
                </c:pt>
              </c:strCache>
            </c:strRef>
          </c:tx>
          <c:dLbls>
            <c:txPr>
              <a:bodyPr/>
              <a:lstStyle/>
              <a:p>
                <a:pPr>
                  <a:defRPr sz="900" baseline="0"/>
                </a:pPr>
                <a:endParaRPr lang="en-US"/>
              </a:p>
            </c:txPr>
            <c:dLblPos val="b"/>
            <c:showVal val="1"/>
          </c:dLbls>
          <c:xVal>
            <c:numRef>
              <c:f>Sheet1!$A$2:$A$8</c:f>
              <c:numCache>
                <c:formatCode>General</c:formatCode>
                <c:ptCount val="7"/>
                <c:pt idx="0">
                  <c:v>4.75</c:v>
                </c:pt>
                <c:pt idx="1">
                  <c:v>2</c:v>
                </c:pt>
                <c:pt idx="2">
                  <c:v>1</c:v>
                </c:pt>
                <c:pt idx="3">
                  <c:v>0.60000000000000064</c:v>
                </c:pt>
                <c:pt idx="4">
                  <c:v>0.30000000000000032</c:v>
                </c:pt>
                <c:pt idx="5">
                  <c:v>0.15000000000000024</c:v>
                </c:pt>
                <c:pt idx="6">
                  <c:v>7.5000000000000219E-2</c:v>
                </c:pt>
              </c:numCache>
            </c:numRef>
          </c:xVal>
          <c:yVal>
            <c:numRef>
              <c:f>Sheet1!$B$2:$B$8</c:f>
              <c:numCache>
                <c:formatCode>General</c:formatCode>
                <c:ptCount val="7"/>
                <c:pt idx="0">
                  <c:v>99</c:v>
                </c:pt>
                <c:pt idx="1">
                  <c:v>95</c:v>
                </c:pt>
                <c:pt idx="2">
                  <c:v>63.2</c:v>
                </c:pt>
                <c:pt idx="3">
                  <c:v>33.9</c:v>
                </c:pt>
                <c:pt idx="4">
                  <c:v>6.2</c:v>
                </c:pt>
                <c:pt idx="5">
                  <c:v>0.2</c:v>
                </c:pt>
                <c:pt idx="6">
                  <c:v>0</c:v>
                </c:pt>
              </c:numCache>
            </c:numRef>
          </c:yVal>
          <c:smooth val="1"/>
        </c:ser>
        <c:dLbls>
          <c:showVal val="1"/>
        </c:dLbls>
        <c:axId val="78253440"/>
        <c:axId val="90646400"/>
      </c:scatterChart>
      <c:valAx>
        <c:axId val="78253440"/>
        <c:scaling>
          <c:logBase val="10"/>
          <c:orientation val="minMax"/>
        </c:scaling>
        <c:axPos val="b"/>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minorGridlines/>
        <c:title>
          <c:tx>
            <c:rich>
              <a:bodyPr/>
              <a:lstStyle/>
              <a:p>
                <a:pPr>
                  <a:defRPr sz="1000" b="1" i="0" u="none" strike="noStrike" baseline="0">
                    <a:solidFill>
                      <a:srgbClr val="000000"/>
                    </a:solidFill>
                    <a:latin typeface="Calibri"/>
                    <a:ea typeface="Calibri"/>
                    <a:cs typeface="Calibri"/>
                  </a:defRPr>
                </a:pPr>
                <a:r>
                  <a:rPr lang="en-US"/>
                  <a:t>IS SIEVE in mm</a:t>
                </a:r>
              </a:p>
            </c:rich>
          </c:tx>
        </c:title>
        <c:numFmt formatCode="General" sourceLinked="1"/>
        <c:majorTickMark val="cross"/>
        <c:tickLblPos val="low"/>
        <c:txPr>
          <a:bodyPr rot="0" vert="horz"/>
          <a:lstStyle/>
          <a:p>
            <a:pPr>
              <a:defRPr sz="1000" b="0" i="0" u="none" strike="noStrike" baseline="0">
                <a:solidFill>
                  <a:srgbClr val="000000"/>
                </a:solidFill>
                <a:latin typeface="Calibri"/>
                <a:ea typeface="Calibri"/>
                <a:cs typeface="Calibri"/>
              </a:defRPr>
            </a:pPr>
            <a:endParaRPr lang="en-US"/>
          </a:p>
        </c:txPr>
        <c:crossAx val="90646400"/>
        <c:crosses val="autoZero"/>
        <c:crossBetween val="midCat"/>
      </c:valAx>
      <c:valAx>
        <c:axId val="90646400"/>
        <c:scaling>
          <c:logBase val="10"/>
          <c:orientation val="minMax"/>
        </c:scaling>
        <c:axPos val="l"/>
        <c:minorGridlines/>
        <c:title>
          <c:tx>
            <c:rich>
              <a:bodyPr/>
              <a:lstStyle/>
              <a:p>
                <a:pPr>
                  <a:defRPr sz="1000" b="1" i="0" u="none" strike="noStrike" baseline="0">
                    <a:solidFill>
                      <a:srgbClr val="000000"/>
                    </a:solidFill>
                    <a:latin typeface="Calibri"/>
                    <a:ea typeface="Calibri"/>
                    <a:cs typeface="Calibri"/>
                  </a:defRPr>
                </a:pPr>
                <a:r>
                  <a:rPr lang="en-US"/>
                  <a:t>Percentage of passing %</a:t>
                </a:r>
              </a:p>
            </c:rich>
          </c:tx>
          <c:layout>
            <c:manualLayout>
              <c:xMode val="edge"/>
              <c:yMode val="edge"/>
              <c:x val="3.6809398825147055E-2"/>
              <c:y val="0.12653865635216671"/>
            </c:manualLayout>
          </c:layout>
        </c:title>
        <c:numFmt formatCode="General" sourceLinked="1"/>
        <c:minorTickMark val="in"/>
        <c:tickLblPos val="high"/>
        <c:txPr>
          <a:bodyPr/>
          <a:lstStyle/>
          <a:p>
            <a:pPr>
              <a:defRPr baseline="0"/>
            </a:pPr>
            <a:endParaRPr lang="en-US"/>
          </a:p>
        </c:txPr>
        <c:crossAx val="78253440"/>
        <c:crosses val="autoZero"/>
        <c:crossBetween val="midCat"/>
      </c:valAx>
    </c:plotArea>
    <c:plotVisOnly val="1"/>
    <c:dispBlanksAs val="gap"/>
  </c:chart>
  <c:txPr>
    <a:bodyPr/>
    <a:lstStyle/>
    <a:p>
      <a:pPr>
        <a:defRPr sz="1000" baseline="0"/>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1"/>
  <c:chart>
    <c:title>
      <c:tx>
        <c:rich>
          <a:bodyPr/>
          <a:lstStyle/>
          <a:p>
            <a:pPr>
              <a:defRPr/>
            </a:pPr>
            <a:r>
              <a:rPr lang="en-US" sz="1000" baseline="0"/>
              <a:t>Marsh Cone Time - PCE</a:t>
            </a:r>
          </a:p>
        </c:rich>
      </c:tx>
    </c:title>
    <c:plotArea>
      <c:layout>
        <c:manualLayout>
          <c:layoutTarget val="inner"/>
          <c:xMode val="edge"/>
          <c:yMode val="edge"/>
          <c:x val="0.17686136442717942"/>
          <c:y val="0.12237526227356429"/>
          <c:w val="0.75752141444699883"/>
          <c:h val="0.64861444050976524"/>
        </c:manualLayout>
      </c:layout>
      <c:scatterChart>
        <c:scatterStyle val="smoothMarker"/>
        <c:ser>
          <c:idx val="0"/>
          <c:order val="0"/>
          <c:tx>
            <c:strRef>
              <c:f>Sheet3!$N$5</c:f>
              <c:strCache>
                <c:ptCount val="1"/>
                <c:pt idx="0">
                  <c:v>Marsh Cone Time</c:v>
                </c:pt>
              </c:strCache>
            </c:strRef>
          </c:tx>
          <c:dLbls>
            <c:showVal val="1"/>
          </c:dLbls>
          <c:xVal>
            <c:numRef>
              <c:f>Sheet3!$M$6:$M$15</c:f>
              <c:numCache>
                <c:formatCode>General</c:formatCode>
                <c:ptCount val="10"/>
                <c:pt idx="1">
                  <c:v>0</c:v>
                </c:pt>
                <c:pt idx="2">
                  <c:v>0.25</c:v>
                </c:pt>
                <c:pt idx="3">
                  <c:v>0.5</c:v>
                </c:pt>
                <c:pt idx="4">
                  <c:v>0.75000000000000544</c:v>
                </c:pt>
                <c:pt idx="5">
                  <c:v>1</c:v>
                </c:pt>
                <c:pt idx="6">
                  <c:v>1.25</c:v>
                </c:pt>
                <c:pt idx="7">
                  <c:v>1.5</c:v>
                </c:pt>
                <c:pt idx="8">
                  <c:v>1.75</c:v>
                </c:pt>
                <c:pt idx="9">
                  <c:v>2</c:v>
                </c:pt>
              </c:numCache>
            </c:numRef>
          </c:xVal>
          <c:yVal>
            <c:numRef>
              <c:f>Sheet3!$N$6:$N$15</c:f>
              <c:numCache>
                <c:formatCode>General</c:formatCode>
                <c:ptCount val="10"/>
                <c:pt idx="1">
                  <c:v>60</c:v>
                </c:pt>
                <c:pt idx="2">
                  <c:v>48</c:v>
                </c:pt>
                <c:pt idx="3">
                  <c:v>44</c:v>
                </c:pt>
                <c:pt idx="4">
                  <c:v>40</c:v>
                </c:pt>
                <c:pt idx="5">
                  <c:v>32</c:v>
                </c:pt>
                <c:pt idx="6">
                  <c:v>33</c:v>
                </c:pt>
                <c:pt idx="7">
                  <c:v>35</c:v>
                </c:pt>
                <c:pt idx="8">
                  <c:v>34</c:v>
                </c:pt>
                <c:pt idx="9">
                  <c:v>33</c:v>
                </c:pt>
              </c:numCache>
            </c:numRef>
          </c:yVal>
          <c:smooth val="1"/>
        </c:ser>
        <c:axId val="72401664"/>
        <c:axId val="72403584"/>
      </c:scatterChart>
      <c:valAx>
        <c:axId val="72401664"/>
        <c:scaling>
          <c:orientation val="minMax"/>
          <c:max val="2"/>
        </c:scaling>
        <c:axPos val="b"/>
        <c:majorGridlines/>
        <c:title>
          <c:tx>
            <c:rich>
              <a:bodyPr/>
              <a:lstStyle/>
              <a:p>
                <a:pPr>
                  <a:defRPr/>
                </a:pPr>
                <a:r>
                  <a:rPr lang="en-US"/>
                  <a:t>SP - PCE dosage , %</a:t>
                </a:r>
              </a:p>
            </c:rich>
          </c:tx>
          <c:layout>
            <c:manualLayout>
              <c:xMode val="edge"/>
              <c:yMode val="edge"/>
              <c:x val="0.36864444279708686"/>
              <c:y val="0.91103177333158092"/>
            </c:manualLayout>
          </c:layout>
        </c:title>
        <c:numFmt formatCode="General" sourceLinked="1"/>
        <c:tickLblPos val="nextTo"/>
        <c:crossAx val="72403584"/>
        <c:crosses val="autoZero"/>
        <c:crossBetween val="midCat"/>
        <c:majorUnit val="0.25"/>
      </c:valAx>
      <c:valAx>
        <c:axId val="72403584"/>
        <c:scaling>
          <c:orientation val="minMax"/>
        </c:scaling>
        <c:axPos val="l"/>
        <c:majorGridlines/>
        <c:title>
          <c:tx>
            <c:rich>
              <a:bodyPr rot="-5400000" vert="horz"/>
              <a:lstStyle/>
              <a:p>
                <a:pPr>
                  <a:defRPr/>
                </a:pPr>
                <a:r>
                  <a:rPr lang="en-US"/>
                  <a:t>Marsh cone Time , sec</a:t>
                </a:r>
              </a:p>
            </c:rich>
          </c:tx>
          <c:layout>
            <c:manualLayout>
              <c:xMode val="edge"/>
              <c:yMode val="edge"/>
              <c:x val="1.7789609953825443E-4"/>
              <c:y val="0.14874558044438638"/>
            </c:manualLayout>
          </c:layout>
        </c:title>
        <c:numFmt formatCode="General" sourceLinked="1"/>
        <c:tickLblPos val="nextTo"/>
        <c:crossAx val="72401664"/>
        <c:crosses val="autoZero"/>
        <c:crossBetween val="midCat"/>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5"/>
  <c:chart>
    <c:title>
      <c:tx>
        <c:rich>
          <a:bodyPr/>
          <a:lstStyle/>
          <a:p>
            <a:pPr>
              <a:defRPr/>
            </a:pPr>
            <a:r>
              <a:rPr lang="en-US" sz="1000" baseline="0"/>
              <a:t>Marsh Cone Time - SMF</a:t>
            </a:r>
          </a:p>
        </c:rich>
      </c:tx>
      <c:layout>
        <c:manualLayout>
          <c:xMode val="edge"/>
          <c:yMode val="edge"/>
          <c:x val="0.27926597988954527"/>
          <c:y val="0"/>
        </c:manualLayout>
      </c:layout>
    </c:title>
    <c:plotArea>
      <c:layout>
        <c:manualLayout>
          <c:layoutTarget val="inner"/>
          <c:xMode val="edge"/>
          <c:yMode val="edge"/>
          <c:x val="0.14641939582039876"/>
          <c:y val="0.10420773721290871"/>
          <c:w val="0.80056744862908202"/>
          <c:h val="0.68053429698797541"/>
        </c:manualLayout>
      </c:layout>
      <c:scatterChart>
        <c:scatterStyle val="smoothMarker"/>
        <c:ser>
          <c:idx val="0"/>
          <c:order val="0"/>
          <c:tx>
            <c:strRef>
              <c:f>Sheet3!$F$36</c:f>
              <c:strCache>
                <c:ptCount val="1"/>
                <c:pt idx="0">
                  <c:v>Marsh Cone Time</c:v>
                </c:pt>
              </c:strCache>
            </c:strRef>
          </c:tx>
          <c:dLbls>
            <c:showVal val="1"/>
          </c:dLbls>
          <c:xVal>
            <c:numRef>
              <c:f>Sheet3!$E$37:$E$45</c:f>
              <c:numCache>
                <c:formatCode>General</c:formatCode>
                <c:ptCount val="9"/>
                <c:pt idx="0">
                  <c:v>0</c:v>
                </c:pt>
                <c:pt idx="1">
                  <c:v>0.25</c:v>
                </c:pt>
                <c:pt idx="2">
                  <c:v>0.5</c:v>
                </c:pt>
                <c:pt idx="3">
                  <c:v>0.75000000000000522</c:v>
                </c:pt>
                <c:pt idx="4">
                  <c:v>1</c:v>
                </c:pt>
                <c:pt idx="5">
                  <c:v>1.25</c:v>
                </c:pt>
                <c:pt idx="6">
                  <c:v>1.5</c:v>
                </c:pt>
                <c:pt idx="7">
                  <c:v>1.75</c:v>
                </c:pt>
                <c:pt idx="8">
                  <c:v>2</c:v>
                </c:pt>
              </c:numCache>
            </c:numRef>
          </c:xVal>
          <c:yVal>
            <c:numRef>
              <c:f>Sheet3!$F$37:$F$45</c:f>
              <c:numCache>
                <c:formatCode>General</c:formatCode>
                <c:ptCount val="9"/>
                <c:pt idx="0">
                  <c:v>60</c:v>
                </c:pt>
                <c:pt idx="1">
                  <c:v>52</c:v>
                </c:pt>
                <c:pt idx="2">
                  <c:v>46</c:v>
                </c:pt>
                <c:pt idx="3">
                  <c:v>42</c:v>
                </c:pt>
                <c:pt idx="4">
                  <c:v>39</c:v>
                </c:pt>
                <c:pt idx="5">
                  <c:v>31</c:v>
                </c:pt>
                <c:pt idx="6">
                  <c:v>34</c:v>
                </c:pt>
                <c:pt idx="7">
                  <c:v>35</c:v>
                </c:pt>
                <c:pt idx="8">
                  <c:v>34</c:v>
                </c:pt>
              </c:numCache>
            </c:numRef>
          </c:yVal>
          <c:smooth val="1"/>
        </c:ser>
        <c:axId val="72485504"/>
        <c:axId val="72520448"/>
      </c:scatterChart>
      <c:valAx>
        <c:axId val="72485504"/>
        <c:scaling>
          <c:orientation val="minMax"/>
          <c:max val="2"/>
        </c:scaling>
        <c:axPos val="b"/>
        <c:majorGridlines/>
        <c:title>
          <c:tx>
            <c:rich>
              <a:bodyPr/>
              <a:lstStyle/>
              <a:p>
                <a:pPr>
                  <a:defRPr/>
                </a:pPr>
                <a:r>
                  <a:rPr lang="en-US" sz="1000" b="1" i="0" baseline="0"/>
                  <a:t>SP - SMF dosage , %</a:t>
                </a:r>
                <a:endParaRPr lang="en-US" sz="1000"/>
              </a:p>
            </c:rich>
          </c:tx>
        </c:title>
        <c:numFmt formatCode="General" sourceLinked="1"/>
        <c:tickLblPos val="nextTo"/>
        <c:crossAx val="72520448"/>
        <c:crosses val="autoZero"/>
        <c:crossBetween val="midCat"/>
        <c:majorUnit val="0.25"/>
      </c:valAx>
      <c:valAx>
        <c:axId val="72520448"/>
        <c:scaling>
          <c:orientation val="minMax"/>
        </c:scaling>
        <c:axPos val="l"/>
        <c:majorGridlines/>
        <c:title>
          <c:tx>
            <c:rich>
              <a:bodyPr rot="-5400000" vert="horz"/>
              <a:lstStyle/>
              <a:p>
                <a:pPr>
                  <a:defRPr/>
                </a:pPr>
                <a:r>
                  <a:rPr lang="en-US" sz="1000" b="1" i="0" baseline="0"/>
                  <a:t>Marsh cone Time , sec</a:t>
                </a:r>
                <a:endParaRPr lang="en-US" sz="1000" baseline="0"/>
              </a:p>
            </c:rich>
          </c:tx>
        </c:title>
        <c:numFmt formatCode="General" sourceLinked="1"/>
        <c:tickLblPos val="nextTo"/>
        <c:crossAx val="72485504"/>
        <c:crosses val="autoZero"/>
        <c:crossBetween val="midCat"/>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000"/>
              <a:t>Slump</a:t>
            </a:r>
            <a:r>
              <a:rPr lang="en-US" sz="1000" baseline="0"/>
              <a:t> cone Test with PCE &amp; SMF</a:t>
            </a:r>
            <a:endParaRPr lang="en-US" sz="1000"/>
          </a:p>
        </c:rich>
      </c:tx>
      <c:layout>
        <c:manualLayout>
          <c:xMode val="edge"/>
          <c:yMode val="edge"/>
          <c:x val="0.24563778159251023"/>
          <c:y val="0"/>
        </c:manualLayout>
      </c:layout>
    </c:title>
    <c:plotArea>
      <c:layout>
        <c:manualLayout>
          <c:layoutTarget val="inner"/>
          <c:xMode val="edge"/>
          <c:yMode val="edge"/>
          <c:x val="0.2611747940280244"/>
          <c:y val="0.11790819524484647"/>
          <c:w val="0.73882520597197565"/>
          <c:h val="0.4720795527616683"/>
        </c:manualLayout>
      </c:layout>
      <c:barChart>
        <c:barDir val="col"/>
        <c:grouping val="clustered"/>
        <c:ser>
          <c:idx val="0"/>
          <c:order val="0"/>
          <c:tx>
            <c:strRef>
              <c:f>Sheet4!$K$4:$K$5</c:f>
              <c:strCache>
                <c:ptCount val="1"/>
                <c:pt idx="0">
                  <c:v>SP dosage           %</c:v>
                </c:pt>
              </c:strCache>
            </c:strRef>
          </c:tx>
          <c:val>
            <c:numRef>
              <c:f>Sheet4!$K$6:$K$12</c:f>
              <c:numCache>
                <c:formatCode>General</c:formatCode>
                <c:ptCount val="7"/>
                <c:pt idx="0">
                  <c:v>0</c:v>
                </c:pt>
                <c:pt idx="1">
                  <c:v>0.25</c:v>
                </c:pt>
                <c:pt idx="2">
                  <c:v>0.5</c:v>
                </c:pt>
                <c:pt idx="3">
                  <c:v>1</c:v>
                </c:pt>
                <c:pt idx="4">
                  <c:v>1.25</c:v>
                </c:pt>
                <c:pt idx="5" formatCode="0.00">
                  <c:v>1.5</c:v>
                </c:pt>
                <c:pt idx="6">
                  <c:v>1.75</c:v>
                </c:pt>
              </c:numCache>
            </c:numRef>
          </c:val>
        </c:ser>
        <c:ser>
          <c:idx val="1"/>
          <c:order val="1"/>
          <c:tx>
            <c:strRef>
              <c:f>Sheet4!$L$4:$L$5</c:f>
              <c:strCache>
                <c:ptCount val="1"/>
                <c:pt idx="0">
                  <c:v>SLUMP  PCE</c:v>
                </c:pt>
              </c:strCache>
            </c:strRef>
          </c:tx>
          <c:val>
            <c:numRef>
              <c:f>Sheet4!$L$6:$L$12</c:f>
              <c:numCache>
                <c:formatCode>General</c:formatCode>
                <c:ptCount val="7"/>
                <c:pt idx="0">
                  <c:v>5</c:v>
                </c:pt>
                <c:pt idx="1">
                  <c:v>20</c:v>
                </c:pt>
                <c:pt idx="2">
                  <c:v>30</c:v>
                </c:pt>
                <c:pt idx="3">
                  <c:v>60</c:v>
                </c:pt>
                <c:pt idx="4">
                  <c:v>115</c:v>
                </c:pt>
                <c:pt idx="5">
                  <c:v>125</c:v>
                </c:pt>
                <c:pt idx="6">
                  <c:v>130</c:v>
                </c:pt>
              </c:numCache>
            </c:numRef>
          </c:val>
        </c:ser>
        <c:ser>
          <c:idx val="2"/>
          <c:order val="2"/>
          <c:tx>
            <c:strRef>
              <c:f>Sheet4!$M$4:$M$5</c:f>
              <c:strCache>
                <c:ptCount val="1"/>
                <c:pt idx="0">
                  <c:v>SLUMP  SMF</c:v>
                </c:pt>
              </c:strCache>
            </c:strRef>
          </c:tx>
          <c:val>
            <c:numRef>
              <c:f>Sheet4!$M$6:$M$12</c:f>
              <c:numCache>
                <c:formatCode>General</c:formatCode>
                <c:ptCount val="7"/>
                <c:pt idx="0">
                  <c:v>5</c:v>
                </c:pt>
                <c:pt idx="1">
                  <c:v>25</c:v>
                </c:pt>
                <c:pt idx="2">
                  <c:v>34</c:v>
                </c:pt>
                <c:pt idx="3">
                  <c:v>51</c:v>
                </c:pt>
                <c:pt idx="4">
                  <c:v>70</c:v>
                </c:pt>
                <c:pt idx="5">
                  <c:v>110</c:v>
                </c:pt>
                <c:pt idx="6">
                  <c:v>128</c:v>
                </c:pt>
              </c:numCache>
            </c:numRef>
          </c:val>
        </c:ser>
        <c:axId val="73018368"/>
        <c:axId val="73065216"/>
      </c:barChart>
      <c:catAx>
        <c:axId val="73018368"/>
        <c:scaling>
          <c:orientation val="minMax"/>
        </c:scaling>
        <c:axPos val="b"/>
        <c:majorTickMark val="none"/>
        <c:tickLblPos val="nextTo"/>
        <c:crossAx val="73065216"/>
        <c:crosses val="autoZero"/>
        <c:auto val="1"/>
        <c:lblAlgn val="ctr"/>
        <c:lblOffset val="100"/>
      </c:catAx>
      <c:valAx>
        <c:axId val="73065216"/>
        <c:scaling>
          <c:orientation val="minMax"/>
        </c:scaling>
        <c:axPos val="l"/>
        <c:majorGridlines/>
        <c:title>
          <c:tx>
            <c:rich>
              <a:bodyPr/>
              <a:lstStyle/>
              <a:p>
                <a:pPr>
                  <a:defRPr/>
                </a:pPr>
                <a:r>
                  <a:rPr lang="en-US"/>
                  <a:t>Slump cone depth , mm</a:t>
                </a:r>
              </a:p>
            </c:rich>
          </c:tx>
          <c:layout>
            <c:manualLayout>
              <c:xMode val="edge"/>
              <c:yMode val="edge"/>
              <c:x val="2.1728517852743382E-2"/>
              <c:y val="1.4749047123519958E-2"/>
            </c:manualLayout>
          </c:layout>
        </c:title>
        <c:numFmt formatCode="General" sourceLinked="1"/>
        <c:majorTickMark val="none"/>
        <c:tickLblPos val="nextTo"/>
        <c:txPr>
          <a:bodyPr/>
          <a:lstStyle/>
          <a:p>
            <a:pPr>
              <a:defRPr sz="800" baseline="0"/>
            </a:pPr>
            <a:endParaRPr lang="en-US"/>
          </a:p>
        </c:txPr>
        <c:crossAx val="73018368"/>
        <c:crosses val="autoZero"/>
        <c:crossBetween val="between"/>
      </c:valAx>
      <c:dTable>
        <c:showHorzBorder val="1"/>
        <c:showVertBorder val="1"/>
        <c:showOutline val="1"/>
        <c:showKeys val="1"/>
        <c:txPr>
          <a:bodyPr/>
          <a:lstStyle/>
          <a:p>
            <a:pPr rtl="0">
              <a:defRPr sz="600" baseline="0"/>
            </a:pPr>
            <a:endParaRPr lang="en-US"/>
          </a:p>
        </c:txPr>
      </c:dTable>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7  DAYS COMPRESSIVE STRENGTH OF PCE &amp; SMF</a:t>
            </a:r>
          </a:p>
        </c:rich>
      </c:tx>
      <c:layout>
        <c:manualLayout>
          <c:xMode val="edge"/>
          <c:yMode val="edge"/>
          <c:x val="0.24496346931695609"/>
          <c:y val="3.135051615188366E-2"/>
        </c:manualLayout>
      </c:layout>
    </c:title>
    <c:plotArea>
      <c:layout>
        <c:manualLayout>
          <c:layoutTarget val="inner"/>
          <c:xMode val="edge"/>
          <c:yMode val="edge"/>
          <c:x val="0.13220691163604553"/>
          <c:y val="0.13035619869922541"/>
          <c:w val="0.86779308836395463"/>
          <c:h val="0.58087286391145632"/>
        </c:manualLayout>
      </c:layout>
      <c:barChart>
        <c:barDir val="col"/>
        <c:grouping val="clustered"/>
        <c:ser>
          <c:idx val="0"/>
          <c:order val="0"/>
          <c:tx>
            <c:strRef>
              <c:f>Sheet9!$J$2</c:f>
              <c:strCache>
                <c:ptCount val="1"/>
                <c:pt idx="0">
                  <c:v>PCE</c:v>
                </c:pt>
              </c:strCache>
            </c:strRef>
          </c:tx>
          <c:cat>
            <c:numRef>
              <c:f>Sheet9!$I$3:$I$9</c:f>
              <c:numCache>
                <c:formatCode>0.00%</c:formatCode>
                <c:ptCount val="7"/>
                <c:pt idx="0" formatCode="0%">
                  <c:v>0</c:v>
                </c:pt>
                <c:pt idx="1">
                  <c:v>2.5000000000000092E-3</c:v>
                </c:pt>
                <c:pt idx="2">
                  <c:v>5.0000000000000114E-3</c:v>
                </c:pt>
                <c:pt idx="3">
                  <c:v>7.5000000000000639E-3</c:v>
                </c:pt>
                <c:pt idx="4">
                  <c:v>1.0000000000000005E-2</c:v>
                </c:pt>
                <c:pt idx="5">
                  <c:v>1.2500000000000001E-2</c:v>
                </c:pt>
                <c:pt idx="6">
                  <c:v>1.4999999999999998E-2</c:v>
                </c:pt>
              </c:numCache>
            </c:numRef>
          </c:cat>
          <c:val>
            <c:numRef>
              <c:f>Sheet9!$J$3:$J$9</c:f>
              <c:numCache>
                <c:formatCode>0.0</c:formatCode>
                <c:ptCount val="7"/>
                <c:pt idx="0">
                  <c:v>26.419999999999987</c:v>
                </c:pt>
                <c:pt idx="1">
                  <c:v>31.4</c:v>
                </c:pt>
                <c:pt idx="2">
                  <c:v>33.200000000000003</c:v>
                </c:pt>
                <c:pt idx="3">
                  <c:v>34.4</c:v>
                </c:pt>
                <c:pt idx="4">
                  <c:v>38.6</c:v>
                </c:pt>
                <c:pt idx="5">
                  <c:v>36.200000000000003</c:v>
                </c:pt>
                <c:pt idx="6">
                  <c:v>35.700000000000003</c:v>
                </c:pt>
              </c:numCache>
            </c:numRef>
          </c:val>
        </c:ser>
        <c:ser>
          <c:idx val="1"/>
          <c:order val="1"/>
          <c:tx>
            <c:strRef>
              <c:f>Sheet9!$K$2</c:f>
              <c:strCache>
                <c:ptCount val="1"/>
                <c:pt idx="0">
                  <c:v>SMF</c:v>
                </c:pt>
              </c:strCache>
            </c:strRef>
          </c:tx>
          <c:cat>
            <c:numRef>
              <c:f>Sheet9!$I$3:$I$9</c:f>
              <c:numCache>
                <c:formatCode>0.00%</c:formatCode>
                <c:ptCount val="7"/>
                <c:pt idx="0" formatCode="0%">
                  <c:v>0</c:v>
                </c:pt>
                <c:pt idx="1">
                  <c:v>2.5000000000000092E-3</c:v>
                </c:pt>
                <c:pt idx="2">
                  <c:v>5.0000000000000114E-3</c:v>
                </c:pt>
                <c:pt idx="3">
                  <c:v>7.5000000000000639E-3</c:v>
                </c:pt>
                <c:pt idx="4">
                  <c:v>1.0000000000000005E-2</c:v>
                </c:pt>
                <c:pt idx="5">
                  <c:v>1.2500000000000001E-2</c:v>
                </c:pt>
                <c:pt idx="6">
                  <c:v>1.4999999999999998E-2</c:v>
                </c:pt>
              </c:numCache>
            </c:numRef>
          </c:cat>
          <c:val>
            <c:numRef>
              <c:f>Sheet9!$K$3:$K$9</c:f>
              <c:numCache>
                <c:formatCode>General</c:formatCode>
                <c:ptCount val="7"/>
                <c:pt idx="0">
                  <c:v>26.4</c:v>
                </c:pt>
                <c:pt idx="1">
                  <c:v>28.3</c:v>
                </c:pt>
                <c:pt idx="2">
                  <c:v>30.2</c:v>
                </c:pt>
                <c:pt idx="3">
                  <c:v>31.4</c:v>
                </c:pt>
                <c:pt idx="4">
                  <c:v>33.200000000000003</c:v>
                </c:pt>
                <c:pt idx="5">
                  <c:v>37</c:v>
                </c:pt>
                <c:pt idx="6">
                  <c:v>34.200000000000003</c:v>
                </c:pt>
              </c:numCache>
            </c:numRef>
          </c:val>
        </c:ser>
        <c:axId val="73456256"/>
        <c:axId val="73462144"/>
      </c:barChart>
      <c:catAx>
        <c:axId val="73456256"/>
        <c:scaling>
          <c:orientation val="minMax"/>
        </c:scaling>
        <c:axPos val="b"/>
        <c:numFmt formatCode="0%" sourceLinked="1"/>
        <c:majorTickMark val="none"/>
        <c:tickLblPos val="nextTo"/>
        <c:crossAx val="73462144"/>
        <c:crosses val="autoZero"/>
        <c:auto val="1"/>
        <c:lblAlgn val="ctr"/>
        <c:lblOffset val="100"/>
      </c:catAx>
      <c:valAx>
        <c:axId val="73462144"/>
        <c:scaling>
          <c:orientation val="minMax"/>
        </c:scaling>
        <c:axPos val="l"/>
        <c:majorGridlines/>
        <c:title>
          <c:tx>
            <c:rich>
              <a:bodyPr/>
              <a:lstStyle/>
              <a:p>
                <a:pPr>
                  <a:defRPr/>
                </a:pPr>
                <a:r>
                  <a:rPr lang="en-US"/>
                  <a:t>Compressive strength , N/mm2 </a:t>
                </a:r>
              </a:p>
            </c:rich>
          </c:tx>
          <c:layout>
            <c:manualLayout>
              <c:xMode val="edge"/>
              <c:yMode val="edge"/>
              <c:x val="6.6071741032370963E-3"/>
              <c:y val="0.14957203266258384"/>
            </c:manualLayout>
          </c:layout>
        </c:title>
        <c:numFmt formatCode="0.0" sourceLinked="1"/>
        <c:majorTickMark val="none"/>
        <c:tickLblPos val="nextTo"/>
        <c:crossAx val="73456256"/>
        <c:crosses val="autoZero"/>
        <c:crossBetween val="between"/>
      </c:valAx>
      <c:dTable>
        <c:showHorzBorder val="1"/>
        <c:showVertBorder val="1"/>
        <c:showOutline val="1"/>
        <c:showKeys val="1"/>
        <c:txPr>
          <a:bodyPr/>
          <a:lstStyle/>
          <a:p>
            <a:pPr rtl="0">
              <a:defRPr sz="800" baseline="0"/>
            </a:pPr>
            <a:endParaRPr lang="en-US"/>
          </a:p>
        </c:txPr>
      </c:dTable>
    </c:plotArea>
    <c:plotVisOnly val="1"/>
  </c:chart>
  <c:txPr>
    <a:bodyPr/>
    <a:lstStyle/>
    <a:p>
      <a:pPr>
        <a:defRPr sz="600" baseline="0"/>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29"/>
  <c:chart>
    <c:title>
      <c:tx>
        <c:rich>
          <a:bodyPr/>
          <a:lstStyle/>
          <a:p>
            <a:pPr>
              <a:defRPr/>
            </a:pPr>
            <a:r>
              <a:rPr lang="en-US" sz="800" b="1" i="0" baseline="0"/>
              <a:t>28 DAYS COMPRESSIVE STRENGTH OF PCE &amp; SMF</a:t>
            </a:r>
          </a:p>
        </c:rich>
      </c:tx>
      <c:layout>
        <c:manualLayout>
          <c:xMode val="edge"/>
          <c:yMode val="edge"/>
          <c:x val="0.21647922134733452"/>
          <c:y val="1.9102196752626553E-2"/>
        </c:manualLayout>
      </c:layout>
    </c:title>
    <c:plotArea>
      <c:layout>
        <c:manualLayout>
          <c:layoutTarget val="inner"/>
          <c:xMode val="edge"/>
          <c:yMode val="edge"/>
          <c:x val="0.12559973753281034"/>
          <c:y val="0.10118174566414492"/>
          <c:w val="0.8438447069116366"/>
          <c:h val="0.62796111883073469"/>
        </c:manualLayout>
      </c:layout>
      <c:barChart>
        <c:barDir val="col"/>
        <c:grouping val="clustered"/>
        <c:ser>
          <c:idx val="0"/>
          <c:order val="0"/>
          <c:tx>
            <c:strRef>
              <c:f>Sheet9!$J$12</c:f>
              <c:strCache>
                <c:ptCount val="1"/>
                <c:pt idx="0">
                  <c:v>PCE</c:v>
                </c:pt>
              </c:strCache>
            </c:strRef>
          </c:tx>
          <c:cat>
            <c:numRef>
              <c:f>Sheet9!$I$13:$I$19</c:f>
              <c:numCache>
                <c:formatCode>0.00%</c:formatCode>
                <c:ptCount val="7"/>
                <c:pt idx="0" formatCode="0%">
                  <c:v>0</c:v>
                </c:pt>
                <c:pt idx="1">
                  <c:v>2.5000000000000092E-3</c:v>
                </c:pt>
                <c:pt idx="2">
                  <c:v>5.0000000000000114E-3</c:v>
                </c:pt>
                <c:pt idx="3">
                  <c:v>7.5000000000000639E-3</c:v>
                </c:pt>
                <c:pt idx="4">
                  <c:v>1.0000000000000005E-2</c:v>
                </c:pt>
                <c:pt idx="5">
                  <c:v>1.2500000000000001E-2</c:v>
                </c:pt>
                <c:pt idx="6">
                  <c:v>1.4999999999999998E-2</c:v>
                </c:pt>
              </c:numCache>
            </c:numRef>
          </c:cat>
          <c:val>
            <c:numRef>
              <c:f>Sheet9!$J$13:$J$19</c:f>
              <c:numCache>
                <c:formatCode>0.0</c:formatCode>
                <c:ptCount val="7"/>
                <c:pt idx="0">
                  <c:v>43.1</c:v>
                </c:pt>
                <c:pt idx="1">
                  <c:v>44.2</c:v>
                </c:pt>
                <c:pt idx="2">
                  <c:v>45</c:v>
                </c:pt>
                <c:pt idx="3">
                  <c:v>46.1</c:v>
                </c:pt>
                <c:pt idx="4">
                  <c:v>49.2</c:v>
                </c:pt>
                <c:pt idx="5">
                  <c:v>47.8</c:v>
                </c:pt>
                <c:pt idx="6">
                  <c:v>47.2</c:v>
                </c:pt>
              </c:numCache>
            </c:numRef>
          </c:val>
        </c:ser>
        <c:ser>
          <c:idx val="1"/>
          <c:order val="1"/>
          <c:tx>
            <c:strRef>
              <c:f>Sheet9!$K$12</c:f>
              <c:strCache>
                <c:ptCount val="1"/>
                <c:pt idx="0">
                  <c:v>SMF</c:v>
                </c:pt>
              </c:strCache>
            </c:strRef>
          </c:tx>
          <c:cat>
            <c:numRef>
              <c:f>Sheet9!$I$13:$I$19</c:f>
              <c:numCache>
                <c:formatCode>0.00%</c:formatCode>
                <c:ptCount val="7"/>
                <c:pt idx="0" formatCode="0%">
                  <c:v>0</c:v>
                </c:pt>
                <c:pt idx="1">
                  <c:v>2.5000000000000092E-3</c:v>
                </c:pt>
                <c:pt idx="2">
                  <c:v>5.0000000000000114E-3</c:v>
                </c:pt>
                <c:pt idx="3">
                  <c:v>7.5000000000000639E-3</c:v>
                </c:pt>
                <c:pt idx="4">
                  <c:v>1.0000000000000005E-2</c:v>
                </c:pt>
                <c:pt idx="5">
                  <c:v>1.2500000000000001E-2</c:v>
                </c:pt>
                <c:pt idx="6">
                  <c:v>1.4999999999999998E-2</c:v>
                </c:pt>
              </c:numCache>
            </c:numRef>
          </c:cat>
          <c:val>
            <c:numRef>
              <c:f>Sheet9!$K$13:$K$19</c:f>
              <c:numCache>
                <c:formatCode>General</c:formatCode>
                <c:ptCount val="7"/>
                <c:pt idx="0">
                  <c:v>42.1</c:v>
                </c:pt>
                <c:pt idx="1">
                  <c:v>43.2</c:v>
                </c:pt>
                <c:pt idx="2">
                  <c:v>44.5</c:v>
                </c:pt>
                <c:pt idx="3">
                  <c:v>45.8</c:v>
                </c:pt>
                <c:pt idx="4">
                  <c:v>46.2</c:v>
                </c:pt>
                <c:pt idx="5">
                  <c:v>48.2</c:v>
                </c:pt>
                <c:pt idx="6">
                  <c:v>47.8</c:v>
                </c:pt>
              </c:numCache>
            </c:numRef>
          </c:val>
        </c:ser>
        <c:axId val="74344704"/>
        <c:axId val="74358784"/>
      </c:barChart>
      <c:catAx>
        <c:axId val="74344704"/>
        <c:scaling>
          <c:orientation val="minMax"/>
        </c:scaling>
        <c:axPos val="b"/>
        <c:numFmt formatCode="0%" sourceLinked="1"/>
        <c:majorTickMark val="none"/>
        <c:tickLblPos val="nextTo"/>
        <c:crossAx val="74358784"/>
        <c:crosses val="autoZero"/>
        <c:auto val="1"/>
        <c:lblAlgn val="ctr"/>
        <c:lblOffset val="100"/>
      </c:catAx>
      <c:valAx>
        <c:axId val="74358784"/>
        <c:scaling>
          <c:orientation val="minMax"/>
        </c:scaling>
        <c:axPos val="l"/>
        <c:majorGridlines/>
        <c:title>
          <c:tx>
            <c:rich>
              <a:bodyPr/>
              <a:lstStyle/>
              <a:p>
                <a:pPr>
                  <a:defRPr/>
                </a:pPr>
                <a:r>
                  <a:rPr lang="en-US" sz="800" b="1" i="0" baseline="0"/>
                  <a:t>Compressive strength , N/mm2 </a:t>
                </a:r>
              </a:p>
            </c:rich>
          </c:tx>
          <c:layout>
            <c:manualLayout>
              <c:xMode val="edge"/>
              <c:yMode val="edge"/>
              <c:x val="2.7777777777778585E-3"/>
              <c:y val="0.1542863374169961"/>
            </c:manualLayout>
          </c:layout>
        </c:title>
        <c:numFmt formatCode="0.0" sourceLinked="1"/>
        <c:majorTickMark val="none"/>
        <c:tickLblPos val="nextTo"/>
        <c:txPr>
          <a:bodyPr/>
          <a:lstStyle/>
          <a:p>
            <a:pPr>
              <a:defRPr sz="800" baseline="0"/>
            </a:pPr>
            <a:endParaRPr lang="en-US"/>
          </a:p>
        </c:txPr>
        <c:crossAx val="74344704"/>
        <c:crosses val="autoZero"/>
        <c:crossBetween val="between"/>
      </c:valAx>
      <c:dTable>
        <c:showHorzBorder val="1"/>
        <c:showVertBorder val="1"/>
        <c:showOutline val="1"/>
        <c:showKeys val="1"/>
        <c:txPr>
          <a:bodyPr/>
          <a:lstStyle/>
          <a:p>
            <a:pPr rtl="0">
              <a:defRPr sz="800" baseline="0"/>
            </a:pPr>
            <a:endParaRPr lang="en-US"/>
          </a:p>
        </c:txPr>
      </c:dTable>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323</TotalTime>
  <Pages>13</Pages>
  <Words>11294</Words>
  <Characters>64381</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75524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Radhika</cp:lastModifiedBy>
  <cp:revision>110</cp:revision>
  <cp:lastPrinted>2014-07-26T15:11:00Z</cp:lastPrinted>
  <dcterms:created xsi:type="dcterms:W3CDTF">2022-06-17T12:11:00Z</dcterms:created>
  <dcterms:modified xsi:type="dcterms:W3CDTF">2022-08-29T03:56:00Z</dcterms:modified>
</cp:coreProperties>
</file>