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Pr="00F23432" w:rsidRDefault="00796B60" w:rsidP="005837BF">
      <w:pPr>
        <w:pStyle w:val="papertitle"/>
        <w:tabs>
          <w:tab w:val="right" w:pos="9029"/>
        </w:tabs>
        <w:spacing w:after="0"/>
        <w:jc w:val="left"/>
        <w:rPr>
          <w:rFonts w:eastAsia="MS Mincho"/>
        </w:rPr>
      </w:pPr>
      <w:r w:rsidRPr="00F23432">
        <w:rPr>
          <w:rFonts w:eastAsia="MS Mincho"/>
        </w:rPr>
        <w:t>Multi-omics Technology Based Biomarkers</w:t>
      </w:r>
      <w:r w:rsidR="005837BF" w:rsidRPr="00F23432">
        <w:rPr>
          <w:rFonts w:eastAsia="MS Mincho"/>
        </w:rPr>
        <w:tab/>
      </w:r>
    </w:p>
    <w:p w:rsidR="00C37BFB" w:rsidRPr="00F23432" w:rsidRDefault="00C37BFB" w:rsidP="0072456E">
      <w:pPr>
        <w:jc w:val="both"/>
        <w:rPr>
          <w:rFonts w:eastAsia="MS Mincho"/>
          <w:sz w:val="48"/>
          <w:szCs w:val="48"/>
        </w:rPr>
      </w:pPr>
    </w:p>
    <w:p w:rsidR="008A55B5" w:rsidRPr="00F23432" w:rsidRDefault="008A55B5" w:rsidP="00796B60">
      <w:pPr>
        <w:pStyle w:val="Author"/>
        <w:spacing w:before="0" w:after="0"/>
        <w:rPr>
          <w:rFonts w:eastAsia="MS Mincho"/>
          <w:sz w:val="48"/>
          <w:szCs w:val="48"/>
        </w:rPr>
        <w:sectPr w:rsidR="008A55B5" w:rsidRPr="00F23432" w:rsidSect="00AA0700">
          <w:headerReference w:type="default" r:id="rId9"/>
          <w:footerReference w:type="default" r:id="rId10"/>
          <w:pgSz w:w="11909" w:h="16834" w:code="9"/>
          <w:pgMar w:top="1440" w:right="1440" w:bottom="1440" w:left="1440" w:header="720" w:footer="720" w:gutter="0"/>
          <w:pgNumType w:start="1"/>
          <w:cols w:space="720"/>
          <w:docGrid w:linePitch="360"/>
        </w:sectPr>
      </w:pPr>
    </w:p>
    <w:p w:rsidR="00796B60" w:rsidRPr="00F23432" w:rsidRDefault="0003751B" w:rsidP="004F2986">
      <w:pPr>
        <w:pStyle w:val="Author"/>
        <w:spacing w:before="0" w:after="0"/>
        <w:jc w:val="both"/>
        <w:rPr>
          <w:rFonts w:eastAsia="MS Mincho"/>
          <w:sz w:val="20"/>
          <w:szCs w:val="20"/>
        </w:rPr>
      </w:pPr>
      <w:r w:rsidRPr="00F23432">
        <w:rPr>
          <w:rFonts w:eastAsia="MS Mincho"/>
          <w:sz w:val="20"/>
          <w:szCs w:val="20"/>
          <w:vertAlign w:val="superscript"/>
        </w:rPr>
        <w:lastRenderedPageBreak/>
        <w:t>1</w:t>
      </w:r>
      <w:r w:rsidR="00A60C80" w:rsidRPr="00F23432">
        <w:rPr>
          <w:rFonts w:eastAsia="MS Mincho"/>
          <w:sz w:val="20"/>
          <w:szCs w:val="20"/>
        </w:rPr>
        <w:t>Pedamallu Niharika</w:t>
      </w:r>
    </w:p>
    <w:p w:rsidR="008A55B5" w:rsidRPr="00F23432" w:rsidRDefault="00A60C80" w:rsidP="004F2986">
      <w:pPr>
        <w:pStyle w:val="Author"/>
        <w:spacing w:before="0" w:after="0"/>
        <w:jc w:val="both"/>
        <w:rPr>
          <w:rFonts w:eastAsia="MS Mincho"/>
          <w:sz w:val="20"/>
          <w:szCs w:val="20"/>
        </w:rPr>
      </w:pPr>
      <w:r w:rsidRPr="00F23432">
        <w:rPr>
          <w:rFonts w:eastAsia="MS Mincho"/>
        </w:rPr>
        <w:t>Department of Pharmaceutical Chemistry,</w:t>
      </w:r>
    </w:p>
    <w:p w:rsidR="008A55B5" w:rsidRPr="00F23432" w:rsidRDefault="0003751B" w:rsidP="004F2986">
      <w:pPr>
        <w:pStyle w:val="Affiliation"/>
        <w:jc w:val="both"/>
        <w:rPr>
          <w:rFonts w:eastAsia="MS Mincho"/>
        </w:rPr>
      </w:pPr>
      <w:r w:rsidRPr="00F23432">
        <w:rPr>
          <w:rFonts w:eastAsia="MS Mincho"/>
          <w:vertAlign w:val="superscript"/>
        </w:rPr>
        <w:t>1</w:t>
      </w:r>
      <w:r w:rsidR="00A60C80" w:rsidRPr="00F23432">
        <w:rPr>
          <w:rFonts w:eastAsia="MS Mincho"/>
        </w:rPr>
        <w:t>SIMS College of Pharmacy,</w:t>
      </w:r>
    </w:p>
    <w:p w:rsidR="008A55B5" w:rsidRPr="00F23432" w:rsidRDefault="00A60C80" w:rsidP="004F2986">
      <w:pPr>
        <w:pStyle w:val="Affiliation"/>
        <w:jc w:val="both"/>
        <w:rPr>
          <w:rFonts w:eastAsia="MS Mincho"/>
        </w:rPr>
      </w:pPr>
      <w:r w:rsidRPr="00F23432">
        <w:rPr>
          <w:rFonts w:eastAsia="MS Mincho"/>
        </w:rPr>
        <w:t>Guntur, Andhra Pradesh, India</w:t>
      </w:r>
    </w:p>
    <w:p w:rsidR="008A55B5" w:rsidRPr="00F23432" w:rsidRDefault="00F356B4" w:rsidP="004F2986">
      <w:pPr>
        <w:pStyle w:val="Affiliation"/>
        <w:jc w:val="both"/>
        <w:rPr>
          <w:rFonts w:eastAsia="MS Mincho"/>
        </w:rPr>
      </w:pPr>
      <w:r>
        <w:rPr>
          <w:rFonts w:eastAsia="MS Mincho"/>
        </w:rPr>
        <w:t>Email:</w:t>
      </w:r>
      <w:r w:rsidR="00A60C80" w:rsidRPr="00F23432">
        <w:rPr>
          <w:rFonts w:eastAsia="MS Mincho"/>
        </w:rPr>
        <w:t>niharika.mpharm12@gmail.com</w:t>
      </w:r>
    </w:p>
    <w:p w:rsidR="008C21E5" w:rsidRPr="00F23432" w:rsidRDefault="008C21E5" w:rsidP="004F2986">
      <w:pPr>
        <w:pStyle w:val="Author"/>
        <w:spacing w:before="0" w:after="0"/>
        <w:jc w:val="both"/>
        <w:rPr>
          <w:rFonts w:eastAsia="MS Mincho"/>
          <w:sz w:val="20"/>
          <w:szCs w:val="20"/>
        </w:rPr>
      </w:pPr>
    </w:p>
    <w:p w:rsidR="008A55B5" w:rsidRPr="00F23432" w:rsidRDefault="0003751B" w:rsidP="004F2986">
      <w:pPr>
        <w:pStyle w:val="Author"/>
        <w:spacing w:before="0" w:after="0"/>
        <w:jc w:val="both"/>
        <w:rPr>
          <w:rFonts w:eastAsia="MS Mincho"/>
          <w:sz w:val="20"/>
          <w:szCs w:val="20"/>
        </w:rPr>
      </w:pPr>
      <w:r w:rsidRPr="00F23432">
        <w:rPr>
          <w:rFonts w:eastAsia="MS Mincho"/>
          <w:sz w:val="20"/>
          <w:szCs w:val="20"/>
          <w:vertAlign w:val="superscript"/>
        </w:rPr>
        <w:t>1</w:t>
      </w:r>
      <w:r w:rsidR="00A60C80" w:rsidRPr="00F23432">
        <w:rPr>
          <w:rFonts w:eastAsia="MS Mincho"/>
          <w:sz w:val="20"/>
          <w:szCs w:val="20"/>
        </w:rPr>
        <w:t>S. Manohar Babu</w:t>
      </w:r>
    </w:p>
    <w:p w:rsidR="00A60C80" w:rsidRPr="00F23432" w:rsidRDefault="00A60C80" w:rsidP="004F2986">
      <w:pPr>
        <w:pStyle w:val="Affiliation"/>
        <w:jc w:val="both"/>
        <w:rPr>
          <w:rFonts w:eastAsia="MS Mincho"/>
        </w:rPr>
      </w:pPr>
      <w:r w:rsidRPr="00F23432">
        <w:rPr>
          <w:rFonts w:eastAsia="MS Mincho"/>
        </w:rPr>
        <w:t>Department of Pharmacology,</w:t>
      </w:r>
    </w:p>
    <w:p w:rsidR="00A60C80" w:rsidRPr="00F23432" w:rsidRDefault="0003751B" w:rsidP="004F2986">
      <w:pPr>
        <w:pStyle w:val="Affiliation"/>
        <w:jc w:val="both"/>
        <w:rPr>
          <w:rFonts w:eastAsia="MS Mincho"/>
        </w:rPr>
      </w:pPr>
      <w:r w:rsidRPr="00F23432">
        <w:rPr>
          <w:rFonts w:eastAsia="MS Mincho"/>
          <w:vertAlign w:val="superscript"/>
        </w:rPr>
        <w:t>1</w:t>
      </w:r>
      <w:r w:rsidR="00A60C80" w:rsidRPr="00F23432">
        <w:rPr>
          <w:rFonts w:eastAsia="MS Mincho"/>
        </w:rPr>
        <w:t>SIMS College of Pharmacy,</w:t>
      </w:r>
    </w:p>
    <w:p w:rsidR="00A60C80" w:rsidRPr="00F23432" w:rsidRDefault="00A60C80" w:rsidP="004F2986">
      <w:pPr>
        <w:pStyle w:val="Affiliation"/>
        <w:jc w:val="both"/>
        <w:rPr>
          <w:rFonts w:eastAsia="MS Mincho"/>
        </w:rPr>
      </w:pPr>
      <w:r w:rsidRPr="00F23432">
        <w:rPr>
          <w:rFonts w:eastAsia="MS Mincho"/>
        </w:rPr>
        <w:t>Guntur, Andhra Pradesh, India</w:t>
      </w:r>
    </w:p>
    <w:p w:rsidR="00A60C80" w:rsidRPr="00F23432" w:rsidRDefault="00C37BFB" w:rsidP="004F2986">
      <w:pPr>
        <w:pStyle w:val="Affiliation"/>
        <w:jc w:val="both"/>
        <w:rPr>
          <w:rFonts w:eastAsia="MS Mincho"/>
        </w:rPr>
      </w:pPr>
      <w:r w:rsidRPr="00F23432">
        <w:rPr>
          <w:rFonts w:eastAsia="MS Mincho"/>
        </w:rPr>
        <w:t>Email:</w:t>
      </w:r>
      <w:r w:rsidR="00796B60" w:rsidRPr="00F23432">
        <w:rPr>
          <w:rFonts w:eastAsia="MS Mincho"/>
        </w:rPr>
        <w:t xml:space="preserve"> </w:t>
      </w:r>
      <w:r w:rsidR="00A60C80" w:rsidRPr="00F23432">
        <w:rPr>
          <w:rFonts w:eastAsia="MS Mincho"/>
        </w:rPr>
        <w:t>manoharsitty@yahoo.co.in</w:t>
      </w:r>
    </w:p>
    <w:p w:rsidR="008C21E5" w:rsidRPr="00F23432" w:rsidRDefault="0003751B" w:rsidP="004F2986">
      <w:pPr>
        <w:pStyle w:val="Author"/>
        <w:spacing w:before="0" w:after="0"/>
        <w:jc w:val="both"/>
        <w:rPr>
          <w:rFonts w:eastAsia="MS Mincho"/>
          <w:sz w:val="20"/>
          <w:szCs w:val="20"/>
        </w:rPr>
      </w:pPr>
      <w:r w:rsidRPr="00F23432">
        <w:rPr>
          <w:rFonts w:eastAsia="MS Mincho"/>
          <w:sz w:val="20"/>
          <w:szCs w:val="20"/>
          <w:vertAlign w:val="superscript"/>
        </w:rPr>
        <w:lastRenderedPageBreak/>
        <w:t>1</w:t>
      </w:r>
      <w:r w:rsidR="008C21E5" w:rsidRPr="00F23432">
        <w:rPr>
          <w:rFonts w:eastAsia="MS Mincho"/>
          <w:sz w:val="20"/>
          <w:szCs w:val="20"/>
        </w:rPr>
        <w:t>G. Mercy</w:t>
      </w:r>
    </w:p>
    <w:p w:rsidR="008C21E5" w:rsidRPr="00F23432" w:rsidRDefault="008C21E5" w:rsidP="004F2986">
      <w:pPr>
        <w:pStyle w:val="Affiliation"/>
        <w:jc w:val="both"/>
        <w:rPr>
          <w:rFonts w:eastAsia="MS Mincho"/>
        </w:rPr>
      </w:pPr>
      <w:r w:rsidRPr="00F23432">
        <w:rPr>
          <w:rFonts w:eastAsia="MS Mincho"/>
        </w:rPr>
        <w:t>Department of Doctor of Pharmacy,</w:t>
      </w:r>
    </w:p>
    <w:p w:rsidR="008C21E5" w:rsidRPr="00F23432" w:rsidRDefault="0003751B" w:rsidP="004F2986">
      <w:pPr>
        <w:pStyle w:val="Affiliation"/>
        <w:jc w:val="both"/>
        <w:rPr>
          <w:rFonts w:eastAsia="MS Mincho"/>
        </w:rPr>
      </w:pPr>
      <w:r w:rsidRPr="00F23432">
        <w:rPr>
          <w:rFonts w:eastAsia="MS Mincho"/>
          <w:vertAlign w:val="superscript"/>
        </w:rPr>
        <w:t>1</w:t>
      </w:r>
      <w:r w:rsidR="008C21E5" w:rsidRPr="00F23432">
        <w:rPr>
          <w:rFonts w:eastAsia="MS Mincho"/>
        </w:rPr>
        <w:t>SIMS College of Pharmacy,</w:t>
      </w:r>
    </w:p>
    <w:p w:rsidR="008C21E5" w:rsidRPr="00F23432" w:rsidRDefault="008C21E5" w:rsidP="004F2986">
      <w:pPr>
        <w:pStyle w:val="Affiliation"/>
        <w:jc w:val="both"/>
        <w:rPr>
          <w:rFonts w:eastAsia="MS Mincho"/>
        </w:rPr>
      </w:pPr>
      <w:r w:rsidRPr="00F23432">
        <w:rPr>
          <w:rFonts w:eastAsia="MS Mincho"/>
        </w:rPr>
        <w:t>Guntur, Andhra Pradesh, India</w:t>
      </w:r>
    </w:p>
    <w:p w:rsidR="00B82E38" w:rsidRPr="00F23432" w:rsidRDefault="00F356B4" w:rsidP="004F2986">
      <w:pPr>
        <w:pStyle w:val="Affiliation"/>
        <w:jc w:val="both"/>
        <w:rPr>
          <w:rFonts w:eastAsia="MS Mincho"/>
        </w:rPr>
      </w:pPr>
      <w:r>
        <w:rPr>
          <w:rFonts w:eastAsia="MS Mincho"/>
        </w:rPr>
        <w:t>Email:</w:t>
      </w:r>
      <w:r w:rsidR="00B82E38" w:rsidRPr="00F23432">
        <w:rPr>
          <w:rFonts w:eastAsia="MS Mincho"/>
        </w:rPr>
        <w:t>mercy.avutapalli888@gmail.com</w:t>
      </w:r>
    </w:p>
    <w:p w:rsidR="008C21E5" w:rsidRPr="00F23432" w:rsidRDefault="008C21E5" w:rsidP="004F2986">
      <w:pPr>
        <w:pStyle w:val="Author"/>
        <w:spacing w:before="0" w:after="0"/>
        <w:jc w:val="both"/>
        <w:rPr>
          <w:rFonts w:eastAsia="MS Mincho"/>
          <w:noProof w:val="0"/>
          <w:sz w:val="20"/>
          <w:szCs w:val="20"/>
        </w:rPr>
      </w:pPr>
    </w:p>
    <w:p w:rsidR="008C21E5" w:rsidRPr="00F23432" w:rsidRDefault="0003751B" w:rsidP="004F2986">
      <w:pPr>
        <w:pStyle w:val="Author"/>
        <w:spacing w:before="0" w:after="0"/>
        <w:jc w:val="both"/>
        <w:rPr>
          <w:rFonts w:eastAsia="MS Mincho"/>
          <w:sz w:val="20"/>
          <w:szCs w:val="20"/>
        </w:rPr>
      </w:pPr>
      <w:r w:rsidRPr="00F23432">
        <w:rPr>
          <w:rFonts w:eastAsia="MS Mincho"/>
          <w:sz w:val="20"/>
          <w:szCs w:val="20"/>
          <w:vertAlign w:val="superscript"/>
        </w:rPr>
        <w:t>1</w:t>
      </w:r>
      <w:r w:rsidR="008C21E5" w:rsidRPr="00F23432">
        <w:rPr>
          <w:rFonts w:eastAsia="MS Mincho"/>
          <w:sz w:val="20"/>
          <w:szCs w:val="20"/>
        </w:rPr>
        <w:t>Akula Prabhu Sangeetha</w:t>
      </w:r>
    </w:p>
    <w:p w:rsidR="008C21E5" w:rsidRPr="00F23432" w:rsidRDefault="008C21E5" w:rsidP="004F2986">
      <w:pPr>
        <w:pStyle w:val="Affiliation"/>
        <w:jc w:val="both"/>
        <w:rPr>
          <w:rFonts w:eastAsia="MS Mincho"/>
        </w:rPr>
      </w:pPr>
      <w:r w:rsidRPr="00F23432">
        <w:rPr>
          <w:rFonts w:eastAsia="MS Mincho"/>
        </w:rPr>
        <w:t>Department of Doctor of Pharmacy,</w:t>
      </w:r>
    </w:p>
    <w:p w:rsidR="008C21E5" w:rsidRPr="00F23432" w:rsidRDefault="0003751B" w:rsidP="004F2986">
      <w:pPr>
        <w:pStyle w:val="Affiliation"/>
        <w:jc w:val="both"/>
        <w:rPr>
          <w:rFonts w:eastAsia="MS Mincho"/>
        </w:rPr>
      </w:pPr>
      <w:r w:rsidRPr="00F23432">
        <w:rPr>
          <w:rFonts w:eastAsia="MS Mincho"/>
          <w:vertAlign w:val="superscript"/>
        </w:rPr>
        <w:t>1</w:t>
      </w:r>
      <w:r w:rsidR="008C21E5" w:rsidRPr="00F23432">
        <w:rPr>
          <w:rFonts w:eastAsia="MS Mincho"/>
        </w:rPr>
        <w:t>SIMS College of Pharmacy,</w:t>
      </w:r>
    </w:p>
    <w:p w:rsidR="00466548" w:rsidRPr="00F23432" w:rsidRDefault="008C21E5" w:rsidP="004F2986">
      <w:pPr>
        <w:pStyle w:val="Affiliation"/>
        <w:jc w:val="both"/>
        <w:rPr>
          <w:rFonts w:eastAsia="MS Mincho"/>
        </w:rPr>
      </w:pPr>
      <w:r w:rsidRPr="00F23432">
        <w:rPr>
          <w:rFonts w:eastAsia="MS Mincho"/>
        </w:rPr>
        <w:t>Guntur, Andhra Pradesh, India</w:t>
      </w:r>
    </w:p>
    <w:p w:rsidR="00B82E38" w:rsidRPr="00F23432" w:rsidRDefault="00C37BFB" w:rsidP="004F2986">
      <w:pPr>
        <w:pStyle w:val="Affiliation"/>
        <w:jc w:val="both"/>
        <w:rPr>
          <w:rFonts w:eastAsia="MS Mincho"/>
        </w:rPr>
        <w:sectPr w:rsidR="00B82E38" w:rsidRPr="00F23432" w:rsidSect="00466548">
          <w:type w:val="continuous"/>
          <w:pgSz w:w="11909" w:h="16834" w:code="9"/>
          <w:pgMar w:top="1440" w:right="1440" w:bottom="1440" w:left="1440" w:header="720" w:footer="720" w:gutter="0"/>
          <w:cols w:num="2" w:space="720"/>
          <w:docGrid w:linePitch="360"/>
        </w:sectPr>
      </w:pPr>
      <w:r w:rsidRPr="00F23432">
        <w:rPr>
          <w:rFonts w:eastAsia="MS Mincho"/>
        </w:rPr>
        <w:t>Email:</w:t>
      </w:r>
      <w:r w:rsidR="00B82E38" w:rsidRPr="00F23432">
        <w:rPr>
          <w:rFonts w:eastAsia="MS Mincho"/>
        </w:rPr>
        <w:t>aps.sangeetha222@gmail.com</w:t>
      </w:r>
    </w:p>
    <w:p w:rsidR="00466548" w:rsidRPr="00F23432" w:rsidRDefault="00466548" w:rsidP="004F2986">
      <w:pPr>
        <w:pStyle w:val="Affiliation"/>
        <w:jc w:val="both"/>
        <w:rPr>
          <w:rFonts w:eastAsia="MS Mincho"/>
          <w:sz w:val="48"/>
          <w:szCs w:val="48"/>
        </w:rPr>
      </w:pPr>
    </w:p>
    <w:p w:rsidR="00A50234" w:rsidRPr="00F23432" w:rsidRDefault="0003751B" w:rsidP="004F2986">
      <w:pPr>
        <w:pStyle w:val="Affiliation"/>
        <w:jc w:val="both"/>
        <w:rPr>
          <w:rFonts w:eastAsia="MS Mincho"/>
        </w:rPr>
      </w:pPr>
      <w:r w:rsidRPr="00F23432">
        <w:rPr>
          <w:rFonts w:eastAsia="MS Mincho"/>
          <w:vertAlign w:val="superscript"/>
        </w:rPr>
        <w:t>2</w:t>
      </w:r>
      <w:r w:rsidR="00C37BFB" w:rsidRPr="00F23432">
        <w:rPr>
          <w:rFonts w:eastAsia="MS Mincho"/>
        </w:rPr>
        <w:t xml:space="preserve">Satya Narayan </w:t>
      </w:r>
      <w:proofErr w:type="spellStart"/>
      <w:r w:rsidR="00C37BFB" w:rsidRPr="00F23432">
        <w:rPr>
          <w:rFonts w:eastAsia="MS Mincho"/>
        </w:rPr>
        <w:t>Tripathy</w:t>
      </w:r>
      <w:proofErr w:type="spellEnd"/>
      <w:r w:rsidR="004F2986" w:rsidRPr="00F23432">
        <w:rPr>
          <w:rFonts w:eastAsia="MS Mincho"/>
        </w:rPr>
        <w:t xml:space="preserve">                                                            </w:t>
      </w:r>
      <w:r w:rsidR="00D16DF6" w:rsidRPr="00F23432">
        <w:rPr>
          <w:rFonts w:eastAsia="MS Mincho"/>
          <w:vertAlign w:val="superscript"/>
        </w:rPr>
        <w:t>3</w:t>
      </w:r>
      <w:r w:rsidR="00D57DC1" w:rsidRPr="00F23432">
        <w:rPr>
          <w:rFonts w:eastAsia="MS Mincho"/>
        </w:rPr>
        <w:t xml:space="preserve">Rajib </w:t>
      </w:r>
      <w:proofErr w:type="spellStart"/>
      <w:r w:rsidR="00D57DC1" w:rsidRPr="00F23432">
        <w:rPr>
          <w:rFonts w:eastAsia="MS Mincho"/>
        </w:rPr>
        <w:t>Lochon</w:t>
      </w:r>
      <w:proofErr w:type="spellEnd"/>
      <w:r w:rsidR="00D57DC1" w:rsidRPr="00F23432">
        <w:rPr>
          <w:rFonts w:eastAsia="MS Mincho"/>
        </w:rPr>
        <w:t xml:space="preserve"> </w:t>
      </w:r>
      <w:proofErr w:type="spellStart"/>
      <w:r w:rsidR="00D57DC1" w:rsidRPr="00F23432">
        <w:rPr>
          <w:rFonts w:eastAsia="MS Mincho"/>
        </w:rPr>
        <w:t>Maharana</w:t>
      </w:r>
      <w:proofErr w:type="spellEnd"/>
    </w:p>
    <w:p w:rsidR="00A50234" w:rsidRPr="00F23432" w:rsidRDefault="00C37BFB" w:rsidP="00A50234">
      <w:pPr>
        <w:pStyle w:val="Affiliation"/>
        <w:jc w:val="both"/>
        <w:rPr>
          <w:rFonts w:eastAsia="MS Mincho"/>
        </w:rPr>
      </w:pPr>
      <w:r w:rsidRPr="00F23432">
        <w:rPr>
          <w:rFonts w:eastAsia="MS Mincho"/>
        </w:rPr>
        <w:t>Dept</w:t>
      </w:r>
      <w:r w:rsidR="00234F7C" w:rsidRPr="00F23432">
        <w:rPr>
          <w:rFonts w:eastAsia="MS Mincho"/>
        </w:rPr>
        <w:t>.</w:t>
      </w:r>
      <w:r w:rsidRPr="00F23432">
        <w:rPr>
          <w:rFonts w:eastAsia="MS Mincho"/>
        </w:rPr>
        <w:t xml:space="preserve"> of Pharmaceutical Analysis</w:t>
      </w:r>
      <w:r w:rsidR="00A50234" w:rsidRPr="00F23432">
        <w:rPr>
          <w:rFonts w:eastAsia="MS Mincho"/>
        </w:rPr>
        <w:t xml:space="preserve">   </w:t>
      </w:r>
      <w:r w:rsidR="00D57DC1" w:rsidRPr="00F23432">
        <w:rPr>
          <w:rFonts w:eastAsia="MS Mincho"/>
        </w:rPr>
        <w:t xml:space="preserve">                                          </w:t>
      </w:r>
      <w:r w:rsidR="00F5352A" w:rsidRPr="00F23432">
        <w:rPr>
          <w:rFonts w:eastAsia="MS Mincho"/>
        </w:rPr>
        <w:t xml:space="preserve"> </w:t>
      </w:r>
      <w:r w:rsidR="000969FD" w:rsidRPr="00F23432">
        <w:rPr>
          <w:rFonts w:eastAsia="MS Mincho"/>
        </w:rPr>
        <w:t>Specialist</w:t>
      </w:r>
      <w:r w:rsidR="00226E7B" w:rsidRPr="00F23432">
        <w:rPr>
          <w:rFonts w:eastAsia="MS Mincho"/>
        </w:rPr>
        <w:t xml:space="preserve"> </w:t>
      </w:r>
      <w:r w:rsidR="00A50234" w:rsidRPr="00F23432">
        <w:rPr>
          <w:rFonts w:eastAsia="MS Mincho"/>
        </w:rPr>
        <w:t xml:space="preserve">                                          </w:t>
      </w:r>
    </w:p>
    <w:p w:rsidR="00A50234" w:rsidRPr="00F23432" w:rsidRDefault="00A50234" w:rsidP="00A50234">
      <w:pPr>
        <w:pStyle w:val="Affiliation"/>
        <w:jc w:val="both"/>
        <w:rPr>
          <w:rFonts w:eastAsia="MS Mincho"/>
        </w:rPr>
      </w:pPr>
      <w:r w:rsidRPr="00F23432">
        <w:rPr>
          <w:rFonts w:eastAsia="MS Mincho"/>
          <w:vertAlign w:val="superscript"/>
        </w:rPr>
        <w:t>2</w:t>
      </w:r>
      <w:r w:rsidRPr="00F23432">
        <w:rPr>
          <w:rFonts w:eastAsia="MS Mincho"/>
        </w:rPr>
        <w:t xml:space="preserve">School of Pharmacy &amp; Life Sciences   </w:t>
      </w:r>
      <w:r w:rsidR="00226E7B" w:rsidRPr="00F23432">
        <w:rPr>
          <w:rFonts w:eastAsia="MS Mincho"/>
        </w:rPr>
        <w:t xml:space="preserve">                                    </w:t>
      </w:r>
      <w:r w:rsidR="000969FD" w:rsidRPr="00F23432">
        <w:rPr>
          <w:rFonts w:eastAsia="MS Mincho"/>
          <w:vertAlign w:val="superscript"/>
        </w:rPr>
        <w:t>3</w:t>
      </w:r>
      <w:r w:rsidR="00226E7B" w:rsidRPr="00F23432">
        <w:rPr>
          <w:rFonts w:eastAsia="MS Mincho"/>
        </w:rPr>
        <w:t>Formulation Development</w:t>
      </w:r>
      <w:r w:rsidR="000969FD" w:rsidRPr="00F23432">
        <w:rPr>
          <w:rFonts w:eastAsia="MS Mincho"/>
        </w:rPr>
        <w:t xml:space="preserve"> Centre</w:t>
      </w:r>
      <w:r w:rsidRPr="00F23432">
        <w:rPr>
          <w:rFonts w:eastAsia="MS Mincho"/>
        </w:rPr>
        <w:t xml:space="preserve">                                  </w:t>
      </w:r>
    </w:p>
    <w:p w:rsidR="00A50234" w:rsidRPr="00F23432" w:rsidRDefault="00A50234" w:rsidP="00A50234">
      <w:pPr>
        <w:pStyle w:val="Affiliation"/>
        <w:jc w:val="both"/>
        <w:rPr>
          <w:rFonts w:eastAsia="MS Mincho"/>
        </w:rPr>
      </w:pPr>
      <w:r w:rsidRPr="00F23432">
        <w:rPr>
          <w:rFonts w:eastAsia="MS Mincho"/>
        </w:rPr>
        <w:t xml:space="preserve">Centurion University of Technology and    </w:t>
      </w:r>
      <w:r w:rsidR="00F5352A" w:rsidRPr="00F23432">
        <w:rPr>
          <w:rFonts w:eastAsia="MS Mincho"/>
        </w:rPr>
        <w:t xml:space="preserve">                              </w:t>
      </w:r>
      <w:r w:rsidR="00226E7B" w:rsidRPr="00F23432">
        <w:rPr>
          <w:rFonts w:eastAsia="MS Mincho"/>
        </w:rPr>
        <w:t>Dr. Reddy’s Lab Ltd,</w:t>
      </w:r>
      <w:r w:rsidR="00DB6BBC" w:rsidRPr="00F23432">
        <w:rPr>
          <w:rFonts w:eastAsia="MS Mincho"/>
        </w:rPr>
        <w:t xml:space="preserve"> </w:t>
      </w:r>
      <w:r w:rsidR="00226E7B" w:rsidRPr="00F23432">
        <w:rPr>
          <w:rFonts w:eastAsia="MS Mincho"/>
        </w:rPr>
        <w:t xml:space="preserve">IPDO  </w:t>
      </w:r>
      <w:r w:rsidRPr="00F23432">
        <w:rPr>
          <w:rFonts w:eastAsia="MS Mincho"/>
        </w:rPr>
        <w:t xml:space="preserve">                        </w:t>
      </w:r>
    </w:p>
    <w:p w:rsidR="00A50234" w:rsidRPr="00F23432" w:rsidRDefault="00A50234" w:rsidP="00A50234">
      <w:pPr>
        <w:pStyle w:val="Affiliation"/>
        <w:jc w:val="both"/>
        <w:rPr>
          <w:rFonts w:eastAsia="MS Mincho"/>
        </w:rPr>
      </w:pPr>
      <w:r w:rsidRPr="00F23432">
        <w:rPr>
          <w:rFonts w:eastAsia="MS Mincho"/>
        </w:rPr>
        <w:t xml:space="preserve">Management   </w:t>
      </w:r>
      <w:r w:rsidR="00226E7B" w:rsidRPr="00F23432">
        <w:rPr>
          <w:rFonts w:eastAsia="MS Mincho"/>
        </w:rPr>
        <w:t xml:space="preserve">                                             </w:t>
      </w:r>
      <w:r w:rsidR="001C55EC" w:rsidRPr="00F23432">
        <w:rPr>
          <w:rFonts w:eastAsia="MS Mincho"/>
        </w:rPr>
        <w:t xml:space="preserve">                              </w:t>
      </w:r>
      <w:proofErr w:type="spellStart"/>
      <w:r w:rsidR="00226E7B" w:rsidRPr="00F23432">
        <w:rPr>
          <w:rFonts w:eastAsia="MS Mincho"/>
        </w:rPr>
        <w:t>Bachupally</w:t>
      </w:r>
      <w:proofErr w:type="spellEnd"/>
      <w:r w:rsidR="00226E7B" w:rsidRPr="00F23432">
        <w:rPr>
          <w:rFonts w:eastAsia="MS Mincho"/>
        </w:rPr>
        <w:t xml:space="preserve">, Hyderabad                                        </w:t>
      </w:r>
      <w:r w:rsidRPr="00F23432">
        <w:rPr>
          <w:rFonts w:eastAsia="MS Mincho"/>
        </w:rPr>
        <w:t xml:space="preserve">  </w:t>
      </w:r>
    </w:p>
    <w:p w:rsidR="00A50234" w:rsidRPr="00F23432" w:rsidRDefault="00A50234" w:rsidP="00A50234">
      <w:pPr>
        <w:pStyle w:val="Affiliation"/>
        <w:jc w:val="both"/>
        <w:rPr>
          <w:rFonts w:eastAsia="MS Mincho"/>
        </w:rPr>
      </w:pPr>
      <w:r w:rsidRPr="00F23432">
        <w:rPr>
          <w:rFonts w:eastAsia="MS Mincho"/>
        </w:rPr>
        <w:t xml:space="preserve">Email:mrsntripathy@gmail.com  </w:t>
      </w:r>
      <w:r w:rsidR="00226E7B" w:rsidRPr="00F23432">
        <w:rPr>
          <w:rFonts w:eastAsia="MS Mincho"/>
        </w:rPr>
        <w:t xml:space="preserve">                  </w:t>
      </w:r>
      <w:r w:rsidR="001C55EC" w:rsidRPr="00F23432">
        <w:rPr>
          <w:rFonts w:eastAsia="MS Mincho"/>
        </w:rPr>
        <w:t xml:space="preserve">                           </w:t>
      </w:r>
      <w:r w:rsidR="00A76B01">
        <w:rPr>
          <w:rFonts w:eastAsia="MS Mincho"/>
        </w:rPr>
        <w:t>Email:</w:t>
      </w:r>
      <w:bookmarkStart w:id="0" w:name="_GoBack"/>
      <w:bookmarkEnd w:id="0"/>
      <w:r w:rsidR="00F5352A" w:rsidRPr="00F23432">
        <w:rPr>
          <w:rFonts w:eastAsia="MS Mincho"/>
        </w:rPr>
        <w:t>rajiblochon1986@gmail.com</w:t>
      </w:r>
    </w:p>
    <w:p w:rsidR="00A50234" w:rsidRPr="00F23432" w:rsidRDefault="00A50234" w:rsidP="00A50234">
      <w:pPr>
        <w:pStyle w:val="Affiliation"/>
        <w:jc w:val="both"/>
        <w:rPr>
          <w:rFonts w:eastAsia="MS Mincho"/>
        </w:rPr>
      </w:pPr>
    </w:p>
    <w:p w:rsidR="00C37BFB" w:rsidRPr="00F23432" w:rsidRDefault="00A50234" w:rsidP="004F2986">
      <w:pPr>
        <w:pStyle w:val="Affiliation"/>
        <w:jc w:val="both"/>
        <w:rPr>
          <w:rFonts w:eastAsia="MS Mincho"/>
        </w:rPr>
      </w:pPr>
      <w:r w:rsidRPr="00F23432">
        <w:rPr>
          <w:rFonts w:eastAsia="MS Mincho"/>
        </w:rPr>
        <w:t xml:space="preserve"> </w:t>
      </w:r>
    </w:p>
    <w:p w:rsidR="00796B60" w:rsidRPr="00F23432" w:rsidRDefault="005D4B57" w:rsidP="00527F46">
      <w:pPr>
        <w:pStyle w:val="Affiliation"/>
        <w:jc w:val="both"/>
        <w:rPr>
          <w:rFonts w:eastAsia="MS Mincho"/>
        </w:rPr>
      </w:pPr>
      <w:r w:rsidRPr="00F23432">
        <w:rPr>
          <w:rFonts w:eastAsia="MS Mincho"/>
        </w:rPr>
        <w:t xml:space="preserve"> </w:t>
      </w:r>
    </w:p>
    <w:p w:rsidR="00796B60" w:rsidRPr="00F23432" w:rsidRDefault="00796B60" w:rsidP="00527F46">
      <w:pPr>
        <w:pStyle w:val="Affiliation"/>
        <w:jc w:val="both"/>
        <w:rPr>
          <w:rFonts w:eastAsia="MS Mincho"/>
        </w:rPr>
      </w:pPr>
    </w:p>
    <w:p w:rsidR="00796B60" w:rsidRPr="00F23432" w:rsidRDefault="00796B60" w:rsidP="00527F46">
      <w:pPr>
        <w:pStyle w:val="Affiliation"/>
        <w:jc w:val="both"/>
        <w:rPr>
          <w:rFonts w:eastAsia="MS Mincho"/>
        </w:rPr>
      </w:pPr>
    </w:p>
    <w:p w:rsidR="00796B60" w:rsidRPr="00F23432" w:rsidRDefault="00796B60" w:rsidP="00527F46">
      <w:pPr>
        <w:pStyle w:val="Affiliation"/>
        <w:jc w:val="both"/>
        <w:rPr>
          <w:rFonts w:eastAsia="MS Mincho"/>
        </w:rPr>
      </w:pPr>
    </w:p>
    <w:p w:rsidR="00796B60" w:rsidRPr="00F23432" w:rsidRDefault="00796B60" w:rsidP="00527F46">
      <w:pPr>
        <w:pStyle w:val="Affiliation"/>
        <w:jc w:val="both"/>
        <w:rPr>
          <w:rFonts w:eastAsia="MS Mincho"/>
        </w:rPr>
        <w:sectPr w:rsidR="00796B60" w:rsidRPr="00F23432" w:rsidSect="00466548">
          <w:type w:val="continuous"/>
          <w:pgSz w:w="11909" w:h="16834" w:code="9"/>
          <w:pgMar w:top="1440" w:right="1440" w:bottom="1440" w:left="1440" w:header="720" w:footer="720" w:gutter="0"/>
          <w:cols w:space="720"/>
          <w:docGrid w:linePitch="360"/>
        </w:sectPr>
      </w:pPr>
    </w:p>
    <w:p w:rsidR="00466548" w:rsidRPr="00F23432" w:rsidRDefault="00402841" w:rsidP="00466548">
      <w:pPr>
        <w:pStyle w:val="Abstract"/>
        <w:spacing w:after="0"/>
        <w:ind w:firstLine="0"/>
        <w:jc w:val="center"/>
        <w:rPr>
          <w:rFonts w:eastAsia="MS Mincho"/>
          <w:iCs/>
          <w:sz w:val="20"/>
          <w:szCs w:val="20"/>
        </w:rPr>
      </w:pPr>
      <w:r w:rsidRPr="00F23432">
        <w:rPr>
          <w:rFonts w:eastAsia="MS Mincho"/>
          <w:iCs/>
          <w:sz w:val="20"/>
          <w:szCs w:val="20"/>
        </w:rPr>
        <w:lastRenderedPageBreak/>
        <w:t>ABSTRACT</w:t>
      </w:r>
    </w:p>
    <w:p w:rsidR="0003751B" w:rsidRPr="00F23432" w:rsidRDefault="005E7F09" w:rsidP="00CE2363">
      <w:pPr>
        <w:pStyle w:val="Abstract"/>
        <w:spacing w:after="0"/>
        <w:ind w:firstLine="720"/>
        <w:rPr>
          <w:b w:val="0"/>
          <w:sz w:val="20"/>
          <w:szCs w:val="20"/>
        </w:rPr>
      </w:pPr>
      <w:r w:rsidRPr="00F23432">
        <w:rPr>
          <w:b w:val="0"/>
          <w:sz w:val="20"/>
          <w:szCs w:val="20"/>
        </w:rPr>
        <w:t xml:space="preserve">Ovarian oncogenesis pathways have recently been investigated using multi-omics techniques, which </w:t>
      </w:r>
      <w:r w:rsidR="000046C2" w:rsidRPr="00F23432">
        <w:rPr>
          <w:b w:val="0"/>
          <w:sz w:val="20"/>
          <w:szCs w:val="20"/>
        </w:rPr>
        <w:t>assimilate</w:t>
      </w:r>
      <w:r w:rsidRPr="00F23432">
        <w:rPr>
          <w:b w:val="0"/>
          <w:sz w:val="20"/>
          <w:szCs w:val="20"/>
        </w:rPr>
        <w:t xml:space="preserve"> data from genomics (DNA), transcriptomics (RNA), proteomics (proteins), and metabolomics (metabolites). These molecular signatures are helpful for elucidating the development and progression of ovarian cancer</w:t>
      </w:r>
      <w:r w:rsidR="005977F5" w:rsidRPr="00F23432">
        <w:rPr>
          <w:b w:val="0"/>
          <w:sz w:val="20"/>
          <w:szCs w:val="20"/>
        </w:rPr>
        <w:t xml:space="preserve"> (OC)</w:t>
      </w:r>
      <w:r w:rsidRPr="00F23432">
        <w:rPr>
          <w:b w:val="0"/>
          <w:sz w:val="20"/>
          <w:szCs w:val="20"/>
        </w:rPr>
        <w:t xml:space="preserve"> and have been identified through the use of current multi-omics approaches. High-throughput omics technologies have accelerated the identification of numerous potential biomarkers in recent years. An overview of the current state in this domain is offered with examples of genomics, proteomics, transcriptomics, metabolomics and microbiomics biomarkers in the field of oncology, along with some proposed ways to accelerate their validation.</w:t>
      </w:r>
      <w:r w:rsidR="005977F5" w:rsidRPr="00F23432">
        <w:t xml:space="preserve"> </w:t>
      </w:r>
      <w:r w:rsidR="005977F5" w:rsidRPr="00F23432">
        <w:rPr>
          <w:b w:val="0"/>
          <w:sz w:val="20"/>
          <w:szCs w:val="20"/>
        </w:rPr>
        <w:t xml:space="preserve">The utilization of multi-omics data has enhanced our understanding of the disease and enabled the identification of valuable OC based </w:t>
      </w:r>
      <w:r w:rsidR="002E58AA" w:rsidRPr="00F23432">
        <w:rPr>
          <w:b w:val="0"/>
          <w:sz w:val="20"/>
          <w:szCs w:val="20"/>
        </w:rPr>
        <w:t xml:space="preserve">biomarkers. In this chapter, efforts are made to </w:t>
      </w:r>
      <w:r w:rsidR="000E5D0A" w:rsidRPr="00F23432">
        <w:rPr>
          <w:b w:val="0"/>
          <w:sz w:val="20"/>
          <w:szCs w:val="20"/>
        </w:rPr>
        <w:t>emphasize</w:t>
      </w:r>
      <w:r w:rsidR="005977F5" w:rsidRPr="00F23432">
        <w:rPr>
          <w:b w:val="0"/>
          <w:sz w:val="20"/>
          <w:szCs w:val="20"/>
        </w:rPr>
        <w:t xml:space="preserve"> potential applications of multi-omics for finding novel biomarkers and enhancing clinical evaluation.</w:t>
      </w:r>
    </w:p>
    <w:p w:rsidR="008C54C2" w:rsidRPr="00F23432" w:rsidRDefault="008C54C2" w:rsidP="00466548">
      <w:pPr>
        <w:pStyle w:val="keywords"/>
        <w:spacing w:after="0"/>
        <w:ind w:firstLine="0"/>
        <w:rPr>
          <w:rFonts w:eastAsia="MS Mincho"/>
          <w:i w:val="0"/>
          <w:sz w:val="20"/>
          <w:szCs w:val="20"/>
        </w:rPr>
      </w:pPr>
    </w:p>
    <w:p w:rsidR="00466548" w:rsidRPr="00F23432" w:rsidRDefault="0072064C" w:rsidP="00466548">
      <w:pPr>
        <w:pStyle w:val="keywords"/>
        <w:spacing w:after="0"/>
        <w:ind w:firstLine="0"/>
        <w:rPr>
          <w:rFonts w:eastAsia="MS Mincho"/>
          <w:b w:val="0"/>
          <w:i w:val="0"/>
          <w:sz w:val="20"/>
          <w:szCs w:val="20"/>
        </w:rPr>
      </w:pPr>
      <w:r w:rsidRPr="00F23432">
        <w:rPr>
          <w:rFonts w:eastAsia="MS Mincho"/>
          <w:i w:val="0"/>
          <w:sz w:val="20"/>
          <w:szCs w:val="20"/>
        </w:rPr>
        <w:t>Keywords</w:t>
      </w:r>
      <w:r w:rsidRPr="00F23432">
        <w:rPr>
          <w:rFonts w:eastAsia="MS Mincho"/>
          <w:b w:val="0"/>
          <w:i w:val="0"/>
          <w:sz w:val="20"/>
          <w:szCs w:val="20"/>
        </w:rPr>
        <w:t>—</w:t>
      </w:r>
      <w:r w:rsidR="005837BF" w:rsidRPr="00F23432">
        <w:rPr>
          <w:rFonts w:eastAsia="MS Mincho"/>
          <w:b w:val="0"/>
          <w:i w:val="0"/>
          <w:sz w:val="20"/>
          <w:szCs w:val="20"/>
        </w:rPr>
        <w:t>Infection</w:t>
      </w:r>
      <w:r w:rsidR="008C21E5" w:rsidRPr="00F23432">
        <w:rPr>
          <w:rFonts w:eastAsia="MS Mincho"/>
          <w:b w:val="0"/>
          <w:i w:val="0"/>
          <w:sz w:val="20"/>
          <w:szCs w:val="20"/>
        </w:rPr>
        <w:t xml:space="preserve">, biomarker, </w:t>
      </w:r>
      <w:r w:rsidR="00BB0096" w:rsidRPr="00F23432">
        <w:rPr>
          <w:rFonts w:eastAsia="MS Mincho"/>
          <w:b w:val="0"/>
          <w:i w:val="0"/>
          <w:sz w:val="20"/>
          <w:szCs w:val="20"/>
        </w:rPr>
        <w:t xml:space="preserve">multi-omics, women health, </w:t>
      </w:r>
      <w:r w:rsidR="005837BF" w:rsidRPr="00F23432">
        <w:rPr>
          <w:rFonts w:eastAsia="MS Mincho"/>
          <w:b w:val="0"/>
          <w:i w:val="0"/>
          <w:sz w:val="20"/>
          <w:szCs w:val="20"/>
        </w:rPr>
        <w:t>rare diseases, ovarian cancer</w:t>
      </w:r>
    </w:p>
    <w:p w:rsidR="00527F46" w:rsidRPr="00F23432" w:rsidRDefault="00527F46" w:rsidP="00466548">
      <w:pPr>
        <w:pStyle w:val="keywords"/>
        <w:spacing w:after="0"/>
        <w:ind w:firstLine="0"/>
        <w:rPr>
          <w:rFonts w:eastAsia="MS Mincho"/>
          <w:b w:val="0"/>
          <w:i w:val="0"/>
          <w:sz w:val="20"/>
          <w:szCs w:val="20"/>
        </w:rPr>
      </w:pPr>
    </w:p>
    <w:p w:rsidR="00527F46" w:rsidRPr="00F23432" w:rsidRDefault="00527F46" w:rsidP="00466548">
      <w:pPr>
        <w:pStyle w:val="keywords"/>
        <w:spacing w:after="0"/>
        <w:ind w:firstLine="0"/>
        <w:rPr>
          <w:rFonts w:eastAsia="MS Mincho"/>
          <w:b w:val="0"/>
          <w:i w:val="0"/>
          <w:sz w:val="20"/>
          <w:szCs w:val="20"/>
        </w:rPr>
      </w:pPr>
    </w:p>
    <w:p w:rsidR="0086497A" w:rsidRPr="00F23432" w:rsidRDefault="0086497A" w:rsidP="00466548">
      <w:pPr>
        <w:pStyle w:val="keywords"/>
        <w:spacing w:after="0"/>
        <w:ind w:firstLine="0"/>
        <w:rPr>
          <w:rFonts w:eastAsia="MS Mincho"/>
          <w:b w:val="0"/>
          <w:i w:val="0"/>
          <w:sz w:val="20"/>
          <w:szCs w:val="20"/>
        </w:rPr>
      </w:pPr>
    </w:p>
    <w:p w:rsidR="0086497A" w:rsidRPr="00F23432" w:rsidRDefault="0086497A" w:rsidP="00466548">
      <w:pPr>
        <w:pStyle w:val="keywords"/>
        <w:spacing w:after="0"/>
        <w:ind w:firstLine="0"/>
        <w:rPr>
          <w:rFonts w:eastAsia="MS Mincho"/>
          <w:b w:val="0"/>
          <w:i w:val="0"/>
          <w:sz w:val="20"/>
          <w:szCs w:val="20"/>
        </w:rPr>
      </w:pPr>
    </w:p>
    <w:p w:rsidR="008A55B5" w:rsidRPr="00F23432" w:rsidRDefault="00402841" w:rsidP="00466548">
      <w:pPr>
        <w:pStyle w:val="Heading1"/>
        <w:spacing w:before="0" w:after="0"/>
        <w:ind w:firstLine="0"/>
        <w:rPr>
          <w:rFonts w:eastAsia="MS Mincho"/>
        </w:rPr>
      </w:pPr>
      <w:r w:rsidRPr="00F23432">
        <w:rPr>
          <w:rFonts w:ascii="Times New Roman" w:eastAsia="MS Mincho" w:hAnsi="Times New Roman"/>
          <w:sz w:val="20"/>
          <w:szCs w:val="20"/>
        </w:rPr>
        <w:t xml:space="preserve"> INTRODUCTION </w:t>
      </w:r>
    </w:p>
    <w:p w:rsidR="00466548" w:rsidRPr="00F23432" w:rsidRDefault="00466548" w:rsidP="00466548">
      <w:pPr>
        <w:rPr>
          <w:rFonts w:eastAsia="MS Mincho"/>
        </w:rPr>
      </w:pPr>
    </w:p>
    <w:p w:rsidR="00832483" w:rsidRPr="00F23432" w:rsidRDefault="00832483" w:rsidP="00B15F59">
      <w:pPr>
        <w:autoSpaceDE w:val="0"/>
        <w:autoSpaceDN w:val="0"/>
        <w:adjustRightInd w:val="0"/>
        <w:ind w:firstLine="1440"/>
        <w:jc w:val="both"/>
      </w:pPr>
      <w:r w:rsidRPr="00F23432">
        <w:t xml:space="preserve">Diseases are triggered by shift patterns in the regulation of genes or by the combined effects of multiple genes and the environment on a particular organ or tissue. These diseases make their presence known through significant alterations in human physiology, which provides the foundation for clinical chemistry and enables it to contribute significantly to the diagnostic process and subsequent therapeutic interventions. DNA, RNA, proteins, lipids, and metabolites are all part of the complex network of molecules that are involved in the biological mechanism of disease. The term "biomarker" refers to "a characteristic that is objectively measured and evaluated as an indicator of normal biological processes, pathological processes, or pharmacological responses to a therapeutic intervention." According to this definition, a biomarker is "a characteristic that is objectively measured and evaluated as an indicator of normal biological processes, pathological In general, an ideal biomarker should be able to detect a fundamental feature of a specific disease; validated in and confirmed by those specific disease cases; precise, in that it should be able to detect the early stages of this specific disease </w:t>
      </w:r>
      <w:r w:rsidRPr="00F23432">
        <w:lastRenderedPageBreak/>
        <w:t>and differentiate it from other similar disease cases or family members of that disease; simple to perform; reliable; non-invasive; and inexpensive, if at all possible. In addition, an ideal biomarker should be able to distinguish itself from other similar disease cases or family members of that disease (</w:t>
      </w:r>
      <w:proofErr w:type="spellStart"/>
      <w:r w:rsidRPr="00F23432">
        <w:t>Ziad</w:t>
      </w:r>
      <w:proofErr w:type="spellEnd"/>
      <w:r w:rsidRPr="00F23432">
        <w:t xml:space="preserve"> J </w:t>
      </w:r>
      <w:proofErr w:type="spellStart"/>
      <w:r w:rsidRPr="00F23432">
        <w:t>Sahab</w:t>
      </w:r>
      <w:proofErr w:type="spellEnd"/>
      <w:r w:rsidRPr="00F23432">
        <w:t xml:space="preserve"> et al 2007).</w:t>
      </w:r>
    </w:p>
    <w:p w:rsidR="00832483" w:rsidRPr="00F23432" w:rsidRDefault="00832483" w:rsidP="00B15F59">
      <w:pPr>
        <w:autoSpaceDE w:val="0"/>
        <w:autoSpaceDN w:val="0"/>
        <w:adjustRightInd w:val="0"/>
        <w:ind w:firstLine="1440"/>
        <w:jc w:val="both"/>
      </w:pPr>
    </w:p>
    <w:p w:rsidR="000E4361" w:rsidRPr="00F23432" w:rsidRDefault="000E4361" w:rsidP="000E4361">
      <w:pPr>
        <w:autoSpaceDE w:val="0"/>
        <w:autoSpaceDN w:val="0"/>
        <w:adjustRightInd w:val="0"/>
        <w:ind w:firstLine="1440"/>
        <w:jc w:val="both"/>
      </w:pPr>
      <w:r w:rsidRPr="00F23432">
        <w:t>The omics methodology is a comprehensive examination of the roles that these molecules play in the functi</w:t>
      </w:r>
      <w:r w:rsidR="00D30486" w:rsidRPr="00F23432">
        <w:t>on of living organisms</w:t>
      </w:r>
      <w:r w:rsidRPr="00F23432">
        <w:t xml:space="preserve">. Different omic methods accessible include genomics, </w:t>
      </w:r>
      <w:proofErr w:type="spellStart"/>
      <w:r w:rsidRPr="00F23432">
        <w:t>epigenomics</w:t>
      </w:r>
      <w:proofErr w:type="spellEnd"/>
      <w:r w:rsidRPr="00F23432">
        <w:t xml:space="preserve">, </w:t>
      </w:r>
      <w:proofErr w:type="spellStart"/>
      <w:r w:rsidRPr="00F23432">
        <w:t>transcriptomics</w:t>
      </w:r>
      <w:proofErr w:type="spellEnd"/>
      <w:r w:rsidRPr="00F23432">
        <w:t xml:space="preserve">, proteomics, metabolomics, </w:t>
      </w:r>
      <w:proofErr w:type="spellStart"/>
      <w:r w:rsidRPr="00F23432">
        <w:t>lipidomics</w:t>
      </w:r>
      <w:proofErr w:type="spellEnd"/>
      <w:r w:rsidRPr="00F23432">
        <w:t xml:space="preserve"> and </w:t>
      </w:r>
      <w:proofErr w:type="spellStart"/>
      <w:r w:rsidRPr="00F23432">
        <w:t>immunomics</w:t>
      </w:r>
      <w:proofErr w:type="spellEnd"/>
      <w:r w:rsidRPr="00F23432">
        <w:t xml:space="preserve">. Genomics refers to the study of genetic variants in order to investigate associations with diseases, responses to treatments, and prognoses. </w:t>
      </w:r>
      <w:proofErr w:type="spellStart"/>
      <w:r w:rsidRPr="00F23432">
        <w:t>Epigenomics</w:t>
      </w:r>
      <w:proofErr w:type="spellEnd"/>
      <w:r w:rsidRPr="00F23432">
        <w:t>, on the other hand, is the study of the reversible change of DNA and the proteins that are connected with it. (</w:t>
      </w:r>
      <w:proofErr w:type="spellStart"/>
      <w:r w:rsidRPr="00F23432">
        <w:t>Yehudit</w:t>
      </w:r>
      <w:proofErr w:type="spellEnd"/>
      <w:r w:rsidRPr="00F23432">
        <w:t xml:space="preserve"> </w:t>
      </w:r>
      <w:proofErr w:type="spellStart"/>
      <w:r w:rsidRPr="00F23432">
        <w:t>Hasin</w:t>
      </w:r>
      <w:proofErr w:type="spellEnd"/>
      <w:r w:rsidRPr="00F23432">
        <w:t xml:space="preserve"> et al 2017). The field of </w:t>
      </w:r>
      <w:proofErr w:type="spellStart"/>
      <w:r w:rsidRPr="00F23432">
        <w:t>epigenomics</w:t>
      </w:r>
      <w:proofErr w:type="spellEnd"/>
      <w:r w:rsidRPr="00F23432">
        <w:t xml:space="preserve"> investigates the role that interactions between genes and the environment play in the onset, progression, prevention, and treatment of disease. The study of RNA transcripts is known as transcriptomics, and it is used to identify biological pathways, track changes that occur during the progression of disease, and distinguish healthy individuals from diseased ones. Figure 2 presents an overview of the processes that are involved in genomics and transcriptomics. As shown in figure 3, proteomics is both the scientific study and the technological process of isolating and identifying proteins from basic biological samples. The study of proteomics defines the biological and functional role that proteins play, reveals their biological mechanisms and their use as biomarkers and drug targets, and measures the proteins that are involved in both normal and pathological states in order to gain an understanding of the disease process. Integrative analysis of multi-omics data for the discovery and functional studies of complex human disorders (Yan V. Sun and Yi-Juan Hu, "Integrative analysis of multi-omics data for discovery and functional studies of complex human diseases," </w:t>
      </w:r>
      <w:proofErr w:type="spellStart"/>
      <w:r w:rsidRPr="00F23432">
        <w:t>Adv</w:t>
      </w:r>
      <w:proofErr w:type="spellEnd"/>
      <w:r w:rsidRPr="00F23432">
        <w:t xml:space="preserve"> Genet., 93, 147–190, 2016) The study of metabolomics elucidates the low molecular weight proteins that are unique to cells, tissues, and biological fluids, as well as the profile of metabolic pathways that are active in various systems of an organism. Using metabolomics to explore biomarkers of drug addiction (</w:t>
      </w:r>
      <w:proofErr w:type="spellStart"/>
      <w:r w:rsidRPr="00F23432">
        <w:t>Ghanbari</w:t>
      </w:r>
      <w:proofErr w:type="spellEnd"/>
      <w:r w:rsidRPr="00F23432">
        <w:t xml:space="preserve">, Susan Sumner Reza, "Using metabolomics to examine biomarkers of drug addiction," Trends in Molecular Medicine, volume 24, number 197-205, February 2018) The field of </w:t>
      </w:r>
      <w:proofErr w:type="spellStart"/>
      <w:r w:rsidRPr="00F23432">
        <w:t>immunomics</w:t>
      </w:r>
      <w:proofErr w:type="spellEnd"/>
      <w:r w:rsidRPr="00F23432">
        <w:t xml:space="preserve"> focuses on the comprehensive study of the genes and proteins that make up the immune system. This study contributes to a better understanding of the dynamic link that exists between cells and the web of responses that occur in response to </w:t>
      </w:r>
      <w:r w:rsidR="00F331F4" w:rsidRPr="00F23432">
        <w:t>a</w:t>
      </w:r>
      <w:r w:rsidRPr="00F23432">
        <w:t xml:space="preserve"> stimulus or a disease. </w:t>
      </w:r>
      <w:proofErr w:type="gramStart"/>
      <w:r w:rsidRPr="00F23432">
        <w:t xml:space="preserve">"Learning the Human </w:t>
      </w:r>
      <w:proofErr w:type="spellStart"/>
      <w:r w:rsidRPr="00F23432">
        <w:t>Immunome</w:t>
      </w:r>
      <w:proofErr w:type="spellEnd"/>
      <w:r w:rsidRPr="00F23432">
        <w:t xml:space="preserve">: The Complexity of Comprehensive Leukocyte </w:t>
      </w:r>
      <w:proofErr w:type="spellStart"/>
      <w:r w:rsidRPr="00F23432">
        <w:t>Immunophenotyping</w:t>
      </w:r>
      <w:proofErr w:type="spellEnd"/>
      <w:r w:rsidRPr="00F23432">
        <w:t xml:space="preserve">," </w:t>
      </w:r>
      <w:r w:rsidR="00F331F4">
        <w:t>(</w:t>
      </w:r>
      <w:proofErr w:type="spellStart"/>
      <w:r w:rsidRPr="00F23432">
        <w:t>Angélique</w:t>
      </w:r>
      <w:proofErr w:type="spellEnd"/>
      <w:r w:rsidRPr="00F23432">
        <w:t xml:space="preserve"> B and J. Philip 2014</w:t>
      </w:r>
      <w:r w:rsidR="00F331F4">
        <w:t>)</w:t>
      </w:r>
      <w:r w:rsidRPr="00F23432">
        <w:t>.</w:t>
      </w:r>
      <w:proofErr w:type="gramEnd"/>
      <w:r w:rsidRPr="00F23432">
        <w:t xml:space="preserve"> </w:t>
      </w:r>
    </w:p>
    <w:p w:rsidR="00DE09EC" w:rsidRPr="00F23432" w:rsidRDefault="00DE09EC" w:rsidP="000E4361">
      <w:pPr>
        <w:autoSpaceDE w:val="0"/>
        <w:autoSpaceDN w:val="0"/>
        <w:adjustRightInd w:val="0"/>
        <w:ind w:firstLine="1440"/>
        <w:jc w:val="both"/>
      </w:pPr>
    </w:p>
    <w:p w:rsidR="00F90114" w:rsidRPr="00F23432" w:rsidRDefault="000E4361" w:rsidP="000E4361">
      <w:pPr>
        <w:autoSpaceDE w:val="0"/>
        <w:autoSpaceDN w:val="0"/>
        <w:adjustRightInd w:val="0"/>
        <w:ind w:firstLine="1440"/>
        <w:jc w:val="both"/>
      </w:pPr>
      <w:r w:rsidRPr="00F23432">
        <w:t>A single omic technique cannot, on its own, completely reveal the intricate details of a disease. As shown in</w:t>
      </w:r>
      <w:r w:rsidRPr="00F23432">
        <w:rPr>
          <w:b/>
        </w:rPr>
        <w:t xml:space="preserve"> Figure 1,</w:t>
      </w:r>
      <w:r w:rsidRPr="00F23432">
        <w:t xml:space="preserve"> an integrative investigation of various omics methodologies, often known as a multi-omics strategy, can give comprehensive information on molecular function, the genesis of disease, diagnostic biomarkers, and potential therapeutic targets for drug discovery.</w:t>
      </w:r>
    </w:p>
    <w:p w:rsidR="000E4361" w:rsidRPr="00F23432" w:rsidRDefault="000E4361" w:rsidP="000E4361">
      <w:pPr>
        <w:autoSpaceDE w:val="0"/>
        <w:autoSpaceDN w:val="0"/>
        <w:adjustRightInd w:val="0"/>
        <w:ind w:firstLine="1440"/>
        <w:jc w:val="both"/>
      </w:pPr>
    </w:p>
    <w:p w:rsidR="008A55B5" w:rsidRPr="00F23432" w:rsidRDefault="00DE376B" w:rsidP="00466548">
      <w:pPr>
        <w:pStyle w:val="Heading1"/>
        <w:spacing w:before="0" w:after="0"/>
        <w:ind w:firstLine="0"/>
        <w:rPr>
          <w:rFonts w:eastAsia="MS Mincho"/>
        </w:rPr>
      </w:pPr>
      <w:r w:rsidRPr="00F23432">
        <w:rPr>
          <w:rFonts w:ascii="Times New Roman" w:eastAsia="MS Mincho" w:hAnsi="Times New Roman"/>
          <w:sz w:val="20"/>
          <w:szCs w:val="20"/>
        </w:rPr>
        <w:t>BIOMARKER DISCOV</w:t>
      </w:r>
      <w:r w:rsidR="00432107" w:rsidRPr="00F23432">
        <w:rPr>
          <w:rFonts w:ascii="Times New Roman" w:eastAsia="MS Mincho" w:hAnsi="Times New Roman"/>
          <w:sz w:val="20"/>
          <w:szCs w:val="20"/>
        </w:rPr>
        <w:t>E</w:t>
      </w:r>
      <w:r w:rsidRPr="00F23432">
        <w:rPr>
          <w:rFonts w:ascii="Times New Roman" w:eastAsia="MS Mincho" w:hAnsi="Times New Roman"/>
          <w:sz w:val="20"/>
          <w:szCs w:val="20"/>
        </w:rPr>
        <w:t>RY</w:t>
      </w:r>
    </w:p>
    <w:p w:rsidR="00466548" w:rsidRPr="00F23432" w:rsidRDefault="00466548" w:rsidP="00466548">
      <w:pPr>
        <w:rPr>
          <w:rFonts w:eastAsia="MS Mincho"/>
        </w:rPr>
      </w:pPr>
    </w:p>
    <w:p w:rsidR="004171C7" w:rsidRPr="00F23432" w:rsidRDefault="006B577B" w:rsidP="00D30486">
      <w:pPr>
        <w:autoSpaceDE w:val="0"/>
        <w:autoSpaceDN w:val="0"/>
        <w:adjustRightInd w:val="0"/>
        <w:jc w:val="both"/>
      </w:pPr>
      <w:r w:rsidRPr="00F23432">
        <w:tab/>
      </w:r>
      <w:r w:rsidRPr="00F23432">
        <w:tab/>
      </w:r>
      <w:r w:rsidR="00D30486" w:rsidRPr="00F23432">
        <w:t>The search for one-of-a-kind disease biomarkers has become increasingly important in light of the emergence of diseases that are resistant to detection and treatment. This results in an improvement in the disease's diagnosis, prognosis, as well as the medication discovery process and therapy methods. The search can be carried out in one of two ways: a method based on hypothesis testing or an approach based on discovery, both of which are detailed in table 1. A biomarker can be derived from a mechanistic knowledge of a disease using the hypothesis-based search method, whereas the discovery-based method focuses on the changes that take place in molecular species throughout the illness state. The found biomarkers can be placed into one of three categories: risk, diagnostic, or prognostic biomarkers. When it comes to the early diagnosis of a disease, a panel of molecules, as opposed to a single biomarker, provides greater sensitivity as well as specificity. (Jason E. 2013)</w:t>
      </w:r>
    </w:p>
    <w:p w:rsidR="00767BF4" w:rsidRPr="00F23432" w:rsidRDefault="00767BF4" w:rsidP="00466548">
      <w:pPr>
        <w:pStyle w:val="BodyText"/>
        <w:spacing w:after="0" w:line="240" w:lineRule="auto"/>
        <w:ind w:firstLine="0"/>
      </w:pPr>
    </w:p>
    <w:p w:rsidR="00767BF4" w:rsidRPr="00F23432" w:rsidRDefault="00432107" w:rsidP="00767BF4">
      <w:pPr>
        <w:pStyle w:val="Heading1"/>
        <w:spacing w:before="0" w:after="0"/>
        <w:ind w:firstLine="0"/>
        <w:rPr>
          <w:rFonts w:ascii="Times New Roman" w:eastAsia="MS Mincho" w:hAnsi="Times New Roman"/>
          <w:sz w:val="20"/>
          <w:szCs w:val="20"/>
        </w:rPr>
      </w:pPr>
      <w:r w:rsidRPr="00F23432">
        <w:rPr>
          <w:rFonts w:ascii="Times New Roman" w:eastAsia="MS Mincho" w:hAnsi="Times New Roman"/>
          <w:sz w:val="20"/>
          <w:szCs w:val="20"/>
        </w:rPr>
        <w:t>BIOMARKERS IDENTIFIED THEOUGH MULTI-OMICS APPROACH</w:t>
      </w:r>
    </w:p>
    <w:p w:rsidR="00432107" w:rsidRPr="00F23432" w:rsidRDefault="00432107" w:rsidP="00432107">
      <w:pPr>
        <w:rPr>
          <w:rFonts w:eastAsia="MS Mincho"/>
        </w:rPr>
      </w:pPr>
    </w:p>
    <w:p w:rsidR="00432107" w:rsidRPr="00F23432" w:rsidRDefault="00CE039A" w:rsidP="00CE039A">
      <w:pPr>
        <w:autoSpaceDE w:val="0"/>
        <w:autoSpaceDN w:val="0"/>
        <w:adjustRightInd w:val="0"/>
        <w:ind w:firstLine="720"/>
        <w:jc w:val="both"/>
      </w:pPr>
      <w:r w:rsidRPr="00F23432">
        <w:t xml:space="preserve">The most common type of cancer that affects women's </w:t>
      </w:r>
      <w:proofErr w:type="spellStart"/>
      <w:r w:rsidRPr="00F23432">
        <w:t>gynaecological</w:t>
      </w:r>
      <w:proofErr w:type="spellEnd"/>
      <w:r w:rsidRPr="00F23432">
        <w:t xml:space="preserve"> systems is ovarian cancer. Ovarian cancer is known as a "silent killer" since its early signs </w:t>
      </w:r>
      <w:proofErr w:type="gramStart"/>
      <w:r w:rsidRPr="00F23432">
        <w:t>are</w:t>
      </w:r>
      <w:proofErr w:type="gramEnd"/>
      <w:r w:rsidRPr="00F23432">
        <w:t xml:space="preserve"> not easily </w:t>
      </w:r>
      <w:proofErr w:type="spellStart"/>
      <w:r w:rsidRPr="00F23432">
        <w:t>recognisable</w:t>
      </w:r>
      <w:proofErr w:type="spellEnd"/>
      <w:r w:rsidRPr="00F23432">
        <w:t xml:space="preserve">, it is often diagnosed in its advanced stages, and it has a high rate of recurrence. </w:t>
      </w:r>
      <w:proofErr w:type="spellStart"/>
      <w:proofErr w:type="gramStart"/>
      <w:r w:rsidRPr="00F23432">
        <w:t>cAMP</w:t>
      </w:r>
      <w:proofErr w:type="spellEnd"/>
      <w:proofErr w:type="gramEnd"/>
      <w:r w:rsidRPr="00F23432">
        <w:t xml:space="preserve"> response element binding protein, also known as CREB, is a transcription factor that activates the transcription of genes necessary for embryogenesis and also plays a role in the process of malignant transformation of cells. CREB binds to the DNA sequence that can be found at </w:t>
      </w:r>
      <w:proofErr w:type="spellStart"/>
      <w:r w:rsidRPr="00F23432">
        <w:t>cAMP</w:t>
      </w:r>
      <w:proofErr w:type="spellEnd"/>
      <w:r w:rsidRPr="00F23432">
        <w:t xml:space="preserve"> response elements. Because CREB is overexpressed in many </w:t>
      </w:r>
      <w:proofErr w:type="spellStart"/>
      <w:r w:rsidRPr="00F23432">
        <w:t>tumour</w:t>
      </w:r>
      <w:proofErr w:type="spellEnd"/>
      <w:r w:rsidRPr="00F23432">
        <w:t xml:space="preserve"> cells, including those of non-small cell lung cancer, </w:t>
      </w:r>
      <w:proofErr w:type="spellStart"/>
      <w:r w:rsidRPr="00F23432">
        <w:t>glioblastoma</w:t>
      </w:r>
      <w:proofErr w:type="spellEnd"/>
      <w:r w:rsidRPr="00F23432">
        <w:t xml:space="preserve">, </w:t>
      </w:r>
      <w:proofErr w:type="spellStart"/>
      <w:r w:rsidRPr="00F23432">
        <w:t>leukaemia</w:t>
      </w:r>
      <w:proofErr w:type="spellEnd"/>
      <w:r w:rsidRPr="00F23432">
        <w:t>, breast cancer, and melanoma, CREB1 has emerged as a promising candidate for use as a biomarker for a variety of cancers. Ovarian cancer cells have been shown to have high levels of CREB1 expression, which is linked to a number of negative outcomes associated with the disease, including a poorer prognosis and a lower chance of survival. (</w:t>
      </w:r>
      <w:proofErr w:type="spellStart"/>
      <w:r w:rsidRPr="00F23432">
        <w:t>Ju-Yueh</w:t>
      </w:r>
      <w:proofErr w:type="spellEnd"/>
      <w:r w:rsidRPr="00F23432">
        <w:t xml:space="preserve"> Li et al., 2020). "Multi-omics </w:t>
      </w:r>
      <w:r w:rsidRPr="00F23432">
        <w:lastRenderedPageBreak/>
        <w:t xml:space="preserve">study finding important biomarkers in ovarian cancer," by </w:t>
      </w:r>
      <w:proofErr w:type="spellStart"/>
      <w:r w:rsidRPr="00F23432">
        <w:t>Ju-Yueh</w:t>
      </w:r>
      <w:proofErr w:type="spellEnd"/>
      <w:r w:rsidRPr="00F23432">
        <w:t xml:space="preserve"> Li, Chia-Jung Li, Li-</w:t>
      </w:r>
      <w:proofErr w:type="spellStart"/>
      <w:r w:rsidRPr="00F23432">
        <w:t>Te</w:t>
      </w:r>
      <w:proofErr w:type="spellEnd"/>
      <w:r w:rsidRPr="00F23432">
        <w:t xml:space="preserve"> Lin, and </w:t>
      </w:r>
      <w:proofErr w:type="spellStart"/>
      <w:r w:rsidRPr="00F23432">
        <w:t>Kuan-Hao</w:t>
      </w:r>
      <w:proofErr w:type="spellEnd"/>
      <w:r w:rsidRPr="00F23432">
        <w:t xml:space="preserve"> </w:t>
      </w:r>
      <w:proofErr w:type="spellStart"/>
      <w:r w:rsidRPr="00F23432">
        <w:t>Tsui</w:t>
      </w:r>
      <w:proofErr w:type="spellEnd"/>
      <w:r w:rsidRPr="00F23432">
        <w:t>, will be published in Cancer Control, volume 27, pages 1-10, in the year 2020.</w:t>
      </w:r>
    </w:p>
    <w:p w:rsidR="00CE039A" w:rsidRPr="00F23432" w:rsidRDefault="00CE039A" w:rsidP="00432107">
      <w:pPr>
        <w:autoSpaceDE w:val="0"/>
        <w:autoSpaceDN w:val="0"/>
        <w:adjustRightInd w:val="0"/>
        <w:rPr>
          <w:sz w:val="16"/>
          <w:szCs w:val="16"/>
        </w:rPr>
      </w:pPr>
    </w:p>
    <w:p w:rsidR="00496041" w:rsidRPr="00F23432" w:rsidRDefault="00496041" w:rsidP="00496041">
      <w:pPr>
        <w:autoSpaceDE w:val="0"/>
        <w:autoSpaceDN w:val="0"/>
        <w:adjustRightInd w:val="0"/>
        <w:ind w:firstLine="720"/>
        <w:jc w:val="both"/>
      </w:pPr>
      <w:r w:rsidRPr="00F23432">
        <w:t>An extremely rare form of epithelial ovarian cancer, low-grade serous ovarian carcinoma (LGSOC) has a median survival time of just 10 years from the time of diagnosis. Through a multi-omic and data-integration strategy, a correlation between mutations in the gene for mitogen-associated protein kinase (MAPK) and LGSOC was discovered, introducing MEK as a therapeutic target and MEK inhibitor medications for efficient therapy. (</w:t>
      </w:r>
      <w:proofErr w:type="spellStart"/>
      <w:r w:rsidRPr="00F23432">
        <w:t>Raunak</w:t>
      </w:r>
      <w:proofErr w:type="spellEnd"/>
      <w:r w:rsidRPr="00F23432">
        <w:t xml:space="preserve"> </w:t>
      </w:r>
      <w:proofErr w:type="spellStart"/>
      <w:r w:rsidRPr="00F23432">
        <w:t>Shrestha</w:t>
      </w:r>
      <w:proofErr w:type="spellEnd"/>
      <w:r w:rsidRPr="00F23432">
        <w:t xml:space="preserve"> et al. 2021). </w:t>
      </w:r>
      <w:proofErr w:type="spellStart"/>
      <w:r w:rsidRPr="00F23432">
        <w:t>Multiomics</w:t>
      </w:r>
      <w:proofErr w:type="spellEnd"/>
      <w:r w:rsidRPr="00F23432">
        <w:t xml:space="preserve"> Characterization of Low-Grade Serous Ovarian Carcinoma Identifies Potential Biomarkers of MEK Inhibitor Resistance," </w:t>
      </w:r>
      <w:proofErr w:type="spellStart"/>
      <w:r w:rsidRPr="00F23432">
        <w:t>Raunak</w:t>
      </w:r>
      <w:proofErr w:type="spellEnd"/>
      <w:r w:rsidRPr="00F23432">
        <w:t xml:space="preserve"> </w:t>
      </w:r>
      <w:proofErr w:type="spellStart"/>
      <w:r w:rsidRPr="00F23432">
        <w:t>Shrestha</w:t>
      </w:r>
      <w:proofErr w:type="spellEnd"/>
      <w:r w:rsidRPr="00F23432">
        <w:t xml:space="preserve">, Marta </w:t>
      </w:r>
      <w:proofErr w:type="spellStart"/>
      <w:r w:rsidRPr="00F23432">
        <w:t>Llaurado</w:t>
      </w:r>
      <w:proofErr w:type="spellEnd"/>
      <w:r w:rsidRPr="00F23432">
        <w:t xml:space="preserve"> Fernandez, Amy Dawson, Joshua </w:t>
      </w:r>
      <w:proofErr w:type="spellStart"/>
      <w:r w:rsidRPr="00F23432">
        <w:t>Hoenisch</w:t>
      </w:r>
      <w:proofErr w:type="spellEnd"/>
      <w:r w:rsidRPr="00F23432">
        <w:t xml:space="preserve">, </w:t>
      </w:r>
      <w:proofErr w:type="spellStart"/>
      <w:r w:rsidRPr="00F23432">
        <w:t>Stanislav</w:t>
      </w:r>
      <w:proofErr w:type="spellEnd"/>
      <w:r w:rsidRPr="00F23432">
        <w:t xml:space="preserve"> </w:t>
      </w:r>
      <w:proofErr w:type="spellStart"/>
      <w:r w:rsidRPr="00F23432">
        <w:t>Volik</w:t>
      </w:r>
      <w:proofErr w:type="spellEnd"/>
      <w:r w:rsidRPr="00F23432">
        <w:t xml:space="preserve">, Yen-Yi Lin, Shawn Anderson, Hannah Kim, Anne M. </w:t>
      </w:r>
      <w:proofErr w:type="spellStart"/>
      <w:r w:rsidRPr="00F23432">
        <w:t>Haegert</w:t>
      </w:r>
      <w:proofErr w:type="spellEnd"/>
      <w:r w:rsidRPr="00F23432">
        <w:t xml:space="preserve">, Shane Colborne, Nelson K.Y. Wong, Brian </w:t>
      </w:r>
      <w:proofErr w:type="spellStart"/>
      <w:r w:rsidRPr="00F23432">
        <w:t>McConeghy</w:t>
      </w:r>
      <w:proofErr w:type="spellEnd"/>
      <w:r w:rsidRPr="00F23432">
        <w:t>, Robert H. Bell,</w:t>
      </w:r>
    </w:p>
    <w:p w:rsidR="00496041" w:rsidRPr="00F23432" w:rsidRDefault="00496041" w:rsidP="00496041">
      <w:pPr>
        <w:autoSpaceDE w:val="0"/>
        <w:autoSpaceDN w:val="0"/>
        <w:adjustRightInd w:val="0"/>
        <w:ind w:firstLine="720"/>
        <w:jc w:val="both"/>
      </w:pPr>
    </w:p>
    <w:p w:rsidR="00496041" w:rsidRPr="00F23432" w:rsidRDefault="00496041" w:rsidP="00496041">
      <w:pPr>
        <w:autoSpaceDE w:val="0"/>
        <w:autoSpaceDN w:val="0"/>
        <w:adjustRightInd w:val="0"/>
        <w:ind w:firstLine="720"/>
        <w:jc w:val="both"/>
      </w:pPr>
      <w:proofErr w:type="spellStart"/>
      <w:r w:rsidRPr="00F23432">
        <w:t>Exosomes</w:t>
      </w:r>
      <w:proofErr w:type="spellEnd"/>
      <w:r w:rsidRPr="00F23432">
        <w:t xml:space="preserve"> are double-membrane vesicles of 30-150nm that are released by immunological, cancer, and </w:t>
      </w:r>
      <w:proofErr w:type="spellStart"/>
      <w:r w:rsidRPr="00F23432">
        <w:t>mesenchymal</w:t>
      </w:r>
      <w:proofErr w:type="spellEnd"/>
      <w:r w:rsidRPr="00F23432">
        <w:t xml:space="preserve"> stem cells and separated from plasma, serum, breast milk, saliva, urine, and ascites. They include proteins, lipids, viral particles, and </w:t>
      </w:r>
      <w:r w:rsidR="000104DD" w:rsidRPr="00F23432">
        <w:t>RNAs (</w:t>
      </w:r>
      <w:r w:rsidRPr="00F23432">
        <w:t xml:space="preserve">messenger, micro, long non-coding, circular). </w:t>
      </w:r>
      <w:proofErr w:type="spellStart"/>
      <w:r w:rsidRPr="00F23432">
        <w:t>Exosomes</w:t>
      </w:r>
      <w:proofErr w:type="spellEnd"/>
      <w:r w:rsidRPr="00F23432">
        <w:t xml:space="preserve"> help cells communicate with one another and share resources and information. They control cellular processes in both normal and abnormal conditions. The unique molecular content, components, and </w:t>
      </w:r>
      <w:proofErr w:type="spellStart"/>
      <w:r w:rsidRPr="00F23432">
        <w:t>behaviours</w:t>
      </w:r>
      <w:proofErr w:type="spellEnd"/>
      <w:r w:rsidRPr="00F23432">
        <w:t xml:space="preserve"> of </w:t>
      </w:r>
      <w:proofErr w:type="spellStart"/>
      <w:r w:rsidRPr="00F23432">
        <w:t>exosomes</w:t>
      </w:r>
      <w:proofErr w:type="spellEnd"/>
      <w:r w:rsidRPr="00F23432">
        <w:t xml:space="preserve"> generated by cancer cells as compared to healthy cells position them as promising potential biomarkers for gynecologic cancer risk assessment and detection. Cancer, angiogenesis, metastasis, immunological regulation, and treatment resistance can all flourish in an </w:t>
      </w:r>
      <w:proofErr w:type="spellStart"/>
      <w:r w:rsidRPr="00F23432">
        <w:t>exosome</w:t>
      </w:r>
      <w:proofErr w:type="spellEnd"/>
      <w:r w:rsidRPr="00F23432">
        <w:t xml:space="preserve">-friendly environment. </w:t>
      </w:r>
      <w:proofErr w:type="gramStart"/>
      <w:r w:rsidRPr="00F23432">
        <w:t xml:space="preserve">(Ye </w:t>
      </w:r>
      <w:proofErr w:type="spellStart"/>
      <w:r w:rsidRPr="00F23432">
        <w:t>Miaomiao</w:t>
      </w:r>
      <w:proofErr w:type="spellEnd"/>
      <w:r w:rsidRPr="00F23432">
        <w:t xml:space="preserve"> 2022).</w:t>
      </w:r>
      <w:proofErr w:type="gramEnd"/>
      <w:r w:rsidRPr="00F23432">
        <w:t xml:space="preserve"> Nucleic acids and proteins carried by </w:t>
      </w:r>
      <w:proofErr w:type="spellStart"/>
      <w:r w:rsidRPr="00F23432">
        <w:t>exosomes</w:t>
      </w:r>
      <w:proofErr w:type="spellEnd"/>
      <w:r w:rsidRPr="00F23432">
        <w:t xml:space="preserve"> of different origins as prospective biomarkers for gynecologic malignancies, </w:t>
      </w:r>
      <w:r w:rsidR="00B8491B" w:rsidRPr="00F23432">
        <w:t>(</w:t>
      </w:r>
      <w:proofErr w:type="spellStart"/>
      <w:r w:rsidR="00B8491B" w:rsidRPr="00F23432">
        <w:t>Miaomiao</w:t>
      </w:r>
      <w:proofErr w:type="spellEnd"/>
      <w:r w:rsidR="00B8491B" w:rsidRPr="00F23432">
        <w:t xml:space="preserve"> Ye, et al., </w:t>
      </w:r>
      <w:r w:rsidRPr="00F23432">
        <w:t>2022</w:t>
      </w:r>
      <w:r w:rsidR="00B8491B" w:rsidRPr="00F23432">
        <w:t>)</w:t>
      </w:r>
      <w:r w:rsidRPr="00F23432">
        <w:t>.</w:t>
      </w:r>
    </w:p>
    <w:p w:rsidR="00496041" w:rsidRPr="00F23432" w:rsidRDefault="00496041" w:rsidP="00496041">
      <w:pPr>
        <w:autoSpaceDE w:val="0"/>
        <w:autoSpaceDN w:val="0"/>
        <w:adjustRightInd w:val="0"/>
        <w:ind w:firstLine="720"/>
        <w:jc w:val="both"/>
      </w:pPr>
    </w:p>
    <w:p w:rsidR="00496041" w:rsidRPr="00F23432" w:rsidRDefault="00496041" w:rsidP="00496041">
      <w:pPr>
        <w:autoSpaceDE w:val="0"/>
        <w:autoSpaceDN w:val="0"/>
        <w:adjustRightInd w:val="0"/>
        <w:ind w:firstLine="720"/>
        <w:jc w:val="both"/>
      </w:pPr>
      <w:r w:rsidRPr="00F23432">
        <w:t xml:space="preserve">Members of the </w:t>
      </w:r>
      <w:proofErr w:type="spellStart"/>
      <w:r w:rsidRPr="00F23432">
        <w:t>Minichromosome</w:t>
      </w:r>
      <w:proofErr w:type="spellEnd"/>
      <w:r w:rsidRPr="00F23432">
        <w:t xml:space="preserve"> </w:t>
      </w:r>
      <w:proofErr w:type="spellStart"/>
      <w:r w:rsidRPr="00F23432">
        <w:t>Maintainance</w:t>
      </w:r>
      <w:proofErr w:type="spellEnd"/>
      <w:r w:rsidRPr="00F23432">
        <w:t xml:space="preserve"> (MCM) family are a collection of genes that regulate early embryogenesis, cell division, as well as genome integrity and participation in homologous recombination repair. Using a multi-</w:t>
      </w:r>
      <w:proofErr w:type="spellStart"/>
      <w:r w:rsidRPr="00F23432">
        <w:t>omic</w:t>
      </w:r>
      <w:proofErr w:type="spellEnd"/>
      <w:r w:rsidRPr="00F23432">
        <w:t xml:space="preserve"> approach, specifically </w:t>
      </w:r>
      <w:proofErr w:type="spellStart"/>
      <w:r w:rsidRPr="00F23432">
        <w:t>epigenomics</w:t>
      </w:r>
      <w:proofErr w:type="spellEnd"/>
      <w:r w:rsidRPr="00F23432">
        <w:t xml:space="preserve"> and transcriptomics, researchers were able to determine that MCM plays a role as an oncogene and contributes to the proliferation of </w:t>
      </w:r>
      <w:proofErr w:type="spellStart"/>
      <w:r w:rsidRPr="00F23432">
        <w:t>tumour</w:t>
      </w:r>
      <w:proofErr w:type="spellEnd"/>
      <w:r w:rsidRPr="00F23432">
        <w:t xml:space="preserve"> cells. Because of this, MCMs serve as a biomarker for cancer. MCM attaches to the enzymes that are responsible for replicating DNA and dividing cells, which speeds up the spread of cancer. The </w:t>
      </w:r>
      <w:proofErr w:type="spellStart"/>
      <w:r w:rsidRPr="00F23432">
        <w:t>upregulation</w:t>
      </w:r>
      <w:proofErr w:type="spellEnd"/>
      <w:r w:rsidRPr="00F23432">
        <w:t xml:space="preserve"> of MCM2, MCM3, and MCM 7 mRNAs in endometrial cancer is helpful in diagnosis, while MCM 7 is helpful for pathological staging, prognosis, and as a therapeutic target. (</w:t>
      </w:r>
      <w:proofErr w:type="spellStart"/>
      <w:r w:rsidRPr="00F23432">
        <w:t>Hua</w:t>
      </w:r>
      <w:proofErr w:type="spellEnd"/>
      <w:r w:rsidRPr="00F23432">
        <w:t xml:space="preserve"> </w:t>
      </w:r>
      <w:proofErr w:type="spellStart"/>
      <w:proofErr w:type="gramStart"/>
      <w:r w:rsidRPr="00F23432">
        <w:t>Lan</w:t>
      </w:r>
      <w:proofErr w:type="spellEnd"/>
      <w:proofErr w:type="gramEnd"/>
      <w:r w:rsidRPr="00F23432">
        <w:t xml:space="preserve"> 2021)</w:t>
      </w:r>
    </w:p>
    <w:p w:rsidR="00496041" w:rsidRPr="00F23432" w:rsidRDefault="00496041" w:rsidP="00496041">
      <w:pPr>
        <w:autoSpaceDE w:val="0"/>
        <w:autoSpaceDN w:val="0"/>
        <w:adjustRightInd w:val="0"/>
        <w:ind w:firstLine="720"/>
        <w:jc w:val="both"/>
      </w:pPr>
    </w:p>
    <w:p w:rsidR="00496041" w:rsidRPr="00F23432" w:rsidRDefault="00496041" w:rsidP="00092F88">
      <w:pPr>
        <w:autoSpaceDE w:val="0"/>
        <w:autoSpaceDN w:val="0"/>
        <w:adjustRightInd w:val="0"/>
        <w:ind w:firstLine="720"/>
        <w:jc w:val="both"/>
      </w:pPr>
      <w:proofErr w:type="gramStart"/>
      <w:r w:rsidRPr="00F23432">
        <w:t>A</w:t>
      </w:r>
      <w:proofErr w:type="gramEnd"/>
      <w:r w:rsidRPr="00F23432">
        <w:t xml:space="preserve"> ailment or illness is considered to be rare when it only affects five people out of every 10000 people in Europe or when it affects less than 200,000 people in the United States. The clinical heterogeneity of the condition, the failure of clinical trials, and the restricted number of therapeutic alternatives are the major problems associated with the development of drugs for rare diseases. There are 6000 to 8000 uncommon diseases known to exist in the globe at this time, yet only 5% of these have therapies that are considered acceptable. Because of this, it is necessary to speed up the process of identifying biomarkers and developing drugs. The application of genomic, epigenomic, and transcriptome approaches has resulted in an improvement in diagnostic accuracy and contributed to the development of new medicines. Differential methylation was identified as a possible marker of retinitis pigmentosa, </w:t>
      </w:r>
      <w:r w:rsidR="004E2229" w:rsidRPr="00F23432">
        <w:t>Fuchs</w:t>
      </w:r>
      <w:r w:rsidRPr="00F23432">
        <w:t xml:space="preserve"> endothelial corneal dystrophy, IgA nephropathy, and polycystic kidney disease by multi-omic investigations. (Kerr K</w:t>
      </w:r>
      <w:r w:rsidR="00224666" w:rsidRPr="00F23432">
        <w:t>,</w:t>
      </w:r>
      <w:r w:rsidRPr="00F23432">
        <w:t xml:space="preserve"> 2019</w:t>
      </w:r>
      <w:r w:rsidR="00092F88" w:rsidRPr="00F23432">
        <w:t>, Jason E</w:t>
      </w:r>
      <w:r w:rsidR="00224666" w:rsidRPr="00F23432">
        <w:t>, 2013;</w:t>
      </w:r>
      <w:r w:rsidR="00092F88" w:rsidRPr="00F23432">
        <w:t xml:space="preserve"> </w:t>
      </w:r>
      <w:r w:rsidR="00B31B87" w:rsidRPr="00F23432">
        <w:t>Quezada</w:t>
      </w:r>
      <w:r w:rsidR="00224666" w:rsidRPr="00F23432">
        <w:t>, 2017;</w:t>
      </w:r>
      <w:r w:rsidR="000F0690" w:rsidRPr="00F23432">
        <w:t xml:space="preserve"> </w:t>
      </w:r>
      <w:r w:rsidR="00DA3D11" w:rsidRPr="00F23432">
        <w:t>M. Cronin</w:t>
      </w:r>
      <w:r w:rsidR="00092F88" w:rsidRPr="00F23432">
        <w:t xml:space="preserve">  et al. 2007; T.F. Imperiale et al. 2014; C.Q. Chang et al. 2014;</w:t>
      </w:r>
      <w:r w:rsidR="00224666" w:rsidRPr="00F23432">
        <w:t xml:space="preserve"> P.C. Boutros, 2015</w:t>
      </w:r>
      <w:r w:rsidRPr="00F23432">
        <w:t>)</w:t>
      </w:r>
      <w:r w:rsidR="00224666" w:rsidRPr="00F23432">
        <w:t>.</w:t>
      </w:r>
    </w:p>
    <w:p w:rsidR="00B7225B" w:rsidRPr="00F23432" w:rsidRDefault="00B7225B" w:rsidP="00092F88">
      <w:pPr>
        <w:autoSpaceDE w:val="0"/>
        <w:autoSpaceDN w:val="0"/>
        <w:adjustRightInd w:val="0"/>
        <w:ind w:firstLine="720"/>
        <w:jc w:val="both"/>
        <w:rPr>
          <w:b/>
        </w:rPr>
      </w:pPr>
    </w:p>
    <w:p w:rsidR="00B7225B" w:rsidRPr="00F23432" w:rsidRDefault="00B7225B" w:rsidP="00092F88">
      <w:pPr>
        <w:autoSpaceDE w:val="0"/>
        <w:autoSpaceDN w:val="0"/>
        <w:adjustRightInd w:val="0"/>
        <w:ind w:firstLine="720"/>
        <w:jc w:val="both"/>
        <w:rPr>
          <w:b/>
        </w:rPr>
      </w:pPr>
      <w:r w:rsidRPr="00F23432">
        <w:rPr>
          <w:b/>
        </w:rPr>
        <w:t xml:space="preserve">                                                          CONCLUSION</w:t>
      </w:r>
    </w:p>
    <w:p w:rsidR="00407260" w:rsidRPr="00F23432" w:rsidRDefault="00407260" w:rsidP="00092F88">
      <w:pPr>
        <w:autoSpaceDE w:val="0"/>
        <w:autoSpaceDN w:val="0"/>
        <w:adjustRightInd w:val="0"/>
        <w:ind w:firstLine="720"/>
        <w:jc w:val="both"/>
      </w:pPr>
      <w:r w:rsidRPr="00F23432">
        <w:t xml:space="preserve">Ovarian cancer (OC) is a diverse infection that, among gynaecological malignances, has the worst prognosis and the utmost fatality rate. Ovarian cancer has the </w:t>
      </w:r>
      <w:r w:rsidR="00EB4F08" w:rsidRPr="00F23432">
        <w:t>uppermost</w:t>
      </w:r>
      <w:r w:rsidRPr="00F23432">
        <w:t xml:space="preserve"> mortality rate. The </w:t>
      </w:r>
      <w:proofErr w:type="gramStart"/>
      <w:r w:rsidR="00EB4F08" w:rsidRPr="00F23432">
        <w:t>mainstream</w:t>
      </w:r>
      <w:proofErr w:type="gramEnd"/>
      <w:r w:rsidRPr="00F23432">
        <w:t xml:space="preserve"> of people who have OC are typically diagnosed at a later point in the disease's progression because there are no distinct early signs. Therefore, there is an immediate need for improved biomarkers of OC that may be used in research and clinical </w:t>
      </w:r>
      <w:proofErr w:type="spellStart"/>
      <w:r w:rsidRPr="00F23432">
        <w:t>practise</w:t>
      </w:r>
      <w:proofErr w:type="spellEnd"/>
      <w:r w:rsidRPr="00F23432">
        <w:t xml:space="preserve">. Over the course of the past ten years, we have witnessed </w:t>
      </w:r>
      <w:proofErr w:type="gramStart"/>
      <w:r w:rsidRPr="00F23432">
        <w:t>an acceleration</w:t>
      </w:r>
      <w:proofErr w:type="gramEnd"/>
      <w:r w:rsidRPr="00F23432">
        <w:t xml:space="preserve"> in the rate of progress made in sequencing and biotechnology methods.</w:t>
      </w:r>
      <w:r w:rsidR="00EB4F08" w:rsidRPr="00F23432">
        <w:t xml:space="preserve"> A </w:t>
      </w:r>
      <w:proofErr w:type="spellStart"/>
      <w:r w:rsidR="00EB4F08" w:rsidRPr="00F23432">
        <w:t>preinvasive</w:t>
      </w:r>
      <w:proofErr w:type="spellEnd"/>
      <w:r w:rsidR="00EB4F08" w:rsidRPr="00F23432">
        <w:t xml:space="preserve"> form of breast cancer known as ductal carcinoma in situ, or DCIS, has a very varied risk of progressing into an invasive form of the disease and increasing the likelihood of the patient's death. Many women who have been diagnosed with DCIS are now receiving excessive treatment because there are no reliable markers to accurately track the course of the disease. There is a need for reliable and predictive biomarkers that may be retrieved from molecular or genetic profiles in order to differentiate between DCIS instances that are likely to require medication and those that should be left untreated. Researchers established a structured machine learning approach that enacts multi-omics feature selection and model regularization for the purpose of identifying biomarker combinations that could be used to differentiate low-risk DCIS lesions from those with a higher likelihood of progression. These Potential </w:t>
      </w:r>
      <w:r w:rsidR="00EB4F08" w:rsidRPr="00F23432">
        <w:lastRenderedPageBreak/>
        <w:t>biomarker configurations could be used to mark a distinction between lesions with a higher likelihood of progression and those with a low probability of progression.</w:t>
      </w:r>
    </w:p>
    <w:p w:rsidR="000026B6" w:rsidRPr="00F23432" w:rsidRDefault="00ED4592" w:rsidP="000026B6">
      <w:r w:rsidRPr="00F23432">
        <w:rPr>
          <w:noProof/>
        </w:rPr>
        <w:drawing>
          <wp:inline distT="0" distB="0" distL="0" distR="0" wp14:anchorId="75841871" wp14:editId="67AA9950">
            <wp:extent cx="5275814" cy="3331597"/>
            <wp:effectExtent l="19050" t="0" r="103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76205" cy="3331844"/>
                    </a:xfrm>
                    <a:prstGeom prst="rect">
                      <a:avLst/>
                    </a:prstGeom>
                    <a:noFill/>
                    <a:ln w="9525">
                      <a:noFill/>
                      <a:miter lim="800000"/>
                      <a:headEnd/>
                      <a:tailEnd/>
                    </a:ln>
                  </pic:spPr>
                </pic:pic>
              </a:graphicData>
            </a:graphic>
          </wp:inline>
        </w:drawing>
      </w:r>
    </w:p>
    <w:p w:rsidR="00ED4592" w:rsidRPr="00F23432" w:rsidRDefault="00DE376B" w:rsidP="000026B6">
      <w:pPr>
        <w:rPr>
          <w:b/>
        </w:rPr>
      </w:pPr>
      <w:r w:rsidRPr="00F23432">
        <w:rPr>
          <w:b/>
        </w:rPr>
        <w:t xml:space="preserve">Figure </w:t>
      </w:r>
      <w:r w:rsidR="00ED4592" w:rsidRPr="00F23432">
        <w:rPr>
          <w:b/>
        </w:rPr>
        <w:t>1</w:t>
      </w:r>
      <w:r w:rsidRPr="00F23432">
        <w:rPr>
          <w:b/>
        </w:rPr>
        <w:t>:</w:t>
      </w:r>
      <w:r w:rsidR="00ED4592" w:rsidRPr="00F23432">
        <w:rPr>
          <w:b/>
        </w:rPr>
        <w:t xml:space="preserve"> Multi-</w:t>
      </w:r>
      <w:r w:rsidR="00786B24" w:rsidRPr="00F23432">
        <w:rPr>
          <w:b/>
        </w:rPr>
        <w:t>omics</w:t>
      </w:r>
      <w:r w:rsidR="00ED4592" w:rsidRPr="00F23432">
        <w:rPr>
          <w:b/>
        </w:rPr>
        <w:t xml:space="preserve"> approach and applications</w:t>
      </w:r>
    </w:p>
    <w:p w:rsidR="00CF6A49" w:rsidRPr="00F23432" w:rsidRDefault="00CF6A49" w:rsidP="000026B6">
      <w:pPr>
        <w:rPr>
          <w:b/>
        </w:rPr>
      </w:pPr>
    </w:p>
    <w:p w:rsidR="00B36E33" w:rsidRPr="00F23432" w:rsidRDefault="00B36E33" w:rsidP="000026B6">
      <w:pPr>
        <w:rPr>
          <w:b/>
        </w:rPr>
      </w:pPr>
    </w:p>
    <w:p w:rsidR="00ED4592" w:rsidRPr="00F23432" w:rsidRDefault="00ED4592" w:rsidP="000026B6">
      <w:pPr>
        <w:pStyle w:val="Heading3"/>
        <w:numPr>
          <w:ilvl w:val="0"/>
          <w:numId w:val="0"/>
        </w:numPr>
        <w:spacing w:line="240" w:lineRule="auto"/>
        <w:jc w:val="center"/>
        <w:rPr>
          <w:b/>
          <w:i w:val="0"/>
        </w:rPr>
      </w:pPr>
      <w:r w:rsidRPr="00F23432">
        <w:rPr>
          <w:b/>
          <w:i w:val="0"/>
        </w:rPr>
        <w:drawing>
          <wp:inline distT="0" distB="0" distL="0" distR="0" wp14:anchorId="16C8926B" wp14:editId="27A5CC1E">
            <wp:extent cx="5288854" cy="1216550"/>
            <wp:effectExtent l="19050" t="0" r="7046"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315164" cy="1222602"/>
                    </a:xfrm>
                    <a:prstGeom prst="rect">
                      <a:avLst/>
                    </a:prstGeom>
                    <a:noFill/>
                    <a:ln w="9525">
                      <a:noFill/>
                      <a:miter lim="800000"/>
                      <a:headEnd/>
                      <a:tailEnd/>
                    </a:ln>
                  </pic:spPr>
                </pic:pic>
              </a:graphicData>
            </a:graphic>
          </wp:inline>
        </w:drawing>
      </w:r>
    </w:p>
    <w:p w:rsidR="00CF6A49" w:rsidRPr="00F23432" w:rsidRDefault="00CF6A49" w:rsidP="00ED4592">
      <w:pPr>
        <w:rPr>
          <w:b/>
        </w:rPr>
      </w:pPr>
    </w:p>
    <w:p w:rsidR="00ED4592" w:rsidRPr="00F23432" w:rsidRDefault="00DE376B" w:rsidP="00ED4592">
      <w:pPr>
        <w:rPr>
          <w:b/>
        </w:rPr>
      </w:pPr>
      <w:r w:rsidRPr="00F23432">
        <w:rPr>
          <w:b/>
        </w:rPr>
        <w:t>Figure 2</w:t>
      </w:r>
      <w:r w:rsidR="00ED4592" w:rsidRPr="00F23432">
        <w:rPr>
          <w:b/>
        </w:rPr>
        <w:t>: Steps involved in genomic and transcriptomic strategies</w:t>
      </w:r>
    </w:p>
    <w:p w:rsidR="00ED4592" w:rsidRPr="00F23432" w:rsidRDefault="00ED4592" w:rsidP="000026B6">
      <w:pPr>
        <w:pStyle w:val="Heading3"/>
        <w:numPr>
          <w:ilvl w:val="0"/>
          <w:numId w:val="0"/>
        </w:numPr>
        <w:spacing w:line="240" w:lineRule="auto"/>
        <w:jc w:val="center"/>
        <w:rPr>
          <w:b/>
          <w:i w:val="0"/>
        </w:rPr>
      </w:pPr>
      <w:r w:rsidRPr="00F23432">
        <w:rPr>
          <w:b/>
          <w:i w:val="0"/>
        </w:rPr>
        <w:drawing>
          <wp:inline distT="0" distB="0" distL="0" distR="0" wp14:anchorId="1E946C0C" wp14:editId="3F01D756">
            <wp:extent cx="4751732" cy="3129663"/>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755934" cy="3132430"/>
                    </a:xfrm>
                    <a:prstGeom prst="rect">
                      <a:avLst/>
                    </a:prstGeom>
                    <a:noFill/>
                    <a:ln w="9525">
                      <a:noFill/>
                      <a:miter lim="800000"/>
                      <a:headEnd/>
                      <a:tailEnd/>
                    </a:ln>
                  </pic:spPr>
                </pic:pic>
              </a:graphicData>
            </a:graphic>
          </wp:inline>
        </w:drawing>
      </w:r>
    </w:p>
    <w:p w:rsidR="00ED4592" w:rsidRPr="00F23432" w:rsidRDefault="00DE376B" w:rsidP="00ED4592">
      <w:pPr>
        <w:rPr>
          <w:b/>
        </w:rPr>
      </w:pPr>
      <w:r w:rsidRPr="00F23432">
        <w:rPr>
          <w:b/>
        </w:rPr>
        <w:t>Figure 3</w:t>
      </w:r>
      <w:r w:rsidR="00ED4592" w:rsidRPr="00F23432">
        <w:rPr>
          <w:b/>
        </w:rPr>
        <w:t>: Steps involved in proteomic approach</w:t>
      </w:r>
    </w:p>
    <w:p w:rsidR="00ED4592" w:rsidRPr="00F23432" w:rsidRDefault="00ED4592" w:rsidP="000026B6">
      <w:pPr>
        <w:pStyle w:val="Heading3"/>
        <w:numPr>
          <w:ilvl w:val="0"/>
          <w:numId w:val="0"/>
        </w:numPr>
        <w:spacing w:line="240" w:lineRule="auto"/>
        <w:jc w:val="center"/>
        <w:rPr>
          <w:b/>
          <w:i w:val="0"/>
        </w:rPr>
      </w:pPr>
    </w:p>
    <w:p w:rsidR="00ED4592" w:rsidRPr="00F23432" w:rsidRDefault="00ED4592" w:rsidP="000026B6">
      <w:pPr>
        <w:pStyle w:val="Heading3"/>
        <w:numPr>
          <w:ilvl w:val="0"/>
          <w:numId w:val="0"/>
        </w:numPr>
        <w:spacing w:line="240" w:lineRule="auto"/>
        <w:jc w:val="center"/>
        <w:rPr>
          <w:b/>
          <w:i w:val="0"/>
        </w:rPr>
      </w:pPr>
    </w:p>
    <w:p w:rsidR="004679C9" w:rsidRPr="00F23432" w:rsidRDefault="004679C9" w:rsidP="004679C9"/>
    <w:p w:rsidR="00BF5956" w:rsidRPr="00F23432" w:rsidRDefault="00BF5956" w:rsidP="00CF5D82">
      <w:pPr>
        <w:pStyle w:val="Heading3"/>
        <w:numPr>
          <w:ilvl w:val="0"/>
          <w:numId w:val="0"/>
        </w:numPr>
        <w:spacing w:line="240" w:lineRule="auto"/>
        <w:jc w:val="center"/>
        <w:rPr>
          <w:b/>
          <w:i w:val="0"/>
        </w:rPr>
      </w:pPr>
    </w:p>
    <w:p w:rsidR="00402841" w:rsidRPr="00F23432" w:rsidRDefault="000026B6" w:rsidP="00CF5D82">
      <w:pPr>
        <w:pStyle w:val="Heading3"/>
        <w:numPr>
          <w:ilvl w:val="0"/>
          <w:numId w:val="0"/>
        </w:numPr>
        <w:spacing w:line="240" w:lineRule="auto"/>
        <w:jc w:val="center"/>
        <w:rPr>
          <w:b/>
          <w:i w:val="0"/>
        </w:rPr>
      </w:pPr>
      <w:r w:rsidRPr="00F23432">
        <w:rPr>
          <w:b/>
          <w:i w:val="0"/>
        </w:rPr>
        <w:t xml:space="preserve">Table </w:t>
      </w:r>
      <w:r w:rsidR="000F456A" w:rsidRPr="00F23432">
        <w:rPr>
          <w:b/>
          <w:i w:val="0"/>
        </w:rPr>
        <w:t>1</w:t>
      </w:r>
      <w:r w:rsidR="00202698" w:rsidRPr="00F23432">
        <w:rPr>
          <w:b/>
          <w:i w:val="0"/>
        </w:rPr>
        <w:t>: Process for Biomarkers Identifictions</w:t>
      </w:r>
      <w:r w:rsidR="00BF5956" w:rsidRPr="00F23432">
        <w:rPr>
          <w:b/>
          <w:i w:val="0"/>
        </w:rPr>
        <w:t xml:space="preserve"> and its applications</w:t>
      </w:r>
    </w:p>
    <w:p w:rsidR="00402841" w:rsidRPr="00F23432"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W w:w="9442" w:type="dxa"/>
        <w:jc w:val="center"/>
        <w:tblInd w:w="-1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22"/>
        <w:gridCol w:w="1890"/>
        <w:gridCol w:w="2477"/>
        <w:gridCol w:w="4453"/>
      </w:tblGrid>
      <w:tr w:rsidR="008A55B5" w:rsidRPr="00F23432" w:rsidTr="001E476D">
        <w:trPr>
          <w:cantSplit/>
          <w:trHeight w:val="240"/>
          <w:tblHeader/>
          <w:jc w:val="center"/>
        </w:trPr>
        <w:tc>
          <w:tcPr>
            <w:tcW w:w="622" w:type="dxa"/>
            <w:vMerge w:val="restart"/>
            <w:vAlign w:val="center"/>
          </w:tcPr>
          <w:p w:rsidR="008A55B5" w:rsidRPr="00F23432" w:rsidRDefault="005E16D8" w:rsidP="005E16D8">
            <w:pPr>
              <w:pStyle w:val="tablecolhead"/>
              <w:jc w:val="both"/>
              <w:rPr>
                <w:sz w:val="20"/>
                <w:szCs w:val="20"/>
              </w:rPr>
            </w:pPr>
            <w:proofErr w:type="spellStart"/>
            <w:r w:rsidRPr="00F23432">
              <w:rPr>
                <w:sz w:val="20"/>
                <w:szCs w:val="20"/>
              </w:rPr>
              <w:t>S.No</w:t>
            </w:r>
            <w:proofErr w:type="spellEnd"/>
          </w:p>
        </w:tc>
        <w:tc>
          <w:tcPr>
            <w:tcW w:w="8820" w:type="dxa"/>
            <w:gridSpan w:val="3"/>
            <w:vAlign w:val="center"/>
          </w:tcPr>
          <w:p w:rsidR="008A55B5" w:rsidRPr="00F23432" w:rsidRDefault="005E16D8" w:rsidP="00466548">
            <w:pPr>
              <w:pStyle w:val="tablecolhead"/>
              <w:rPr>
                <w:sz w:val="20"/>
                <w:szCs w:val="20"/>
              </w:rPr>
            </w:pPr>
            <w:r w:rsidRPr="00F23432">
              <w:rPr>
                <w:sz w:val="20"/>
                <w:szCs w:val="20"/>
              </w:rPr>
              <w:t>BIOMARKER IDENTIFICATION</w:t>
            </w:r>
            <w:r w:rsidR="00D00DE6" w:rsidRPr="00F23432">
              <w:rPr>
                <w:sz w:val="20"/>
                <w:szCs w:val="20"/>
              </w:rPr>
              <w:t xml:space="preserve"> PROCEDURE</w:t>
            </w:r>
          </w:p>
        </w:tc>
      </w:tr>
      <w:tr w:rsidR="008A55B5" w:rsidRPr="00F23432" w:rsidTr="001E476D">
        <w:trPr>
          <w:cantSplit/>
          <w:trHeight w:val="240"/>
          <w:tblHeader/>
          <w:jc w:val="center"/>
        </w:trPr>
        <w:tc>
          <w:tcPr>
            <w:tcW w:w="622" w:type="dxa"/>
            <w:vMerge/>
          </w:tcPr>
          <w:p w:rsidR="008A55B5" w:rsidRPr="00F23432" w:rsidRDefault="008A55B5" w:rsidP="00466548"/>
        </w:tc>
        <w:tc>
          <w:tcPr>
            <w:tcW w:w="1890" w:type="dxa"/>
            <w:vAlign w:val="center"/>
          </w:tcPr>
          <w:p w:rsidR="008A55B5" w:rsidRPr="00F23432" w:rsidRDefault="004679C9" w:rsidP="00466548">
            <w:pPr>
              <w:pStyle w:val="tablecolsubhead"/>
              <w:rPr>
                <w:i w:val="0"/>
                <w:sz w:val="20"/>
                <w:szCs w:val="20"/>
              </w:rPr>
            </w:pPr>
            <w:r w:rsidRPr="00F23432">
              <w:rPr>
                <w:i w:val="0"/>
                <w:sz w:val="20"/>
                <w:szCs w:val="20"/>
              </w:rPr>
              <w:t>Approaches</w:t>
            </w:r>
          </w:p>
        </w:tc>
        <w:tc>
          <w:tcPr>
            <w:tcW w:w="2477" w:type="dxa"/>
            <w:vAlign w:val="center"/>
          </w:tcPr>
          <w:p w:rsidR="008A55B5" w:rsidRPr="00F23432" w:rsidRDefault="004679C9" w:rsidP="00466548">
            <w:pPr>
              <w:pStyle w:val="tablecolsubhead"/>
              <w:rPr>
                <w:i w:val="0"/>
                <w:sz w:val="20"/>
                <w:szCs w:val="20"/>
              </w:rPr>
            </w:pPr>
            <w:r w:rsidRPr="00F23432">
              <w:rPr>
                <w:i w:val="0"/>
                <w:sz w:val="20"/>
                <w:szCs w:val="20"/>
              </w:rPr>
              <w:t>Methods</w:t>
            </w:r>
          </w:p>
        </w:tc>
        <w:tc>
          <w:tcPr>
            <w:tcW w:w="4453" w:type="dxa"/>
            <w:vAlign w:val="center"/>
          </w:tcPr>
          <w:p w:rsidR="008A55B5" w:rsidRPr="00F23432" w:rsidRDefault="004679C9" w:rsidP="00466548">
            <w:pPr>
              <w:pStyle w:val="tablecolsubhead"/>
              <w:rPr>
                <w:i w:val="0"/>
                <w:sz w:val="20"/>
                <w:szCs w:val="20"/>
              </w:rPr>
            </w:pPr>
            <w:r w:rsidRPr="00F23432">
              <w:rPr>
                <w:i w:val="0"/>
                <w:sz w:val="20"/>
                <w:szCs w:val="20"/>
              </w:rPr>
              <w:t>Applications</w:t>
            </w:r>
          </w:p>
        </w:tc>
      </w:tr>
      <w:tr w:rsidR="00D00DE6" w:rsidRPr="00F23432" w:rsidTr="001E476D">
        <w:trPr>
          <w:trHeight w:val="1201"/>
          <w:jc w:val="center"/>
        </w:trPr>
        <w:tc>
          <w:tcPr>
            <w:tcW w:w="622" w:type="dxa"/>
            <w:vMerge w:val="restart"/>
            <w:vAlign w:val="center"/>
          </w:tcPr>
          <w:p w:rsidR="00D00DE6" w:rsidRPr="00F23432" w:rsidRDefault="006C2873" w:rsidP="001E476D">
            <w:pPr>
              <w:pStyle w:val="tablecopy"/>
              <w:rPr>
                <w:sz w:val="20"/>
                <w:szCs w:val="20"/>
              </w:rPr>
            </w:pPr>
            <w:r w:rsidRPr="00F23432">
              <w:rPr>
                <w:sz w:val="20"/>
                <w:szCs w:val="20"/>
              </w:rPr>
              <w:t>1.</w:t>
            </w:r>
          </w:p>
        </w:tc>
        <w:tc>
          <w:tcPr>
            <w:tcW w:w="1890" w:type="dxa"/>
            <w:vMerge w:val="restart"/>
            <w:vAlign w:val="center"/>
          </w:tcPr>
          <w:p w:rsidR="00E372C2" w:rsidRPr="00F23432" w:rsidRDefault="00E372C2" w:rsidP="001E476D">
            <w:pPr>
              <w:pStyle w:val="tablecopy"/>
              <w:rPr>
                <w:b/>
                <w:sz w:val="20"/>
                <w:szCs w:val="20"/>
                <w:u w:val="single"/>
              </w:rPr>
            </w:pPr>
            <w:r w:rsidRPr="00F23432">
              <w:rPr>
                <w:b/>
                <w:sz w:val="20"/>
                <w:szCs w:val="20"/>
                <w:u w:val="single"/>
              </w:rPr>
              <w:t xml:space="preserve">DATA-DRIVEN APPROACH </w:t>
            </w:r>
            <w:r w:rsidRPr="00F23432">
              <w:rPr>
                <w:b/>
                <w:sz w:val="20"/>
                <w:szCs w:val="20"/>
                <w:u w:val="single"/>
              </w:rPr>
              <w:br/>
            </w:r>
          </w:p>
          <w:p w:rsidR="00D00DE6" w:rsidRPr="00F23432" w:rsidRDefault="00D00DE6" w:rsidP="001E476D">
            <w:pPr>
              <w:pStyle w:val="tablecopy"/>
              <w:rPr>
                <w:b/>
                <w:sz w:val="20"/>
                <w:szCs w:val="20"/>
              </w:rPr>
            </w:pPr>
            <w:r w:rsidRPr="00F23432">
              <w:rPr>
                <w:b/>
                <w:sz w:val="20"/>
                <w:szCs w:val="20"/>
              </w:rPr>
              <w:t>Data Reduction</w:t>
            </w:r>
          </w:p>
          <w:p w:rsidR="00D00DE6" w:rsidRPr="00F23432" w:rsidRDefault="00D00DE6" w:rsidP="001E476D">
            <w:pPr>
              <w:pStyle w:val="tablecopy"/>
              <w:rPr>
                <w:b/>
                <w:sz w:val="20"/>
                <w:szCs w:val="20"/>
              </w:rPr>
            </w:pPr>
          </w:p>
          <w:p w:rsidR="00D00DE6" w:rsidRPr="00F23432" w:rsidRDefault="00D00DE6" w:rsidP="001629C6">
            <w:pPr>
              <w:pStyle w:val="tablecopy"/>
              <w:jc w:val="left"/>
              <w:rPr>
                <w:sz w:val="20"/>
                <w:szCs w:val="20"/>
              </w:rPr>
            </w:pPr>
            <w:r w:rsidRPr="00F23432">
              <w:rPr>
                <w:sz w:val="20"/>
                <w:szCs w:val="20"/>
              </w:rPr>
              <w:t xml:space="preserve">- Complex dataset is made easier to understand </w:t>
            </w:r>
          </w:p>
          <w:p w:rsidR="00D00DE6" w:rsidRPr="00F23432" w:rsidRDefault="00D00DE6" w:rsidP="001629C6">
            <w:pPr>
              <w:pStyle w:val="tablecopy"/>
              <w:jc w:val="left"/>
              <w:rPr>
                <w:sz w:val="20"/>
                <w:szCs w:val="20"/>
              </w:rPr>
            </w:pPr>
            <w:r w:rsidRPr="00F23432">
              <w:rPr>
                <w:sz w:val="20"/>
                <w:szCs w:val="20"/>
              </w:rPr>
              <w:t>- Eliminates noise</w:t>
            </w:r>
            <w:r w:rsidRPr="00F23432">
              <w:rPr>
                <w:b/>
                <w:sz w:val="20"/>
                <w:szCs w:val="20"/>
              </w:rPr>
              <w:t xml:space="preserve"> </w:t>
            </w:r>
          </w:p>
        </w:tc>
        <w:tc>
          <w:tcPr>
            <w:tcW w:w="2477" w:type="dxa"/>
            <w:tcBorders>
              <w:bottom w:val="single" w:sz="4" w:space="0" w:color="auto"/>
            </w:tcBorders>
            <w:vAlign w:val="center"/>
          </w:tcPr>
          <w:p w:rsidR="00D00DE6" w:rsidRPr="00F23432" w:rsidRDefault="00D00DE6" w:rsidP="001E476D">
            <w:pPr>
              <w:pStyle w:val="Heading1"/>
              <w:numPr>
                <w:ilvl w:val="0"/>
                <w:numId w:val="0"/>
              </w:numPr>
              <w:rPr>
                <w:rFonts w:ascii="Times New Roman" w:hAnsi="Times New Roman"/>
                <w:sz w:val="20"/>
                <w:szCs w:val="20"/>
              </w:rPr>
            </w:pPr>
            <w:r w:rsidRPr="00F23432">
              <w:rPr>
                <w:rFonts w:ascii="Times New Roman" w:hAnsi="Times New Roman"/>
                <w:sz w:val="20"/>
                <w:szCs w:val="20"/>
              </w:rPr>
              <w:t>Trend Analysis</w:t>
            </w:r>
          </w:p>
        </w:tc>
        <w:tc>
          <w:tcPr>
            <w:tcW w:w="4453" w:type="dxa"/>
            <w:tcBorders>
              <w:bottom w:val="single" w:sz="4" w:space="0" w:color="auto"/>
            </w:tcBorders>
            <w:vAlign w:val="center"/>
          </w:tcPr>
          <w:p w:rsidR="00D00DE6" w:rsidRPr="00F23432" w:rsidRDefault="00D00DE6"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Determines association between expression levels of particular pair of gene and a variable protein during disease</w:t>
            </w:r>
          </w:p>
          <w:p w:rsidR="00D00DE6" w:rsidRPr="00F23432" w:rsidRDefault="00D00DE6"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Reveals statistically relevant patterns in gene expression profiles</w:t>
            </w:r>
          </w:p>
        </w:tc>
      </w:tr>
      <w:tr w:rsidR="00D00DE6" w:rsidRPr="00F23432" w:rsidTr="001E476D">
        <w:trPr>
          <w:trHeight w:val="1126"/>
          <w:jc w:val="center"/>
        </w:trPr>
        <w:tc>
          <w:tcPr>
            <w:tcW w:w="622" w:type="dxa"/>
            <w:vMerge/>
            <w:tcBorders>
              <w:bottom w:val="single" w:sz="4" w:space="0" w:color="auto"/>
            </w:tcBorders>
            <w:vAlign w:val="center"/>
          </w:tcPr>
          <w:p w:rsidR="00D00DE6" w:rsidRPr="00F23432" w:rsidRDefault="00D00DE6" w:rsidP="001E476D">
            <w:pPr>
              <w:pStyle w:val="tablecopy"/>
              <w:rPr>
                <w:sz w:val="20"/>
                <w:szCs w:val="20"/>
              </w:rPr>
            </w:pPr>
          </w:p>
        </w:tc>
        <w:tc>
          <w:tcPr>
            <w:tcW w:w="1890" w:type="dxa"/>
            <w:vMerge/>
            <w:tcBorders>
              <w:bottom w:val="single" w:sz="4" w:space="0" w:color="auto"/>
              <w:right w:val="single" w:sz="4" w:space="0" w:color="auto"/>
            </w:tcBorders>
            <w:vAlign w:val="center"/>
          </w:tcPr>
          <w:p w:rsidR="00D00DE6" w:rsidRPr="00F23432" w:rsidRDefault="00D00DE6" w:rsidP="001E476D">
            <w:pPr>
              <w:pStyle w:val="tablecopy"/>
              <w:rPr>
                <w:b/>
                <w:sz w:val="20"/>
                <w:szCs w:val="20"/>
              </w:rPr>
            </w:pPr>
          </w:p>
        </w:tc>
        <w:tc>
          <w:tcPr>
            <w:tcW w:w="2477" w:type="dxa"/>
            <w:tcBorders>
              <w:top w:val="single" w:sz="4" w:space="0" w:color="auto"/>
              <w:left w:val="single" w:sz="4" w:space="0" w:color="auto"/>
              <w:bottom w:val="single" w:sz="4" w:space="0" w:color="auto"/>
            </w:tcBorders>
            <w:vAlign w:val="center"/>
          </w:tcPr>
          <w:p w:rsidR="009E7F7B" w:rsidRPr="00F23432" w:rsidRDefault="00D00DE6" w:rsidP="001E476D">
            <w:pPr>
              <w:pStyle w:val="Heading1"/>
              <w:numPr>
                <w:ilvl w:val="0"/>
                <w:numId w:val="0"/>
              </w:numPr>
              <w:ind w:firstLine="216"/>
              <w:rPr>
                <w:rFonts w:ascii="Times New Roman" w:hAnsi="Times New Roman"/>
                <w:sz w:val="20"/>
                <w:szCs w:val="20"/>
              </w:rPr>
            </w:pPr>
            <w:r w:rsidRPr="00F23432">
              <w:rPr>
                <w:rFonts w:ascii="Times New Roman" w:hAnsi="Times New Roman"/>
                <w:sz w:val="20"/>
                <w:szCs w:val="20"/>
              </w:rPr>
              <w:t>Clustering</w:t>
            </w:r>
          </w:p>
        </w:tc>
        <w:tc>
          <w:tcPr>
            <w:tcW w:w="4453" w:type="dxa"/>
            <w:tcBorders>
              <w:top w:val="single" w:sz="4" w:space="0" w:color="auto"/>
              <w:bottom w:val="single" w:sz="4" w:space="0" w:color="auto"/>
            </w:tcBorders>
            <w:vAlign w:val="center"/>
          </w:tcPr>
          <w:p w:rsidR="00D00DE6" w:rsidRPr="00F23432" w:rsidRDefault="00D00DE6"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Groups data according to the interactions among the elements</w:t>
            </w:r>
          </w:p>
          <w:p w:rsidR="00D00DE6" w:rsidRPr="00F23432" w:rsidRDefault="00D00DE6" w:rsidP="00E372C2">
            <w:pPr>
              <w:pStyle w:val="ListParagraph"/>
              <w:numPr>
                <w:ilvl w:val="0"/>
                <w:numId w:val="20"/>
              </w:numPr>
              <w:spacing w:line="240" w:lineRule="auto"/>
            </w:pPr>
            <w:r w:rsidRPr="00F23432">
              <w:rPr>
                <w:rFonts w:ascii="Times New Roman" w:hAnsi="Times New Roman" w:cs="Times New Roman"/>
                <w:sz w:val="20"/>
                <w:szCs w:val="20"/>
              </w:rPr>
              <w:t xml:space="preserve">Best </w:t>
            </w:r>
            <w:r w:rsidR="00E372C2" w:rsidRPr="00F23432">
              <w:rPr>
                <w:rFonts w:ascii="Times New Roman" w:hAnsi="Times New Roman" w:cs="Times New Roman"/>
                <w:sz w:val="20"/>
                <w:szCs w:val="20"/>
              </w:rPr>
              <w:t>suited</w:t>
            </w:r>
            <w:r w:rsidRPr="00F23432">
              <w:rPr>
                <w:rFonts w:ascii="Times New Roman" w:hAnsi="Times New Roman" w:cs="Times New Roman"/>
                <w:sz w:val="20"/>
                <w:szCs w:val="20"/>
              </w:rPr>
              <w:t xml:space="preserve"> for initial screening </w:t>
            </w:r>
            <w:r w:rsidR="00E372C2" w:rsidRPr="00F23432">
              <w:rPr>
                <w:rFonts w:ascii="Times New Roman" w:hAnsi="Times New Roman" w:cs="Times New Roman"/>
                <w:sz w:val="20"/>
                <w:szCs w:val="20"/>
              </w:rPr>
              <w:t>and biomarker verification.</w:t>
            </w:r>
          </w:p>
        </w:tc>
      </w:tr>
      <w:tr w:rsidR="00B36E33" w:rsidRPr="00F23432" w:rsidTr="004679C9">
        <w:trPr>
          <w:trHeight w:val="1304"/>
          <w:jc w:val="center"/>
        </w:trPr>
        <w:tc>
          <w:tcPr>
            <w:tcW w:w="622" w:type="dxa"/>
            <w:vMerge w:val="restart"/>
            <w:tcBorders>
              <w:top w:val="single" w:sz="4" w:space="0" w:color="auto"/>
            </w:tcBorders>
            <w:vAlign w:val="center"/>
          </w:tcPr>
          <w:p w:rsidR="00B36E33" w:rsidRPr="00F23432" w:rsidRDefault="00B36E33" w:rsidP="001E476D">
            <w:pPr>
              <w:pStyle w:val="tablecopy"/>
              <w:rPr>
                <w:sz w:val="20"/>
                <w:szCs w:val="20"/>
              </w:rPr>
            </w:pPr>
          </w:p>
        </w:tc>
        <w:tc>
          <w:tcPr>
            <w:tcW w:w="1890" w:type="dxa"/>
            <w:vMerge w:val="restart"/>
            <w:tcBorders>
              <w:top w:val="single" w:sz="4" w:space="0" w:color="auto"/>
              <w:right w:val="single" w:sz="4" w:space="0" w:color="auto"/>
            </w:tcBorders>
            <w:vAlign w:val="center"/>
          </w:tcPr>
          <w:p w:rsidR="00B36E33" w:rsidRPr="00F23432" w:rsidRDefault="00B36E33" w:rsidP="001E476D">
            <w:pPr>
              <w:pStyle w:val="tablecopy"/>
              <w:rPr>
                <w:b/>
                <w:sz w:val="20"/>
                <w:szCs w:val="20"/>
              </w:rPr>
            </w:pPr>
            <w:r w:rsidRPr="00F23432">
              <w:rPr>
                <w:b/>
                <w:sz w:val="20"/>
                <w:szCs w:val="20"/>
              </w:rPr>
              <w:t>Classification</w:t>
            </w:r>
          </w:p>
          <w:p w:rsidR="00B36E33" w:rsidRPr="00F23432" w:rsidRDefault="00B36E33" w:rsidP="001E476D">
            <w:pPr>
              <w:pStyle w:val="tablecopy"/>
              <w:rPr>
                <w:b/>
                <w:sz w:val="20"/>
                <w:szCs w:val="20"/>
              </w:rPr>
            </w:pPr>
          </w:p>
          <w:p w:rsidR="00B36E33" w:rsidRPr="00F23432" w:rsidRDefault="00B36E33" w:rsidP="001629C6">
            <w:pPr>
              <w:pStyle w:val="tablecopy"/>
              <w:jc w:val="left"/>
              <w:rPr>
                <w:sz w:val="20"/>
                <w:szCs w:val="20"/>
              </w:rPr>
            </w:pPr>
            <w:r w:rsidRPr="00F23432">
              <w:rPr>
                <w:sz w:val="20"/>
                <w:szCs w:val="20"/>
              </w:rPr>
              <w:t>- Predicts class membership for the existing data</w:t>
            </w:r>
          </w:p>
        </w:tc>
        <w:tc>
          <w:tcPr>
            <w:tcW w:w="2477" w:type="dxa"/>
            <w:tcBorders>
              <w:top w:val="single" w:sz="4" w:space="0" w:color="auto"/>
              <w:left w:val="single" w:sz="4" w:space="0" w:color="auto"/>
              <w:bottom w:val="single" w:sz="4" w:space="0" w:color="auto"/>
            </w:tcBorders>
            <w:vAlign w:val="center"/>
          </w:tcPr>
          <w:p w:rsidR="00B36E33" w:rsidRPr="00F23432" w:rsidRDefault="00B36E33" w:rsidP="001E476D">
            <w:pPr>
              <w:pStyle w:val="Heading1"/>
              <w:numPr>
                <w:ilvl w:val="0"/>
                <w:numId w:val="0"/>
              </w:numPr>
              <w:rPr>
                <w:rFonts w:ascii="Times New Roman" w:hAnsi="Times New Roman"/>
                <w:sz w:val="20"/>
                <w:szCs w:val="20"/>
              </w:rPr>
            </w:pPr>
            <w:r w:rsidRPr="00F23432">
              <w:rPr>
                <w:rFonts w:ascii="Times New Roman" w:hAnsi="Times New Roman"/>
                <w:sz w:val="20"/>
                <w:szCs w:val="20"/>
              </w:rPr>
              <w:t>Regression</w:t>
            </w:r>
          </w:p>
        </w:tc>
        <w:tc>
          <w:tcPr>
            <w:tcW w:w="4453" w:type="dxa"/>
            <w:tcBorders>
              <w:top w:val="single" w:sz="4" w:space="0" w:color="auto"/>
              <w:bottom w:val="single" w:sz="4" w:space="0" w:color="auto"/>
            </w:tcBorders>
            <w:vAlign w:val="center"/>
          </w:tcPr>
          <w:p w:rsidR="00B36E33" w:rsidRPr="00F23432" w:rsidRDefault="00B36E33"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Most successful method</w:t>
            </w:r>
          </w:p>
          <w:p w:rsidR="00B36E33" w:rsidRPr="00F23432" w:rsidRDefault="00B36E33" w:rsidP="001E476D">
            <w:pPr>
              <w:pStyle w:val="ListParagraph"/>
              <w:numPr>
                <w:ilvl w:val="0"/>
                <w:numId w:val="20"/>
              </w:numPr>
              <w:spacing w:line="240" w:lineRule="auto"/>
            </w:pPr>
            <w:r w:rsidRPr="00F23432">
              <w:rPr>
                <w:rFonts w:ascii="Times New Roman" w:hAnsi="Times New Roman" w:cs="Times New Roman"/>
                <w:sz w:val="20"/>
                <w:szCs w:val="20"/>
              </w:rPr>
              <w:t>Selection of biomarkers according to predictive power and estimates the relationship among a set of molecules to create a panel</w:t>
            </w:r>
          </w:p>
        </w:tc>
      </w:tr>
      <w:tr w:rsidR="00B36E33" w:rsidRPr="00F23432" w:rsidTr="004679C9">
        <w:trPr>
          <w:trHeight w:val="557"/>
          <w:jc w:val="center"/>
        </w:trPr>
        <w:tc>
          <w:tcPr>
            <w:tcW w:w="622" w:type="dxa"/>
            <w:vMerge/>
            <w:vAlign w:val="center"/>
          </w:tcPr>
          <w:p w:rsidR="00B36E33" w:rsidRPr="00F23432" w:rsidRDefault="00B36E33" w:rsidP="001E476D">
            <w:pPr>
              <w:pStyle w:val="tablecopy"/>
              <w:rPr>
                <w:sz w:val="20"/>
                <w:szCs w:val="20"/>
              </w:rPr>
            </w:pPr>
          </w:p>
        </w:tc>
        <w:tc>
          <w:tcPr>
            <w:tcW w:w="1890" w:type="dxa"/>
            <w:vMerge/>
            <w:tcBorders>
              <w:right w:val="single" w:sz="4" w:space="0" w:color="auto"/>
            </w:tcBorders>
            <w:vAlign w:val="center"/>
          </w:tcPr>
          <w:p w:rsidR="00B36E33" w:rsidRPr="00F23432" w:rsidRDefault="00B36E33" w:rsidP="001E476D">
            <w:pPr>
              <w:pStyle w:val="tablecopy"/>
              <w:rPr>
                <w:b/>
                <w:sz w:val="20"/>
                <w:szCs w:val="20"/>
              </w:rPr>
            </w:pPr>
          </w:p>
        </w:tc>
        <w:tc>
          <w:tcPr>
            <w:tcW w:w="2477" w:type="dxa"/>
            <w:tcBorders>
              <w:top w:val="single" w:sz="4" w:space="0" w:color="auto"/>
              <w:left w:val="single" w:sz="4" w:space="0" w:color="auto"/>
              <w:bottom w:val="single" w:sz="4" w:space="0" w:color="auto"/>
            </w:tcBorders>
            <w:vAlign w:val="center"/>
          </w:tcPr>
          <w:p w:rsidR="00B36E33" w:rsidRPr="00F23432" w:rsidRDefault="00B36E33" w:rsidP="001E476D">
            <w:pPr>
              <w:rPr>
                <w:b/>
              </w:rPr>
            </w:pPr>
            <w:r w:rsidRPr="00F23432">
              <w:rPr>
                <w:b/>
              </w:rPr>
              <w:t>Support Vector Machine</w:t>
            </w:r>
          </w:p>
          <w:p w:rsidR="00B36E33" w:rsidRPr="00F23432" w:rsidRDefault="00B36E33" w:rsidP="001E476D"/>
        </w:tc>
        <w:tc>
          <w:tcPr>
            <w:tcW w:w="4453" w:type="dxa"/>
            <w:tcBorders>
              <w:top w:val="single" w:sz="4" w:space="0" w:color="auto"/>
              <w:bottom w:val="single" w:sz="4" w:space="0" w:color="auto"/>
            </w:tcBorders>
            <w:vAlign w:val="center"/>
          </w:tcPr>
          <w:p w:rsidR="00B36E33" w:rsidRPr="00F23432" w:rsidRDefault="00B36E33" w:rsidP="004679C9">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Selects biomarkers from high density datasets</w:t>
            </w:r>
          </w:p>
        </w:tc>
      </w:tr>
      <w:tr w:rsidR="00B36E33" w:rsidRPr="00F23432" w:rsidTr="004679C9">
        <w:trPr>
          <w:trHeight w:val="602"/>
          <w:jc w:val="center"/>
        </w:trPr>
        <w:tc>
          <w:tcPr>
            <w:tcW w:w="622" w:type="dxa"/>
            <w:vMerge/>
            <w:vAlign w:val="center"/>
          </w:tcPr>
          <w:p w:rsidR="00B36E33" w:rsidRPr="00F23432" w:rsidRDefault="00B36E33" w:rsidP="001E476D">
            <w:pPr>
              <w:pStyle w:val="tablecopy"/>
              <w:rPr>
                <w:sz w:val="20"/>
                <w:szCs w:val="20"/>
              </w:rPr>
            </w:pPr>
          </w:p>
        </w:tc>
        <w:tc>
          <w:tcPr>
            <w:tcW w:w="1890" w:type="dxa"/>
            <w:vMerge/>
            <w:tcBorders>
              <w:right w:val="single" w:sz="4" w:space="0" w:color="auto"/>
            </w:tcBorders>
            <w:vAlign w:val="center"/>
          </w:tcPr>
          <w:p w:rsidR="00B36E33" w:rsidRPr="00F23432" w:rsidRDefault="00B36E33" w:rsidP="001E476D">
            <w:pPr>
              <w:pStyle w:val="tablecopy"/>
              <w:rPr>
                <w:b/>
                <w:sz w:val="20"/>
                <w:szCs w:val="20"/>
              </w:rPr>
            </w:pPr>
          </w:p>
        </w:tc>
        <w:tc>
          <w:tcPr>
            <w:tcW w:w="2477" w:type="dxa"/>
            <w:tcBorders>
              <w:top w:val="single" w:sz="4" w:space="0" w:color="auto"/>
              <w:left w:val="single" w:sz="4" w:space="0" w:color="auto"/>
              <w:bottom w:val="single" w:sz="4" w:space="0" w:color="auto"/>
            </w:tcBorders>
            <w:vAlign w:val="center"/>
          </w:tcPr>
          <w:p w:rsidR="00B36E33" w:rsidRPr="00F23432" w:rsidRDefault="00B36E33" w:rsidP="001E476D">
            <w:pPr>
              <w:rPr>
                <w:b/>
              </w:rPr>
            </w:pPr>
            <w:r w:rsidRPr="00F23432">
              <w:rPr>
                <w:b/>
              </w:rPr>
              <w:t>Decision tree and Random Forest</w:t>
            </w:r>
          </w:p>
        </w:tc>
        <w:tc>
          <w:tcPr>
            <w:tcW w:w="4453" w:type="dxa"/>
            <w:tcBorders>
              <w:top w:val="single" w:sz="4" w:space="0" w:color="auto"/>
              <w:bottom w:val="single" w:sz="4" w:space="0" w:color="auto"/>
            </w:tcBorders>
            <w:vAlign w:val="center"/>
          </w:tcPr>
          <w:p w:rsidR="00B36E33" w:rsidRPr="00F23432" w:rsidRDefault="00B36E33" w:rsidP="004679C9">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Builds a tree of questions to identify marker</w:t>
            </w:r>
            <w:r w:rsidR="004679C9" w:rsidRPr="00F23432">
              <w:rPr>
                <w:rFonts w:ascii="Times New Roman" w:hAnsi="Times New Roman" w:cs="Times New Roman"/>
                <w:sz w:val="20"/>
                <w:szCs w:val="20"/>
              </w:rPr>
              <w:t>s</w:t>
            </w:r>
          </w:p>
        </w:tc>
      </w:tr>
      <w:tr w:rsidR="00B36E33" w:rsidRPr="00F23432" w:rsidTr="004679C9">
        <w:trPr>
          <w:trHeight w:val="1376"/>
          <w:jc w:val="center"/>
        </w:trPr>
        <w:tc>
          <w:tcPr>
            <w:tcW w:w="622" w:type="dxa"/>
            <w:vMerge/>
            <w:vAlign w:val="center"/>
          </w:tcPr>
          <w:p w:rsidR="00B36E33" w:rsidRPr="00F23432" w:rsidRDefault="00B36E33" w:rsidP="001E476D">
            <w:pPr>
              <w:pStyle w:val="tablecopy"/>
              <w:rPr>
                <w:sz w:val="20"/>
                <w:szCs w:val="20"/>
              </w:rPr>
            </w:pPr>
          </w:p>
        </w:tc>
        <w:tc>
          <w:tcPr>
            <w:tcW w:w="1890" w:type="dxa"/>
            <w:vMerge/>
            <w:tcBorders>
              <w:right w:val="single" w:sz="4" w:space="0" w:color="auto"/>
            </w:tcBorders>
            <w:vAlign w:val="center"/>
          </w:tcPr>
          <w:p w:rsidR="00B36E33" w:rsidRPr="00F23432" w:rsidRDefault="00B36E33" w:rsidP="001E476D">
            <w:pPr>
              <w:pStyle w:val="tablecopy"/>
              <w:rPr>
                <w:b/>
                <w:sz w:val="20"/>
                <w:szCs w:val="20"/>
              </w:rPr>
            </w:pPr>
          </w:p>
        </w:tc>
        <w:tc>
          <w:tcPr>
            <w:tcW w:w="2477" w:type="dxa"/>
            <w:tcBorders>
              <w:top w:val="single" w:sz="4" w:space="0" w:color="auto"/>
              <w:left w:val="single" w:sz="4" w:space="0" w:color="auto"/>
              <w:bottom w:val="single" w:sz="4" w:space="0" w:color="auto"/>
            </w:tcBorders>
            <w:vAlign w:val="center"/>
          </w:tcPr>
          <w:p w:rsidR="00B36E33" w:rsidRPr="00F23432" w:rsidRDefault="00B36E33" w:rsidP="001E476D">
            <w:pPr>
              <w:rPr>
                <w:b/>
              </w:rPr>
            </w:pPr>
            <w:r w:rsidRPr="00F23432">
              <w:rPr>
                <w:b/>
              </w:rPr>
              <w:t>Artificial Neural Networks</w:t>
            </w:r>
          </w:p>
        </w:tc>
        <w:tc>
          <w:tcPr>
            <w:tcW w:w="4453" w:type="dxa"/>
            <w:tcBorders>
              <w:top w:val="single" w:sz="4" w:space="0" w:color="auto"/>
              <w:bottom w:val="single" w:sz="4" w:space="0" w:color="auto"/>
            </w:tcBorders>
            <w:vAlign w:val="center"/>
          </w:tcPr>
          <w:p w:rsidR="00B36E33" w:rsidRPr="00F23432" w:rsidRDefault="00B36E33" w:rsidP="001E476D">
            <w:pPr>
              <w:pStyle w:val="Heading1"/>
              <w:numPr>
                <w:ilvl w:val="0"/>
                <w:numId w:val="20"/>
              </w:numPr>
              <w:jc w:val="both"/>
              <w:rPr>
                <w:rFonts w:ascii="Times New Roman" w:hAnsi="Times New Roman"/>
                <w:b w:val="0"/>
                <w:sz w:val="20"/>
                <w:szCs w:val="20"/>
              </w:rPr>
            </w:pPr>
            <w:r w:rsidRPr="00F23432">
              <w:rPr>
                <w:rFonts w:ascii="Times New Roman" w:hAnsi="Times New Roman"/>
                <w:b w:val="0"/>
                <w:sz w:val="20"/>
                <w:szCs w:val="20"/>
              </w:rPr>
              <w:t xml:space="preserve">Machine learning approach which resemble biological neural networks </w:t>
            </w:r>
          </w:p>
          <w:p w:rsidR="00B36E33" w:rsidRPr="00F23432" w:rsidRDefault="00B36E33" w:rsidP="001E476D">
            <w:pPr>
              <w:pStyle w:val="Heading1"/>
              <w:numPr>
                <w:ilvl w:val="0"/>
                <w:numId w:val="20"/>
              </w:numPr>
              <w:jc w:val="both"/>
              <w:rPr>
                <w:rFonts w:ascii="Times New Roman" w:hAnsi="Times New Roman"/>
                <w:b w:val="0"/>
                <w:sz w:val="20"/>
                <w:szCs w:val="20"/>
              </w:rPr>
            </w:pPr>
            <w:r w:rsidRPr="00F23432">
              <w:rPr>
                <w:rFonts w:ascii="Times New Roman" w:hAnsi="Times New Roman"/>
                <w:b w:val="0"/>
                <w:sz w:val="20"/>
                <w:szCs w:val="20"/>
              </w:rPr>
              <w:t>ANN consists of nodes and links.</w:t>
            </w:r>
          </w:p>
          <w:p w:rsidR="00B36E33" w:rsidRPr="00F23432" w:rsidRDefault="00B36E33" w:rsidP="001E476D">
            <w:pPr>
              <w:pStyle w:val="ListParagraph"/>
              <w:numPr>
                <w:ilvl w:val="0"/>
                <w:numId w:val="20"/>
              </w:numPr>
              <w:spacing w:line="240" w:lineRule="auto"/>
            </w:pPr>
            <w:r w:rsidRPr="00F23432">
              <w:rPr>
                <w:rFonts w:ascii="Times New Roman" w:hAnsi="Times New Roman" w:cs="Times New Roman"/>
                <w:sz w:val="20"/>
                <w:szCs w:val="20"/>
              </w:rPr>
              <w:t>Used  to acquire panel of biomarkers</w:t>
            </w:r>
            <w:r w:rsidRPr="00F23432">
              <w:t xml:space="preserve"> </w:t>
            </w:r>
          </w:p>
        </w:tc>
      </w:tr>
      <w:tr w:rsidR="00B36E33" w:rsidRPr="00F23432" w:rsidTr="004679C9">
        <w:trPr>
          <w:trHeight w:val="989"/>
          <w:jc w:val="center"/>
        </w:trPr>
        <w:tc>
          <w:tcPr>
            <w:tcW w:w="622" w:type="dxa"/>
            <w:vMerge/>
            <w:tcBorders>
              <w:bottom w:val="single" w:sz="4" w:space="0" w:color="auto"/>
            </w:tcBorders>
            <w:vAlign w:val="center"/>
          </w:tcPr>
          <w:p w:rsidR="00B36E33" w:rsidRPr="00F23432" w:rsidRDefault="00B36E33" w:rsidP="001E476D">
            <w:pPr>
              <w:pStyle w:val="tablecopy"/>
              <w:rPr>
                <w:sz w:val="20"/>
                <w:szCs w:val="20"/>
              </w:rPr>
            </w:pPr>
          </w:p>
        </w:tc>
        <w:tc>
          <w:tcPr>
            <w:tcW w:w="1890" w:type="dxa"/>
            <w:vMerge/>
            <w:tcBorders>
              <w:bottom w:val="single" w:sz="4" w:space="0" w:color="auto"/>
              <w:right w:val="single" w:sz="4" w:space="0" w:color="auto"/>
            </w:tcBorders>
            <w:vAlign w:val="center"/>
          </w:tcPr>
          <w:p w:rsidR="00B36E33" w:rsidRPr="00F23432" w:rsidRDefault="00B36E33" w:rsidP="001E476D">
            <w:pPr>
              <w:pStyle w:val="tablecopy"/>
              <w:rPr>
                <w:b/>
                <w:sz w:val="20"/>
                <w:szCs w:val="20"/>
              </w:rPr>
            </w:pPr>
          </w:p>
        </w:tc>
        <w:tc>
          <w:tcPr>
            <w:tcW w:w="2477" w:type="dxa"/>
            <w:tcBorders>
              <w:top w:val="single" w:sz="4" w:space="0" w:color="auto"/>
              <w:left w:val="single" w:sz="4" w:space="0" w:color="auto"/>
              <w:bottom w:val="single" w:sz="4" w:space="0" w:color="auto"/>
            </w:tcBorders>
            <w:vAlign w:val="center"/>
          </w:tcPr>
          <w:p w:rsidR="00B36E33" w:rsidRPr="00F23432" w:rsidRDefault="00B36E33" w:rsidP="001E476D">
            <w:pPr>
              <w:rPr>
                <w:b/>
              </w:rPr>
            </w:pPr>
            <w:r w:rsidRPr="00F23432">
              <w:rPr>
                <w:b/>
              </w:rPr>
              <w:t>Relative Gene Expression Analysis</w:t>
            </w:r>
          </w:p>
        </w:tc>
        <w:tc>
          <w:tcPr>
            <w:tcW w:w="4453" w:type="dxa"/>
            <w:tcBorders>
              <w:top w:val="single" w:sz="4" w:space="0" w:color="auto"/>
              <w:bottom w:val="single" w:sz="4" w:space="0" w:color="auto"/>
            </w:tcBorders>
            <w:vAlign w:val="center"/>
          </w:tcPr>
          <w:p w:rsidR="00B36E33" w:rsidRPr="00F23432" w:rsidRDefault="00B36E33" w:rsidP="001E476D">
            <w:pPr>
              <w:pStyle w:val="ListParagraph"/>
              <w:numPr>
                <w:ilvl w:val="0"/>
                <w:numId w:val="20"/>
              </w:numPr>
              <w:spacing w:line="240" w:lineRule="auto"/>
              <w:rPr>
                <w:rFonts w:ascii="Times New Roman" w:hAnsi="Times New Roman"/>
                <w:b/>
                <w:sz w:val="20"/>
                <w:szCs w:val="20"/>
              </w:rPr>
            </w:pPr>
            <w:r w:rsidRPr="00F23432">
              <w:rPr>
                <w:rFonts w:ascii="Times New Roman" w:hAnsi="Times New Roman" w:cs="Times New Roman"/>
                <w:sz w:val="20"/>
                <w:szCs w:val="20"/>
              </w:rPr>
              <w:t>Determines the differences in expression of pair of gene and proteins in disease and non-disease states</w:t>
            </w:r>
          </w:p>
        </w:tc>
      </w:tr>
      <w:tr w:rsidR="00DA37E6" w:rsidRPr="00F23432" w:rsidTr="006C2873">
        <w:trPr>
          <w:trHeight w:val="1736"/>
          <w:jc w:val="center"/>
        </w:trPr>
        <w:tc>
          <w:tcPr>
            <w:tcW w:w="622" w:type="dxa"/>
            <w:vMerge w:val="restart"/>
            <w:tcBorders>
              <w:top w:val="single" w:sz="4" w:space="0" w:color="auto"/>
            </w:tcBorders>
            <w:vAlign w:val="center"/>
          </w:tcPr>
          <w:p w:rsidR="00DA37E6" w:rsidRPr="00F23432" w:rsidRDefault="00DA37E6" w:rsidP="001E476D">
            <w:pPr>
              <w:pStyle w:val="tablecopy"/>
              <w:rPr>
                <w:sz w:val="20"/>
                <w:szCs w:val="20"/>
              </w:rPr>
            </w:pPr>
          </w:p>
        </w:tc>
        <w:tc>
          <w:tcPr>
            <w:tcW w:w="1890" w:type="dxa"/>
            <w:vMerge w:val="restart"/>
            <w:tcBorders>
              <w:top w:val="single" w:sz="4" w:space="0" w:color="auto"/>
              <w:right w:val="single" w:sz="4" w:space="0" w:color="auto"/>
            </w:tcBorders>
            <w:vAlign w:val="center"/>
          </w:tcPr>
          <w:p w:rsidR="00DA37E6" w:rsidRPr="00F23432" w:rsidRDefault="00DA37E6" w:rsidP="001629C6">
            <w:pPr>
              <w:pStyle w:val="tablecopy"/>
              <w:rPr>
                <w:b/>
                <w:sz w:val="20"/>
                <w:szCs w:val="20"/>
              </w:rPr>
            </w:pPr>
            <w:r w:rsidRPr="00F23432">
              <w:rPr>
                <w:b/>
                <w:sz w:val="20"/>
                <w:szCs w:val="20"/>
              </w:rPr>
              <w:t>Visualisation</w:t>
            </w:r>
          </w:p>
          <w:p w:rsidR="00DA37E6" w:rsidRPr="00F23432" w:rsidRDefault="00DA37E6" w:rsidP="001E476D">
            <w:pPr>
              <w:pStyle w:val="tablecopy"/>
              <w:rPr>
                <w:b/>
                <w:sz w:val="20"/>
                <w:szCs w:val="20"/>
              </w:rPr>
            </w:pPr>
          </w:p>
          <w:p w:rsidR="00DA37E6" w:rsidRPr="00F23432" w:rsidRDefault="00DA37E6" w:rsidP="001629C6">
            <w:pPr>
              <w:pStyle w:val="tablecopy"/>
              <w:numPr>
                <w:ilvl w:val="0"/>
                <w:numId w:val="20"/>
              </w:numPr>
              <w:tabs>
                <w:tab w:val="left" w:pos="252"/>
              </w:tabs>
              <w:ind w:left="-108" w:right="72" w:firstLine="35"/>
              <w:jc w:val="left"/>
              <w:rPr>
                <w:sz w:val="20"/>
                <w:szCs w:val="20"/>
              </w:rPr>
            </w:pPr>
            <w:r w:rsidRPr="00F23432">
              <w:rPr>
                <w:sz w:val="20"/>
                <w:szCs w:val="20"/>
              </w:rPr>
              <w:t>Obtaining results from data through summarising and generating an image</w:t>
            </w:r>
          </w:p>
        </w:tc>
        <w:tc>
          <w:tcPr>
            <w:tcW w:w="2477" w:type="dxa"/>
            <w:tcBorders>
              <w:top w:val="single" w:sz="4" w:space="0" w:color="auto"/>
              <w:left w:val="single" w:sz="4" w:space="0" w:color="auto"/>
              <w:bottom w:val="single" w:sz="4" w:space="0" w:color="auto"/>
            </w:tcBorders>
            <w:vAlign w:val="center"/>
          </w:tcPr>
          <w:p w:rsidR="00DA37E6" w:rsidRPr="00F23432" w:rsidRDefault="00DA37E6" w:rsidP="001E476D">
            <w:pPr>
              <w:rPr>
                <w:b/>
              </w:rPr>
            </w:pPr>
            <w:r w:rsidRPr="00F23432">
              <w:rPr>
                <w:b/>
              </w:rPr>
              <w:t>Principal Component Analysis</w:t>
            </w:r>
          </w:p>
        </w:tc>
        <w:tc>
          <w:tcPr>
            <w:tcW w:w="4453" w:type="dxa"/>
            <w:tcBorders>
              <w:top w:val="single" w:sz="4" w:space="0" w:color="auto"/>
              <w:bottom w:val="single" w:sz="4" w:space="0" w:color="auto"/>
            </w:tcBorders>
            <w:vAlign w:val="center"/>
          </w:tcPr>
          <w:p w:rsidR="00DA37E6" w:rsidRPr="00F23432" w:rsidRDefault="00DA37E6"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Reduce the magnitude of complex datasets and reveals the important influencing factors.</w:t>
            </w:r>
          </w:p>
          <w:p w:rsidR="00DA37E6" w:rsidRPr="00F23432" w:rsidRDefault="00DA37E6" w:rsidP="001E476D">
            <w:pPr>
              <w:pStyle w:val="ListParagraph"/>
              <w:numPr>
                <w:ilvl w:val="0"/>
                <w:numId w:val="20"/>
              </w:numPr>
              <w:spacing w:line="240" w:lineRule="auto"/>
            </w:pPr>
            <w:r w:rsidRPr="00F23432">
              <w:rPr>
                <w:rFonts w:ascii="Times New Roman" w:hAnsi="Times New Roman" w:cs="Times New Roman"/>
                <w:sz w:val="20"/>
                <w:szCs w:val="20"/>
              </w:rPr>
              <w:t>Graph visualizes strength of separation of factors in dise</w:t>
            </w:r>
            <w:r w:rsidR="001E476D" w:rsidRPr="00F23432">
              <w:rPr>
                <w:rFonts w:ascii="Times New Roman" w:hAnsi="Times New Roman" w:cs="Times New Roman"/>
                <w:sz w:val="20"/>
                <w:szCs w:val="20"/>
              </w:rPr>
              <w:t>a</w:t>
            </w:r>
            <w:r w:rsidRPr="00F23432">
              <w:rPr>
                <w:rFonts w:ascii="Times New Roman" w:hAnsi="Times New Roman" w:cs="Times New Roman"/>
                <w:sz w:val="20"/>
                <w:szCs w:val="20"/>
              </w:rPr>
              <w:t>se and non disease state and helps in successful identification of biomarkers</w:t>
            </w:r>
          </w:p>
        </w:tc>
      </w:tr>
      <w:tr w:rsidR="00DA37E6" w:rsidRPr="00F23432" w:rsidTr="004679C9">
        <w:trPr>
          <w:trHeight w:val="1475"/>
          <w:jc w:val="center"/>
        </w:trPr>
        <w:tc>
          <w:tcPr>
            <w:tcW w:w="622" w:type="dxa"/>
            <w:vMerge/>
            <w:vAlign w:val="center"/>
          </w:tcPr>
          <w:p w:rsidR="00DA37E6" w:rsidRPr="00F23432" w:rsidRDefault="00DA37E6" w:rsidP="001E476D">
            <w:pPr>
              <w:pStyle w:val="tablecopy"/>
              <w:rPr>
                <w:sz w:val="20"/>
                <w:szCs w:val="20"/>
              </w:rPr>
            </w:pPr>
          </w:p>
        </w:tc>
        <w:tc>
          <w:tcPr>
            <w:tcW w:w="1890" w:type="dxa"/>
            <w:vMerge/>
            <w:tcBorders>
              <w:right w:val="single" w:sz="4" w:space="0" w:color="auto"/>
            </w:tcBorders>
            <w:vAlign w:val="center"/>
          </w:tcPr>
          <w:p w:rsidR="00DA37E6" w:rsidRPr="00F23432" w:rsidRDefault="00DA37E6" w:rsidP="001E476D">
            <w:pPr>
              <w:pStyle w:val="tablecopy"/>
              <w:rPr>
                <w:b/>
                <w:sz w:val="20"/>
                <w:szCs w:val="20"/>
              </w:rPr>
            </w:pPr>
          </w:p>
        </w:tc>
        <w:tc>
          <w:tcPr>
            <w:tcW w:w="2477" w:type="dxa"/>
            <w:tcBorders>
              <w:top w:val="single" w:sz="4" w:space="0" w:color="auto"/>
              <w:left w:val="single" w:sz="4" w:space="0" w:color="auto"/>
              <w:bottom w:val="single" w:sz="4" w:space="0" w:color="auto"/>
            </w:tcBorders>
            <w:vAlign w:val="center"/>
          </w:tcPr>
          <w:p w:rsidR="00DA37E6" w:rsidRPr="00F23432" w:rsidRDefault="001E476D" w:rsidP="001E476D">
            <w:pPr>
              <w:rPr>
                <w:b/>
              </w:rPr>
            </w:pPr>
            <w:r w:rsidRPr="00F23432">
              <w:rPr>
                <w:b/>
              </w:rPr>
              <w:t>Network Analysis</w:t>
            </w:r>
          </w:p>
        </w:tc>
        <w:tc>
          <w:tcPr>
            <w:tcW w:w="4453" w:type="dxa"/>
            <w:tcBorders>
              <w:top w:val="single" w:sz="4" w:space="0" w:color="auto"/>
              <w:bottom w:val="single" w:sz="4" w:space="0" w:color="auto"/>
            </w:tcBorders>
            <w:vAlign w:val="center"/>
          </w:tcPr>
          <w:p w:rsidR="00DA37E6" w:rsidRPr="00F23432" w:rsidRDefault="001E476D"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Network forms are best for representation of large datasets and reveal some biological relationships in expression profiles.</w:t>
            </w:r>
          </w:p>
          <w:p w:rsidR="001E476D" w:rsidRPr="00F23432" w:rsidRDefault="001E476D" w:rsidP="001E476D">
            <w:pPr>
              <w:pStyle w:val="ListParagraph"/>
              <w:numPr>
                <w:ilvl w:val="0"/>
                <w:numId w:val="20"/>
              </w:numPr>
              <w:spacing w:line="240" w:lineRule="auto"/>
            </w:pPr>
            <w:r w:rsidRPr="00F23432">
              <w:rPr>
                <w:rFonts w:ascii="Times New Roman" w:hAnsi="Times New Roman" w:cs="Times New Roman"/>
                <w:sz w:val="20"/>
                <w:szCs w:val="20"/>
              </w:rPr>
              <w:t>Network form consists of clusters and communities which help in suggesting the new regulatory mechanisms.</w:t>
            </w:r>
          </w:p>
        </w:tc>
      </w:tr>
      <w:tr w:rsidR="004679C9" w:rsidRPr="00F23432" w:rsidTr="006C2873">
        <w:trPr>
          <w:trHeight w:val="1538"/>
          <w:jc w:val="center"/>
        </w:trPr>
        <w:tc>
          <w:tcPr>
            <w:tcW w:w="622" w:type="dxa"/>
            <w:vMerge w:val="restart"/>
            <w:vAlign w:val="center"/>
          </w:tcPr>
          <w:p w:rsidR="004679C9" w:rsidRPr="00F23432" w:rsidRDefault="006C2873" w:rsidP="001E476D">
            <w:pPr>
              <w:pStyle w:val="tablecopy"/>
              <w:rPr>
                <w:sz w:val="20"/>
                <w:szCs w:val="20"/>
              </w:rPr>
            </w:pPr>
            <w:r w:rsidRPr="00F23432">
              <w:rPr>
                <w:sz w:val="20"/>
                <w:szCs w:val="20"/>
              </w:rPr>
              <w:lastRenderedPageBreak/>
              <w:t>2.</w:t>
            </w:r>
          </w:p>
          <w:p w:rsidR="006C2873" w:rsidRPr="00F23432" w:rsidRDefault="006C2873" w:rsidP="001E476D">
            <w:pPr>
              <w:pStyle w:val="tablecopy"/>
              <w:rPr>
                <w:sz w:val="20"/>
                <w:szCs w:val="20"/>
              </w:rPr>
            </w:pPr>
          </w:p>
        </w:tc>
        <w:tc>
          <w:tcPr>
            <w:tcW w:w="1890" w:type="dxa"/>
            <w:vMerge w:val="restart"/>
            <w:tcBorders>
              <w:right w:val="single" w:sz="4" w:space="0" w:color="auto"/>
            </w:tcBorders>
            <w:vAlign w:val="center"/>
          </w:tcPr>
          <w:p w:rsidR="004679C9" w:rsidRPr="00F23432" w:rsidRDefault="004679C9" w:rsidP="001E476D">
            <w:pPr>
              <w:pStyle w:val="tablecopy"/>
              <w:rPr>
                <w:b/>
                <w:sz w:val="20"/>
                <w:szCs w:val="20"/>
                <w:u w:val="single"/>
              </w:rPr>
            </w:pPr>
            <w:r w:rsidRPr="00F23432">
              <w:rPr>
                <w:b/>
                <w:sz w:val="20"/>
                <w:szCs w:val="20"/>
                <w:u w:val="single"/>
              </w:rPr>
              <w:t>KNOWLEDGE-DRIVEN APPROACH</w:t>
            </w:r>
          </w:p>
          <w:p w:rsidR="004679C9" w:rsidRPr="00F23432" w:rsidRDefault="004679C9" w:rsidP="001E476D">
            <w:pPr>
              <w:pStyle w:val="tablecopy"/>
              <w:rPr>
                <w:b/>
                <w:sz w:val="20"/>
                <w:szCs w:val="20"/>
              </w:rPr>
            </w:pPr>
          </w:p>
          <w:p w:rsidR="004679C9" w:rsidRPr="00F23432" w:rsidRDefault="004679C9" w:rsidP="001629C6">
            <w:pPr>
              <w:pStyle w:val="tablecopy"/>
              <w:numPr>
                <w:ilvl w:val="0"/>
                <w:numId w:val="20"/>
              </w:numPr>
              <w:ind w:left="-73" w:firstLine="0"/>
              <w:jc w:val="left"/>
              <w:rPr>
                <w:sz w:val="20"/>
                <w:szCs w:val="20"/>
              </w:rPr>
            </w:pPr>
            <w:r w:rsidRPr="00F23432">
              <w:rPr>
                <w:sz w:val="20"/>
                <w:szCs w:val="20"/>
              </w:rPr>
              <w:t>Integrates heterogenous data, interprets the results and faciltates in undestanding disease and biological process</w:t>
            </w:r>
          </w:p>
        </w:tc>
        <w:tc>
          <w:tcPr>
            <w:tcW w:w="2477" w:type="dxa"/>
            <w:tcBorders>
              <w:top w:val="single" w:sz="4" w:space="0" w:color="auto"/>
              <w:left w:val="single" w:sz="4" w:space="0" w:color="auto"/>
              <w:bottom w:val="single" w:sz="4" w:space="0" w:color="auto"/>
            </w:tcBorders>
            <w:vAlign w:val="center"/>
          </w:tcPr>
          <w:p w:rsidR="004679C9" w:rsidRPr="00F23432" w:rsidRDefault="004679C9" w:rsidP="001E476D">
            <w:pPr>
              <w:rPr>
                <w:b/>
              </w:rPr>
            </w:pPr>
            <w:r w:rsidRPr="00F23432">
              <w:rPr>
                <w:b/>
              </w:rPr>
              <w:t>Protein-Protein Interactions</w:t>
            </w:r>
          </w:p>
        </w:tc>
        <w:tc>
          <w:tcPr>
            <w:tcW w:w="4453" w:type="dxa"/>
            <w:tcBorders>
              <w:top w:val="single" w:sz="4" w:space="0" w:color="auto"/>
              <w:bottom w:val="single" w:sz="4" w:space="0" w:color="auto"/>
            </w:tcBorders>
            <w:vAlign w:val="center"/>
          </w:tcPr>
          <w:p w:rsidR="004679C9" w:rsidRPr="00F23432" w:rsidRDefault="004679C9"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Helps in identification of underlying mechanisms of disease progression.</w:t>
            </w:r>
          </w:p>
          <w:p w:rsidR="004679C9" w:rsidRPr="00F23432" w:rsidRDefault="004679C9" w:rsidP="00E372C2">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Includes experimental identification, characterization  and interpretation of protein-protein interactions and application of computational approaches</w:t>
            </w:r>
          </w:p>
        </w:tc>
      </w:tr>
      <w:tr w:rsidR="004679C9" w:rsidRPr="00F23432" w:rsidTr="006C2873">
        <w:trPr>
          <w:trHeight w:val="1745"/>
          <w:jc w:val="center"/>
        </w:trPr>
        <w:tc>
          <w:tcPr>
            <w:tcW w:w="622" w:type="dxa"/>
            <w:vMerge/>
            <w:vAlign w:val="center"/>
          </w:tcPr>
          <w:p w:rsidR="004679C9" w:rsidRPr="00F23432" w:rsidRDefault="004679C9" w:rsidP="001E476D">
            <w:pPr>
              <w:pStyle w:val="tablecopy"/>
              <w:rPr>
                <w:sz w:val="20"/>
                <w:szCs w:val="20"/>
              </w:rPr>
            </w:pPr>
          </w:p>
        </w:tc>
        <w:tc>
          <w:tcPr>
            <w:tcW w:w="1890" w:type="dxa"/>
            <w:vMerge/>
            <w:tcBorders>
              <w:right w:val="single" w:sz="4" w:space="0" w:color="auto"/>
            </w:tcBorders>
            <w:vAlign w:val="center"/>
          </w:tcPr>
          <w:p w:rsidR="004679C9" w:rsidRPr="00F23432" w:rsidRDefault="004679C9" w:rsidP="001E476D">
            <w:pPr>
              <w:pStyle w:val="tablecopy"/>
              <w:rPr>
                <w:b/>
                <w:sz w:val="20"/>
                <w:szCs w:val="20"/>
              </w:rPr>
            </w:pPr>
          </w:p>
        </w:tc>
        <w:tc>
          <w:tcPr>
            <w:tcW w:w="2477" w:type="dxa"/>
            <w:tcBorders>
              <w:top w:val="single" w:sz="4" w:space="0" w:color="auto"/>
              <w:left w:val="single" w:sz="4" w:space="0" w:color="auto"/>
              <w:bottom w:val="single" w:sz="4" w:space="0" w:color="auto"/>
            </w:tcBorders>
            <w:vAlign w:val="center"/>
          </w:tcPr>
          <w:p w:rsidR="004679C9" w:rsidRPr="00F23432" w:rsidRDefault="004679C9" w:rsidP="001E476D">
            <w:pPr>
              <w:rPr>
                <w:b/>
              </w:rPr>
            </w:pPr>
            <w:r w:rsidRPr="00F23432">
              <w:rPr>
                <w:b/>
              </w:rPr>
              <w:t>Pathway Analysis</w:t>
            </w:r>
          </w:p>
        </w:tc>
        <w:tc>
          <w:tcPr>
            <w:tcW w:w="4453" w:type="dxa"/>
            <w:tcBorders>
              <w:top w:val="single" w:sz="4" w:space="0" w:color="auto"/>
              <w:bottom w:val="single" w:sz="4" w:space="0" w:color="auto"/>
            </w:tcBorders>
            <w:vAlign w:val="center"/>
          </w:tcPr>
          <w:p w:rsidR="004679C9" w:rsidRPr="00F23432" w:rsidRDefault="004679C9"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Identifies differentially expressed gene related to function</w:t>
            </w:r>
          </w:p>
          <w:p w:rsidR="004679C9" w:rsidRPr="00F23432" w:rsidRDefault="004679C9" w:rsidP="00DE17E5">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Done in three steps a) choosing pre-existing gene set, b)asking functionally relevant questions, c) statistical testing</w:t>
            </w:r>
          </w:p>
          <w:p w:rsidR="004679C9" w:rsidRPr="00F23432" w:rsidRDefault="004679C9" w:rsidP="00DE17E5">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Correlates differently expressed pathways with phenotypes.</w:t>
            </w:r>
          </w:p>
        </w:tc>
      </w:tr>
      <w:tr w:rsidR="004679C9" w:rsidRPr="00F23432" w:rsidTr="006C2873">
        <w:trPr>
          <w:trHeight w:val="1718"/>
          <w:jc w:val="center"/>
        </w:trPr>
        <w:tc>
          <w:tcPr>
            <w:tcW w:w="622" w:type="dxa"/>
            <w:vMerge/>
            <w:vAlign w:val="center"/>
          </w:tcPr>
          <w:p w:rsidR="004679C9" w:rsidRPr="00F23432" w:rsidRDefault="004679C9" w:rsidP="001E476D">
            <w:pPr>
              <w:pStyle w:val="tablecopy"/>
              <w:rPr>
                <w:sz w:val="20"/>
                <w:szCs w:val="20"/>
              </w:rPr>
            </w:pPr>
          </w:p>
        </w:tc>
        <w:tc>
          <w:tcPr>
            <w:tcW w:w="1890" w:type="dxa"/>
            <w:vMerge/>
            <w:tcBorders>
              <w:right w:val="single" w:sz="4" w:space="0" w:color="auto"/>
            </w:tcBorders>
            <w:vAlign w:val="center"/>
          </w:tcPr>
          <w:p w:rsidR="004679C9" w:rsidRPr="00F23432" w:rsidRDefault="004679C9" w:rsidP="001E476D">
            <w:pPr>
              <w:pStyle w:val="tablecopy"/>
              <w:rPr>
                <w:b/>
                <w:sz w:val="20"/>
                <w:szCs w:val="20"/>
              </w:rPr>
            </w:pPr>
          </w:p>
        </w:tc>
        <w:tc>
          <w:tcPr>
            <w:tcW w:w="2477" w:type="dxa"/>
            <w:tcBorders>
              <w:top w:val="single" w:sz="4" w:space="0" w:color="auto"/>
              <w:left w:val="single" w:sz="4" w:space="0" w:color="auto"/>
              <w:bottom w:val="single" w:sz="4" w:space="0" w:color="auto"/>
            </w:tcBorders>
            <w:vAlign w:val="center"/>
          </w:tcPr>
          <w:p w:rsidR="004679C9" w:rsidRPr="00F23432" w:rsidRDefault="004679C9" w:rsidP="001E476D">
            <w:pPr>
              <w:rPr>
                <w:b/>
              </w:rPr>
            </w:pPr>
            <w:r w:rsidRPr="00F23432">
              <w:rPr>
                <w:b/>
              </w:rPr>
              <w:t>Text mining</w:t>
            </w:r>
          </w:p>
        </w:tc>
        <w:tc>
          <w:tcPr>
            <w:tcW w:w="4453" w:type="dxa"/>
            <w:tcBorders>
              <w:top w:val="single" w:sz="4" w:space="0" w:color="auto"/>
              <w:bottom w:val="single" w:sz="4" w:space="0" w:color="auto"/>
            </w:tcBorders>
            <w:vAlign w:val="center"/>
          </w:tcPr>
          <w:p w:rsidR="004679C9" w:rsidRPr="00F23432" w:rsidRDefault="004679C9"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Exploration of knowledge from the existing biomedical literature</w:t>
            </w:r>
          </w:p>
          <w:p w:rsidR="004679C9" w:rsidRPr="00F23432" w:rsidRDefault="004679C9"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Done in three steps a) recognizing terms b) identification of relationship between terms c) discovering new relationship</w:t>
            </w:r>
          </w:p>
          <w:p w:rsidR="004679C9" w:rsidRPr="00F23432" w:rsidRDefault="004679C9" w:rsidP="001E476D">
            <w:pPr>
              <w:pStyle w:val="ListParagraph"/>
              <w:numPr>
                <w:ilvl w:val="0"/>
                <w:numId w:val="20"/>
              </w:numPr>
              <w:spacing w:line="240" w:lineRule="auto"/>
              <w:rPr>
                <w:rFonts w:ascii="Times New Roman" w:hAnsi="Times New Roman" w:cs="Times New Roman"/>
                <w:sz w:val="20"/>
                <w:szCs w:val="20"/>
              </w:rPr>
            </w:pPr>
            <w:r w:rsidRPr="00F23432">
              <w:rPr>
                <w:rFonts w:ascii="Times New Roman" w:hAnsi="Times New Roman" w:cs="Times New Roman"/>
                <w:sz w:val="20"/>
                <w:szCs w:val="20"/>
              </w:rPr>
              <w:t>Powerful biomarker discovery and validation tool.</w:t>
            </w:r>
          </w:p>
        </w:tc>
      </w:tr>
    </w:tbl>
    <w:p w:rsidR="00402841" w:rsidRPr="00F23432" w:rsidRDefault="00402841" w:rsidP="001E476D">
      <w:pPr>
        <w:pStyle w:val="BodyText"/>
        <w:spacing w:after="0" w:line="240" w:lineRule="auto"/>
        <w:ind w:firstLine="0"/>
      </w:pPr>
    </w:p>
    <w:p w:rsidR="00B87338" w:rsidRPr="00F23432" w:rsidRDefault="00B87338" w:rsidP="00334523">
      <w:pPr>
        <w:pStyle w:val="Heading5"/>
        <w:spacing w:before="0" w:after="0"/>
        <w:jc w:val="both"/>
        <w:rPr>
          <w:rFonts w:ascii="Times New Roman" w:eastAsia="MS Mincho" w:hAnsi="Times New Roman"/>
          <w:i w:val="0"/>
          <w:sz w:val="20"/>
          <w:szCs w:val="20"/>
        </w:rPr>
      </w:pPr>
    </w:p>
    <w:p w:rsidR="008A55B5" w:rsidRPr="00F23432" w:rsidRDefault="000026B6" w:rsidP="001E476D">
      <w:pPr>
        <w:pStyle w:val="Heading5"/>
        <w:spacing w:before="0" w:after="0"/>
        <w:rPr>
          <w:rFonts w:ascii="Times New Roman" w:eastAsia="MS Mincho" w:hAnsi="Times New Roman"/>
          <w:i w:val="0"/>
          <w:sz w:val="20"/>
          <w:szCs w:val="20"/>
        </w:rPr>
      </w:pPr>
      <w:r w:rsidRPr="00F23432">
        <w:rPr>
          <w:rFonts w:ascii="Times New Roman" w:eastAsia="MS Mincho" w:hAnsi="Times New Roman"/>
          <w:i w:val="0"/>
          <w:sz w:val="20"/>
          <w:szCs w:val="20"/>
        </w:rPr>
        <w:t>REFERENCES</w:t>
      </w:r>
    </w:p>
    <w:p w:rsidR="00BB0096" w:rsidRPr="00F23432" w:rsidRDefault="00BB0096" w:rsidP="006C2873">
      <w:pPr>
        <w:autoSpaceDE w:val="0"/>
        <w:autoSpaceDN w:val="0"/>
        <w:adjustRightInd w:val="0"/>
        <w:jc w:val="both"/>
      </w:pPr>
    </w:p>
    <w:p w:rsidR="00BB0096" w:rsidRPr="00F23432" w:rsidRDefault="00BB0096" w:rsidP="001E476D">
      <w:pPr>
        <w:rPr>
          <w:rFonts w:eastAsia="MS Mincho"/>
        </w:rPr>
      </w:pPr>
    </w:p>
    <w:p w:rsidR="008A55B5" w:rsidRPr="00F23432" w:rsidRDefault="008A55B5" w:rsidP="001E476D">
      <w:pPr>
        <w:rPr>
          <w:rFonts w:eastAsia="MS Mincho"/>
          <w:sz w:val="16"/>
          <w:szCs w:val="16"/>
        </w:rPr>
      </w:pPr>
    </w:p>
    <w:p w:rsidR="006C2873" w:rsidRPr="00F23432" w:rsidRDefault="006C2873" w:rsidP="006C2873">
      <w:pPr>
        <w:pStyle w:val="references"/>
      </w:pPr>
      <w:r w:rsidRPr="00F23432">
        <w:t xml:space="preserve">Yehudit Hasin, Marcus Seldin, Aldons Lusis, “Multi-omics approaches to disease,” </w:t>
      </w:r>
      <w:r w:rsidRPr="00F23432">
        <w:rPr>
          <w:i/>
        </w:rPr>
        <w:t>Genome Biology</w:t>
      </w:r>
      <w:r w:rsidRPr="00F23432">
        <w:t xml:space="preserve">  vol. 18, pp. 83,  2017</w:t>
      </w:r>
    </w:p>
    <w:p w:rsidR="006C2873" w:rsidRPr="00F23432" w:rsidRDefault="006C2873" w:rsidP="006C2873">
      <w:pPr>
        <w:pStyle w:val="references"/>
      </w:pPr>
      <w:r w:rsidRPr="00F23432">
        <w:t xml:space="preserve">How To Maximize Insights From Precious Samples: The Power Of Multi-Omics ilumina nature research custom media Coppens, S. </w:t>
      </w:r>
      <w:r w:rsidRPr="00F23432">
        <w:rPr>
          <w:i/>
          <w:iCs/>
        </w:rPr>
        <w:t xml:space="preserve">et al. AJHG </w:t>
      </w:r>
      <w:r w:rsidRPr="00F23432">
        <w:rPr>
          <w:b/>
          <w:bCs/>
        </w:rPr>
        <w:t>108</w:t>
      </w:r>
      <w:r w:rsidRPr="00F23432">
        <w:t xml:space="preserve">(5), 840-856 (2021).  Ramaswami, G., </w:t>
      </w:r>
      <w:r w:rsidRPr="00F23432">
        <w:rPr>
          <w:i/>
          <w:iCs/>
        </w:rPr>
        <w:t xml:space="preserve">et al. Nat Commun </w:t>
      </w:r>
      <w:r w:rsidRPr="00F23432">
        <w:rPr>
          <w:b/>
          <w:bCs/>
        </w:rPr>
        <w:t>11</w:t>
      </w:r>
      <w:r w:rsidRPr="00F23432">
        <w:t xml:space="preserve">, 4873 (2020). Bonder, M.J., </w:t>
      </w:r>
      <w:r w:rsidRPr="00F23432">
        <w:rPr>
          <w:i/>
          <w:iCs/>
        </w:rPr>
        <w:t xml:space="preserve">et al. Nat Genet </w:t>
      </w:r>
      <w:r w:rsidRPr="00F23432">
        <w:rPr>
          <w:b/>
          <w:bCs/>
        </w:rPr>
        <w:t>53</w:t>
      </w:r>
      <w:r w:rsidRPr="00F23432">
        <w:t xml:space="preserve">, 313–321 (2021).  Koido, M., </w:t>
      </w:r>
      <w:r w:rsidRPr="00F23432">
        <w:rPr>
          <w:i/>
          <w:iCs/>
        </w:rPr>
        <w:t xml:space="preserve">et al. Nat Med </w:t>
      </w:r>
      <w:r w:rsidRPr="00F23432">
        <w:rPr>
          <w:b/>
          <w:bCs/>
        </w:rPr>
        <w:t>26</w:t>
      </w:r>
      <w:r w:rsidRPr="00F23432">
        <w:t xml:space="preserve">, 1541–1548 (2020).  Zhou, Y., Ulland, T.K. &amp; Colonna, M. </w:t>
      </w:r>
      <w:r w:rsidRPr="00F23432">
        <w:rPr>
          <w:i/>
          <w:iCs/>
        </w:rPr>
        <w:t>Front Aging Neurosci</w:t>
      </w:r>
      <w:r w:rsidRPr="00F23432">
        <w:t xml:space="preserve">. </w:t>
      </w:r>
      <w:r w:rsidRPr="00F23432">
        <w:rPr>
          <w:b/>
          <w:bCs/>
        </w:rPr>
        <w:t>9</w:t>
      </w:r>
      <w:r w:rsidRPr="00F23432">
        <w:t>;10:202 (2018)</w:t>
      </w:r>
    </w:p>
    <w:p w:rsidR="006C2873" w:rsidRPr="00F23432" w:rsidRDefault="006C2873" w:rsidP="006C2873">
      <w:pPr>
        <w:pStyle w:val="references"/>
      </w:pPr>
      <w:r w:rsidRPr="00F23432">
        <w:t>Indhupriya Subramanian, Srikant Verma, Shiva Kumar,Abhay Jere and Krishanpa Anamika, “</w:t>
      </w:r>
      <w:r w:rsidRPr="00F23432">
        <w:rPr>
          <w:bCs/>
        </w:rPr>
        <w:t>Multi-omics Data Integration, Interpretation, and Its Application,”</w:t>
      </w:r>
      <w:r w:rsidRPr="00F23432">
        <w:rPr>
          <w:b/>
          <w:bCs/>
        </w:rPr>
        <w:t xml:space="preserve"> </w:t>
      </w:r>
      <w:r w:rsidRPr="00F23432">
        <w:t xml:space="preserve">Bioinformatics and Biology Insights, vol 14, pp. 1–24, </w:t>
      </w:r>
    </w:p>
    <w:p w:rsidR="006C2873" w:rsidRPr="00F23432" w:rsidRDefault="006C2873" w:rsidP="006C2873">
      <w:pPr>
        <w:pStyle w:val="references"/>
      </w:pPr>
      <w:r w:rsidRPr="00F23432">
        <w:t>Ziad J Sahab, Suzan M Sumaan, Qing-XiangAmy Sang, “Methodology and Applications in disease biomarker identification in human serum,” Biomarker insights, vol. 2, pp.21-43,2007</w:t>
      </w:r>
    </w:p>
    <w:p w:rsidR="006C2873" w:rsidRPr="00F23432" w:rsidRDefault="006C2873" w:rsidP="006C2873">
      <w:pPr>
        <w:pStyle w:val="references"/>
        <w:rPr>
          <w:sz w:val="20"/>
          <w:szCs w:val="20"/>
        </w:rPr>
      </w:pPr>
      <w:r w:rsidRPr="00F23432">
        <w:t>Yan V. Sun, Yi-Juan Hu, “Integrative a</w:t>
      </w:r>
      <w:r w:rsidRPr="00F23432">
        <w:rPr>
          <w:color w:val="000000"/>
        </w:rPr>
        <w:t>nalysis of</w:t>
      </w:r>
      <w:r w:rsidRPr="00F23432">
        <w:t xml:space="preserve"> m</w:t>
      </w:r>
      <w:r w:rsidRPr="00F23432">
        <w:rPr>
          <w:color w:val="000000"/>
        </w:rPr>
        <w:t xml:space="preserve">ulti-omics </w:t>
      </w:r>
      <w:r w:rsidRPr="00F23432">
        <w:t>d</w:t>
      </w:r>
      <w:r w:rsidRPr="00F23432">
        <w:rPr>
          <w:color w:val="000000"/>
        </w:rPr>
        <w:t xml:space="preserve">ata for </w:t>
      </w:r>
      <w:r w:rsidRPr="00F23432">
        <w:t>d</w:t>
      </w:r>
      <w:r w:rsidRPr="00F23432">
        <w:rPr>
          <w:color w:val="000000"/>
        </w:rPr>
        <w:t xml:space="preserve">iscovery and </w:t>
      </w:r>
      <w:r w:rsidRPr="00F23432">
        <w:t>f</w:t>
      </w:r>
      <w:r w:rsidRPr="00F23432">
        <w:rPr>
          <w:color w:val="000000"/>
        </w:rPr>
        <w:t xml:space="preserve">unctional </w:t>
      </w:r>
      <w:r w:rsidRPr="00F23432">
        <w:t>s</w:t>
      </w:r>
      <w:r w:rsidRPr="00F23432">
        <w:rPr>
          <w:color w:val="000000"/>
        </w:rPr>
        <w:t xml:space="preserve">tudies of </w:t>
      </w:r>
      <w:r w:rsidRPr="00F23432">
        <w:t>c</w:t>
      </w:r>
      <w:r w:rsidRPr="00F23432">
        <w:rPr>
          <w:color w:val="000000"/>
        </w:rPr>
        <w:t xml:space="preserve">omplex </w:t>
      </w:r>
      <w:r w:rsidRPr="00F23432">
        <w:t>h</w:t>
      </w:r>
      <w:r w:rsidRPr="00F23432">
        <w:rPr>
          <w:color w:val="000000"/>
        </w:rPr>
        <w:t xml:space="preserve">uman </w:t>
      </w:r>
      <w:r w:rsidRPr="00F23432">
        <w:t>d</w:t>
      </w:r>
      <w:r w:rsidRPr="00F23432">
        <w:rPr>
          <w:color w:val="000000"/>
        </w:rPr>
        <w:t>iseases</w:t>
      </w:r>
      <w:r w:rsidRPr="00F23432">
        <w:t>,” Adv Genet., 93, pp. 147–190, 2016</w:t>
      </w:r>
      <w:r w:rsidRPr="00F23432">
        <w:rPr>
          <w:sz w:val="20"/>
          <w:szCs w:val="20"/>
        </w:rPr>
        <w:t xml:space="preserve"> </w:t>
      </w:r>
    </w:p>
    <w:p w:rsidR="006C2873" w:rsidRPr="00F23432" w:rsidRDefault="006C2873" w:rsidP="006C2873">
      <w:pPr>
        <w:pStyle w:val="references"/>
      </w:pPr>
      <w:r w:rsidRPr="00F23432">
        <w:t xml:space="preserve">Ju-Yueh Li, Chia-Jung Li, Li-Te Lin, Kuan-Hao Tsui, “Multi-omics analysis identifying key biomarkers in ovarian cancer,” Cancer Control, vol. 27, pp. 1-10, 2020. </w:t>
      </w:r>
    </w:p>
    <w:p w:rsidR="006C2873" w:rsidRPr="00F23432" w:rsidRDefault="006C2873" w:rsidP="006C2873">
      <w:pPr>
        <w:pStyle w:val="references"/>
      </w:pPr>
      <w:r w:rsidRPr="00F23432">
        <w:t>Raunak Shrestha, Marta Llaurado Fernandez, Amy Dawson, Joshua Hoenisch, Stanislav Volik, Yen-Yi Lin, Shawn Anderson, Hannah Kim, Anne M. Haegert, Shane Colborne, Nelson K.Y. Wong, Brian McConeghy, Robert H. Bell, Sonal Brahmbhatt, Cheng-Han Lee, Gabriel E. DiMattia, Stephane Le Bihan, Gregg B. Morin, Colin C. Collins, and Mark S. Carey, “Multiomics Characterization of Low-Grade Serous Ovarian Carcinoma Identifies Potential Biomarkers of MEK Inhibitor Sensitivity and Therapeutic Vulnerability,”Cancer Res, vol. 81, pp.1681–94, 2021.</w:t>
      </w:r>
    </w:p>
    <w:p w:rsidR="006C2873" w:rsidRPr="00F23432" w:rsidRDefault="006C2873" w:rsidP="006C2873">
      <w:pPr>
        <w:pStyle w:val="references"/>
      </w:pPr>
      <w:r w:rsidRPr="00F23432">
        <w:t>Miaomiao Ye,</w:t>
      </w:r>
      <w:r w:rsidRPr="00F23432">
        <w:rPr>
          <w:color w:val="2197D2"/>
        </w:rPr>
        <w:t xml:space="preserve"> </w:t>
      </w:r>
      <w:r w:rsidRPr="00F23432">
        <w:t>Jing Wang,</w:t>
      </w:r>
      <w:r w:rsidRPr="00F23432">
        <w:rPr>
          <w:color w:val="2197D2"/>
        </w:rPr>
        <w:t xml:space="preserve"> </w:t>
      </w:r>
      <w:r w:rsidRPr="00F23432">
        <w:t>Shuya Pan,</w:t>
      </w:r>
      <w:r w:rsidRPr="00F23432">
        <w:rPr>
          <w:color w:val="2197D2"/>
        </w:rPr>
        <w:t xml:space="preserve"> </w:t>
      </w:r>
      <w:r w:rsidRPr="00F23432">
        <w:t>Lihong Zheng,</w:t>
      </w:r>
      <w:r w:rsidRPr="00F23432">
        <w:rPr>
          <w:color w:val="2197D2"/>
        </w:rPr>
        <w:t xml:space="preserve"> </w:t>
      </w:r>
      <w:r w:rsidRPr="00F23432">
        <w:t>Zhi-Wei Wang,</w:t>
      </w:r>
      <w:r w:rsidRPr="00F23432">
        <w:rPr>
          <w:color w:val="2197D2"/>
        </w:rPr>
        <w:t xml:space="preserve"> </w:t>
      </w:r>
      <w:r w:rsidRPr="00F23432">
        <w:t>Xueqiong Zhu, “Nucleic acids and proteins carried by exosomes of different origins as potential biomarkers for gynecologic cancers,” Molecular Therapy: Oncolytics, vol. 24, pp. March 2022</w:t>
      </w:r>
    </w:p>
    <w:p w:rsidR="006C2873" w:rsidRPr="00F23432" w:rsidRDefault="006C2873" w:rsidP="006C2873">
      <w:pPr>
        <w:pStyle w:val="references"/>
      </w:pPr>
      <w:r w:rsidRPr="00F23432">
        <w:t>Hua Lan, Jing Yuan, Xingyu Chen, Chu Liu, Xiaohui Guo, XinyuWang, Jiarui Song, Ke Cao, Songshu Xia, “Multiomics profiling of the expression and prognosis of MCMs in endometrial carcinoma,”</w:t>
      </w:r>
      <w:r w:rsidRPr="00F23432">
        <w:rPr>
          <w:i/>
          <w:iCs/>
        </w:rPr>
        <w:t xml:space="preserve"> Bioscience Reports, vol.</w:t>
      </w:r>
      <w:r w:rsidRPr="00F23432">
        <w:t xml:space="preserve"> 41, pp. BSR20211719, 2021</w:t>
      </w:r>
    </w:p>
    <w:p w:rsidR="006C2873" w:rsidRPr="00F23432" w:rsidRDefault="006C2873" w:rsidP="006C2873">
      <w:pPr>
        <w:pStyle w:val="references"/>
      </w:pPr>
      <w:r w:rsidRPr="00F23432">
        <w:t xml:space="preserve">Kerr K, McAneney H,McKnight AJ, “Protocol for a scoping review of multi-omic analysis for rare diseases,” </w:t>
      </w:r>
      <w:r w:rsidRPr="00F23432">
        <w:rPr>
          <w:iCs/>
        </w:rPr>
        <w:t xml:space="preserve">BMJ Open, </w:t>
      </w:r>
      <w:r w:rsidRPr="00F23432">
        <w:t>vol. 9, pp. e026278, 2019 doi:10.1136/bmjopen-2018-026278</w:t>
      </w:r>
    </w:p>
    <w:p w:rsidR="006C2873" w:rsidRPr="00F23432" w:rsidRDefault="006C2873" w:rsidP="006C2873">
      <w:pPr>
        <w:pStyle w:val="references"/>
      </w:pPr>
      <w:r w:rsidRPr="00F23432">
        <w:t xml:space="preserve">Jason E. McDermott, Jing Wang, Hugh Mitchell, Bobbie-Jo Webb-Robertson, Ryan Hafen, John Ramey, and Karin D. Rodland, “ Challenges in Biomarker Discovery: Combining Expert Insights with Statistical Analysis of Complex Omics Data,” Expert Opin Med Diagn. , vol. 7, pp. 37–51, January 2013. </w:t>
      </w:r>
    </w:p>
    <w:p w:rsidR="000B5B2F" w:rsidRPr="00F23432" w:rsidRDefault="002D14C5" w:rsidP="002D14C5">
      <w:pPr>
        <w:pStyle w:val="references"/>
      </w:pPr>
      <w:r w:rsidRPr="00F23432">
        <w:t>Quezada, H., Guzmán-Ortiz, A.L., Díaz-Sánchez, H., Valle-Rios, R. and Aguirre-Hernández, J., 2017. Omics-based biomarkers: current status and potential use in the clinic. Boletín Médico Del Hospital Infantil de México (English Edition), 74(3), pp.219-226.</w:t>
      </w:r>
    </w:p>
    <w:p w:rsidR="008165B8" w:rsidRPr="00F23432" w:rsidRDefault="008165B8" w:rsidP="008165B8">
      <w:pPr>
        <w:pStyle w:val="references"/>
      </w:pPr>
      <w:r w:rsidRPr="00F23432">
        <w:t>M. Cronin, C. Sangli, M.L. Liu, M. Pho, D. Dutta, A. Nguyen, </w:t>
      </w:r>
      <w:r w:rsidRPr="00F23432">
        <w:rPr>
          <w:i/>
          <w:iCs/>
        </w:rPr>
        <w:t>et al.</w:t>
      </w:r>
      <w:r w:rsidRPr="00F23432">
        <w:t xml:space="preserve"> Analytical validation of the Oncotype DX genomic diagnostic test for recurrence prognosis and therapeutic response prediction in node-negative, estrogen receptor-positive breast cancer</w:t>
      </w:r>
      <w:r w:rsidR="00B31B87" w:rsidRPr="00F23432">
        <w:t>.</w:t>
      </w:r>
      <w:r w:rsidR="00B31B87" w:rsidRPr="00F23432">
        <w:rPr>
          <w:color w:val="2E2E2E"/>
        </w:rPr>
        <w:t xml:space="preserve"> Clin Chem., 53 (2007), pp. 1084-1091.</w:t>
      </w:r>
    </w:p>
    <w:p w:rsidR="00F951E1" w:rsidRPr="00F23432" w:rsidRDefault="00C062F1" w:rsidP="00C062F1">
      <w:pPr>
        <w:pStyle w:val="references"/>
      </w:pPr>
      <w:r w:rsidRPr="00F23432">
        <w:t xml:space="preserve">T.F. Imperiale, D.F. Ransohoff, S.H. Itzkowitz, T.R. Levin, P. Lavin, G.P. Lidgard, </w:t>
      </w:r>
      <w:r w:rsidRPr="00F23432">
        <w:rPr>
          <w:i/>
        </w:rPr>
        <w:t>et al.</w:t>
      </w:r>
      <w:r w:rsidRPr="00F23432">
        <w:t xml:space="preserve"> Multitarget stool DNA testing for colorectal-cancer screening.</w:t>
      </w:r>
      <w:r w:rsidR="00DA3D11" w:rsidRPr="00F23432">
        <w:rPr>
          <w:color w:val="2E2E2E"/>
        </w:rPr>
        <w:t xml:space="preserve"> N Engl J Med., 370 (2014), pp. 1287-1297.</w:t>
      </w:r>
    </w:p>
    <w:p w:rsidR="00B31B87" w:rsidRPr="00F23432" w:rsidRDefault="00B31B87" w:rsidP="00092F88">
      <w:pPr>
        <w:pStyle w:val="references"/>
      </w:pPr>
      <w:r w:rsidRPr="00F23432">
        <w:lastRenderedPageBreak/>
        <w:t>C.Q. Chang, A. Yesupriya, J.L. Rowell, C.B. Pimentel, M. Clyne, M. Gwinn, </w:t>
      </w:r>
      <w:r w:rsidRPr="00F23432">
        <w:rPr>
          <w:i/>
          <w:iCs/>
        </w:rPr>
        <w:t>et al.</w:t>
      </w:r>
      <w:r w:rsidRPr="00F23432">
        <w:t xml:space="preserve"> A systematic review of cancer GWAS and candidate gene meta-analyses reveals limited overlap but similar effect sizes</w:t>
      </w:r>
      <w:r w:rsidR="00092F88" w:rsidRPr="00F23432">
        <w:t xml:space="preserve"> </w:t>
      </w:r>
      <w:r w:rsidRPr="00F23432">
        <w:t>Eur J Hum Genet., 22 (2014), pp. 402-408.</w:t>
      </w:r>
    </w:p>
    <w:p w:rsidR="00C44FBA" w:rsidRPr="00F23432" w:rsidRDefault="00473650" w:rsidP="00473650">
      <w:pPr>
        <w:pStyle w:val="references"/>
      </w:pPr>
      <w:r w:rsidRPr="00F23432">
        <w:t>P.C. Boutros. The path to routine use of genomic biomarkers in the cancer clinic Genome Res., 25 (2015), pp. 1508-151.</w:t>
      </w:r>
    </w:p>
    <w:p w:rsidR="00F05961" w:rsidRPr="00C062F1" w:rsidRDefault="00F05961" w:rsidP="00B31B87">
      <w:pPr>
        <w:pStyle w:val="references"/>
        <w:numPr>
          <w:ilvl w:val="0"/>
          <w:numId w:val="0"/>
        </w:numPr>
        <w:ind w:left="360"/>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72" w:rsidRDefault="009F2472" w:rsidP="001E64C4">
      <w:r>
        <w:separator/>
      </w:r>
    </w:p>
  </w:endnote>
  <w:endnote w:type="continuationSeparator" w:id="0">
    <w:p w:rsidR="009F2472" w:rsidRDefault="009F247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72" w:rsidRDefault="009F2472" w:rsidP="001E64C4">
      <w:r>
        <w:separator/>
      </w:r>
    </w:p>
  </w:footnote>
  <w:footnote w:type="continuationSeparator" w:id="0">
    <w:p w:rsidR="009F2472" w:rsidRDefault="009F2472"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3AE1133"/>
    <w:multiLevelType w:val="hybridMultilevel"/>
    <w:tmpl w:val="E8F4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C6443BA"/>
    <w:multiLevelType w:val="hybridMultilevel"/>
    <w:tmpl w:val="53185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2DB4C9E2"/>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634E35"/>
    <w:multiLevelType w:val="hybridMultilevel"/>
    <w:tmpl w:val="915634FE"/>
    <w:lvl w:ilvl="0" w:tplc="DB143A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776EE2"/>
    <w:multiLevelType w:val="hybridMultilevel"/>
    <w:tmpl w:val="53A07B56"/>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7AB7C89"/>
    <w:multiLevelType w:val="hybridMultilevel"/>
    <w:tmpl w:val="0EF65D1C"/>
    <w:lvl w:ilvl="0" w:tplc="58AC26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5A2CCA"/>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5130"/>
        </w:tabs>
        <w:ind w:left="505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3"/>
  </w:num>
  <w:num w:numId="3">
    <w:abstractNumId w:val="3"/>
  </w:num>
  <w:num w:numId="4">
    <w:abstractNumId w:val="7"/>
  </w:num>
  <w:num w:numId="5">
    <w:abstractNumId w:val="7"/>
  </w:num>
  <w:num w:numId="6">
    <w:abstractNumId w:val="7"/>
  </w:num>
  <w:num w:numId="7">
    <w:abstractNumId w:val="7"/>
  </w:num>
  <w:num w:numId="8">
    <w:abstractNumId w:val="10"/>
  </w:num>
  <w:num w:numId="9">
    <w:abstractNumId w:val="14"/>
  </w:num>
  <w:num w:numId="10">
    <w:abstractNumId w:val="6"/>
  </w:num>
  <w:num w:numId="11">
    <w:abstractNumId w:val="1"/>
  </w:num>
  <w:num w:numId="12">
    <w:abstractNumId w:val="15"/>
  </w:num>
  <w:num w:numId="13">
    <w:abstractNumId w:val="0"/>
  </w:num>
  <w:num w:numId="14">
    <w:abstractNumId w:val="2"/>
  </w:num>
  <w:num w:numId="15">
    <w:abstractNumId w:val="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046C2"/>
    <w:rsid w:val="000104DD"/>
    <w:rsid w:val="00012DED"/>
    <w:rsid w:val="00022598"/>
    <w:rsid w:val="00036715"/>
    <w:rsid w:val="0003751B"/>
    <w:rsid w:val="0004390D"/>
    <w:rsid w:val="00070FAB"/>
    <w:rsid w:val="0008048D"/>
    <w:rsid w:val="00092F88"/>
    <w:rsid w:val="000969FD"/>
    <w:rsid w:val="000B2415"/>
    <w:rsid w:val="000B4641"/>
    <w:rsid w:val="000B5B2F"/>
    <w:rsid w:val="000C3EC8"/>
    <w:rsid w:val="000D5355"/>
    <w:rsid w:val="000E4361"/>
    <w:rsid w:val="000E5D0A"/>
    <w:rsid w:val="000F0690"/>
    <w:rsid w:val="000F456A"/>
    <w:rsid w:val="0010711E"/>
    <w:rsid w:val="001249CC"/>
    <w:rsid w:val="00125E34"/>
    <w:rsid w:val="00127EDD"/>
    <w:rsid w:val="00130D8B"/>
    <w:rsid w:val="001629C6"/>
    <w:rsid w:val="00165FD7"/>
    <w:rsid w:val="0018330F"/>
    <w:rsid w:val="001C55EC"/>
    <w:rsid w:val="001D2353"/>
    <w:rsid w:val="001D2D52"/>
    <w:rsid w:val="001D4508"/>
    <w:rsid w:val="001D7A62"/>
    <w:rsid w:val="001E281A"/>
    <w:rsid w:val="001E476D"/>
    <w:rsid w:val="001E48C1"/>
    <w:rsid w:val="001E64C4"/>
    <w:rsid w:val="00202698"/>
    <w:rsid w:val="002165A6"/>
    <w:rsid w:val="00224666"/>
    <w:rsid w:val="00226E7B"/>
    <w:rsid w:val="00234F7C"/>
    <w:rsid w:val="00237505"/>
    <w:rsid w:val="00240391"/>
    <w:rsid w:val="0024367C"/>
    <w:rsid w:val="00276735"/>
    <w:rsid w:val="00280068"/>
    <w:rsid w:val="00284C20"/>
    <w:rsid w:val="002864A3"/>
    <w:rsid w:val="00292EF9"/>
    <w:rsid w:val="00296792"/>
    <w:rsid w:val="002B3B81"/>
    <w:rsid w:val="002C1EB7"/>
    <w:rsid w:val="002D14C5"/>
    <w:rsid w:val="002D3B12"/>
    <w:rsid w:val="002D49CD"/>
    <w:rsid w:val="002E1666"/>
    <w:rsid w:val="002E17E9"/>
    <w:rsid w:val="002E58AA"/>
    <w:rsid w:val="002E68F7"/>
    <w:rsid w:val="00311420"/>
    <w:rsid w:val="0032109B"/>
    <w:rsid w:val="00326BEB"/>
    <w:rsid w:val="00334523"/>
    <w:rsid w:val="00360DF9"/>
    <w:rsid w:val="00390F41"/>
    <w:rsid w:val="003A47B5"/>
    <w:rsid w:val="003A59A6"/>
    <w:rsid w:val="003E5D7C"/>
    <w:rsid w:val="00402841"/>
    <w:rsid w:val="00402C25"/>
    <w:rsid w:val="004059FE"/>
    <w:rsid w:val="00406BD3"/>
    <w:rsid w:val="00407260"/>
    <w:rsid w:val="004171C7"/>
    <w:rsid w:val="00427278"/>
    <w:rsid w:val="00430355"/>
    <w:rsid w:val="00432107"/>
    <w:rsid w:val="004444EE"/>
    <w:rsid w:val="004445B3"/>
    <w:rsid w:val="00446B7A"/>
    <w:rsid w:val="004562BA"/>
    <w:rsid w:val="0046220E"/>
    <w:rsid w:val="00466548"/>
    <w:rsid w:val="004679C9"/>
    <w:rsid w:val="00472271"/>
    <w:rsid w:val="00473650"/>
    <w:rsid w:val="00496041"/>
    <w:rsid w:val="004C04C8"/>
    <w:rsid w:val="004C3DF5"/>
    <w:rsid w:val="004E0B04"/>
    <w:rsid w:val="004E2229"/>
    <w:rsid w:val="004E7372"/>
    <w:rsid w:val="004F2986"/>
    <w:rsid w:val="0051036A"/>
    <w:rsid w:val="00525FAE"/>
    <w:rsid w:val="00527F46"/>
    <w:rsid w:val="00530820"/>
    <w:rsid w:val="005521CF"/>
    <w:rsid w:val="00552F05"/>
    <w:rsid w:val="005818F8"/>
    <w:rsid w:val="005837BF"/>
    <w:rsid w:val="005957E3"/>
    <w:rsid w:val="005974A7"/>
    <w:rsid w:val="005977F5"/>
    <w:rsid w:val="005B520E"/>
    <w:rsid w:val="005B535B"/>
    <w:rsid w:val="005C10B8"/>
    <w:rsid w:val="005C1954"/>
    <w:rsid w:val="005D4B57"/>
    <w:rsid w:val="005D7C91"/>
    <w:rsid w:val="005E16D8"/>
    <w:rsid w:val="005E7F09"/>
    <w:rsid w:val="005F10BD"/>
    <w:rsid w:val="005F3022"/>
    <w:rsid w:val="006108A4"/>
    <w:rsid w:val="006122E9"/>
    <w:rsid w:val="00634292"/>
    <w:rsid w:val="00655A28"/>
    <w:rsid w:val="00682680"/>
    <w:rsid w:val="0069740E"/>
    <w:rsid w:val="006B577B"/>
    <w:rsid w:val="006C2873"/>
    <w:rsid w:val="006C4648"/>
    <w:rsid w:val="006E7A54"/>
    <w:rsid w:val="0070334B"/>
    <w:rsid w:val="00705409"/>
    <w:rsid w:val="007110C2"/>
    <w:rsid w:val="0072064C"/>
    <w:rsid w:val="0072456E"/>
    <w:rsid w:val="00737B62"/>
    <w:rsid w:val="007442B3"/>
    <w:rsid w:val="007467D9"/>
    <w:rsid w:val="00753F7B"/>
    <w:rsid w:val="007633D0"/>
    <w:rsid w:val="00767BF4"/>
    <w:rsid w:val="00785403"/>
    <w:rsid w:val="00786B24"/>
    <w:rsid w:val="00787C5A"/>
    <w:rsid w:val="00790909"/>
    <w:rsid w:val="00790C81"/>
    <w:rsid w:val="007919DE"/>
    <w:rsid w:val="00796B60"/>
    <w:rsid w:val="007B050B"/>
    <w:rsid w:val="007C0308"/>
    <w:rsid w:val="007C4D25"/>
    <w:rsid w:val="007F00F0"/>
    <w:rsid w:val="008014D2"/>
    <w:rsid w:val="008054BC"/>
    <w:rsid w:val="008165B8"/>
    <w:rsid w:val="00823839"/>
    <w:rsid w:val="00832483"/>
    <w:rsid w:val="008407B4"/>
    <w:rsid w:val="008609CA"/>
    <w:rsid w:val="0086497A"/>
    <w:rsid w:val="008A55B5"/>
    <w:rsid w:val="008A75C8"/>
    <w:rsid w:val="008B19C4"/>
    <w:rsid w:val="008B5270"/>
    <w:rsid w:val="008C21E5"/>
    <w:rsid w:val="008C3651"/>
    <w:rsid w:val="008C54C2"/>
    <w:rsid w:val="00924FB9"/>
    <w:rsid w:val="0092568F"/>
    <w:rsid w:val="0096320E"/>
    <w:rsid w:val="0097508D"/>
    <w:rsid w:val="009B2EB7"/>
    <w:rsid w:val="009D170D"/>
    <w:rsid w:val="009E7F7B"/>
    <w:rsid w:val="009F2472"/>
    <w:rsid w:val="009F4CC0"/>
    <w:rsid w:val="00A14E87"/>
    <w:rsid w:val="00A236A0"/>
    <w:rsid w:val="00A50234"/>
    <w:rsid w:val="00A510F7"/>
    <w:rsid w:val="00A53767"/>
    <w:rsid w:val="00A60C80"/>
    <w:rsid w:val="00A7241A"/>
    <w:rsid w:val="00A76B01"/>
    <w:rsid w:val="00AA0700"/>
    <w:rsid w:val="00AA5090"/>
    <w:rsid w:val="00AC6519"/>
    <w:rsid w:val="00AD601F"/>
    <w:rsid w:val="00B0160B"/>
    <w:rsid w:val="00B15F59"/>
    <w:rsid w:val="00B20C8E"/>
    <w:rsid w:val="00B31B87"/>
    <w:rsid w:val="00B3546C"/>
    <w:rsid w:val="00B36E33"/>
    <w:rsid w:val="00B62E35"/>
    <w:rsid w:val="00B7225B"/>
    <w:rsid w:val="00B82E38"/>
    <w:rsid w:val="00B8491B"/>
    <w:rsid w:val="00B87338"/>
    <w:rsid w:val="00B96BE3"/>
    <w:rsid w:val="00BA3F92"/>
    <w:rsid w:val="00BB0096"/>
    <w:rsid w:val="00BC315E"/>
    <w:rsid w:val="00BD18D9"/>
    <w:rsid w:val="00BF0A91"/>
    <w:rsid w:val="00BF5956"/>
    <w:rsid w:val="00C0280F"/>
    <w:rsid w:val="00C05F7C"/>
    <w:rsid w:val="00C062F1"/>
    <w:rsid w:val="00C37BFB"/>
    <w:rsid w:val="00C44FBA"/>
    <w:rsid w:val="00C703F9"/>
    <w:rsid w:val="00C73A46"/>
    <w:rsid w:val="00CB0271"/>
    <w:rsid w:val="00CB66E6"/>
    <w:rsid w:val="00CC5E9F"/>
    <w:rsid w:val="00CE039A"/>
    <w:rsid w:val="00CE2363"/>
    <w:rsid w:val="00CF25D6"/>
    <w:rsid w:val="00CF5D82"/>
    <w:rsid w:val="00CF6A49"/>
    <w:rsid w:val="00D00DE6"/>
    <w:rsid w:val="00D01167"/>
    <w:rsid w:val="00D16DF6"/>
    <w:rsid w:val="00D23A54"/>
    <w:rsid w:val="00D30486"/>
    <w:rsid w:val="00D57DC1"/>
    <w:rsid w:val="00D6227A"/>
    <w:rsid w:val="00D67B67"/>
    <w:rsid w:val="00D9156D"/>
    <w:rsid w:val="00DA37E6"/>
    <w:rsid w:val="00DA3D11"/>
    <w:rsid w:val="00DA68D5"/>
    <w:rsid w:val="00DB42A0"/>
    <w:rsid w:val="00DB6BBC"/>
    <w:rsid w:val="00DD0DCB"/>
    <w:rsid w:val="00DE09EC"/>
    <w:rsid w:val="00DE17E5"/>
    <w:rsid w:val="00DE376B"/>
    <w:rsid w:val="00E11872"/>
    <w:rsid w:val="00E1350B"/>
    <w:rsid w:val="00E359C5"/>
    <w:rsid w:val="00E35CE5"/>
    <w:rsid w:val="00E36397"/>
    <w:rsid w:val="00E372C2"/>
    <w:rsid w:val="00E91219"/>
    <w:rsid w:val="00E9241F"/>
    <w:rsid w:val="00E97E42"/>
    <w:rsid w:val="00EA506F"/>
    <w:rsid w:val="00EA53DF"/>
    <w:rsid w:val="00EB4F08"/>
    <w:rsid w:val="00EB5980"/>
    <w:rsid w:val="00EC6857"/>
    <w:rsid w:val="00ED4592"/>
    <w:rsid w:val="00EE37E0"/>
    <w:rsid w:val="00EE4362"/>
    <w:rsid w:val="00EF18D7"/>
    <w:rsid w:val="00EF1E8A"/>
    <w:rsid w:val="00EF3A1A"/>
    <w:rsid w:val="00F05961"/>
    <w:rsid w:val="00F23229"/>
    <w:rsid w:val="00F23432"/>
    <w:rsid w:val="00F331F4"/>
    <w:rsid w:val="00F356B4"/>
    <w:rsid w:val="00F413B9"/>
    <w:rsid w:val="00F531E1"/>
    <w:rsid w:val="00F5352A"/>
    <w:rsid w:val="00F83AD2"/>
    <w:rsid w:val="00F90114"/>
    <w:rsid w:val="00F917B1"/>
    <w:rsid w:val="00F95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16"/>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16"/>
      </w:numPr>
      <w:tabs>
        <w:tab w:val="clear" w:pos="5130"/>
        <w:tab w:val="num" w:pos="360"/>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1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16"/>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Default">
    <w:name w:val="Default"/>
    <w:rsid w:val="00C73A46"/>
    <w:pPr>
      <w:autoSpaceDE w:val="0"/>
      <w:autoSpaceDN w:val="0"/>
      <w:adjustRightInd w:val="0"/>
    </w:pPr>
    <w:rPr>
      <w:rFonts w:ascii="Open Sans" w:eastAsiaTheme="minorHAnsi" w:hAnsi="Open Sans" w:cs="Open Sans"/>
      <w:color w:val="000000"/>
      <w:sz w:val="24"/>
      <w:szCs w:val="24"/>
    </w:rPr>
  </w:style>
  <w:style w:type="paragraph" w:styleId="ListParagraph">
    <w:name w:val="List Paragraph"/>
    <w:basedOn w:val="Normal"/>
    <w:uiPriority w:val="34"/>
    <w:qFormat/>
    <w:rsid w:val="00A7241A"/>
    <w:pPr>
      <w:spacing w:after="200" w:line="276" w:lineRule="auto"/>
      <w:ind w:left="720"/>
      <w:contextualSpacing/>
      <w:jc w:val="left"/>
    </w:pPr>
    <w:rPr>
      <w:rFonts w:asciiTheme="minorHAnsi" w:eastAsiaTheme="minorHAnsi" w:hAnsiTheme="minorHAnsi" w:cstheme="minorBidi"/>
      <w:sz w:val="22"/>
      <w:szCs w:val="22"/>
    </w:rPr>
  </w:style>
  <w:style w:type="character" w:styleId="Emphasis">
    <w:name w:val="Emphasis"/>
    <w:basedOn w:val="DefaultParagraphFont"/>
    <w:uiPriority w:val="20"/>
    <w:qFormat/>
    <w:rsid w:val="008165B8"/>
    <w:rPr>
      <w:i/>
      <w:iCs/>
    </w:rPr>
  </w:style>
  <w:style w:type="character" w:styleId="Strong">
    <w:name w:val="Strong"/>
    <w:basedOn w:val="DefaultParagraphFont"/>
    <w:uiPriority w:val="22"/>
    <w:qFormat/>
    <w:rsid w:val="008165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6629">
      <w:bodyDiv w:val="1"/>
      <w:marLeft w:val="0"/>
      <w:marRight w:val="0"/>
      <w:marTop w:val="0"/>
      <w:marBottom w:val="0"/>
      <w:divBdr>
        <w:top w:val="none" w:sz="0" w:space="0" w:color="auto"/>
        <w:left w:val="none" w:sz="0" w:space="0" w:color="auto"/>
        <w:bottom w:val="none" w:sz="0" w:space="0" w:color="auto"/>
        <w:right w:val="none" w:sz="0" w:space="0" w:color="auto"/>
      </w:divBdr>
      <w:divsChild>
        <w:div w:id="24403135">
          <w:marLeft w:val="0"/>
          <w:marRight w:val="0"/>
          <w:marTop w:val="0"/>
          <w:marBottom w:val="0"/>
          <w:divBdr>
            <w:top w:val="none" w:sz="0" w:space="0" w:color="auto"/>
            <w:left w:val="none" w:sz="0" w:space="0" w:color="auto"/>
            <w:bottom w:val="none" w:sz="0" w:space="0" w:color="auto"/>
            <w:right w:val="none" w:sz="0" w:space="0" w:color="auto"/>
          </w:divBdr>
          <w:divsChild>
            <w:div w:id="1193760160">
              <w:marLeft w:val="0"/>
              <w:marRight w:val="0"/>
              <w:marTop w:val="0"/>
              <w:marBottom w:val="0"/>
              <w:divBdr>
                <w:top w:val="none" w:sz="0" w:space="0" w:color="auto"/>
                <w:left w:val="none" w:sz="0" w:space="0" w:color="auto"/>
                <w:bottom w:val="none" w:sz="0" w:space="0" w:color="auto"/>
                <w:right w:val="none" w:sz="0" w:space="0" w:color="auto"/>
              </w:divBdr>
            </w:div>
          </w:divsChild>
        </w:div>
        <w:div w:id="515776948">
          <w:marLeft w:val="0"/>
          <w:marRight w:val="0"/>
          <w:marTop w:val="0"/>
          <w:marBottom w:val="0"/>
          <w:divBdr>
            <w:top w:val="none" w:sz="0" w:space="0" w:color="auto"/>
            <w:left w:val="none" w:sz="0" w:space="0" w:color="auto"/>
            <w:bottom w:val="none" w:sz="0" w:space="0" w:color="auto"/>
            <w:right w:val="none" w:sz="0" w:space="0" w:color="auto"/>
          </w:divBdr>
        </w:div>
      </w:divsChild>
    </w:div>
    <w:div w:id="681123329">
      <w:bodyDiv w:val="1"/>
      <w:marLeft w:val="0"/>
      <w:marRight w:val="0"/>
      <w:marTop w:val="0"/>
      <w:marBottom w:val="0"/>
      <w:divBdr>
        <w:top w:val="none" w:sz="0" w:space="0" w:color="auto"/>
        <w:left w:val="none" w:sz="0" w:space="0" w:color="auto"/>
        <w:bottom w:val="none" w:sz="0" w:space="0" w:color="auto"/>
        <w:right w:val="none" w:sz="0" w:space="0" w:color="auto"/>
      </w:divBdr>
      <w:divsChild>
        <w:div w:id="1214544602">
          <w:marLeft w:val="0"/>
          <w:marRight w:val="0"/>
          <w:marTop w:val="150"/>
          <w:marBottom w:val="270"/>
          <w:divBdr>
            <w:top w:val="none" w:sz="0" w:space="0" w:color="auto"/>
            <w:left w:val="none" w:sz="0" w:space="0" w:color="auto"/>
            <w:bottom w:val="none" w:sz="0" w:space="0" w:color="auto"/>
            <w:right w:val="none" w:sz="0" w:space="0" w:color="auto"/>
          </w:divBdr>
          <w:divsChild>
            <w:div w:id="126800489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686641424">
      <w:bodyDiv w:val="1"/>
      <w:marLeft w:val="0"/>
      <w:marRight w:val="0"/>
      <w:marTop w:val="0"/>
      <w:marBottom w:val="0"/>
      <w:divBdr>
        <w:top w:val="none" w:sz="0" w:space="0" w:color="auto"/>
        <w:left w:val="none" w:sz="0" w:space="0" w:color="auto"/>
        <w:bottom w:val="none" w:sz="0" w:space="0" w:color="auto"/>
        <w:right w:val="none" w:sz="0" w:space="0" w:color="auto"/>
      </w:divBdr>
      <w:divsChild>
        <w:div w:id="1098717030">
          <w:marLeft w:val="0"/>
          <w:marRight w:val="0"/>
          <w:marTop w:val="0"/>
          <w:marBottom w:val="0"/>
          <w:divBdr>
            <w:top w:val="none" w:sz="0" w:space="0" w:color="auto"/>
            <w:left w:val="none" w:sz="0" w:space="0" w:color="auto"/>
            <w:bottom w:val="none" w:sz="0" w:space="0" w:color="auto"/>
            <w:right w:val="none" w:sz="0" w:space="0" w:color="auto"/>
          </w:divBdr>
          <w:divsChild>
            <w:div w:id="143160587">
              <w:marLeft w:val="0"/>
              <w:marRight w:val="0"/>
              <w:marTop w:val="0"/>
              <w:marBottom w:val="0"/>
              <w:divBdr>
                <w:top w:val="none" w:sz="0" w:space="0" w:color="auto"/>
                <w:left w:val="none" w:sz="0" w:space="0" w:color="auto"/>
                <w:bottom w:val="none" w:sz="0" w:space="0" w:color="auto"/>
                <w:right w:val="none" w:sz="0" w:space="0" w:color="auto"/>
              </w:divBdr>
            </w:div>
          </w:divsChild>
        </w:div>
        <w:div w:id="938760116">
          <w:marLeft w:val="0"/>
          <w:marRight w:val="0"/>
          <w:marTop w:val="0"/>
          <w:marBottom w:val="0"/>
          <w:divBdr>
            <w:top w:val="none" w:sz="0" w:space="0" w:color="auto"/>
            <w:left w:val="none" w:sz="0" w:space="0" w:color="auto"/>
            <w:bottom w:val="none" w:sz="0" w:space="0" w:color="auto"/>
            <w:right w:val="none" w:sz="0" w:space="0" w:color="auto"/>
          </w:divBdr>
        </w:div>
      </w:divsChild>
    </w:div>
    <w:div w:id="1080448459">
      <w:bodyDiv w:val="1"/>
      <w:marLeft w:val="0"/>
      <w:marRight w:val="0"/>
      <w:marTop w:val="0"/>
      <w:marBottom w:val="0"/>
      <w:divBdr>
        <w:top w:val="none" w:sz="0" w:space="0" w:color="auto"/>
        <w:left w:val="none" w:sz="0" w:space="0" w:color="auto"/>
        <w:bottom w:val="none" w:sz="0" w:space="0" w:color="auto"/>
        <w:right w:val="none" w:sz="0" w:space="0" w:color="auto"/>
      </w:divBdr>
      <w:divsChild>
        <w:div w:id="2040088553">
          <w:marLeft w:val="0"/>
          <w:marRight w:val="0"/>
          <w:marTop w:val="0"/>
          <w:marBottom w:val="0"/>
          <w:divBdr>
            <w:top w:val="none" w:sz="0" w:space="0" w:color="auto"/>
            <w:left w:val="none" w:sz="0" w:space="0" w:color="auto"/>
            <w:bottom w:val="none" w:sz="0" w:space="0" w:color="auto"/>
            <w:right w:val="none" w:sz="0" w:space="0" w:color="auto"/>
          </w:divBdr>
        </w:div>
      </w:divsChild>
    </w:div>
    <w:div w:id="1353415345">
      <w:bodyDiv w:val="1"/>
      <w:marLeft w:val="0"/>
      <w:marRight w:val="0"/>
      <w:marTop w:val="0"/>
      <w:marBottom w:val="0"/>
      <w:divBdr>
        <w:top w:val="none" w:sz="0" w:space="0" w:color="auto"/>
        <w:left w:val="none" w:sz="0" w:space="0" w:color="auto"/>
        <w:bottom w:val="none" w:sz="0" w:space="0" w:color="auto"/>
        <w:right w:val="none" w:sz="0" w:space="0" w:color="auto"/>
      </w:divBdr>
      <w:divsChild>
        <w:div w:id="1423070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DAE14-6329-4B72-9565-3C7345FF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7</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133</cp:revision>
  <cp:lastPrinted>2014-07-26T15:11:00Z</cp:lastPrinted>
  <dcterms:created xsi:type="dcterms:W3CDTF">2022-06-17T12:11:00Z</dcterms:created>
  <dcterms:modified xsi:type="dcterms:W3CDTF">2022-08-22T06:33:00Z</dcterms:modified>
</cp:coreProperties>
</file>