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E0CA8" w14:textId="16D7A97C" w:rsidR="0027129D" w:rsidRPr="00147427" w:rsidRDefault="00637DD2" w:rsidP="0014742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Growth, Momentum of Integrated Reporting as new corporate financial reporting of selected Indian Companies </w:t>
      </w:r>
    </w:p>
    <w:p w14:paraId="15E83ED5" w14:textId="18FF67E0" w:rsidR="0027129D" w:rsidRPr="0058565B" w:rsidRDefault="001B7670" w:rsidP="0027129D">
      <w:pPr>
        <w:spacing w:after="0"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Devarapalli </w:t>
      </w:r>
      <w:r w:rsidR="0027129D" w:rsidRPr="00A84C18">
        <w:rPr>
          <w:rFonts w:ascii="Times New Roman" w:hAnsi="Times New Roman" w:cs="Times New Roman"/>
          <w:sz w:val="24"/>
          <w:szCs w:val="24"/>
        </w:rPr>
        <w:t>Suman</w:t>
      </w:r>
      <w:r w:rsidR="0093057C">
        <w:rPr>
          <w:rFonts w:ascii="Times New Roman" w:hAnsi="Times New Roman" w:cs="Times New Roman"/>
          <w:sz w:val="24"/>
          <w:szCs w:val="24"/>
        </w:rPr>
        <w:t xml:space="preserve"> </w:t>
      </w:r>
      <w:r w:rsidR="0058565B">
        <w:rPr>
          <w:rFonts w:ascii="Times New Roman" w:hAnsi="Times New Roman" w:cs="Times New Roman"/>
          <w:sz w:val="24"/>
          <w:szCs w:val="24"/>
          <w:vertAlign w:val="superscript"/>
        </w:rPr>
        <w:t>1</w:t>
      </w:r>
    </w:p>
    <w:p w14:paraId="09BF34E5" w14:textId="77777777" w:rsidR="0027129D" w:rsidRPr="00A84C18" w:rsidRDefault="0027129D" w:rsidP="0027129D">
      <w:pPr>
        <w:spacing w:after="0" w:line="360" w:lineRule="auto"/>
        <w:jc w:val="center"/>
        <w:rPr>
          <w:rFonts w:ascii="Times New Roman" w:hAnsi="Times New Roman" w:cs="Times New Roman"/>
          <w:sz w:val="24"/>
          <w:szCs w:val="24"/>
        </w:rPr>
      </w:pPr>
      <w:r w:rsidRPr="00A84C18">
        <w:rPr>
          <w:rFonts w:ascii="Times New Roman" w:hAnsi="Times New Roman" w:cs="Times New Roman"/>
          <w:sz w:val="24"/>
          <w:szCs w:val="24"/>
        </w:rPr>
        <w:t>PhD Scholar, SRM University-AP, Guntur, Andhra Pradesh- 522502, India</w:t>
      </w:r>
    </w:p>
    <w:p w14:paraId="075CDB8F" w14:textId="77777777" w:rsidR="0027129D" w:rsidRPr="00A84C18" w:rsidRDefault="0027129D" w:rsidP="0027129D">
      <w:pPr>
        <w:spacing w:after="0" w:line="360" w:lineRule="auto"/>
        <w:jc w:val="center"/>
        <w:rPr>
          <w:rFonts w:ascii="Times New Roman" w:hAnsi="Times New Roman" w:cs="Times New Roman"/>
          <w:sz w:val="24"/>
          <w:szCs w:val="24"/>
        </w:rPr>
      </w:pPr>
      <w:r w:rsidRPr="00A84C18">
        <w:rPr>
          <w:rFonts w:ascii="Times New Roman" w:hAnsi="Times New Roman" w:cs="Times New Roman"/>
          <w:sz w:val="24"/>
          <w:szCs w:val="24"/>
        </w:rPr>
        <w:t>Email: suman_devarapalli@srmap.edu.in</w:t>
      </w:r>
    </w:p>
    <w:p w14:paraId="105FB06E" w14:textId="125BFACF" w:rsidR="00702E91" w:rsidRPr="00A84C18" w:rsidRDefault="00702E91" w:rsidP="00702E91">
      <w:pPr>
        <w:spacing w:after="0" w:line="360" w:lineRule="auto"/>
        <w:jc w:val="center"/>
        <w:rPr>
          <w:rFonts w:ascii="Times New Roman" w:hAnsi="Times New Roman" w:cs="Times New Roman"/>
          <w:sz w:val="24"/>
          <w:szCs w:val="24"/>
        </w:rPr>
      </w:pPr>
      <w:r w:rsidRPr="00A84C18">
        <w:rPr>
          <w:rFonts w:ascii="Times New Roman" w:hAnsi="Times New Roman" w:cs="Times New Roman"/>
          <w:sz w:val="24"/>
          <w:szCs w:val="24"/>
        </w:rPr>
        <w:t>Dr. SasikanthTripathy</w:t>
      </w:r>
    </w:p>
    <w:p w14:paraId="18898B75" w14:textId="2D6C7990" w:rsidR="00702E91" w:rsidRDefault="00702E91" w:rsidP="00702E91">
      <w:pPr>
        <w:spacing w:after="0" w:line="360" w:lineRule="auto"/>
        <w:jc w:val="center"/>
        <w:rPr>
          <w:rFonts w:ascii="Times New Roman" w:hAnsi="Times New Roman" w:cs="Times New Roman"/>
          <w:sz w:val="24"/>
          <w:szCs w:val="24"/>
        </w:rPr>
      </w:pPr>
      <w:r w:rsidRPr="00A84C18">
        <w:rPr>
          <w:rFonts w:ascii="Times New Roman" w:hAnsi="Times New Roman" w:cs="Times New Roman"/>
          <w:sz w:val="24"/>
          <w:szCs w:val="24"/>
        </w:rPr>
        <w:t xml:space="preserve">Email: </w:t>
      </w:r>
      <w:hyperlink r:id="rId8" w:history="1">
        <w:r w:rsidR="004E0890" w:rsidRPr="00DB776C">
          <w:rPr>
            <w:rStyle w:val="Hyperlink"/>
            <w:rFonts w:ascii="Times New Roman" w:hAnsi="Times New Roman" w:cs="Times New Roman"/>
            <w:sz w:val="24"/>
            <w:szCs w:val="24"/>
          </w:rPr>
          <w:t>sasikanta.t@srmap.edu.in</w:t>
        </w:r>
      </w:hyperlink>
    </w:p>
    <w:p w14:paraId="434FA78A" w14:textId="62BAB2F9" w:rsidR="004E0890" w:rsidRDefault="004E0890" w:rsidP="00702E91">
      <w:pPr>
        <w:spacing w:after="0" w:line="360" w:lineRule="auto"/>
        <w:jc w:val="center"/>
        <w:rPr>
          <w:rFonts w:ascii="Times New Roman" w:hAnsi="Times New Roman" w:cs="Times New Roman"/>
          <w:color w:val="202124"/>
          <w:sz w:val="24"/>
          <w:szCs w:val="24"/>
          <w:shd w:val="clear" w:color="auto" w:fill="FFFFFF"/>
        </w:rPr>
      </w:pPr>
      <w:r w:rsidRPr="004E0890">
        <w:rPr>
          <w:rFonts w:ascii="Times New Roman" w:hAnsi="Times New Roman" w:cs="Times New Roman"/>
          <w:sz w:val="24"/>
          <w:szCs w:val="24"/>
        </w:rPr>
        <w:t xml:space="preserve">Dr. </w:t>
      </w:r>
      <w:r w:rsidRPr="004E0890">
        <w:rPr>
          <w:rFonts w:ascii="Times New Roman" w:hAnsi="Times New Roman" w:cs="Times New Roman"/>
          <w:color w:val="202124"/>
          <w:sz w:val="24"/>
          <w:szCs w:val="24"/>
          <w:shd w:val="clear" w:color="auto" w:fill="FFFFFF"/>
        </w:rPr>
        <w:t>Lalitha Mohan Mohapatra</w:t>
      </w:r>
    </w:p>
    <w:p w14:paraId="169B98A3" w14:textId="77777777" w:rsidR="004E0890" w:rsidRPr="00A84C18" w:rsidRDefault="004E0890" w:rsidP="004E0890">
      <w:pPr>
        <w:spacing w:after="0" w:line="360" w:lineRule="auto"/>
        <w:jc w:val="center"/>
        <w:rPr>
          <w:rFonts w:ascii="Times New Roman" w:hAnsi="Times New Roman" w:cs="Times New Roman"/>
          <w:sz w:val="24"/>
          <w:szCs w:val="24"/>
        </w:rPr>
      </w:pPr>
      <w:r w:rsidRPr="00A84C18">
        <w:rPr>
          <w:rFonts w:ascii="Times New Roman" w:hAnsi="Times New Roman" w:cs="Times New Roman"/>
          <w:sz w:val="24"/>
          <w:szCs w:val="24"/>
        </w:rPr>
        <w:t>Assistant Professor at SRM University- AP, Guntur, Andhra Pradesh- 522502, India</w:t>
      </w:r>
    </w:p>
    <w:p w14:paraId="2F70D4AC" w14:textId="2EF9A4CE" w:rsidR="004E0890" w:rsidRPr="004E0890" w:rsidRDefault="004E0890" w:rsidP="00702E9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DB776C">
          <w:rPr>
            <w:rStyle w:val="Hyperlink"/>
            <w:rFonts w:ascii="Times New Roman" w:hAnsi="Times New Roman" w:cs="Times New Roman"/>
            <w:sz w:val="24"/>
            <w:szCs w:val="24"/>
            <w:shd w:val="clear" w:color="auto" w:fill="FFFFFF"/>
          </w:rPr>
          <w:t>lalithamohan.m@srmap.edu.in</w:t>
        </w:r>
      </w:hyperlink>
    </w:p>
    <w:p w14:paraId="6FB7D5BA" w14:textId="77777777" w:rsidR="0027129D" w:rsidRPr="00A84C18" w:rsidRDefault="0027129D" w:rsidP="0027129D">
      <w:pPr>
        <w:spacing w:after="0" w:line="360" w:lineRule="auto"/>
        <w:jc w:val="center"/>
        <w:rPr>
          <w:rFonts w:ascii="Times New Roman" w:hAnsi="Times New Roman" w:cs="Times New Roman"/>
          <w:sz w:val="24"/>
          <w:szCs w:val="24"/>
        </w:rPr>
      </w:pPr>
    </w:p>
    <w:p w14:paraId="7A8F32AF" w14:textId="77777777" w:rsidR="0027129D" w:rsidRPr="00A84C18" w:rsidRDefault="0027129D" w:rsidP="001724C4">
      <w:pPr>
        <w:spacing w:after="0" w:line="360" w:lineRule="auto"/>
        <w:jc w:val="center"/>
        <w:rPr>
          <w:rFonts w:ascii="Times New Roman" w:hAnsi="Times New Roman" w:cs="Times New Roman"/>
          <w:sz w:val="24"/>
          <w:szCs w:val="24"/>
        </w:rPr>
      </w:pPr>
    </w:p>
    <w:p w14:paraId="48D181DC" w14:textId="77777777" w:rsidR="00211B88" w:rsidRDefault="001724C4" w:rsidP="009A1015">
      <w:pPr>
        <w:spacing w:after="0" w:line="360" w:lineRule="auto"/>
        <w:ind w:right="-23"/>
        <w:jc w:val="both"/>
        <w:rPr>
          <w:rFonts w:ascii="Times New Roman" w:hAnsi="Times New Roman" w:cs="Times New Roman"/>
          <w:b/>
          <w:sz w:val="24"/>
          <w:szCs w:val="24"/>
          <w:lang w:val="en-IN"/>
        </w:rPr>
      </w:pPr>
      <w:r w:rsidRPr="00A84C18">
        <w:rPr>
          <w:rFonts w:ascii="Times New Roman" w:hAnsi="Times New Roman" w:cs="Times New Roman"/>
          <w:b/>
          <w:sz w:val="24"/>
          <w:szCs w:val="24"/>
          <w:lang w:val="en-IN"/>
        </w:rPr>
        <w:t>Abstract:</w:t>
      </w:r>
    </w:p>
    <w:p w14:paraId="69F5EFCD" w14:textId="43F15528" w:rsidR="00EF26A6" w:rsidRPr="00C412DA" w:rsidRDefault="00211B88" w:rsidP="00C74264">
      <w:pPr>
        <w:spacing w:after="0" w:line="360" w:lineRule="auto"/>
        <w:ind w:right="-23"/>
        <w:jc w:val="both"/>
        <w:rPr>
          <w:rFonts w:ascii="Times New Roman" w:hAnsi="Times New Roman" w:cs="Times New Roman"/>
          <w:sz w:val="24"/>
          <w:szCs w:val="24"/>
        </w:rPr>
      </w:pPr>
      <w:r w:rsidRPr="00A84C18">
        <w:rPr>
          <w:rFonts w:ascii="Times New Roman" w:hAnsi="Times New Roman" w:cs="Times New Roman"/>
          <w:sz w:val="24"/>
          <w:szCs w:val="24"/>
          <w:lang w:val="en-IN"/>
        </w:rPr>
        <w:t>The objective of this paper is to</w:t>
      </w:r>
      <w:r>
        <w:rPr>
          <w:rFonts w:ascii="Times New Roman" w:hAnsi="Times New Roman" w:cs="Times New Roman"/>
          <w:sz w:val="24"/>
          <w:szCs w:val="24"/>
          <w:lang w:val="en-IN"/>
        </w:rPr>
        <w:t xml:space="preserve"> highlight disclosure level of various elements of International Integrated Reporting Framework (IIRF). </w:t>
      </w:r>
      <w:r>
        <w:rPr>
          <w:rFonts w:ascii="Times New Roman" w:hAnsi="Times New Roman" w:cs="Times New Roman"/>
          <w:sz w:val="24"/>
          <w:szCs w:val="24"/>
          <w:lang w:val="en-IN"/>
        </w:rPr>
        <w:t>Th</w:t>
      </w:r>
      <w:r>
        <w:rPr>
          <w:rFonts w:ascii="Times New Roman" w:hAnsi="Times New Roman" w:cs="Times New Roman"/>
          <w:sz w:val="24"/>
          <w:szCs w:val="24"/>
          <w:lang w:val="en-IN"/>
        </w:rPr>
        <w:t xml:space="preserve">e </w:t>
      </w:r>
      <w:r>
        <w:rPr>
          <w:rFonts w:ascii="Times New Roman" w:hAnsi="Times New Roman" w:cs="Times New Roman"/>
          <w:sz w:val="24"/>
          <w:szCs w:val="24"/>
          <w:lang w:val="en-IN"/>
        </w:rPr>
        <w:t xml:space="preserve">study </w:t>
      </w:r>
      <w:r w:rsidR="004924F1">
        <w:rPr>
          <w:rFonts w:ascii="Times New Roman" w:hAnsi="Times New Roman" w:cs="Times New Roman"/>
          <w:sz w:val="24"/>
          <w:szCs w:val="24"/>
          <w:lang w:val="en-IN"/>
        </w:rPr>
        <w:t>enumerates</w:t>
      </w:r>
      <w:r>
        <w:rPr>
          <w:rFonts w:ascii="Times New Roman" w:hAnsi="Times New Roman" w:cs="Times New Roman"/>
          <w:sz w:val="24"/>
          <w:szCs w:val="24"/>
          <w:lang w:val="en-IN"/>
        </w:rPr>
        <w:t xml:space="preserve"> the growth and development of IR in Indian scenario as a conceptual mode and to present disclosure of financial and non-financial information.</w:t>
      </w:r>
      <w:r w:rsidR="004924F1" w:rsidRPr="004924F1">
        <w:rPr>
          <w:rFonts w:ascii="Times New Roman" w:hAnsi="Times New Roman" w:cs="Times New Roman"/>
          <w:sz w:val="24"/>
          <w:szCs w:val="24"/>
        </w:rPr>
        <w:t xml:space="preserve"> </w:t>
      </w:r>
      <w:r w:rsidR="004924F1" w:rsidRPr="00A84C18">
        <w:rPr>
          <w:rFonts w:ascii="Times New Roman" w:hAnsi="Times New Roman" w:cs="Times New Roman"/>
          <w:sz w:val="24"/>
          <w:szCs w:val="24"/>
        </w:rPr>
        <w:t xml:space="preserve">The present paper highlights </w:t>
      </w:r>
      <w:r w:rsidR="004924F1">
        <w:rPr>
          <w:rFonts w:ascii="Times New Roman" w:hAnsi="Times New Roman" w:cs="Times New Roman"/>
          <w:sz w:val="24"/>
          <w:szCs w:val="24"/>
        </w:rPr>
        <w:t xml:space="preserve">the </w:t>
      </w:r>
      <w:r w:rsidR="004924F1" w:rsidRPr="00A84C18">
        <w:rPr>
          <w:rFonts w:ascii="Times New Roman" w:hAnsi="Times New Roman" w:cs="Times New Roman"/>
          <w:sz w:val="24"/>
          <w:szCs w:val="24"/>
        </w:rPr>
        <w:t xml:space="preserve">IIRC proposed </w:t>
      </w:r>
      <w:r w:rsidR="004924F1">
        <w:rPr>
          <w:rFonts w:ascii="Times New Roman" w:hAnsi="Times New Roman" w:cs="Times New Roman"/>
          <w:sz w:val="24"/>
          <w:szCs w:val="24"/>
        </w:rPr>
        <w:t>S</w:t>
      </w:r>
      <w:r w:rsidR="004924F1" w:rsidRPr="00A84C18">
        <w:rPr>
          <w:rFonts w:ascii="Times New Roman" w:hAnsi="Times New Roman" w:cs="Times New Roman"/>
          <w:sz w:val="24"/>
          <w:szCs w:val="24"/>
        </w:rPr>
        <w:t xml:space="preserve">ix </w:t>
      </w:r>
      <w:r w:rsidR="004924F1">
        <w:rPr>
          <w:rFonts w:ascii="Times New Roman" w:hAnsi="Times New Roman" w:cs="Times New Roman"/>
          <w:sz w:val="24"/>
          <w:szCs w:val="24"/>
        </w:rPr>
        <w:t>C</w:t>
      </w:r>
      <w:r w:rsidR="004924F1" w:rsidRPr="00A84C18">
        <w:rPr>
          <w:rFonts w:ascii="Times New Roman" w:hAnsi="Times New Roman" w:cs="Times New Roman"/>
          <w:sz w:val="24"/>
          <w:szCs w:val="24"/>
        </w:rPr>
        <w:t>apitals</w:t>
      </w:r>
      <w:r w:rsidR="004924F1">
        <w:rPr>
          <w:rFonts w:ascii="Times New Roman" w:hAnsi="Times New Roman" w:cs="Times New Roman"/>
          <w:sz w:val="24"/>
          <w:szCs w:val="24"/>
        </w:rPr>
        <w:t xml:space="preserve"> Index (SCI)</w:t>
      </w:r>
      <w:r w:rsidR="004924F1" w:rsidRPr="00A84C18">
        <w:rPr>
          <w:rFonts w:ascii="Times New Roman" w:hAnsi="Times New Roman" w:cs="Times New Roman"/>
          <w:sz w:val="24"/>
          <w:szCs w:val="24"/>
        </w:rPr>
        <w:t>,</w:t>
      </w:r>
      <w:r w:rsidR="004924F1">
        <w:rPr>
          <w:rFonts w:ascii="Times New Roman" w:hAnsi="Times New Roman" w:cs="Times New Roman"/>
          <w:sz w:val="24"/>
          <w:szCs w:val="24"/>
        </w:rPr>
        <w:t xml:space="preserve"> </w:t>
      </w:r>
      <w:r w:rsidR="004924F1" w:rsidRPr="00A84C18">
        <w:rPr>
          <w:rFonts w:ascii="Times New Roman" w:hAnsi="Times New Roman" w:cs="Times New Roman"/>
          <w:sz w:val="24"/>
          <w:szCs w:val="24"/>
        </w:rPr>
        <w:t>Seven Guiding Principles</w:t>
      </w:r>
      <w:r w:rsidR="004924F1">
        <w:rPr>
          <w:rFonts w:ascii="Times New Roman" w:hAnsi="Times New Roman" w:cs="Times New Roman"/>
          <w:sz w:val="24"/>
          <w:szCs w:val="24"/>
        </w:rPr>
        <w:t xml:space="preserve"> </w:t>
      </w:r>
      <w:r w:rsidR="004924F1">
        <w:rPr>
          <w:rFonts w:ascii="Times New Roman" w:hAnsi="Times New Roman" w:cs="Times New Roman"/>
          <w:sz w:val="24"/>
          <w:szCs w:val="24"/>
        </w:rPr>
        <w:t>(GP</w:t>
      </w:r>
      <w:r w:rsidR="004924F1">
        <w:rPr>
          <w:rFonts w:ascii="Times New Roman" w:hAnsi="Times New Roman" w:cs="Times New Roman"/>
          <w:sz w:val="24"/>
          <w:szCs w:val="24"/>
        </w:rPr>
        <w:t>)</w:t>
      </w:r>
      <w:r w:rsidR="004924F1" w:rsidRPr="00A84C18">
        <w:rPr>
          <w:rFonts w:ascii="Times New Roman" w:hAnsi="Times New Roman" w:cs="Times New Roman"/>
          <w:sz w:val="24"/>
          <w:szCs w:val="24"/>
        </w:rPr>
        <w:t xml:space="preserve">, </w:t>
      </w:r>
      <w:r w:rsidR="004924F1">
        <w:rPr>
          <w:rFonts w:ascii="Times New Roman" w:hAnsi="Times New Roman" w:cs="Times New Roman"/>
          <w:sz w:val="24"/>
          <w:szCs w:val="24"/>
        </w:rPr>
        <w:t xml:space="preserve">and </w:t>
      </w:r>
      <w:r w:rsidR="004924F1" w:rsidRPr="00A84C18">
        <w:rPr>
          <w:rFonts w:ascii="Times New Roman" w:hAnsi="Times New Roman" w:cs="Times New Roman"/>
          <w:sz w:val="24"/>
          <w:szCs w:val="24"/>
        </w:rPr>
        <w:t>Eight Content Elements</w:t>
      </w:r>
      <w:r w:rsidR="004924F1">
        <w:rPr>
          <w:rFonts w:ascii="Times New Roman" w:hAnsi="Times New Roman" w:cs="Times New Roman"/>
          <w:sz w:val="24"/>
          <w:szCs w:val="24"/>
        </w:rPr>
        <w:t xml:space="preserve"> index (CEI)</w:t>
      </w:r>
      <w:r w:rsidR="007D3758">
        <w:rPr>
          <w:rFonts w:ascii="Times New Roman" w:hAnsi="Times New Roman" w:cs="Times New Roman"/>
          <w:sz w:val="24"/>
          <w:szCs w:val="24"/>
        </w:rPr>
        <w:t xml:space="preserve">. The sample size for the study is thirty-five listed companies for a period of four years i.e., 2018 to 2021. </w:t>
      </w:r>
      <w:r w:rsidR="004924F1">
        <w:rPr>
          <w:rFonts w:ascii="Times New Roman" w:hAnsi="Times New Roman" w:cs="Times New Roman"/>
          <w:sz w:val="24"/>
          <w:szCs w:val="24"/>
        </w:rPr>
        <w:t xml:space="preserve"> </w:t>
      </w:r>
      <w:r w:rsidR="007D3758">
        <w:rPr>
          <w:rFonts w:ascii="Times New Roman" w:hAnsi="Times New Roman" w:cs="Times New Roman"/>
          <w:sz w:val="24"/>
          <w:szCs w:val="24"/>
        </w:rPr>
        <w:t>The study employed content analysis, disclosure index and a comparative two tailed test for two different time periods.</w:t>
      </w:r>
      <w:r w:rsidR="00AB1DB5">
        <w:rPr>
          <w:rFonts w:ascii="Times New Roman" w:hAnsi="Times New Roman" w:cs="Times New Roman"/>
          <w:sz w:val="24"/>
          <w:szCs w:val="24"/>
        </w:rPr>
        <w:t xml:space="preserve"> </w:t>
      </w:r>
      <w:r w:rsidR="00AB1DB5">
        <w:rPr>
          <w:rStyle w:val="pagecontents"/>
          <w:rFonts w:ascii="Times New Roman" w:hAnsi="Times New Roman" w:cs="Times New Roman"/>
        </w:rPr>
        <w:t>T</w:t>
      </w:r>
      <w:r w:rsidR="002A6D97">
        <w:rPr>
          <w:rStyle w:val="pagecontents"/>
          <w:rFonts w:ascii="Times New Roman" w:hAnsi="Times New Roman" w:cs="Times New Roman"/>
        </w:rPr>
        <w:t xml:space="preserve">he study found the growth and development </w:t>
      </w:r>
      <w:r w:rsidR="00AB1DB5">
        <w:rPr>
          <w:rStyle w:val="pagecontents"/>
          <w:rFonts w:ascii="Times New Roman" w:hAnsi="Times New Roman" w:cs="Times New Roman"/>
        </w:rPr>
        <w:t xml:space="preserve">of IR (Integrated Reporting) </w:t>
      </w:r>
      <w:r w:rsidR="002A6D97">
        <w:rPr>
          <w:rStyle w:val="pagecontents"/>
          <w:rFonts w:ascii="Times New Roman" w:hAnsi="Times New Roman" w:cs="Times New Roman"/>
        </w:rPr>
        <w:t>in India is significantly increased due to voluntary adoption.</w:t>
      </w:r>
      <w:r w:rsidR="00AB1DB5">
        <w:rPr>
          <w:rStyle w:val="pagecontents"/>
          <w:rFonts w:ascii="Times New Roman" w:hAnsi="Times New Roman" w:cs="Times New Roman"/>
        </w:rPr>
        <w:t xml:space="preserve"> </w:t>
      </w:r>
      <w:r w:rsidR="00962AD0" w:rsidRPr="00F96F36">
        <w:rPr>
          <w:rStyle w:val="pagecontents"/>
          <w:rFonts w:ascii="Times New Roman" w:hAnsi="Times New Roman" w:cs="Times New Roman"/>
          <w:bCs/>
        </w:rPr>
        <w:t xml:space="preserve">The present paper </w:t>
      </w:r>
      <w:r w:rsidR="00696998">
        <w:rPr>
          <w:rStyle w:val="pagecontents"/>
          <w:rFonts w:ascii="Times New Roman" w:hAnsi="Times New Roman" w:cs="Times New Roman"/>
          <w:bCs/>
        </w:rPr>
        <w:t>considers only the</w:t>
      </w:r>
      <w:r w:rsidR="00962AD0" w:rsidRPr="00F96F36">
        <w:rPr>
          <w:rStyle w:val="pagecontents"/>
          <w:rFonts w:ascii="Times New Roman" w:hAnsi="Times New Roman" w:cs="Times New Roman"/>
          <w:bCs/>
        </w:rPr>
        <w:t xml:space="preserve"> initial stage of selected Indian companies from IIRC website and their year of IR practices.</w:t>
      </w:r>
      <w:r w:rsidR="00696998">
        <w:rPr>
          <w:rStyle w:val="pagecontents"/>
          <w:rFonts w:ascii="Times New Roman" w:hAnsi="Times New Roman" w:cs="Times New Roman"/>
          <w:bCs/>
        </w:rPr>
        <w:t xml:space="preserve"> The study is limited by the sample size, time period and empirical analysis.</w:t>
      </w:r>
      <w:r w:rsidR="00962AD0">
        <w:rPr>
          <w:rStyle w:val="pagecontents"/>
          <w:rFonts w:ascii="Times New Roman" w:hAnsi="Times New Roman" w:cs="Times New Roman"/>
          <w:b/>
          <w:bCs/>
        </w:rPr>
        <w:t xml:space="preserve"> </w:t>
      </w:r>
      <w:r w:rsidR="006C47D4" w:rsidRPr="000D067A">
        <w:rPr>
          <w:rStyle w:val="pagecontents"/>
          <w:rFonts w:ascii="Times New Roman" w:hAnsi="Times New Roman" w:cs="Times New Roman"/>
        </w:rPr>
        <w:t xml:space="preserve">This is the first study to find out </w:t>
      </w:r>
      <w:r w:rsidR="00C412DA">
        <w:rPr>
          <w:rStyle w:val="pagecontents"/>
          <w:rFonts w:ascii="Times New Roman" w:hAnsi="Times New Roman" w:cs="Times New Roman"/>
        </w:rPr>
        <w:t xml:space="preserve">a comparative two tailed test, </w:t>
      </w:r>
      <w:r w:rsidR="006C47D4" w:rsidRPr="000D067A">
        <w:rPr>
          <w:rStyle w:val="pagecontents"/>
          <w:rFonts w:ascii="Times New Roman" w:hAnsi="Times New Roman" w:cs="Times New Roman"/>
        </w:rPr>
        <w:t>CDI</w:t>
      </w:r>
      <w:r w:rsidR="00C412DA">
        <w:rPr>
          <w:rStyle w:val="pagecontents"/>
          <w:rFonts w:ascii="Times New Roman" w:hAnsi="Times New Roman" w:cs="Times New Roman"/>
        </w:rPr>
        <w:t xml:space="preserve"> and </w:t>
      </w:r>
      <w:r w:rsidR="006C47D4" w:rsidRPr="000D067A">
        <w:rPr>
          <w:rStyle w:val="pagecontents"/>
          <w:rFonts w:ascii="Times New Roman" w:hAnsi="Times New Roman" w:cs="Times New Roman"/>
        </w:rPr>
        <w:t>CEI</w:t>
      </w:r>
      <w:r w:rsidR="00E14A8B">
        <w:rPr>
          <w:rStyle w:val="pagecontents"/>
          <w:rFonts w:ascii="Times New Roman" w:hAnsi="Times New Roman" w:cs="Times New Roman"/>
        </w:rPr>
        <w:t>.</w:t>
      </w:r>
    </w:p>
    <w:p w14:paraId="38FBC5DC" w14:textId="70B474EC" w:rsidR="0047158C" w:rsidRDefault="001724C4" w:rsidP="00746ABB">
      <w:pPr>
        <w:spacing w:after="0" w:line="360" w:lineRule="auto"/>
        <w:ind w:right="-23"/>
        <w:jc w:val="both"/>
        <w:rPr>
          <w:rFonts w:ascii="Times New Roman" w:hAnsi="Times New Roman" w:cs="Times New Roman"/>
          <w:sz w:val="24"/>
          <w:szCs w:val="24"/>
        </w:rPr>
      </w:pPr>
      <w:r w:rsidRPr="00A84C18">
        <w:rPr>
          <w:rFonts w:ascii="Times New Roman" w:hAnsi="Times New Roman" w:cs="Times New Roman"/>
          <w:b/>
          <w:sz w:val="24"/>
          <w:szCs w:val="24"/>
        </w:rPr>
        <w:t>Key Words:</w:t>
      </w:r>
      <w:r w:rsidR="005C299D">
        <w:rPr>
          <w:rFonts w:ascii="Times New Roman" w:hAnsi="Times New Roman" w:cs="Times New Roman"/>
          <w:b/>
          <w:sz w:val="24"/>
          <w:szCs w:val="24"/>
        </w:rPr>
        <w:t xml:space="preserve"> </w:t>
      </w:r>
      <w:r w:rsidRPr="00A84C18">
        <w:rPr>
          <w:rFonts w:ascii="Times New Roman" w:hAnsi="Times New Roman" w:cs="Times New Roman"/>
          <w:sz w:val="24"/>
          <w:szCs w:val="24"/>
        </w:rPr>
        <w:t>I</w:t>
      </w:r>
      <w:r w:rsidR="00191B99" w:rsidRPr="00A84C18">
        <w:rPr>
          <w:rFonts w:ascii="Times New Roman" w:hAnsi="Times New Roman" w:cs="Times New Roman"/>
          <w:sz w:val="24"/>
          <w:szCs w:val="24"/>
        </w:rPr>
        <w:t xml:space="preserve">ntegrated </w:t>
      </w:r>
      <w:r w:rsidRPr="00A84C18">
        <w:rPr>
          <w:rFonts w:ascii="Times New Roman" w:hAnsi="Times New Roman" w:cs="Times New Roman"/>
          <w:sz w:val="24"/>
          <w:szCs w:val="24"/>
        </w:rPr>
        <w:t>R</w:t>
      </w:r>
      <w:r w:rsidR="00191B99" w:rsidRPr="00A84C18">
        <w:rPr>
          <w:rFonts w:ascii="Times New Roman" w:hAnsi="Times New Roman" w:cs="Times New Roman"/>
          <w:sz w:val="24"/>
          <w:szCs w:val="24"/>
        </w:rPr>
        <w:t>eporting</w:t>
      </w:r>
      <w:r w:rsidR="00746ABB">
        <w:rPr>
          <w:rFonts w:ascii="Times New Roman" w:hAnsi="Times New Roman" w:cs="Times New Roman"/>
          <w:sz w:val="24"/>
          <w:szCs w:val="24"/>
        </w:rPr>
        <w:t xml:space="preserve"> (IR)</w:t>
      </w:r>
      <w:r w:rsidR="00191B99" w:rsidRPr="00A84C18">
        <w:rPr>
          <w:rFonts w:ascii="Times New Roman" w:hAnsi="Times New Roman" w:cs="Times New Roman"/>
          <w:sz w:val="24"/>
          <w:szCs w:val="24"/>
        </w:rPr>
        <w:t xml:space="preserve">; Six </w:t>
      </w:r>
      <w:r w:rsidR="00684BF4">
        <w:rPr>
          <w:rFonts w:ascii="Times New Roman" w:hAnsi="Times New Roman" w:cs="Times New Roman"/>
          <w:sz w:val="24"/>
          <w:szCs w:val="24"/>
        </w:rPr>
        <w:t>C</w:t>
      </w:r>
      <w:r w:rsidR="00191B99" w:rsidRPr="00A84C18">
        <w:rPr>
          <w:rFonts w:ascii="Times New Roman" w:hAnsi="Times New Roman" w:cs="Times New Roman"/>
          <w:sz w:val="24"/>
          <w:szCs w:val="24"/>
        </w:rPr>
        <w:t>apitals</w:t>
      </w:r>
      <w:r w:rsidR="00684BF4">
        <w:rPr>
          <w:rFonts w:ascii="Times New Roman" w:hAnsi="Times New Roman" w:cs="Times New Roman"/>
          <w:sz w:val="24"/>
          <w:szCs w:val="24"/>
        </w:rPr>
        <w:t xml:space="preserve"> Index (SCI)</w:t>
      </w:r>
      <w:r w:rsidR="00191B99" w:rsidRPr="00A84C18">
        <w:rPr>
          <w:rFonts w:ascii="Times New Roman" w:hAnsi="Times New Roman" w:cs="Times New Roman"/>
          <w:sz w:val="24"/>
          <w:szCs w:val="24"/>
        </w:rPr>
        <w:t>;</w:t>
      </w:r>
      <w:r w:rsidRPr="00A84C18">
        <w:rPr>
          <w:rFonts w:ascii="Times New Roman" w:hAnsi="Times New Roman" w:cs="Times New Roman"/>
          <w:sz w:val="24"/>
          <w:szCs w:val="24"/>
        </w:rPr>
        <w:t xml:space="preserve"> Seven Guiding Principles</w:t>
      </w:r>
      <w:r w:rsidR="00684BF4">
        <w:rPr>
          <w:rFonts w:ascii="Times New Roman" w:hAnsi="Times New Roman" w:cs="Times New Roman"/>
          <w:sz w:val="24"/>
          <w:szCs w:val="24"/>
        </w:rPr>
        <w:t xml:space="preserve"> (GPI)</w:t>
      </w:r>
      <w:r w:rsidR="00191B99" w:rsidRPr="00A84C18">
        <w:rPr>
          <w:rFonts w:ascii="Times New Roman" w:hAnsi="Times New Roman" w:cs="Times New Roman"/>
          <w:sz w:val="24"/>
          <w:szCs w:val="24"/>
        </w:rPr>
        <w:t>;</w:t>
      </w:r>
      <w:r w:rsidRPr="00A84C18">
        <w:rPr>
          <w:rFonts w:ascii="Times New Roman" w:hAnsi="Times New Roman" w:cs="Times New Roman"/>
          <w:sz w:val="24"/>
          <w:szCs w:val="24"/>
        </w:rPr>
        <w:t xml:space="preserve"> Eight Content Elements</w:t>
      </w:r>
      <w:r w:rsidR="00684BF4">
        <w:rPr>
          <w:rFonts w:ascii="Times New Roman" w:hAnsi="Times New Roman" w:cs="Times New Roman"/>
          <w:sz w:val="24"/>
          <w:szCs w:val="24"/>
        </w:rPr>
        <w:t xml:space="preserve"> (CEI)</w:t>
      </w:r>
      <w:r w:rsidR="00EE3B39">
        <w:rPr>
          <w:rFonts w:ascii="Times New Roman" w:hAnsi="Times New Roman" w:cs="Times New Roman"/>
          <w:sz w:val="24"/>
          <w:szCs w:val="24"/>
        </w:rPr>
        <w:t>;</w:t>
      </w:r>
      <w:r w:rsidR="00684BF4">
        <w:rPr>
          <w:rFonts w:ascii="Times New Roman" w:hAnsi="Times New Roman" w:cs="Times New Roman"/>
          <w:sz w:val="24"/>
          <w:szCs w:val="24"/>
        </w:rPr>
        <w:t xml:space="preserve"> </w:t>
      </w:r>
      <w:r w:rsidR="00746ABB">
        <w:rPr>
          <w:rFonts w:ascii="Times New Roman" w:hAnsi="Times New Roman" w:cs="Times New Roman"/>
          <w:sz w:val="24"/>
          <w:szCs w:val="24"/>
        </w:rPr>
        <w:t>Integrated Reporting Framework Index (IRFI)</w:t>
      </w:r>
      <w:r w:rsidR="001F3AA1">
        <w:rPr>
          <w:rFonts w:ascii="Times New Roman" w:hAnsi="Times New Roman" w:cs="Times New Roman"/>
          <w:sz w:val="24"/>
          <w:szCs w:val="24"/>
        </w:rPr>
        <w:t xml:space="preserve"> and </w:t>
      </w:r>
      <w:r w:rsidR="00746ABB">
        <w:rPr>
          <w:rFonts w:ascii="Times New Roman" w:hAnsi="Times New Roman" w:cs="Times New Roman"/>
          <w:sz w:val="24"/>
          <w:szCs w:val="24"/>
        </w:rPr>
        <w:t>Two Tailed Tes</w:t>
      </w:r>
      <w:r w:rsidR="00841D00">
        <w:rPr>
          <w:rFonts w:ascii="Times New Roman" w:hAnsi="Times New Roman" w:cs="Times New Roman"/>
          <w:sz w:val="24"/>
          <w:szCs w:val="24"/>
        </w:rPr>
        <w:t>t</w:t>
      </w:r>
      <w:r w:rsidR="00746ABB">
        <w:rPr>
          <w:rFonts w:ascii="Times New Roman" w:hAnsi="Times New Roman" w:cs="Times New Roman"/>
          <w:sz w:val="24"/>
          <w:szCs w:val="24"/>
        </w:rPr>
        <w:t xml:space="preserve">. </w:t>
      </w:r>
      <w:r w:rsidR="0047158C">
        <w:rPr>
          <w:rFonts w:ascii="Times New Roman" w:hAnsi="Times New Roman" w:cs="Times New Roman"/>
          <w:sz w:val="24"/>
          <w:szCs w:val="24"/>
        </w:rPr>
        <w:t xml:space="preserve"> </w:t>
      </w:r>
    </w:p>
    <w:p w14:paraId="56A7D0B1" w14:textId="77777777" w:rsidR="00764CA3" w:rsidRPr="00A84C18" w:rsidRDefault="00764CA3" w:rsidP="00C74264">
      <w:pPr>
        <w:spacing w:after="0" w:line="360" w:lineRule="auto"/>
        <w:ind w:right="-23"/>
        <w:jc w:val="both"/>
        <w:rPr>
          <w:rFonts w:ascii="Times New Roman" w:hAnsi="Times New Roman" w:cs="Times New Roman"/>
          <w:b/>
          <w:sz w:val="24"/>
          <w:szCs w:val="24"/>
          <w:lang w:val="en-IN"/>
        </w:rPr>
      </w:pPr>
    </w:p>
    <w:p w14:paraId="7EFDFF0C" w14:textId="77777777" w:rsidR="00C86D78" w:rsidRPr="00A84C18" w:rsidRDefault="003F13FA" w:rsidP="00C74264">
      <w:pPr>
        <w:pStyle w:val="ListParagraph"/>
        <w:numPr>
          <w:ilvl w:val="0"/>
          <w:numId w:val="1"/>
        </w:numPr>
        <w:spacing w:after="0" w:line="360" w:lineRule="auto"/>
        <w:ind w:left="426" w:right="-23"/>
        <w:jc w:val="both"/>
        <w:rPr>
          <w:rFonts w:ascii="Times New Roman" w:hAnsi="Times New Roman" w:cs="Times New Roman"/>
          <w:b/>
          <w:sz w:val="24"/>
          <w:szCs w:val="24"/>
          <w:lang w:val="en-IN"/>
        </w:rPr>
      </w:pPr>
      <w:r w:rsidRPr="00A84C18">
        <w:rPr>
          <w:rFonts w:ascii="Times New Roman" w:hAnsi="Times New Roman" w:cs="Times New Roman"/>
          <w:b/>
          <w:sz w:val="24"/>
          <w:szCs w:val="24"/>
          <w:lang w:val="en-IN"/>
        </w:rPr>
        <w:t>Introduction</w:t>
      </w:r>
    </w:p>
    <w:p w14:paraId="0894C857" w14:textId="53ABF257" w:rsidR="00751B64" w:rsidRDefault="00CF7601" w:rsidP="00C74264">
      <w:pPr>
        <w:spacing w:after="0" w:line="360" w:lineRule="auto"/>
        <w:ind w:right="-23"/>
        <w:jc w:val="both"/>
        <w:rPr>
          <w:rFonts w:ascii="Times New Roman" w:hAnsi="Times New Roman" w:cs="Times New Roman"/>
          <w:sz w:val="24"/>
          <w:szCs w:val="24"/>
        </w:rPr>
      </w:pPr>
      <w:r w:rsidRPr="00A84C18">
        <w:rPr>
          <w:rFonts w:ascii="Times New Roman" w:hAnsi="Times New Roman" w:cs="Times New Roman"/>
          <w:sz w:val="24"/>
          <w:szCs w:val="24"/>
          <w:lang w:val="en-IN"/>
        </w:rPr>
        <w:t>Integrated Reporting (IR) is</w:t>
      </w:r>
      <w:r w:rsidR="001724C4" w:rsidRPr="00A84C18">
        <w:rPr>
          <w:rFonts w:ascii="Times New Roman" w:hAnsi="Times New Roman" w:cs="Times New Roman"/>
          <w:sz w:val="24"/>
          <w:szCs w:val="24"/>
          <w:lang w:val="en-IN"/>
        </w:rPr>
        <w:t xml:space="preserve"> all about communicating information to the ultimate customers in a simple and easy way</w:t>
      </w:r>
      <w:r w:rsidR="000D25D0" w:rsidRPr="00A84C18">
        <w:rPr>
          <w:rFonts w:ascii="Times New Roman" w:hAnsi="Times New Roman" w:cs="Times New Roman"/>
          <w:sz w:val="24"/>
          <w:szCs w:val="24"/>
          <w:lang w:val="en-IN"/>
        </w:rPr>
        <w:t>.</w:t>
      </w:r>
      <w:r w:rsidR="0003454C">
        <w:rPr>
          <w:rFonts w:ascii="Times New Roman" w:hAnsi="Times New Roman" w:cs="Times New Roman"/>
          <w:sz w:val="24"/>
          <w:szCs w:val="24"/>
          <w:lang w:val="en-IN"/>
        </w:rPr>
        <w:t xml:space="preserve"> The </w:t>
      </w:r>
      <w:r w:rsidR="001724C4" w:rsidRPr="00A84C18">
        <w:rPr>
          <w:rFonts w:ascii="Times New Roman" w:hAnsi="Times New Roman" w:cs="Times New Roman"/>
          <w:sz w:val="24"/>
          <w:szCs w:val="24"/>
          <w:lang w:val="en-IN"/>
        </w:rPr>
        <w:t>IR co</w:t>
      </w:r>
      <w:r w:rsidR="000F4964" w:rsidRPr="00A84C18">
        <w:rPr>
          <w:rFonts w:ascii="Times New Roman" w:hAnsi="Times New Roman" w:cs="Times New Roman"/>
          <w:sz w:val="24"/>
          <w:szCs w:val="24"/>
          <w:lang w:val="en-IN"/>
        </w:rPr>
        <w:t xml:space="preserve">ncentrates on </w:t>
      </w:r>
      <w:r w:rsidR="00262DCC" w:rsidRPr="00A84C18">
        <w:rPr>
          <w:rFonts w:ascii="Times New Roman" w:hAnsi="Times New Roman" w:cs="Times New Roman"/>
          <w:sz w:val="24"/>
          <w:szCs w:val="24"/>
          <w:lang w:val="en-IN"/>
        </w:rPr>
        <w:t>conveying</w:t>
      </w:r>
      <w:r w:rsidR="00262DCC">
        <w:rPr>
          <w:rFonts w:ascii="Times New Roman" w:hAnsi="Times New Roman" w:cs="Times New Roman"/>
          <w:sz w:val="24"/>
          <w:szCs w:val="24"/>
          <w:lang w:val="en-IN"/>
        </w:rPr>
        <w:t xml:space="preserve"> </w:t>
      </w:r>
      <w:r w:rsidR="00262DCC" w:rsidRPr="00A84C18">
        <w:rPr>
          <w:rFonts w:ascii="Times New Roman" w:hAnsi="Times New Roman" w:cs="Times New Roman"/>
          <w:sz w:val="24"/>
          <w:szCs w:val="24"/>
          <w:lang w:val="en-IN"/>
        </w:rPr>
        <w:t>company’s</w:t>
      </w:r>
      <w:r w:rsidR="000F4964" w:rsidRPr="00A84C18">
        <w:rPr>
          <w:rFonts w:ascii="Times New Roman" w:hAnsi="Times New Roman" w:cs="Times New Roman"/>
          <w:sz w:val="24"/>
          <w:szCs w:val="24"/>
          <w:lang w:val="en-IN"/>
        </w:rPr>
        <w:t xml:space="preserve"> performance, growth, business strategy, </w:t>
      </w:r>
      <w:r w:rsidR="00BD7B4A" w:rsidRPr="00A84C18">
        <w:rPr>
          <w:rFonts w:ascii="Times New Roman" w:hAnsi="Times New Roman" w:cs="Times New Roman"/>
          <w:sz w:val="24"/>
          <w:szCs w:val="24"/>
          <w:lang w:val="en-IN"/>
        </w:rPr>
        <w:t>business governance</w:t>
      </w:r>
      <w:r w:rsidR="000F4964" w:rsidRPr="00A84C18">
        <w:rPr>
          <w:rFonts w:ascii="Times New Roman" w:hAnsi="Times New Roman" w:cs="Times New Roman"/>
          <w:sz w:val="24"/>
          <w:szCs w:val="24"/>
          <w:lang w:val="en-IN"/>
        </w:rPr>
        <w:t>, business operations and future plans</w:t>
      </w:r>
      <w:r w:rsidR="001724C4" w:rsidRPr="00A84C18">
        <w:rPr>
          <w:rFonts w:ascii="Times New Roman" w:hAnsi="Times New Roman" w:cs="Times New Roman"/>
          <w:sz w:val="24"/>
          <w:szCs w:val="24"/>
          <w:lang w:val="en-IN"/>
        </w:rPr>
        <w:t xml:space="preserve"> th</w:t>
      </w:r>
      <w:r w:rsidR="002E3208">
        <w:rPr>
          <w:rFonts w:ascii="Times New Roman" w:hAnsi="Times New Roman" w:cs="Times New Roman"/>
          <w:sz w:val="24"/>
          <w:szCs w:val="24"/>
          <w:lang w:val="en-IN"/>
        </w:rPr>
        <w:t>rough prospects</w:t>
      </w:r>
      <w:r w:rsidR="0003454C">
        <w:rPr>
          <w:rFonts w:ascii="Times New Roman" w:hAnsi="Times New Roman" w:cs="Times New Roman"/>
          <w:sz w:val="24"/>
          <w:szCs w:val="24"/>
          <w:lang w:val="en-IN"/>
        </w:rPr>
        <w:t xml:space="preserve"> </w:t>
      </w:r>
      <w:r w:rsidR="0003454C" w:rsidRPr="00A84C18">
        <w:rPr>
          <w:rFonts w:ascii="Times New Roman" w:hAnsi="Times New Roman" w:cs="Times New Roman"/>
          <w:sz w:val="24"/>
          <w:szCs w:val="24"/>
        </w:rPr>
        <w:t>(IIRC 2013)</w:t>
      </w:r>
      <w:r w:rsidR="002E3208">
        <w:rPr>
          <w:rFonts w:ascii="Times New Roman" w:hAnsi="Times New Roman" w:cs="Times New Roman"/>
          <w:sz w:val="24"/>
          <w:szCs w:val="24"/>
          <w:lang w:val="en-IN"/>
        </w:rPr>
        <w:t xml:space="preserve">. In the same way IR provide two sets of reports </w:t>
      </w:r>
      <w:r w:rsidR="00173D74">
        <w:rPr>
          <w:rFonts w:ascii="Times New Roman" w:hAnsi="Times New Roman" w:cs="Times New Roman"/>
          <w:sz w:val="24"/>
          <w:szCs w:val="24"/>
          <w:lang w:val="en-IN"/>
        </w:rPr>
        <w:t>i.e.,</w:t>
      </w:r>
      <w:r w:rsidR="00AC4328">
        <w:rPr>
          <w:rFonts w:ascii="Times New Roman" w:hAnsi="Times New Roman" w:cs="Times New Roman"/>
          <w:sz w:val="24"/>
          <w:szCs w:val="24"/>
          <w:lang w:val="en-IN"/>
        </w:rPr>
        <w:t xml:space="preserve"> </w:t>
      </w:r>
      <w:r w:rsidR="000F4964" w:rsidRPr="00A84C18">
        <w:rPr>
          <w:rFonts w:ascii="Times New Roman" w:hAnsi="Times New Roman" w:cs="Times New Roman"/>
          <w:sz w:val="24"/>
          <w:szCs w:val="24"/>
          <w:lang w:val="en-IN"/>
        </w:rPr>
        <w:t>financial and non-</w:t>
      </w:r>
      <w:r w:rsidR="000F4964" w:rsidRPr="00A84C18">
        <w:rPr>
          <w:rFonts w:ascii="Times New Roman" w:hAnsi="Times New Roman" w:cs="Times New Roman"/>
          <w:sz w:val="24"/>
          <w:szCs w:val="24"/>
          <w:lang w:val="en-IN"/>
        </w:rPr>
        <w:lastRenderedPageBreak/>
        <w:t>financial reports</w:t>
      </w:r>
      <w:r w:rsidR="002E3208">
        <w:rPr>
          <w:rFonts w:ascii="Times New Roman" w:hAnsi="Times New Roman" w:cs="Times New Roman"/>
          <w:sz w:val="24"/>
          <w:szCs w:val="24"/>
          <w:lang w:val="en-IN"/>
        </w:rPr>
        <w:t xml:space="preserve"> </w:t>
      </w:r>
      <w:r w:rsidR="00BD7B4A" w:rsidRPr="00A84C18">
        <w:rPr>
          <w:rFonts w:ascii="Times New Roman" w:hAnsi="Times New Roman" w:cs="Times New Roman"/>
          <w:sz w:val="24"/>
          <w:szCs w:val="24"/>
          <w:lang w:val="en-IN"/>
        </w:rPr>
        <w:t xml:space="preserve">to the external </w:t>
      </w:r>
      <w:r w:rsidR="00173D74" w:rsidRPr="00A84C18">
        <w:rPr>
          <w:rFonts w:ascii="Times New Roman" w:hAnsi="Times New Roman" w:cs="Times New Roman"/>
          <w:sz w:val="24"/>
          <w:szCs w:val="24"/>
          <w:lang w:val="en-IN"/>
        </w:rPr>
        <w:t>stakeholders</w:t>
      </w:r>
      <w:r w:rsidR="00BD7B4A" w:rsidRPr="00A84C18">
        <w:rPr>
          <w:rFonts w:ascii="Times New Roman" w:hAnsi="Times New Roman" w:cs="Times New Roman"/>
          <w:sz w:val="24"/>
          <w:szCs w:val="24"/>
          <w:lang w:val="en-IN"/>
        </w:rPr>
        <w:t xml:space="preserve"> </w:t>
      </w:r>
      <w:r w:rsidR="001724C4" w:rsidRPr="00A84C18">
        <w:rPr>
          <w:rFonts w:ascii="Times New Roman" w:hAnsi="Times New Roman" w:cs="Times New Roman"/>
          <w:sz w:val="24"/>
          <w:szCs w:val="24"/>
          <w:lang w:val="en-IN"/>
        </w:rPr>
        <w:t>of business environment</w:t>
      </w:r>
      <w:r w:rsidR="000D25D0" w:rsidRPr="00A84C18">
        <w:rPr>
          <w:rFonts w:ascii="Times New Roman" w:hAnsi="Times New Roman" w:cs="Times New Roman"/>
          <w:sz w:val="24"/>
          <w:szCs w:val="24"/>
          <w:lang w:val="en-IN"/>
        </w:rPr>
        <w:t>. Therefore,</w:t>
      </w:r>
      <w:r w:rsidR="001724C4" w:rsidRPr="00A84C18">
        <w:rPr>
          <w:rFonts w:ascii="Times New Roman" w:hAnsi="Times New Roman" w:cs="Times New Roman"/>
          <w:sz w:val="24"/>
          <w:szCs w:val="24"/>
          <w:lang w:val="en-IN"/>
        </w:rPr>
        <w:t xml:space="preserve"> value for business is created in differen</w:t>
      </w:r>
      <w:r w:rsidRPr="00A84C18">
        <w:rPr>
          <w:rFonts w:ascii="Times New Roman" w:hAnsi="Times New Roman" w:cs="Times New Roman"/>
          <w:sz w:val="24"/>
          <w:szCs w:val="24"/>
          <w:lang w:val="en-IN"/>
        </w:rPr>
        <w:t xml:space="preserve">t possible manner. </w:t>
      </w:r>
      <w:r w:rsidR="0003454C">
        <w:rPr>
          <w:rFonts w:ascii="Times New Roman" w:hAnsi="Times New Roman" w:cs="Times New Roman"/>
          <w:sz w:val="24"/>
          <w:szCs w:val="24"/>
          <w:lang w:val="en-IN"/>
        </w:rPr>
        <w:t xml:space="preserve">The </w:t>
      </w:r>
      <w:r w:rsidR="001724C4" w:rsidRPr="00A84C18">
        <w:rPr>
          <w:rFonts w:ascii="Times New Roman" w:hAnsi="Times New Roman" w:cs="Times New Roman"/>
          <w:sz w:val="24"/>
          <w:szCs w:val="24"/>
        </w:rPr>
        <w:t>IR can be described as: “a process on integrated thinking that results in a periodic integrated report by an organization about value creation over time and related communications rega</w:t>
      </w:r>
      <w:r w:rsidR="00230253" w:rsidRPr="00A84C18">
        <w:rPr>
          <w:rFonts w:ascii="Times New Roman" w:hAnsi="Times New Roman" w:cs="Times New Roman"/>
          <w:sz w:val="24"/>
          <w:szCs w:val="24"/>
        </w:rPr>
        <w:t>rding aspects of value creation</w:t>
      </w:r>
      <w:r w:rsidR="001724C4" w:rsidRPr="00A84C18">
        <w:rPr>
          <w:rFonts w:ascii="Times New Roman" w:hAnsi="Times New Roman" w:cs="Times New Roman"/>
          <w:sz w:val="24"/>
          <w:szCs w:val="24"/>
        </w:rPr>
        <w:t>” (I</w:t>
      </w:r>
      <w:r w:rsidR="00BD7B4A" w:rsidRPr="00A84C18">
        <w:rPr>
          <w:rFonts w:ascii="Times New Roman" w:hAnsi="Times New Roman" w:cs="Times New Roman"/>
          <w:sz w:val="24"/>
          <w:szCs w:val="24"/>
        </w:rPr>
        <w:t>I</w:t>
      </w:r>
      <w:r w:rsidR="001724C4" w:rsidRPr="00A84C18">
        <w:rPr>
          <w:rFonts w:ascii="Times New Roman" w:hAnsi="Times New Roman" w:cs="Times New Roman"/>
          <w:sz w:val="24"/>
          <w:szCs w:val="24"/>
        </w:rPr>
        <w:t>R</w:t>
      </w:r>
      <w:r w:rsidR="00BD7B4A" w:rsidRPr="00A84C18">
        <w:rPr>
          <w:rFonts w:ascii="Times New Roman" w:hAnsi="Times New Roman" w:cs="Times New Roman"/>
          <w:sz w:val="24"/>
          <w:szCs w:val="24"/>
        </w:rPr>
        <w:t xml:space="preserve">C </w:t>
      </w:r>
      <w:r w:rsidR="00B0359B" w:rsidRPr="00A84C18">
        <w:rPr>
          <w:rFonts w:ascii="Times New Roman" w:hAnsi="Times New Roman" w:cs="Times New Roman"/>
          <w:sz w:val="24"/>
          <w:szCs w:val="24"/>
        </w:rPr>
        <w:t>2013</w:t>
      </w:r>
      <w:r w:rsidR="001724C4" w:rsidRPr="00A84C18">
        <w:rPr>
          <w:rFonts w:ascii="Times New Roman" w:hAnsi="Times New Roman" w:cs="Times New Roman"/>
          <w:sz w:val="24"/>
          <w:szCs w:val="24"/>
        </w:rPr>
        <w:t>).</w:t>
      </w:r>
      <w:r w:rsidR="00CB57AD">
        <w:rPr>
          <w:rFonts w:ascii="Times New Roman" w:hAnsi="Times New Roman" w:cs="Times New Roman"/>
          <w:sz w:val="24"/>
          <w:szCs w:val="24"/>
        </w:rPr>
        <w:t xml:space="preserve"> For value </w:t>
      </w:r>
      <w:r w:rsidR="00173D74">
        <w:rPr>
          <w:rFonts w:ascii="Times New Roman" w:hAnsi="Times New Roman" w:cs="Times New Roman"/>
          <w:sz w:val="24"/>
          <w:szCs w:val="24"/>
        </w:rPr>
        <w:t>generation,</w:t>
      </w:r>
      <w:r w:rsidR="00173D74" w:rsidRPr="00A84C18">
        <w:rPr>
          <w:rFonts w:ascii="Times New Roman" w:hAnsi="Times New Roman" w:cs="Times New Roman"/>
          <w:sz w:val="24"/>
          <w:szCs w:val="24"/>
        </w:rPr>
        <w:t xml:space="preserve"> business</w:t>
      </w:r>
      <w:r w:rsidR="00C23599" w:rsidRPr="00A84C18">
        <w:rPr>
          <w:rFonts w:ascii="Times New Roman" w:hAnsi="Times New Roman" w:cs="Times New Roman"/>
          <w:sz w:val="24"/>
          <w:szCs w:val="24"/>
        </w:rPr>
        <w:t xml:space="preserve"> firms can use internal and external resources along with proposed six capitals. </w:t>
      </w:r>
      <w:r w:rsidR="000D25D0" w:rsidRPr="00A84C18">
        <w:rPr>
          <w:rFonts w:ascii="Times New Roman" w:hAnsi="Times New Roman" w:cs="Times New Roman"/>
          <w:sz w:val="24"/>
          <w:szCs w:val="24"/>
        </w:rPr>
        <w:t>T</w:t>
      </w:r>
      <w:r w:rsidR="00CB57AD">
        <w:rPr>
          <w:rFonts w:ascii="Times New Roman" w:hAnsi="Times New Roman" w:cs="Times New Roman"/>
          <w:sz w:val="24"/>
          <w:szCs w:val="24"/>
        </w:rPr>
        <w:t>hus</w:t>
      </w:r>
      <w:r w:rsidR="00CB57AD" w:rsidRPr="004E736F">
        <w:rPr>
          <w:rFonts w:ascii="Times New Roman" w:hAnsi="Times New Roman" w:cs="Times New Roman"/>
          <w:sz w:val="24"/>
          <w:szCs w:val="24"/>
        </w:rPr>
        <w:t xml:space="preserve">, </w:t>
      </w:r>
      <w:r w:rsidR="004E736F">
        <w:rPr>
          <w:rFonts w:ascii="Times New Roman" w:hAnsi="Times New Roman" w:cs="Times New Roman"/>
          <w:sz w:val="24"/>
          <w:szCs w:val="24"/>
        </w:rPr>
        <w:t xml:space="preserve">the </w:t>
      </w:r>
      <w:r w:rsidR="001724C4" w:rsidRPr="004E736F">
        <w:rPr>
          <w:rFonts w:ascii="Times New Roman" w:hAnsi="Times New Roman" w:cs="Times New Roman"/>
          <w:sz w:val="24"/>
          <w:szCs w:val="24"/>
        </w:rPr>
        <w:t>main focus</w:t>
      </w:r>
      <w:r w:rsidR="00CB57AD" w:rsidRPr="004E736F">
        <w:rPr>
          <w:rFonts w:ascii="Times New Roman" w:hAnsi="Times New Roman" w:cs="Times New Roman"/>
          <w:sz w:val="24"/>
          <w:szCs w:val="24"/>
        </w:rPr>
        <w:t xml:space="preserve"> of IR</w:t>
      </w:r>
      <w:r w:rsidR="001724C4" w:rsidRPr="00A84C18">
        <w:rPr>
          <w:rFonts w:ascii="Times New Roman" w:hAnsi="Times New Roman" w:cs="Times New Roman"/>
          <w:sz w:val="24"/>
          <w:szCs w:val="24"/>
        </w:rPr>
        <w:t xml:space="preserve"> is to provide proper guidelines about t</w:t>
      </w:r>
      <w:r w:rsidR="00F2661E">
        <w:rPr>
          <w:rFonts w:ascii="Times New Roman" w:hAnsi="Times New Roman" w:cs="Times New Roman"/>
          <w:sz w:val="24"/>
          <w:szCs w:val="24"/>
        </w:rPr>
        <w:t>he environment which may affect</w:t>
      </w:r>
      <w:r w:rsidR="001724C4" w:rsidRPr="00A84C18">
        <w:rPr>
          <w:rFonts w:ascii="Times New Roman" w:hAnsi="Times New Roman" w:cs="Times New Roman"/>
          <w:sz w:val="24"/>
          <w:szCs w:val="24"/>
        </w:rPr>
        <w:t xml:space="preserve"> the organization culture, traditions, resources and relationship as these are collectively in the part of IR Framework, which includes different capitals like financial capital, manufactured capital, intellectual capital, human capital, </w:t>
      </w:r>
      <w:r w:rsidR="004E736F" w:rsidRPr="004E736F">
        <w:rPr>
          <w:rFonts w:ascii="Times New Roman" w:hAnsi="Times New Roman" w:cs="Times New Roman"/>
          <w:sz w:val="24"/>
          <w:szCs w:val="24"/>
        </w:rPr>
        <w:t xml:space="preserve">natural capitals and </w:t>
      </w:r>
      <w:r w:rsidR="001724C4" w:rsidRPr="004E736F">
        <w:rPr>
          <w:rFonts w:ascii="Times New Roman" w:hAnsi="Times New Roman" w:cs="Times New Roman"/>
          <w:sz w:val="24"/>
          <w:szCs w:val="24"/>
        </w:rPr>
        <w:t>social and relationship capital</w:t>
      </w:r>
      <w:r w:rsidR="001C5ECE">
        <w:rPr>
          <w:rFonts w:ascii="Times New Roman" w:hAnsi="Times New Roman" w:cs="Times New Roman"/>
          <w:sz w:val="24"/>
          <w:szCs w:val="24"/>
        </w:rPr>
        <w:t xml:space="preserve"> </w:t>
      </w:r>
      <w:r w:rsidR="00B0359B" w:rsidRPr="00A84C18">
        <w:rPr>
          <w:rFonts w:ascii="Times New Roman" w:hAnsi="Times New Roman" w:cs="Times New Roman"/>
          <w:sz w:val="24"/>
          <w:szCs w:val="24"/>
        </w:rPr>
        <w:t>(IIRC 2011</w:t>
      </w:r>
      <w:r w:rsidR="001724C4" w:rsidRPr="00A84C18">
        <w:rPr>
          <w:rFonts w:ascii="Times New Roman" w:hAnsi="Times New Roman" w:cs="Times New Roman"/>
          <w:sz w:val="24"/>
          <w:szCs w:val="24"/>
        </w:rPr>
        <w:t xml:space="preserve">). IR has laid down its </w:t>
      </w:r>
      <w:r w:rsidR="00C23599" w:rsidRPr="00A84C18">
        <w:rPr>
          <w:rFonts w:ascii="Times New Roman" w:hAnsi="Times New Roman" w:cs="Times New Roman"/>
          <w:sz w:val="24"/>
          <w:szCs w:val="24"/>
        </w:rPr>
        <w:t xml:space="preserve">guiding </w:t>
      </w:r>
      <w:r w:rsidR="001724C4" w:rsidRPr="00A84C18">
        <w:rPr>
          <w:rFonts w:ascii="Times New Roman" w:hAnsi="Times New Roman" w:cs="Times New Roman"/>
          <w:sz w:val="24"/>
          <w:szCs w:val="24"/>
        </w:rPr>
        <w:t xml:space="preserve">principles, </w:t>
      </w:r>
      <w:r w:rsidR="00C23599" w:rsidRPr="00A84C18">
        <w:rPr>
          <w:rFonts w:ascii="Times New Roman" w:hAnsi="Times New Roman" w:cs="Times New Roman"/>
          <w:sz w:val="24"/>
          <w:szCs w:val="24"/>
        </w:rPr>
        <w:t xml:space="preserve">content </w:t>
      </w:r>
      <w:r w:rsidR="001724C4" w:rsidRPr="00A84C18">
        <w:rPr>
          <w:rFonts w:ascii="Times New Roman" w:hAnsi="Times New Roman" w:cs="Times New Roman"/>
          <w:sz w:val="24"/>
          <w:szCs w:val="24"/>
        </w:rPr>
        <w:t xml:space="preserve">elements </w:t>
      </w:r>
      <w:r w:rsidR="00C23599" w:rsidRPr="00A84C18">
        <w:rPr>
          <w:rFonts w:ascii="Times New Roman" w:hAnsi="Times New Roman" w:cs="Times New Roman"/>
          <w:sz w:val="24"/>
          <w:szCs w:val="24"/>
        </w:rPr>
        <w:t xml:space="preserve">in </w:t>
      </w:r>
      <w:r w:rsidR="00081E60" w:rsidRPr="00A84C18">
        <w:rPr>
          <w:rFonts w:ascii="Times New Roman" w:hAnsi="Times New Roman" w:cs="Times New Roman"/>
          <w:sz w:val="24"/>
          <w:szCs w:val="24"/>
        </w:rPr>
        <w:t>its</w:t>
      </w:r>
      <w:r w:rsidR="00C23599" w:rsidRPr="00A84C18">
        <w:rPr>
          <w:rFonts w:ascii="Times New Roman" w:hAnsi="Times New Roman" w:cs="Times New Roman"/>
          <w:sz w:val="24"/>
          <w:szCs w:val="24"/>
        </w:rPr>
        <w:t xml:space="preserve"> framework </w:t>
      </w:r>
      <w:r w:rsidR="001724C4" w:rsidRPr="00A84C18">
        <w:rPr>
          <w:rFonts w:ascii="Times New Roman" w:hAnsi="Times New Roman" w:cs="Times New Roman"/>
          <w:sz w:val="24"/>
          <w:szCs w:val="24"/>
        </w:rPr>
        <w:t>not by its own but rather</w:t>
      </w:r>
      <w:r w:rsidR="000D25D0" w:rsidRPr="00A84C18">
        <w:rPr>
          <w:rFonts w:ascii="Times New Roman" w:hAnsi="Times New Roman" w:cs="Times New Roman"/>
          <w:sz w:val="24"/>
          <w:szCs w:val="24"/>
        </w:rPr>
        <w:t>,</w:t>
      </w:r>
      <w:r w:rsidR="001724C4" w:rsidRPr="00A84C18">
        <w:rPr>
          <w:rFonts w:ascii="Times New Roman" w:hAnsi="Times New Roman" w:cs="Times New Roman"/>
          <w:sz w:val="24"/>
          <w:szCs w:val="24"/>
        </w:rPr>
        <w:t xml:space="preserve"> it has adopted these things through discussion papers, corporate people, and from governing bodies like Global Reporting Initiatives (GRI), for maintaining sustainability in the </w:t>
      </w:r>
      <w:r w:rsidR="006E4DD3" w:rsidRPr="00A84C18">
        <w:rPr>
          <w:rFonts w:ascii="Times New Roman" w:hAnsi="Times New Roman" w:cs="Times New Roman"/>
          <w:sz w:val="24"/>
          <w:szCs w:val="24"/>
        </w:rPr>
        <w:t>organization</w:t>
      </w:r>
      <w:r w:rsidR="006E4DD3">
        <w:rPr>
          <w:rFonts w:ascii="Times New Roman" w:hAnsi="Times New Roman" w:cs="Times New Roman"/>
          <w:sz w:val="24"/>
          <w:szCs w:val="24"/>
        </w:rPr>
        <w:t xml:space="preserve">, </w:t>
      </w:r>
      <w:r w:rsidR="006E4DD3" w:rsidRPr="00A84C18">
        <w:rPr>
          <w:rFonts w:ascii="Times New Roman" w:hAnsi="Times New Roman" w:cs="Times New Roman"/>
          <w:sz w:val="24"/>
          <w:szCs w:val="24"/>
        </w:rPr>
        <w:t>IR</w:t>
      </w:r>
      <w:r w:rsidR="001724C4" w:rsidRPr="00A84C18">
        <w:rPr>
          <w:rFonts w:ascii="Times New Roman" w:hAnsi="Times New Roman" w:cs="Times New Roman"/>
          <w:sz w:val="24"/>
          <w:szCs w:val="24"/>
        </w:rPr>
        <w:t xml:space="preserve"> has b</w:t>
      </w:r>
      <w:r w:rsidR="00820CCA">
        <w:rPr>
          <w:rFonts w:ascii="Times New Roman" w:hAnsi="Times New Roman" w:cs="Times New Roman"/>
          <w:sz w:val="24"/>
          <w:szCs w:val="24"/>
        </w:rPr>
        <w:t xml:space="preserve">orrowed few standards from The </w:t>
      </w:r>
      <w:r w:rsidR="00820CCA" w:rsidRPr="0060303A">
        <w:rPr>
          <w:rFonts w:ascii="Times New Roman" w:hAnsi="Times New Roman" w:cs="Times New Roman"/>
          <w:sz w:val="24"/>
          <w:szCs w:val="24"/>
        </w:rPr>
        <w:t>W</w:t>
      </w:r>
      <w:r w:rsidR="001724C4" w:rsidRPr="00A84C18">
        <w:rPr>
          <w:rFonts w:ascii="Times New Roman" w:hAnsi="Times New Roman" w:cs="Times New Roman"/>
          <w:sz w:val="24"/>
          <w:szCs w:val="24"/>
        </w:rPr>
        <w:t>orld Business Council for Sustainable Development (Ghosh</w:t>
      </w:r>
      <w:r w:rsidR="004F4B04" w:rsidRPr="00A84C18">
        <w:rPr>
          <w:rFonts w:ascii="Times New Roman" w:hAnsi="Times New Roman" w:cs="Times New Roman"/>
          <w:sz w:val="24"/>
          <w:szCs w:val="24"/>
        </w:rPr>
        <w:t xml:space="preserve">, </w:t>
      </w:r>
      <w:r w:rsidR="001724C4" w:rsidRPr="00A84C18">
        <w:rPr>
          <w:rFonts w:ascii="Times New Roman" w:hAnsi="Times New Roman" w:cs="Times New Roman"/>
          <w:sz w:val="24"/>
          <w:szCs w:val="24"/>
        </w:rPr>
        <w:t>2019).</w:t>
      </w:r>
    </w:p>
    <w:p w14:paraId="067CD11F" w14:textId="2C5F9BE0" w:rsidR="00D35A3A" w:rsidRDefault="00D35A3A" w:rsidP="00D35A3A">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t>After the introduction of IR, the style and pattern of reporting has completely changed, the IR concept was proposed by King III, under the code of corporate governance</w:t>
      </w:r>
      <w:r>
        <w:rPr>
          <w:rFonts w:ascii="Times New Roman" w:hAnsi="Times New Roman" w:cs="Times New Roman"/>
          <w:sz w:val="24"/>
          <w:szCs w:val="24"/>
        </w:rPr>
        <w:t xml:space="preserve">. The </w:t>
      </w:r>
      <w:r w:rsidRPr="00A84C18">
        <w:rPr>
          <w:rFonts w:ascii="Times New Roman" w:hAnsi="Times New Roman" w:cs="Times New Roman"/>
          <w:sz w:val="24"/>
          <w:szCs w:val="24"/>
        </w:rPr>
        <w:t xml:space="preserve">South Africa was first nation to adopt and implement IR Framework </w:t>
      </w:r>
      <w:r>
        <w:rPr>
          <w:rFonts w:ascii="Times New Roman" w:hAnsi="Times New Roman" w:cs="Times New Roman"/>
          <w:sz w:val="24"/>
          <w:szCs w:val="24"/>
        </w:rPr>
        <w:t xml:space="preserve">on </w:t>
      </w:r>
      <w:r w:rsidRPr="00A84C18">
        <w:rPr>
          <w:rFonts w:ascii="Times New Roman" w:hAnsi="Times New Roman" w:cs="Times New Roman"/>
          <w:sz w:val="24"/>
          <w:szCs w:val="24"/>
        </w:rPr>
        <w:t xml:space="preserve">compulsory </w:t>
      </w:r>
      <w:r>
        <w:rPr>
          <w:rFonts w:ascii="Times New Roman" w:hAnsi="Times New Roman" w:cs="Times New Roman"/>
          <w:sz w:val="24"/>
          <w:szCs w:val="24"/>
        </w:rPr>
        <w:t xml:space="preserve">basis </w:t>
      </w:r>
      <w:r w:rsidRPr="00A84C18">
        <w:rPr>
          <w:rFonts w:ascii="Times New Roman" w:hAnsi="Times New Roman" w:cs="Times New Roman"/>
          <w:sz w:val="24"/>
          <w:szCs w:val="24"/>
        </w:rPr>
        <w:t>for all the listed</w:t>
      </w:r>
      <w:r>
        <w:rPr>
          <w:rFonts w:ascii="Times New Roman" w:hAnsi="Times New Roman" w:cs="Times New Roman"/>
          <w:sz w:val="24"/>
          <w:szCs w:val="24"/>
        </w:rPr>
        <w:t xml:space="preserve"> companies</w:t>
      </w:r>
      <w:r w:rsidRPr="00A84C18">
        <w:rPr>
          <w:rFonts w:ascii="Times New Roman" w:hAnsi="Times New Roman" w:cs="Times New Roman"/>
          <w:sz w:val="24"/>
          <w:szCs w:val="24"/>
        </w:rPr>
        <w:t xml:space="preserve"> in the Johannesburg Stock Exchange</w:t>
      </w:r>
      <w:r>
        <w:rPr>
          <w:rFonts w:ascii="Times New Roman" w:hAnsi="Times New Roman" w:cs="Times New Roman"/>
          <w:sz w:val="24"/>
          <w:szCs w:val="24"/>
        </w:rPr>
        <w:t xml:space="preserve"> (JSE). I</w:t>
      </w:r>
      <w:r w:rsidRPr="00A84C18">
        <w:rPr>
          <w:rFonts w:ascii="Times New Roman" w:hAnsi="Times New Roman" w:cs="Times New Roman"/>
          <w:sz w:val="24"/>
          <w:szCs w:val="24"/>
        </w:rPr>
        <w:t xml:space="preserve">f not, </w:t>
      </w:r>
      <w:r>
        <w:rPr>
          <w:rFonts w:ascii="Times New Roman" w:hAnsi="Times New Roman" w:cs="Times New Roman"/>
          <w:sz w:val="24"/>
          <w:szCs w:val="24"/>
        </w:rPr>
        <w:t xml:space="preserve">the </w:t>
      </w:r>
      <w:r w:rsidRPr="00A84C18">
        <w:rPr>
          <w:rFonts w:ascii="Times New Roman" w:hAnsi="Times New Roman" w:cs="Times New Roman"/>
          <w:sz w:val="24"/>
          <w:szCs w:val="24"/>
        </w:rPr>
        <w:t>companies need to give proper explanation for not disclosing IR</w:t>
      </w:r>
      <w:r>
        <w:rPr>
          <w:rFonts w:ascii="Times New Roman" w:hAnsi="Times New Roman" w:cs="Times New Roman"/>
          <w:sz w:val="24"/>
          <w:szCs w:val="24"/>
        </w:rPr>
        <w:t xml:space="preserve"> in their annual reports. </w:t>
      </w:r>
      <w:r w:rsidRPr="00A84C18">
        <w:rPr>
          <w:rFonts w:ascii="Times New Roman" w:hAnsi="Times New Roman" w:cs="Times New Roman"/>
          <w:sz w:val="24"/>
          <w:szCs w:val="24"/>
        </w:rPr>
        <w:t>(IRCSA, 2011).</w:t>
      </w:r>
      <w:r>
        <w:rPr>
          <w:rFonts w:ascii="Times New Roman" w:hAnsi="Times New Roman" w:cs="Times New Roman"/>
          <w:sz w:val="24"/>
          <w:szCs w:val="24"/>
        </w:rPr>
        <w:t xml:space="preserve"> T</w:t>
      </w:r>
      <w:r w:rsidRPr="00A84C18">
        <w:rPr>
          <w:rFonts w:ascii="Times New Roman" w:hAnsi="Times New Roman" w:cs="Times New Roman"/>
          <w:sz w:val="24"/>
          <w:szCs w:val="24"/>
        </w:rPr>
        <w:t>he fundamental concepts of IR are re</w:t>
      </w:r>
      <w:r>
        <w:rPr>
          <w:rFonts w:ascii="Times New Roman" w:hAnsi="Times New Roman" w:cs="Times New Roman"/>
          <w:sz w:val="24"/>
          <w:szCs w:val="24"/>
        </w:rPr>
        <w:t>presented by three aspects they</w:t>
      </w:r>
      <w:r w:rsidRPr="00A84C18">
        <w:rPr>
          <w:rFonts w:ascii="Times New Roman" w:hAnsi="Times New Roman" w:cs="Times New Roman"/>
          <w:sz w:val="24"/>
          <w:szCs w:val="24"/>
        </w:rPr>
        <w:t xml:space="preserve"> are (1) the six capitals and their impact on an organization (2) the organization’s business model and (3) the creation of value over time (IIRC 2013).</w:t>
      </w:r>
    </w:p>
    <w:p w14:paraId="6AEB9C9D" w14:textId="7E02063F" w:rsidR="006877B3" w:rsidRDefault="006877B3" w:rsidP="00D35A3A">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t>The process of IR framework ha</w:t>
      </w:r>
      <w:r w:rsidR="00CB6F92">
        <w:rPr>
          <w:rFonts w:ascii="Times New Roman" w:hAnsi="Times New Roman" w:cs="Times New Roman"/>
          <w:sz w:val="24"/>
          <w:szCs w:val="24"/>
        </w:rPr>
        <w:t xml:space="preserve">s </w:t>
      </w:r>
      <w:r w:rsidRPr="00A84C18">
        <w:rPr>
          <w:rFonts w:ascii="Times New Roman" w:hAnsi="Times New Roman" w:cs="Times New Roman"/>
          <w:sz w:val="24"/>
          <w:szCs w:val="24"/>
        </w:rPr>
        <w:t>taken several lawyers for its inception, modifications and final approval</w:t>
      </w:r>
      <w:r w:rsidR="00BC0A92">
        <w:rPr>
          <w:rFonts w:ascii="Times New Roman" w:hAnsi="Times New Roman" w:cs="Times New Roman"/>
          <w:sz w:val="24"/>
          <w:szCs w:val="24"/>
        </w:rPr>
        <w:t>. The proposal</w:t>
      </w:r>
      <w:r w:rsidRPr="00A84C18">
        <w:rPr>
          <w:rFonts w:ascii="Times New Roman" w:hAnsi="Times New Roman" w:cs="Times New Roman"/>
          <w:sz w:val="24"/>
          <w:szCs w:val="24"/>
        </w:rPr>
        <w:t xml:space="preserve"> just started with the presentation of workshops, model research </w:t>
      </w:r>
      <w:r w:rsidR="00BC0A92">
        <w:rPr>
          <w:rFonts w:ascii="Times New Roman" w:hAnsi="Times New Roman" w:cs="Times New Roman"/>
          <w:sz w:val="24"/>
          <w:szCs w:val="24"/>
        </w:rPr>
        <w:t>presentations</w:t>
      </w:r>
      <w:r w:rsidRPr="00A84C18">
        <w:rPr>
          <w:rFonts w:ascii="Times New Roman" w:hAnsi="Times New Roman" w:cs="Times New Roman"/>
          <w:sz w:val="24"/>
          <w:szCs w:val="24"/>
        </w:rPr>
        <w:t>, conference</w:t>
      </w:r>
      <w:r w:rsidR="00AA5062">
        <w:rPr>
          <w:rFonts w:ascii="Times New Roman" w:hAnsi="Times New Roman" w:cs="Times New Roman"/>
          <w:sz w:val="24"/>
          <w:szCs w:val="24"/>
        </w:rPr>
        <w:t xml:space="preserve">s, </w:t>
      </w:r>
      <w:r w:rsidRPr="00A84C18">
        <w:rPr>
          <w:rFonts w:ascii="Times New Roman" w:hAnsi="Times New Roman" w:cs="Times New Roman"/>
          <w:sz w:val="24"/>
          <w:szCs w:val="24"/>
        </w:rPr>
        <w:t>submitted papers emphasizing on IR history, framework committee, content that involved, benefits from adoption of IR, challenges that has to be faced in future and its value relevance model for business (De Villiers et al, 2014; Adams, 2015) and then the case study research from KPMG, PwC and other research scholars have done their part for disclosure mechanism, models for early adopter of IR (Janek et al, 2016). Finally, Content analysis of IR aims</w:t>
      </w:r>
      <w:r>
        <w:rPr>
          <w:rFonts w:ascii="Times New Roman" w:hAnsi="Times New Roman" w:cs="Times New Roman"/>
          <w:sz w:val="24"/>
          <w:szCs w:val="24"/>
        </w:rPr>
        <w:t xml:space="preserve"> </w:t>
      </w:r>
      <w:r w:rsidRPr="00A84C18">
        <w:rPr>
          <w:rFonts w:ascii="Times New Roman" w:hAnsi="Times New Roman" w:cs="Times New Roman"/>
          <w:sz w:val="24"/>
          <w:szCs w:val="24"/>
        </w:rPr>
        <w:t xml:space="preserve">to find out framing different levels of guidelines (Adams et al, 2016). </w:t>
      </w:r>
    </w:p>
    <w:p w14:paraId="712E6D03" w14:textId="09C31427" w:rsidR="001724C4" w:rsidRDefault="00751B64" w:rsidP="00C74264">
      <w:pPr>
        <w:spacing w:after="0" w:line="360" w:lineRule="auto"/>
        <w:ind w:right="-23"/>
        <w:jc w:val="both"/>
        <w:rPr>
          <w:rFonts w:ascii="Times New Roman" w:hAnsi="Times New Roman" w:cs="Times New Roman"/>
          <w:sz w:val="24"/>
          <w:szCs w:val="24"/>
        </w:rPr>
      </w:pPr>
      <w:r>
        <w:rPr>
          <w:rFonts w:ascii="Times New Roman" w:hAnsi="Times New Roman" w:cs="Times New Roman"/>
          <w:sz w:val="24"/>
          <w:szCs w:val="24"/>
        </w:rPr>
        <w:t>The International Integrated</w:t>
      </w:r>
      <w:r w:rsidR="001724C4" w:rsidRPr="00A84C18">
        <w:rPr>
          <w:rFonts w:ascii="Times New Roman" w:hAnsi="Times New Roman" w:cs="Times New Roman"/>
          <w:sz w:val="24"/>
          <w:szCs w:val="24"/>
        </w:rPr>
        <w:t xml:space="preserve"> </w:t>
      </w:r>
      <w:r>
        <w:rPr>
          <w:rFonts w:ascii="Times New Roman" w:hAnsi="Times New Roman" w:cs="Times New Roman"/>
          <w:sz w:val="24"/>
          <w:szCs w:val="24"/>
        </w:rPr>
        <w:t>Reporting Council (IIRC</w:t>
      </w:r>
      <w:r w:rsidR="009009A7">
        <w:rPr>
          <w:rFonts w:ascii="Times New Roman" w:hAnsi="Times New Roman" w:cs="Times New Roman"/>
          <w:sz w:val="24"/>
          <w:szCs w:val="24"/>
        </w:rPr>
        <w:t>, 201</w:t>
      </w:r>
      <w:r>
        <w:rPr>
          <w:rFonts w:ascii="Times New Roman" w:hAnsi="Times New Roman" w:cs="Times New Roman"/>
          <w:sz w:val="24"/>
          <w:szCs w:val="24"/>
        </w:rPr>
        <w:t xml:space="preserve">) proposed six capitals, guiding principles, content elements and business model for value creation in short-, medium- and long-term basis. These are explained with the help of the following Figure 1, 2 and 3. </w:t>
      </w:r>
    </w:p>
    <w:p w14:paraId="02E45064" w14:textId="7471319E" w:rsidR="00F65ADA" w:rsidRPr="00A84C18" w:rsidRDefault="00F65ADA" w:rsidP="00F65ADA">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 xml:space="preserve">1.1: </w:t>
      </w:r>
      <w:r w:rsidRPr="00A84C18">
        <w:rPr>
          <w:rFonts w:ascii="Times New Roman" w:hAnsi="Times New Roman" w:cs="Times New Roman"/>
          <w:b/>
          <w:sz w:val="24"/>
          <w:szCs w:val="24"/>
          <w:lang w:val="en-IN"/>
        </w:rPr>
        <w:t>Six Capitals:</w:t>
      </w:r>
    </w:p>
    <w:p w14:paraId="0BECAFC6" w14:textId="189CA2B8" w:rsidR="00F65ADA" w:rsidRPr="00A84C18" w:rsidRDefault="00CE7B29" w:rsidP="00F65ADA">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Six capitals are used </w:t>
      </w:r>
      <w:r w:rsidR="001554DE">
        <w:rPr>
          <w:rFonts w:ascii="Times New Roman" w:hAnsi="Times New Roman" w:cs="Times New Roman"/>
          <w:sz w:val="24"/>
          <w:szCs w:val="24"/>
          <w:lang w:val="en-IN"/>
        </w:rPr>
        <w:t xml:space="preserve">to present value creation/ business model of an organization with inputs, process, outputs and outcomes of capitals </w:t>
      </w:r>
      <w:r>
        <w:rPr>
          <w:rFonts w:ascii="Times New Roman" w:hAnsi="Times New Roman" w:cs="Times New Roman"/>
          <w:sz w:val="24"/>
          <w:szCs w:val="24"/>
          <w:lang w:val="en-IN"/>
        </w:rPr>
        <w:t xml:space="preserve">as </w:t>
      </w:r>
      <w:r w:rsidR="00F65ADA" w:rsidRPr="00A84C18">
        <w:rPr>
          <w:rFonts w:ascii="Times New Roman" w:hAnsi="Times New Roman" w:cs="Times New Roman"/>
          <w:sz w:val="24"/>
          <w:szCs w:val="24"/>
          <w:lang w:val="en-IN"/>
        </w:rPr>
        <w:t xml:space="preserve">presented in figure </w:t>
      </w:r>
      <w:r w:rsidR="001554DE">
        <w:rPr>
          <w:rFonts w:ascii="Times New Roman" w:hAnsi="Times New Roman" w:cs="Times New Roman"/>
          <w:sz w:val="24"/>
          <w:szCs w:val="24"/>
          <w:lang w:val="en-IN"/>
        </w:rPr>
        <w:t>1</w:t>
      </w:r>
      <w:r w:rsidR="00F65ADA" w:rsidRPr="00A84C18">
        <w:rPr>
          <w:rFonts w:ascii="Times New Roman" w:hAnsi="Times New Roman" w:cs="Times New Roman"/>
          <w:sz w:val="24"/>
          <w:szCs w:val="24"/>
          <w:lang w:val="en-IN"/>
        </w:rPr>
        <w:t>.</w:t>
      </w:r>
    </w:p>
    <w:p w14:paraId="62DDBECC" w14:textId="70427B80" w:rsidR="00B26CA7" w:rsidRDefault="006D343C" w:rsidP="00CE7B29">
      <w:pPr>
        <w:spacing w:after="0" w:line="360" w:lineRule="auto"/>
        <w:jc w:val="both"/>
        <w:rPr>
          <w:rFonts w:ascii="Times New Roman" w:hAnsi="Times New Roman" w:cs="Times New Roman"/>
          <w:sz w:val="24"/>
          <w:szCs w:val="24"/>
          <w:lang w:val="en-IN"/>
        </w:rPr>
      </w:pPr>
      <w:r>
        <w:rPr>
          <w:rFonts w:ascii="Times New Roman" w:hAnsi="Times New Roman" w:cs="Times New Roman"/>
          <w:b/>
        </w:rPr>
        <w:t xml:space="preserve">Table </w:t>
      </w:r>
      <w:r w:rsidR="001554DE">
        <w:rPr>
          <w:rFonts w:ascii="Times New Roman" w:hAnsi="Times New Roman" w:cs="Times New Roman"/>
          <w:b/>
        </w:rPr>
        <w:t>1</w:t>
      </w:r>
      <w:r w:rsidR="00F65ADA" w:rsidRPr="00A84C18">
        <w:rPr>
          <w:rFonts w:ascii="Times New Roman" w:hAnsi="Times New Roman" w:cs="Times New Roman"/>
          <w:b/>
        </w:rPr>
        <w:t>:</w:t>
      </w:r>
      <w:r w:rsidR="00F65ADA" w:rsidRPr="00A84C18">
        <w:rPr>
          <w:rFonts w:ascii="Times New Roman" w:hAnsi="Times New Roman" w:cs="Times New Roman"/>
        </w:rPr>
        <w:t xml:space="preserve">IR </w:t>
      </w:r>
      <w:r w:rsidR="00F65ADA" w:rsidRPr="00A84C18">
        <w:rPr>
          <w:rFonts w:ascii="Times New Roman" w:hAnsi="Times New Roman" w:cs="Times New Roman"/>
          <w:sz w:val="24"/>
          <w:szCs w:val="24"/>
          <w:lang w:val="en-IN"/>
        </w:rPr>
        <w:t>Six Capitals and its sub-elements</w:t>
      </w:r>
    </w:p>
    <w:tbl>
      <w:tblPr>
        <w:tblStyle w:val="TableGrid"/>
        <w:tblW w:w="0" w:type="auto"/>
        <w:tblLook w:val="04A0" w:firstRow="1" w:lastRow="0" w:firstColumn="1" w:lastColumn="0" w:noHBand="0" w:noVBand="1"/>
      </w:tblPr>
      <w:tblGrid>
        <w:gridCol w:w="3510"/>
        <w:gridCol w:w="5732"/>
      </w:tblGrid>
      <w:tr w:rsidR="00B26CA7" w14:paraId="6A193A70" w14:textId="77777777" w:rsidTr="00B447A8">
        <w:tc>
          <w:tcPr>
            <w:tcW w:w="3510" w:type="dxa"/>
          </w:tcPr>
          <w:p w14:paraId="1C407B18" w14:textId="60770DA7" w:rsidR="00B26CA7" w:rsidRDefault="00B26CA7"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Name of the Capital</w:t>
            </w:r>
          </w:p>
        </w:tc>
        <w:tc>
          <w:tcPr>
            <w:tcW w:w="5732" w:type="dxa"/>
          </w:tcPr>
          <w:p w14:paraId="70BEFDBD" w14:textId="3531E0BF" w:rsidR="00B26CA7" w:rsidRDefault="00B26CA7"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Sub-elements of the capitals</w:t>
            </w:r>
          </w:p>
        </w:tc>
      </w:tr>
      <w:tr w:rsidR="00B26CA7" w14:paraId="13ED1B11" w14:textId="77777777" w:rsidTr="00B447A8">
        <w:tc>
          <w:tcPr>
            <w:tcW w:w="3510" w:type="dxa"/>
          </w:tcPr>
          <w:p w14:paraId="64E3C16A" w14:textId="29BF1F6A" w:rsidR="00B26CA7" w:rsidRDefault="00B26CA7"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Financial Capital (FC)</w:t>
            </w:r>
          </w:p>
        </w:tc>
        <w:tc>
          <w:tcPr>
            <w:tcW w:w="5732" w:type="dxa"/>
          </w:tcPr>
          <w:p w14:paraId="107FDA79" w14:textId="21E7B80C" w:rsidR="00B26CA7" w:rsidRDefault="00B26CA7"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Sources of finance, subsidiaries, availability of resources, disclosure of key performance indicators.</w:t>
            </w:r>
          </w:p>
        </w:tc>
      </w:tr>
      <w:tr w:rsidR="00B26CA7" w14:paraId="1C342DE5" w14:textId="77777777" w:rsidTr="00B447A8">
        <w:tc>
          <w:tcPr>
            <w:tcW w:w="3510" w:type="dxa"/>
          </w:tcPr>
          <w:p w14:paraId="0A341D1E" w14:textId="1AED1986" w:rsidR="00B26CA7" w:rsidRDefault="00B26CA7"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Manufacturing Capital (MC)</w:t>
            </w:r>
          </w:p>
        </w:tc>
        <w:tc>
          <w:tcPr>
            <w:tcW w:w="5732" w:type="dxa"/>
          </w:tcPr>
          <w:p w14:paraId="0C4DB562" w14:textId="1FF27D85" w:rsidR="00B26CA7" w:rsidRDefault="00B447A8"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Availability of physical assets, production and procurement of goods and services; public infrastructure investments. </w:t>
            </w:r>
          </w:p>
        </w:tc>
      </w:tr>
      <w:tr w:rsidR="00B26CA7" w14:paraId="7BEA9A8D" w14:textId="77777777" w:rsidTr="00B447A8">
        <w:tc>
          <w:tcPr>
            <w:tcW w:w="3510" w:type="dxa"/>
          </w:tcPr>
          <w:p w14:paraId="18D17400" w14:textId="5E4C297C" w:rsidR="00B26CA7" w:rsidRDefault="00B447A8"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Intellectual Capital (IC) </w:t>
            </w:r>
          </w:p>
        </w:tc>
        <w:tc>
          <w:tcPr>
            <w:tcW w:w="5732" w:type="dxa"/>
          </w:tcPr>
          <w:p w14:paraId="365BD441" w14:textId="14736D4B" w:rsidR="00B26CA7" w:rsidRDefault="00B447A8"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Value of intangible assets, knowledge based, organizational capital, strength of R&amp;D and investment for brand image.</w:t>
            </w:r>
          </w:p>
        </w:tc>
      </w:tr>
      <w:tr w:rsidR="00B26CA7" w14:paraId="7442E23F" w14:textId="77777777" w:rsidTr="00B447A8">
        <w:tc>
          <w:tcPr>
            <w:tcW w:w="3510" w:type="dxa"/>
          </w:tcPr>
          <w:p w14:paraId="7238045D" w14:textId="1F3FC0E7" w:rsidR="00B26CA7" w:rsidRDefault="00B447A8"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Human Capital (HC)</w:t>
            </w:r>
          </w:p>
        </w:tc>
        <w:tc>
          <w:tcPr>
            <w:tcW w:w="5732" w:type="dxa"/>
          </w:tcPr>
          <w:p w14:paraId="6A0C4869" w14:textId="00995651" w:rsidR="00B26CA7" w:rsidRDefault="00FD37F2"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Strength of manpower, investments, skills, developments and </w:t>
            </w:r>
            <w:r w:rsidR="00E97FAD">
              <w:rPr>
                <w:rFonts w:ascii="Times New Roman" w:hAnsi="Times New Roman" w:cs="Times New Roman"/>
                <w:sz w:val="24"/>
                <w:szCs w:val="24"/>
                <w:lang w:val="en-IN"/>
              </w:rPr>
              <w:t xml:space="preserve">education of employees other related activities of employees. </w:t>
            </w:r>
          </w:p>
        </w:tc>
      </w:tr>
      <w:tr w:rsidR="00B26CA7" w14:paraId="62E93367" w14:textId="77777777" w:rsidTr="00B447A8">
        <w:tc>
          <w:tcPr>
            <w:tcW w:w="3510" w:type="dxa"/>
          </w:tcPr>
          <w:p w14:paraId="44EE7FA0" w14:textId="31322006" w:rsidR="00B26CA7" w:rsidRDefault="00E839DF"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Social and Relationship Capital (S&amp;RC)</w:t>
            </w:r>
          </w:p>
        </w:tc>
        <w:tc>
          <w:tcPr>
            <w:tcW w:w="5732" w:type="dxa"/>
          </w:tcPr>
          <w:p w14:paraId="0CA2F6F8" w14:textId="0DB3DF88" w:rsidR="00B26CA7" w:rsidRDefault="00AD6623"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Stakeholders’</w:t>
            </w:r>
            <w:r w:rsidR="00E839DF">
              <w:rPr>
                <w:rFonts w:ascii="Times New Roman" w:hAnsi="Times New Roman" w:cs="Times New Roman"/>
                <w:sz w:val="24"/>
                <w:szCs w:val="24"/>
                <w:lang w:val="en-IN"/>
              </w:rPr>
              <w:t xml:space="preserve"> groups, relationships, CSR activities, CSR investments and lives touched. </w:t>
            </w:r>
          </w:p>
        </w:tc>
      </w:tr>
      <w:tr w:rsidR="00B26CA7" w14:paraId="051D4F5B" w14:textId="77777777" w:rsidTr="00B447A8">
        <w:tc>
          <w:tcPr>
            <w:tcW w:w="3510" w:type="dxa"/>
          </w:tcPr>
          <w:p w14:paraId="2765CFCF" w14:textId="1B79726F" w:rsidR="00B26CA7" w:rsidRDefault="00AD6623"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Natural Capital (NC)</w:t>
            </w:r>
          </w:p>
        </w:tc>
        <w:tc>
          <w:tcPr>
            <w:tcW w:w="5732" w:type="dxa"/>
          </w:tcPr>
          <w:p w14:paraId="07E2066E" w14:textId="133750F7" w:rsidR="00B26CA7" w:rsidRDefault="007340C1" w:rsidP="00CE7B29">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Presenting environment information, measures to protect the environment and use of both renewable and non-renewable energy and investment towards bio-diversity.</w:t>
            </w:r>
          </w:p>
        </w:tc>
      </w:tr>
    </w:tbl>
    <w:p w14:paraId="79373E55" w14:textId="37C42080" w:rsidR="00CE7B29" w:rsidRDefault="00CE7B29" w:rsidP="00C74264">
      <w:pPr>
        <w:spacing w:after="0" w:line="360" w:lineRule="auto"/>
        <w:ind w:right="-23"/>
        <w:jc w:val="both"/>
        <w:rPr>
          <w:rFonts w:ascii="Times New Roman" w:eastAsia="Times New Roman" w:hAnsi="Times New Roman" w:cs="Times New Roman"/>
          <w:color w:val="212529"/>
          <w:sz w:val="24"/>
          <w:szCs w:val="24"/>
        </w:rPr>
      </w:pPr>
      <w:r w:rsidRPr="00A84C18">
        <w:rPr>
          <w:rFonts w:ascii="Times New Roman" w:eastAsia="Times New Roman" w:hAnsi="Times New Roman" w:cs="Times New Roman"/>
          <w:b/>
          <w:color w:val="212529"/>
          <w:sz w:val="24"/>
          <w:szCs w:val="24"/>
        </w:rPr>
        <w:t xml:space="preserve">Source: </w:t>
      </w:r>
      <w:r w:rsidRPr="00A84C18">
        <w:rPr>
          <w:rFonts w:ascii="Times New Roman" w:eastAsia="Times New Roman" w:hAnsi="Times New Roman" w:cs="Times New Roman"/>
          <w:color w:val="212529"/>
          <w:sz w:val="24"/>
          <w:szCs w:val="24"/>
        </w:rPr>
        <w:t>IIRC reports and authors compilation</w:t>
      </w:r>
      <w:r w:rsidR="005B1631">
        <w:rPr>
          <w:rFonts w:ascii="Times New Roman" w:eastAsia="Times New Roman" w:hAnsi="Times New Roman" w:cs="Times New Roman"/>
          <w:color w:val="212529"/>
          <w:sz w:val="24"/>
          <w:szCs w:val="24"/>
        </w:rPr>
        <w:t>.</w:t>
      </w:r>
    </w:p>
    <w:p w14:paraId="1C194E16" w14:textId="4644D707" w:rsidR="00E96286" w:rsidRDefault="006D343C" w:rsidP="00E96286">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w:t>
      </w:r>
      <w:r w:rsidR="00E96286">
        <w:rPr>
          <w:rFonts w:ascii="Times New Roman" w:hAnsi="Times New Roman" w:cs="Times New Roman"/>
          <w:sz w:val="24"/>
          <w:szCs w:val="24"/>
          <w:lang w:val="en-IN"/>
        </w:rPr>
        <w:t xml:space="preserve">he above </w:t>
      </w:r>
      <w:r w:rsidR="00A350A5">
        <w:rPr>
          <w:rFonts w:ascii="Times New Roman" w:hAnsi="Times New Roman" w:cs="Times New Roman"/>
          <w:sz w:val="24"/>
          <w:szCs w:val="24"/>
          <w:lang w:val="en-IN"/>
        </w:rPr>
        <w:t xml:space="preserve">table </w:t>
      </w:r>
      <w:r w:rsidR="00E96286">
        <w:rPr>
          <w:rFonts w:ascii="Times New Roman" w:hAnsi="Times New Roman" w:cs="Times New Roman"/>
          <w:sz w:val="24"/>
          <w:szCs w:val="24"/>
          <w:lang w:val="en-IN"/>
        </w:rPr>
        <w:t xml:space="preserve">present the </w:t>
      </w:r>
      <w:r w:rsidR="00A350A5">
        <w:rPr>
          <w:rFonts w:ascii="Times New Roman" w:hAnsi="Times New Roman" w:cs="Times New Roman"/>
          <w:sz w:val="24"/>
          <w:szCs w:val="24"/>
          <w:lang w:val="en-IN"/>
        </w:rPr>
        <w:t xml:space="preserve">proposed IIRC </w:t>
      </w:r>
      <w:r w:rsidR="00E96286">
        <w:rPr>
          <w:rFonts w:ascii="Times New Roman" w:hAnsi="Times New Roman" w:cs="Times New Roman"/>
          <w:sz w:val="24"/>
          <w:szCs w:val="24"/>
          <w:lang w:val="en-IN"/>
        </w:rPr>
        <w:t>six capitals</w:t>
      </w:r>
      <w:r w:rsidR="00A350A5">
        <w:rPr>
          <w:rFonts w:ascii="Times New Roman" w:hAnsi="Times New Roman" w:cs="Times New Roman"/>
          <w:sz w:val="24"/>
          <w:szCs w:val="24"/>
          <w:lang w:val="en-IN"/>
        </w:rPr>
        <w:t xml:space="preserve"> with sub-elements</w:t>
      </w:r>
      <w:r w:rsidR="00E96286">
        <w:rPr>
          <w:rFonts w:ascii="Times New Roman" w:hAnsi="Times New Roman" w:cs="Times New Roman"/>
          <w:sz w:val="24"/>
          <w:szCs w:val="24"/>
          <w:lang w:val="en-IN"/>
        </w:rPr>
        <w:t xml:space="preserve"> and their role in creating value to the business and to the stakeholders. </w:t>
      </w:r>
      <w:r w:rsidR="00352DF0">
        <w:rPr>
          <w:rFonts w:ascii="Times New Roman" w:hAnsi="Times New Roman" w:cs="Times New Roman"/>
          <w:sz w:val="24"/>
          <w:szCs w:val="24"/>
          <w:lang w:val="en-IN"/>
        </w:rPr>
        <w:t xml:space="preserve">Every capital should be given equal importance in the business model for value generation.  </w:t>
      </w:r>
    </w:p>
    <w:p w14:paraId="6DA5B8FE" w14:textId="77777777" w:rsidR="0060303A" w:rsidRDefault="00EF3BF2" w:rsidP="00EF3BF2">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1.2: </w:t>
      </w:r>
      <w:r w:rsidRPr="00A84C18">
        <w:rPr>
          <w:rFonts w:ascii="Times New Roman" w:hAnsi="Times New Roman" w:cs="Times New Roman"/>
          <w:b/>
          <w:sz w:val="24"/>
          <w:szCs w:val="24"/>
          <w:lang w:val="en-IN"/>
        </w:rPr>
        <w:t>Eight Content Elements:</w:t>
      </w:r>
    </w:p>
    <w:p w14:paraId="5DD5D25F" w14:textId="33274D10" w:rsidR="00EF3BF2" w:rsidRPr="0060303A" w:rsidRDefault="0060303A" w:rsidP="00EF3BF2">
      <w:pPr>
        <w:spacing w:after="0" w:line="360" w:lineRule="auto"/>
        <w:jc w:val="both"/>
        <w:rPr>
          <w:rFonts w:ascii="Times New Roman" w:hAnsi="Times New Roman" w:cs="Times New Roman"/>
          <w:b/>
          <w:sz w:val="24"/>
          <w:szCs w:val="24"/>
          <w:lang w:val="en-IN"/>
        </w:rPr>
      </w:pPr>
      <w:r w:rsidRPr="0060303A">
        <w:rPr>
          <w:rFonts w:ascii="Times New Roman" w:hAnsi="Times New Roman" w:cs="Times New Roman"/>
          <w:bCs/>
          <w:sz w:val="24"/>
          <w:szCs w:val="24"/>
          <w:lang w:val="en-IN"/>
        </w:rPr>
        <w:t>The Eight</w:t>
      </w:r>
      <w:r>
        <w:rPr>
          <w:rFonts w:ascii="Times New Roman" w:hAnsi="Times New Roman" w:cs="Times New Roman"/>
          <w:b/>
          <w:sz w:val="24"/>
          <w:szCs w:val="24"/>
          <w:lang w:val="en-IN"/>
        </w:rPr>
        <w:t xml:space="preserve"> </w:t>
      </w:r>
      <w:r>
        <w:rPr>
          <w:rFonts w:ascii="Times New Roman" w:hAnsi="Times New Roman" w:cs="Times New Roman"/>
          <w:sz w:val="24"/>
          <w:szCs w:val="24"/>
          <w:lang w:val="en-IN"/>
        </w:rPr>
        <w:t>C</w:t>
      </w:r>
      <w:r w:rsidR="00EF3BF2" w:rsidRPr="00A84C18">
        <w:rPr>
          <w:rFonts w:ascii="Times New Roman" w:hAnsi="Times New Roman" w:cs="Times New Roman"/>
          <w:sz w:val="24"/>
          <w:szCs w:val="24"/>
          <w:lang w:val="en-IN"/>
        </w:rPr>
        <w:t xml:space="preserve">ontent </w:t>
      </w:r>
      <w:r>
        <w:rPr>
          <w:rFonts w:ascii="Times New Roman" w:hAnsi="Times New Roman" w:cs="Times New Roman"/>
          <w:sz w:val="24"/>
          <w:szCs w:val="24"/>
          <w:lang w:val="en-IN"/>
        </w:rPr>
        <w:t>E</w:t>
      </w:r>
      <w:r w:rsidR="00EF3BF2" w:rsidRPr="00A84C18">
        <w:rPr>
          <w:rFonts w:ascii="Times New Roman" w:hAnsi="Times New Roman" w:cs="Times New Roman"/>
          <w:sz w:val="24"/>
          <w:szCs w:val="24"/>
          <w:lang w:val="en-IN"/>
        </w:rPr>
        <w:t>lement</w:t>
      </w:r>
      <w:r>
        <w:rPr>
          <w:rFonts w:ascii="Times New Roman" w:hAnsi="Times New Roman" w:cs="Times New Roman"/>
          <w:sz w:val="24"/>
          <w:szCs w:val="24"/>
          <w:lang w:val="en-IN"/>
        </w:rPr>
        <w:t xml:space="preserve"> </w:t>
      </w:r>
      <w:r w:rsidR="00EF3BF2" w:rsidRPr="00A84C18">
        <w:rPr>
          <w:rFonts w:ascii="Times New Roman" w:hAnsi="Times New Roman" w:cs="Times New Roman"/>
          <w:sz w:val="24"/>
          <w:szCs w:val="24"/>
          <w:lang w:val="en-IN"/>
        </w:rPr>
        <w:t>covers</w:t>
      </w:r>
      <w:r>
        <w:rPr>
          <w:rFonts w:ascii="Times New Roman" w:hAnsi="Times New Roman" w:cs="Times New Roman"/>
          <w:sz w:val="24"/>
          <w:szCs w:val="24"/>
          <w:lang w:val="en-IN"/>
        </w:rPr>
        <w:t xml:space="preserve">: Organizational overview and external </w:t>
      </w:r>
      <w:r w:rsidR="009F5AA9">
        <w:rPr>
          <w:rFonts w:ascii="Times New Roman" w:hAnsi="Times New Roman" w:cs="Times New Roman"/>
          <w:sz w:val="24"/>
          <w:szCs w:val="24"/>
          <w:lang w:val="en-IN"/>
        </w:rPr>
        <w:t>environment, Governance</w:t>
      </w:r>
      <w:r w:rsidR="00EF3BF2" w:rsidRPr="00A84C18">
        <w:rPr>
          <w:rFonts w:ascii="Times New Roman" w:hAnsi="Times New Roman" w:cs="Times New Roman"/>
          <w:sz w:val="24"/>
          <w:szCs w:val="24"/>
          <w:lang w:val="en-IN"/>
        </w:rPr>
        <w:t xml:space="preserve">, </w:t>
      </w:r>
      <w:r>
        <w:rPr>
          <w:rFonts w:ascii="Times New Roman" w:hAnsi="Times New Roman" w:cs="Times New Roman"/>
          <w:sz w:val="24"/>
          <w:szCs w:val="24"/>
          <w:lang w:val="en-IN"/>
        </w:rPr>
        <w:t>B</w:t>
      </w:r>
      <w:r w:rsidR="00EF3BF2" w:rsidRPr="00A84C18">
        <w:rPr>
          <w:rFonts w:ascii="Times New Roman" w:hAnsi="Times New Roman" w:cs="Times New Roman"/>
          <w:sz w:val="24"/>
          <w:szCs w:val="24"/>
          <w:lang w:val="en-IN"/>
        </w:rPr>
        <w:t xml:space="preserve">usiness </w:t>
      </w:r>
      <w:r>
        <w:rPr>
          <w:rFonts w:ascii="Times New Roman" w:hAnsi="Times New Roman" w:cs="Times New Roman"/>
          <w:sz w:val="24"/>
          <w:szCs w:val="24"/>
          <w:lang w:val="en-IN"/>
        </w:rPr>
        <w:t>M</w:t>
      </w:r>
      <w:r w:rsidR="00EF3BF2" w:rsidRPr="00A84C18">
        <w:rPr>
          <w:rFonts w:ascii="Times New Roman" w:hAnsi="Times New Roman" w:cs="Times New Roman"/>
          <w:sz w:val="24"/>
          <w:szCs w:val="24"/>
          <w:lang w:val="en-IN"/>
        </w:rPr>
        <w:t xml:space="preserve">odel, </w:t>
      </w:r>
      <w:r>
        <w:rPr>
          <w:rFonts w:ascii="Times New Roman" w:hAnsi="Times New Roman" w:cs="Times New Roman"/>
          <w:sz w:val="24"/>
          <w:szCs w:val="24"/>
          <w:lang w:val="en-IN"/>
        </w:rPr>
        <w:t>Risk and O</w:t>
      </w:r>
      <w:r w:rsidR="00EF3BF2" w:rsidRPr="00A84C18">
        <w:rPr>
          <w:rFonts w:ascii="Times New Roman" w:hAnsi="Times New Roman" w:cs="Times New Roman"/>
          <w:sz w:val="24"/>
          <w:szCs w:val="24"/>
          <w:lang w:val="en-IN"/>
        </w:rPr>
        <w:t xml:space="preserve">pportunity, </w:t>
      </w:r>
      <w:r>
        <w:rPr>
          <w:rFonts w:ascii="Times New Roman" w:hAnsi="Times New Roman" w:cs="Times New Roman"/>
          <w:sz w:val="24"/>
          <w:szCs w:val="24"/>
          <w:lang w:val="en-IN"/>
        </w:rPr>
        <w:t>S</w:t>
      </w:r>
      <w:r w:rsidR="00EF3BF2" w:rsidRPr="00A84C18">
        <w:rPr>
          <w:rFonts w:ascii="Times New Roman" w:hAnsi="Times New Roman" w:cs="Times New Roman"/>
          <w:sz w:val="24"/>
          <w:szCs w:val="24"/>
          <w:lang w:val="en-IN"/>
        </w:rPr>
        <w:t>trategy</w:t>
      </w:r>
      <w:r>
        <w:rPr>
          <w:rFonts w:ascii="Times New Roman" w:hAnsi="Times New Roman" w:cs="Times New Roman"/>
          <w:sz w:val="24"/>
          <w:szCs w:val="24"/>
          <w:lang w:val="en-IN"/>
        </w:rPr>
        <w:t xml:space="preserve"> and </w:t>
      </w:r>
      <w:r w:rsidR="00F13FC8">
        <w:rPr>
          <w:rFonts w:ascii="Times New Roman" w:hAnsi="Times New Roman" w:cs="Times New Roman"/>
          <w:sz w:val="24"/>
          <w:szCs w:val="24"/>
          <w:lang w:val="en-IN"/>
        </w:rPr>
        <w:t>R</w:t>
      </w:r>
      <w:r w:rsidR="00EF3BF2" w:rsidRPr="00A84C18">
        <w:rPr>
          <w:rFonts w:ascii="Times New Roman" w:hAnsi="Times New Roman" w:cs="Times New Roman"/>
          <w:sz w:val="24"/>
          <w:szCs w:val="24"/>
          <w:lang w:val="en-IN"/>
        </w:rPr>
        <w:t xml:space="preserve">esource </w:t>
      </w:r>
      <w:r w:rsidR="00F13FC8">
        <w:rPr>
          <w:rFonts w:ascii="Times New Roman" w:hAnsi="Times New Roman" w:cs="Times New Roman"/>
          <w:sz w:val="24"/>
          <w:szCs w:val="24"/>
          <w:lang w:val="en-IN"/>
        </w:rPr>
        <w:t>A</w:t>
      </w:r>
      <w:r w:rsidR="00EF3BF2" w:rsidRPr="00A84C18">
        <w:rPr>
          <w:rFonts w:ascii="Times New Roman" w:hAnsi="Times New Roman" w:cs="Times New Roman"/>
          <w:sz w:val="24"/>
          <w:szCs w:val="24"/>
          <w:lang w:val="en-IN"/>
        </w:rPr>
        <w:t xml:space="preserve">llocation, </w:t>
      </w:r>
      <w:r w:rsidR="00F13FC8">
        <w:rPr>
          <w:rFonts w:ascii="Times New Roman" w:hAnsi="Times New Roman" w:cs="Times New Roman"/>
          <w:sz w:val="24"/>
          <w:szCs w:val="24"/>
          <w:lang w:val="en-IN"/>
        </w:rPr>
        <w:t>O</w:t>
      </w:r>
      <w:r w:rsidR="00EF3BF2" w:rsidRPr="00A84C18">
        <w:rPr>
          <w:rFonts w:ascii="Times New Roman" w:hAnsi="Times New Roman" w:cs="Times New Roman"/>
          <w:sz w:val="24"/>
          <w:szCs w:val="24"/>
          <w:lang w:val="en-IN"/>
        </w:rPr>
        <w:t xml:space="preserve">utlook- </w:t>
      </w:r>
      <w:r w:rsidR="00F13FC8">
        <w:rPr>
          <w:rFonts w:ascii="Times New Roman" w:hAnsi="Times New Roman" w:cs="Times New Roman"/>
          <w:sz w:val="24"/>
          <w:szCs w:val="24"/>
          <w:lang w:val="en-IN"/>
        </w:rPr>
        <w:t>P</w:t>
      </w:r>
      <w:r w:rsidR="00EF3BF2" w:rsidRPr="00A84C18">
        <w:rPr>
          <w:rFonts w:ascii="Times New Roman" w:hAnsi="Times New Roman" w:cs="Times New Roman"/>
          <w:sz w:val="24"/>
          <w:szCs w:val="24"/>
          <w:lang w:val="en-IN"/>
        </w:rPr>
        <w:t xml:space="preserve">erformance, and </w:t>
      </w:r>
      <w:r w:rsidR="00F13FC8">
        <w:rPr>
          <w:rFonts w:ascii="Times New Roman" w:hAnsi="Times New Roman" w:cs="Times New Roman"/>
          <w:sz w:val="24"/>
          <w:szCs w:val="24"/>
          <w:lang w:val="en-IN"/>
        </w:rPr>
        <w:t>P</w:t>
      </w:r>
      <w:r w:rsidR="00EF3BF2" w:rsidRPr="00A84C18">
        <w:rPr>
          <w:rFonts w:ascii="Times New Roman" w:hAnsi="Times New Roman" w:cs="Times New Roman"/>
          <w:sz w:val="24"/>
          <w:szCs w:val="24"/>
          <w:lang w:val="en-IN"/>
        </w:rPr>
        <w:t>reparation –</w:t>
      </w:r>
      <w:r w:rsidR="00F13FC8">
        <w:rPr>
          <w:rFonts w:ascii="Times New Roman" w:hAnsi="Times New Roman" w:cs="Times New Roman"/>
          <w:sz w:val="24"/>
          <w:szCs w:val="24"/>
          <w:lang w:val="en-IN"/>
        </w:rPr>
        <w:t>P</w:t>
      </w:r>
      <w:r w:rsidR="00EF3BF2" w:rsidRPr="00A84C18">
        <w:rPr>
          <w:rFonts w:ascii="Times New Roman" w:hAnsi="Times New Roman" w:cs="Times New Roman"/>
          <w:sz w:val="24"/>
          <w:szCs w:val="24"/>
          <w:lang w:val="en-IN"/>
        </w:rPr>
        <w:t>resentation. The eight content elements</w:t>
      </w:r>
      <w:r w:rsidR="00EF3BF2">
        <w:rPr>
          <w:rFonts w:ascii="Times New Roman" w:hAnsi="Times New Roman" w:cs="Times New Roman"/>
          <w:sz w:val="24"/>
          <w:szCs w:val="24"/>
          <w:lang w:val="en-IN"/>
        </w:rPr>
        <w:t xml:space="preserve"> </w:t>
      </w:r>
      <w:r w:rsidR="00EF3BF2" w:rsidRPr="00A84C18">
        <w:rPr>
          <w:rFonts w:ascii="Times New Roman" w:hAnsi="Times New Roman" w:cs="Times New Roman"/>
          <w:sz w:val="24"/>
          <w:szCs w:val="24"/>
          <w:lang w:val="en-IN"/>
        </w:rPr>
        <w:t xml:space="preserve">of IR used as development of Business Model and communicating to the external users regarding business operations and process are presented in figure </w:t>
      </w:r>
      <w:r w:rsidR="009A616D">
        <w:rPr>
          <w:rFonts w:ascii="Times New Roman" w:hAnsi="Times New Roman" w:cs="Times New Roman"/>
          <w:sz w:val="24"/>
          <w:szCs w:val="24"/>
          <w:lang w:val="en-IN"/>
        </w:rPr>
        <w:t>2</w:t>
      </w:r>
      <w:r w:rsidR="00EF3BF2" w:rsidRPr="00A84C18">
        <w:rPr>
          <w:rFonts w:ascii="Times New Roman" w:hAnsi="Times New Roman" w:cs="Times New Roman"/>
          <w:sz w:val="24"/>
          <w:szCs w:val="24"/>
          <w:lang w:val="en-IN"/>
        </w:rPr>
        <w:t>.</w:t>
      </w:r>
    </w:p>
    <w:p w14:paraId="6EF47AF3" w14:textId="1B5F156D" w:rsidR="00EF3BF2" w:rsidRDefault="002E0B22" w:rsidP="00EF3BF2">
      <w:pPr>
        <w:spacing w:after="0" w:line="360" w:lineRule="auto"/>
        <w:jc w:val="both"/>
        <w:rPr>
          <w:rFonts w:ascii="Times New Roman" w:hAnsi="Times New Roman" w:cs="Times New Roman"/>
          <w:sz w:val="24"/>
          <w:szCs w:val="24"/>
          <w:lang w:val="en-IN"/>
        </w:rPr>
      </w:pPr>
      <w:r>
        <w:rPr>
          <w:rFonts w:ascii="Times New Roman" w:hAnsi="Times New Roman" w:cs="Times New Roman"/>
          <w:b/>
        </w:rPr>
        <w:t>Table</w:t>
      </w:r>
      <w:r w:rsidR="00EF3BF2" w:rsidRPr="00A84C18">
        <w:rPr>
          <w:rFonts w:ascii="Times New Roman" w:hAnsi="Times New Roman" w:cs="Times New Roman"/>
          <w:b/>
        </w:rPr>
        <w:t xml:space="preserve"> </w:t>
      </w:r>
      <w:r w:rsidR="009A616D">
        <w:rPr>
          <w:rFonts w:ascii="Times New Roman" w:hAnsi="Times New Roman" w:cs="Times New Roman"/>
          <w:b/>
        </w:rPr>
        <w:t>2</w:t>
      </w:r>
      <w:r w:rsidR="00EF3BF2" w:rsidRPr="00A84C18">
        <w:rPr>
          <w:rFonts w:ascii="Times New Roman" w:hAnsi="Times New Roman" w:cs="Times New Roman"/>
          <w:b/>
        </w:rPr>
        <w:t>:</w:t>
      </w:r>
      <w:r w:rsidR="00EF3BF2" w:rsidRPr="00A84C18">
        <w:rPr>
          <w:rFonts w:ascii="Times New Roman" w:hAnsi="Times New Roman" w:cs="Times New Roman"/>
          <w:sz w:val="24"/>
          <w:szCs w:val="24"/>
          <w:lang w:val="en-IN"/>
        </w:rPr>
        <w:t xml:space="preserve"> Eight content elements of IR</w:t>
      </w:r>
      <w:r w:rsidR="00EF3BF2">
        <w:rPr>
          <w:rFonts w:ascii="Times New Roman" w:hAnsi="Times New Roman" w:cs="Times New Roman"/>
          <w:sz w:val="24"/>
          <w:szCs w:val="24"/>
          <w:lang w:val="en-IN"/>
        </w:rPr>
        <w:t>.</w:t>
      </w:r>
    </w:p>
    <w:tbl>
      <w:tblPr>
        <w:tblStyle w:val="TableGrid"/>
        <w:tblW w:w="0" w:type="auto"/>
        <w:tblLook w:val="04A0" w:firstRow="1" w:lastRow="0" w:firstColumn="1" w:lastColumn="0" w:noHBand="0" w:noVBand="1"/>
      </w:tblPr>
      <w:tblGrid>
        <w:gridCol w:w="3510"/>
        <w:gridCol w:w="5732"/>
      </w:tblGrid>
      <w:tr w:rsidR="00A350A5" w14:paraId="590496EB" w14:textId="77777777" w:rsidTr="00131F1C">
        <w:tc>
          <w:tcPr>
            <w:tcW w:w="3510" w:type="dxa"/>
          </w:tcPr>
          <w:p w14:paraId="48AFD684" w14:textId="6396791C" w:rsidR="00A350A5" w:rsidRDefault="00A350A5"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Name of the </w:t>
            </w:r>
            <w:r w:rsidR="007B1FA4">
              <w:rPr>
                <w:rFonts w:ascii="Times New Roman" w:hAnsi="Times New Roman" w:cs="Times New Roman"/>
                <w:sz w:val="24"/>
                <w:szCs w:val="24"/>
                <w:lang w:val="en-IN"/>
              </w:rPr>
              <w:t>Elements</w:t>
            </w:r>
          </w:p>
        </w:tc>
        <w:tc>
          <w:tcPr>
            <w:tcW w:w="5732" w:type="dxa"/>
          </w:tcPr>
          <w:p w14:paraId="1CC552C2" w14:textId="200E1A16" w:rsidR="00A350A5" w:rsidRDefault="00A350A5"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Sub-elements of the </w:t>
            </w:r>
            <w:r w:rsidR="007B1FA4">
              <w:rPr>
                <w:rFonts w:ascii="Times New Roman" w:hAnsi="Times New Roman" w:cs="Times New Roman"/>
                <w:sz w:val="24"/>
                <w:szCs w:val="24"/>
                <w:lang w:val="en-IN"/>
              </w:rPr>
              <w:t>Content elements</w:t>
            </w:r>
          </w:p>
        </w:tc>
      </w:tr>
      <w:tr w:rsidR="00A350A5" w14:paraId="6C8FCE38" w14:textId="77777777" w:rsidTr="00131F1C">
        <w:tc>
          <w:tcPr>
            <w:tcW w:w="3510" w:type="dxa"/>
          </w:tcPr>
          <w:p w14:paraId="201EA94A" w14:textId="5E37D969" w:rsidR="00A350A5" w:rsidRDefault="00A350A5"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Organizational overview and external environment</w:t>
            </w:r>
          </w:p>
        </w:tc>
        <w:tc>
          <w:tcPr>
            <w:tcW w:w="5732" w:type="dxa"/>
          </w:tcPr>
          <w:p w14:paraId="53512F48" w14:textId="013D6EE0" w:rsidR="00A350A5" w:rsidRDefault="00A350A5"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Presents key organizational external environmental factors, structure, vision, mission and business ethics. </w:t>
            </w:r>
          </w:p>
        </w:tc>
      </w:tr>
      <w:tr w:rsidR="00A350A5" w14:paraId="02892571" w14:textId="77777777" w:rsidTr="00131F1C">
        <w:tc>
          <w:tcPr>
            <w:tcW w:w="3510" w:type="dxa"/>
          </w:tcPr>
          <w:p w14:paraId="63E73E37" w14:textId="14157455" w:rsidR="00A350A5" w:rsidRDefault="00A531CE"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Governance</w:t>
            </w:r>
          </w:p>
        </w:tc>
        <w:tc>
          <w:tcPr>
            <w:tcW w:w="5732" w:type="dxa"/>
          </w:tcPr>
          <w:p w14:paraId="394AB832" w14:textId="20715D3F" w:rsidR="00A350A5" w:rsidRDefault="00A531CE"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Leadership </w:t>
            </w:r>
            <w:r w:rsidR="00784631">
              <w:rPr>
                <w:rFonts w:ascii="Times New Roman" w:hAnsi="Times New Roman" w:cs="Times New Roman"/>
                <w:sz w:val="24"/>
                <w:szCs w:val="24"/>
                <w:lang w:val="en-IN"/>
              </w:rPr>
              <w:t>styles, board</w:t>
            </w:r>
            <w:r>
              <w:rPr>
                <w:rFonts w:ascii="Times New Roman" w:hAnsi="Times New Roman" w:cs="Times New Roman"/>
                <w:sz w:val="24"/>
                <w:szCs w:val="24"/>
                <w:lang w:val="en-IN"/>
              </w:rPr>
              <w:t xml:space="preserve"> members characters, </w:t>
            </w:r>
            <w:r w:rsidR="00BD4D56">
              <w:rPr>
                <w:rFonts w:ascii="Times New Roman" w:hAnsi="Times New Roman" w:cs="Times New Roman"/>
                <w:sz w:val="24"/>
                <w:szCs w:val="24"/>
                <w:lang w:val="en-IN"/>
              </w:rPr>
              <w:t>commitment of top management towards adoption of IR.</w:t>
            </w:r>
          </w:p>
        </w:tc>
      </w:tr>
      <w:tr w:rsidR="00A350A5" w14:paraId="5C26DE08" w14:textId="77777777" w:rsidTr="00131F1C">
        <w:tc>
          <w:tcPr>
            <w:tcW w:w="3510" w:type="dxa"/>
          </w:tcPr>
          <w:p w14:paraId="626E1A45" w14:textId="7899F2DA" w:rsidR="00A350A5" w:rsidRDefault="00784631"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B</w:t>
            </w:r>
            <w:r w:rsidRPr="00A84C18">
              <w:rPr>
                <w:rFonts w:ascii="Times New Roman" w:hAnsi="Times New Roman" w:cs="Times New Roman"/>
                <w:sz w:val="24"/>
                <w:szCs w:val="24"/>
                <w:lang w:val="en-IN"/>
              </w:rPr>
              <w:t xml:space="preserve">usiness </w:t>
            </w:r>
            <w:r>
              <w:rPr>
                <w:rFonts w:ascii="Times New Roman" w:hAnsi="Times New Roman" w:cs="Times New Roman"/>
                <w:sz w:val="24"/>
                <w:szCs w:val="24"/>
                <w:lang w:val="en-IN"/>
              </w:rPr>
              <w:t>M</w:t>
            </w:r>
            <w:r w:rsidRPr="00A84C18">
              <w:rPr>
                <w:rFonts w:ascii="Times New Roman" w:hAnsi="Times New Roman" w:cs="Times New Roman"/>
                <w:sz w:val="24"/>
                <w:szCs w:val="24"/>
                <w:lang w:val="en-IN"/>
              </w:rPr>
              <w:t>odel</w:t>
            </w:r>
          </w:p>
        </w:tc>
        <w:tc>
          <w:tcPr>
            <w:tcW w:w="5732" w:type="dxa"/>
          </w:tcPr>
          <w:p w14:paraId="34F2A814" w14:textId="0A0F79EE" w:rsidR="00A350A5" w:rsidRDefault="00784631"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Presents six capitals with inputs, outputs and outcomes; Presents SDIs; Trade-off and other key elements of the organization. </w:t>
            </w:r>
          </w:p>
        </w:tc>
      </w:tr>
      <w:tr w:rsidR="00A350A5" w14:paraId="48D4E0D0" w14:textId="77777777" w:rsidTr="00131F1C">
        <w:tc>
          <w:tcPr>
            <w:tcW w:w="3510" w:type="dxa"/>
          </w:tcPr>
          <w:p w14:paraId="5A20BFC8" w14:textId="17F07D24" w:rsidR="00A350A5" w:rsidRDefault="00DF1AA8"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Risk and O</w:t>
            </w:r>
            <w:r w:rsidRPr="00A84C18">
              <w:rPr>
                <w:rFonts w:ascii="Times New Roman" w:hAnsi="Times New Roman" w:cs="Times New Roman"/>
                <w:sz w:val="24"/>
                <w:szCs w:val="24"/>
                <w:lang w:val="en-IN"/>
              </w:rPr>
              <w:t>pportunity</w:t>
            </w:r>
          </w:p>
        </w:tc>
        <w:tc>
          <w:tcPr>
            <w:tcW w:w="5732" w:type="dxa"/>
          </w:tcPr>
          <w:p w14:paraId="356A448F" w14:textId="7F3803FF" w:rsidR="00A350A5" w:rsidRDefault="00DF1AA8"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Types of risks, estimation of uncertainty</w:t>
            </w:r>
            <w:r w:rsidR="00234619">
              <w:rPr>
                <w:rFonts w:ascii="Times New Roman" w:hAnsi="Times New Roman" w:cs="Times New Roman"/>
                <w:sz w:val="24"/>
                <w:szCs w:val="24"/>
                <w:lang w:val="en-IN"/>
              </w:rPr>
              <w:t xml:space="preserve"> &amp; degree</w:t>
            </w:r>
            <w:r>
              <w:rPr>
                <w:rFonts w:ascii="Times New Roman" w:hAnsi="Times New Roman" w:cs="Times New Roman"/>
                <w:sz w:val="24"/>
                <w:szCs w:val="24"/>
                <w:lang w:val="en-IN"/>
              </w:rPr>
              <w:t xml:space="preserve"> of risk, use of SWOT analysis</w:t>
            </w:r>
            <w:r w:rsidR="00234619">
              <w:rPr>
                <w:rFonts w:ascii="Times New Roman" w:hAnsi="Times New Roman" w:cs="Times New Roman"/>
                <w:sz w:val="24"/>
                <w:szCs w:val="24"/>
                <w:lang w:val="en-IN"/>
              </w:rPr>
              <w:t xml:space="preserve">, </w:t>
            </w:r>
            <w:r>
              <w:rPr>
                <w:rFonts w:ascii="Times New Roman" w:hAnsi="Times New Roman" w:cs="Times New Roman"/>
                <w:sz w:val="24"/>
                <w:szCs w:val="24"/>
                <w:lang w:val="en-IN"/>
              </w:rPr>
              <w:t>identifying business opportunities</w:t>
            </w:r>
            <w:r w:rsidR="00417662">
              <w:rPr>
                <w:rFonts w:ascii="Times New Roman" w:hAnsi="Times New Roman" w:cs="Times New Roman"/>
                <w:sz w:val="24"/>
                <w:szCs w:val="24"/>
                <w:lang w:val="en-IN"/>
              </w:rPr>
              <w:t xml:space="preserve"> and interlinking risk with capitals.</w:t>
            </w:r>
          </w:p>
        </w:tc>
      </w:tr>
      <w:tr w:rsidR="00A350A5" w14:paraId="03392D8E" w14:textId="77777777" w:rsidTr="00131F1C">
        <w:tc>
          <w:tcPr>
            <w:tcW w:w="3510" w:type="dxa"/>
          </w:tcPr>
          <w:p w14:paraId="29C1749D" w14:textId="549F1D4F" w:rsidR="00A350A5" w:rsidRDefault="00417662"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w:t>
            </w:r>
            <w:r w:rsidRPr="00A84C18">
              <w:rPr>
                <w:rFonts w:ascii="Times New Roman" w:hAnsi="Times New Roman" w:cs="Times New Roman"/>
                <w:sz w:val="24"/>
                <w:szCs w:val="24"/>
                <w:lang w:val="en-IN"/>
              </w:rPr>
              <w:t>trategy</w:t>
            </w:r>
            <w:r>
              <w:rPr>
                <w:rFonts w:ascii="Times New Roman" w:hAnsi="Times New Roman" w:cs="Times New Roman"/>
                <w:sz w:val="24"/>
                <w:szCs w:val="24"/>
                <w:lang w:val="en-IN"/>
              </w:rPr>
              <w:t xml:space="preserve"> and R</w:t>
            </w:r>
            <w:r w:rsidRPr="00A84C18">
              <w:rPr>
                <w:rFonts w:ascii="Times New Roman" w:hAnsi="Times New Roman" w:cs="Times New Roman"/>
                <w:sz w:val="24"/>
                <w:szCs w:val="24"/>
                <w:lang w:val="en-IN"/>
              </w:rPr>
              <w:t xml:space="preserve">esource </w:t>
            </w:r>
            <w:r>
              <w:rPr>
                <w:rFonts w:ascii="Times New Roman" w:hAnsi="Times New Roman" w:cs="Times New Roman"/>
                <w:sz w:val="24"/>
                <w:szCs w:val="24"/>
                <w:lang w:val="en-IN"/>
              </w:rPr>
              <w:t>A</w:t>
            </w:r>
            <w:r w:rsidRPr="00A84C18">
              <w:rPr>
                <w:rFonts w:ascii="Times New Roman" w:hAnsi="Times New Roman" w:cs="Times New Roman"/>
                <w:sz w:val="24"/>
                <w:szCs w:val="24"/>
                <w:lang w:val="en-IN"/>
              </w:rPr>
              <w:t>llocation</w:t>
            </w:r>
          </w:p>
        </w:tc>
        <w:tc>
          <w:tcPr>
            <w:tcW w:w="5732" w:type="dxa"/>
          </w:tcPr>
          <w:p w14:paraId="7DA377D5" w14:textId="3EC46C74" w:rsidR="00A350A5" w:rsidRDefault="00417662"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Use of maximum resources, identifying various strategies and business </w:t>
            </w:r>
            <w:r w:rsidR="000E7CF8">
              <w:rPr>
                <w:rFonts w:ascii="Times New Roman" w:hAnsi="Times New Roman" w:cs="Times New Roman"/>
                <w:sz w:val="24"/>
                <w:szCs w:val="24"/>
                <w:lang w:val="en-IN"/>
              </w:rPr>
              <w:t xml:space="preserve">resources and linking the strategies. </w:t>
            </w:r>
          </w:p>
        </w:tc>
      </w:tr>
      <w:tr w:rsidR="00A350A5" w14:paraId="07F79E60" w14:textId="77777777" w:rsidTr="00131F1C">
        <w:tc>
          <w:tcPr>
            <w:tcW w:w="3510" w:type="dxa"/>
          </w:tcPr>
          <w:p w14:paraId="439547C6" w14:textId="6D85A122" w:rsidR="00A350A5" w:rsidRDefault="001B42D8"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O</w:t>
            </w:r>
            <w:r w:rsidRPr="00A84C18">
              <w:rPr>
                <w:rFonts w:ascii="Times New Roman" w:hAnsi="Times New Roman" w:cs="Times New Roman"/>
                <w:sz w:val="24"/>
                <w:szCs w:val="24"/>
                <w:lang w:val="en-IN"/>
              </w:rPr>
              <w:t>utlook</w:t>
            </w:r>
          </w:p>
        </w:tc>
        <w:tc>
          <w:tcPr>
            <w:tcW w:w="5732" w:type="dxa"/>
          </w:tcPr>
          <w:p w14:paraId="50EF50B2" w14:textId="30C1C569" w:rsidR="00A350A5" w:rsidRDefault="001B42D8"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Business outlook, company outlook, management discussion and other elements </w:t>
            </w:r>
          </w:p>
        </w:tc>
      </w:tr>
      <w:tr w:rsidR="001B42D8" w14:paraId="4D7B2F04" w14:textId="77777777" w:rsidTr="00131F1C">
        <w:tc>
          <w:tcPr>
            <w:tcW w:w="3510" w:type="dxa"/>
          </w:tcPr>
          <w:p w14:paraId="3833C06A" w14:textId="6873FEA3" w:rsidR="001B42D8" w:rsidRDefault="001B42D8"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Performance</w:t>
            </w:r>
          </w:p>
        </w:tc>
        <w:tc>
          <w:tcPr>
            <w:tcW w:w="5732" w:type="dxa"/>
          </w:tcPr>
          <w:p w14:paraId="34697A07" w14:textId="4BFB91D4" w:rsidR="001B42D8" w:rsidRDefault="001B42D8"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Past and present financial and non-financial performance indicators, linking various reports and state of kye </w:t>
            </w:r>
            <w:r w:rsidR="0053578C">
              <w:rPr>
                <w:rFonts w:ascii="Times New Roman" w:hAnsi="Times New Roman" w:cs="Times New Roman"/>
                <w:sz w:val="24"/>
                <w:szCs w:val="24"/>
                <w:lang w:val="en-IN"/>
              </w:rPr>
              <w:t>stakeholders’</w:t>
            </w:r>
            <w:r>
              <w:rPr>
                <w:rFonts w:ascii="Times New Roman" w:hAnsi="Times New Roman" w:cs="Times New Roman"/>
                <w:sz w:val="24"/>
                <w:szCs w:val="24"/>
                <w:lang w:val="en-IN"/>
              </w:rPr>
              <w:t xml:space="preserve"> relationship.</w:t>
            </w:r>
          </w:p>
        </w:tc>
      </w:tr>
      <w:tr w:rsidR="0053578C" w14:paraId="465F7173" w14:textId="77777777" w:rsidTr="00131F1C">
        <w:tc>
          <w:tcPr>
            <w:tcW w:w="3510" w:type="dxa"/>
          </w:tcPr>
          <w:p w14:paraId="3EAEFF92" w14:textId="1C7AA0A4" w:rsidR="0053578C" w:rsidRDefault="0053578C"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Basis for P</w:t>
            </w:r>
            <w:r w:rsidRPr="00A84C18">
              <w:rPr>
                <w:rFonts w:ascii="Times New Roman" w:hAnsi="Times New Roman" w:cs="Times New Roman"/>
                <w:sz w:val="24"/>
                <w:szCs w:val="24"/>
                <w:lang w:val="en-IN"/>
              </w:rPr>
              <w:t>reparation –</w:t>
            </w:r>
            <w:r>
              <w:rPr>
                <w:rFonts w:ascii="Times New Roman" w:hAnsi="Times New Roman" w:cs="Times New Roman"/>
                <w:sz w:val="24"/>
                <w:szCs w:val="24"/>
                <w:lang w:val="en-IN"/>
              </w:rPr>
              <w:t>P</w:t>
            </w:r>
            <w:r w:rsidRPr="00A84C18">
              <w:rPr>
                <w:rFonts w:ascii="Times New Roman" w:hAnsi="Times New Roman" w:cs="Times New Roman"/>
                <w:sz w:val="24"/>
                <w:szCs w:val="24"/>
                <w:lang w:val="en-IN"/>
              </w:rPr>
              <w:t>resentation</w:t>
            </w:r>
          </w:p>
        </w:tc>
        <w:tc>
          <w:tcPr>
            <w:tcW w:w="5732" w:type="dxa"/>
          </w:tcPr>
          <w:p w14:paraId="5A8F4BE5" w14:textId="1C809B1A" w:rsidR="0053578C" w:rsidRDefault="0053578C"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Reporting period, boundary, frameworks </w:t>
            </w:r>
            <w:r w:rsidR="00AD2522">
              <w:rPr>
                <w:rFonts w:ascii="Times New Roman" w:hAnsi="Times New Roman" w:cs="Times New Roman"/>
                <w:sz w:val="24"/>
                <w:szCs w:val="24"/>
                <w:lang w:val="en-IN"/>
              </w:rPr>
              <w:t>&amp;</w:t>
            </w:r>
            <w:r>
              <w:rPr>
                <w:rFonts w:ascii="Times New Roman" w:hAnsi="Times New Roman" w:cs="Times New Roman"/>
                <w:sz w:val="24"/>
                <w:szCs w:val="24"/>
                <w:lang w:val="en-IN"/>
              </w:rPr>
              <w:t xml:space="preserve"> methods and materiality concept. </w:t>
            </w:r>
          </w:p>
        </w:tc>
      </w:tr>
    </w:tbl>
    <w:p w14:paraId="1160BD0D" w14:textId="1524EE7E" w:rsidR="00F650BE" w:rsidRPr="00A84C18" w:rsidRDefault="00F650BE" w:rsidP="00F650BE">
      <w:pPr>
        <w:spacing w:after="0" w:line="360" w:lineRule="auto"/>
        <w:jc w:val="both"/>
        <w:rPr>
          <w:rFonts w:ascii="Times New Roman" w:eastAsia="Times New Roman" w:hAnsi="Times New Roman" w:cs="Times New Roman"/>
          <w:color w:val="212529"/>
          <w:sz w:val="24"/>
          <w:szCs w:val="24"/>
        </w:rPr>
      </w:pPr>
      <w:r w:rsidRPr="00A84C18">
        <w:rPr>
          <w:rFonts w:ascii="Times New Roman" w:eastAsia="Times New Roman" w:hAnsi="Times New Roman" w:cs="Times New Roman"/>
          <w:b/>
          <w:color w:val="212529"/>
          <w:sz w:val="24"/>
          <w:szCs w:val="24"/>
        </w:rPr>
        <w:t xml:space="preserve">Source: </w:t>
      </w:r>
      <w:r w:rsidRPr="00A84C18">
        <w:rPr>
          <w:rFonts w:ascii="Times New Roman" w:eastAsia="Times New Roman" w:hAnsi="Times New Roman" w:cs="Times New Roman"/>
          <w:color w:val="212529"/>
          <w:sz w:val="24"/>
          <w:szCs w:val="24"/>
        </w:rPr>
        <w:t>IIRC reports and authors compilation</w:t>
      </w:r>
      <w:r>
        <w:rPr>
          <w:rFonts w:ascii="Times New Roman" w:eastAsia="Times New Roman" w:hAnsi="Times New Roman" w:cs="Times New Roman"/>
          <w:color w:val="212529"/>
          <w:sz w:val="24"/>
          <w:szCs w:val="24"/>
        </w:rPr>
        <w:t xml:space="preserve">. </w:t>
      </w:r>
    </w:p>
    <w:p w14:paraId="474162AE" w14:textId="4D66EF9A" w:rsidR="00F650BE" w:rsidRDefault="000C4287" w:rsidP="00F650BE">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eight </w:t>
      </w:r>
      <w:r w:rsidR="00F650BE" w:rsidRPr="00A84C18">
        <w:rPr>
          <w:rFonts w:ascii="Times New Roman" w:hAnsi="Times New Roman" w:cs="Times New Roman"/>
          <w:sz w:val="24"/>
          <w:szCs w:val="24"/>
          <w:lang w:val="en-IN"/>
        </w:rPr>
        <w:t>Content elements includes several sub-elements</w:t>
      </w:r>
      <w:r>
        <w:rPr>
          <w:rFonts w:ascii="Times New Roman" w:hAnsi="Times New Roman" w:cs="Times New Roman"/>
          <w:sz w:val="24"/>
          <w:szCs w:val="24"/>
          <w:lang w:val="en-IN"/>
        </w:rPr>
        <w:t xml:space="preserve"> are presented in the above </w:t>
      </w:r>
      <w:r w:rsidR="00AD2522">
        <w:rPr>
          <w:rFonts w:ascii="Times New Roman" w:hAnsi="Times New Roman" w:cs="Times New Roman"/>
          <w:sz w:val="24"/>
          <w:szCs w:val="24"/>
          <w:lang w:val="en-IN"/>
        </w:rPr>
        <w:t>table</w:t>
      </w:r>
      <w:r>
        <w:rPr>
          <w:rFonts w:ascii="Times New Roman" w:hAnsi="Times New Roman" w:cs="Times New Roman"/>
          <w:sz w:val="24"/>
          <w:szCs w:val="24"/>
          <w:lang w:val="en-IN"/>
        </w:rPr>
        <w:t>. Each and every element focus on supporting value creation to the business and to the stakeholders.</w:t>
      </w:r>
    </w:p>
    <w:p w14:paraId="1F81263E" w14:textId="77777777" w:rsidR="00F421A0" w:rsidRPr="00A84C18" w:rsidRDefault="004232C7" w:rsidP="00F421A0">
      <w:pPr>
        <w:spacing w:after="0" w:line="360" w:lineRule="auto"/>
        <w:jc w:val="both"/>
        <w:rPr>
          <w:rFonts w:ascii="Times New Roman" w:hAnsi="Times New Roman" w:cs="Times New Roman"/>
          <w:b/>
          <w:sz w:val="24"/>
          <w:szCs w:val="24"/>
          <w:lang w:val="en-IN"/>
        </w:rPr>
      </w:pPr>
      <w:r w:rsidRPr="00F97AD0">
        <w:rPr>
          <w:rFonts w:ascii="Times New Roman" w:hAnsi="Times New Roman" w:cs="Times New Roman"/>
          <w:b/>
          <w:bCs/>
          <w:sz w:val="24"/>
          <w:szCs w:val="24"/>
          <w:lang w:val="en-IN"/>
        </w:rPr>
        <w:t>1.3.</w:t>
      </w:r>
      <w:r>
        <w:rPr>
          <w:rFonts w:ascii="Times New Roman" w:hAnsi="Times New Roman" w:cs="Times New Roman"/>
          <w:sz w:val="24"/>
          <w:szCs w:val="24"/>
          <w:lang w:val="en-IN"/>
        </w:rPr>
        <w:t xml:space="preserve"> </w:t>
      </w:r>
      <w:r w:rsidR="00F421A0" w:rsidRPr="00A84C18">
        <w:rPr>
          <w:rFonts w:ascii="Times New Roman" w:hAnsi="Times New Roman" w:cs="Times New Roman"/>
          <w:b/>
          <w:sz w:val="24"/>
          <w:szCs w:val="24"/>
          <w:lang w:val="en-IN"/>
        </w:rPr>
        <w:t xml:space="preserve">Seven Guiding Principles: </w:t>
      </w:r>
    </w:p>
    <w:p w14:paraId="38A4E9E5" w14:textId="0004A6AF" w:rsidR="00F421A0" w:rsidRPr="00A84C18" w:rsidRDefault="00BE340F" w:rsidP="00F421A0">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After the Six capitals, guiding principles, IR framework suggests to fallow seven guiding principles for better value creation/ business model to the organization and to the stakeholders. The</w:t>
      </w:r>
      <w:r w:rsidR="004958A6">
        <w:rPr>
          <w:rFonts w:ascii="Times New Roman" w:hAnsi="Times New Roman" w:cs="Times New Roman"/>
          <w:sz w:val="24"/>
          <w:szCs w:val="24"/>
          <w:lang w:val="en-IN"/>
        </w:rPr>
        <w:t xml:space="preserve"> seven guiding principles are strategic focus and future orientation, connectivity of information, </w:t>
      </w:r>
      <w:r w:rsidR="00037052">
        <w:rPr>
          <w:rFonts w:ascii="Times New Roman" w:hAnsi="Times New Roman" w:cs="Times New Roman"/>
          <w:sz w:val="24"/>
          <w:szCs w:val="24"/>
          <w:lang w:val="en-IN"/>
        </w:rPr>
        <w:t>stakeholders’</w:t>
      </w:r>
      <w:r w:rsidR="004958A6">
        <w:rPr>
          <w:rFonts w:ascii="Times New Roman" w:hAnsi="Times New Roman" w:cs="Times New Roman"/>
          <w:sz w:val="24"/>
          <w:szCs w:val="24"/>
          <w:lang w:val="en-IN"/>
        </w:rPr>
        <w:t xml:space="preserve"> engagement/ relationship, materiality, conciseness, reliability and completeness, consistency and comparability</w:t>
      </w:r>
      <w:r>
        <w:rPr>
          <w:rFonts w:ascii="Times New Roman" w:hAnsi="Times New Roman" w:cs="Times New Roman"/>
          <w:sz w:val="24"/>
          <w:szCs w:val="24"/>
          <w:lang w:val="en-IN"/>
        </w:rPr>
        <w:t xml:space="preserve"> </w:t>
      </w:r>
      <w:r w:rsidR="00F421A0" w:rsidRPr="00A84C18">
        <w:rPr>
          <w:rFonts w:ascii="Times New Roman" w:hAnsi="Times New Roman" w:cs="Times New Roman"/>
          <w:sz w:val="24"/>
          <w:szCs w:val="24"/>
          <w:lang w:val="en-IN"/>
        </w:rPr>
        <w:t xml:space="preserve">are presented in figure 3. </w:t>
      </w:r>
    </w:p>
    <w:p w14:paraId="0D93C340" w14:textId="3593B3EC" w:rsidR="00F421A0" w:rsidRDefault="00F421A0" w:rsidP="00F421A0">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b/>
        </w:rPr>
        <w:t>Figure 3:</w:t>
      </w:r>
      <w:r w:rsidRPr="00A84C18">
        <w:rPr>
          <w:rFonts w:ascii="Times New Roman" w:hAnsi="Times New Roman" w:cs="Times New Roman"/>
        </w:rPr>
        <w:t xml:space="preserve">IR </w:t>
      </w:r>
      <w:r w:rsidRPr="00A84C18">
        <w:rPr>
          <w:rFonts w:ascii="Times New Roman" w:hAnsi="Times New Roman" w:cs="Times New Roman"/>
          <w:sz w:val="24"/>
          <w:szCs w:val="24"/>
          <w:lang w:val="en-IN"/>
        </w:rPr>
        <w:t>Seven Guiding Principles</w:t>
      </w:r>
      <w:r w:rsidR="00037052">
        <w:rPr>
          <w:rFonts w:ascii="Times New Roman" w:hAnsi="Times New Roman" w:cs="Times New Roman"/>
          <w:sz w:val="24"/>
          <w:szCs w:val="24"/>
          <w:lang w:val="en-IN"/>
        </w:rPr>
        <w:t xml:space="preserve"> with key sub elements: </w:t>
      </w:r>
      <w:r w:rsidR="001E33DB">
        <w:rPr>
          <w:rFonts w:ascii="Times New Roman" w:hAnsi="Times New Roman" w:cs="Times New Roman"/>
          <w:sz w:val="24"/>
          <w:szCs w:val="24"/>
          <w:lang w:val="en-IN"/>
        </w:rPr>
        <w:t xml:space="preserve">as brief meaning of seven principles. </w:t>
      </w:r>
    </w:p>
    <w:p w14:paraId="4CE3DF97" w14:textId="23339D5F" w:rsidR="00182C67" w:rsidRDefault="002E0B22" w:rsidP="00182C67">
      <w:pPr>
        <w:spacing w:after="0" w:line="360" w:lineRule="auto"/>
        <w:jc w:val="both"/>
        <w:rPr>
          <w:rFonts w:ascii="Times New Roman" w:hAnsi="Times New Roman" w:cs="Times New Roman"/>
          <w:sz w:val="24"/>
          <w:szCs w:val="24"/>
          <w:lang w:val="en-IN"/>
        </w:rPr>
      </w:pPr>
      <w:r>
        <w:rPr>
          <w:rFonts w:ascii="Times New Roman" w:hAnsi="Times New Roman" w:cs="Times New Roman"/>
          <w:b/>
        </w:rPr>
        <w:t>Table 3</w:t>
      </w:r>
      <w:r w:rsidR="00182C67" w:rsidRPr="00A84C18">
        <w:rPr>
          <w:rFonts w:ascii="Times New Roman" w:hAnsi="Times New Roman" w:cs="Times New Roman"/>
          <w:b/>
        </w:rPr>
        <w:t>:</w:t>
      </w:r>
      <w:r w:rsidR="00182C67" w:rsidRPr="00A84C18">
        <w:rPr>
          <w:rFonts w:ascii="Times New Roman" w:hAnsi="Times New Roman" w:cs="Times New Roman"/>
          <w:sz w:val="24"/>
          <w:szCs w:val="24"/>
          <w:lang w:val="en-IN"/>
        </w:rPr>
        <w:t xml:space="preserve"> </w:t>
      </w:r>
      <w:r w:rsidR="00182C67">
        <w:rPr>
          <w:rFonts w:ascii="Times New Roman" w:hAnsi="Times New Roman" w:cs="Times New Roman"/>
          <w:sz w:val="24"/>
          <w:szCs w:val="24"/>
          <w:lang w:val="en-IN"/>
        </w:rPr>
        <w:t>Seven</w:t>
      </w:r>
      <w:r w:rsidR="00182C67" w:rsidRPr="00A84C18">
        <w:rPr>
          <w:rFonts w:ascii="Times New Roman" w:hAnsi="Times New Roman" w:cs="Times New Roman"/>
          <w:sz w:val="24"/>
          <w:szCs w:val="24"/>
          <w:lang w:val="en-IN"/>
        </w:rPr>
        <w:t xml:space="preserve"> </w:t>
      </w:r>
      <w:r w:rsidR="007B1FA4">
        <w:rPr>
          <w:rFonts w:ascii="Times New Roman" w:hAnsi="Times New Roman" w:cs="Times New Roman"/>
          <w:sz w:val="24"/>
          <w:szCs w:val="24"/>
          <w:lang w:val="en-IN"/>
        </w:rPr>
        <w:t>G</w:t>
      </w:r>
      <w:r w:rsidR="00182C67">
        <w:rPr>
          <w:rFonts w:ascii="Times New Roman" w:hAnsi="Times New Roman" w:cs="Times New Roman"/>
          <w:sz w:val="24"/>
          <w:szCs w:val="24"/>
          <w:lang w:val="en-IN"/>
        </w:rPr>
        <w:t xml:space="preserve">uiding </w:t>
      </w:r>
      <w:r w:rsidR="007B1FA4">
        <w:rPr>
          <w:rFonts w:ascii="Times New Roman" w:hAnsi="Times New Roman" w:cs="Times New Roman"/>
          <w:sz w:val="24"/>
          <w:szCs w:val="24"/>
          <w:lang w:val="en-IN"/>
        </w:rPr>
        <w:t>P</w:t>
      </w:r>
      <w:r w:rsidR="00182C67">
        <w:rPr>
          <w:rFonts w:ascii="Times New Roman" w:hAnsi="Times New Roman" w:cs="Times New Roman"/>
          <w:sz w:val="24"/>
          <w:szCs w:val="24"/>
          <w:lang w:val="en-IN"/>
        </w:rPr>
        <w:t xml:space="preserve">rinciples </w:t>
      </w:r>
      <w:r w:rsidR="00182C67" w:rsidRPr="00A84C18">
        <w:rPr>
          <w:rFonts w:ascii="Times New Roman" w:hAnsi="Times New Roman" w:cs="Times New Roman"/>
          <w:sz w:val="24"/>
          <w:szCs w:val="24"/>
          <w:lang w:val="en-IN"/>
        </w:rPr>
        <w:t>of IR</w:t>
      </w:r>
      <w:r w:rsidR="00182C67">
        <w:rPr>
          <w:rFonts w:ascii="Times New Roman" w:hAnsi="Times New Roman" w:cs="Times New Roman"/>
          <w:sz w:val="24"/>
          <w:szCs w:val="24"/>
          <w:lang w:val="en-IN"/>
        </w:rPr>
        <w:t>.</w:t>
      </w:r>
    </w:p>
    <w:tbl>
      <w:tblPr>
        <w:tblStyle w:val="TableGrid"/>
        <w:tblW w:w="0" w:type="auto"/>
        <w:tblLook w:val="04A0" w:firstRow="1" w:lastRow="0" w:firstColumn="1" w:lastColumn="0" w:noHBand="0" w:noVBand="1"/>
      </w:tblPr>
      <w:tblGrid>
        <w:gridCol w:w="3510"/>
        <w:gridCol w:w="5732"/>
      </w:tblGrid>
      <w:tr w:rsidR="00182C67" w14:paraId="3A280004" w14:textId="77777777" w:rsidTr="00131F1C">
        <w:tc>
          <w:tcPr>
            <w:tcW w:w="3510" w:type="dxa"/>
          </w:tcPr>
          <w:p w14:paraId="5D058DE1" w14:textId="3EF0AED9" w:rsidR="00182C67" w:rsidRDefault="007B1FA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Seven</w:t>
            </w:r>
            <w:r w:rsidRPr="00A84C18">
              <w:rPr>
                <w:rFonts w:ascii="Times New Roman" w:hAnsi="Times New Roman" w:cs="Times New Roman"/>
                <w:sz w:val="24"/>
                <w:szCs w:val="24"/>
                <w:lang w:val="en-IN"/>
              </w:rPr>
              <w:t xml:space="preserve"> </w:t>
            </w:r>
            <w:r>
              <w:rPr>
                <w:rFonts w:ascii="Times New Roman" w:hAnsi="Times New Roman" w:cs="Times New Roman"/>
                <w:sz w:val="24"/>
                <w:szCs w:val="24"/>
                <w:lang w:val="en-IN"/>
              </w:rPr>
              <w:t>Guiding Principles</w:t>
            </w:r>
          </w:p>
        </w:tc>
        <w:tc>
          <w:tcPr>
            <w:tcW w:w="5732" w:type="dxa"/>
          </w:tcPr>
          <w:p w14:paraId="3920CB67" w14:textId="39811F92" w:rsidR="00182C67" w:rsidRDefault="00182C67"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Sub-elements of the </w:t>
            </w:r>
            <w:r w:rsidR="007B1FA4">
              <w:rPr>
                <w:rFonts w:ascii="Times New Roman" w:hAnsi="Times New Roman" w:cs="Times New Roman"/>
                <w:sz w:val="24"/>
                <w:szCs w:val="24"/>
                <w:lang w:val="en-IN"/>
              </w:rPr>
              <w:t>Guiding Principles</w:t>
            </w:r>
          </w:p>
        </w:tc>
      </w:tr>
      <w:tr w:rsidR="00182C67" w14:paraId="3B047E96" w14:textId="77777777" w:rsidTr="00131F1C">
        <w:tc>
          <w:tcPr>
            <w:tcW w:w="3510" w:type="dxa"/>
          </w:tcPr>
          <w:p w14:paraId="2B956BE0" w14:textId="1F600644" w:rsidR="00182C67" w:rsidRDefault="00FF1832"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Strategic focus and future orientation</w:t>
            </w:r>
          </w:p>
        </w:tc>
        <w:tc>
          <w:tcPr>
            <w:tcW w:w="5732" w:type="dxa"/>
          </w:tcPr>
          <w:p w14:paraId="1E5842B9" w14:textId="352E416A" w:rsidR="00182C67" w:rsidRDefault="00FF1832"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Future strategic decisions, quality of presenting capitals and linking strategies with capitals</w:t>
            </w:r>
          </w:p>
        </w:tc>
      </w:tr>
      <w:tr w:rsidR="00182C67" w14:paraId="5FD0E5B3" w14:textId="77777777" w:rsidTr="00131F1C">
        <w:tc>
          <w:tcPr>
            <w:tcW w:w="3510" w:type="dxa"/>
          </w:tcPr>
          <w:p w14:paraId="36790FFE" w14:textId="0608790D" w:rsidR="00182C67" w:rsidRDefault="00FF1832"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Connectivity of information</w:t>
            </w:r>
          </w:p>
        </w:tc>
        <w:tc>
          <w:tcPr>
            <w:tcW w:w="5732" w:type="dxa"/>
          </w:tcPr>
          <w:p w14:paraId="5D675265" w14:textId="21A9D48C"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Linking various information’s, highlighting various KPI’s, SDGs and ESG. </w:t>
            </w:r>
          </w:p>
        </w:tc>
      </w:tr>
      <w:tr w:rsidR="00182C67" w14:paraId="2E75B0AF" w14:textId="77777777" w:rsidTr="00131F1C">
        <w:tc>
          <w:tcPr>
            <w:tcW w:w="3510" w:type="dxa"/>
          </w:tcPr>
          <w:p w14:paraId="6C08EB47" w14:textId="5BA0AE63"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Stakeholders’ relationship</w:t>
            </w:r>
          </w:p>
        </w:tc>
        <w:tc>
          <w:tcPr>
            <w:tcW w:w="5732" w:type="dxa"/>
          </w:tcPr>
          <w:p w14:paraId="2D36E82C" w14:textId="2A304B4C"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Groups, priorities and relationship with the business </w:t>
            </w:r>
          </w:p>
        </w:tc>
      </w:tr>
      <w:tr w:rsidR="00182C67" w14:paraId="32317C0F" w14:textId="77777777" w:rsidTr="00131F1C">
        <w:tc>
          <w:tcPr>
            <w:tcW w:w="3510" w:type="dxa"/>
          </w:tcPr>
          <w:p w14:paraId="7407F519" w14:textId="40E2E44D"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Materiality</w:t>
            </w:r>
          </w:p>
        </w:tc>
        <w:tc>
          <w:tcPr>
            <w:tcW w:w="5732" w:type="dxa"/>
          </w:tcPr>
          <w:p w14:paraId="7052C3E1" w14:textId="2EDF5511"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Concept, material matrix and interlinking concept with risk and capitals</w:t>
            </w:r>
          </w:p>
        </w:tc>
      </w:tr>
      <w:tr w:rsidR="00182C67" w14:paraId="549BC51A" w14:textId="77777777" w:rsidTr="00131F1C">
        <w:tc>
          <w:tcPr>
            <w:tcW w:w="3510" w:type="dxa"/>
          </w:tcPr>
          <w:p w14:paraId="2F7125E4" w14:textId="047534FF"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Conciseness</w:t>
            </w:r>
          </w:p>
        </w:tc>
        <w:tc>
          <w:tcPr>
            <w:tcW w:w="5732" w:type="dxa"/>
          </w:tcPr>
          <w:p w14:paraId="22C75886" w14:textId="69D583B4" w:rsidR="00182C67" w:rsidRDefault="00B155D4"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Clear expression, </w:t>
            </w:r>
            <w:r w:rsidR="000444EA">
              <w:rPr>
                <w:rFonts w:ascii="Times New Roman" w:hAnsi="Times New Roman" w:cs="Times New Roman"/>
                <w:sz w:val="24"/>
                <w:szCs w:val="24"/>
                <w:lang w:val="en-IN"/>
              </w:rPr>
              <w:t>Logical structure and clear disclosure of reports</w:t>
            </w:r>
          </w:p>
        </w:tc>
      </w:tr>
      <w:tr w:rsidR="00182C67" w14:paraId="45FBE9D7" w14:textId="77777777" w:rsidTr="00131F1C">
        <w:tc>
          <w:tcPr>
            <w:tcW w:w="3510" w:type="dxa"/>
          </w:tcPr>
          <w:p w14:paraId="76E547AA" w14:textId="2C077E50" w:rsidR="00182C67" w:rsidRDefault="000444EA"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Reliability and completeness</w:t>
            </w:r>
          </w:p>
        </w:tc>
        <w:tc>
          <w:tcPr>
            <w:tcW w:w="5732" w:type="dxa"/>
          </w:tcPr>
          <w:p w14:paraId="54FB4110" w14:textId="2283FF06" w:rsidR="00182C67" w:rsidRDefault="000444EA"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Freedom from errors, audit trail and future orientation </w:t>
            </w:r>
          </w:p>
        </w:tc>
      </w:tr>
      <w:tr w:rsidR="00182C67" w14:paraId="6E97269F" w14:textId="77777777" w:rsidTr="00131F1C">
        <w:tc>
          <w:tcPr>
            <w:tcW w:w="3510" w:type="dxa"/>
          </w:tcPr>
          <w:p w14:paraId="6C46AD93" w14:textId="6D332FC5" w:rsidR="00182C67" w:rsidRDefault="000444EA"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Consistency and comparability</w:t>
            </w:r>
          </w:p>
        </w:tc>
        <w:tc>
          <w:tcPr>
            <w:tcW w:w="5732" w:type="dxa"/>
          </w:tcPr>
          <w:p w14:paraId="6E7DE3C0" w14:textId="4629170D" w:rsidR="00182C67" w:rsidRDefault="000444EA" w:rsidP="00131F1C">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Reporting qualitative reports and comparison of data</w:t>
            </w:r>
          </w:p>
        </w:tc>
      </w:tr>
    </w:tbl>
    <w:p w14:paraId="5DABD84E" w14:textId="77777777" w:rsidR="0015668E" w:rsidRPr="00A84C18" w:rsidRDefault="0015668E" w:rsidP="0015668E">
      <w:pPr>
        <w:spacing w:after="0" w:line="360" w:lineRule="auto"/>
        <w:jc w:val="both"/>
        <w:rPr>
          <w:rFonts w:ascii="Times New Roman" w:eastAsia="Times New Roman" w:hAnsi="Times New Roman" w:cs="Times New Roman"/>
          <w:color w:val="212529"/>
          <w:sz w:val="24"/>
          <w:szCs w:val="24"/>
        </w:rPr>
      </w:pPr>
      <w:r w:rsidRPr="00A84C18">
        <w:rPr>
          <w:rFonts w:ascii="Times New Roman" w:eastAsia="Times New Roman" w:hAnsi="Times New Roman" w:cs="Times New Roman"/>
          <w:b/>
          <w:color w:val="212529"/>
          <w:sz w:val="24"/>
          <w:szCs w:val="24"/>
        </w:rPr>
        <w:t xml:space="preserve">Source: </w:t>
      </w:r>
      <w:r w:rsidRPr="00A84C18">
        <w:rPr>
          <w:rFonts w:ascii="Times New Roman" w:eastAsia="Times New Roman" w:hAnsi="Times New Roman" w:cs="Times New Roman"/>
          <w:color w:val="212529"/>
          <w:sz w:val="24"/>
          <w:szCs w:val="24"/>
        </w:rPr>
        <w:t>IIRC reports and authors compilation</w:t>
      </w:r>
    </w:p>
    <w:p w14:paraId="249616DB" w14:textId="4E2FCCA8" w:rsidR="0015668E" w:rsidRPr="00A84C18" w:rsidRDefault="0015668E" w:rsidP="0015668E">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These principles and sub heads will determine value for a business over short-, medium- and long-term basis. </w:t>
      </w:r>
      <w:r w:rsidR="000864CF">
        <w:rPr>
          <w:rFonts w:ascii="Times New Roman" w:hAnsi="Times New Roman" w:cs="Times New Roman"/>
          <w:sz w:val="24"/>
          <w:szCs w:val="24"/>
          <w:lang w:val="en-IN"/>
        </w:rPr>
        <w:t>These seven principles will help the uses of the business in brief. And further can view from the above figure</w:t>
      </w:r>
      <w:r w:rsidRPr="00A84C18">
        <w:rPr>
          <w:rFonts w:ascii="Times New Roman" w:hAnsi="Times New Roman" w:cs="Times New Roman"/>
          <w:sz w:val="24"/>
          <w:szCs w:val="24"/>
          <w:lang w:val="en-IN"/>
        </w:rPr>
        <w:t xml:space="preserve">. </w:t>
      </w:r>
    </w:p>
    <w:p w14:paraId="1D18FD75" w14:textId="5BB14BEF" w:rsidR="00137ECC" w:rsidRPr="002523C3" w:rsidRDefault="00B637D5" w:rsidP="00C74264">
      <w:pPr>
        <w:spacing w:after="0" w:line="360" w:lineRule="auto"/>
        <w:ind w:right="-23"/>
        <w:jc w:val="both"/>
        <w:rPr>
          <w:rFonts w:ascii="Times New Roman" w:hAnsi="Times New Roman" w:cs="Times New Roman"/>
          <w:b/>
          <w:sz w:val="24"/>
          <w:szCs w:val="24"/>
        </w:rPr>
      </w:pPr>
      <w:r w:rsidRPr="002523C3">
        <w:rPr>
          <w:rFonts w:ascii="Times New Roman" w:hAnsi="Times New Roman" w:cs="Times New Roman"/>
          <w:b/>
          <w:sz w:val="24"/>
          <w:szCs w:val="24"/>
        </w:rPr>
        <w:t>1.</w:t>
      </w:r>
      <w:r w:rsidR="002270F8">
        <w:rPr>
          <w:rFonts w:ascii="Times New Roman" w:hAnsi="Times New Roman" w:cs="Times New Roman"/>
          <w:b/>
          <w:sz w:val="24"/>
          <w:szCs w:val="24"/>
        </w:rPr>
        <w:t>4</w:t>
      </w:r>
      <w:r w:rsidRPr="002523C3">
        <w:rPr>
          <w:rFonts w:ascii="Times New Roman" w:hAnsi="Times New Roman" w:cs="Times New Roman"/>
          <w:b/>
          <w:sz w:val="24"/>
          <w:szCs w:val="24"/>
        </w:rPr>
        <w:t xml:space="preserve"> </w:t>
      </w:r>
      <w:r w:rsidR="00137ECC" w:rsidRPr="002523C3">
        <w:rPr>
          <w:rFonts w:ascii="Times New Roman" w:hAnsi="Times New Roman" w:cs="Times New Roman"/>
          <w:b/>
          <w:sz w:val="24"/>
          <w:szCs w:val="24"/>
        </w:rPr>
        <w:t xml:space="preserve">Why India and only </w:t>
      </w:r>
      <w:r w:rsidR="00D35B05" w:rsidRPr="002523C3">
        <w:rPr>
          <w:rFonts w:ascii="Times New Roman" w:hAnsi="Times New Roman" w:cs="Times New Roman"/>
          <w:b/>
          <w:sz w:val="24"/>
          <w:szCs w:val="24"/>
        </w:rPr>
        <w:t>thirty-</w:t>
      </w:r>
      <w:r w:rsidR="00AA5055">
        <w:rPr>
          <w:rFonts w:ascii="Times New Roman" w:hAnsi="Times New Roman" w:cs="Times New Roman"/>
          <w:b/>
          <w:sz w:val="24"/>
          <w:szCs w:val="24"/>
        </w:rPr>
        <w:t>five</w:t>
      </w:r>
      <w:r w:rsidR="00137ECC" w:rsidRPr="002523C3">
        <w:rPr>
          <w:rFonts w:ascii="Times New Roman" w:hAnsi="Times New Roman" w:cs="Times New Roman"/>
          <w:b/>
          <w:sz w:val="24"/>
          <w:szCs w:val="24"/>
        </w:rPr>
        <w:t xml:space="preserve"> companies:</w:t>
      </w:r>
    </w:p>
    <w:p w14:paraId="66DF3B5D" w14:textId="2801D7D6" w:rsidR="005C3E1E" w:rsidRDefault="00B20F9F" w:rsidP="000D25D0">
      <w:pPr>
        <w:spacing w:after="0" w:line="360" w:lineRule="auto"/>
        <w:ind w:right="-23"/>
        <w:jc w:val="both"/>
        <w:rPr>
          <w:rFonts w:ascii="Times New Roman" w:hAnsi="Times New Roman" w:cs="Times New Roman"/>
          <w:sz w:val="24"/>
          <w:szCs w:val="24"/>
        </w:rPr>
      </w:pPr>
      <w:r>
        <w:rPr>
          <w:rFonts w:ascii="Times New Roman" w:hAnsi="Times New Roman" w:cs="Times New Roman"/>
          <w:sz w:val="24"/>
          <w:szCs w:val="24"/>
        </w:rPr>
        <w:t>First Securities Exchange Board of India (</w:t>
      </w:r>
      <w:r w:rsidRPr="00B20F9F">
        <w:rPr>
          <w:rFonts w:ascii="Times New Roman" w:hAnsi="Times New Roman" w:cs="Times New Roman"/>
          <w:sz w:val="24"/>
          <w:szCs w:val="24"/>
        </w:rPr>
        <w:t>SEBI</w:t>
      </w:r>
      <w:r>
        <w:rPr>
          <w:rFonts w:ascii="Times New Roman" w:hAnsi="Times New Roman" w:cs="Times New Roman"/>
          <w:sz w:val="24"/>
          <w:szCs w:val="24"/>
        </w:rPr>
        <w:t xml:space="preserve">) 2017 dated circular discloses that all top 500 hundred listed companies in India go for adopting IR framework on voluntary basis. </w:t>
      </w:r>
      <w:r w:rsidR="00133D92">
        <w:rPr>
          <w:rFonts w:ascii="Times New Roman" w:hAnsi="Times New Roman" w:cs="Times New Roman"/>
          <w:sz w:val="24"/>
          <w:szCs w:val="24"/>
        </w:rPr>
        <w:t>The companies can disclose within the annual report/ separate IR</w:t>
      </w:r>
      <w:r w:rsidR="00987927">
        <w:rPr>
          <w:rFonts w:ascii="Times New Roman" w:hAnsi="Times New Roman" w:cs="Times New Roman"/>
          <w:sz w:val="24"/>
          <w:szCs w:val="24"/>
        </w:rPr>
        <w:t xml:space="preserve"> </w:t>
      </w:r>
      <w:r w:rsidR="00133D92">
        <w:rPr>
          <w:rFonts w:ascii="Times New Roman" w:hAnsi="Times New Roman" w:cs="Times New Roman"/>
          <w:sz w:val="24"/>
          <w:szCs w:val="24"/>
        </w:rPr>
        <w:t>/ mentioning integrated annual reports</w:t>
      </w:r>
      <w:r w:rsidR="00987927">
        <w:rPr>
          <w:rFonts w:ascii="Times New Roman" w:hAnsi="Times New Roman" w:cs="Times New Roman"/>
          <w:sz w:val="24"/>
          <w:szCs w:val="24"/>
        </w:rPr>
        <w:t xml:space="preserve"> by fulfilling all clauses of SEBI. </w:t>
      </w:r>
      <w:r w:rsidR="00AA5055">
        <w:rPr>
          <w:rFonts w:ascii="Times New Roman" w:hAnsi="Times New Roman" w:cs="Times New Roman"/>
          <w:sz w:val="24"/>
          <w:szCs w:val="24"/>
        </w:rPr>
        <w:t>The s</w:t>
      </w:r>
      <w:r w:rsidR="005D0583">
        <w:rPr>
          <w:rFonts w:ascii="Times New Roman" w:hAnsi="Times New Roman" w:cs="Times New Roman"/>
          <w:sz w:val="24"/>
          <w:szCs w:val="24"/>
        </w:rPr>
        <w:t xml:space="preserve">econd report from </w:t>
      </w:r>
      <w:r w:rsidR="005D0583" w:rsidRPr="004C05EF">
        <w:rPr>
          <w:rFonts w:ascii="Times New Roman" w:hAnsi="Times New Roman" w:cs="Times New Roman"/>
          <w:sz w:val="24"/>
          <w:szCs w:val="24"/>
        </w:rPr>
        <w:t>Vrushali (2019)</w:t>
      </w:r>
      <w:r w:rsidR="005D0583">
        <w:rPr>
          <w:rFonts w:ascii="Times New Roman" w:hAnsi="Times New Roman" w:cs="Times New Roman"/>
          <w:sz w:val="24"/>
          <w:szCs w:val="24"/>
        </w:rPr>
        <w:t xml:space="preserve"> a representative/ trainee from the IIRC, given a presentation on the importance of IR in India</w:t>
      </w:r>
      <w:r w:rsidR="003C3BF5">
        <w:rPr>
          <w:rFonts w:ascii="Times New Roman" w:hAnsi="Times New Roman" w:cs="Times New Roman"/>
          <w:sz w:val="24"/>
          <w:szCs w:val="24"/>
        </w:rPr>
        <w:t xml:space="preserve">. Third </w:t>
      </w:r>
      <w:r w:rsidR="005F668C">
        <w:rPr>
          <w:rFonts w:ascii="Times New Roman" w:hAnsi="Times New Roman" w:cs="Times New Roman"/>
          <w:sz w:val="24"/>
          <w:szCs w:val="24"/>
        </w:rPr>
        <w:t xml:space="preserve">a survey from </w:t>
      </w:r>
      <w:r w:rsidR="005F668C" w:rsidRPr="004C05EF">
        <w:rPr>
          <w:rFonts w:ascii="Times New Roman" w:hAnsi="Times New Roman" w:cs="Times New Roman"/>
          <w:sz w:val="24"/>
          <w:szCs w:val="24"/>
        </w:rPr>
        <w:t>Thornton (2020)</w:t>
      </w:r>
      <w:r w:rsidR="005F668C">
        <w:rPr>
          <w:rFonts w:ascii="Times New Roman" w:hAnsi="Times New Roman" w:cs="Times New Roman"/>
          <w:sz w:val="24"/>
          <w:szCs w:val="24"/>
        </w:rPr>
        <w:t xml:space="preserve"> also explains the adoption/ growth/ importance of IR and progress of IR in India. Fourth, </w:t>
      </w:r>
      <w:r w:rsidR="004A042D">
        <w:rPr>
          <w:rFonts w:ascii="Times New Roman" w:hAnsi="Times New Roman" w:cs="Times New Roman"/>
          <w:sz w:val="24"/>
          <w:szCs w:val="24"/>
        </w:rPr>
        <w:t xml:space="preserve">KPMG (2018) </w:t>
      </w:r>
      <w:r w:rsidR="00A41412">
        <w:rPr>
          <w:rFonts w:ascii="Times New Roman" w:hAnsi="Times New Roman" w:cs="Times New Roman"/>
          <w:sz w:val="24"/>
          <w:szCs w:val="24"/>
        </w:rPr>
        <w:t xml:space="preserve">reveals the emergence of IR and growth of IR across the globe. </w:t>
      </w:r>
      <w:r w:rsidR="0054014D">
        <w:rPr>
          <w:rFonts w:ascii="Times New Roman" w:hAnsi="Times New Roman" w:cs="Times New Roman"/>
          <w:sz w:val="24"/>
          <w:szCs w:val="24"/>
        </w:rPr>
        <w:t>It also claims that the Indian companies best in practicing corporate social reporting (CSR)</w:t>
      </w:r>
      <w:r w:rsidR="00FE1674">
        <w:rPr>
          <w:rFonts w:ascii="Times New Roman" w:hAnsi="Times New Roman" w:cs="Times New Roman"/>
          <w:sz w:val="24"/>
          <w:szCs w:val="24"/>
        </w:rPr>
        <w:t xml:space="preserve">. </w:t>
      </w:r>
      <w:r w:rsidR="0054014D">
        <w:rPr>
          <w:rFonts w:ascii="Times New Roman" w:hAnsi="Times New Roman" w:cs="Times New Roman"/>
          <w:sz w:val="24"/>
          <w:szCs w:val="24"/>
        </w:rPr>
        <w:t xml:space="preserve"> </w:t>
      </w:r>
    </w:p>
    <w:p w14:paraId="005672D0" w14:textId="6364305D" w:rsidR="00C9701A" w:rsidRPr="005C3E1E" w:rsidRDefault="000D25D0" w:rsidP="000D25D0">
      <w:pPr>
        <w:spacing w:after="0" w:line="360" w:lineRule="auto"/>
        <w:ind w:right="-23"/>
        <w:jc w:val="both"/>
        <w:rPr>
          <w:rFonts w:ascii="Times New Roman" w:hAnsi="Times New Roman" w:cs="Times New Roman"/>
          <w:sz w:val="24"/>
          <w:szCs w:val="24"/>
        </w:rPr>
      </w:pPr>
      <w:r w:rsidRPr="00A84C18">
        <w:rPr>
          <w:rFonts w:ascii="Times New Roman" w:hAnsi="Times New Roman" w:cs="Times New Roman"/>
          <w:sz w:val="24"/>
          <w:szCs w:val="24"/>
        </w:rPr>
        <w:t xml:space="preserve">The present paper highlights IIRC proposed Six </w:t>
      </w:r>
      <w:r w:rsidR="009F5AA9">
        <w:rPr>
          <w:rFonts w:ascii="Times New Roman" w:hAnsi="Times New Roman" w:cs="Times New Roman"/>
          <w:sz w:val="24"/>
          <w:szCs w:val="24"/>
        </w:rPr>
        <w:t>CDI</w:t>
      </w:r>
      <w:r w:rsidRPr="00A84C18">
        <w:rPr>
          <w:rFonts w:ascii="Times New Roman" w:hAnsi="Times New Roman" w:cs="Times New Roman"/>
          <w:sz w:val="24"/>
          <w:szCs w:val="24"/>
        </w:rPr>
        <w:t>, Seven</w:t>
      </w:r>
      <w:r w:rsidR="009F5AA9">
        <w:rPr>
          <w:rFonts w:ascii="Times New Roman" w:hAnsi="Times New Roman" w:cs="Times New Roman"/>
          <w:sz w:val="24"/>
          <w:szCs w:val="24"/>
        </w:rPr>
        <w:t xml:space="preserve"> GPI</w:t>
      </w:r>
      <w:r w:rsidRPr="00A84C18">
        <w:rPr>
          <w:rFonts w:ascii="Times New Roman" w:hAnsi="Times New Roman" w:cs="Times New Roman"/>
          <w:sz w:val="24"/>
          <w:szCs w:val="24"/>
        </w:rPr>
        <w:t xml:space="preserve">, Eight </w:t>
      </w:r>
      <w:r w:rsidR="009F5AA9">
        <w:rPr>
          <w:rFonts w:ascii="Times New Roman" w:hAnsi="Times New Roman" w:cs="Times New Roman"/>
          <w:sz w:val="24"/>
          <w:szCs w:val="24"/>
        </w:rPr>
        <w:t>CEI</w:t>
      </w:r>
      <w:r w:rsidRPr="00A84C18">
        <w:rPr>
          <w:rFonts w:ascii="Times New Roman" w:hAnsi="Times New Roman" w:cs="Times New Roman"/>
          <w:sz w:val="24"/>
          <w:szCs w:val="24"/>
        </w:rPr>
        <w:t>, IR</w:t>
      </w:r>
      <w:r w:rsidR="009F5AA9">
        <w:rPr>
          <w:rFonts w:ascii="Times New Roman" w:hAnsi="Times New Roman" w:cs="Times New Roman"/>
          <w:sz w:val="24"/>
          <w:szCs w:val="24"/>
        </w:rPr>
        <w:t>FI</w:t>
      </w:r>
      <w:r w:rsidRPr="00A84C18">
        <w:rPr>
          <w:rFonts w:ascii="Times New Roman" w:hAnsi="Times New Roman" w:cs="Times New Roman"/>
          <w:sz w:val="24"/>
          <w:szCs w:val="24"/>
        </w:rPr>
        <w:t xml:space="preserve"> of </w:t>
      </w:r>
      <w:r w:rsidR="00F8493F">
        <w:rPr>
          <w:rFonts w:ascii="Times New Roman" w:hAnsi="Times New Roman" w:cs="Times New Roman"/>
          <w:sz w:val="24"/>
          <w:szCs w:val="24"/>
        </w:rPr>
        <w:t xml:space="preserve">selected </w:t>
      </w:r>
      <w:r w:rsidR="00FE1674">
        <w:rPr>
          <w:rFonts w:ascii="Times New Roman" w:hAnsi="Times New Roman" w:cs="Times New Roman"/>
          <w:sz w:val="24"/>
          <w:szCs w:val="24"/>
        </w:rPr>
        <w:t>thirty-seven</w:t>
      </w:r>
      <w:r w:rsidRPr="00A84C18">
        <w:rPr>
          <w:rFonts w:ascii="Times New Roman" w:hAnsi="Times New Roman" w:cs="Times New Roman"/>
          <w:sz w:val="24"/>
          <w:szCs w:val="24"/>
        </w:rPr>
        <w:t xml:space="preserve"> companies</w:t>
      </w:r>
      <w:r w:rsidR="009F5AA9">
        <w:rPr>
          <w:rFonts w:ascii="Times New Roman" w:hAnsi="Times New Roman" w:cs="Times New Roman"/>
          <w:sz w:val="24"/>
          <w:szCs w:val="24"/>
        </w:rPr>
        <w:t xml:space="preserve"> by employing two tailed </w:t>
      </w:r>
      <w:r w:rsidR="005C2B50">
        <w:rPr>
          <w:rFonts w:ascii="Times New Roman" w:hAnsi="Times New Roman" w:cs="Times New Roman"/>
          <w:sz w:val="24"/>
          <w:szCs w:val="24"/>
        </w:rPr>
        <w:t>tests</w:t>
      </w:r>
      <w:r w:rsidR="009F5AA9">
        <w:rPr>
          <w:rFonts w:ascii="Times New Roman" w:hAnsi="Times New Roman" w:cs="Times New Roman"/>
          <w:sz w:val="24"/>
          <w:szCs w:val="24"/>
        </w:rPr>
        <w:t xml:space="preserve"> </w:t>
      </w:r>
      <w:r w:rsidR="005C2B50">
        <w:rPr>
          <w:rFonts w:ascii="Times New Roman" w:hAnsi="Times New Roman" w:cs="Times New Roman"/>
          <w:sz w:val="24"/>
          <w:szCs w:val="24"/>
        </w:rPr>
        <w:t>for a comparative study considering two sets of time period i.e., 2018 to 2019 and 2020 to 2021. Further, the study included multiple regression model</w:t>
      </w:r>
      <w:r w:rsidR="005C3E1E">
        <w:rPr>
          <w:rFonts w:ascii="Times New Roman" w:hAnsi="Times New Roman" w:cs="Times New Roman"/>
          <w:sz w:val="24"/>
          <w:szCs w:val="24"/>
        </w:rPr>
        <w:t>, f</w:t>
      </w:r>
      <w:r w:rsidRPr="00A84C18">
        <w:rPr>
          <w:rFonts w:ascii="Times New Roman" w:hAnsi="Times New Roman" w:cs="Times New Roman"/>
          <w:sz w:val="24"/>
          <w:szCs w:val="24"/>
        </w:rPr>
        <w:t xml:space="preserve">ollowing IR practices in India along with their year of disclosure. </w:t>
      </w:r>
      <w:r w:rsidR="005C3E1E">
        <w:rPr>
          <w:rFonts w:ascii="Times New Roman" w:hAnsi="Times New Roman" w:cs="Times New Roman"/>
          <w:sz w:val="24"/>
          <w:szCs w:val="24"/>
        </w:rPr>
        <w:t>The remaining paper is arranged in the following manner</w:t>
      </w:r>
      <w:r w:rsidR="00056BE5">
        <w:rPr>
          <w:rFonts w:ascii="Times New Roman" w:hAnsi="Times New Roman" w:cs="Times New Roman"/>
          <w:sz w:val="24"/>
          <w:szCs w:val="24"/>
        </w:rPr>
        <w:t xml:space="preserve">. Section 2 </w:t>
      </w:r>
      <w:r w:rsidR="00C9701A" w:rsidRPr="00A84C18">
        <w:rPr>
          <w:rFonts w:ascii="Times New Roman" w:hAnsi="Times New Roman" w:cs="Times New Roman"/>
          <w:sz w:val="24"/>
          <w:szCs w:val="24"/>
          <w:lang w:val="en-IN"/>
        </w:rPr>
        <w:t xml:space="preserve">highlights </w:t>
      </w:r>
      <w:r w:rsidR="00056BE5">
        <w:rPr>
          <w:rFonts w:ascii="Times New Roman" w:hAnsi="Times New Roman" w:cs="Times New Roman"/>
          <w:sz w:val="24"/>
          <w:szCs w:val="24"/>
          <w:lang w:val="en-IN"/>
        </w:rPr>
        <w:t xml:space="preserve">review of </w:t>
      </w:r>
      <w:r w:rsidR="00C9701A" w:rsidRPr="00A84C18">
        <w:rPr>
          <w:rFonts w:ascii="Times New Roman" w:hAnsi="Times New Roman" w:cs="Times New Roman"/>
          <w:sz w:val="24"/>
          <w:szCs w:val="24"/>
          <w:lang w:val="en-IN"/>
        </w:rPr>
        <w:t>literature</w:t>
      </w:r>
      <w:r w:rsidR="00056BE5">
        <w:rPr>
          <w:rFonts w:ascii="Times New Roman" w:hAnsi="Times New Roman" w:cs="Times New Roman"/>
          <w:sz w:val="24"/>
          <w:szCs w:val="24"/>
          <w:lang w:val="en-IN"/>
        </w:rPr>
        <w:t xml:space="preserve">. </w:t>
      </w:r>
      <w:r w:rsidR="00C9701A" w:rsidRPr="00A84C18">
        <w:rPr>
          <w:rFonts w:ascii="Times New Roman" w:hAnsi="Times New Roman" w:cs="Times New Roman"/>
          <w:sz w:val="24"/>
          <w:szCs w:val="24"/>
          <w:lang w:val="en-IN"/>
        </w:rPr>
        <w:t xml:space="preserve">Section 3 highlights </w:t>
      </w:r>
      <w:r w:rsidR="005C3E1E">
        <w:rPr>
          <w:rFonts w:ascii="Times New Roman" w:hAnsi="Times New Roman" w:cs="Times New Roman"/>
          <w:sz w:val="24"/>
          <w:szCs w:val="24"/>
          <w:lang w:val="en-IN"/>
        </w:rPr>
        <w:t xml:space="preserve">proposed methodology </w:t>
      </w:r>
      <w:r w:rsidR="00056BE5">
        <w:rPr>
          <w:rFonts w:ascii="Times New Roman" w:hAnsi="Times New Roman" w:cs="Times New Roman"/>
          <w:sz w:val="24"/>
          <w:szCs w:val="24"/>
          <w:lang w:val="en-IN"/>
        </w:rPr>
        <w:t>for the study.</w:t>
      </w:r>
      <w:r w:rsidR="00C9701A" w:rsidRPr="00A84C18">
        <w:rPr>
          <w:rFonts w:ascii="Times New Roman" w:hAnsi="Times New Roman" w:cs="Times New Roman"/>
          <w:sz w:val="24"/>
          <w:szCs w:val="24"/>
          <w:lang w:val="en-IN"/>
        </w:rPr>
        <w:t xml:space="preserve"> Section 4 outlines </w:t>
      </w:r>
      <w:r w:rsidR="00056BE5">
        <w:rPr>
          <w:rFonts w:ascii="Times New Roman" w:hAnsi="Times New Roman" w:cs="Times New Roman"/>
          <w:sz w:val="24"/>
          <w:szCs w:val="24"/>
          <w:lang w:val="en-IN"/>
        </w:rPr>
        <w:t>the results, discussion of proposed model. Finally, Section 5 with c</w:t>
      </w:r>
      <w:r w:rsidR="00F23FD4" w:rsidRPr="00A84C18">
        <w:rPr>
          <w:rFonts w:ascii="Times New Roman" w:hAnsi="Times New Roman" w:cs="Times New Roman"/>
          <w:sz w:val="24"/>
          <w:szCs w:val="24"/>
          <w:lang w:val="en-IN"/>
        </w:rPr>
        <w:t>onclusion and scope.</w:t>
      </w:r>
    </w:p>
    <w:p w14:paraId="20168256" w14:textId="48F1B8B6" w:rsidR="008F10F6" w:rsidRPr="006E102B" w:rsidRDefault="006E102B" w:rsidP="006E102B">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 xml:space="preserve">2. </w:t>
      </w:r>
      <w:r w:rsidR="001724C4" w:rsidRPr="006E102B">
        <w:rPr>
          <w:rFonts w:ascii="Times New Roman" w:hAnsi="Times New Roman" w:cs="Times New Roman"/>
          <w:b/>
          <w:sz w:val="24"/>
          <w:szCs w:val="24"/>
          <w:lang w:val="en-IN"/>
        </w:rPr>
        <w:t>Literature</w:t>
      </w:r>
      <w:r w:rsidR="008F10F6" w:rsidRPr="006E102B">
        <w:rPr>
          <w:rFonts w:ascii="Times New Roman" w:hAnsi="Times New Roman" w:cs="Times New Roman"/>
          <w:b/>
          <w:sz w:val="24"/>
          <w:szCs w:val="24"/>
          <w:lang w:val="en-IN"/>
        </w:rPr>
        <w:t xml:space="preserve"> Review</w:t>
      </w:r>
      <w:r w:rsidR="0038412A" w:rsidRPr="006E102B">
        <w:rPr>
          <w:rFonts w:ascii="Times New Roman" w:hAnsi="Times New Roman" w:cs="Times New Roman"/>
          <w:b/>
          <w:sz w:val="24"/>
          <w:szCs w:val="24"/>
          <w:lang w:val="en-IN"/>
        </w:rPr>
        <w:t>:</w:t>
      </w:r>
    </w:p>
    <w:p w14:paraId="1A92DE44" w14:textId="0502FF9F" w:rsidR="0038412A" w:rsidRPr="00A84C18" w:rsidRDefault="006579D8" w:rsidP="00C74264">
      <w:pPr>
        <w:pStyle w:val="ListParagraph"/>
        <w:spacing w:after="0" w:line="360" w:lineRule="auto"/>
        <w:ind w:left="0"/>
        <w:jc w:val="both"/>
        <w:rPr>
          <w:rFonts w:ascii="Times New Roman" w:hAnsi="Times New Roman" w:cs="Times New Roman"/>
          <w:sz w:val="24"/>
          <w:szCs w:val="24"/>
          <w:lang w:val="en-IN"/>
        </w:rPr>
      </w:pPr>
      <w:r w:rsidRPr="00A84C18">
        <w:rPr>
          <w:rFonts w:ascii="Times New Roman" w:hAnsi="Times New Roman" w:cs="Times New Roman"/>
          <w:sz w:val="24"/>
          <w:szCs w:val="24"/>
        </w:rPr>
        <w:t>The preparation of IR ha</w:t>
      </w:r>
      <w:r w:rsidR="0033275A">
        <w:rPr>
          <w:rFonts w:ascii="Times New Roman" w:hAnsi="Times New Roman" w:cs="Times New Roman"/>
          <w:sz w:val="24"/>
          <w:szCs w:val="24"/>
        </w:rPr>
        <w:t>d seen</w:t>
      </w:r>
      <w:r w:rsidRPr="00A84C18">
        <w:rPr>
          <w:rFonts w:ascii="Times New Roman" w:hAnsi="Times New Roman" w:cs="Times New Roman"/>
          <w:sz w:val="24"/>
          <w:szCs w:val="24"/>
        </w:rPr>
        <w:t xml:space="preserve"> a greater </w:t>
      </w:r>
      <w:r w:rsidR="0033275A">
        <w:rPr>
          <w:rFonts w:ascii="Times New Roman" w:hAnsi="Times New Roman" w:cs="Times New Roman"/>
          <w:sz w:val="24"/>
          <w:szCs w:val="24"/>
        </w:rPr>
        <w:t>growth across the globe</w:t>
      </w:r>
      <w:r w:rsidR="00205561">
        <w:rPr>
          <w:rFonts w:ascii="Times New Roman" w:hAnsi="Times New Roman" w:cs="Times New Roman"/>
          <w:sz w:val="24"/>
          <w:szCs w:val="24"/>
        </w:rPr>
        <w:t>. T</w:t>
      </w:r>
      <w:r w:rsidR="0033275A">
        <w:rPr>
          <w:rFonts w:ascii="Times New Roman" w:hAnsi="Times New Roman" w:cs="Times New Roman"/>
          <w:sz w:val="24"/>
          <w:szCs w:val="24"/>
        </w:rPr>
        <w:t xml:space="preserve">he IR </w:t>
      </w:r>
      <w:r w:rsidR="00205561">
        <w:rPr>
          <w:rFonts w:ascii="Times New Roman" w:hAnsi="Times New Roman" w:cs="Times New Roman"/>
          <w:sz w:val="24"/>
          <w:szCs w:val="24"/>
        </w:rPr>
        <w:t xml:space="preserve">quality influence </w:t>
      </w:r>
      <w:r w:rsidRPr="00A84C18">
        <w:rPr>
          <w:rFonts w:ascii="Times New Roman" w:hAnsi="Times New Roman" w:cs="Times New Roman"/>
          <w:sz w:val="24"/>
          <w:szCs w:val="24"/>
        </w:rPr>
        <w:t xml:space="preserve">leverage, performance, size </w:t>
      </w:r>
      <w:r w:rsidR="00205561">
        <w:rPr>
          <w:rFonts w:ascii="Times New Roman" w:hAnsi="Times New Roman" w:cs="Times New Roman"/>
          <w:sz w:val="24"/>
          <w:szCs w:val="24"/>
        </w:rPr>
        <w:t xml:space="preserve">and profitability. </w:t>
      </w:r>
      <w:r w:rsidR="004F068A">
        <w:rPr>
          <w:rFonts w:ascii="Times New Roman" w:hAnsi="Times New Roman" w:cs="Times New Roman"/>
          <w:sz w:val="24"/>
          <w:szCs w:val="24"/>
        </w:rPr>
        <w:t xml:space="preserve">The studies from across the globe been </w:t>
      </w:r>
      <w:r w:rsidR="00D35E00" w:rsidRPr="00A84C18">
        <w:rPr>
          <w:rFonts w:ascii="Times New Roman" w:hAnsi="Times New Roman" w:cs="Times New Roman"/>
          <w:sz w:val="24"/>
          <w:szCs w:val="24"/>
        </w:rPr>
        <w:t>directed</w:t>
      </w:r>
      <w:r w:rsidRPr="00A84C18">
        <w:rPr>
          <w:rFonts w:ascii="Times New Roman" w:hAnsi="Times New Roman" w:cs="Times New Roman"/>
          <w:sz w:val="24"/>
          <w:szCs w:val="24"/>
        </w:rPr>
        <w:t xml:space="preserve"> </w:t>
      </w:r>
      <w:r w:rsidR="00D35E00" w:rsidRPr="00A84C18">
        <w:rPr>
          <w:rFonts w:ascii="Times New Roman" w:hAnsi="Times New Roman" w:cs="Times New Roman"/>
          <w:sz w:val="24"/>
          <w:szCs w:val="24"/>
        </w:rPr>
        <w:t>broadly</w:t>
      </w:r>
      <w:r w:rsidR="0002286C" w:rsidRPr="00A84C18">
        <w:rPr>
          <w:rFonts w:ascii="Times New Roman" w:hAnsi="Times New Roman" w:cs="Times New Roman"/>
          <w:sz w:val="24"/>
          <w:szCs w:val="24"/>
        </w:rPr>
        <w:t xml:space="preserve"> on</w:t>
      </w:r>
      <w:r w:rsidR="004F068A">
        <w:rPr>
          <w:rFonts w:ascii="Times New Roman" w:hAnsi="Times New Roman" w:cs="Times New Roman"/>
          <w:sz w:val="24"/>
          <w:szCs w:val="24"/>
        </w:rPr>
        <w:t xml:space="preserve"> </w:t>
      </w:r>
      <w:r w:rsidR="0010740D">
        <w:rPr>
          <w:rFonts w:ascii="Times New Roman" w:hAnsi="Times New Roman" w:cs="Times New Roman"/>
          <w:sz w:val="24"/>
          <w:szCs w:val="24"/>
        </w:rPr>
        <w:t>IR</w:t>
      </w:r>
      <w:r w:rsidR="004F068A">
        <w:rPr>
          <w:rFonts w:ascii="Times New Roman" w:hAnsi="Times New Roman" w:cs="Times New Roman"/>
          <w:sz w:val="24"/>
          <w:szCs w:val="24"/>
        </w:rPr>
        <w:t xml:space="preserve"> growth, quality and </w:t>
      </w:r>
      <w:r w:rsidR="00E06439">
        <w:rPr>
          <w:rFonts w:ascii="Times New Roman" w:hAnsi="Times New Roman" w:cs="Times New Roman"/>
          <w:sz w:val="24"/>
          <w:szCs w:val="24"/>
        </w:rPr>
        <w:t>performance</w:t>
      </w:r>
      <w:r w:rsidR="0010740D">
        <w:rPr>
          <w:rFonts w:ascii="Times New Roman" w:hAnsi="Times New Roman" w:cs="Times New Roman"/>
          <w:sz w:val="24"/>
          <w:szCs w:val="24"/>
        </w:rPr>
        <w:t xml:space="preserve">. </w:t>
      </w:r>
      <w:r w:rsidR="0010740D" w:rsidRPr="00E06439">
        <w:rPr>
          <w:rFonts w:ascii="Times New Roman" w:hAnsi="Times New Roman" w:cs="Times New Roman"/>
          <w:sz w:val="24"/>
          <w:szCs w:val="24"/>
        </w:rPr>
        <w:t>Being IR practice</w:t>
      </w:r>
      <w:r w:rsidRPr="00E06439">
        <w:rPr>
          <w:rFonts w:ascii="Times New Roman" w:hAnsi="Times New Roman" w:cs="Times New Roman"/>
          <w:sz w:val="24"/>
          <w:szCs w:val="24"/>
        </w:rPr>
        <w:t xml:space="preserve"> </w:t>
      </w:r>
      <w:r w:rsidR="00E06439" w:rsidRPr="00E06439">
        <w:rPr>
          <w:rFonts w:ascii="Times New Roman" w:hAnsi="Times New Roman" w:cs="Times New Roman"/>
          <w:sz w:val="24"/>
          <w:szCs w:val="24"/>
        </w:rPr>
        <w:t xml:space="preserve">is </w:t>
      </w:r>
      <w:r w:rsidRPr="00E06439">
        <w:rPr>
          <w:rFonts w:ascii="Times New Roman" w:hAnsi="Times New Roman" w:cs="Times New Roman"/>
          <w:sz w:val="24"/>
          <w:szCs w:val="24"/>
        </w:rPr>
        <w:t>new to the society</w:t>
      </w:r>
      <w:r w:rsidR="0010740D" w:rsidRPr="00E06439">
        <w:rPr>
          <w:rFonts w:ascii="Times New Roman" w:hAnsi="Times New Roman" w:cs="Times New Roman"/>
          <w:sz w:val="24"/>
          <w:szCs w:val="24"/>
        </w:rPr>
        <w:t xml:space="preserve"> and </w:t>
      </w:r>
      <w:r w:rsidR="00222926" w:rsidRPr="00E06439">
        <w:rPr>
          <w:rFonts w:ascii="Times New Roman" w:hAnsi="Times New Roman" w:cs="Times New Roman"/>
          <w:sz w:val="24"/>
          <w:szCs w:val="24"/>
        </w:rPr>
        <w:t>to the business world</w:t>
      </w:r>
      <w:r w:rsidR="0010740D">
        <w:rPr>
          <w:rFonts w:ascii="Times New Roman" w:hAnsi="Times New Roman" w:cs="Times New Roman"/>
          <w:sz w:val="24"/>
          <w:szCs w:val="24"/>
        </w:rPr>
        <w:t>,</w:t>
      </w:r>
      <w:r w:rsidRPr="00A84C18">
        <w:rPr>
          <w:rFonts w:ascii="Times New Roman" w:hAnsi="Times New Roman" w:cs="Times New Roman"/>
          <w:sz w:val="24"/>
          <w:szCs w:val="24"/>
        </w:rPr>
        <w:t xml:space="preserve"> it </w:t>
      </w:r>
      <w:r w:rsidR="00E06439">
        <w:rPr>
          <w:rFonts w:ascii="Times New Roman" w:hAnsi="Times New Roman" w:cs="Times New Roman"/>
          <w:sz w:val="24"/>
          <w:szCs w:val="24"/>
        </w:rPr>
        <w:t xml:space="preserve">just </w:t>
      </w:r>
      <w:r w:rsidRPr="00A84C18">
        <w:rPr>
          <w:rFonts w:ascii="Times New Roman" w:hAnsi="Times New Roman" w:cs="Times New Roman"/>
          <w:sz w:val="24"/>
          <w:szCs w:val="24"/>
        </w:rPr>
        <w:t xml:space="preserve">gained </w:t>
      </w:r>
      <w:r w:rsidR="00E06439">
        <w:rPr>
          <w:rFonts w:ascii="Times New Roman" w:hAnsi="Times New Roman" w:cs="Times New Roman"/>
          <w:sz w:val="24"/>
          <w:szCs w:val="24"/>
        </w:rPr>
        <w:t>attention from the corporate personnel, investors and stakeholders.</w:t>
      </w:r>
    </w:p>
    <w:p w14:paraId="466A2E55" w14:textId="6A6E87CB" w:rsidR="00CA5731" w:rsidRDefault="001724C4" w:rsidP="00C74264">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t xml:space="preserve">IR Framework </w:t>
      </w:r>
      <w:r w:rsidR="00D937F7" w:rsidRPr="00A84C18">
        <w:rPr>
          <w:rFonts w:ascii="Times New Roman" w:hAnsi="Times New Roman" w:cs="Times New Roman"/>
          <w:sz w:val="24"/>
          <w:szCs w:val="24"/>
        </w:rPr>
        <w:t xml:space="preserve">has </w:t>
      </w:r>
      <w:r w:rsidRPr="00A84C18">
        <w:rPr>
          <w:rFonts w:ascii="Times New Roman" w:hAnsi="Times New Roman" w:cs="Times New Roman"/>
          <w:sz w:val="24"/>
          <w:szCs w:val="24"/>
        </w:rPr>
        <w:t>seen impressive growth within a short period of time</w:t>
      </w:r>
      <w:r w:rsidR="00F971E6">
        <w:rPr>
          <w:rFonts w:ascii="Times New Roman" w:hAnsi="Times New Roman" w:cs="Times New Roman"/>
          <w:sz w:val="24"/>
          <w:szCs w:val="24"/>
        </w:rPr>
        <w:t xml:space="preserve"> </w:t>
      </w:r>
      <w:r w:rsidRPr="00A84C18">
        <w:rPr>
          <w:rFonts w:ascii="Times New Roman" w:hAnsi="Times New Roman" w:cs="Times New Roman"/>
          <w:sz w:val="24"/>
          <w:szCs w:val="24"/>
        </w:rPr>
        <w:t>globally in circulati</w:t>
      </w:r>
      <w:r w:rsidR="003B7C8C">
        <w:rPr>
          <w:rFonts w:ascii="Times New Roman" w:hAnsi="Times New Roman" w:cs="Times New Roman"/>
          <w:sz w:val="24"/>
          <w:szCs w:val="24"/>
        </w:rPr>
        <w:t>ng</w:t>
      </w:r>
      <w:r w:rsidR="00AA2FD3">
        <w:rPr>
          <w:rFonts w:ascii="Times New Roman" w:hAnsi="Times New Roman" w:cs="Times New Roman"/>
          <w:sz w:val="24"/>
          <w:szCs w:val="24"/>
        </w:rPr>
        <w:t xml:space="preserve"> and promoting the IR.</w:t>
      </w:r>
      <w:r w:rsidR="008B03EA">
        <w:rPr>
          <w:rFonts w:ascii="Times New Roman" w:hAnsi="Times New Roman" w:cs="Times New Roman"/>
          <w:sz w:val="24"/>
          <w:szCs w:val="24"/>
        </w:rPr>
        <w:t xml:space="preserve"> A study from </w:t>
      </w:r>
      <w:r w:rsidR="008B03EA" w:rsidRPr="00A84C18">
        <w:rPr>
          <w:rFonts w:ascii="Times New Roman" w:hAnsi="Times New Roman" w:cs="Times New Roman"/>
          <w:sz w:val="24"/>
          <w:szCs w:val="24"/>
        </w:rPr>
        <w:t>Ioanaa an</w:t>
      </w:r>
      <w:r w:rsidR="008B03EA">
        <w:rPr>
          <w:rFonts w:ascii="Times New Roman" w:hAnsi="Times New Roman" w:cs="Times New Roman"/>
          <w:sz w:val="24"/>
          <w:szCs w:val="24"/>
        </w:rPr>
        <w:t xml:space="preserve">d Tiron-Tudor (2014) emphasized the useful-ness of IR, </w:t>
      </w:r>
      <w:r w:rsidRPr="00A84C18">
        <w:rPr>
          <w:rFonts w:ascii="Times New Roman" w:hAnsi="Times New Roman" w:cs="Times New Roman"/>
          <w:sz w:val="24"/>
          <w:szCs w:val="24"/>
        </w:rPr>
        <w:t>understanding benefits of reports, emerging challenges, adoption</w:t>
      </w:r>
      <w:r w:rsidR="004B6A71">
        <w:rPr>
          <w:rFonts w:ascii="Times New Roman" w:hAnsi="Times New Roman" w:cs="Times New Roman"/>
          <w:sz w:val="24"/>
          <w:szCs w:val="24"/>
        </w:rPr>
        <w:t xml:space="preserve"> &amp; </w:t>
      </w:r>
      <w:r w:rsidRPr="00A84C18">
        <w:rPr>
          <w:rFonts w:ascii="Times New Roman" w:hAnsi="Times New Roman" w:cs="Times New Roman"/>
          <w:sz w:val="24"/>
          <w:szCs w:val="24"/>
        </w:rPr>
        <w:t>success of IR</w:t>
      </w:r>
      <w:r w:rsidR="004B6A71">
        <w:rPr>
          <w:rFonts w:ascii="Times New Roman" w:hAnsi="Times New Roman" w:cs="Times New Roman"/>
          <w:sz w:val="24"/>
          <w:szCs w:val="24"/>
        </w:rPr>
        <w:t>. Also, emphasized on IR quality</w:t>
      </w:r>
      <w:r w:rsidRPr="00A84C18">
        <w:rPr>
          <w:rFonts w:ascii="Times New Roman" w:hAnsi="Times New Roman" w:cs="Times New Roman"/>
          <w:sz w:val="24"/>
          <w:szCs w:val="24"/>
        </w:rPr>
        <w:t xml:space="preserve"> </w:t>
      </w:r>
      <w:r w:rsidR="004B6A71">
        <w:rPr>
          <w:rFonts w:ascii="Times New Roman" w:hAnsi="Times New Roman" w:cs="Times New Roman"/>
          <w:sz w:val="24"/>
          <w:szCs w:val="24"/>
        </w:rPr>
        <w:t xml:space="preserve">has </w:t>
      </w:r>
      <w:r w:rsidRPr="00A84C18">
        <w:rPr>
          <w:rFonts w:ascii="Times New Roman" w:hAnsi="Times New Roman" w:cs="Times New Roman"/>
          <w:sz w:val="24"/>
          <w:szCs w:val="24"/>
        </w:rPr>
        <w:t>impact on profitability of business</w:t>
      </w:r>
      <w:r w:rsidR="004B6A71">
        <w:rPr>
          <w:rFonts w:ascii="Times New Roman" w:hAnsi="Times New Roman" w:cs="Times New Roman"/>
          <w:sz w:val="24"/>
          <w:szCs w:val="24"/>
        </w:rPr>
        <w:t>.</w:t>
      </w:r>
      <w:r w:rsidR="00917435">
        <w:rPr>
          <w:rFonts w:ascii="Times New Roman" w:hAnsi="Times New Roman" w:cs="Times New Roman"/>
          <w:sz w:val="24"/>
          <w:szCs w:val="24"/>
        </w:rPr>
        <w:t xml:space="preserve"> </w:t>
      </w:r>
      <w:r w:rsidR="00917435">
        <w:rPr>
          <w:rFonts w:ascii="Times New Roman" w:hAnsi="Times New Roman" w:cs="Times New Roman"/>
          <w:sz w:val="24"/>
          <w:szCs w:val="24"/>
          <w:lang w:val="en-IN"/>
        </w:rPr>
        <w:t xml:space="preserve">A study from </w:t>
      </w:r>
      <w:r w:rsidR="00917435" w:rsidRPr="00A84C18">
        <w:rPr>
          <w:rFonts w:ascii="Times New Roman" w:hAnsi="Times New Roman" w:cs="Times New Roman"/>
          <w:sz w:val="24"/>
          <w:szCs w:val="24"/>
        </w:rPr>
        <w:t xml:space="preserve">Athma and </w:t>
      </w:r>
      <w:r w:rsidR="00CA5731">
        <w:rPr>
          <w:rFonts w:ascii="Times New Roman" w:hAnsi="Times New Roman" w:cs="Times New Roman"/>
          <w:sz w:val="24"/>
          <w:szCs w:val="24"/>
        </w:rPr>
        <w:t>Rajyal</w:t>
      </w:r>
      <w:r w:rsidR="00917435" w:rsidRPr="00A84C18">
        <w:rPr>
          <w:rFonts w:ascii="Times New Roman" w:hAnsi="Times New Roman" w:cs="Times New Roman"/>
          <w:sz w:val="24"/>
          <w:szCs w:val="24"/>
        </w:rPr>
        <w:t xml:space="preserve">axmi </w:t>
      </w:r>
      <w:r w:rsidR="00917435">
        <w:rPr>
          <w:rFonts w:ascii="Times New Roman" w:hAnsi="Times New Roman" w:cs="Times New Roman"/>
          <w:sz w:val="24"/>
          <w:szCs w:val="24"/>
        </w:rPr>
        <w:t>(</w:t>
      </w:r>
      <w:r w:rsidR="00917435" w:rsidRPr="00A84C18">
        <w:rPr>
          <w:rFonts w:ascii="Times New Roman" w:hAnsi="Times New Roman" w:cs="Times New Roman"/>
          <w:sz w:val="24"/>
          <w:szCs w:val="24"/>
        </w:rPr>
        <w:t>2013</w:t>
      </w:r>
      <w:r w:rsidR="00917435">
        <w:rPr>
          <w:rFonts w:ascii="Times New Roman" w:hAnsi="Times New Roman" w:cs="Times New Roman"/>
          <w:sz w:val="24"/>
          <w:szCs w:val="24"/>
        </w:rPr>
        <w:t xml:space="preserve">) examined the growth of IR on Indian context with some disclosure remarks. Focusing on the importance of one single stand-alone report for better communication. A similar study from the </w:t>
      </w:r>
      <w:r w:rsidR="00917435" w:rsidRPr="00A84C18">
        <w:rPr>
          <w:rFonts w:ascii="Times New Roman" w:hAnsi="Times New Roman" w:cs="Times New Roman"/>
          <w:sz w:val="24"/>
          <w:szCs w:val="24"/>
        </w:rPr>
        <w:t xml:space="preserve">Raju </w:t>
      </w:r>
      <w:r w:rsidR="00917435">
        <w:rPr>
          <w:rFonts w:ascii="Times New Roman" w:hAnsi="Times New Roman" w:cs="Times New Roman"/>
          <w:sz w:val="24"/>
          <w:szCs w:val="24"/>
        </w:rPr>
        <w:t>(</w:t>
      </w:r>
      <w:r w:rsidR="00917435" w:rsidRPr="00A84C18">
        <w:rPr>
          <w:rFonts w:ascii="Times New Roman" w:hAnsi="Times New Roman" w:cs="Times New Roman"/>
          <w:sz w:val="24"/>
          <w:szCs w:val="24"/>
        </w:rPr>
        <w:t>2015</w:t>
      </w:r>
      <w:r w:rsidR="00917435">
        <w:rPr>
          <w:rFonts w:ascii="Times New Roman" w:hAnsi="Times New Roman" w:cs="Times New Roman"/>
          <w:sz w:val="24"/>
          <w:szCs w:val="24"/>
        </w:rPr>
        <w:t xml:space="preserve">) acknowledged the IR quality, progress. Further, elaborated the uniqueness of IR model and progress. </w:t>
      </w:r>
      <w:r w:rsidR="00CA5731">
        <w:rPr>
          <w:rFonts w:ascii="Times New Roman" w:hAnsi="Times New Roman" w:cs="Times New Roman"/>
          <w:sz w:val="24"/>
          <w:szCs w:val="24"/>
          <w:lang w:val="en-IN"/>
        </w:rPr>
        <w:t>T</w:t>
      </w:r>
      <w:r w:rsidR="00091CD6">
        <w:rPr>
          <w:rFonts w:ascii="Times New Roman" w:hAnsi="Times New Roman" w:cs="Times New Roman"/>
          <w:sz w:val="24"/>
          <w:szCs w:val="24"/>
          <w:lang w:val="en-IN"/>
        </w:rPr>
        <w:t xml:space="preserve">he </w:t>
      </w:r>
      <w:r w:rsidRPr="00A84C18">
        <w:rPr>
          <w:rFonts w:ascii="Times New Roman" w:hAnsi="Times New Roman" w:cs="Times New Roman"/>
          <w:sz w:val="24"/>
          <w:szCs w:val="24"/>
        </w:rPr>
        <w:t>IR implementation is also influenced by</w:t>
      </w:r>
      <w:r w:rsidR="0002378F">
        <w:rPr>
          <w:rFonts w:ascii="Times New Roman" w:hAnsi="Times New Roman" w:cs="Times New Roman"/>
          <w:sz w:val="24"/>
          <w:szCs w:val="24"/>
        </w:rPr>
        <w:t xml:space="preserve"> company</w:t>
      </w:r>
      <w:r w:rsidRPr="00A84C18">
        <w:rPr>
          <w:rFonts w:ascii="Times New Roman" w:hAnsi="Times New Roman" w:cs="Times New Roman"/>
          <w:sz w:val="24"/>
          <w:szCs w:val="24"/>
        </w:rPr>
        <w:t xml:space="preserve"> size and profitability</w:t>
      </w:r>
      <w:r w:rsidR="0002378F">
        <w:rPr>
          <w:rFonts w:ascii="Times New Roman" w:hAnsi="Times New Roman" w:cs="Times New Roman"/>
          <w:sz w:val="24"/>
          <w:szCs w:val="24"/>
        </w:rPr>
        <w:t xml:space="preserve"> of business</w:t>
      </w:r>
      <w:r w:rsidRPr="00A84C18">
        <w:rPr>
          <w:rFonts w:ascii="Times New Roman" w:hAnsi="Times New Roman" w:cs="Times New Roman"/>
          <w:sz w:val="24"/>
          <w:szCs w:val="24"/>
        </w:rPr>
        <w:t xml:space="preserve"> </w:t>
      </w:r>
      <w:r w:rsidR="004F4B04" w:rsidRPr="00A84C18">
        <w:rPr>
          <w:rFonts w:ascii="Times New Roman" w:hAnsi="Times New Roman" w:cs="Times New Roman"/>
          <w:sz w:val="24"/>
          <w:szCs w:val="24"/>
        </w:rPr>
        <w:t>Eccles et. a</w:t>
      </w:r>
      <w:r w:rsidRPr="00A84C18">
        <w:rPr>
          <w:rFonts w:ascii="Times New Roman" w:hAnsi="Times New Roman" w:cs="Times New Roman"/>
          <w:sz w:val="24"/>
          <w:szCs w:val="24"/>
        </w:rPr>
        <w:t>l</w:t>
      </w:r>
      <w:r w:rsidR="004F4B04" w:rsidRPr="00A84C18">
        <w:rPr>
          <w:rFonts w:ascii="Times New Roman" w:hAnsi="Times New Roman" w:cs="Times New Roman"/>
          <w:sz w:val="24"/>
          <w:szCs w:val="24"/>
        </w:rPr>
        <w:t>,</w:t>
      </w:r>
      <w:r w:rsidRPr="00A84C18">
        <w:rPr>
          <w:rFonts w:ascii="Times New Roman" w:hAnsi="Times New Roman" w:cs="Times New Roman"/>
          <w:sz w:val="24"/>
          <w:szCs w:val="24"/>
        </w:rPr>
        <w:t xml:space="preserve"> </w:t>
      </w:r>
      <w:r w:rsidR="00CA5731">
        <w:rPr>
          <w:rFonts w:ascii="Times New Roman" w:hAnsi="Times New Roman" w:cs="Times New Roman"/>
          <w:sz w:val="24"/>
          <w:szCs w:val="24"/>
        </w:rPr>
        <w:t>(</w:t>
      </w:r>
      <w:r w:rsidRPr="00A84C18">
        <w:rPr>
          <w:rFonts w:ascii="Times New Roman" w:hAnsi="Times New Roman" w:cs="Times New Roman"/>
          <w:sz w:val="24"/>
          <w:szCs w:val="24"/>
        </w:rPr>
        <w:t xml:space="preserve">2015), </w:t>
      </w:r>
    </w:p>
    <w:p w14:paraId="565726DC" w14:textId="353A5919" w:rsidR="001724C4" w:rsidRPr="00091CD6" w:rsidRDefault="00CA5731" w:rsidP="00C74264">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S</w:t>
      </w:r>
      <w:r w:rsidR="001724C4" w:rsidRPr="00A84C18">
        <w:rPr>
          <w:rFonts w:ascii="Times New Roman" w:hAnsi="Times New Roman" w:cs="Times New Roman"/>
          <w:sz w:val="24"/>
          <w:szCs w:val="24"/>
        </w:rPr>
        <w:t xml:space="preserve">imilar </w:t>
      </w:r>
      <w:r w:rsidR="00D25942">
        <w:rPr>
          <w:rFonts w:ascii="Times New Roman" w:hAnsi="Times New Roman" w:cs="Times New Roman"/>
          <w:sz w:val="24"/>
          <w:szCs w:val="24"/>
        </w:rPr>
        <w:t xml:space="preserve">study also </w:t>
      </w:r>
      <w:r w:rsidR="001724C4" w:rsidRPr="00A84C18">
        <w:rPr>
          <w:rFonts w:ascii="Times New Roman" w:hAnsi="Times New Roman" w:cs="Times New Roman"/>
          <w:sz w:val="24"/>
          <w:szCs w:val="24"/>
        </w:rPr>
        <w:t>reveal</w:t>
      </w:r>
      <w:r w:rsidR="008220B6">
        <w:rPr>
          <w:rFonts w:ascii="Times New Roman" w:hAnsi="Times New Roman" w:cs="Times New Roman"/>
          <w:sz w:val="24"/>
          <w:szCs w:val="24"/>
        </w:rPr>
        <w:t>ed</w:t>
      </w:r>
      <w:r w:rsidR="001724C4" w:rsidRPr="00A84C18">
        <w:rPr>
          <w:rFonts w:ascii="Times New Roman" w:hAnsi="Times New Roman" w:cs="Times New Roman"/>
          <w:sz w:val="24"/>
          <w:szCs w:val="24"/>
        </w:rPr>
        <w:t xml:space="preserve"> that </w:t>
      </w:r>
      <w:r>
        <w:rPr>
          <w:rFonts w:ascii="Times New Roman" w:hAnsi="Times New Roman" w:cs="Times New Roman"/>
          <w:sz w:val="24"/>
          <w:szCs w:val="24"/>
        </w:rPr>
        <w:t xml:space="preserve">the </w:t>
      </w:r>
      <w:r w:rsidR="001724C4" w:rsidRPr="00A84C18">
        <w:rPr>
          <w:rFonts w:ascii="Times New Roman" w:hAnsi="Times New Roman" w:cs="Times New Roman"/>
          <w:sz w:val="24"/>
          <w:szCs w:val="24"/>
        </w:rPr>
        <w:t xml:space="preserve">adoption of IR resulted in positive association between </w:t>
      </w:r>
      <w:r>
        <w:rPr>
          <w:rFonts w:ascii="Times New Roman" w:hAnsi="Times New Roman" w:cs="Times New Roman"/>
          <w:sz w:val="24"/>
          <w:szCs w:val="24"/>
        </w:rPr>
        <w:t xml:space="preserve">IR </w:t>
      </w:r>
      <w:r w:rsidR="001724C4" w:rsidRPr="00A84C18">
        <w:rPr>
          <w:rFonts w:ascii="Times New Roman" w:hAnsi="Times New Roman" w:cs="Times New Roman"/>
          <w:sz w:val="24"/>
          <w:szCs w:val="24"/>
        </w:rPr>
        <w:t>quality and</w:t>
      </w:r>
      <w:r w:rsidR="008220B6">
        <w:rPr>
          <w:rFonts w:ascii="Times New Roman" w:hAnsi="Times New Roman" w:cs="Times New Roman"/>
          <w:sz w:val="24"/>
          <w:szCs w:val="24"/>
        </w:rPr>
        <w:t xml:space="preserve"> </w:t>
      </w:r>
      <w:r w:rsidR="001724C4" w:rsidRPr="00A84C18">
        <w:rPr>
          <w:rFonts w:ascii="Times New Roman" w:hAnsi="Times New Roman" w:cs="Times New Roman"/>
          <w:sz w:val="24"/>
          <w:szCs w:val="24"/>
        </w:rPr>
        <w:t>financial performance</w:t>
      </w:r>
      <w:r>
        <w:rPr>
          <w:rFonts w:ascii="Times New Roman" w:hAnsi="Times New Roman" w:cs="Times New Roman"/>
          <w:sz w:val="24"/>
          <w:szCs w:val="24"/>
        </w:rPr>
        <w:t>.</w:t>
      </w:r>
      <w:r w:rsidR="001724C4" w:rsidRPr="00A84C18">
        <w:rPr>
          <w:rFonts w:ascii="Times New Roman" w:hAnsi="Times New Roman" w:cs="Times New Roman"/>
          <w:sz w:val="24"/>
          <w:szCs w:val="24"/>
        </w:rPr>
        <w:t xml:space="preserve"> </w:t>
      </w:r>
      <w:r>
        <w:rPr>
          <w:rFonts w:ascii="Times New Roman" w:hAnsi="Times New Roman" w:cs="Times New Roman"/>
          <w:sz w:val="24"/>
          <w:szCs w:val="24"/>
        </w:rPr>
        <w:t>F</w:t>
      </w:r>
      <w:r w:rsidR="001724C4" w:rsidRPr="00A84C18">
        <w:rPr>
          <w:rFonts w:ascii="Times New Roman" w:hAnsi="Times New Roman" w:cs="Times New Roman"/>
          <w:sz w:val="24"/>
          <w:szCs w:val="24"/>
        </w:rPr>
        <w:t>urther</w:t>
      </w:r>
      <w:r>
        <w:rPr>
          <w:rFonts w:ascii="Times New Roman" w:hAnsi="Times New Roman" w:cs="Times New Roman"/>
          <w:sz w:val="24"/>
          <w:szCs w:val="24"/>
        </w:rPr>
        <w:t>,</w:t>
      </w:r>
      <w:r w:rsidR="001724C4" w:rsidRPr="00A84C18">
        <w:rPr>
          <w:rFonts w:ascii="Times New Roman" w:hAnsi="Times New Roman" w:cs="Times New Roman"/>
          <w:sz w:val="24"/>
          <w:szCs w:val="24"/>
        </w:rPr>
        <w:t xml:space="preserve"> examine</w:t>
      </w:r>
      <w:r>
        <w:rPr>
          <w:rFonts w:ascii="Times New Roman" w:hAnsi="Times New Roman" w:cs="Times New Roman"/>
          <w:sz w:val="24"/>
          <w:szCs w:val="24"/>
        </w:rPr>
        <w:t>d</w:t>
      </w:r>
      <w:r w:rsidR="001724C4" w:rsidRPr="00A84C18">
        <w:rPr>
          <w:rFonts w:ascii="Times New Roman" w:hAnsi="Times New Roman" w:cs="Times New Roman"/>
          <w:sz w:val="24"/>
          <w:szCs w:val="24"/>
        </w:rPr>
        <w:t xml:space="preserve"> the disclosure aspects of corporate governance and non-financial information of a company</w:t>
      </w:r>
      <w:r w:rsidR="00D25942">
        <w:rPr>
          <w:rFonts w:ascii="Times New Roman" w:hAnsi="Times New Roman" w:cs="Times New Roman"/>
          <w:sz w:val="24"/>
          <w:szCs w:val="24"/>
        </w:rPr>
        <w:t>. The company’s performance is positively influenced by the quality of IR</w:t>
      </w:r>
      <w:r>
        <w:rPr>
          <w:rFonts w:ascii="Times New Roman" w:hAnsi="Times New Roman" w:cs="Times New Roman"/>
          <w:sz w:val="24"/>
          <w:szCs w:val="24"/>
        </w:rPr>
        <w:t xml:space="preserve"> </w:t>
      </w:r>
      <w:r w:rsidR="00390FC0" w:rsidRPr="00A84C18">
        <w:rPr>
          <w:rFonts w:ascii="Times New Roman" w:hAnsi="Times New Roman" w:cs="Times New Roman"/>
          <w:sz w:val="24"/>
          <w:szCs w:val="24"/>
        </w:rPr>
        <w:t xml:space="preserve">Lee and Yeo, </w:t>
      </w:r>
      <w:r w:rsidR="00D25942">
        <w:rPr>
          <w:rFonts w:ascii="Times New Roman" w:hAnsi="Times New Roman" w:cs="Times New Roman"/>
          <w:sz w:val="24"/>
          <w:szCs w:val="24"/>
        </w:rPr>
        <w:t>(</w:t>
      </w:r>
      <w:r w:rsidR="00390FC0" w:rsidRPr="00A84C18">
        <w:rPr>
          <w:rFonts w:ascii="Times New Roman" w:hAnsi="Times New Roman" w:cs="Times New Roman"/>
          <w:sz w:val="24"/>
          <w:szCs w:val="24"/>
        </w:rPr>
        <w:t>2016</w:t>
      </w:r>
      <w:r w:rsidR="001724C4" w:rsidRPr="00A84C18">
        <w:rPr>
          <w:rFonts w:ascii="Times New Roman" w:hAnsi="Times New Roman" w:cs="Times New Roman"/>
          <w:sz w:val="24"/>
          <w:szCs w:val="24"/>
        </w:rPr>
        <w:t>)</w:t>
      </w:r>
      <w:r w:rsidR="0082046B">
        <w:rPr>
          <w:rFonts w:ascii="Times New Roman" w:hAnsi="Times New Roman" w:cs="Times New Roman"/>
          <w:sz w:val="24"/>
          <w:szCs w:val="24"/>
        </w:rPr>
        <w:t xml:space="preserve">. </w:t>
      </w:r>
      <w:r w:rsidR="00CC15FB">
        <w:rPr>
          <w:rFonts w:ascii="Times New Roman" w:hAnsi="Times New Roman" w:cs="Times New Roman"/>
          <w:sz w:val="24"/>
          <w:szCs w:val="24"/>
        </w:rPr>
        <w:t xml:space="preserve">A study from </w:t>
      </w:r>
      <w:r w:rsidR="00CC15FB" w:rsidRPr="00A84C18">
        <w:rPr>
          <w:rFonts w:ascii="Times New Roman" w:hAnsi="Times New Roman" w:cs="Times New Roman"/>
          <w:sz w:val="24"/>
          <w:szCs w:val="24"/>
        </w:rPr>
        <w:t xml:space="preserve">Jensen and Berg, </w:t>
      </w:r>
      <w:r w:rsidR="00CC15FB">
        <w:rPr>
          <w:rFonts w:ascii="Times New Roman" w:hAnsi="Times New Roman" w:cs="Times New Roman"/>
          <w:sz w:val="24"/>
          <w:szCs w:val="24"/>
        </w:rPr>
        <w:t>(</w:t>
      </w:r>
      <w:r w:rsidR="00CC15FB" w:rsidRPr="00A84C18">
        <w:rPr>
          <w:rFonts w:ascii="Times New Roman" w:hAnsi="Times New Roman" w:cs="Times New Roman"/>
          <w:sz w:val="24"/>
          <w:szCs w:val="24"/>
        </w:rPr>
        <w:t>2012</w:t>
      </w:r>
      <w:r w:rsidR="00CC15FB">
        <w:rPr>
          <w:rFonts w:ascii="Times New Roman" w:hAnsi="Times New Roman" w:cs="Times New Roman"/>
          <w:sz w:val="24"/>
          <w:szCs w:val="24"/>
        </w:rPr>
        <w:t xml:space="preserve">) examined </w:t>
      </w:r>
      <w:r w:rsidR="001724C4" w:rsidRPr="00A84C18">
        <w:rPr>
          <w:rFonts w:ascii="Times New Roman" w:hAnsi="Times New Roman" w:cs="Times New Roman"/>
          <w:sz w:val="24"/>
          <w:szCs w:val="24"/>
        </w:rPr>
        <w:t>the association between IR quality, length and financial performance</w:t>
      </w:r>
      <w:r w:rsidR="00CC15FB">
        <w:rPr>
          <w:rFonts w:ascii="Times New Roman" w:hAnsi="Times New Roman" w:cs="Times New Roman"/>
          <w:sz w:val="24"/>
          <w:szCs w:val="24"/>
        </w:rPr>
        <w:t xml:space="preserve"> of companies </w:t>
      </w:r>
      <w:r w:rsidR="001724C4" w:rsidRPr="00A84C18">
        <w:rPr>
          <w:rFonts w:ascii="Times New Roman" w:hAnsi="Times New Roman" w:cs="Times New Roman"/>
          <w:sz w:val="24"/>
          <w:szCs w:val="24"/>
        </w:rPr>
        <w:t xml:space="preserve">trading on the </w:t>
      </w:r>
      <w:r w:rsidR="00834BC0">
        <w:rPr>
          <w:rFonts w:ascii="Times New Roman" w:hAnsi="Times New Roman" w:cs="Times New Roman"/>
          <w:sz w:val="24"/>
          <w:szCs w:val="24"/>
        </w:rPr>
        <w:t>JSE</w:t>
      </w:r>
      <w:r w:rsidR="00CC15FB">
        <w:rPr>
          <w:rFonts w:ascii="Times New Roman" w:hAnsi="Times New Roman" w:cs="Times New Roman"/>
          <w:sz w:val="24"/>
          <w:szCs w:val="24"/>
        </w:rPr>
        <w:t xml:space="preserve">. </w:t>
      </w:r>
      <w:r w:rsidR="00CE01C5">
        <w:rPr>
          <w:rFonts w:ascii="Times New Roman" w:hAnsi="Times New Roman" w:cs="Times New Roman"/>
          <w:sz w:val="24"/>
          <w:szCs w:val="24"/>
        </w:rPr>
        <w:t xml:space="preserve">The study proved the quality of IR disclosure was improved compare to previous reports. </w:t>
      </w:r>
      <w:r w:rsidR="0072278A">
        <w:rPr>
          <w:rFonts w:ascii="Times New Roman" w:hAnsi="Times New Roman" w:cs="Times New Roman"/>
          <w:sz w:val="24"/>
          <w:szCs w:val="24"/>
        </w:rPr>
        <w:t>T</w:t>
      </w:r>
      <w:r w:rsidR="001724C4" w:rsidRPr="00A84C18">
        <w:rPr>
          <w:rFonts w:ascii="Times New Roman" w:hAnsi="Times New Roman" w:cs="Times New Roman"/>
          <w:sz w:val="24"/>
          <w:szCs w:val="24"/>
        </w:rPr>
        <w:t xml:space="preserve">here was </w:t>
      </w:r>
      <w:r w:rsidR="0072278A" w:rsidRPr="00A84C18">
        <w:rPr>
          <w:rFonts w:ascii="Times New Roman" w:hAnsi="Times New Roman" w:cs="Times New Roman"/>
          <w:sz w:val="24"/>
          <w:szCs w:val="24"/>
        </w:rPr>
        <w:t>enormous</w:t>
      </w:r>
      <w:r w:rsidR="001724C4" w:rsidRPr="00A84C18">
        <w:rPr>
          <w:rFonts w:ascii="Times New Roman" w:hAnsi="Times New Roman" w:cs="Times New Roman"/>
          <w:sz w:val="24"/>
          <w:szCs w:val="24"/>
        </w:rPr>
        <w:t xml:space="preserve"> demand for disclosing a single quality report </w:t>
      </w:r>
      <w:r w:rsidR="00826A43" w:rsidRPr="00A84C18">
        <w:rPr>
          <w:rFonts w:ascii="Times New Roman" w:hAnsi="Times New Roman" w:cs="Times New Roman"/>
          <w:sz w:val="24"/>
          <w:szCs w:val="24"/>
        </w:rPr>
        <w:t>rather multiple report</w:t>
      </w:r>
      <w:r w:rsidR="00826A43">
        <w:rPr>
          <w:rFonts w:ascii="Times New Roman" w:hAnsi="Times New Roman" w:cs="Times New Roman"/>
          <w:sz w:val="24"/>
          <w:szCs w:val="24"/>
        </w:rPr>
        <w:t xml:space="preserve">. The IR </w:t>
      </w:r>
      <w:r w:rsidR="001724C4" w:rsidRPr="00A84C18">
        <w:rPr>
          <w:rFonts w:ascii="Times New Roman" w:hAnsi="Times New Roman" w:cs="Times New Roman"/>
          <w:sz w:val="24"/>
          <w:szCs w:val="24"/>
        </w:rPr>
        <w:t>communicate</w:t>
      </w:r>
      <w:r w:rsidR="00826A43">
        <w:rPr>
          <w:rFonts w:ascii="Times New Roman" w:hAnsi="Times New Roman" w:cs="Times New Roman"/>
          <w:sz w:val="24"/>
          <w:szCs w:val="24"/>
        </w:rPr>
        <w:t>s</w:t>
      </w:r>
      <w:r w:rsidR="001724C4" w:rsidRPr="00A84C18">
        <w:rPr>
          <w:rFonts w:ascii="Times New Roman" w:hAnsi="Times New Roman" w:cs="Times New Roman"/>
          <w:sz w:val="24"/>
          <w:szCs w:val="24"/>
        </w:rPr>
        <w:t xml:space="preserve"> organizations strategy, growth and performance along with economic, social and environmental reports</w:t>
      </w:r>
      <w:r w:rsidR="00826A43">
        <w:rPr>
          <w:rFonts w:ascii="Times New Roman" w:hAnsi="Times New Roman" w:cs="Times New Roman"/>
          <w:sz w:val="24"/>
          <w:szCs w:val="24"/>
        </w:rPr>
        <w:t xml:space="preserve"> (ESG)</w:t>
      </w:r>
      <w:r w:rsidR="001724C4" w:rsidRPr="00A84C18">
        <w:rPr>
          <w:rFonts w:ascii="Times New Roman" w:hAnsi="Times New Roman" w:cs="Times New Roman"/>
          <w:sz w:val="24"/>
          <w:szCs w:val="24"/>
        </w:rPr>
        <w:t xml:space="preserve"> </w:t>
      </w:r>
      <w:r w:rsidR="00FC43F0" w:rsidRPr="00A84C18">
        <w:rPr>
          <w:rFonts w:ascii="Times New Roman" w:hAnsi="Times New Roman" w:cs="Times New Roman"/>
          <w:sz w:val="24"/>
          <w:szCs w:val="24"/>
        </w:rPr>
        <w:t xml:space="preserve">Eccles et. al, </w:t>
      </w:r>
      <w:r w:rsidR="00826A43">
        <w:rPr>
          <w:rFonts w:ascii="Times New Roman" w:hAnsi="Times New Roman" w:cs="Times New Roman"/>
          <w:sz w:val="24"/>
          <w:szCs w:val="24"/>
        </w:rPr>
        <w:t>(</w:t>
      </w:r>
      <w:r w:rsidR="00FC43F0" w:rsidRPr="00A84C18">
        <w:rPr>
          <w:rFonts w:ascii="Times New Roman" w:hAnsi="Times New Roman" w:cs="Times New Roman"/>
          <w:sz w:val="24"/>
          <w:szCs w:val="24"/>
        </w:rPr>
        <w:t>2015</w:t>
      </w:r>
      <w:r w:rsidR="001724C4" w:rsidRPr="00A84C18">
        <w:rPr>
          <w:rFonts w:ascii="Times New Roman" w:hAnsi="Times New Roman" w:cs="Times New Roman"/>
          <w:sz w:val="24"/>
          <w:szCs w:val="24"/>
        </w:rPr>
        <w:t>).</w:t>
      </w:r>
    </w:p>
    <w:p w14:paraId="72EA6F89" w14:textId="6FC07217" w:rsidR="00B16F9E" w:rsidRDefault="00D937F7" w:rsidP="00C74264">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t>IR is</w:t>
      </w:r>
      <w:r w:rsidR="001724C4" w:rsidRPr="00A84C18">
        <w:rPr>
          <w:rFonts w:ascii="Times New Roman" w:hAnsi="Times New Roman" w:cs="Times New Roman"/>
          <w:sz w:val="24"/>
          <w:szCs w:val="24"/>
        </w:rPr>
        <w:t xml:space="preserve"> influenced by multi variant factors like firm’s size, industry growth, performance, liquidity, reputation and risk bearing the impact of financial performance of company on industry and market</w:t>
      </w:r>
      <w:r w:rsidR="008F44C3">
        <w:rPr>
          <w:rFonts w:ascii="Times New Roman" w:hAnsi="Times New Roman" w:cs="Times New Roman"/>
          <w:sz w:val="24"/>
          <w:szCs w:val="24"/>
        </w:rPr>
        <w:t xml:space="preserve"> (</w:t>
      </w:r>
      <w:r w:rsidR="00C8237E" w:rsidRPr="00A84C18">
        <w:rPr>
          <w:rFonts w:ascii="Times New Roman" w:hAnsi="Times New Roman" w:cs="Times New Roman"/>
          <w:sz w:val="24"/>
          <w:szCs w:val="24"/>
        </w:rPr>
        <w:t>Tripathy and Rahman</w:t>
      </w:r>
      <w:r w:rsidR="008F44C3">
        <w:rPr>
          <w:rFonts w:ascii="Times New Roman" w:hAnsi="Times New Roman" w:cs="Times New Roman"/>
          <w:sz w:val="24"/>
          <w:szCs w:val="24"/>
        </w:rPr>
        <w:t xml:space="preserve">, </w:t>
      </w:r>
      <w:r w:rsidR="00C8237E" w:rsidRPr="00A84C18">
        <w:rPr>
          <w:rFonts w:ascii="Times New Roman" w:hAnsi="Times New Roman" w:cs="Times New Roman"/>
          <w:sz w:val="24"/>
          <w:szCs w:val="24"/>
        </w:rPr>
        <w:t>2020</w:t>
      </w:r>
      <w:r w:rsidR="001724C4" w:rsidRPr="00A84C18">
        <w:rPr>
          <w:rFonts w:ascii="Times New Roman" w:hAnsi="Times New Roman" w:cs="Times New Roman"/>
          <w:sz w:val="24"/>
          <w:szCs w:val="24"/>
        </w:rPr>
        <w:t>)</w:t>
      </w:r>
      <w:r w:rsidR="008F44C3">
        <w:rPr>
          <w:rFonts w:ascii="Times New Roman" w:hAnsi="Times New Roman" w:cs="Times New Roman"/>
          <w:sz w:val="24"/>
          <w:szCs w:val="24"/>
        </w:rPr>
        <w:t xml:space="preserve">. The </w:t>
      </w:r>
      <w:r w:rsidR="00F53D79">
        <w:rPr>
          <w:rFonts w:ascii="Times New Roman" w:hAnsi="Times New Roman" w:cs="Times New Roman"/>
          <w:sz w:val="24"/>
          <w:szCs w:val="24"/>
        </w:rPr>
        <w:t xml:space="preserve">adoption of IR increased the </w:t>
      </w:r>
      <w:r w:rsidR="001724C4" w:rsidRPr="00A84C18">
        <w:rPr>
          <w:rFonts w:ascii="Times New Roman" w:hAnsi="Times New Roman" w:cs="Times New Roman"/>
          <w:sz w:val="24"/>
          <w:szCs w:val="24"/>
        </w:rPr>
        <w:t xml:space="preserve">market performance and </w:t>
      </w:r>
      <w:r w:rsidR="00F53D79">
        <w:rPr>
          <w:rFonts w:ascii="Times New Roman" w:hAnsi="Times New Roman" w:cs="Times New Roman"/>
          <w:sz w:val="24"/>
          <w:szCs w:val="24"/>
        </w:rPr>
        <w:t xml:space="preserve">the </w:t>
      </w:r>
      <w:r w:rsidR="001724C4" w:rsidRPr="00A84C18">
        <w:rPr>
          <w:rFonts w:ascii="Times New Roman" w:hAnsi="Times New Roman" w:cs="Times New Roman"/>
          <w:sz w:val="24"/>
          <w:szCs w:val="24"/>
        </w:rPr>
        <w:t>ownership concentration</w:t>
      </w:r>
      <w:r w:rsidR="00F53D79">
        <w:rPr>
          <w:rFonts w:ascii="Times New Roman" w:hAnsi="Times New Roman" w:cs="Times New Roman"/>
          <w:sz w:val="24"/>
          <w:szCs w:val="24"/>
        </w:rPr>
        <w:t xml:space="preserve"> </w:t>
      </w:r>
      <w:r w:rsidR="001724C4" w:rsidRPr="00A84C18">
        <w:rPr>
          <w:rFonts w:ascii="Times New Roman" w:hAnsi="Times New Roman" w:cs="Times New Roman"/>
          <w:sz w:val="24"/>
          <w:szCs w:val="24"/>
        </w:rPr>
        <w:t>(Jensen and Berg 2012)</w:t>
      </w:r>
      <w:r w:rsidR="00F53D79">
        <w:rPr>
          <w:rFonts w:ascii="Times New Roman" w:hAnsi="Times New Roman" w:cs="Times New Roman"/>
          <w:sz w:val="24"/>
          <w:szCs w:val="24"/>
        </w:rPr>
        <w:t xml:space="preserve">. </w:t>
      </w:r>
      <w:r w:rsidR="005F73BC">
        <w:rPr>
          <w:rFonts w:ascii="Times New Roman" w:hAnsi="Times New Roman" w:cs="Times New Roman"/>
          <w:sz w:val="24"/>
          <w:szCs w:val="24"/>
        </w:rPr>
        <w:t xml:space="preserve">The </w:t>
      </w:r>
      <w:r w:rsidR="003D2F4E">
        <w:rPr>
          <w:rFonts w:ascii="Times New Roman" w:hAnsi="Times New Roman" w:cs="Times New Roman"/>
          <w:sz w:val="24"/>
          <w:szCs w:val="24"/>
        </w:rPr>
        <w:t xml:space="preserve">inception of new reporting practice changed </w:t>
      </w:r>
      <w:r w:rsidR="001724C4" w:rsidRPr="00A84C18">
        <w:rPr>
          <w:rFonts w:ascii="Times New Roman" w:hAnsi="Times New Roman" w:cs="Times New Roman"/>
          <w:sz w:val="24"/>
          <w:szCs w:val="24"/>
        </w:rPr>
        <w:t>the style of corporate g</w:t>
      </w:r>
      <w:r w:rsidR="003D2F4E">
        <w:rPr>
          <w:rFonts w:ascii="Times New Roman" w:hAnsi="Times New Roman" w:cs="Times New Roman"/>
          <w:sz w:val="24"/>
          <w:szCs w:val="24"/>
        </w:rPr>
        <w:t xml:space="preserve">overnance mechanisms </w:t>
      </w:r>
      <w:r w:rsidR="001724C4" w:rsidRPr="00A84C18">
        <w:rPr>
          <w:rFonts w:ascii="Times New Roman" w:hAnsi="Times New Roman" w:cs="Times New Roman"/>
          <w:sz w:val="24"/>
          <w:szCs w:val="24"/>
        </w:rPr>
        <w:t xml:space="preserve">towards </w:t>
      </w:r>
      <w:r w:rsidR="003D2F4E">
        <w:rPr>
          <w:rFonts w:ascii="Times New Roman" w:hAnsi="Times New Roman" w:cs="Times New Roman"/>
          <w:sz w:val="24"/>
          <w:szCs w:val="24"/>
        </w:rPr>
        <w:t xml:space="preserve">their </w:t>
      </w:r>
      <w:r w:rsidR="001724C4" w:rsidRPr="00A84C18">
        <w:rPr>
          <w:rFonts w:ascii="Times New Roman" w:hAnsi="Times New Roman" w:cs="Times New Roman"/>
          <w:sz w:val="24"/>
          <w:szCs w:val="24"/>
        </w:rPr>
        <w:t xml:space="preserve">external world </w:t>
      </w:r>
      <w:r w:rsidR="005F73BC">
        <w:rPr>
          <w:rFonts w:ascii="Times New Roman" w:hAnsi="Times New Roman" w:cs="Times New Roman"/>
          <w:sz w:val="24"/>
          <w:szCs w:val="24"/>
        </w:rPr>
        <w:t xml:space="preserve">and for better communication </w:t>
      </w:r>
      <w:r w:rsidR="001724C4" w:rsidRPr="00A84C18">
        <w:rPr>
          <w:rFonts w:ascii="Times New Roman" w:hAnsi="Times New Roman" w:cs="Times New Roman"/>
          <w:sz w:val="24"/>
          <w:szCs w:val="24"/>
        </w:rPr>
        <w:t>(Garcia-</w:t>
      </w:r>
      <w:r w:rsidR="00230C16" w:rsidRPr="00A84C18">
        <w:rPr>
          <w:rFonts w:ascii="Times New Roman" w:hAnsi="Times New Roman" w:cs="Times New Roman"/>
          <w:sz w:val="24"/>
          <w:szCs w:val="24"/>
        </w:rPr>
        <w:t>Sánchez et al.</w:t>
      </w:r>
      <w:r w:rsidR="005F73BC">
        <w:rPr>
          <w:rFonts w:ascii="Times New Roman" w:hAnsi="Times New Roman" w:cs="Times New Roman"/>
          <w:sz w:val="24"/>
          <w:szCs w:val="24"/>
        </w:rPr>
        <w:t>,</w:t>
      </w:r>
      <w:r w:rsidR="00230C16" w:rsidRPr="00A84C18">
        <w:rPr>
          <w:rFonts w:ascii="Times New Roman" w:hAnsi="Times New Roman" w:cs="Times New Roman"/>
          <w:sz w:val="24"/>
          <w:szCs w:val="24"/>
        </w:rPr>
        <w:t xml:space="preserve"> 2013</w:t>
      </w:r>
      <w:r w:rsidR="001724C4" w:rsidRPr="00A84C18">
        <w:rPr>
          <w:rFonts w:ascii="Times New Roman" w:hAnsi="Times New Roman" w:cs="Times New Roman"/>
          <w:sz w:val="24"/>
          <w:szCs w:val="24"/>
        </w:rPr>
        <w:t>)</w:t>
      </w:r>
      <w:r w:rsidR="005F73BC">
        <w:rPr>
          <w:rFonts w:ascii="Times New Roman" w:hAnsi="Times New Roman" w:cs="Times New Roman"/>
          <w:sz w:val="24"/>
          <w:szCs w:val="24"/>
        </w:rPr>
        <w:t xml:space="preserve">. The IR adoption/ implementation depends on </w:t>
      </w:r>
      <w:r w:rsidR="001724C4" w:rsidRPr="00A84C18">
        <w:rPr>
          <w:rFonts w:ascii="Times New Roman" w:hAnsi="Times New Roman" w:cs="Times New Roman"/>
          <w:sz w:val="24"/>
          <w:szCs w:val="24"/>
        </w:rPr>
        <w:t>country’s economic conditions, role of political leaders, socio-cultur</w:t>
      </w:r>
      <w:r w:rsidR="00390FC0" w:rsidRPr="00A84C18">
        <w:rPr>
          <w:rFonts w:ascii="Times New Roman" w:hAnsi="Times New Roman" w:cs="Times New Roman"/>
          <w:sz w:val="24"/>
          <w:szCs w:val="24"/>
        </w:rPr>
        <w:t>al and technological factors</w:t>
      </w:r>
      <w:r w:rsidR="005F73BC">
        <w:rPr>
          <w:rFonts w:ascii="Times New Roman" w:hAnsi="Times New Roman" w:cs="Times New Roman"/>
          <w:sz w:val="24"/>
          <w:szCs w:val="24"/>
        </w:rPr>
        <w:t xml:space="preserve"> </w:t>
      </w:r>
      <w:r w:rsidR="00390FC0" w:rsidRPr="00A84C18">
        <w:rPr>
          <w:rFonts w:ascii="Times New Roman" w:hAnsi="Times New Roman" w:cs="Times New Roman"/>
          <w:sz w:val="24"/>
          <w:szCs w:val="24"/>
        </w:rPr>
        <w:t>(</w:t>
      </w:r>
      <w:r w:rsidR="003D2F4E">
        <w:rPr>
          <w:rFonts w:ascii="Times New Roman" w:hAnsi="Times New Roman" w:cs="Times New Roman"/>
          <w:sz w:val="24"/>
          <w:szCs w:val="24"/>
        </w:rPr>
        <w:t>Jensen and Berg 2012)</w:t>
      </w:r>
      <w:r w:rsidR="00B16F9E">
        <w:rPr>
          <w:rFonts w:ascii="Times New Roman" w:hAnsi="Times New Roman" w:cs="Times New Roman"/>
          <w:sz w:val="24"/>
          <w:szCs w:val="24"/>
        </w:rPr>
        <w:t xml:space="preserve">. The </w:t>
      </w:r>
      <w:r w:rsidR="001724C4" w:rsidRPr="00A84C18">
        <w:rPr>
          <w:rFonts w:ascii="Times New Roman" w:hAnsi="Times New Roman" w:cs="Times New Roman"/>
          <w:sz w:val="24"/>
          <w:szCs w:val="24"/>
        </w:rPr>
        <w:t>valuation of firm on different parameters</w:t>
      </w:r>
      <w:r w:rsidR="003D2F4E">
        <w:rPr>
          <w:rFonts w:ascii="Times New Roman" w:hAnsi="Times New Roman" w:cs="Times New Roman"/>
          <w:sz w:val="24"/>
          <w:szCs w:val="24"/>
        </w:rPr>
        <w:t xml:space="preserve"> also </w:t>
      </w:r>
      <w:r w:rsidR="00B16F9E">
        <w:rPr>
          <w:rFonts w:ascii="Times New Roman" w:hAnsi="Times New Roman" w:cs="Times New Roman"/>
          <w:sz w:val="24"/>
          <w:szCs w:val="24"/>
        </w:rPr>
        <w:t>influences</w:t>
      </w:r>
      <w:r w:rsidR="003D2F4E">
        <w:rPr>
          <w:rFonts w:ascii="Times New Roman" w:hAnsi="Times New Roman" w:cs="Times New Roman"/>
          <w:sz w:val="24"/>
          <w:szCs w:val="24"/>
        </w:rPr>
        <w:t xml:space="preserve"> in adoption of new reporting style</w:t>
      </w:r>
      <w:r w:rsidR="001724C4" w:rsidRPr="00A84C18">
        <w:rPr>
          <w:rFonts w:ascii="Times New Roman" w:hAnsi="Times New Roman" w:cs="Times New Roman"/>
          <w:sz w:val="24"/>
          <w:szCs w:val="24"/>
        </w:rPr>
        <w:t xml:space="preserve"> (Lee and Yeo 2016). </w:t>
      </w:r>
    </w:p>
    <w:p w14:paraId="687A9C76" w14:textId="6C4EC3AB" w:rsidR="001724C4" w:rsidRPr="00A84C18" w:rsidRDefault="001724C4" w:rsidP="00C74264">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lastRenderedPageBreak/>
        <w:t xml:space="preserve">As </w:t>
      </w:r>
      <w:r w:rsidR="0015063E">
        <w:rPr>
          <w:rFonts w:ascii="Times New Roman" w:hAnsi="Times New Roman" w:cs="Times New Roman"/>
          <w:sz w:val="24"/>
          <w:szCs w:val="24"/>
        </w:rPr>
        <w:t xml:space="preserve">the IR </w:t>
      </w:r>
      <w:r w:rsidRPr="00A84C18">
        <w:rPr>
          <w:rFonts w:ascii="Times New Roman" w:hAnsi="Times New Roman" w:cs="Times New Roman"/>
          <w:sz w:val="24"/>
          <w:szCs w:val="24"/>
        </w:rPr>
        <w:t>features</w:t>
      </w:r>
      <w:r w:rsidR="00401791">
        <w:rPr>
          <w:rFonts w:ascii="Times New Roman" w:hAnsi="Times New Roman" w:cs="Times New Roman"/>
          <w:sz w:val="24"/>
          <w:szCs w:val="24"/>
        </w:rPr>
        <w:t>/parameters</w:t>
      </w:r>
      <w:r w:rsidRPr="00A84C18">
        <w:rPr>
          <w:rFonts w:ascii="Times New Roman" w:hAnsi="Times New Roman" w:cs="Times New Roman"/>
          <w:sz w:val="24"/>
          <w:szCs w:val="24"/>
        </w:rPr>
        <w:t xml:space="preserve"> have lot of impact</w:t>
      </w:r>
      <w:r w:rsidR="00C5184A">
        <w:rPr>
          <w:rFonts w:ascii="Times New Roman" w:hAnsi="Times New Roman" w:cs="Times New Roman"/>
          <w:sz w:val="24"/>
          <w:szCs w:val="24"/>
        </w:rPr>
        <w:t xml:space="preserve"> </w:t>
      </w:r>
      <w:r w:rsidRPr="00A84C18">
        <w:rPr>
          <w:rFonts w:ascii="Times New Roman" w:hAnsi="Times New Roman" w:cs="Times New Roman"/>
          <w:sz w:val="24"/>
          <w:szCs w:val="24"/>
        </w:rPr>
        <w:t xml:space="preserve">on </w:t>
      </w:r>
      <w:r w:rsidR="0015063E">
        <w:rPr>
          <w:rFonts w:ascii="Times New Roman" w:hAnsi="Times New Roman" w:cs="Times New Roman"/>
          <w:sz w:val="24"/>
          <w:szCs w:val="24"/>
        </w:rPr>
        <w:t>financial performance</w:t>
      </w:r>
      <w:r w:rsidR="00C5184A">
        <w:rPr>
          <w:rFonts w:ascii="Times New Roman" w:hAnsi="Times New Roman" w:cs="Times New Roman"/>
          <w:sz w:val="24"/>
          <w:szCs w:val="24"/>
        </w:rPr>
        <w:t xml:space="preserve">, so the preparers need to focus on building a structure business model with the help of IR for value creation. </w:t>
      </w:r>
      <w:r w:rsidR="001A0C8E">
        <w:rPr>
          <w:rFonts w:ascii="Times New Roman" w:hAnsi="Times New Roman" w:cs="Times New Roman"/>
          <w:sz w:val="24"/>
          <w:szCs w:val="24"/>
        </w:rPr>
        <w:t xml:space="preserve">The study from </w:t>
      </w:r>
      <w:r w:rsidR="001A0C8E" w:rsidRPr="00A84C18">
        <w:rPr>
          <w:rFonts w:ascii="Times New Roman" w:hAnsi="Times New Roman" w:cs="Times New Roman"/>
          <w:sz w:val="24"/>
          <w:szCs w:val="24"/>
        </w:rPr>
        <w:t xml:space="preserve">Thiagarajan and Baul, </w:t>
      </w:r>
      <w:r w:rsidR="001A0C8E">
        <w:rPr>
          <w:rFonts w:ascii="Times New Roman" w:hAnsi="Times New Roman" w:cs="Times New Roman"/>
          <w:sz w:val="24"/>
          <w:szCs w:val="24"/>
        </w:rPr>
        <w:t>(</w:t>
      </w:r>
      <w:r w:rsidR="001A0C8E" w:rsidRPr="00A84C18">
        <w:rPr>
          <w:rFonts w:ascii="Times New Roman" w:hAnsi="Times New Roman" w:cs="Times New Roman"/>
          <w:sz w:val="24"/>
          <w:szCs w:val="24"/>
        </w:rPr>
        <w:t>201</w:t>
      </w:r>
      <w:r w:rsidR="001A0C8E">
        <w:rPr>
          <w:rFonts w:ascii="Times New Roman" w:hAnsi="Times New Roman" w:cs="Times New Roman"/>
          <w:sz w:val="24"/>
          <w:szCs w:val="24"/>
        </w:rPr>
        <w:t xml:space="preserve">4) </w:t>
      </w:r>
      <w:r w:rsidR="001A0C8E" w:rsidRPr="001A0C8E">
        <w:rPr>
          <w:rFonts w:ascii="Times New Roman" w:hAnsi="Times New Roman" w:cs="Times New Roman"/>
          <w:sz w:val="24"/>
          <w:szCs w:val="24"/>
        </w:rPr>
        <w:t>emphasize</w:t>
      </w:r>
      <w:r w:rsidR="001A0C8E">
        <w:rPr>
          <w:rFonts w:ascii="Times New Roman" w:hAnsi="Times New Roman" w:cs="Times New Roman"/>
          <w:sz w:val="24"/>
          <w:szCs w:val="24"/>
        </w:rPr>
        <w:t>d</w:t>
      </w:r>
      <w:r w:rsidR="001A0C8E" w:rsidRPr="00A84C18">
        <w:rPr>
          <w:rFonts w:ascii="Times New Roman" w:hAnsi="Times New Roman" w:cs="Times New Roman"/>
          <w:sz w:val="24"/>
          <w:szCs w:val="24"/>
        </w:rPr>
        <w:t xml:space="preserve"> on </w:t>
      </w:r>
      <w:r w:rsidR="001A0C8E">
        <w:rPr>
          <w:rFonts w:ascii="Times New Roman" w:hAnsi="Times New Roman" w:cs="Times New Roman"/>
          <w:sz w:val="24"/>
          <w:szCs w:val="24"/>
        </w:rPr>
        <w:t xml:space="preserve">the role of </w:t>
      </w:r>
      <w:r w:rsidR="001A0C8E" w:rsidRPr="00A84C18">
        <w:rPr>
          <w:rFonts w:ascii="Times New Roman" w:hAnsi="Times New Roman" w:cs="Times New Roman"/>
          <w:sz w:val="24"/>
          <w:szCs w:val="24"/>
        </w:rPr>
        <w:t xml:space="preserve">Intellectual capital (IC) as a part of IR </w:t>
      </w:r>
      <w:r w:rsidR="001A0C8E">
        <w:rPr>
          <w:rFonts w:ascii="Times New Roman" w:hAnsi="Times New Roman" w:cs="Times New Roman"/>
          <w:sz w:val="24"/>
          <w:szCs w:val="24"/>
        </w:rPr>
        <w:t>and for v</w:t>
      </w:r>
      <w:r w:rsidR="001A0C8E" w:rsidRPr="00A84C18">
        <w:rPr>
          <w:rFonts w:ascii="Times New Roman" w:hAnsi="Times New Roman" w:cs="Times New Roman"/>
          <w:sz w:val="24"/>
          <w:szCs w:val="24"/>
        </w:rPr>
        <w:t>alue creating process for business</w:t>
      </w:r>
      <w:r w:rsidR="001A0C8E">
        <w:rPr>
          <w:rFonts w:ascii="Times New Roman" w:hAnsi="Times New Roman" w:cs="Times New Roman"/>
          <w:sz w:val="24"/>
          <w:szCs w:val="24"/>
        </w:rPr>
        <w:t>. T</w:t>
      </w:r>
      <w:r w:rsidR="001A0C8E" w:rsidRPr="00A84C18">
        <w:rPr>
          <w:rFonts w:ascii="Times New Roman" w:hAnsi="Times New Roman" w:cs="Times New Roman"/>
          <w:sz w:val="24"/>
          <w:szCs w:val="24"/>
        </w:rPr>
        <w:t xml:space="preserve">he study </w:t>
      </w:r>
      <w:r w:rsidR="001A0C8E">
        <w:rPr>
          <w:rFonts w:ascii="Times New Roman" w:hAnsi="Times New Roman" w:cs="Times New Roman"/>
          <w:sz w:val="24"/>
          <w:szCs w:val="24"/>
        </w:rPr>
        <w:t>also</w:t>
      </w:r>
      <w:r w:rsidR="001A0C8E" w:rsidRPr="00A84C18">
        <w:rPr>
          <w:rFonts w:ascii="Times New Roman" w:hAnsi="Times New Roman" w:cs="Times New Roman"/>
          <w:sz w:val="24"/>
          <w:szCs w:val="24"/>
        </w:rPr>
        <w:t xml:space="preserve"> analyze</w:t>
      </w:r>
      <w:r w:rsidR="001A0C8E">
        <w:rPr>
          <w:rFonts w:ascii="Times New Roman" w:hAnsi="Times New Roman" w:cs="Times New Roman"/>
          <w:sz w:val="24"/>
          <w:szCs w:val="24"/>
        </w:rPr>
        <w:t>d the growth of IR</w:t>
      </w:r>
      <w:r w:rsidR="004A5BFE">
        <w:rPr>
          <w:rFonts w:ascii="Times New Roman" w:hAnsi="Times New Roman" w:cs="Times New Roman"/>
          <w:sz w:val="24"/>
          <w:szCs w:val="24"/>
        </w:rPr>
        <w:t xml:space="preserve"> and its impact on financial performance. </w:t>
      </w:r>
      <w:r w:rsidR="0015063E">
        <w:rPr>
          <w:rFonts w:ascii="Times New Roman" w:hAnsi="Times New Roman" w:cs="Times New Roman"/>
          <w:sz w:val="24"/>
          <w:szCs w:val="24"/>
        </w:rPr>
        <w:t xml:space="preserve">To meet the expectations of various </w:t>
      </w:r>
      <w:r w:rsidR="00C5184A">
        <w:rPr>
          <w:rFonts w:ascii="Times New Roman" w:hAnsi="Times New Roman" w:cs="Times New Roman"/>
          <w:sz w:val="24"/>
          <w:szCs w:val="24"/>
        </w:rPr>
        <w:t>stakeholder’s</w:t>
      </w:r>
      <w:r w:rsidR="0015063E">
        <w:rPr>
          <w:rFonts w:ascii="Times New Roman" w:hAnsi="Times New Roman" w:cs="Times New Roman"/>
          <w:sz w:val="24"/>
          <w:szCs w:val="24"/>
        </w:rPr>
        <w:t xml:space="preserve"> company provides material information as per their</w:t>
      </w:r>
      <w:r w:rsidR="001D412B">
        <w:rPr>
          <w:rFonts w:ascii="Times New Roman" w:hAnsi="Times New Roman" w:cs="Times New Roman"/>
          <w:sz w:val="24"/>
          <w:szCs w:val="24"/>
        </w:rPr>
        <w:t xml:space="preserve"> </w:t>
      </w:r>
      <w:r w:rsidR="0015063E">
        <w:rPr>
          <w:rFonts w:ascii="Times New Roman" w:hAnsi="Times New Roman" w:cs="Times New Roman"/>
          <w:sz w:val="24"/>
          <w:szCs w:val="24"/>
        </w:rPr>
        <w:t xml:space="preserve">requirements through IR </w:t>
      </w:r>
      <w:r w:rsidRPr="00A84C18">
        <w:rPr>
          <w:rFonts w:ascii="Times New Roman" w:hAnsi="Times New Roman" w:cs="Times New Roman"/>
          <w:sz w:val="24"/>
          <w:szCs w:val="24"/>
        </w:rPr>
        <w:t xml:space="preserve">(De Villiers et al., 2017). </w:t>
      </w:r>
      <w:r w:rsidR="0015063E">
        <w:rPr>
          <w:rFonts w:ascii="Times New Roman" w:hAnsi="Times New Roman" w:cs="Times New Roman"/>
          <w:sz w:val="24"/>
          <w:szCs w:val="24"/>
        </w:rPr>
        <w:t xml:space="preserve">The </w:t>
      </w:r>
      <w:r w:rsidRPr="00A84C18">
        <w:rPr>
          <w:rFonts w:ascii="Times New Roman" w:hAnsi="Times New Roman" w:cs="Times New Roman"/>
          <w:sz w:val="24"/>
          <w:szCs w:val="24"/>
        </w:rPr>
        <w:t>IR precise</w:t>
      </w:r>
      <w:r w:rsidR="000F3F70">
        <w:rPr>
          <w:rFonts w:ascii="Times New Roman" w:hAnsi="Times New Roman" w:cs="Times New Roman"/>
          <w:sz w:val="24"/>
          <w:szCs w:val="24"/>
        </w:rPr>
        <w:t>ly explains</w:t>
      </w:r>
      <w:r w:rsidRPr="00A84C18">
        <w:rPr>
          <w:rFonts w:ascii="Times New Roman" w:hAnsi="Times New Roman" w:cs="Times New Roman"/>
          <w:sz w:val="24"/>
          <w:szCs w:val="24"/>
        </w:rPr>
        <w:t xml:space="preserve"> </w:t>
      </w:r>
      <w:r w:rsidR="0015063E">
        <w:rPr>
          <w:rFonts w:ascii="Times New Roman" w:hAnsi="Times New Roman" w:cs="Times New Roman"/>
          <w:sz w:val="24"/>
          <w:szCs w:val="24"/>
        </w:rPr>
        <w:t xml:space="preserve">the </w:t>
      </w:r>
      <w:r w:rsidRPr="00A84C18">
        <w:rPr>
          <w:rFonts w:ascii="Times New Roman" w:hAnsi="Times New Roman" w:cs="Times New Roman"/>
          <w:sz w:val="24"/>
          <w:szCs w:val="24"/>
        </w:rPr>
        <w:t>implementation of busine</w:t>
      </w:r>
      <w:r w:rsidR="000F3F70">
        <w:rPr>
          <w:rFonts w:ascii="Times New Roman" w:hAnsi="Times New Roman" w:cs="Times New Roman"/>
          <w:sz w:val="24"/>
          <w:szCs w:val="24"/>
        </w:rPr>
        <w:t xml:space="preserve">ss morals, </w:t>
      </w:r>
      <w:r w:rsidRPr="00A84C18">
        <w:rPr>
          <w:rFonts w:ascii="Times New Roman" w:hAnsi="Times New Roman" w:cs="Times New Roman"/>
          <w:sz w:val="24"/>
          <w:szCs w:val="24"/>
        </w:rPr>
        <w:t>ethics in reporting</w:t>
      </w:r>
      <w:r w:rsidR="000F3F70">
        <w:rPr>
          <w:rFonts w:ascii="Times New Roman" w:hAnsi="Times New Roman" w:cs="Times New Roman"/>
          <w:sz w:val="24"/>
          <w:szCs w:val="24"/>
        </w:rPr>
        <w:t xml:space="preserve"> practices</w:t>
      </w:r>
      <w:r w:rsidR="00404C7A">
        <w:rPr>
          <w:rFonts w:ascii="Times New Roman" w:hAnsi="Times New Roman" w:cs="Times New Roman"/>
          <w:sz w:val="24"/>
          <w:szCs w:val="24"/>
        </w:rPr>
        <w:t xml:space="preserve"> </w:t>
      </w:r>
      <w:r w:rsidRPr="00A84C18">
        <w:rPr>
          <w:rFonts w:ascii="Times New Roman" w:hAnsi="Times New Roman" w:cs="Times New Roman"/>
          <w:sz w:val="24"/>
          <w:szCs w:val="24"/>
        </w:rPr>
        <w:t>(Lodhia</w:t>
      </w:r>
      <w:r w:rsidR="00230C16" w:rsidRPr="00A84C18">
        <w:rPr>
          <w:rFonts w:ascii="Times New Roman" w:hAnsi="Times New Roman" w:cs="Times New Roman"/>
          <w:sz w:val="24"/>
          <w:szCs w:val="24"/>
        </w:rPr>
        <w:t>,</w:t>
      </w:r>
      <w:r w:rsidRPr="00A84C18">
        <w:rPr>
          <w:rFonts w:ascii="Times New Roman" w:hAnsi="Times New Roman" w:cs="Times New Roman"/>
          <w:sz w:val="24"/>
          <w:szCs w:val="24"/>
        </w:rPr>
        <w:t xml:space="preserve"> 2014). </w:t>
      </w:r>
    </w:p>
    <w:p w14:paraId="6E6CA0B2" w14:textId="67FE1AEB" w:rsidR="007A4436" w:rsidRDefault="001724C4" w:rsidP="00C74264">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t>Presentation of the report along with quality, assurance</w:t>
      </w:r>
      <w:r w:rsidR="0091485E">
        <w:rPr>
          <w:rFonts w:ascii="Times New Roman" w:hAnsi="Times New Roman" w:cs="Times New Roman"/>
          <w:sz w:val="24"/>
          <w:szCs w:val="24"/>
        </w:rPr>
        <w:t xml:space="preserve"> </w:t>
      </w:r>
      <w:r w:rsidRPr="00A84C18">
        <w:rPr>
          <w:rFonts w:ascii="Times New Roman" w:hAnsi="Times New Roman" w:cs="Times New Roman"/>
          <w:sz w:val="24"/>
          <w:szCs w:val="24"/>
        </w:rPr>
        <w:t>standards</w:t>
      </w:r>
      <w:r w:rsidR="0091485E">
        <w:rPr>
          <w:rFonts w:ascii="Times New Roman" w:hAnsi="Times New Roman" w:cs="Times New Roman"/>
          <w:sz w:val="24"/>
          <w:szCs w:val="24"/>
        </w:rPr>
        <w:t xml:space="preserve"> and guidelines</w:t>
      </w:r>
      <w:r w:rsidRPr="00A84C18">
        <w:rPr>
          <w:rFonts w:ascii="Times New Roman" w:hAnsi="Times New Roman" w:cs="Times New Roman"/>
          <w:sz w:val="24"/>
          <w:szCs w:val="24"/>
        </w:rPr>
        <w:t xml:space="preserve"> are few important aspects that need to be </w:t>
      </w:r>
      <w:r w:rsidR="0091485E">
        <w:rPr>
          <w:rFonts w:ascii="Times New Roman" w:hAnsi="Times New Roman" w:cs="Times New Roman"/>
          <w:sz w:val="24"/>
          <w:szCs w:val="24"/>
        </w:rPr>
        <w:t>considered before the draft is prepared. E</w:t>
      </w:r>
      <w:r w:rsidRPr="00A84C18">
        <w:rPr>
          <w:rFonts w:ascii="Times New Roman" w:hAnsi="Times New Roman" w:cs="Times New Roman"/>
          <w:sz w:val="24"/>
          <w:szCs w:val="24"/>
        </w:rPr>
        <w:t xml:space="preserve">specially </w:t>
      </w:r>
      <w:r w:rsidR="0091485E">
        <w:rPr>
          <w:rFonts w:ascii="Times New Roman" w:hAnsi="Times New Roman" w:cs="Times New Roman"/>
          <w:sz w:val="24"/>
          <w:szCs w:val="24"/>
        </w:rPr>
        <w:t xml:space="preserve">the draft should focus on </w:t>
      </w:r>
      <w:r w:rsidRPr="00A84C18">
        <w:rPr>
          <w:rFonts w:ascii="Times New Roman" w:hAnsi="Times New Roman" w:cs="Times New Roman"/>
          <w:sz w:val="24"/>
          <w:szCs w:val="24"/>
        </w:rPr>
        <w:t xml:space="preserve">external environment, social and governance </w:t>
      </w:r>
      <w:r w:rsidR="0091485E">
        <w:rPr>
          <w:rFonts w:ascii="Times New Roman" w:hAnsi="Times New Roman" w:cs="Times New Roman"/>
          <w:sz w:val="24"/>
          <w:szCs w:val="24"/>
        </w:rPr>
        <w:t xml:space="preserve">factors as they have </w:t>
      </w:r>
      <w:r w:rsidRPr="00A84C18">
        <w:rPr>
          <w:rFonts w:ascii="Times New Roman" w:hAnsi="Times New Roman" w:cs="Times New Roman"/>
          <w:sz w:val="24"/>
          <w:szCs w:val="24"/>
        </w:rPr>
        <w:t>more effect on the quality</w:t>
      </w:r>
      <w:r w:rsidR="0091485E">
        <w:rPr>
          <w:rFonts w:ascii="Times New Roman" w:hAnsi="Times New Roman" w:cs="Times New Roman"/>
          <w:sz w:val="24"/>
          <w:szCs w:val="24"/>
        </w:rPr>
        <w:t xml:space="preserve"> and </w:t>
      </w:r>
      <w:r w:rsidRPr="00A84C18">
        <w:rPr>
          <w:rFonts w:ascii="Times New Roman" w:hAnsi="Times New Roman" w:cs="Times New Roman"/>
          <w:sz w:val="24"/>
          <w:szCs w:val="24"/>
        </w:rPr>
        <w:t>length of IR</w:t>
      </w:r>
      <w:r w:rsidR="0091485E">
        <w:rPr>
          <w:rFonts w:ascii="Times New Roman" w:hAnsi="Times New Roman" w:cs="Times New Roman"/>
          <w:sz w:val="24"/>
          <w:szCs w:val="24"/>
        </w:rPr>
        <w:t>. H</w:t>
      </w:r>
      <w:r w:rsidRPr="00A84C18">
        <w:rPr>
          <w:rFonts w:ascii="Times New Roman" w:hAnsi="Times New Roman" w:cs="Times New Roman"/>
          <w:sz w:val="24"/>
          <w:szCs w:val="24"/>
        </w:rPr>
        <w:t>owever</w:t>
      </w:r>
      <w:r w:rsidR="0091485E">
        <w:rPr>
          <w:rFonts w:ascii="Times New Roman" w:hAnsi="Times New Roman" w:cs="Times New Roman"/>
          <w:sz w:val="24"/>
          <w:szCs w:val="24"/>
        </w:rPr>
        <w:t>,</w:t>
      </w:r>
      <w:r w:rsidRPr="00A84C18">
        <w:rPr>
          <w:rFonts w:ascii="Times New Roman" w:hAnsi="Times New Roman" w:cs="Times New Roman"/>
          <w:sz w:val="24"/>
          <w:szCs w:val="24"/>
        </w:rPr>
        <w:t xml:space="preserve"> </w:t>
      </w:r>
      <w:r w:rsidR="0091485E">
        <w:rPr>
          <w:rFonts w:ascii="Times New Roman" w:hAnsi="Times New Roman" w:cs="Times New Roman"/>
          <w:sz w:val="24"/>
          <w:szCs w:val="24"/>
        </w:rPr>
        <w:t xml:space="preserve">the IR </w:t>
      </w:r>
      <w:r w:rsidRPr="00A84C18">
        <w:rPr>
          <w:rFonts w:ascii="Times New Roman" w:hAnsi="Times New Roman" w:cs="Times New Roman"/>
          <w:sz w:val="24"/>
          <w:szCs w:val="24"/>
        </w:rPr>
        <w:t xml:space="preserve">was </w:t>
      </w:r>
      <w:r w:rsidR="0091485E">
        <w:rPr>
          <w:rFonts w:ascii="Times New Roman" w:hAnsi="Times New Roman" w:cs="Times New Roman"/>
          <w:sz w:val="24"/>
          <w:szCs w:val="24"/>
        </w:rPr>
        <w:t xml:space="preserve">found and </w:t>
      </w:r>
      <w:r w:rsidR="00AE1A68">
        <w:rPr>
          <w:rFonts w:ascii="Times New Roman" w:hAnsi="Times New Roman" w:cs="Times New Roman"/>
          <w:sz w:val="24"/>
          <w:szCs w:val="24"/>
        </w:rPr>
        <w:t xml:space="preserve">promoted </w:t>
      </w:r>
      <w:r w:rsidR="00AE1A68" w:rsidRPr="00A84C18">
        <w:rPr>
          <w:rFonts w:ascii="Times New Roman" w:hAnsi="Times New Roman" w:cs="Times New Roman"/>
          <w:sz w:val="24"/>
          <w:szCs w:val="24"/>
        </w:rPr>
        <w:t>by</w:t>
      </w:r>
      <w:r w:rsidRPr="00A84C18">
        <w:rPr>
          <w:rFonts w:ascii="Times New Roman" w:hAnsi="Times New Roman" w:cs="Times New Roman"/>
          <w:sz w:val="24"/>
          <w:szCs w:val="24"/>
        </w:rPr>
        <w:t xml:space="preserve"> IIRC </w:t>
      </w:r>
      <w:r w:rsidR="0091485E">
        <w:rPr>
          <w:rFonts w:ascii="Times New Roman" w:hAnsi="Times New Roman" w:cs="Times New Roman"/>
          <w:sz w:val="24"/>
          <w:szCs w:val="24"/>
        </w:rPr>
        <w:t>(</w:t>
      </w:r>
      <w:r w:rsidRPr="00A84C18">
        <w:rPr>
          <w:rFonts w:ascii="Times New Roman" w:hAnsi="Times New Roman" w:cs="Times New Roman"/>
          <w:sz w:val="24"/>
          <w:szCs w:val="24"/>
        </w:rPr>
        <w:t>2013</w:t>
      </w:r>
      <w:r w:rsidR="0091485E">
        <w:rPr>
          <w:rFonts w:ascii="Times New Roman" w:hAnsi="Times New Roman" w:cs="Times New Roman"/>
          <w:sz w:val="24"/>
          <w:szCs w:val="24"/>
        </w:rPr>
        <w:t>)</w:t>
      </w:r>
      <w:r w:rsidRPr="00A84C18">
        <w:rPr>
          <w:rFonts w:ascii="Times New Roman" w:hAnsi="Times New Roman" w:cs="Times New Roman"/>
          <w:sz w:val="24"/>
          <w:szCs w:val="24"/>
        </w:rPr>
        <w:t xml:space="preserve"> </w:t>
      </w:r>
      <w:r w:rsidR="0091485E">
        <w:rPr>
          <w:rFonts w:ascii="Times New Roman" w:hAnsi="Times New Roman" w:cs="Times New Roman"/>
          <w:sz w:val="24"/>
          <w:szCs w:val="24"/>
        </w:rPr>
        <w:t xml:space="preserve">with the guidelines of </w:t>
      </w:r>
      <w:r w:rsidRPr="00A84C18">
        <w:rPr>
          <w:rFonts w:ascii="Times New Roman" w:hAnsi="Times New Roman" w:cs="Times New Roman"/>
          <w:sz w:val="24"/>
          <w:szCs w:val="24"/>
        </w:rPr>
        <w:t xml:space="preserve">Global Reporting Initiative </w:t>
      </w:r>
      <w:r w:rsidR="0091485E">
        <w:rPr>
          <w:rFonts w:ascii="Times New Roman" w:hAnsi="Times New Roman" w:cs="Times New Roman"/>
          <w:sz w:val="24"/>
          <w:szCs w:val="24"/>
        </w:rPr>
        <w:t>(</w:t>
      </w:r>
      <w:r w:rsidRPr="00A84C18">
        <w:rPr>
          <w:rFonts w:ascii="Times New Roman" w:hAnsi="Times New Roman" w:cs="Times New Roman"/>
          <w:sz w:val="24"/>
          <w:szCs w:val="24"/>
        </w:rPr>
        <w:t>2016</w:t>
      </w:r>
      <w:r w:rsidR="0091485E">
        <w:rPr>
          <w:rFonts w:ascii="Times New Roman" w:hAnsi="Times New Roman" w:cs="Times New Roman"/>
          <w:sz w:val="24"/>
          <w:szCs w:val="24"/>
        </w:rPr>
        <w:t>)</w:t>
      </w:r>
      <w:r w:rsidR="004A5BFE">
        <w:rPr>
          <w:rFonts w:ascii="Times New Roman" w:hAnsi="Times New Roman" w:cs="Times New Roman"/>
          <w:sz w:val="24"/>
          <w:szCs w:val="24"/>
        </w:rPr>
        <w:t xml:space="preserve"> (GRI)</w:t>
      </w:r>
      <w:r w:rsidRPr="00A84C18">
        <w:rPr>
          <w:rFonts w:ascii="Times New Roman" w:hAnsi="Times New Roman" w:cs="Times New Roman"/>
          <w:sz w:val="24"/>
          <w:szCs w:val="24"/>
        </w:rPr>
        <w:t xml:space="preserve">, </w:t>
      </w:r>
      <w:r w:rsidR="00B22DD2">
        <w:rPr>
          <w:rFonts w:ascii="Times New Roman" w:hAnsi="Times New Roman" w:cs="Times New Roman"/>
          <w:sz w:val="24"/>
          <w:szCs w:val="24"/>
        </w:rPr>
        <w:t>helped to frame</w:t>
      </w:r>
      <w:r w:rsidR="002B36A4">
        <w:rPr>
          <w:rFonts w:ascii="Times New Roman" w:hAnsi="Times New Roman" w:cs="Times New Roman"/>
          <w:sz w:val="24"/>
          <w:szCs w:val="24"/>
        </w:rPr>
        <w:t xml:space="preserve"> and </w:t>
      </w:r>
      <w:r w:rsidR="00786D37">
        <w:rPr>
          <w:rFonts w:ascii="Times New Roman" w:hAnsi="Times New Roman" w:cs="Times New Roman"/>
          <w:sz w:val="24"/>
          <w:szCs w:val="24"/>
        </w:rPr>
        <w:t>motivate the</w:t>
      </w:r>
      <w:r w:rsidR="002B36A4">
        <w:rPr>
          <w:rFonts w:ascii="Times New Roman" w:hAnsi="Times New Roman" w:cs="Times New Roman"/>
          <w:sz w:val="24"/>
          <w:szCs w:val="24"/>
        </w:rPr>
        <w:t xml:space="preserve"> IR for better validation </w:t>
      </w:r>
      <w:r w:rsidRPr="00A84C18">
        <w:rPr>
          <w:rFonts w:ascii="Times New Roman" w:hAnsi="Times New Roman" w:cs="Times New Roman"/>
          <w:sz w:val="24"/>
          <w:szCs w:val="24"/>
        </w:rPr>
        <w:t>(Warren 2019)</w:t>
      </w:r>
      <w:r w:rsidR="00B22DD2">
        <w:rPr>
          <w:rFonts w:ascii="Times New Roman" w:hAnsi="Times New Roman" w:cs="Times New Roman"/>
          <w:sz w:val="24"/>
          <w:szCs w:val="24"/>
        </w:rPr>
        <w:t xml:space="preserve">. </w:t>
      </w:r>
      <w:r w:rsidR="00AE1A68">
        <w:rPr>
          <w:rFonts w:ascii="Times New Roman" w:hAnsi="Times New Roman" w:cs="Times New Roman"/>
          <w:sz w:val="24"/>
          <w:szCs w:val="24"/>
        </w:rPr>
        <w:t xml:space="preserve">The </w:t>
      </w:r>
      <w:r w:rsidRPr="00A84C18">
        <w:rPr>
          <w:rFonts w:ascii="Times New Roman" w:hAnsi="Times New Roman" w:cs="Times New Roman"/>
          <w:sz w:val="24"/>
          <w:szCs w:val="24"/>
        </w:rPr>
        <w:t xml:space="preserve">assurance in quality maintaining will increase the credibility of </w:t>
      </w:r>
      <w:r w:rsidR="00AE1A68">
        <w:rPr>
          <w:rFonts w:ascii="Times New Roman" w:hAnsi="Times New Roman" w:cs="Times New Roman"/>
          <w:sz w:val="24"/>
          <w:szCs w:val="24"/>
        </w:rPr>
        <w:t xml:space="preserve">IR </w:t>
      </w:r>
      <w:r w:rsidRPr="00A84C18">
        <w:rPr>
          <w:rFonts w:ascii="Times New Roman" w:hAnsi="Times New Roman" w:cs="Times New Roman"/>
          <w:sz w:val="24"/>
          <w:szCs w:val="24"/>
        </w:rPr>
        <w:t>and sustainability of an organization (KPMG, 2017). After the mandatory of IR in South Africa</w:t>
      </w:r>
      <w:r w:rsidR="00AE1A68">
        <w:rPr>
          <w:rFonts w:ascii="Times New Roman" w:hAnsi="Times New Roman" w:cs="Times New Roman"/>
          <w:sz w:val="24"/>
          <w:szCs w:val="24"/>
        </w:rPr>
        <w:t>,</w:t>
      </w:r>
      <w:r w:rsidRPr="00A84C18">
        <w:rPr>
          <w:rFonts w:ascii="Times New Roman" w:hAnsi="Times New Roman" w:cs="Times New Roman"/>
          <w:sz w:val="24"/>
          <w:szCs w:val="24"/>
        </w:rPr>
        <w:t xml:space="preserve"> there were </w:t>
      </w:r>
      <w:r w:rsidR="00AE1A68" w:rsidRPr="00A84C18">
        <w:rPr>
          <w:rFonts w:ascii="Times New Roman" w:hAnsi="Times New Roman" w:cs="Times New Roman"/>
          <w:sz w:val="24"/>
          <w:szCs w:val="24"/>
        </w:rPr>
        <w:t>amply</w:t>
      </w:r>
      <w:r w:rsidRPr="00A84C18">
        <w:rPr>
          <w:rFonts w:ascii="Times New Roman" w:hAnsi="Times New Roman" w:cs="Times New Roman"/>
          <w:sz w:val="24"/>
          <w:szCs w:val="24"/>
        </w:rPr>
        <w:t xml:space="preserve"> of business case</w:t>
      </w:r>
      <w:r w:rsidR="00AE1A68">
        <w:rPr>
          <w:rFonts w:ascii="Times New Roman" w:hAnsi="Times New Roman" w:cs="Times New Roman"/>
          <w:sz w:val="24"/>
          <w:szCs w:val="24"/>
        </w:rPr>
        <w:t>s</w:t>
      </w:r>
      <w:r w:rsidRPr="00A84C18">
        <w:rPr>
          <w:rFonts w:ascii="Times New Roman" w:hAnsi="Times New Roman" w:cs="Times New Roman"/>
          <w:sz w:val="24"/>
          <w:szCs w:val="24"/>
        </w:rPr>
        <w:t xml:space="preserve"> for investigating the quality, size</w:t>
      </w:r>
      <w:r w:rsidR="00AE1A68">
        <w:rPr>
          <w:rFonts w:ascii="Times New Roman" w:hAnsi="Times New Roman" w:cs="Times New Roman"/>
          <w:sz w:val="24"/>
          <w:szCs w:val="24"/>
        </w:rPr>
        <w:t>, growth, performance</w:t>
      </w:r>
      <w:r w:rsidRPr="00A84C18">
        <w:rPr>
          <w:rFonts w:ascii="Times New Roman" w:hAnsi="Times New Roman" w:cs="Times New Roman"/>
          <w:sz w:val="24"/>
          <w:szCs w:val="24"/>
        </w:rPr>
        <w:t xml:space="preserve"> and length of reports (Bernardi and Stark</w:t>
      </w:r>
      <w:r w:rsidR="004F4B04" w:rsidRPr="00A84C18">
        <w:rPr>
          <w:rFonts w:ascii="Times New Roman" w:hAnsi="Times New Roman" w:cs="Times New Roman"/>
          <w:sz w:val="24"/>
          <w:szCs w:val="24"/>
        </w:rPr>
        <w:t>.</w:t>
      </w:r>
      <w:r w:rsidRPr="00A84C18">
        <w:rPr>
          <w:rFonts w:ascii="Times New Roman" w:hAnsi="Times New Roman" w:cs="Times New Roman"/>
          <w:sz w:val="24"/>
          <w:szCs w:val="24"/>
        </w:rPr>
        <w:t xml:space="preserve"> 2018; Zhou et al. 2017; </w:t>
      </w:r>
      <w:r w:rsidR="00FB587A" w:rsidRPr="00A84C18">
        <w:rPr>
          <w:rFonts w:ascii="Times New Roman" w:hAnsi="Times New Roman" w:cs="Times New Roman"/>
          <w:sz w:val="24"/>
          <w:szCs w:val="24"/>
        </w:rPr>
        <w:t>Lee and Yeo</w:t>
      </w:r>
      <w:r w:rsidR="00390FC0" w:rsidRPr="00A84C18">
        <w:rPr>
          <w:rFonts w:ascii="Times New Roman" w:hAnsi="Times New Roman" w:cs="Times New Roman"/>
          <w:sz w:val="24"/>
          <w:szCs w:val="24"/>
        </w:rPr>
        <w:t>,</w:t>
      </w:r>
      <w:r w:rsidR="00FB587A" w:rsidRPr="00A84C18">
        <w:rPr>
          <w:rFonts w:ascii="Times New Roman" w:hAnsi="Times New Roman" w:cs="Times New Roman"/>
          <w:sz w:val="24"/>
          <w:szCs w:val="24"/>
        </w:rPr>
        <w:t xml:space="preserve"> 2016</w:t>
      </w:r>
      <w:r w:rsidRPr="00A84C18">
        <w:rPr>
          <w:rFonts w:ascii="Times New Roman" w:hAnsi="Times New Roman" w:cs="Times New Roman"/>
          <w:sz w:val="24"/>
          <w:szCs w:val="24"/>
        </w:rPr>
        <w:t>)</w:t>
      </w:r>
      <w:r w:rsidR="00AE1A68">
        <w:rPr>
          <w:rFonts w:ascii="Times New Roman" w:hAnsi="Times New Roman" w:cs="Times New Roman"/>
          <w:sz w:val="24"/>
          <w:szCs w:val="24"/>
        </w:rPr>
        <w:t xml:space="preserve">. </w:t>
      </w:r>
    </w:p>
    <w:p w14:paraId="7371C0CA" w14:textId="6A753562" w:rsidR="001724C4" w:rsidRPr="00A84C18" w:rsidRDefault="003949F6" w:rsidP="00C74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Sometimes the quality of report depends on the cost of capital. The large companies invest huge funds for preparing quality of IR/annual reports. Whereas, the small and medium size business may not effort for good quality report due to insufficient funds </w:t>
      </w:r>
      <w:r w:rsidR="00D07C79">
        <w:rPr>
          <w:rFonts w:ascii="Times New Roman" w:hAnsi="Times New Roman" w:cs="Times New Roman"/>
          <w:sz w:val="24"/>
          <w:szCs w:val="24"/>
        </w:rPr>
        <w:t>allocations (</w:t>
      </w:r>
      <w:r w:rsidR="00D07C79" w:rsidRPr="00A84C18">
        <w:rPr>
          <w:rFonts w:ascii="Times New Roman" w:hAnsi="Times New Roman" w:cs="Times New Roman"/>
          <w:sz w:val="24"/>
          <w:szCs w:val="24"/>
        </w:rPr>
        <w:t>Rinaldi et al., 2018</w:t>
      </w:r>
      <w:r w:rsidR="00D07C79">
        <w:rPr>
          <w:rFonts w:ascii="Times New Roman" w:hAnsi="Times New Roman" w:cs="Times New Roman"/>
          <w:sz w:val="24"/>
          <w:szCs w:val="24"/>
        </w:rPr>
        <w:t>)</w:t>
      </w:r>
      <w:r w:rsidR="00C82644">
        <w:rPr>
          <w:rFonts w:ascii="Times New Roman" w:hAnsi="Times New Roman" w:cs="Times New Roman"/>
          <w:sz w:val="24"/>
          <w:szCs w:val="24"/>
        </w:rPr>
        <w:t>. E</w:t>
      </w:r>
      <w:r w:rsidR="001724C4" w:rsidRPr="00A84C18">
        <w:rPr>
          <w:rFonts w:ascii="Times New Roman" w:hAnsi="Times New Roman" w:cs="Times New Roman"/>
          <w:sz w:val="24"/>
          <w:szCs w:val="24"/>
        </w:rPr>
        <w:t xml:space="preserve">ven </w:t>
      </w:r>
      <w:r w:rsidR="00C82644">
        <w:rPr>
          <w:rFonts w:ascii="Times New Roman" w:hAnsi="Times New Roman" w:cs="Times New Roman"/>
          <w:sz w:val="24"/>
          <w:szCs w:val="24"/>
        </w:rPr>
        <w:t xml:space="preserve">the </w:t>
      </w:r>
      <w:r w:rsidR="001724C4" w:rsidRPr="00A84C18">
        <w:rPr>
          <w:rFonts w:ascii="Times New Roman" w:hAnsi="Times New Roman" w:cs="Times New Roman"/>
          <w:sz w:val="24"/>
          <w:szCs w:val="24"/>
        </w:rPr>
        <w:t xml:space="preserve">external assurance </w:t>
      </w:r>
      <w:r w:rsidR="00BF1C2A" w:rsidRPr="00A84C18">
        <w:rPr>
          <w:rFonts w:ascii="Times New Roman" w:hAnsi="Times New Roman" w:cs="Times New Roman"/>
          <w:sz w:val="24"/>
          <w:szCs w:val="24"/>
        </w:rPr>
        <w:t>has</w:t>
      </w:r>
      <w:r w:rsidR="001724C4" w:rsidRPr="00A84C18">
        <w:rPr>
          <w:rFonts w:ascii="Times New Roman" w:hAnsi="Times New Roman" w:cs="Times New Roman"/>
          <w:sz w:val="24"/>
          <w:szCs w:val="24"/>
        </w:rPr>
        <w:t xml:space="preserve"> influence on IR,</w:t>
      </w:r>
      <w:r w:rsidR="0078140C">
        <w:rPr>
          <w:rFonts w:ascii="Times New Roman" w:hAnsi="Times New Roman" w:cs="Times New Roman"/>
          <w:sz w:val="24"/>
          <w:szCs w:val="24"/>
        </w:rPr>
        <w:t xml:space="preserve"> low level of ESG discloses indicates low </w:t>
      </w:r>
      <w:r w:rsidR="006366FB">
        <w:rPr>
          <w:rFonts w:ascii="Times New Roman" w:hAnsi="Times New Roman" w:cs="Times New Roman"/>
          <w:sz w:val="24"/>
          <w:szCs w:val="24"/>
        </w:rPr>
        <w:t>level of reporting practice and higher the ESG disclosure denotes high level of quality report practice</w:t>
      </w:r>
      <w:r w:rsidR="001724C4" w:rsidRPr="00A84C18">
        <w:rPr>
          <w:rFonts w:ascii="Times New Roman" w:hAnsi="Times New Roman" w:cs="Times New Roman"/>
          <w:sz w:val="24"/>
          <w:szCs w:val="24"/>
        </w:rPr>
        <w:t xml:space="preserve"> (De Villiers et al., 2014)</w:t>
      </w:r>
      <w:r w:rsidR="00BF1C2A">
        <w:rPr>
          <w:rFonts w:ascii="Times New Roman" w:hAnsi="Times New Roman" w:cs="Times New Roman"/>
          <w:sz w:val="24"/>
          <w:szCs w:val="24"/>
        </w:rPr>
        <w:t>.</w:t>
      </w:r>
      <w:r w:rsidR="006366FB">
        <w:rPr>
          <w:rFonts w:ascii="Times New Roman" w:hAnsi="Times New Roman" w:cs="Times New Roman"/>
          <w:sz w:val="24"/>
          <w:szCs w:val="24"/>
        </w:rPr>
        <w:t xml:space="preserve"> </w:t>
      </w:r>
      <w:r w:rsidR="006366FB" w:rsidRPr="00A84C18">
        <w:rPr>
          <w:rFonts w:ascii="Times New Roman" w:hAnsi="Times New Roman" w:cs="Times New Roman"/>
          <w:sz w:val="24"/>
          <w:szCs w:val="24"/>
        </w:rPr>
        <w:t xml:space="preserve">In the same way intangible assets will have impact on </w:t>
      </w:r>
      <w:r w:rsidR="0051507D" w:rsidRPr="00A84C18">
        <w:rPr>
          <w:rFonts w:ascii="Times New Roman" w:hAnsi="Times New Roman" w:cs="Times New Roman"/>
          <w:sz w:val="24"/>
          <w:szCs w:val="24"/>
        </w:rPr>
        <w:t>stakeholders’</w:t>
      </w:r>
      <w:r w:rsidR="006366FB" w:rsidRPr="00A84C18">
        <w:rPr>
          <w:rFonts w:ascii="Times New Roman" w:hAnsi="Times New Roman" w:cs="Times New Roman"/>
          <w:sz w:val="24"/>
          <w:szCs w:val="24"/>
        </w:rPr>
        <w:t xml:space="preserve"> behavior</w:t>
      </w:r>
      <w:r w:rsidR="006366FB">
        <w:rPr>
          <w:rFonts w:ascii="Times New Roman" w:hAnsi="Times New Roman" w:cs="Times New Roman"/>
          <w:sz w:val="24"/>
          <w:szCs w:val="24"/>
        </w:rPr>
        <w:t xml:space="preserve"> and quality of report</w:t>
      </w:r>
      <w:r w:rsidR="000C4311">
        <w:rPr>
          <w:rFonts w:ascii="Times New Roman" w:hAnsi="Times New Roman" w:cs="Times New Roman"/>
          <w:sz w:val="24"/>
          <w:szCs w:val="24"/>
        </w:rPr>
        <w:t xml:space="preserve"> with respect to </w:t>
      </w:r>
      <w:r w:rsidR="006366FB" w:rsidRPr="00A84C18">
        <w:rPr>
          <w:rFonts w:ascii="Times New Roman" w:hAnsi="Times New Roman" w:cs="Times New Roman"/>
          <w:sz w:val="24"/>
          <w:szCs w:val="24"/>
        </w:rPr>
        <w:t>Intellectual capital</w:t>
      </w:r>
      <w:r w:rsidR="000C4311">
        <w:rPr>
          <w:rFonts w:ascii="Times New Roman" w:hAnsi="Times New Roman" w:cs="Times New Roman"/>
          <w:sz w:val="24"/>
          <w:szCs w:val="24"/>
        </w:rPr>
        <w:t xml:space="preserve"> is been </w:t>
      </w:r>
      <w:r w:rsidR="0051507D">
        <w:rPr>
          <w:rFonts w:ascii="Times New Roman" w:hAnsi="Times New Roman" w:cs="Times New Roman"/>
          <w:sz w:val="24"/>
          <w:szCs w:val="24"/>
        </w:rPr>
        <w:t>proved (</w:t>
      </w:r>
      <w:r w:rsidR="0051507D" w:rsidRPr="00A84C18">
        <w:rPr>
          <w:rFonts w:ascii="Times New Roman" w:hAnsi="Times New Roman" w:cs="Times New Roman"/>
          <w:sz w:val="24"/>
          <w:szCs w:val="24"/>
        </w:rPr>
        <w:t>IC) (</w:t>
      </w:r>
      <w:r w:rsidR="006366FB" w:rsidRPr="00A84C18">
        <w:rPr>
          <w:rFonts w:ascii="Times New Roman" w:hAnsi="Times New Roman" w:cs="Times New Roman"/>
          <w:sz w:val="24"/>
          <w:szCs w:val="24"/>
        </w:rPr>
        <w:t>Joshi</w:t>
      </w:r>
      <w:r w:rsidR="000C4311">
        <w:rPr>
          <w:rFonts w:ascii="Times New Roman" w:hAnsi="Times New Roman" w:cs="Times New Roman"/>
          <w:sz w:val="24"/>
          <w:szCs w:val="24"/>
        </w:rPr>
        <w:t>,</w:t>
      </w:r>
      <w:r w:rsidR="006366FB" w:rsidRPr="00A84C18">
        <w:rPr>
          <w:rFonts w:ascii="Times New Roman" w:hAnsi="Times New Roman" w:cs="Times New Roman"/>
          <w:sz w:val="24"/>
          <w:szCs w:val="24"/>
        </w:rPr>
        <w:t xml:space="preserve"> 2018)</w:t>
      </w:r>
      <w:r w:rsidR="00E75B15">
        <w:rPr>
          <w:rFonts w:ascii="Times New Roman" w:hAnsi="Times New Roman" w:cs="Times New Roman"/>
          <w:sz w:val="24"/>
          <w:szCs w:val="24"/>
        </w:rPr>
        <w:t>.</w:t>
      </w:r>
      <w:r w:rsidR="00FC3716">
        <w:rPr>
          <w:rFonts w:ascii="Times New Roman" w:hAnsi="Times New Roman" w:cs="Times New Roman"/>
          <w:sz w:val="24"/>
          <w:szCs w:val="24"/>
        </w:rPr>
        <w:t xml:space="preserve"> </w:t>
      </w:r>
      <w:r w:rsidR="001724C4" w:rsidRPr="00A84C18">
        <w:rPr>
          <w:rFonts w:ascii="Times New Roman" w:hAnsi="Times New Roman" w:cs="Times New Roman"/>
          <w:sz w:val="24"/>
          <w:szCs w:val="24"/>
        </w:rPr>
        <w:t>The sustainable reports are tested by researchers, expe</w:t>
      </w:r>
      <w:r w:rsidR="00D961AC">
        <w:rPr>
          <w:rFonts w:ascii="Times New Roman" w:hAnsi="Times New Roman" w:cs="Times New Roman"/>
          <w:sz w:val="24"/>
          <w:szCs w:val="24"/>
        </w:rPr>
        <w:t>rts against certain criteria which</w:t>
      </w:r>
      <w:r w:rsidR="001724C4" w:rsidRPr="00A84C18">
        <w:rPr>
          <w:rFonts w:ascii="Times New Roman" w:hAnsi="Times New Roman" w:cs="Times New Roman"/>
          <w:sz w:val="24"/>
          <w:szCs w:val="24"/>
        </w:rPr>
        <w:t xml:space="preserve"> also helpful in reporting and developing guidelines for promoting quality reports and can bring accurate material ESG information (</w:t>
      </w:r>
      <w:r w:rsidR="00FC43F0" w:rsidRPr="00A84C18">
        <w:rPr>
          <w:rFonts w:ascii="Times New Roman" w:hAnsi="Times New Roman" w:cs="Times New Roman"/>
          <w:sz w:val="24"/>
          <w:szCs w:val="24"/>
        </w:rPr>
        <w:t>Adams et al, 2016</w:t>
      </w:r>
      <w:r w:rsidR="001724C4" w:rsidRPr="00A84C18">
        <w:rPr>
          <w:rFonts w:ascii="Times New Roman" w:hAnsi="Times New Roman" w:cs="Times New Roman"/>
          <w:sz w:val="24"/>
          <w:szCs w:val="24"/>
        </w:rPr>
        <w:t>).</w:t>
      </w:r>
    </w:p>
    <w:p w14:paraId="33C8CE17" w14:textId="5F1524D7" w:rsidR="00B477CA" w:rsidRDefault="001724C4" w:rsidP="00B477CA">
      <w:pPr>
        <w:spacing w:after="0" w:line="360" w:lineRule="auto"/>
        <w:jc w:val="both"/>
        <w:rPr>
          <w:rFonts w:ascii="Times New Roman" w:hAnsi="Times New Roman" w:cs="Times New Roman"/>
          <w:sz w:val="24"/>
          <w:szCs w:val="24"/>
        </w:rPr>
      </w:pPr>
      <w:r w:rsidRPr="00A84C18">
        <w:rPr>
          <w:rFonts w:ascii="Times New Roman" w:hAnsi="Times New Roman" w:cs="Times New Roman"/>
          <w:sz w:val="24"/>
          <w:szCs w:val="24"/>
        </w:rPr>
        <w:t>Most of the world’s largest companies started using different forms of sustainability standards and IR framework over last decade and their use was increased rapidly in disclosing the quality of reports (KPMG, 2017)</w:t>
      </w:r>
      <w:r w:rsidR="00FC3716">
        <w:rPr>
          <w:rFonts w:ascii="Times New Roman" w:hAnsi="Times New Roman" w:cs="Times New Roman"/>
          <w:sz w:val="24"/>
          <w:szCs w:val="24"/>
        </w:rPr>
        <w:t xml:space="preserve">. A </w:t>
      </w:r>
      <w:r w:rsidR="00FC3716" w:rsidRPr="00A84C18">
        <w:rPr>
          <w:rFonts w:ascii="Times New Roman" w:hAnsi="Times New Roman" w:cs="Times New Roman"/>
          <w:sz w:val="24"/>
          <w:szCs w:val="24"/>
        </w:rPr>
        <w:t>well-structured</w:t>
      </w:r>
      <w:r w:rsidRPr="00A84C18">
        <w:rPr>
          <w:rFonts w:ascii="Times New Roman" w:hAnsi="Times New Roman" w:cs="Times New Roman"/>
          <w:sz w:val="24"/>
          <w:szCs w:val="24"/>
        </w:rPr>
        <w:t>, developed and prepared IR can be best indicator for efficient management and qualit</w:t>
      </w:r>
      <w:r w:rsidR="004F4B04" w:rsidRPr="00A84C18">
        <w:rPr>
          <w:rFonts w:ascii="Times New Roman" w:hAnsi="Times New Roman" w:cs="Times New Roman"/>
          <w:sz w:val="24"/>
          <w:szCs w:val="24"/>
        </w:rPr>
        <w:t>y of internal management (</w:t>
      </w:r>
      <w:r w:rsidR="00FC43F0" w:rsidRPr="00A84C18">
        <w:rPr>
          <w:rFonts w:ascii="Times New Roman" w:hAnsi="Times New Roman" w:cs="Times New Roman"/>
          <w:sz w:val="24"/>
          <w:szCs w:val="24"/>
        </w:rPr>
        <w:t>Eccles et. al, 2015</w:t>
      </w:r>
      <w:r w:rsidRPr="00A84C18">
        <w:rPr>
          <w:rFonts w:ascii="Times New Roman" w:hAnsi="Times New Roman" w:cs="Times New Roman"/>
          <w:sz w:val="24"/>
          <w:szCs w:val="24"/>
        </w:rPr>
        <w:t>). Even</w:t>
      </w:r>
      <w:r w:rsidR="00FC3716">
        <w:rPr>
          <w:rFonts w:ascii="Times New Roman" w:hAnsi="Times New Roman" w:cs="Times New Roman"/>
          <w:sz w:val="24"/>
          <w:szCs w:val="24"/>
        </w:rPr>
        <w:t>, the</w:t>
      </w:r>
      <w:r w:rsidRPr="00A84C18">
        <w:rPr>
          <w:rFonts w:ascii="Times New Roman" w:hAnsi="Times New Roman" w:cs="Times New Roman"/>
          <w:sz w:val="24"/>
          <w:szCs w:val="24"/>
        </w:rPr>
        <w:t xml:space="preserve"> financial statements can be complemented when there is high quality of reporting in </w:t>
      </w:r>
      <w:r w:rsidRPr="00A84C18">
        <w:rPr>
          <w:rFonts w:ascii="Times New Roman" w:hAnsi="Times New Roman" w:cs="Times New Roman"/>
          <w:sz w:val="24"/>
          <w:szCs w:val="24"/>
        </w:rPr>
        <w:lastRenderedPageBreak/>
        <w:t>sustainabili</w:t>
      </w:r>
      <w:r w:rsidR="00616A6D" w:rsidRPr="00A84C18">
        <w:rPr>
          <w:rFonts w:ascii="Times New Roman" w:hAnsi="Times New Roman" w:cs="Times New Roman"/>
          <w:sz w:val="24"/>
          <w:szCs w:val="24"/>
        </w:rPr>
        <w:t>ty (De Villiers and Maroun,2017</w:t>
      </w:r>
      <w:r w:rsidRPr="00A84C18">
        <w:rPr>
          <w:rFonts w:ascii="Times New Roman" w:hAnsi="Times New Roman" w:cs="Times New Roman"/>
          <w:sz w:val="24"/>
          <w:szCs w:val="24"/>
        </w:rPr>
        <w:t xml:space="preserve">). </w:t>
      </w:r>
      <w:r w:rsidR="00FC3716">
        <w:rPr>
          <w:rFonts w:ascii="Times New Roman" w:hAnsi="Times New Roman" w:cs="Times New Roman"/>
          <w:sz w:val="24"/>
          <w:szCs w:val="24"/>
        </w:rPr>
        <w:t>The s</w:t>
      </w:r>
      <w:r w:rsidRPr="00A84C18">
        <w:rPr>
          <w:rFonts w:ascii="Times New Roman" w:hAnsi="Times New Roman" w:cs="Times New Roman"/>
          <w:sz w:val="24"/>
          <w:szCs w:val="24"/>
        </w:rPr>
        <w:t xml:space="preserve">tudies from </w:t>
      </w:r>
      <w:r w:rsidR="00FC3716" w:rsidRPr="00A84C18">
        <w:rPr>
          <w:rFonts w:ascii="Times New Roman" w:hAnsi="Times New Roman" w:cs="Times New Roman"/>
          <w:sz w:val="24"/>
          <w:szCs w:val="24"/>
        </w:rPr>
        <w:t>Ioannou</w:t>
      </w:r>
      <w:r w:rsidR="00FC3716">
        <w:rPr>
          <w:rFonts w:ascii="Times New Roman" w:hAnsi="Times New Roman" w:cs="Times New Roman"/>
          <w:sz w:val="24"/>
          <w:szCs w:val="24"/>
        </w:rPr>
        <w:t xml:space="preserve"> </w:t>
      </w:r>
      <w:r w:rsidR="00FC3716" w:rsidRPr="00A84C18">
        <w:rPr>
          <w:rFonts w:ascii="Times New Roman" w:hAnsi="Times New Roman" w:cs="Times New Roman"/>
          <w:sz w:val="24"/>
          <w:szCs w:val="24"/>
        </w:rPr>
        <w:t>and</w:t>
      </w:r>
      <w:r w:rsidR="00FC3716">
        <w:rPr>
          <w:rFonts w:ascii="Times New Roman" w:hAnsi="Times New Roman" w:cs="Times New Roman"/>
          <w:sz w:val="24"/>
          <w:szCs w:val="24"/>
        </w:rPr>
        <w:t xml:space="preserve"> </w:t>
      </w:r>
      <w:r w:rsidR="00FC3716" w:rsidRPr="00A84C18">
        <w:rPr>
          <w:rFonts w:ascii="Times New Roman" w:hAnsi="Times New Roman" w:cs="Times New Roman"/>
          <w:sz w:val="24"/>
          <w:szCs w:val="24"/>
        </w:rPr>
        <w:t>Serafeim</w:t>
      </w:r>
      <w:r w:rsidR="00FC3716">
        <w:rPr>
          <w:rFonts w:ascii="Times New Roman" w:hAnsi="Times New Roman" w:cs="Times New Roman"/>
          <w:sz w:val="24"/>
          <w:szCs w:val="24"/>
        </w:rPr>
        <w:t xml:space="preserve"> (</w:t>
      </w:r>
      <w:r w:rsidR="00FC3716" w:rsidRPr="00A84C18">
        <w:rPr>
          <w:rFonts w:ascii="Times New Roman" w:hAnsi="Times New Roman" w:cs="Times New Roman"/>
          <w:sz w:val="24"/>
          <w:szCs w:val="24"/>
        </w:rPr>
        <w:t>2015</w:t>
      </w:r>
      <w:r w:rsidR="00FC3716">
        <w:rPr>
          <w:rFonts w:ascii="Times New Roman" w:hAnsi="Times New Roman" w:cs="Times New Roman"/>
          <w:sz w:val="24"/>
          <w:szCs w:val="24"/>
        </w:rPr>
        <w:t xml:space="preserve">) </w:t>
      </w:r>
      <w:r w:rsidRPr="00A84C18">
        <w:rPr>
          <w:rFonts w:ascii="Times New Roman" w:hAnsi="Times New Roman" w:cs="Times New Roman"/>
          <w:sz w:val="24"/>
          <w:szCs w:val="24"/>
        </w:rPr>
        <w:t>explained the implementation of IR on mandatory basis</w:t>
      </w:r>
      <w:r w:rsidR="00AF368C">
        <w:rPr>
          <w:rFonts w:ascii="Times New Roman" w:hAnsi="Times New Roman" w:cs="Times New Roman"/>
          <w:sz w:val="24"/>
          <w:szCs w:val="24"/>
        </w:rPr>
        <w:t xml:space="preserve">. As the IR </w:t>
      </w:r>
      <w:r w:rsidR="00CE09B5">
        <w:rPr>
          <w:rFonts w:ascii="Times New Roman" w:hAnsi="Times New Roman" w:cs="Times New Roman"/>
          <w:sz w:val="24"/>
          <w:szCs w:val="24"/>
        </w:rPr>
        <w:t xml:space="preserve">is </w:t>
      </w:r>
      <w:r w:rsidR="00CE09B5" w:rsidRPr="00A84C18">
        <w:rPr>
          <w:rFonts w:ascii="Times New Roman" w:hAnsi="Times New Roman" w:cs="Times New Roman"/>
          <w:sz w:val="24"/>
          <w:szCs w:val="24"/>
        </w:rPr>
        <w:t>encouraged</w:t>
      </w:r>
      <w:r w:rsidRPr="00A84C18">
        <w:rPr>
          <w:rFonts w:ascii="Times New Roman" w:hAnsi="Times New Roman" w:cs="Times New Roman"/>
          <w:sz w:val="24"/>
          <w:szCs w:val="24"/>
        </w:rPr>
        <w:t xml:space="preserve"> </w:t>
      </w:r>
      <w:r w:rsidR="00AF368C">
        <w:rPr>
          <w:rFonts w:ascii="Times New Roman" w:hAnsi="Times New Roman" w:cs="Times New Roman"/>
          <w:sz w:val="24"/>
          <w:szCs w:val="24"/>
        </w:rPr>
        <w:t xml:space="preserve">by </w:t>
      </w:r>
      <w:r w:rsidRPr="00A84C18">
        <w:rPr>
          <w:rFonts w:ascii="Times New Roman" w:hAnsi="Times New Roman" w:cs="Times New Roman"/>
          <w:sz w:val="24"/>
          <w:szCs w:val="24"/>
        </w:rPr>
        <w:t>many corporate</w:t>
      </w:r>
      <w:r w:rsidR="00CE09B5">
        <w:rPr>
          <w:rFonts w:ascii="Times New Roman" w:hAnsi="Times New Roman" w:cs="Times New Roman"/>
          <w:sz w:val="24"/>
          <w:szCs w:val="24"/>
        </w:rPr>
        <w:t xml:space="preserve">s </w:t>
      </w:r>
      <w:r w:rsidR="00B477CA">
        <w:rPr>
          <w:rFonts w:ascii="Times New Roman" w:hAnsi="Times New Roman" w:cs="Times New Roman"/>
          <w:sz w:val="24"/>
          <w:szCs w:val="24"/>
        </w:rPr>
        <w:t xml:space="preserve">for </w:t>
      </w:r>
      <w:r w:rsidRPr="00A84C18">
        <w:rPr>
          <w:rFonts w:ascii="Times New Roman" w:hAnsi="Times New Roman" w:cs="Times New Roman"/>
          <w:sz w:val="24"/>
          <w:szCs w:val="24"/>
        </w:rPr>
        <w:t>sustainable</w:t>
      </w:r>
      <w:r w:rsidR="00CE09B5">
        <w:rPr>
          <w:rFonts w:ascii="Times New Roman" w:hAnsi="Times New Roman" w:cs="Times New Roman"/>
          <w:sz w:val="24"/>
          <w:szCs w:val="24"/>
        </w:rPr>
        <w:t xml:space="preserve"> </w:t>
      </w:r>
      <w:r w:rsidRPr="00A84C18">
        <w:rPr>
          <w:rFonts w:ascii="Times New Roman" w:hAnsi="Times New Roman" w:cs="Times New Roman"/>
          <w:sz w:val="24"/>
          <w:szCs w:val="24"/>
        </w:rPr>
        <w:t>report as best mechanism. Also study on Malaysian company revealed among the eight content elements of IR, few of these showed positive and relative impact on business performance in improving the financial soundness as well as presenting high quality reports satisfied most of the stakeholders (</w:t>
      </w:r>
      <w:r w:rsidR="00B25E09" w:rsidRPr="00A84C18">
        <w:rPr>
          <w:rFonts w:ascii="Times New Roman" w:hAnsi="Times New Roman" w:cs="Times New Roman"/>
          <w:sz w:val="24"/>
          <w:szCs w:val="24"/>
        </w:rPr>
        <w:t>Wen and Angeline,</w:t>
      </w:r>
      <w:r w:rsidRPr="00A84C18">
        <w:rPr>
          <w:rFonts w:ascii="Times New Roman" w:hAnsi="Times New Roman" w:cs="Times New Roman"/>
          <w:sz w:val="24"/>
          <w:szCs w:val="24"/>
        </w:rPr>
        <w:t>2017</w:t>
      </w:r>
      <w:r w:rsidRPr="00B477CA">
        <w:rPr>
          <w:rFonts w:ascii="Times New Roman" w:hAnsi="Times New Roman" w:cs="Times New Roman"/>
          <w:sz w:val="24"/>
          <w:szCs w:val="24"/>
        </w:rPr>
        <w:t>)</w:t>
      </w:r>
      <w:r w:rsidR="00B477CA" w:rsidRPr="00B477CA">
        <w:rPr>
          <w:rFonts w:ascii="Times New Roman" w:hAnsi="Times New Roman" w:cs="Times New Roman"/>
          <w:sz w:val="24"/>
          <w:szCs w:val="24"/>
        </w:rPr>
        <w:t xml:space="preserve">. </w:t>
      </w:r>
      <w:r w:rsidR="00667D9C">
        <w:rPr>
          <w:rFonts w:ascii="Times New Roman" w:hAnsi="Times New Roman" w:cs="Times New Roman"/>
          <w:sz w:val="24"/>
          <w:szCs w:val="24"/>
        </w:rPr>
        <w:t xml:space="preserve">Likewise, a study from </w:t>
      </w:r>
      <w:r w:rsidR="00B477CA" w:rsidRPr="00B477CA">
        <w:rPr>
          <w:rFonts w:ascii="Times New Roman" w:hAnsi="Times New Roman" w:cs="Times New Roman"/>
          <w:sz w:val="24"/>
          <w:szCs w:val="24"/>
        </w:rPr>
        <w:t>India</w:t>
      </w:r>
      <w:r w:rsidR="00667D9C">
        <w:rPr>
          <w:rFonts w:ascii="Times New Roman" w:hAnsi="Times New Roman" w:cs="Times New Roman"/>
          <w:sz w:val="24"/>
          <w:szCs w:val="24"/>
        </w:rPr>
        <w:t xml:space="preserve"> on IR and sustainability showed a positive trend towards growth and disclosure </w:t>
      </w:r>
      <w:r w:rsidR="00B477CA" w:rsidRPr="00A84C18">
        <w:rPr>
          <w:rFonts w:ascii="Times New Roman" w:hAnsi="Times New Roman" w:cs="Times New Roman"/>
          <w:sz w:val="24"/>
          <w:szCs w:val="24"/>
        </w:rPr>
        <w:t>(Ghosh, 2016).</w:t>
      </w:r>
    </w:p>
    <w:p w14:paraId="6DFDE97C" w14:textId="65381ED4" w:rsidR="001724C4" w:rsidRPr="00A84C18" w:rsidRDefault="00136412" w:rsidP="00C742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progress of IR in India is at infant stage, only the limited study was done</w:t>
      </w:r>
      <w:r w:rsidR="00F0691F">
        <w:rPr>
          <w:rFonts w:ascii="Times New Roman" w:hAnsi="Times New Roman" w:cs="Times New Roman"/>
          <w:sz w:val="24"/>
          <w:szCs w:val="24"/>
        </w:rPr>
        <w:t xml:space="preserve">. A study from </w:t>
      </w:r>
      <w:r w:rsidR="00F0691F" w:rsidRPr="00F0691F">
        <w:rPr>
          <w:rFonts w:ascii="Times New Roman" w:hAnsi="Times New Roman" w:cs="Times New Roman"/>
          <w:color w:val="222222"/>
          <w:sz w:val="24"/>
          <w:szCs w:val="24"/>
          <w:shd w:val="clear" w:color="auto" w:fill="FFFFFF"/>
        </w:rPr>
        <w:t>Vadithala</w:t>
      </w:r>
      <w:r w:rsidR="00F0691F">
        <w:rPr>
          <w:rFonts w:ascii="Times New Roman" w:hAnsi="Times New Roman" w:cs="Times New Roman"/>
          <w:sz w:val="24"/>
          <w:szCs w:val="24"/>
        </w:rPr>
        <w:t xml:space="preserve"> (</w:t>
      </w:r>
      <w:r w:rsidR="00F0691F" w:rsidRPr="00A84C18">
        <w:rPr>
          <w:rFonts w:ascii="Times New Roman" w:hAnsi="Times New Roman" w:cs="Times New Roman"/>
          <w:sz w:val="24"/>
          <w:szCs w:val="24"/>
        </w:rPr>
        <w:t>2015</w:t>
      </w:r>
      <w:r w:rsidR="00F0691F">
        <w:rPr>
          <w:rFonts w:ascii="Times New Roman" w:hAnsi="Times New Roman" w:cs="Times New Roman"/>
          <w:sz w:val="24"/>
          <w:szCs w:val="24"/>
        </w:rPr>
        <w:t>) explained the need for adopting IR for banking sector in India. The study also promotes sustainability as it improves the quality of banks</w:t>
      </w:r>
      <w:r w:rsidR="001B3745">
        <w:rPr>
          <w:rFonts w:ascii="Times New Roman" w:hAnsi="Times New Roman" w:cs="Times New Roman"/>
          <w:sz w:val="24"/>
          <w:szCs w:val="24"/>
        </w:rPr>
        <w:t xml:space="preserve">. Even </w:t>
      </w:r>
      <w:r w:rsidR="001B3745" w:rsidRPr="00A84C18">
        <w:rPr>
          <w:rFonts w:ascii="Times New Roman" w:hAnsi="Times New Roman" w:cs="Times New Roman"/>
          <w:sz w:val="24"/>
          <w:szCs w:val="24"/>
        </w:rPr>
        <w:t>Ghosh</w:t>
      </w:r>
      <w:r w:rsidR="001B3745">
        <w:rPr>
          <w:rFonts w:ascii="Times New Roman" w:hAnsi="Times New Roman" w:cs="Times New Roman"/>
          <w:sz w:val="24"/>
          <w:szCs w:val="24"/>
        </w:rPr>
        <w:t xml:space="preserve"> (</w:t>
      </w:r>
      <w:r w:rsidR="001B3745" w:rsidRPr="00A84C18">
        <w:rPr>
          <w:rFonts w:ascii="Times New Roman" w:hAnsi="Times New Roman" w:cs="Times New Roman"/>
          <w:sz w:val="24"/>
          <w:szCs w:val="24"/>
        </w:rPr>
        <w:t>2</w:t>
      </w:r>
      <w:r w:rsidR="001B3745">
        <w:rPr>
          <w:rFonts w:ascii="Times New Roman" w:hAnsi="Times New Roman" w:cs="Times New Roman"/>
          <w:sz w:val="24"/>
          <w:szCs w:val="24"/>
        </w:rPr>
        <w:t xml:space="preserve">019) examined the </w:t>
      </w:r>
      <w:r w:rsidR="00D35E00" w:rsidRPr="00A84C18">
        <w:rPr>
          <w:rFonts w:ascii="Times New Roman" w:hAnsi="Times New Roman" w:cs="Times New Roman"/>
          <w:sz w:val="24"/>
          <w:szCs w:val="24"/>
        </w:rPr>
        <w:t xml:space="preserve">Indian </w:t>
      </w:r>
      <w:r w:rsidR="00345F4C">
        <w:rPr>
          <w:rFonts w:ascii="Times New Roman" w:hAnsi="Times New Roman" w:cs="Times New Roman"/>
          <w:sz w:val="24"/>
          <w:szCs w:val="24"/>
        </w:rPr>
        <w:t>c</w:t>
      </w:r>
      <w:r w:rsidR="00D35E00" w:rsidRPr="00A84C18">
        <w:rPr>
          <w:rFonts w:ascii="Times New Roman" w:hAnsi="Times New Roman" w:cs="Times New Roman"/>
          <w:sz w:val="24"/>
          <w:szCs w:val="24"/>
        </w:rPr>
        <w:t xml:space="preserve">ompanies </w:t>
      </w:r>
      <w:r w:rsidR="00D35E00" w:rsidRPr="001B3745">
        <w:rPr>
          <w:rFonts w:ascii="Times New Roman" w:hAnsi="Times New Roman" w:cs="Times New Roman"/>
          <w:sz w:val="24"/>
          <w:szCs w:val="24"/>
        </w:rPr>
        <w:t>being</w:t>
      </w:r>
      <w:r w:rsidR="00D35E00">
        <w:rPr>
          <w:rFonts w:ascii="Times New Roman" w:hAnsi="Times New Roman" w:cs="Times New Roman"/>
          <w:sz w:val="24"/>
          <w:szCs w:val="24"/>
        </w:rPr>
        <w:t xml:space="preserve"> </w:t>
      </w:r>
      <w:r w:rsidR="00345F4C">
        <w:rPr>
          <w:rFonts w:ascii="Times New Roman" w:hAnsi="Times New Roman" w:cs="Times New Roman"/>
          <w:sz w:val="24"/>
          <w:szCs w:val="24"/>
        </w:rPr>
        <w:t>p</w:t>
      </w:r>
      <w:r w:rsidR="00D35E00" w:rsidRPr="00A84C18">
        <w:rPr>
          <w:rFonts w:ascii="Times New Roman" w:hAnsi="Times New Roman" w:cs="Times New Roman"/>
          <w:sz w:val="24"/>
          <w:szCs w:val="24"/>
        </w:rPr>
        <w:t>ositive towar</w:t>
      </w:r>
      <w:r w:rsidR="00D35E00">
        <w:rPr>
          <w:rFonts w:ascii="Times New Roman" w:hAnsi="Times New Roman" w:cs="Times New Roman"/>
          <w:sz w:val="24"/>
          <w:szCs w:val="24"/>
        </w:rPr>
        <w:t xml:space="preserve">ds IR practices. </w:t>
      </w:r>
      <w:r w:rsidR="001737E7">
        <w:rPr>
          <w:rFonts w:ascii="Times New Roman" w:hAnsi="Times New Roman" w:cs="Times New Roman"/>
          <w:sz w:val="24"/>
          <w:szCs w:val="24"/>
        </w:rPr>
        <w:t xml:space="preserve">The </w:t>
      </w:r>
      <w:r w:rsidR="00D35E00" w:rsidRPr="00A84C18">
        <w:rPr>
          <w:rFonts w:ascii="Times New Roman" w:hAnsi="Times New Roman" w:cs="Times New Roman"/>
          <w:sz w:val="24"/>
          <w:szCs w:val="24"/>
        </w:rPr>
        <w:t xml:space="preserve">new framework </w:t>
      </w:r>
      <w:r w:rsidR="001737E7" w:rsidRPr="00A84C18">
        <w:rPr>
          <w:rFonts w:ascii="Times New Roman" w:hAnsi="Times New Roman" w:cs="Times New Roman"/>
          <w:sz w:val="24"/>
          <w:szCs w:val="24"/>
        </w:rPr>
        <w:t>discover</w:t>
      </w:r>
      <w:r w:rsidR="001737E7">
        <w:rPr>
          <w:rFonts w:ascii="Times New Roman" w:hAnsi="Times New Roman" w:cs="Times New Roman"/>
          <w:sz w:val="24"/>
          <w:szCs w:val="24"/>
        </w:rPr>
        <w:t>ed</w:t>
      </w:r>
      <w:r w:rsidR="00D35E00" w:rsidRPr="00A84C18">
        <w:rPr>
          <w:rFonts w:ascii="Times New Roman" w:hAnsi="Times New Roman" w:cs="Times New Roman"/>
          <w:sz w:val="24"/>
          <w:szCs w:val="24"/>
        </w:rPr>
        <w:t xml:space="preserve"> different aspects of corporate </w:t>
      </w:r>
      <w:r w:rsidR="00D213C7">
        <w:rPr>
          <w:rFonts w:ascii="Times New Roman" w:hAnsi="Times New Roman" w:cs="Times New Roman"/>
          <w:sz w:val="24"/>
          <w:szCs w:val="24"/>
        </w:rPr>
        <w:t xml:space="preserve">reporting and promotes IR as quality report for </w:t>
      </w:r>
      <w:r w:rsidR="00D35E00" w:rsidRPr="00A84C18">
        <w:rPr>
          <w:rFonts w:ascii="Times New Roman" w:hAnsi="Times New Roman" w:cs="Times New Roman"/>
          <w:sz w:val="24"/>
          <w:szCs w:val="24"/>
        </w:rPr>
        <w:t xml:space="preserve">value </w:t>
      </w:r>
      <w:r w:rsidR="00D213C7">
        <w:rPr>
          <w:rFonts w:ascii="Times New Roman" w:hAnsi="Times New Roman" w:cs="Times New Roman"/>
          <w:sz w:val="24"/>
          <w:szCs w:val="24"/>
        </w:rPr>
        <w:t xml:space="preserve">creation </w:t>
      </w:r>
      <w:r w:rsidR="006309EC">
        <w:rPr>
          <w:rFonts w:ascii="Times New Roman" w:hAnsi="Times New Roman" w:cs="Times New Roman"/>
          <w:sz w:val="24"/>
          <w:szCs w:val="24"/>
        </w:rPr>
        <w:t xml:space="preserve">for uses and for the business </w:t>
      </w:r>
      <w:r w:rsidR="00D35E00" w:rsidRPr="00A84C18">
        <w:rPr>
          <w:rFonts w:ascii="Times New Roman" w:hAnsi="Times New Roman" w:cs="Times New Roman"/>
          <w:sz w:val="24"/>
          <w:szCs w:val="24"/>
        </w:rPr>
        <w:t xml:space="preserve">(Kundu, 2017). </w:t>
      </w:r>
      <w:r w:rsidR="00F53D3F">
        <w:rPr>
          <w:rFonts w:ascii="Times New Roman" w:hAnsi="Times New Roman" w:cs="Times New Roman"/>
          <w:sz w:val="24"/>
          <w:szCs w:val="24"/>
        </w:rPr>
        <w:t>F</w:t>
      </w:r>
      <w:r w:rsidR="001724C4" w:rsidRPr="00A84C18">
        <w:rPr>
          <w:rFonts w:ascii="Times New Roman" w:hAnsi="Times New Roman" w:cs="Times New Roman"/>
          <w:sz w:val="24"/>
          <w:szCs w:val="24"/>
        </w:rPr>
        <w:t xml:space="preserve">rom the literature study </w:t>
      </w:r>
      <w:r w:rsidR="00D213C7" w:rsidRPr="00A84C18">
        <w:rPr>
          <w:rFonts w:ascii="Times New Roman" w:hAnsi="Times New Roman" w:cs="Times New Roman"/>
          <w:sz w:val="24"/>
          <w:szCs w:val="24"/>
        </w:rPr>
        <w:t>it’s</w:t>
      </w:r>
      <w:r w:rsidR="001724C4" w:rsidRPr="00A84C18">
        <w:rPr>
          <w:rFonts w:ascii="Times New Roman" w:hAnsi="Times New Roman" w:cs="Times New Roman"/>
          <w:sz w:val="24"/>
          <w:szCs w:val="24"/>
        </w:rPr>
        <w:t xml:space="preserve"> clear</w:t>
      </w:r>
      <w:r w:rsidR="00D213C7">
        <w:rPr>
          <w:rFonts w:ascii="Times New Roman" w:hAnsi="Times New Roman" w:cs="Times New Roman"/>
          <w:sz w:val="24"/>
          <w:szCs w:val="24"/>
        </w:rPr>
        <w:t xml:space="preserve"> that the </w:t>
      </w:r>
      <w:r w:rsidR="001724C4" w:rsidRPr="00A84C18">
        <w:rPr>
          <w:rFonts w:ascii="Times New Roman" w:hAnsi="Times New Roman" w:cs="Times New Roman"/>
          <w:sz w:val="24"/>
          <w:szCs w:val="24"/>
        </w:rPr>
        <w:t>IR frame work and quality reporting will have much impact on business in generating value for long to the external stakeholders</w:t>
      </w:r>
      <w:r w:rsidR="004F21F1">
        <w:rPr>
          <w:rFonts w:ascii="Times New Roman" w:hAnsi="Times New Roman" w:cs="Times New Roman"/>
          <w:sz w:val="24"/>
          <w:szCs w:val="24"/>
        </w:rPr>
        <w:t xml:space="preserve">. </w:t>
      </w:r>
    </w:p>
    <w:p w14:paraId="7F62A92B" w14:textId="22FC337A" w:rsidR="00C6562A" w:rsidRPr="00B90220" w:rsidRDefault="00DB3178" w:rsidP="00B9022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B90220">
        <w:rPr>
          <w:rFonts w:ascii="Times New Roman" w:hAnsi="Times New Roman" w:cs="Times New Roman"/>
          <w:b/>
          <w:bCs/>
          <w:sz w:val="24"/>
          <w:szCs w:val="24"/>
        </w:rPr>
        <w:t>1</w:t>
      </w:r>
      <w:r>
        <w:rPr>
          <w:rFonts w:ascii="Times New Roman" w:hAnsi="Times New Roman" w:cs="Times New Roman"/>
          <w:b/>
          <w:bCs/>
          <w:sz w:val="24"/>
          <w:szCs w:val="24"/>
        </w:rPr>
        <w:t xml:space="preserve">. </w:t>
      </w:r>
      <w:r w:rsidR="00593790">
        <w:rPr>
          <w:rFonts w:ascii="Times New Roman" w:hAnsi="Times New Roman" w:cs="Times New Roman"/>
          <w:b/>
          <w:bCs/>
          <w:sz w:val="24"/>
          <w:szCs w:val="24"/>
        </w:rPr>
        <w:t>O</w:t>
      </w:r>
      <w:r w:rsidR="00593790" w:rsidRPr="004E2592">
        <w:rPr>
          <w:rFonts w:ascii="Times New Roman" w:hAnsi="Times New Roman" w:cs="Times New Roman"/>
          <w:b/>
          <w:bCs/>
          <w:sz w:val="24"/>
          <w:szCs w:val="24"/>
        </w:rPr>
        <w:t>bjectives</w:t>
      </w:r>
      <w:r w:rsidR="00593790">
        <w:rPr>
          <w:rFonts w:ascii="Times New Roman" w:hAnsi="Times New Roman" w:cs="Times New Roman"/>
          <w:b/>
          <w:bCs/>
          <w:sz w:val="24"/>
          <w:szCs w:val="24"/>
        </w:rPr>
        <w:t xml:space="preserve">: </w:t>
      </w:r>
      <w:r w:rsidR="00A05969">
        <w:rPr>
          <w:rFonts w:ascii="Times New Roman" w:hAnsi="Times New Roman" w:cs="Times New Roman"/>
          <w:sz w:val="24"/>
          <w:szCs w:val="24"/>
        </w:rPr>
        <w:t xml:space="preserve">Listed few objectives based on the literature review. </w:t>
      </w:r>
    </w:p>
    <w:p w14:paraId="6F06A853" w14:textId="39CCD7A8" w:rsidR="00B536B6" w:rsidRDefault="00B536B6" w:rsidP="00593790">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a </w:t>
      </w:r>
      <w:r w:rsidR="00B90220">
        <w:rPr>
          <w:rFonts w:ascii="Times New Roman" w:hAnsi="Times New Roman" w:cs="Times New Roman"/>
          <w:sz w:val="24"/>
          <w:szCs w:val="24"/>
        </w:rPr>
        <w:t>disclosure score of content elements and capital disclosure</w:t>
      </w:r>
    </w:p>
    <w:p w14:paraId="6943D7E7" w14:textId="4C7B91AF" w:rsidR="00593790" w:rsidRDefault="00B90220" w:rsidP="00593790">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To present the growth of IR on Indian context. </w:t>
      </w:r>
    </w:p>
    <w:p w14:paraId="3B90BF37" w14:textId="60AF3115" w:rsidR="00B90220" w:rsidRDefault="00B90220" w:rsidP="00593790">
      <w:pPr>
        <w:pStyle w:val="ListParagraph"/>
        <w:numPr>
          <w:ilvl w:val="0"/>
          <w:numId w:val="3"/>
        </w:numPr>
        <w:spacing w:after="160" w:line="360" w:lineRule="auto"/>
        <w:jc w:val="both"/>
        <w:rPr>
          <w:rFonts w:ascii="Times New Roman" w:hAnsi="Times New Roman" w:cs="Times New Roman"/>
          <w:sz w:val="24"/>
          <w:szCs w:val="24"/>
        </w:rPr>
      </w:pPr>
      <w:r>
        <w:rPr>
          <w:rFonts w:ascii="Times New Roman" w:hAnsi="Times New Roman" w:cs="Times New Roman"/>
          <w:sz w:val="24"/>
          <w:szCs w:val="24"/>
        </w:rPr>
        <w:t>To understand the momentum of IR, literature of Indian companies.</w:t>
      </w:r>
    </w:p>
    <w:p w14:paraId="39A3ED59" w14:textId="77777777" w:rsidR="00593790" w:rsidRPr="00AF433D" w:rsidRDefault="00593790" w:rsidP="005937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AF433D">
        <w:rPr>
          <w:rFonts w:ascii="Times New Roman" w:hAnsi="Times New Roman" w:cs="Times New Roman"/>
          <w:b/>
          <w:bCs/>
          <w:sz w:val="24"/>
          <w:szCs w:val="24"/>
        </w:rPr>
        <w:t>Methodology:</w:t>
      </w:r>
    </w:p>
    <w:p w14:paraId="42BBF325" w14:textId="38E39123" w:rsidR="000D1C8A" w:rsidRDefault="00593790" w:rsidP="00593790">
      <w:pPr>
        <w:jc w:val="both"/>
        <w:rPr>
          <w:rFonts w:ascii="Times New Roman" w:hAnsi="Times New Roman" w:cs="Times New Roman"/>
          <w:b/>
          <w:bCs/>
          <w:sz w:val="24"/>
          <w:szCs w:val="24"/>
        </w:rPr>
      </w:pPr>
      <w:r>
        <w:rPr>
          <w:rFonts w:ascii="Times New Roman" w:hAnsi="Times New Roman" w:cs="Times New Roman"/>
          <w:b/>
          <w:bCs/>
          <w:sz w:val="24"/>
          <w:szCs w:val="24"/>
        </w:rPr>
        <w:t>3.1. Data Collection:</w:t>
      </w:r>
      <w:r w:rsidR="00135244">
        <w:rPr>
          <w:rFonts w:ascii="Times New Roman" w:hAnsi="Times New Roman" w:cs="Times New Roman"/>
          <w:b/>
          <w:bCs/>
          <w:sz w:val="24"/>
          <w:szCs w:val="24"/>
        </w:rPr>
        <w:t xml:space="preserve"> </w:t>
      </w:r>
      <w:r w:rsidR="00135244" w:rsidRPr="00135244">
        <w:rPr>
          <w:rFonts w:ascii="Times New Roman" w:hAnsi="Times New Roman" w:cs="Times New Roman"/>
          <w:sz w:val="24"/>
          <w:szCs w:val="24"/>
        </w:rPr>
        <w:t>The main source for collecting data was secondary source.</w:t>
      </w:r>
      <w:r w:rsidR="00135244">
        <w:rPr>
          <w:rFonts w:ascii="Times New Roman" w:hAnsi="Times New Roman" w:cs="Times New Roman"/>
          <w:b/>
          <w:bCs/>
          <w:sz w:val="24"/>
          <w:szCs w:val="24"/>
        </w:rPr>
        <w:t xml:space="preserve"> </w:t>
      </w:r>
      <w:r w:rsidR="002B0145" w:rsidRPr="006B2002">
        <w:rPr>
          <w:rFonts w:ascii="Times New Roman" w:hAnsi="Times New Roman" w:cs="Times New Roman"/>
          <w:sz w:val="24"/>
          <w:szCs w:val="24"/>
        </w:rPr>
        <w:t>The quantitative data was collected from the integrated annual reports</w:t>
      </w:r>
      <w:r w:rsidR="00D471B9" w:rsidRPr="006B2002">
        <w:rPr>
          <w:rFonts w:ascii="Times New Roman" w:hAnsi="Times New Roman" w:cs="Times New Roman"/>
          <w:sz w:val="24"/>
          <w:szCs w:val="24"/>
        </w:rPr>
        <w:t>/annual reports, company websites, IIRC data base, printed research articles</w:t>
      </w:r>
      <w:r w:rsidR="006B2002">
        <w:rPr>
          <w:rFonts w:ascii="Times New Roman" w:hAnsi="Times New Roman" w:cs="Times New Roman"/>
          <w:sz w:val="24"/>
          <w:szCs w:val="24"/>
        </w:rPr>
        <w:t xml:space="preserve">, </w:t>
      </w:r>
      <w:r w:rsidR="00D471B9" w:rsidRPr="006B2002">
        <w:rPr>
          <w:rFonts w:ascii="Times New Roman" w:hAnsi="Times New Roman" w:cs="Times New Roman"/>
          <w:sz w:val="24"/>
          <w:szCs w:val="24"/>
        </w:rPr>
        <w:t xml:space="preserve">and other various sources. </w:t>
      </w:r>
    </w:p>
    <w:p w14:paraId="2E46C155" w14:textId="6F934DC9" w:rsidR="001C5AEB" w:rsidRPr="006516AB" w:rsidRDefault="00593790" w:rsidP="00593790">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t xml:space="preserve">3.2. </w:t>
      </w:r>
      <w:r w:rsidRPr="004C05EF">
        <w:rPr>
          <w:rFonts w:ascii="Times New Roman" w:hAnsi="Times New Roman" w:cs="Times New Roman"/>
          <w:b/>
          <w:bCs/>
          <w:sz w:val="24"/>
          <w:szCs w:val="24"/>
        </w:rPr>
        <w:t>Data Sampling</w:t>
      </w:r>
      <w:r w:rsidR="009B72CA">
        <w:rPr>
          <w:rFonts w:ascii="Times New Roman" w:hAnsi="Times New Roman" w:cs="Times New Roman"/>
          <w:b/>
          <w:bCs/>
          <w:sz w:val="24"/>
          <w:szCs w:val="24"/>
        </w:rPr>
        <w:t xml:space="preserve"> and time period</w:t>
      </w:r>
      <w:r w:rsidRPr="004C05EF">
        <w:rPr>
          <w:rFonts w:ascii="Times New Roman" w:hAnsi="Times New Roman" w:cs="Times New Roman"/>
          <w:b/>
          <w:bCs/>
          <w:sz w:val="24"/>
          <w:szCs w:val="24"/>
        </w:rPr>
        <w:t>:</w:t>
      </w:r>
      <w:r w:rsidRPr="004C05EF">
        <w:rPr>
          <w:rFonts w:ascii="Times New Roman" w:hAnsi="Times New Roman" w:cs="Times New Roman"/>
          <w:sz w:val="24"/>
          <w:szCs w:val="24"/>
        </w:rPr>
        <w:t xml:space="preserve"> </w:t>
      </w:r>
      <w:r w:rsidR="006A4692">
        <w:rPr>
          <w:rFonts w:ascii="Times New Roman" w:hAnsi="Times New Roman" w:cs="Times New Roman"/>
          <w:sz w:val="24"/>
          <w:szCs w:val="24"/>
        </w:rPr>
        <w:t xml:space="preserve">The data sample consists of </w:t>
      </w:r>
      <w:r w:rsidR="006B0D21">
        <w:rPr>
          <w:rFonts w:ascii="Times New Roman" w:hAnsi="Times New Roman" w:cs="Times New Roman"/>
          <w:sz w:val="24"/>
          <w:szCs w:val="24"/>
        </w:rPr>
        <w:t>thirty-seven</w:t>
      </w:r>
      <w:r w:rsidR="006A4692">
        <w:rPr>
          <w:rFonts w:ascii="Times New Roman" w:hAnsi="Times New Roman" w:cs="Times New Roman"/>
          <w:sz w:val="24"/>
          <w:szCs w:val="24"/>
        </w:rPr>
        <w:t xml:space="preserve"> companies</w:t>
      </w:r>
      <w:r w:rsidR="006B0D21">
        <w:rPr>
          <w:rFonts w:ascii="Times New Roman" w:hAnsi="Times New Roman" w:cs="Times New Roman"/>
          <w:sz w:val="24"/>
          <w:szCs w:val="24"/>
        </w:rPr>
        <w:t xml:space="preserve"> were </w:t>
      </w:r>
      <w:r w:rsidR="006A4692">
        <w:rPr>
          <w:rFonts w:ascii="Times New Roman" w:hAnsi="Times New Roman" w:cs="Times New Roman"/>
          <w:sz w:val="24"/>
          <w:szCs w:val="24"/>
        </w:rPr>
        <w:t xml:space="preserve">taken from the reports of </w:t>
      </w:r>
      <w:r w:rsidR="006A4692" w:rsidRPr="004C05EF">
        <w:rPr>
          <w:rFonts w:ascii="Times New Roman" w:hAnsi="Times New Roman" w:cs="Times New Roman"/>
          <w:sz w:val="24"/>
          <w:szCs w:val="24"/>
        </w:rPr>
        <w:t xml:space="preserve">Vrushali (2019) </w:t>
      </w:r>
      <w:r w:rsidR="006A4692">
        <w:rPr>
          <w:rFonts w:ascii="Times New Roman" w:hAnsi="Times New Roman" w:cs="Times New Roman"/>
          <w:sz w:val="24"/>
          <w:szCs w:val="24"/>
        </w:rPr>
        <w:t xml:space="preserve">and </w:t>
      </w:r>
      <w:r w:rsidR="006A4692" w:rsidRPr="004C05EF">
        <w:rPr>
          <w:rFonts w:ascii="Times New Roman" w:hAnsi="Times New Roman" w:cs="Times New Roman"/>
          <w:sz w:val="24"/>
          <w:szCs w:val="24"/>
        </w:rPr>
        <w:t>Thornton (2020)</w:t>
      </w:r>
      <w:r w:rsidR="006B0D21">
        <w:rPr>
          <w:rFonts w:ascii="Times New Roman" w:hAnsi="Times New Roman" w:cs="Times New Roman"/>
          <w:sz w:val="24"/>
          <w:szCs w:val="24"/>
        </w:rPr>
        <w:t xml:space="preserve">. The time period </w:t>
      </w:r>
      <w:r w:rsidR="006B0D21" w:rsidRPr="004C05EF">
        <w:rPr>
          <w:rFonts w:ascii="Times New Roman" w:hAnsi="Times New Roman" w:cs="Times New Roman"/>
          <w:sz w:val="24"/>
          <w:szCs w:val="24"/>
        </w:rPr>
        <w:t>for</w:t>
      </w:r>
      <w:r w:rsidR="006B0D21">
        <w:rPr>
          <w:rFonts w:ascii="Times New Roman" w:hAnsi="Times New Roman" w:cs="Times New Roman"/>
          <w:sz w:val="24"/>
          <w:szCs w:val="24"/>
        </w:rPr>
        <w:t xml:space="preserve"> our study was four years i.e.,</w:t>
      </w:r>
      <w:r w:rsidR="00581CAF">
        <w:rPr>
          <w:rFonts w:ascii="Times New Roman" w:hAnsi="Times New Roman" w:cs="Times New Roman"/>
          <w:sz w:val="24"/>
          <w:szCs w:val="24"/>
        </w:rPr>
        <w:t xml:space="preserve"> 2018 to 2021 year ending 31</w:t>
      </w:r>
      <w:r w:rsidR="00581CAF" w:rsidRPr="00581CAF">
        <w:rPr>
          <w:rFonts w:ascii="Times New Roman" w:hAnsi="Times New Roman" w:cs="Times New Roman"/>
          <w:sz w:val="24"/>
          <w:szCs w:val="24"/>
          <w:vertAlign w:val="superscript"/>
        </w:rPr>
        <w:t>st</w:t>
      </w:r>
      <w:r w:rsidR="00581CAF">
        <w:rPr>
          <w:rFonts w:ascii="Times New Roman" w:hAnsi="Times New Roman" w:cs="Times New Roman"/>
          <w:sz w:val="24"/>
          <w:szCs w:val="24"/>
        </w:rPr>
        <w:t xml:space="preserve"> March. </w:t>
      </w:r>
      <w:r w:rsidRPr="004C05EF">
        <w:rPr>
          <w:rFonts w:ascii="Times New Roman" w:eastAsia="Times New Roman" w:hAnsi="Times New Roman" w:cs="Times New Roman"/>
          <w:color w:val="000000"/>
          <w:sz w:val="24"/>
          <w:szCs w:val="24"/>
          <w:lang w:eastAsia="en-IN"/>
        </w:rPr>
        <w:t>So</w:t>
      </w:r>
      <w:r w:rsidR="006516AB">
        <w:rPr>
          <w:rFonts w:ascii="Times New Roman" w:eastAsia="Times New Roman" w:hAnsi="Times New Roman" w:cs="Times New Roman"/>
          <w:color w:val="000000"/>
          <w:sz w:val="24"/>
          <w:szCs w:val="24"/>
          <w:lang w:eastAsia="en-IN"/>
        </w:rPr>
        <w:t>, the</w:t>
      </w:r>
      <w:r w:rsidRPr="004C05EF">
        <w:rPr>
          <w:rFonts w:ascii="Times New Roman" w:eastAsia="Times New Roman" w:hAnsi="Times New Roman" w:cs="Times New Roman"/>
          <w:color w:val="000000"/>
          <w:sz w:val="24"/>
          <w:szCs w:val="24"/>
          <w:lang w:eastAsia="en-IN"/>
        </w:rPr>
        <w:t xml:space="preserve"> final sample consist of seventy-</w:t>
      </w:r>
      <w:r w:rsidR="00EE7FDA">
        <w:rPr>
          <w:rFonts w:ascii="Times New Roman" w:eastAsia="Times New Roman" w:hAnsi="Times New Roman" w:cs="Times New Roman"/>
          <w:color w:val="000000"/>
          <w:sz w:val="24"/>
          <w:szCs w:val="24"/>
          <w:lang w:eastAsia="en-IN"/>
        </w:rPr>
        <w:t xml:space="preserve">five </w:t>
      </w:r>
      <w:r w:rsidRPr="004C05EF">
        <w:rPr>
          <w:rFonts w:ascii="Times New Roman" w:eastAsia="Times New Roman" w:hAnsi="Times New Roman" w:cs="Times New Roman"/>
          <w:color w:val="000000"/>
          <w:sz w:val="24"/>
          <w:szCs w:val="24"/>
          <w:lang w:eastAsia="en-IN"/>
        </w:rPr>
        <w:t>listed companies</w:t>
      </w:r>
      <w:r>
        <w:rPr>
          <w:rFonts w:ascii="Times New Roman" w:eastAsia="Times New Roman" w:hAnsi="Times New Roman" w:cs="Times New Roman"/>
          <w:color w:val="000000"/>
          <w:sz w:val="24"/>
          <w:szCs w:val="24"/>
          <w:lang w:eastAsia="en-IN"/>
        </w:rPr>
        <w:t xml:space="preserve"> from various sectors/ industries</w:t>
      </w:r>
      <w:r w:rsidRPr="004C05EF">
        <w:rPr>
          <w:rFonts w:ascii="Times New Roman" w:eastAsia="Times New Roman" w:hAnsi="Times New Roman" w:cs="Times New Roman"/>
          <w:color w:val="000000"/>
          <w:sz w:val="24"/>
          <w:szCs w:val="24"/>
          <w:lang w:eastAsia="en-IN"/>
        </w:rPr>
        <w:t xml:space="preserve"> are considered for our study. </w:t>
      </w:r>
      <w:r w:rsidR="00A26BE3">
        <w:rPr>
          <w:rFonts w:ascii="Times New Roman" w:eastAsia="Times New Roman" w:hAnsi="Times New Roman" w:cs="Times New Roman"/>
          <w:color w:val="000000"/>
          <w:sz w:val="24"/>
          <w:szCs w:val="24"/>
          <w:lang w:eastAsia="en-IN"/>
        </w:rPr>
        <w:t>The list of companies, adoption years and no of years of adoption is disclosed in the appendix.1. Also, sector wise presentation of data can be viewed from the figure five.</w:t>
      </w:r>
    </w:p>
    <w:p w14:paraId="444D4F19" w14:textId="2911317B" w:rsidR="00077968" w:rsidRDefault="00077968" w:rsidP="00593790">
      <w:pPr>
        <w:spacing w:after="0" w:line="360" w:lineRule="auto"/>
        <w:contextualSpacing/>
        <w:jc w:val="both"/>
        <w:rPr>
          <w:rFonts w:ascii="Times New Roman" w:hAnsi="Times New Roman" w:cs="Times New Roman"/>
          <w:sz w:val="24"/>
          <w:szCs w:val="24"/>
          <w:lang w:val="en-IN"/>
        </w:rPr>
      </w:pPr>
      <w:r>
        <w:rPr>
          <w:rFonts w:ascii="Times New Roman" w:eastAsia="Times New Roman" w:hAnsi="Times New Roman" w:cs="Times New Roman"/>
          <w:color w:val="000000"/>
          <w:sz w:val="24"/>
          <w:szCs w:val="24"/>
          <w:lang w:eastAsia="en-IN"/>
        </w:rPr>
        <w:t xml:space="preserve">Figure </w:t>
      </w:r>
      <w:r w:rsidR="00C4607B">
        <w:rPr>
          <w:rFonts w:ascii="Times New Roman" w:eastAsia="Times New Roman" w:hAnsi="Times New Roman" w:cs="Times New Roman"/>
          <w:color w:val="000000"/>
          <w:sz w:val="24"/>
          <w:szCs w:val="24"/>
          <w:lang w:eastAsia="en-IN"/>
        </w:rPr>
        <w:t>1</w:t>
      </w:r>
      <w:r>
        <w:rPr>
          <w:rFonts w:ascii="Times New Roman" w:eastAsia="Times New Roman" w:hAnsi="Times New Roman" w:cs="Times New Roman"/>
          <w:color w:val="000000"/>
          <w:sz w:val="24"/>
          <w:szCs w:val="24"/>
          <w:lang w:eastAsia="en-IN"/>
        </w:rPr>
        <w:t xml:space="preserve">. </w:t>
      </w:r>
      <w:r w:rsidR="00A3071A">
        <w:rPr>
          <w:rFonts w:ascii="Times New Roman" w:eastAsia="Times New Roman" w:hAnsi="Times New Roman" w:cs="Times New Roman"/>
          <w:color w:val="000000"/>
          <w:sz w:val="24"/>
          <w:szCs w:val="24"/>
          <w:lang w:eastAsia="en-IN"/>
        </w:rPr>
        <w:t>explains sector wise classification of IR adoption in India</w:t>
      </w:r>
    </w:p>
    <w:p w14:paraId="4C1C610E" w14:textId="7B0A35D3" w:rsidR="001C5AEB" w:rsidRPr="00A84C18" w:rsidRDefault="00CA3E3A" w:rsidP="00316193">
      <w:pPr>
        <w:spacing w:after="0" w:line="360" w:lineRule="auto"/>
        <w:contextualSpacing/>
        <w:jc w:val="both"/>
        <w:rPr>
          <w:rFonts w:ascii="Times New Roman" w:hAnsi="Times New Roman" w:cs="Times New Roman"/>
          <w:sz w:val="24"/>
          <w:szCs w:val="24"/>
          <w:lang w:val="en-IN"/>
        </w:rPr>
      </w:pPr>
      <w:r>
        <w:rPr>
          <w:noProof/>
        </w:rPr>
        <w:lastRenderedPageBreak/>
        <w:drawing>
          <wp:inline distT="0" distB="0" distL="0" distR="0" wp14:anchorId="51BFD36A" wp14:editId="020947E6">
            <wp:extent cx="5778230" cy="2217420"/>
            <wp:effectExtent l="0" t="0" r="0" b="0"/>
            <wp:docPr id="1" name="Chart 1">
              <a:extLst xmlns:a="http://schemas.openxmlformats.org/drawingml/2006/main">
                <a:ext uri="{FF2B5EF4-FFF2-40B4-BE49-F238E27FC236}">
                  <a16:creationId xmlns:a16="http://schemas.microsoft.com/office/drawing/2014/main" id="{521CC622-CC72-F109-F887-A57BB8BE22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BBC35A" w14:textId="0AED39DF" w:rsidR="006E0247" w:rsidRDefault="006E0247" w:rsidP="006E0247">
      <w:pPr>
        <w:spacing w:after="0" w:line="360" w:lineRule="auto"/>
        <w:jc w:val="both"/>
        <w:rPr>
          <w:rFonts w:ascii="Times New Roman" w:hAnsi="Times New Roman" w:cs="Times New Roman"/>
          <w:sz w:val="24"/>
          <w:szCs w:val="24"/>
        </w:rPr>
      </w:pPr>
      <w:r>
        <w:rPr>
          <w:rFonts w:ascii="Times New Roman" w:hAnsi="Times New Roman" w:cs="Times New Roman"/>
          <w:b/>
          <w:sz w:val="24"/>
          <w:szCs w:val="24"/>
          <w:lang w:val="en-IN"/>
        </w:rPr>
        <w:t xml:space="preserve">Source: </w:t>
      </w:r>
      <w:r w:rsidRPr="004C05EF">
        <w:rPr>
          <w:rFonts w:ascii="Times New Roman" w:hAnsi="Times New Roman" w:cs="Times New Roman"/>
          <w:sz w:val="24"/>
          <w:szCs w:val="24"/>
        </w:rPr>
        <w:t>Vrushali (2019)</w:t>
      </w:r>
      <w:r w:rsidR="007E30AF">
        <w:rPr>
          <w:rFonts w:ascii="Times New Roman" w:hAnsi="Times New Roman" w:cs="Times New Roman"/>
          <w:sz w:val="24"/>
          <w:szCs w:val="24"/>
        </w:rPr>
        <w:t xml:space="preserve"> and </w:t>
      </w:r>
      <w:r w:rsidR="00371E05">
        <w:rPr>
          <w:rFonts w:ascii="Times New Roman" w:hAnsi="Times New Roman" w:cs="Times New Roman"/>
          <w:sz w:val="24"/>
          <w:szCs w:val="24"/>
        </w:rPr>
        <w:t>authors own computation</w:t>
      </w:r>
      <w:r w:rsidR="000D1462">
        <w:rPr>
          <w:rFonts w:ascii="Times New Roman" w:hAnsi="Times New Roman" w:cs="Times New Roman"/>
          <w:sz w:val="24"/>
          <w:szCs w:val="24"/>
        </w:rPr>
        <w:t>.</w:t>
      </w:r>
    </w:p>
    <w:p w14:paraId="6317E600" w14:textId="213F2E13" w:rsidR="005F400A" w:rsidRDefault="005F400A" w:rsidP="006E02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figure six clearly explains the trend of IR practice</w:t>
      </w:r>
      <w:r w:rsidR="000F6616">
        <w:rPr>
          <w:rFonts w:ascii="Times New Roman" w:hAnsi="Times New Roman" w:cs="Times New Roman"/>
          <w:sz w:val="24"/>
          <w:szCs w:val="24"/>
        </w:rPr>
        <w:t xml:space="preserve"> in India </w:t>
      </w:r>
      <w:r>
        <w:rPr>
          <w:rFonts w:ascii="Times New Roman" w:hAnsi="Times New Roman" w:cs="Times New Roman"/>
          <w:sz w:val="24"/>
          <w:szCs w:val="24"/>
        </w:rPr>
        <w:t xml:space="preserve">on the voluntary basis. Around four companies are with </w:t>
      </w:r>
      <w:r w:rsidR="000F6616">
        <w:rPr>
          <w:rFonts w:ascii="Times New Roman" w:hAnsi="Times New Roman" w:cs="Times New Roman"/>
          <w:sz w:val="24"/>
          <w:szCs w:val="24"/>
        </w:rPr>
        <w:t xml:space="preserve">six years of IR adoption. Similarly, seventeen companies are having four years of IR disclosure in their annual reports and followed by the other </w:t>
      </w:r>
      <w:r w:rsidR="007E30AF">
        <w:rPr>
          <w:rFonts w:ascii="Times New Roman" w:hAnsi="Times New Roman" w:cs="Times New Roman"/>
          <w:sz w:val="24"/>
          <w:szCs w:val="24"/>
        </w:rPr>
        <w:t>companies’</w:t>
      </w:r>
      <w:r w:rsidR="000F6616">
        <w:rPr>
          <w:rFonts w:ascii="Times New Roman" w:hAnsi="Times New Roman" w:cs="Times New Roman"/>
          <w:sz w:val="24"/>
          <w:szCs w:val="24"/>
        </w:rPr>
        <w:t xml:space="preserve"> adoption. </w:t>
      </w:r>
    </w:p>
    <w:p w14:paraId="67EA3B35" w14:textId="1528D1E7" w:rsidR="00CA3E3A" w:rsidRDefault="00CA3E3A" w:rsidP="006E02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C4607B">
        <w:rPr>
          <w:rFonts w:ascii="Times New Roman" w:hAnsi="Times New Roman" w:cs="Times New Roman"/>
          <w:sz w:val="24"/>
          <w:szCs w:val="24"/>
        </w:rPr>
        <w:t>2</w:t>
      </w:r>
      <w:r>
        <w:rPr>
          <w:rFonts w:ascii="Times New Roman" w:hAnsi="Times New Roman" w:cs="Times New Roman"/>
          <w:sz w:val="24"/>
          <w:szCs w:val="24"/>
        </w:rPr>
        <w:t xml:space="preserve">. Explains the trends of IR practice in India since 2015. </w:t>
      </w:r>
    </w:p>
    <w:p w14:paraId="7D8CDC10" w14:textId="0DBE1394" w:rsidR="005F400A" w:rsidRDefault="005F400A" w:rsidP="006E0247">
      <w:pPr>
        <w:spacing w:after="0" w:line="360" w:lineRule="auto"/>
        <w:jc w:val="both"/>
        <w:rPr>
          <w:rFonts w:ascii="Times New Roman" w:hAnsi="Times New Roman" w:cs="Times New Roman"/>
          <w:sz w:val="24"/>
          <w:szCs w:val="24"/>
        </w:rPr>
      </w:pPr>
      <w:r>
        <w:rPr>
          <w:noProof/>
        </w:rPr>
        <w:drawing>
          <wp:inline distT="0" distB="0" distL="0" distR="0" wp14:anchorId="5001D068" wp14:editId="5A3B1E10">
            <wp:extent cx="5554494" cy="1857375"/>
            <wp:effectExtent l="0" t="0" r="0" b="0"/>
            <wp:docPr id="7" name="Chart 7">
              <a:extLst xmlns:a="http://schemas.openxmlformats.org/drawingml/2006/main">
                <a:ext uri="{FF2B5EF4-FFF2-40B4-BE49-F238E27FC236}">
                  <a16:creationId xmlns:a16="http://schemas.microsoft.com/office/drawing/2014/main" id="{D7939417-A086-7F72-CD40-529EBBFBB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6A3BF63" w14:textId="6C6E8DF4" w:rsidR="007E30AF" w:rsidRDefault="00EE7FDA" w:rsidP="001144CE">
      <w:pPr>
        <w:jc w:val="both"/>
        <w:rPr>
          <w:rFonts w:ascii="Times New Roman" w:hAnsi="Times New Roman" w:cs="Times New Roman"/>
          <w:b/>
          <w:bCs/>
          <w:sz w:val="24"/>
          <w:szCs w:val="24"/>
        </w:rPr>
      </w:pPr>
      <w:r>
        <w:rPr>
          <w:rFonts w:ascii="Times New Roman" w:hAnsi="Times New Roman" w:cs="Times New Roman"/>
          <w:b/>
          <w:sz w:val="24"/>
          <w:szCs w:val="24"/>
          <w:lang w:val="en-IN"/>
        </w:rPr>
        <w:t>Source:</w:t>
      </w:r>
      <w:r w:rsidRPr="004C05EF">
        <w:rPr>
          <w:rFonts w:ascii="Times New Roman" w:hAnsi="Times New Roman" w:cs="Times New Roman"/>
          <w:sz w:val="24"/>
          <w:szCs w:val="24"/>
        </w:rPr>
        <w:t xml:space="preserve"> Vrushali</w:t>
      </w:r>
      <w:r w:rsidR="007E30AF" w:rsidRPr="004C05EF">
        <w:rPr>
          <w:rFonts w:ascii="Times New Roman" w:hAnsi="Times New Roman" w:cs="Times New Roman"/>
          <w:sz w:val="24"/>
          <w:szCs w:val="24"/>
        </w:rPr>
        <w:t xml:space="preserve"> (2019)</w:t>
      </w:r>
      <w:r w:rsidR="007E30AF">
        <w:rPr>
          <w:rFonts w:ascii="Times New Roman" w:hAnsi="Times New Roman" w:cs="Times New Roman"/>
          <w:sz w:val="24"/>
          <w:szCs w:val="24"/>
        </w:rPr>
        <w:t xml:space="preserve"> and authors own computation </w:t>
      </w:r>
    </w:p>
    <w:p w14:paraId="4C42E089" w14:textId="559740F4" w:rsidR="000D1462" w:rsidRDefault="008E5C92" w:rsidP="001144CE">
      <w:pPr>
        <w:jc w:val="both"/>
        <w:rPr>
          <w:rFonts w:ascii="Times New Roman" w:hAnsi="Times New Roman" w:cs="Times New Roman"/>
          <w:sz w:val="24"/>
          <w:szCs w:val="24"/>
        </w:rPr>
      </w:pPr>
      <w:r>
        <w:rPr>
          <w:rFonts w:ascii="Times New Roman" w:hAnsi="Times New Roman" w:cs="Times New Roman"/>
          <w:b/>
          <w:bCs/>
          <w:sz w:val="24"/>
          <w:szCs w:val="24"/>
        </w:rPr>
        <w:t xml:space="preserve">3.3. </w:t>
      </w:r>
      <w:r w:rsidRPr="005236E4">
        <w:rPr>
          <w:rFonts w:ascii="Times New Roman" w:hAnsi="Times New Roman" w:cs="Times New Roman"/>
          <w:b/>
          <w:bCs/>
          <w:sz w:val="24"/>
          <w:szCs w:val="24"/>
        </w:rPr>
        <w:t>Disclosure Index:</w:t>
      </w:r>
      <w:r w:rsidR="00F02CF9">
        <w:rPr>
          <w:rFonts w:ascii="Times New Roman" w:hAnsi="Times New Roman" w:cs="Times New Roman"/>
          <w:b/>
          <w:bCs/>
          <w:sz w:val="24"/>
          <w:szCs w:val="24"/>
        </w:rPr>
        <w:t xml:space="preserve"> </w:t>
      </w:r>
      <w:r w:rsidR="00F02CF9" w:rsidRPr="00F02CF9">
        <w:rPr>
          <w:rFonts w:ascii="Times New Roman" w:hAnsi="Times New Roman" w:cs="Times New Roman"/>
          <w:sz w:val="24"/>
          <w:szCs w:val="24"/>
        </w:rPr>
        <w:t>Previously this type of coding was developed and postulated from various researchers they are</w:t>
      </w:r>
      <w:r w:rsidR="00F02CF9">
        <w:rPr>
          <w:rFonts w:ascii="Times New Roman" w:hAnsi="Times New Roman" w:cs="Times New Roman"/>
          <w:b/>
          <w:bCs/>
          <w:sz w:val="24"/>
          <w:szCs w:val="24"/>
        </w:rPr>
        <w:t xml:space="preserve"> </w:t>
      </w:r>
      <w:r w:rsidR="00F02CF9">
        <w:rPr>
          <w:rFonts w:ascii="Times New Roman" w:hAnsi="Times New Roman" w:cs="Times New Roman"/>
        </w:rPr>
        <w:t xml:space="preserve">Romolini et al. (2014) and </w:t>
      </w:r>
      <w:r w:rsidR="00F02CF9">
        <w:rPr>
          <w:rFonts w:ascii="Times New Roman" w:hAnsi="Times New Roman" w:cs="Times New Roman"/>
          <w:sz w:val="24"/>
          <w:szCs w:val="24"/>
        </w:rPr>
        <w:t>Agustia et al. (2020)</w:t>
      </w:r>
      <w:r w:rsidR="00756134">
        <w:rPr>
          <w:rFonts w:ascii="Times New Roman" w:hAnsi="Times New Roman" w:cs="Times New Roman"/>
          <w:sz w:val="24"/>
          <w:szCs w:val="24"/>
        </w:rPr>
        <w:t xml:space="preserve">. This type of disclosure is prepared for better results for further validation. </w:t>
      </w:r>
      <w:r w:rsidR="009534F0">
        <w:rPr>
          <w:rFonts w:ascii="Times New Roman" w:hAnsi="Times New Roman" w:cs="Times New Roman"/>
          <w:sz w:val="24"/>
          <w:szCs w:val="24"/>
        </w:rPr>
        <w:t>There are no clear guidelines for promoting disclosure index. The present disclosure index was self-developed by observing previous studies</w:t>
      </w:r>
      <w:r w:rsidR="00EF39F3">
        <w:rPr>
          <w:rFonts w:ascii="Times New Roman" w:hAnsi="Times New Roman" w:cs="Times New Roman"/>
          <w:sz w:val="24"/>
          <w:szCs w:val="24"/>
        </w:rPr>
        <w:t xml:space="preserve"> and the annual reports</w:t>
      </w:r>
      <w:r w:rsidR="009534F0">
        <w:rPr>
          <w:rFonts w:ascii="Times New Roman" w:hAnsi="Times New Roman" w:cs="Times New Roman"/>
          <w:sz w:val="24"/>
          <w:szCs w:val="24"/>
        </w:rPr>
        <w:t xml:space="preserve">. </w:t>
      </w:r>
      <w:r w:rsidR="002B68FB">
        <w:rPr>
          <w:rFonts w:ascii="Times New Roman" w:hAnsi="Times New Roman" w:cs="Times New Roman"/>
          <w:sz w:val="24"/>
          <w:szCs w:val="24"/>
        </w:rPr>
        <w:t>We modified the coding pattern for six capital, content elements, and guiding principles. This is the first study to promote CDI, CEI, GPI and IRFI.</w:t>
      </w:r>
      <w:r w:rsidR="006F059C">
        <w:rPr>
          <w:rFonts w:ascii="Times New Roman" w:hAnsi="Times New Roman" w:cs="Times New Roman"/>
          <w:sz w:val="24"/>
          <w:szCs w:val="24"/>
        </w:rPr>
        <w:t xml:space="preserve"> The total score for CDI is 36, CEI is 4</w:t>
      </w:r>
      <w:r w:rsidR="00262BE2">
        <w:rPr>
          <w:rFonts w:ascii="Times New Roman" w:hAnsi="Times New Roman" w:cs="Times New Roman"/>
          <w:sz w:val="24"/>
          <w:szCs w:val="24"/>
        </w:rPr>
        <w:t>8</w:t>
      </w:r>
      <w:r w:rsidR="006F059C">
        <w:rPr>
          <w:rFonts w:ascii="Times New Roman" w:hAnsi="Times New Roman" w:cs="Times New Roman"/>
          <w:sz w:val="24"/>
          <w:szCs w:val="24"/>
        </w:rPr>
        <w:t xml:space="preserve">, GPI is </w:t>
      </w:r>
      <w:r w:rsidR="00262BE2">
        <w:rPr>
          <w:rFonts w:ascii="Times New Roman" w:hAnsi="Times New Roman" w:cs="Times New Roman"/>
          <w:sz w:val="24"/>
          <w:szCs w:val="24"/>
        </w:rPr>
        <w:t>21 and IRFI score is 105</w:t>
      </w:r>
      <w:r w:rsidR="002D1CD7">
        <w:rPr>
          <w:rFonts w:ascii="Times New Roman" w:hAnsi="Times New Roman" w:cs="Times New Roman"/>
          <w:sz w:val="24"/>
          <w:szCs w:val="24"/>
        </w:rPr>
        <w:t xml:space="preserve">. The score is calculated for all selected </w:t>
      </w:r>
      <w:r w:rsidR="001144CE">
        <w:rPr>
          <w:rFonts w:ascii="Times New Roman" w:hAnsi="Times New Roman" w:cs="Times New Roman"/>
          <w:sz w:val="24"/>
          <w:szCs w:val="24"/>
        </w:rPr>
        <w:t>thirty-seven</w:t>
      </w:r>
      <w:r w:rsidR="002D1CD7">
        <w:rPr>
          <w:rFonts w:ascii="Times New Roman" w:hAnsi="Times New Roman" w:cs="Times New Roman"/>
          <w:sz w:val="24"/>
          <w:szCs w:val="24"/>
        </w:rPr>
        <w:t xml:space="preserve"> companies for two sets of time period i.e., 2018&amp; 2019 to 2020 &amp; 2021</w:t>
      </w:r>
      <w:r w:rsidR="00666945">
        <w:rPr>
          <w:rFonts w:ascii="Times New Roman" w:hAnsi="Times New Roman" w:cs="Times New Roman"/>
          <w:sz w:val="24"/>
          <w:szCs w:val="24"/>
        </w:rPr>
        <w:t xml:space="preserve"> for comparative trend analysis</w:t>
      </w:r>
      <w:r w:rsidR="00262BE2">
        <w:rPr>
          <w:rFonts w:ascii="Times New Roman" w:hAnsi="Times New Roman" w:cs="Times New Roman"/>
          <w:sz w:val="24"/>
          <w:szCs w:val="24"/>
        </w:rPr>
        <w:t xml:space="preserve">. </w:t>
      </w:r>
      <w:r w:rsidR="006516AB">
        <w:rPr>
          <w:rFonts w:ascii="Times New Roman" w:hAnsi="Times New Roman" w:cs="Times New Roman"/>
          <w:sz w:val="24"/>
          <w:szCs w:val="24"/>
        </w:rPr>
        <w:t xml:space="preserve">The criteria for six capitals, guiding principles, content element </w:t>
      </w:r>
      <w:r w:rsidR="00D00AA6">
        <w:rPr>
          <w:rFonts w:ascii="Times New Roman" w:hAnsi="Times New Roman" w:cs="Times New Roman"/>
          <w:sz w:val="24"/>
          <w:szCs w:val="24"/>
        </w:rPr>
        <w:t xml:space="preserve">is </w:t>
      </w:r>
      <w:r w:rsidR="006516AB">
        <w:rPr>
          <w:rFonts w:ascii="Times New Roman" w:hAnsi="Times New Roman" w:cs="Times New Roman"/>
          <w:sz w:val="24"/>
          <w:szCs w:val="24"/>
        </w:rPr>
        <w:t>shown in the appendix</w:t>
      </w:r>
      <w:r w:rsidR="00D00AA6">
        <w:rPr>
          <w:rFonts w:ascii="Times New Roman" w:hAnsi="Times New Roman" w:cs="Times New Roman"/>
          <w:sz w:val="24"/>
          <w:szCs w:val="24"/>
        </w:rPr>
        <w:t xml:space="preserve"> 2. </w:t>
      </w:r>
      <w:r w:rsidR="006516AB">
        <w:rPr>
          <w:rFonts w:ascii="Times New Roman" w:hAnsi="Times New Roman" w:cs="Times New Roman"/>
          <w:sz w:val="24"/>
          <w:szCs w:val="24"/>
        </w:rPr>
        <w:t xml:space="preserve"> </w:t>
      </w:r>
    </w:p>
    <w:p w14:paraId="68A1B913" w14:textId="05493BDF" w:rsidR="002054BE" w:rsidRDefault="00744962" w:rsidP="002054BE">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CDI</m:t>
              </m:r>
            </m:e>
            <m:sub>
              <m:r>
                <w:rPr>
                  <w:rFonts w:ascii="Cambria Math" w:hAnsi="Cambria Math" w:cs="Times New Roman"/>
                  <w:sz w:val="24"/>
                  <w:szCs w:val="24"/>
                </w:rPr>
                <m:t>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6</m:t>
                  </m:r>
                </m:sup>
                <m:e>
                  <m:sSub>
                    <m:sSubPr>
                      <m:ctrlPr>
                        <w:rPr>
                          <w:rFonts w:ascii="Cambria Math" w:hAnsi="Cambria Math" w:cs="Times New Roman"/>
                          <w:i/>
                          <w:sz w:val="24"/>
                          <w:szCs w:val="24"/>
                        </w:rPr>
                      </m:ctrlPr>
                    </m:sSubPr>
                    <m:e>
                      <m:r>
                        <w:rPr>
                          <w:rFonts w:ascii="Cambria Math" w:hAnsi="Cambria Math" w:cs="Times New Roman"/>
                          <w:sz w:val="24"/>
                          <w:szCs w:val="24"/>
                        </w:rPr>
                        <m:t>SC</m:t>
                      </m:r>
                    </m:e>
                    <m:sub>
                      <m:r>
                        <w:rPr>
                          <w:rFonts w:ascii="Cambria Math" w:hAnsi="Cambria Math" w:cs="Times New Roman"/>
                          <w:sz w:val="24"/>
                          <w:szCs w:val="24"/>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 Maximum Possible Score</m:t>
              </m:r>
            </m:den>
          </m:f>
          <m:r>
            <w:rPr>
              <w:rFonts w:ascii="Cambria Math" w:hAnsi="Cambria Math" w:cs="Times New Roman"/>
              <w:sz w:val="24"/>
              <w:szCs w:val="24"/>
            </w:rPr>
            <m:t xml:space="preserve"> *100</m:t>
          </m:r>
        </m:oMath>
      </m:oMathPara>
    </w:p>
    <w:p w14:paraId="658A989C" w14:textId="32C4EF27" w:rsidR="002054BE" w:rsidRDefault="00744962" w:rsidP="002054BE">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CEI</m:t>
              </m:r>
            </m:e>
            <m:sub>
              <m:r>
                <w:rPr>
                  <w:rFonts w:ascii="Cambria Math" w:hAnsi="Cambria Math" w:cs="Times New Roman"/>
                  <w:sz w:val="24"/>
                  <w:szCs w:val="24"/>
                </w:rPr>
                <m:t>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 xml:space="preserve">= </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8</m:t>
                  </m:r>
                </m:sup>
                <m:e>
                  <m:sSub>
                    <m:sSubPr>
                      <m:ctrlPr>
                        <w:rPr>
                          <w:rFonts w:ascii="Cambria Math" w:hAnsi="Cambria Math" w:cs="Times New Roman"/>
                          <w:i/>
                          <w:sz w:val="24"/>
                          <w:szCs w:val="24"/>
                        </w:rPr>
                      </m:ctrlPr>
                    </m:sSubPr>
                    <m:e>
                      <m:r>
                        <w:rPr>
                          <w:rFonts w:ascii="Cambria Math" w:hAnsi="Cambria Math" w:cs="Times New Roman"/>
                          <w:sz w:val="24"/>
                          <w:szCs w:val="24"/>
                        </w:rPr>
                        <m:t>CE</m:t>
                      </m:r>
                    </m:e>
                    <m:sub>
                      <m:r>
                        <w:rPr>
                          <w:rFonts w:ascii="Cambria Math" w:hAnsi="Cambria Math" w:cs="Times New Roman"/>
                          <w:sz w:val="24"/>
                          <w:szCs w:val="24"/>
                        </w:rPr>
                        <m:t>i</m:t>
                      </m:r>
                    </m:sub>
                  </m:sSub>
                </m:e>
              </m:nary>
            </m:num>
            <m:den>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r>
                <w:rPr>
                  <w:rFonts w:ascii="Cambria Math" w:hAnsi="Cambria Math" w:cs="Times New Roman"/>
                  <w:sz w:val="24"/>
                  <w:szCs w:val="24"/>
                </w:rPr>
                <m:t>= Maximum Possible Score</m:t>
              </m:r>
            </m:den>
          </m:f>
          <m:r>
            <w:rPr>
              <w:rFonts w:ascii="Cambria Math" w:hAnsi="Cambria Math" w:cs="Times New Roman"/>
              <w:sz w:val="24"/>
              <w:szCs w:val="24"/>
            </w:rPr>
            <m:t xml:space="preserve"> *100</m:t>
          </m:r>
        </m:oMath>
      </m:oMathPara>
    </w:p>
    <w:p w14:paraId="6D62D193" w14:textId="76E99204" w:rsidR="001675D1" w:rsidRDefault="001675D1" w:rsidP="001675D1">
      <w:pPr>
        <w:jc w:val="both"/>
        <w:rPr>
          <w:rFonts w:ascii="Times New Roman" w:hAnsi="Times New Roman" w:cs="Times New Roman"/>
          <w:sz w:val="24"/>
          <w:szCs w:val="24"/>
        </w:rPr>
      </w:pPr>
      <w:r>
        <w:rPr>
          <w:rFonts w:ascii="Times New Roman" w:hAnsi="Times New Roman" w:cs="Times New Roman"/>
          <w:sz w:val="24"/>
          <w:szCs w:val="24"/>
        </w:rPr>
        <w:t>CE</w:t>
      </w:r>
      <w:r w:rsidRPr="00E24C59">
        <w:rPr>
          <w:rFonts w:ascii="Times New Roman" w:hAnsi="Times New Roman" w:cs="Times New Roman"/>
          <w:sz w:val="24"/>
          <w:szCs w:val="24"/>
          <w:vertAlign w:val="subscript"/>
        </w:rPr>
        <w:t xml:space="preserve">i </w:t>
      </w:r>
      <w:r>
        <w:rPr>
          <w:rFonts w:ascii="Times New Roman" w:hAnsi="Times New Roman" w:cs="Times New Roman"/>
          <w:sz w:val="24"/>
          <w:szCs w:val="24"/>
        </w:rPr>
        <w:t xml:space="preserve">= </w:t>
      </w:r>
      <w:r w:rsidR="006E4C36">
        <w:rPr>
          <w:rFonts w:ascii="Times New Roman" w:hAnsi="Times New Roman" w:cs="Times New Roman"/>
          <w:sz w:val="24"/>
          <w:szCs w:val="24"/>
        </w:rPr>
        <w:t xml:space="preserve">Content Elements </w:t>
      </w:r>
      <w:r>
        <w:rPr>
          <w:rFonts w:ascii="Times New Roman" w:hAnsi="Times New Roman" w:cs="Times New Roman"/>
          <w:sz w:val="24"/>
          <w:szCs w:val="24"/>
        </w:rPr>
        <w:t>individually</w:t>
      </w:r>
      <w:r w:rsidR="002054BE">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CEI</m:t>
            </m:r>
          </m:e>
          <m:sub>
            <m:r>
              <w:rPr>
                <w:rFonts w:ascii="Cambria Math" w:hAnsi="Cambria Math" w:cs="Times New Roman"/>
                <w:sz w:val="24"/>
                <w:szCs w:val="24"/>
              </w:rPr>
              <m:t>i</m:t>
            </m:r>
          </m:sub>
        </m:sSub>
      </m:oMath>
      <w:r w:rsidR="002054BE">
        <w:rPr>
          <w:rFonts w:ascii="Times New Roman" w:hAnsi="Times New Roman" w:cs="Times New Roman"/>
          <w:sz w:val="24"/>
          <w:szCs w:val="24"/>
        </w:rPr>
        <w:t>= Content elements Index</w:t>
      </w:r>
      <w:r>
        <w:rPr>
          <w:rFonts w:ascii="Times New Roman" w:hAnsi="Times New Roman" w:cs="Times New Roman"/>
          <w:sz w:val="24"/>
          <w:szCs w:val="24"/>
        </w:rPr>
        <w:t xml:space="preserve"> </w:t>
      </w:r>
    </w:p>
    <w:p w14:paraId="787E4BB0" w14:textId="2BF126D9" w:rsidR="003A56B6" w:rsidRDefault="00D46344" w:rsidP="001675D1">
      <w:pPr>
        <w:jc w:val="both"/>
        <w:rPr>
          <w:rFonts w:ascii="Times New Roman" w:hAnsi="Times New Roman" w:cs="Times New Roman"/>
          <w:sz w:val="24"/>
          <w:szCs w:val="24"/>
        </w:rPr>
      </w:pPr>
      <w:r>
        <w:rPr>
          <w:rFonts w:ascii="Times New Roman" w:hAnsi="Times New Roman" w:cs="Times New Roman"/>
          <w:sz w:val="24"/>
          <w:szCs w:val="24"/>
        </w:rPr>
        <w:t>S</w:t>
      </w:r>
      <w:r w:rsidR="003A56B6">
        <w:rPr>
          <w:rFonts w:ascii="Times New Roman" w:hAnsi="Times New Roman" w:cs="Times New Roman"/>
          <w:sz w:val="24"/>
          <w:szCs w:val="24"/>
        </w:rPr>
        <w:t>CI</w:t>
      </w:r>
      <w:r w:rsidR="003A56B6">
        <w:rPr>
          <w:rFonts w:ascii="Times New Roman" w:hAnsi="Times New Roman" w:cs="Times New Roman"/>
          <w:sz w:val="24"/>
          <w:szCs w:val="24"/>
          <w:vertAlign w:val="subscript"/>
        </w:rPr>
        <w:t xml:space="preserve">i </w:t>
      </w:r>
      <w:r w:rsidR="003A56B6">
        <w:rPr>
          <w:rFonts w:ascii="Times New Roman" w:hAnsi="Times New Roman" w:cs="Times New Roman"/>
          <w:sz w:val="24"/>
          <w:szCs w:val="24"/>
        </w:rPr>
        <w:t xml:space="preserve">= </w:t>
      </w:r>
      <w:r w:rsidR="00880034">
        <w:rPr>
          <w:rFonts w:ascii="Times New Roman" w:hAnsi="Times New Roman" w:cs="Times New Roman"/>
          <w:sz w:val="24"/>
          <w:szCs w:val="24"/>
        </w:rPr>
        <w:t xml:space="preserve">Six </w:t>
      </w:r>
      <w:r w:rsidR="003A56B6">
        <w:rPr>
          <w:rFonts w:ascii="Times New Roman" w:hAnsi="Times New Roman" w:cs="Times New Roman"/>
          <w:sz w:val="24"/>
          <w:szCs w:val="24"/>
        </w:rPr>
        <w:t xml:space="preserve">Capital </w:t>
      </w:r>
      <w:r w:rsidR="00AA6504">
        <w:rPr>
          <w:rFonts w:ascii="Times New Roman" w:hAnsi="Times New Roman" w:cs="Times New Roman"/>
          <w:sz w:val="24"/>
          <w:szCs w:val="24"/>
        </w:rPr>
        <w:t>individually</w:t>
      </w:r>
      <w:r w:rsidR="009553E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CDI</m:t>
            </m:r>
          </m:e>
          <m:sub>
            <m:r>
              <w:rPr>
                <w:rFonts w:ascii="Cambria Math" w:hAnsi="Cambria Math" w:cs="Times New Roman"/>
                <w:sz w:val="24"/>
                <w:szCs w:val="24"/>
              </w:rPr>
              <m:t>i</m:t>
            </m:r>
          </m:sub>
        </m:sSub>
      </m:oMath>
      <w:r w:rsidR="009553EF">
        <w:rPr>
          <w:rFonts w:ascii="Times New Roman" w:hAnsi="Times New Roman" w:cs="Times New Roman"/>
          <w:sz w:val="24"/>
          <w:szCs w:val="24"/>
        </w:rPr>
        <w:t>= Capital Disclosure Index</w:t>
      </w:r>
    </w:p>
    <w:p w14:paraId="6F01791B" w14:textId="04BB4C02" w:rsidR="001675D1" w:rsidRDefault="001675D1" w:rsidP="001675D1">
      <w:pPr>
        <w:jc w:val="both"/>
        <w:rPr>
          <w:rFonts w:ascii="Times New Roman" w:hAnsi="Times New Roman" w:cs="Times New Roman"/>
          <w:sz w:val="24"/>
          <w:szCs w:val="24"/>
        </w:rPr>
      </w:pPr>
      <w:r>
        <w:rPr>
          <w:rFonts w:ascii="Times New Roman" w:hAnsi="Times New Roman" w:cs="Times New Roman"/>
          <w:sz w:val="24"/>
          <w:szCs w:val="24"/>
        </w:rPr>
        <w:t>T</w:t>
      </w:r>
      <w:r w:rsidRPr="008250AD">
        <w:rPr>
          <w:rFonts w:ascii="Times New Roman" w:hAnsi="Times New Roman" w:cs="Times New Roman"/>
          <w:sz w:val="24"/>
          <w:szCs w:val="24"/>
          <w:vertAlign w:val="subscript"/>
        </w:rPr>
        <w:t>i</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Total score </w:t>
      </w:r>
      <w:r w:rsidR="00524A64">
        <w:rPr>
          <w:rFonts w:ascii="Times New Roman" w:hAnsi="Times New Roman" w:cs="Times New Roman"/>
          <w:sz w:val="24"/>
          <w:szCs w:val="24"/>
        </w:rPr>
        <w:t>in all the cases</w:t>
      </w:r>
      <w:r w:rsidR="008B056C">
        <w:rPr>
          <w:rFonts w:ascii="Times New Roman" w:hAnsi="Times New Roman" w:cs="Times New Roman"/>
          <w:sz w:val="24"/>
          <w:szCs w:val="24"/>
        </w:rPr>
        <w:t xml:space="preserve">; </w:t>
      </w:r>
      <w:r>
        <w:rPr>
          <w:rFonts w:ascii="Times New Roman" w:hAnsi="Times New Roman" w:cs="Times New Roman"/>
          <w:sz w:val="24"/>
          <w:szCs w:val="24"/>
        </w:rPr>
        <w:t>M</w:t>
      </w:r>
      <w:r w:rsidRPr="006101E2">
        <w:rPr>
          <w:rFonts w:ascii="Times New Roman" w:hAnsi="Times New Roman" w:cs="Times New Roman"/>
          <w:sz w:val="24"/>
          <w:szCs w:val="24"/>
          <w:vertAlign w:val="subscript"/>
        </w:rPr>
        <w:t>i</w:t>
      </w:r>
      <w:r>
        <w:rPr>
          <w:rFonts w:ascii="Times New Roman" w:hAnsi="Times New Roman" w:cs="Times New Roman"/>
          <w:sz w:val="24"/>
          <w:szCs w:val="24"/>
        </w:rPr>
        <w:t xml:space="preserve"> = Maximum score possible for the firm</w:t>
      </w:r>
      <w:r w:rsidR="00524A64">
        <w:rPr>
          <w:rFonts w:ascii="Times New Roman" w:hAnsi="Times New Roman" w:cs="Times New Roman"/>
          <w:sz w:val="24"/>
          <w:szCs w:val="24"/>
        </w:rPr>
        <w:t xml:space="preserve"> in all the cases. </w:t>
      </w:r>
    </w:p>
    <w:p w14:paraId="1106DDDE" w14:textId="7B38ADC1" w:rsidR="00AA5055" w:rsidRPr="00C4607B" w:rsidRDefault="00C4607B" w:rsidP="00B84025">
      <w:pPr>
        <w:jc w:val="both"/>
        <w:rPr>
          <w:rFonts w:ascii="Times New Roman" w:hAnsi="Times New Roman" w:cs="Times New Roman"/>
          <w:sz w:val="24"/>
          <w:szCs w:val="24"/>
        </w:rPr>
      </w:pPr>
      <w:r>
        <w:rPr>
          <w:rFonts w:ascii="Times New Roman" w:hAnsi="Times New Roman" w:cs="Times New Roman"/>
          <w:b/>
          <w:bCs/>
          <w:sz w:val="24"/>
          <w:szCs w:val="24"/>
        </w:rPr>
        <w:t xml:space="preserve">Figure.3. </w:t>
      </w:r>
      <w:r w:rsidRPr="00C4607B">
        <w:rPr>
          <w:rFonts w:ascii="Times New Roman" w:hAnsi="Times New Roman" w:cs="Times New Roman"/>
          <w:sz w:val="24"/>
          <w:szCs w:val="24"/>
        </w:rPr>
        <w:t xml:space="preserve">Explains the various capital disclosure levels of 35 Indian listed companies </w:t>
      </w:r>
    </w:p>
    <w:p w14:paraId="3BBC234A" w14:textId="54D28D4B" w:rsidR="00AA5055" w:rsidRDefault="00AA5055" w:rsidP="00B84025">
      <w:pPr>
        <w:jc w:val="both"/>
        <w:rPr>
          <w:rFonts w:ascii="Times New Roman" w:hAnsi="Times New Roman" w:cs="Times New Roman"/>
          <w:b/>
          <w:bCs/>
          <w:sz w:val="24"/>
          <w:szCs w:val="24"/>
        </w:rPr>
      </w:pPr>
      <w:r>
        <w:rPr>
          <w:noProof/>
        </w:rPr>
        <w:drawing>
          <wp:inline distT="0" distB="0" distL="0" distR="0" wp14:anchorId="11365778" wp14:editId="7F1A89AF">
            <wp:extent cx="5731510" cy="2520315"/>
            <wp:effectExtent l="0" t="0" r="0" b="0"/>
            <wp:docPr id="8" name="Chart 8">
              <a:extLst xmlns:a="http://schemas.openxmlformats.org/drawingml/2006/main">
                <a:ext uri="{FF2B5EF4-FFF2-40B4-BE49-F238E27FC236}">
                  <a16:creationId xmlns:a16="http://schemas.microsoft.com/office/drawing/2014/main" id="{8D450F41-759B-3C71-75F5-210CCFC8AA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585466" w14:textId="4F417619" w:rsidR="00C4607B" w:rsidRPr="00C4607B" w:rsidRDefault="00C4607B" w:rsidP="00B84025">
      <w:pPr>
        <w:jc w:val="both"/>
        <w:rPr>
          <w:rFonts w:ascii="Times New Roman" w:hAnsi="Times New Roman" w:cs="Times New Roman"/>
          <w:sz w:val="24"/>
          <w:szCs w:val="24"/>
        </w:rPr>
      </w:pPr>
      <w:r w:rsidRPr="00C4607B">
        <w:rPr>
          <w:rFonts w:ascii="Times New Roman" w:hAnsi="Times New Roman" w:cs="Times New Roman"/>
          <w:sz w:val="24"/>
          <w:szCs w:val="24"/>
        </w:rPr>
        <w:t>Source: Authors own computation</w:t>
      </w:r>
    </w:p>
    <w:p w14:paraId="1D5C6C95" w14:textId="49FDBCDC" w:rsidR="00C4607B" w:rsidRDefault="00C4607B" w:rsidP="00B84025">
      <w:pPr>
        <w:jc w:val="both"/>
        <w:rPr>
          <w:rFonts w:ascii="Times New Roman" w:hAnsi="Times New Roman" w:cs="Times New Roman"/>
          <w:sz w:val="24"/>
          <w:szCs w:val="24"/>
        </w:rPr>
      </w:pPr>
      <w:r w:rsidRPr="00C4607B">
        <w:rPr>
          <w:rFonts w:ascii="Times New Roman" w:hAnsi="Times New Roman" w:cs="Times New Roman"/>
          <w:sz w:val="24"/>
          <w:szCs w:val="24"/>
        </w:rPr>
        <w:t xml:space="preserve">The </w:t>
      </w:r>
      <w:r>
        <w:rPr>
          <w:rFonts w:ascii="Times New Roman" w:hAnsi="Times New Roman" w:cs="Times New Roman"/>
          <w:sz w:val="24"/>
          <w:szCs w:val="24"/>
        </w:rPr>
        <w:t xml:space="preserve">figure three discloses various capital in the integrated annual reports/ annual reports of the listed companies. </w:t>
      </w:r>
      <w:r w:rsidR="000B19B8">
        <w:rPr>
          <w:rFonts w:ascii="Times New Roman" w:hAnsi="Times New Roman" w:cs="Times New Roman"/>
          <w:sz w:val="24"/>
          <w:szCs w:val="24"/>
        </w:rPr>
        <w:t xml:space="preserve">It was found that the level of disclosure was increased from 2018 to 2021 reports. The study also found that around </w:t>
      </w:r>
      <w:r w:rsidR="006F1F83">
        <w:rPr>
          <w:rFonts w:ascii="Times New Roman" w:hAnsi="Times New Roman" w:cs="Times New Roman"/>
          <w:sz w:val="24"/>
          <w:szCs w:val="24"/>
        </w:rPr>
        <w:t>twenty-two</w:t>
      </w:r>
      <w:r w:rsidR="000B19B8">
        <w:rPr>
          <w:rFonts w:ascii="Times New Roman" w:hAnsi="Times New Roman" w:cs="Times New Roman"/>
          <w:sz w:val="24"/>
          <w:szCs w:val="24"/>
        </w:rPr>
        <w:t xml:space="preserve"> companies for the year ended 2021 disclosed all six capitals in their integrated annual reports or annual reports</w:t>
      </w:r>
      <w:r w:rsidR="004A13EA">
        <w:rPr>
          <w:rFonts w:ascii="Times New Roman" w:hAnsi="Times New Roman" w:cs="Times New Roman"/>
          <w:sz w:val="24"/>
          <w:szCs w:val="24"/>
        </w:rPr>
        <w:t xml:space="preserve"> as per the IR framework</w:t>
      </w:r>
      <w:r w:rsidR="0049022C">
        <w:rPr>
          <w:rFonts w:ascii="Times New Roman" w:hAnsi="Times New Roman" w:cs="Times New Roman"/>
          <w:sz w:val="24"/>
          <w:szCs w:val="24"/>
        </w:rPr>
        <w:t xml:space="preserve"> interlinking with other capitals, materiality and other key business elements</w:t>
      </w:r>
      <w:r w:rsidR="000B19B8">
        <w:rPr>
          <w:rFonts w:ascii="Times New Roman" w:hAnsi="Times New Roman" w:cs="Times New Roman"/>
          <w:sz w:val="24"/>
          <w:szCs w:val="24"/>
        </w:rPr>
        <w:t>.</w:t>
      </w:r>
      <w:r w:rsidR="006F1F83">
        <w:rPr>
          <w:rFonts w:ascii="Times New Roman" w:hAnsi="Times New Roman" w:cs="Times New Roman"/>
          <w:sz w:val="24"/>
          <w:szCs w:val="24"/>
        </w:rPr>
        <w:t xml:space="preserve"> The study also found that nearly six companies from the listed companies were disclosing all six capitals </w:t>
      </w:r>
      <w:r w:rsidR="001B138B">
        <w:rPr>
          <w:rFonts w:ascii="Times New Roman" w:hAnsi="Times New Roman" w:cs="Times New Roman"/>
          <w:sz w:val="24"/>
          <w:szCs w:val="24"/>
        </w:rPr>
        <w:t xml:space="preserve">for given </w:t>
      </w:r>
      <w:r w:rsidR="00DA6611">
        <w:rPr>
          <w:rFonts w:ascii="Times New Roman" w:hAnsi="Times New Roman" w:cs="Times New Roman"/>
          <w:sz w:val="24"/>
          <w:szCs w:val="24"/>
        </w:rPr>
        <w:t>four-year</w:t>
      </w:r>
      <w:r w:rsidR="001B138B">
        <w:rPr>
          <w:rFonts w:ascii="Times New Roman" w:hAnsi="Times New Roman" w:cs="Times New Roman"/>
          <w:sz w:val="24"/>
          <w:szCs w:val="24"/>
        </w:rPr>
        <w:t xml:space="preserve"> period. </w:t>
      </w:r>
    </w:p>
    <w:p w14:paraId="26431AB1" w14:textId="6C8A0273" w:rsidR="00DA6611" w:rsidRPr="00C4607B" w:rsidRDefault="00DA6611" w:rsidP="00B84025">
      <w:pPr>
        <w:jc w:val="both"/>
        <w:rPr>
          <w:rFonts w:ascii="Times New Roman" w:hAnsi="Times New Roman" w:cs="Times New Roman"/>
          <w:sz w:val="24"/>
          <w:szCs w:val="24"/>
        </w:rPr>
      </w:pPr>
      <w:r>
        <w:rPr>
          <w:rFonts w:ascii="Times New Roman" w:hAnsi="Times New Roman" w:cs="Times New Roman"/>
          <w:sz w:val="24"/>
          <w:szCs w:val="24"/>
        </w:rPr>
        <w:t xml:space="preserve">Figure. 4. </w:t>
      </w:r>
      <w:r w:rsidRPr="00C4607B">
        <w:rPr>
          <w:rFonts w:ascii="Times New Roman" w:hAnsi="Times New Roman" w:cs="Times New Roman"/>
          <w:sz w:val="24"/>
          <w:szCs w:val="24"/>
        </w:rPr>
        <w:t xml:space="preserve">Explains the various </w:t>
      </w:r>
      <w:r>
        <w:rPr>
          <w:rFonts w:ascii="Times New Roman" w:hAnsi="Times New Roman" w:cs="Times New Roman"/>
          <w:sz w:val="24"/>
          <w:szCs w:val="24"/>
        </w:rPr>
        <w:t xml:space="preserve">content elements </w:t>
      </w:r>
      <w:r w:rsidRPr="00C4607B">
        <w:rPr>
          <w:rFonts w:ascii="Times New Roman" w:hAnsi="Times New Roman" w:cs="Times New Roman"/>
          <w:sz w:val="24"/>
          <w:szCs w:val="24"/>
        </w:rPr>
        <w:t>disclosure levels of 35 Indian listed companies</w:t>
      </w:r>
      <w:r>
        <w:rPr>
          <w:rFonts w:ascii="Times New Roman" w:hAnsi="Times New Roman" w:cs="Times New Roman"/>
          <w:sz w:val="24"/>
          <w:szCs w:val="24"/>
        </w:rPr>
        <w:t xml:space="preserve">. </w:t>
      </w:r>
    </w:p>
    <w:p w14:paraId="6C501942" w14:textId="6F6184EE" w:rsidR="004D6C84" w:rsidRDefault="004D6C84" w:rsidP="00B84025">
      <w:pPr>
        <w:jc w:val="both"/>
        <w:rPr>
          <w:rFonts w:ascii="Times New Roman" w:hAnsi="Times New Roman" w:cs="Times New Roman"/>
          <w:b/>
          <w:bCs/>
          <w:sz w:val="24"/>
          <w:szCs w:val="24"/>
        </w:rPr>
      </w:pPr>
      <w:r>
        <w:rPr>
          <w:noProof/>
        </w:rPr>
        <w:lastRenderedPageBreak/>
        <w:drawing>
          <wp:inline distT="0" distB="0" distL="0" distR="0" wp14:anchorId="4F692BB1" wp14:editId="392D1C68">
            <wp:extent cx="5731510" cy="2441575"/>
            <wp:effectExtent l="0" t="0" r="0" b="0"/>
            <wp:docPr id="9" name="Chart 9">
              <a:extLst xmlns:a="http://schemas.openxmlformats.org/drawingml/2006/main">
                <a:ext uri="{FF2B5EF4-FFF2-40B4-BE49-F238E27FC236}">
                  <a16:creationId xmlns:a16="http://schemas.microsoft.com/office/drawing/2014/main" id="{759661E2-467C-751C-7265-D4DB6ECF56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5FFB3B" w14:textId="77777777" w:rsidR="00744E8C" w:rsidRPr="00C4607B" w:rsidRDefault="00744E8C" w:rsidP="00744E8C">
      <w:pPr>
        <w:jc w:val="both"/>
        <w:rPr>
          <w:rFonts w:ascii="Times New Roman" w:hAnsi="Times New Roman" w:cs="Times New Roman"/>
          <w:sz w:val="24"/>
          <w:szCs w:val="24"/>
        </w:rPr>
      </w:pPr>
      <w:r w:rsidRPr="00C4607B">
        <w:rPr>
          <w:rFonts w:ascii="Times New Roman" w:hAnsi="Times New Roman" w:cs="Times New Roman"/>
          <w:sz w:val="24"/>
          <w:szCs w:val="24"/>
        </w:rPr>
        <w:t>Source: Authors own computation</w:t>
      </w:r>
    </w:p>
    <w:p w14:paraId="6435C719" w14:textId="3541DE34" w:rsidR="00744E8C" w:rsidRDefault="00744E8C" w:rsidP="00744E8C">
      <w:pPr>
        <w:jc w:val="both"/>
        <w:rPr>
          <w:rFonts w:ascii="Times New Roman" w:hAnsi="Times New Roman" w:cs="Times New Roman"/>
          <w:sz w:val="24"/>
          <w:szCs w:val="24"/>
        </w:rPr>
      </w:pPr>
      <w:r w:rsidRPr="00C4607B">
        <w:rPr>
          <w:rFonts w:ascii="Times New Roman" w:hAnsi="Times New Roman" w:cs="Times New Roman"/>
          <w:sz w:val="24"/>
          <w:szCs w:val="24"/>
        </w:rPr>
        <w:t xml:space="preserve">The </w:t>
      </w:r>
      <w:r>
        <w:rPr>
          <w:rFonts w:ascii="Times New Roman" w:hAnsi="Times New Roman" w:cs="Times New Roman"/>
          <w:sz w:val="24"/>
          <w:szCs w:val="24"/>
        </w:rPr>
        <w:t xml:space="preserve">figure </w:t>
      </w:r>
      <w:r>
        <w:rPr>
          <w:rFonts w:ascii="Times New Roman" w:hAnsi="Times New Roman" w:cs="Times New Roman"/>
          <w:sz w:val="24"/>
          <w:szCs w:val="24"/>
        </w:rPr>
        <w:t>four</w:t>
      </w:r>
      <w:r>
        <w:rPr>
          <w:rFonts w:ascii="Times New Roman" w:hAnsi="Times New Roman" w:cs="Times New Roman"/>
          <w:sz w:val="24"/>
          <w:szCs w:val="24"/>
        </w:rPr>
        <w:t xml:space="preserve"> discloses various </w:t>
      </w:r>
      <w:r>
        <w:rPr>
          <w:rFonts w:ascii="Times New Roman" w:hAnsi="Times New Roman" w:cs="Times New Roman"/>
          <w:sz w:val="24"/>
          <w:szCs w:val="24"/>
        </w:rPr>
        <w:t xml:space="preserve">content elements </w:t>
      </w:r>
      <w:r>
        <w:rPr>
          <w:rFonts w:ascii="Times New Roman" w:hAnsi="Times New Roman" w:cs="Times New Roman"/>
          <w:sz w:val="24"/>
          <w:szCs w:val="24"/>
        </w:rPr>
        <w:t>of the listed companies</w:t>
      </w:r>
      <w:r w:rsidR="008C7AF9">
        <w:rPr>
          <w:rFonts w:ascii="Times New Roman" w:hAnsi="Times New Roman" w:cs="Times New Roman"/>
          <w:sz w:val="24"/>
          <w:szCs w:val="24"/>
        </w:rPr>
        <w:t xml:space="preserve"> as per the IR framework</w:t>
      </w:r>
      <w:r>
        <w:rPr>
          <w:rFonts w:ascii="Times New Roman" w:hAnsi="Times New Roman" w:cs="Times New Roman"/>
          <w:sz w:val="24"/>
          <w:szCs w:val="24"/>
        </w:rPr>
        <w:t>. It was found that the level of disclosure was increased from 2018 to 2021 reports. The study also found that around twenty</w:t>
      </w:r>
      <w:r w:rsidR="008C7AF9">
        <w:rPr>
          <w:rFonts w:ascii="Times New Roman" w:hAnsi="Times New Roman" w:cs="Times New Roman"/>
          <w:sz w:val="24"/>
          <w:szCs w:val="24"/>
        </w:rPr>
        <w:t>-five</w:t>
      </w:r>
      <w:r>
        <w:rPr>
          <w:rFonts w:ascii="Times New Roman" w:hAnsi="Times New Roman" w:cs="Times New Roman"/>
          <w:sz w:val="24"/>
          <w:szCs w:val="24"/>
        </w:rPr>
        <w:t xml:space="preserve"> companies for the year ended 2021 disclosed all </w:t>
      </w:r>
      <w:r w:rsidR="008C7AF9">
        <w:rPr>
          <w:rFonts w:ascii="Times New Roman" w:hAnsi="Times New Roman" w:cs="Times New Roman"/>
          <w:sz w:val="24"/>
          <w:szCs w:val="24"/>
        </w:rPr>
        <w:t xml:space="preserve">eight content elements </w:t>
      </w:r>
      <w:r>
        <w:rPr>
          <w:rFonts w:ascii="Times New Roman" w:hAnsi="Times New Roman" w:cs="Times New Roman"/>
          <w:sz w:val="24"/>
          <w:szCs w:val="24"/>
        </w:rPr>
        <w:t xml:space="preserve">in their integrated annual reports or annual reports as per the IR framework. The study also found that nearly </w:t>
      </w:r>
      <w:r w:rsidR="00696561">
        <w:rPr>
          <w:rFonts w:ascii="Times New Roman" w:hAnsi="Times New Roman" w:cs="Times New Roman"/>
          <w:sz w:val="24"/>
          <w:szCs w:val="24"/>
        </w:rPr>
        <w:t xml:space="preserve">twelve </w:t>
      </w:r>
      <w:r>
        <w:rPr>
          <w:rFonts w:ascii="Times New Roman" w:hAnsi="Times New Roman" w:cs="Times New Roman"/>
          <w:sz w:val="24"/>
          <w:szCs w:val="24"/>
        </w:rPr>
        <w:t>companies</w:t>
      </w:r>
      <w:r w:rsidR="00696561">
        <w:rPr>
          <w:rFonts w:ascii="Times New Roman" w:hAnsi="Times New Roman" w:cs="Times New Roman"/>
          <w:sz w:val="24"/>
          <w:szCs w:val="24"/>
        </w:rPr>
        <w:t xml:space="preserve"> </w:t>
      </w:r>
      <w:r>
        <w:rPr>
          <w:rFonts w:ascii="Times New Roman" w:hAnsi="Times New Roman" w:cs="Times New Roman"/>
          <w:sz w:val="24"/>
          <w:szCs w:val="24"/>
        </w:rPr>
        <w:t>were disclosing all</w:t>
      </w:r>
      <w:r w:rsidR="00696561">
        <w:rPr>
          <w:rFonts w:ascii="Times New Roman" w:hAnsi="Times New Roman" w:cs="Times New Roman"/>
          <w:sz w:val="24"/>
          <w:szCs w:val="24"/>
        </w:rPr>
        <w:t xml:space="preserve"> eight content elements for the proposed </w:t>
      </w:r>
      <w:r>
        <w:rPr>
          <w:rFonts w:ascii="Times New Roman" w:hAnsi="Times New Roman" w:cs="Times New Roman"/>
          <w:sz w:val="24"/>
          <w:szCs w:val="24"/>
        </w:rPr>
        <w:t>four-year</w:t>
      </w:r>
      <w:r w:rsidR="00696561">
        <w:rPr>
          <w:rFonts w:ascii="Times New Roman" w:hAnsi="Times New Roman" w:cs="Times New Roman"/>
          <w:sz w:val="24"/>
          <w:szCs w:val="24"/>
        </w:rPr>
        <w:t xml:space="preserve"> span</w:t>
      </w:r>
      <w:r>
        <w:rPr>
          <w:rFonts w:ascii="Times New Roman" w:hAnsi="Times New Roman" w:cs="Times New Roman"/>
          <w:sz w:val="24"/>
          <w:szCs w:val="24"/>
        </w:rPr>
        <w:t xml:space="preserve">. </w:t>
      </w:r>
    </w:p>
    <w:p w14:paraId="1615C7ED" w14:textId="3BBB06F6" w:rsidR="00B84025" w:rsidRPr="000A1285" w:rsidRDefault="0081770F" w:rsidP="00B84025">
      <w:pPr>
        <w:jc w:val="both"/>
        <w:rPr>
          <w:rFonts w:ascii="Times New Roman" w:hAnsi="Times New Roman" w:cs="Times New Roman"/>
          <w:b/>
          <w:bCs/>
          <w:sz w:val="24"/>
          <w:szCs w:val="24"/>
        </w:rPr>
      </w:pPr>
      <w:r w:rsidRPr="00B84025">
        <w:rPr>
          <w:rFonts w:ascii="Times New Roman" w:hAnsi="Times New Roman" w:cs="Times New Roman"/>
          <w:b/>
          <w:bCs/>
          <w:sz w:val="24"/>
          <w:szCs w:val="24"/>
        </w:rPr>
        <w:t>3.4.</w:t>
      </w:r>
      <w:r>
        <w:rPr>
          <w:rFonts w:ascii="Times New Roman" w:hAnsi="Times New Roman" w:cs="Times New Roman"/>
          <w:sz w:val="24"/>
          <w:szCs w:val="24"/>
        </w:rPr>
        <w:t xml:space="preserve"> </w:t>
      </w:r>
      <w:r w:rsidR="00B84025" w:rsidRPr="000A1285">
        <w:rPr>
          <w:rFonts w:ascii="Times New Roman" w:hAnsi="Times New Roman" w:cs="Times New Roman"/>
          <w:b/>
          <w:bCs/>
          <w:sz w:val="24"/>
          <w:szCs w:val="24"/>
        </w:rPr>
        <w:t xml:space="preserve">Model Specification: </w:t>
      </w:r>
    </w:p>
    <w:p w14:paraId="7877E282" w14:textId="22CD6889" w:rsidR="008F6E4E" w:rsidRPr="000F7621" w:rsidRDefault="00B84025" w:rsidP="00D10819">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We employed </w:t>
      </w:r>
      <w:r w:rsidR="00234A86">
        <w:rPr>
          <w:rFonts w:ascii="Times New Roman" w:hAnsi="Times New Roman" w:cs="Times New Roman"/>
          <w:sz w:val="24"/>
          <w:szCs w:val="24"/>
        </w:rPr>
        <w:t>paired sample two tailed t-test for quality measurement with a unique coding/checklist taken from the annual reports of selected companies</w:t>
      </w:r>
      <w:r w:rsidR="00735713">
        <w:rPr>
          <w:rFonts w:ascii="Times New Roman" w:hAnsi="Times New Roman" w:cs="Times New Roman"/>
          <w:sz w:val="24"/>
          <w:szCs w:val="24"/>
        </w:rPr>
        <w:t>.</w:t>
      </w:r>
      <w:r w:rsidR="007361B6">
        <w:rPr>
          <w:rFonts w:ascii="Times New Roman" w:hAnsi="Times New Roman" w:cs="Times New Roman"/>
          <w:sz w:val="24"/>
          <w:szCs w:val="24"/>
        </w:rPr>
        <w:t xml:space="preserve"> </w:t>
      </w:r>
      <w:r w:rsidR="004E113C">
        <w:rPr>
          <w:rFonts w:ascii="Times New Roman" w:hAnsi="Times New Roman" w:cs="Times New Roman"/>
          <w:sz w:val="24"/>
          <w:szCs w:val="24"/>
        </w:rPr>
        <w:t xml:space="preserve">The content analysis check list was carried out at two stage investigation. The first stage investigation was carried out by the research student and the second level scoring was carried out by the both researcher and professors’ combination. It was confirmed that at the two levels scoring was seems to be similar and unanimous. </w:t>
      </w:r>
      <w:r w:rsidR="007361B6">
        <w:rPr>
          <w:rFonts w:ascii="Times New Roman" w:hAnsi="Times New Roman" w:cs="Times New Roman"/>
          <w:sz w:val="24"/>
          <w:szCs w:val="24"/>
        </w:rPr>
        <w:t>This test is conducted for two different periods i.e., (i) 2018 to 2019, (ii) 2020 to 2021</w:t>
      </w:r>
      <w:r w:rsidR="002A36A2">
        <w:rPr>
          <w:rFonts w:ascii="Times New Roman" w:hAnsi="Times New Roman" w:cs="Times New Roman"/>
          <w:sz w:val="24"/>
          <w:szCs w:val="24"/>
        </w:rPr>
        <w:t xml:space="preserve"> as a comparative trend analysis</w:t>
      </w:r>
      <w:r w:rsidR="00D35505">
        <w:rPr>
          <w:rFonts w:ascii="Times New Roman" w:hAnsi="Times New Roman" w:cs="Times New Roman"/>
          <w:sz w:val="24"/>
          <w:szCs w:val="24"/>
        </w:rPr>
        <w:t>. The assumption of paired two tailed t-test’s data is distributed normally</w:t>
      </w:r>
      <w:r w:rsidR="00FC6874">
        <w:rPr>
          <w:rFonts w:ascii="Times New Roman" w:hAnsi="Times New Roman" w:cs="Times New Roman"/>
          <w:sz w:val="24"/>
          <w:szCs w:val="24"/>
        </w:rPr>
        <w:t xml:space="preserve">. The </w:t>
      </w:r>
      <w:r w:rsidR="00D35505">
        <w:rPr>
          <w:rFonts w:ascii="Times New Roman" w:hAnsi="Times New Roman" w:cs="Times New Roman"/>
          <w:sz w:val="24"/>
          <w:szCs w:val="24"/>
        </w:rPr>
        <w:t xml:space="preserve">mean difference </w:t>
      </w:r>
      <w:r w:rsidR="00FC6874">
        <w:rPr>
          <w:rFonts w:ascii="Times New Roman" w:hAnsi="Times New Roman" w:cs="Times New Roman"/>
          <w:sz w:val="24"/>
          <w:szCs w:val="24"/>
        </w:rPr>
        <w:t>is statistically differed from the zero. The</w:t>
      </w:r>
      <w:r w:rsidR="00B41658">
        <w:rPr>
          <w:rFonts w:ascii="Times New Roman" w:hAnsi="Times New Roman" w:cs="Times New Roman"/>
          <w:sz w:val="24"/>
          <w:szCs w:val="24"/>
        </w:rPr>
        <w:t xml:space="preserve"> </w:t>
      </w:r>
      <w:r w:rsidR="00FC6874">
        <w:rPr>
          <w:rFonts w:ascii="Times New Roman" w:hAnsi="Times New Roman" w:cs="Times New Roman"/>
          <w:sz w:val="24"/>
          <w:szCs w:val="24"/>
        </w:rPr>
        <w:t>paired t-test model was taken from Agustia et al. (2020) and later this model was developed accor</w:t>
      </w:r>
      <w:r w:rsidR="004A1373">
        <w:rPr>
          <w:rFonts w:ascii="Times New Roman" w:hAnsi="Times New Roman" w:cs="Times New Roman"/>
          <w:sz w:val="24"/>
          <w:szCs w:val="24"/>
        </w:rPr>
        <w:t xml:space="preserve">dingly. </w:t>
      </w:r>
      <w:r w:rsidR="007E1CBB">
        <w:rPr>
          <w:rFonts w:ascii="Times New Roman" w:hAnsi="Times New Roman" w:cs="Times New Roman"/>
          <w:sz w:val="24"/>
          <w:szCs w:val="24"/>
        </w:rPr>
        <w:t>Also,</w:t>
      </w:r>
      <w:r w:rsidR="00FE10FD">
        <w:rPr>
          <w:rFonts w:ascii="Times New Roman" w:hAnsi="Times New Roman" w:cs="Times New Roman"/>
          <w:sz w:val="24"/>
          <w:szCs w:val="24"/>
        </w:rPr>
        <w:t xml:space="preserve"> the study presents the integration level of all companies in various parameters based on their mean score of capitals and </w:t>
      </w:r>
      <w:r w:rsidR="007E1CBB">
        <w:rPr>
          <w:rFonts w:ascii="Times New Roman" w:hAnsi="Times New Roman" w:cs="Times New Roman"/>
          <w:sz w:val="24"/>
          <w:szCs w:val="24"/>
        </w:rPr>
        <w:t xml:space="preserve">content elements. </w:t>
      </w:r>
      <w:r w:rsidR="00FE10FD">
        <w:rPr>
          <w:rFonts w:ascii="Times New Roman" w:hAnsi="Times New Roman" w:cs="Times New Roman"/>
          <w:sz w:val="24"/>
          <w:szCs w:val="24"/>
        </w:rPr>
        <w:t xml:space="preserve"> </w:t>
      </w:r>
    </w:p>
    <w:p w14:paraId="6300649F" w14:textId="0981B0BC" w:rsidR="00B47DD6" w:rsidRPr="005772FF" w:rsidRDefault="00B47DD6" w:rsidP="00316193">
      <w:pPr>
        <w:spacing w:after="0" w:line="360" w:lineRule="auto"/>
        <w:jc w:val="both"/>
        <w:rPr>
          <w:rFonts w:ascii="Times New Roman" w:hAnsi="Times New Roman" w:cs="Times New Roman"/>
          <w:b/>
          <w:bCs/>
          <w:sz w:val="24"/>
          <w:szCs w:val="24"/>
          <w:lang w:val="en-IN"/>
        </w:rPr>
      </w:pPr>
      <w:r w:rsidRPr="005772FF">
        <w:rPr>
          <w:rFonts w:ascii="Times New Roman" w:hAnsi="Times New Roman" w:cs="Times New Roman"/>
          <w:b/>
          <w:bCs/>
          <w:sz w:val="24"/>
          <w:szCs w:val="24"/>
          <w:lang w:val="en-IN"/>
        </w:rPr>
        <w:t xml:space="preserve">4. Results and discussions </w:t>
      </w:r>
    </w:p>
    <w:p w14:paraId="2B4DEEE9" w14:textId="5FAE25C2" w:rsidR="00617DE6" w:rsidRDefault="00617DE6" w:rsidP="00316193">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4.1 </w:t>
      </w:r>
      <w:r w:rsidR="00224892">
        <w:rPr>
          <w:rFonts w:ascii="Times New Roman" w:hAnsi="Times New Roman" w:cs="Times New Roman"/>
          <w:sz w:val="24"/>
          <w:szCs w:val="24"/>
          <w:lang w:val="en-IN"/>
        </w:rPr>
        <w:t>D</w:t>
      </w:r>
      <w:r>
        <w:rPr>
          <w:rFonts w:ascii="Times New Roman" w:hAnsi="Times New Roman" w:cs="Times New Roman"/>
          <w:sz w:val="24"/>
          <w:szCs w:val="24"/>
          <w:lang w:val="en-IN"/>
        </w:rPr>
        <w:t xml:space="preserve">isclosed the comparative trend analysis of </w:t>
      </w:r>
      <w:r w:rsidR="00224892">
        <w:rPr>
          <w:rFonts w:ascii="Times New Roman" w:hAnsi="Times New Roman" w:cs="Times New Roman"/>
          <w:sz w:val="24"/>
          <w:szCs w:val="24"/>
          <w:lang w:val="en-IN"/>
        </w:rPr>
        <w:t>paired two tailed test</w:t>
      </w:r>
      <w:r w:rsidR="00062C7A">
        <w:rPr>
          <w:rFonts w:ascii="Times New Roman" w:hAnsi="Times New Roman" w:cs="Times New Roman"/>
          <w:sz w:val="24"/>
          <w:szCs w:val="24"/>
          <w:lang w:val="en-IN"/>
        </w:rPr>
        <w:t xml:space="preserve"> for </w:t>
      </w:r>
      <w:r w:rsidR="000E5648">
        <w:rPr>
          <w:rFonts w:ascii="Times New Roman" w:hAnsi="Times New Roman" w:cs="Times New Roman"/>
          <w:sz w:val="24"/>
          <w:szCs w:val="24"/>
          <w:lang w:val="en-IN"/>
        </w:rPr>
        <w:t xml:space="preserve">two different periods i.e., 2018-2019 and 2020 -2021. </w:t>
      </w:r>
      <w:r w:rsidR="00F960FC">
        <w:rPr>
          <w:rFonts w:ascii="Times New Roman" w:hAnsi="Times New Roman" w:cs="Times New Roman"/>
          <w:sz w:val="24"/>
          <w:szCs w:val="24"/>
          <w:lang w:val="en-IN"/>
        </w:rPr>
        <w:t xml:space="preserve">The table four briefly explains about the results. </w:t>
      </w:r>
    </w:p>
    <w:p w14:paraId="7A97FF88" w14:textId="77777777" w:rsidR="00097F22" w:rsidRDefault="00097F22" w:rsidP="0023643A">
      <w:pPr>
        <w:spacing w:after="0" w:line="360" w:lineRule="auto"/>
        <w:jc w:val="both"/>
        <w:rPr>
          <w:rFonts w:ascii="Times New Roman" w:hAnsi="Times New Roman" w:cs="Times New Roman"/>
          <w:b/>
          <w:sz w:val="24"/>
          <w:szCs w:val="24"/>
          <w:lang w:val="en-IN"/>
        </w:rPr>
      </w:pPr>
    </w:p>
    <w:p w14:paraId="06A22794" w14:textId="77777777" w:rsidR="00097F22" w:rsidRDefault="00097F22" w:rsidP="0023643A">
      <w:pPr>
        <w:spacing w:after="0" w:line="360" w:lineRule="auto"/>
        <w:jc w:val="both"/>
        <w:rPr>
          <w:rFonts w:ascii="Times New Roman" w:hAnsi="Times New Roman" w:cs="Times New Roman"/>
          <w:b/>
          <w:sz w:val="24"/>
          <w:szCs w:val="24"/>
          <w:lang w:val="en-IN"/>
        </w:rPr>
        <w:sectPr w:rsidR="00097F22" w:rsidSect="003C5D6D">
          <w:footerReference w:type="default" r:id="rId14"/>
          <w:pgSz w:w="11906" w:h="16838"/>
          <w:pgMar w:top="1440" w:right="1440" w:bottom="1440" w:left="1418" w:header="992" w:footer="709" w:gutter="0"/>
          <w:cols w:space="708"/>
          <w:docGrid w:linePitch="360"/>
        </w:sectPr>
      </w:pPr>
    </w:p>
    <w:p w14:paraId="15D4FF48" w14:textId="1D0AE7DB" w:rsidR="00097F22" w:rsidRPr="00A84C18" w:rsidRDefault="00097F22" w:rsidP="00097F22">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Table.</w:t>
      </w:r>
      <w:r w:rsidR="00D10819">
        <w:rPr>
          <w:rFonts w:ascii="Times New Roman" w:hAnsi="Times New Roman" w:cs="Times New Roman"/>
          <w:sz w:val="24"/>
          <w:szCs w:val="24"/>
          <w:lang w:val="en-IN"/>
        </w:rPr>
        <w:t>4</w:t>
      </w:r>
      <w:r>
        <w:rPr>
          <w:rFonts w:ascii="Times New Roman" w:hAnsi="Times New Roman" w:cs="Times New Roman"/>
          <w:sz w:val="24"/>
          <w:szCs w:val="24"/>
          <w:lang w:val="en-IN"/>
        </w:rPr>
        <w:t xml:space="preserve">: </w:t>
      </w:r>
      <w:r w:rsidRPr="0023643A">
        <w:rPr>
          <w:rFonts w:ascii="Times New Roman" w:hAnsi="Times New Roman" w:cs="Times New Roman"/>
          <w:sz w:val="24"/>
          <w:szCs w:val="24"/>
          <w:lang w:val="en-IN"/>
        </w:rPr>
        <w:t>A comparative trend analysis of Paired sample T-test two tailed (For 2018 &amp; 2019 to 2020 &amp; 2021) year ending 31st March</w:t>
      </w:r>
    </w:p>
    <w:tbl>
      <w:tblPr>
        <w:tblStyle w:val="TableGrid"/>
        <w:tblW w:w="14354" w:type="dxa"/>
        <w:tblLayout w:type="fixed"/>
        <w:tblLook w:val="04A0" w:firstRow="1" w:lastRow="0" w:firstColumn="1" w:lastColumn="0" w:noHBand="0" w:noVBand="1"/>
      </w:tblPr>
      <w:tblGrid>
        <w:gridCol w:w="2839"/>
        <w:gridCol w:w="753"/>
        <w:gridCol w:w="683"/>
        <w:gridCol w:w="683"/>
        <w:gridCol w:w="683"/>
        <w:gridCol w:w="685"/>
        <w:gridCol w:w="683"/>
        <w:gridCol w:w="683"/>
        <w:gridCol w:w="683"/>
        <w:gridCol w:w="685"/>
        <w:gridCol w:w="957"/>
        <w:gridCol w:w="1093"/>
        <w:gridCol w:w="820"/>
        <w:gridCol w:w="820"/>
        <w:gridCol w:w="817"/>
        <w:gridCol w:w="787"/>
      </w:tblGrid>
      <w:tr w:rsidR="00097F22" w14:paraId="3EBB1CDF" w14:textId="77777777" w:rsidTr="00D10819">
        <w:trPr>
          <w:trHeight w:val="874"/>
        </w:trPr>
        <w:tc>
          <w:tcPr>
            <w:tcW w:w="2839" w:type="dxa"/>
            <w:vMerge w:val="restart"/>
            <w:vAlign w:val="center"/>
          </w:tcPr>
          <w:p w14:paraId="27522E92"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Name of the Item</w:t>
            </w:r>
          </w:p>
        </w:tc>
        <w:tc>
          <w:tcPr>
            <w:tcW w:w="753" w:type="dxa"/>
            <w:vMerge w:val="restart"/>
            <w:vAlign w:val="center"/>
          </w:tcPr>
          <w:p w14:paraId="16D16079"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Scale</w:t>
            </w:r>
          </w:p>
        </w:tc>
        <w:tc>
          <w:tcPr>
            <w:tcW w:w="2734" w:type="dxa"/>
            <w:gridSpan w:val="4"/>
            <w:vAlign w:val="center"/>
          </w:tcPr>
          <w:p w14:paraId="796EB5BB"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Mean</w:t>
            </w:r>
          </w:p>
        </w:tc>
        <w:tc>
          <w:tcPr>
            <w:tcW w:w="2734" w:type="dxa"/>
            <w:gridSpan w:val="4"/>
            <w:vAlign w:val="center"/>
          </w:tcPr>
          <w:p w14:paraId="273EB47B"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SD</w:t>
            </w:r>
          </w:p>
        </w:tc>
        <w:tc>
          <w:tcPr>
            <w:tcW w:w="2050" w:type="dxa"/>
            <w:gridSpan w:val="2"/>
          </w:tcPr>
          <w:p w14:paraId="2B9E9BBE"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Mean Difference</w:t>
            </w:r>
          </w:p>
        </w:tc>
        <w:tc>
          <w:tcPr>
            <w:tcW w:w="1640" w:type="dxa"/>
            <w:gridSpan w:val="2"/>
          </w:tcPr>
          <w:p w14:paraId="7EC97F51"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t-statics</w:t>
            </w:r>
          </w:p>
        </w:tc>
        <w:tc>
          <w:tcPr>
            <w:tcW w:w="1604" w:type="dxa"/>
            <w:gridSpan w:val="2"/>
          </w:tcPr>
          <w:p w14:paraId="13264894" w14:textId="77777777" w:rsidR="00097F22" w:rsidRDefault="00097F22" w:rsidP="00032547">
            <w:pPr>
              <w:spacing w:after="0"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p-value</w:t>
            </w:r>
          </w:p>
        </w:tc>
      </w:tr>
      <w:tr w:rsidR="00097F22" w14:paraId="53B8F188" w14:textId="77777777" w:rsidTr="00D10819">
        <w:trPr>
          <w:trHeight w:val="717"/>
        </w:trPr>
        <w:tc>
          <w:tcPr>
            <w:tcW w:w="2839" w:type="dxa"/>
            <w:vMerge/>
          </w:tcPr>
          <w:p w14:paraId="2B4F7F50" w14:textId="77777777" w:rsidR="00097F22" w:rsidRDefault="00097F22" w:rsidP="00032547">
            <w:pPr>
              <w:spacing w:after="0" w:line="360" w:lineRule="auto"/>
              <w:jc w:val="both"/>
              <w:rPr>
                <w:rFonts w:ascii="Times New Roman" w:hAnsi="Times New Roman" w:cs="Times New Roman"/>
                <w:b/>
                <w:sz w:val="24"/>
                <w:szCs w:val="24"/>
                <w:lang w:val="en-IN"/>
              </w:rPr>
            </w:pPr>
          </w:p>
        </w:tc>
        <w:tc>
          <w:tcPr>
            <w:tcW w:w="753" w:type="dxa"/>
            <w:vMerge/>
          </w:tcPr>
          <w:p w14:paraId="23D3F3E9" w14:textId="77777777" w:rsidR="00097F22" w:rsidRDefault="00097F22" w:rsidP="00032547">
            <w:pPr>
              <w:spacing w:after="0" w:line="360" w:lineRule="auto"/>
              <w:jc w:val="both"/>
              <w:rPr>
                <w:rFonts w:ascii="Times New Roman" w:hAnsi="Times New Roman" w:cs="Times New Roman"/>
                <w:b/>
                <w:sz w:val="24"/>
                <w:szCs w:val="24"/>
                <w:lang w:val="en-IN"/>
              </w:rPr>
            </w:pPr>
          </w:p>
        </w:tc>
        <w:tc>
          <w:tcPr>
            <w:tcW w:w="683" w:type="dxa"/>
          </w:tcPr>
          <w:p w14:paraId="1540EEF0"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2018</w:t>
            </w:r>
          </w:p>
        </w:tc>
        <w:tc>
          <w:tcPr>
            <w:tcW w:w="683" w:type="dxa"/>
          </w:tcPr>
          <w:p w14:paraId="771B36FD"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2019</w:t>
            </w:r>
          </w:p>
        </w:tc>
        <w:tc>
          <w:tcPr>
            <w:tcW w:w="683" w:type="dxa"/>
          </w:tcPr>
          <w:p w14:paraId="6A1984E3"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2020</w:t>
            </w:r>
          </w:p>
        </w:tc>
        <w:tc>
          <w:tcPr>
            <w:tcW w:w="683" w:type="dxa"/>
          </w:tcPr>
          <w:p w14:paraId="700BF7C4"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2021</w:t>
            </w:r>
          </w:p>
        </w:tc>
        <w:tc>
          <w:tcPr>
            <w:tcW w:w="683" w:type="dxa"/>
          </w:tcPr>
          <w:p w14:paraId="162D0B59"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2018</w:t>
            </w:r>
          </w:p>
        </w:tc>
        <w:tc>
          <w:tcPr>
            <w:tcW w:w="683" w:type="dxa"/>
          </w:tcPr>
          <w:p w14:paraId="59191399"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2019</w:t>
            </w:r>
          </w:p>
        </w:tc>
        <w:tc>
          <w:tcPr>
            <w:tcW w:w="683" w:type="dxa"/>
          </w:tcPr>
          <w:p w14:paraId="3211AC40"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2020</w:t>
            </w:r>
          </w:p>
        </w:tc>
        <w:tc>
          <w:tcPr>
            <w:tcW w:w="683" w:type="dxa"/>
          </w:tcPr>
          <w:p w14:paraId="6B09DAA8"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2021</w:t>
            </w:r>
          </w:p>
        </w:tc>
        <w:tc>
          <w:tcPr>
            <w:tcW w:w="957" w:type="dxa"/>
          </w:tcPr>
          <w:p w14:paraId="74163CD7"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2018 &amp; 19</w:t>
            </w:r>
          </w:p>
        </w:tc>
        <w:tc>
          <w:tcPr>
            <w:tcW w:w="1093" w:type="dxa"/>
          </w:tcPr>
          <w:p w14:paraId="1428EDD5"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2020 &amp; 21</w:t>
            </w:r>
          </w:p>
        </w:tc>
        <w:tc>
          <w:tcPr>
            <w:tcW w:w="820" w:type="dxa"/>
          </w:tcPr>
          <w:p w14:paraId="0138C33F"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2018-2019</w:t>
            </w:r>
          </w:p>
        </w:tc>
        <w:tc>
          <w:tcPr>
            <w:tcW w:w="820" w:type="dxa"/>
          </w:tcPr>
          <w:p w14:paraId="79A70A92"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2020-2021</w:t>
            </w:r>
          </w:p>
        </w:tc>
        <w:tc>
          <w:tcPr>
            <w:tcW w:w="817" w:type="dxa"/>
          </w:tcPr>
          <w:p w14:paraId="184D7635"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2018 -2019</w:t>
            </w:r>
          </w:p>
        </w:tc>
        <w:tc>
          <w:tcPr>
            <w:tcW w:w="787" w:type="dxa"/>
          </w:tcPr>
          <w:p w14:paraId="6EBC954F" w14:textId="77777777" w:rsidR="00097F22" w:rsidRDefault="00097F22" w:rsidP="00032547">
            <w:pPr>
              <w:spacing w:after="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2020- 2021</w:t>
            </w:r>
          </w:p>
        </w:tc>
      </w:tr>
      <w:tr w:rsidR="00097F22" w14:paraId="6DBA943D" w14:textId="77777777" w:rsidTr="00D10819">
        <w:trPr>
          <w:trHeight w:val="444"/>
        </w:trPr>
        <w:tc>
          <w:tcPr>
            <w:tcW w:w="2839" w:type="dxa"/>
          </w:tcPr>
          <w:p w14:paraId="7916D5B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Financial Capital</w:t>
            </w:r>
          </w:p>
        </w:tc>
        <w:tc>
          <w:tcPr>
            <w:tcW w:w="753" w:type="dxa"/>
          </w:tcPr>
          <w:p w14:paraId="7C12534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6611BDC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4.68</w:t>
            </w:r>
          </w:p>
        </w:tc>
        <w:tc>
          <w:tcPr>
            <w:tcW w:w="683" w:type="dxa"/>
          </w:tcPr>
          <w:p w14:paraId="51AB812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5.19</w:t>
            </w:r>
          </w:p>
        </w:tc>
        <w:tc>
          <w:tcPr>
            <w:tcW w:w="683" w:type="dxa"/>
          </w:tcPr>
          <w:p w14:paraId="3B86453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5.41</w:t>
            </w:r>
          </w:p>
        </w:tc>
        <w:tc>
          <w:tcPr>
            <w:tcW w:w="683" w:type="dxa"/>
          </w:tcPr>
          <w:p w14:paraId="2919B0C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5.70</w:t>
            </w:r>
          </w:p>
        </w:tc>
        <w:tc>
          <w:tcPr>
            <w:tcW w:w="683" w:type="dxa"/>
          </w:tcPr>
          <w:p w14:paraId="599FE12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1.06</w:t>
            </w:r>
          </w:p>
        </w:tc>
        <w:tc>
          <w:tcPr>
            <w:tcW w:w="683" w:type="dxa"/>
          </w:tcPr>
          <w:p w14:paraId="658CFEE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0.62</w:t>
            </w:r>
          </w:p>
        </w:tc>
        <w:tc>
          <w:tcPr>
            <w:tcW w:w="683" w:type="dxa"/>
          </w:tcPr>
          <w:p w14:paraId="6D1C32D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0.50</w:t>
            </w:r>
          </w:p>
        </w:tc>
        <w:tc>
          <w:tcPr>
            <w:tcW w:w="683" w:type="dxa"/>
          </w:tcPr>
          <w:p w14:paraId="6DD8630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0.46</w:t>
            </w:r>
          </w:p>
        </w:tc>
        <w:tc>
          <w:tcPr>
            <w:tcW w:w="957" w:type="dxa"/>
          </w:tcPr>
          <w:p w14:paraId="215B476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0.51</w:t>
            </w:r>
            <w:r>
              <w:rPr>
                <w:lang w:val="en-IN" w:eastAsia="en-IN"/>
              </w:rPr>
              <w:t>***</w:t>
            </w:r>
          </w:p>
        </w:tc>
        <w:tc>
          <w:tcPr>
            <w:tcW w:w="1093" w:type="dxa"/>
          </w:tcPr>
          <w:p w14:paraId="45CE0D4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0.30</w:t>
            </w:r>
            <w:r>
              <w:rPr>
                <w:lang w:val="en-IN" w:eastAsia="en-IN"/>
              </w:rPr>
              <w:t>***</w:t>
            </w:r>
          </w:p>
        </w:tc>
        <w:tc>
          <w:tcPr>
            <w:tcW w:w="820" w:type="dxa"/>
          </w:tcPr>
          <w:p w14:paraId="0CDF7F9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-4.27</w:t>
            </w:r>
          </w:p>
        </w:tc>
        <w:tc>
          <w:tcPr>
            <w:tcW w:w="820" w:type="dxa"/>
          </w:tcPr>
          <w:p w14:paraId="752E527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-3.90</w:t>
            </w:r>
          </w:p>
        </w:tc>
        <w:tc>
          <w:tcPr>
            <w:tcW w:w="817" w:type="dxa"/>
          </w:tcPr>
          <w:p w14:paraId="0D1E892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67817D8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2768CADA" w14:textId="77777777" w:rsidTr="00D10819">
        <w:trPr>
          <w:trHeight w:val="428"/>
        </w:trPr>
        <w:tc>
          <w:tcPr>
            <w:tcW w:w="2839" w:type="dxa"/>
          </w:tcPr>
          <w:p w14:paraId="29D5D85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Manufacturing Capital</w:t>
            </w:r>
          </w:p>
        </w:tc>
        <w:tc>
          <w:tcPr>
            <w:tcW w:w="753" w:type="dxa"/>
          </w:tcPr>
          <w:p w14:paraId="0BD8E53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1ADE022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4.46</w:t>
            </w:r>
          </w:p>
        </w:tc>
        <w:tc>
          <w:tcPr>
            <w:tcW w:w="683" w:type="dxa"/>
          </w:tcPr>
          <w:p w14:paraId="5205CBE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5.08</w:t>
            </w:r>
          </w:p>
        </w:tc>
        <w:tc>
          <w:tcPr>
            <w:tcW w:w="683" w:type="dxa"/>
          </w:tcPr>
          <w:p w14:paraId="436CB4D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5.30</w:t>
            </w:r>
          </w:p>
        </w:tc>
        <w:tc>
          <w:tcPr>
            <w:tcW w:w="683" w:type="dxa"/>
          </w:tcPr>
          <w:p w14:paraId="3C63487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5.59</w:t>
            </w:r>
          </w:p>
        </w:tc>
        <w:tc>
          <w:tcPr>
            <w:tcW w:w="683" w:type="dxa"/>
          </w:tcPr>
          <w:p w14:paraId="47E0EB2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1.12</w:t>
            </w:r>
          </w:p>
        </w:tc>
        <w:tc>
          <w:tcPr>
            <w:tcW w:w="683" w:type="dxa"/>
          </w:tcPr>
          <w:p w14:paraId="1AAB22A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0.72</w:t>
            </w:r>
          </w:p>
        </w:tc>
        <w:tc>
          <w:tcPr>
            <w:tcW w:w="683" w:type="dxa"/>
          </w:tcPr>
          <w:p w14:paraId="325CF31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0.62</w:t>
            </w:r>
          </w:p>
        </w:tc>
        <w:tc>
          <w:tcPr>
            <w:tcW w:w="683" w:type="dxa"/>
          </w:tcPr>
          <w:p w14:paraId="32E6FA2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0.64</w:t>
            </w:r>
          </w:p>
        </w:tc>
        <w:tc>
          <w:tcPr>
            <w:tcW w:w="957" w:type="dxa"/>
          </w:tcPr>
          <w:p w14:paraId="6217452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0.62</w:t>
            </w:r>
            <w:r>
              <w:rPr>
                <w:lang w:val="en-IN" w:eastAsia="en-IN"/>
              </w:rPr>
              <w:t>***</w:t>
            </w:r>
          </w:p>
        </w:tc>
        <w:tc>
          <w:tcPr>
            <w:tcW w:w="1093" w:type="dxa"/>
          </w:tcPr>
          <w:p w14:paraId="31C45EE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0.30</w:t>
            </w:r>
            <w:r>
              <w:rPr>
                <w:lang w:val="en-IN" w:eastAsia="en-IN"/>
              </w:rPr>
              <w:t>***</w:t>
            </w:r>
          </w:p>
        </w:tc>
        <w:tc>
          <w:tcPr>
            <w:tcW w:w="820" w:type="dxa"/>
          </w:tcPr>
          <w:p w14:paraId="5579A22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-4.76</w:t>
            </w:r>
          </w:p>
        </w:tc>
        <w:tc>
          <w:tcPr>
            <w:tcW w:w="820" w:type="dxa"/>
          </w:tcPr>
          <w:p w14:paraId="364F858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-3.90</w:t>
            </w:r>
          </w:p>
        </w:tc>
        <w:tc>
          <w:tcPr>
            <w:tcW w:w="817" w:type="dxa"/>
          </w:tcPr>
          <w:p w14:paraId="23C20BB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66495C5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281E2039" w14:textId="77777777" w:rsidTr="00D10819">
        <w:trPr>
          <w:trHeight w:val="428"/>
        </w:trPr>
        <w:tc>
          <w:tcPr>
            <w:tcW w:w="2839" w:type="dxa"/>
          </w:tcPr>
          <w:p w14:paraId="7A3AE51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Natural Capital</w:t>
            </w:r>
          </w:p>
        </w:tc>
        <w:tc>
          <w:tcPr>
            <w:tcW w:w="753" w:type="dxa"/>
          </w:tcPr>
          <w:p w14:paraId="4073594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2435D6C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4.51</w:t>
            </w:r>
          </w:p>
        </w:tc>
        <w:tc>
          <w:tcPr>
            <w:tcW w:w="683" w:type="dxa"/>
          </w:tcPr>
          <w:p w14:paraId="407DA18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5.19</w:t>
            </w:r>
          </w:p>
        </w:tc>
        <w:tc>
          <w:tcPr>
            <w:tcW w:w="683" w:type="dxa"/>
          </w:tcPr>
          <w:p w14:paraId="2EA9AC7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5.35</w:t>
            </w:r>
          </w:p>
        </w:tc>
        <w:tc>
          <w:tcPr>
            <w:tcW w:w="683" w:type="dxa"/>
          </w:tcPr>
          <w:p w14:paraId="3E49A8C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5.68</w:t>
            </w:r>
          </w:p>
        </w:tc>
        <w:tc>
          <w:tcPr>
            <w:tcW w:w="683" w:type="dxa"/>
          </w:tcPr>
          <w:p w14:paraId="2ADC641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1.10</w:t>
            </w:r>
          </w:p>
        </w:tc>
        <w:tc>
          <w:tcPr>
            <w:tcW w:w="683" w:type="dxa"/>
          </w:tcPr>
          <w:p w14:paraId="63F9582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0.57</w:t>
            </w:r>
          </w:p>
        </w:tc>
        <w:tc>
          <w:tcPr>
            <w:tcW w:w="683" w:type="dxa"/>
          </w:tcPr>
          <w:p w14:paraId="6FB7525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0.48</w:t>
            </w:r>
          </w:p>
        </w:tc>
        <w:tc>
          <w:tcPr>
            <w:tcW w:w="683" w:type="dxa"/>
          </w:tcPr>
          <w:p w14:paraId="66DEB7B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0.47</w:t>
            </w:r>
          </w:p>
        </w:tc>
        <w:tc>
          <w:tcPr>
            <w:tcW w:w="957" w:type="dxa"/>
          </w:tcPr>
          <w:p w14:paraId="093A8E5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0.68</w:t>
            </w:r>
            <w:r>
              <w:rPr>
                <w:lang w:val="en-IN" w:eastAsia="en-IN"/>
              </w:rPr>
              <w:t>***</w:t>
            </w:r>
          </w:p>
        </w:tc>
        <w:tc>
          <w:tcPr>
            <w:tcW w:w="1093" w:type="dxa"/>
          </w:tcPr>
          <w:p w14:paraId="2674906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0.32</w:t>
            </w:r>
            <w:r>
              <w:rPr>
                <w:lang w:val="en-IN" w:eastAsia="en-IN"/>
              </w:rPr>
              <w:t>***</w:t>
            </w:r>
          </w:p>
        </w:tc>
        <w:tc>
          <w:tcPr>
            <w:tcW w:w="820" w:type="dxa"/>
          </w:tcPr>
          <w:p w14:paraId="60D49A9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-5.02</w:t>
            </w:r>
          </w:p>
        </w:tc>
        <w:tc>
          <w:tcPr>
            <w:tcW w:w="820" w:type="dxa"/>
          </w:tcPr>
          <w:p w14:paraId="573C085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-4.16</w:t>
            </w:r>
          </w:p>
        </w:tc>
        <w:tc>
          <w:tcPr>
            <w:tcW w:w="817" w:type="dxa"/>
          </w:tcPr>
          <w:p w14:paraId="35180DB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76D36D8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739455B3" w14:textId="77777777" w:rsidTr="00D10819">
        <w:trPr>
          <w:trHeight w:val="428"/>
        </w:trPr>
        <w:tc>
          <w:tcPr>
            <w:tcW w:w="2839" w:type="dxa"/>
          </w:tcPr>
          <w:p w14:paraId="26C7038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Intellectual Capital</w:t>
            </w:r>
          </w:p>
        </w:tc>
        <w:tc>
          <w:tcPr>
            <w:tcW w:w="753" w:type="dxa"/>
          </w:tcPr>
          <w:p w14:paraId="3BDE025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4F0CB05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4.57</w:t>
            </w:r>
          </w:p>
        </w:tc>
        <w:tc>
          <w:tcPr>
            <w:tcW w:w="683" w:type="dxa"/>
          </w:tcPr>
          <w:p w14:paraId="34D54F7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5.19</w:t>
            </w:r>
          </w:p>
        </w:tc>
        <w:tc>
          <w:tcPr>
            <w:tcW w:w="683" w:type="dxa"/>
          </w:tcPr>
          <w:p w14:paraId="765791D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5.38</w:t>
            </w:r>
          </w:p>
        </w:tc>
        <w:tc>
          <w:tcPr>
            <w:tcW w:w="683" w:type="dxa"/>
          </w:tcPr>
          <w:p w14:paraId="188251E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5.68</w:t>
            </w:r>
          </w:p>
        </w:tc>
        <w:tc>
          <w:tcPr>
            <w:tcW w:w="683" w:type="dxa"/>
          </w:tcPr>
          <w:p w14:paraId="5A8DB7C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1.09</w:t>
            </w:r>
          </w:p>
        </w:tc>
        <w:tc>
          <w:tcPr>
            <w:tcW w:w="683" w:type="dxa"/>
          </w:tcPr>
          <w:p w14:paraId="09CF4BF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0.62</w:t>
            </w:r>
          </w:p>
        </w:tc>
        <w:tc>
          <w:tcPr>
            <w:tcW w:w="683" w:type="dxa"/>
          </w:tcPr>
          <w:p w14:paraId="70A22F4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0.49</w:t>
            </w:r>
          </w:p>
        </w:tc>
        <w:tc>
          <w:tcPr>
            <w:tcW w:w="683" w:type="dxa"/>
          </w:tcPr>
          <w:p w14:paraId="18FD7E6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0.47</w:t>
            </w:r>
          </w:p>
        </w:tc>
        <w:tc>
          <w:tcPr>
            <w:tcW w:w="957" w:type="dxa"/>
          </w:tcPr>
          <w:p w14:paraId="4FE62E2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0.62</w:t>
            </w:r>
            <w:r>
              <w:rPr>
                <w:lang w:val="en-IN" w:eastAsia="en-IN"/>
              </w:rPr>
              <w:t>***</w:t>
            </w:r>
          </w:p>
        </w:tc>
        <w:tc>
          <w:tcPr>
            <w:tcW w:w="1093" w:type="dxa"/>
          </w:tcPr>
          <w:p w14:paraId="4C862D2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0.30</w:t>
            </w:r>
            <w:r>
              <w:rPr>
                <w:lang w:val="en-IN" w:eastAsia="en-IN"/>
              </w:rPr>
              <w:t>***</w:t>
            </w:r>
          </w:p>
        </w:tc>
        <w:tc>
          <w:tcPr>
            <w:tcW w:w="820" w:type="dxa"/>
          </w:tcPr>
          <w:p w14:paraId="527EB22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-4.76</w:t>
            </w:r>
          </w:p>
        </w:tc>
        <w:tc>
          <w:tcPr>
            <w:tcW w:w="820" w:type="dxa"/>
          </w:tcPr>
          <w:p w14:paraId="6184F6C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-3.90</w:t>
            </w:r>
          </w:p>
        </w:tc>
        <w:tc>
          <w:tcPr>
            <w:tcW w:w="817" w:type="dxa"/>
          </w:tcPr>
          <w:p w14:paraId="44FC191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165C722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659B5026" w14:textId="77777777" w:rsidTr="00D10819">
        <w:trPr>
          <w:trHeight w:val="428"/>
        </w:trPr>
        <w:tc>
          <w:tcPr>
            <w:tcW w:w="2839" w:type="dxa"/>
          </w:tcPr>
          <w:p w14:paraId="1CA8A6D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Human Capital</w:t>
            </w:r>
          </w:p>
        </w:tc>
        <w:tc>
          <w:tcPr>
            <w:tcW w:w="753" w:type="dxa"/>
          </w:tcPr>
          <w:p w14:paraId="0D14844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672293C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4.57</w:t>
            </w:r>
          </w:p>
        </w:tc>
        <w:tc>
          <w:tcPr>
            <w:tcW w:w="683" w:type="dxa"/>
          </w:tcPr>
          <w:p w14:paraId="348BC47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5.16</w:t>
            </w:r>
          </w:p>
        </w:tc>
        <w:tc>
          <w:tcPr>
            <w:tcW w:w="683" w:type="dxa"/>
          </w:tcPr>
          <w:p w14:paraId="70FC98D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5.32</w:t>
            </w:r>
          </w:p>
        </w:tc>
        <w:tc>
          <w:tcPr>
            <w:tcW w:w="683" w:type="dxa"/>
          </w:tcPr>
          <w:p w14:paraId="257F5B6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5.68</w:t>
            </w:r>
          </w:p>
        </w:tc>
        <w:tc>
          <w:tcPr>
            <w:tcW w:w="683" w:type="dxa"/>
          </w:tcPr>
          <w:p w14:paraId="21E1367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1.09</w:t>
            </w:r>
          </w:p>
        </w:tc>
        <w:tc>
          <w:tcPr>
            <w:tcW w:w="683" w:type="dxa"/>
          </w:tcPr>
          <w:p w14:paraId="57F221E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0.60</w:t>
            </w:r>
          </w:p>
        </w:tc>
        <w:tc>
          <w:tcPr>
            <w:tcW w:w="683" w:type="dxa"/>
          </w:tcPr>
          <w:p w14:paraId="7F0AA19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0.47</w:t>
            </w:r>
          </w:p>
        </w:tc>
        <w:tc>
          <w:tcPr>
            <w:tcW w:w="683" w:type="dxa"/>
          </w:tcPr>
          <w:p w14:paraId="55E6B49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0.47</w:t>
            </w:r>
          </w:p>
        </w:tc>
        <w:tc>
          <w:tcPr>
            <w:tcW w:w="957" w:type="dxa"/>
          </w:tcPr>
          <w:p w14:paraId="0EAAD34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0.59</w:t>
            </w:r>
            <w:r>
              <w:rPr>
                <w:lang w:val="en-IN" w:eastAsia="en-IN"/>
              </w:rPr>
              <w:t>***</w:t>
            </w:r>
          </w:p>
        </w:tc>
        <w:tc>
          <w:tcPr>
            <w:tcW w:w="1093" w:type="dxa"/>
          </w:tcPr>
          <w:p w14:paraId="4A7937F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0.35</w:t>
            </w:r>
            <w:r>
              <w:rPr>
                <w:lang w:val="en-IN" w:eastAsia="en-IN"/>
              </w:rPr>
              <w:t>***</w:t>
            </w:r>
          </w:p>
        </w:tc>
        <w:tc>
          <w:tcPr>
            <w:tcW w:w="820" w:type="dxa"/>
          </w:tcPr>
          <w:p w14:paraId="2765F14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-4.53</w:t>
            </w:r>
          </w:p>
        </w:tc>
        <w:tc>
          <w:tcPr>
            <w:tcW w:w="820" w:type="dxa"/>
          </w:tcPr>
          <w:p w14:paraId="0CE5064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-4.42</w:t>
            </w:r>
          </w:p>
        </w:tc>
        <w:tc>
          <w:tcPr>
            <w:tcW w:w="817" w:type="dxa"/>
          </w:tcPr>
          <w:p w14:paraId="492DDBE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7F5B1E0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71FDB1BB" w14:textId="77777777" w:rsidTr="00D10819">
        <w:trPr>
          <w:trHeight w:val="444"/>
        </w:trPr>
        <w:tc>
          <w:tcPr>
            <w:tcW w:w="2839" w:type="dxa"/>
          </w:tcPr>
          <w:p w14:paraId="125EB3C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Social </w:t>
            </w:r>
            <w:r>
              <w:rPr>
                <w:lang w:val="en-IN" w:eastAsia="en-IN"/>
              </w:rPr>
              <w:t xml:space="preserve">&amp; </w:t>
            </w:r>
            <w:r w:rsidRPr="004E1316">
              <w:rPr>
                <w:lang w:val="en-IN" w:eastAsia="en-IN"/>
              </w:rPr>
              <w:t>Relationship Capital</w:t>
            </w:r>
          </w:p>
        </w:tc>
        <w:tc>
          <w:tcPr>
            <w:tcW w:w="753" w:type="dxa"/>
          </w:tcPr>
          <w:p w14:paraId="562370F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28B1C33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4.49</w:t>
            </w:r>
          </w:p>
        </w:tc>
        <w:tc>
          <w:tcPr>
            <w:tcW w:w="683" w:type="dxa"/>
          </w:tcPr>
          <w:p w14:paraId="469B0F1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5.16</w:t>
            </w:r>
          </w:p>
        </w:tc>
        <w:tc>
          <w:tcPr>
            <w:tcW w:w="683" w:type="dxa"/>
          </w:tcPr>
          <w:p w14:paraId="459FA83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5.32</w:t>
            </w:r>
          </w:p>
        </w:tc>
        <w:tc>
          <w:tcPr>
            <w:tcW w:w="683" w:type="dxa"/>
          </w:tcPr>
          <w:p w14:paraId="190560A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5.65</w:t>
            </w:r>
          </w:p>
        </w:tc>
        <w:tc>
          <w:tcPr>
            <w:tcW w:w="683" w:type="dxa"/>
          </w:tcPr>
          <w:p w14:paraId="7E58FD1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1.07</w:t>
            </w:r>
          </w:p>
        </w:tc>
        <w:tc>
          <w:tcPr>
            <w:tcW w:w="683" w:type="dxa"/>
          </w:tcPr>
          <w:p w14:paraId="36F25E2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0.65</w:t>
            </w:r>
          </w:p>
        </w:tc>
        <w:tc>
          <w:tcPr>
            <w:tcW w:w="683" w:type="dxa"/>
          </w:tcPr>
          <w:p w14:paraId="0B13EA4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0.47</w:t>
            </w:r>
          </w:p>
        </w:tc>
        <w:tc>
          <w:tcPr>
            <w:tcW w:w="683" w:type="dxa"/>
          </w:tcPr>
          <w:p w14:paraId="160E3D1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0.48</w:t>
            </w:r>
          </w:p>
        </w:tc>
        <w:tc>
          <w:tcPr>
            <w:tcW w:w="957" w:type="dxa"/>
          </w:tcPr>
          <w:p w14:paraId="3B49884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0.68</w:t>
            </w:r>
            <w:r>
              <w:rPr>
                <w:lang w:val="en-IN" w:eastAsia="en-IN"/>
              </w:rPr>
              <w:t>***</w:t>
            </w:r>
          </w:p>
        </w:tc>
        <w:tc>
          <w:tcPr>
            <w:tcW w:w="1093" w:type="dxa"/>
          </w:tcPr>
          <w:p w14:paraId="0EFDA9C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0.32</w:t>
            </w:r>
            <w:r>
              <w:rPr>
                <w:lang w:val="en-IN" w:eastAsia="en-IN"/>
              </w:rPr>
              <w:t>***</w:t>
            </w:r>
          </w:p>
        </w:tc>
        <w:tc>
          <w:tcPr>
            <w:tcW w:w="820" w:type="dxa"/>
          </w:tcPr>
          <w:p w14:paraId="346690D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-4.83</w:t>
            </w:r>
          </w:p>
        </w:tc>
        <w:tc>
          <w:tcPr>
            <w:tcW w:w="820" w:type="dxa"/>
          </w:tcPr>
          <w:p w14:paraId="5DCFF46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-4.16</w:t>
            </w:r>
          </w:p>
        </w:tc>
        <w:tc>
          <w:tcPr>
            <w:tcW w:w="817" w:type="dxa"/>
          </w:tcPr>
          <w:p w14:paraId="0DE0F5C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0A40C62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423E2BA0" w14:textId="77777777" w:rsidTr="00D10819">
        <w:trPr>
          <w:trHeight w:val="428"/>
        </w:trPr>
        <w:tc>
          <w:tcPr>
            <w:tcW w:w="2839" w:type="dxa"/>
          </w:tcPr>
          <w:p w14:paraId="2C9859A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Organizational overview </w:t>
            </w:r>
            <w:r>
              <w:rPr>
                <w:lang w:val="en-IN" w:eastAsia="en-IN"/>
              </w:rPr>
              <w:t xml:space="preserve">&amp; </w:t>
            </w:r>
            <w:r w:rsidRPr="004E1316">
              <w:rPr>
                <w:lang w:val="en-IN" w:eastAsia="en-IN"/>
              </w:rPr>
              <w:t>external environment</w:t>
            </w:r>
          </w:p>
        </w:tc>
        <w:tc>
          <w:tcPr>
            <w:tcW w:w="753" w:type="dxa"/>
          </w:tcPr>
          <w:p w14:paraId="6BB44C4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7EDF669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5.19</w:t>
            </w:r>
          </w:p>
        </w:tc>
        <w:tc>
          <w:tcPr>
            <w:tcW w:w="683" w:type="dxa"/>
          </w:tcPr>
          <w:p w14:paraId="5B6F48D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5.57</w:t>
            </w:r>
          </w:p>
        </w:tc>
        <w:tc>
          <w:tcPr>
            <w:tcW w:w="683" w:type="dxa"/>
          </w:tcPr>
          <w:p w14:paraId="574AD49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5.65</w:t>
            </w:r>
          </w:p>
        </w:tc>
        <w:tc>
          <w:tcPr>
            <w:tcW w:w="683" w:type="dxa"/>
          </w:tcPr>
          <w:p w14:paraId="6CCABFA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5.84</w:t>
            </w:r>
          </w:p>
        </w:tc>
        <w:tc>
          <w:tcPr>
            <w:tcW w:w="683" w:type="dxa"/>
          </w:tcPr>
          <w:p w14:paraId="3927743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0.78</w:t>
            </w:r>
          </w:p>
        </w:tc>
        <w:tc>
          <w:tcPr>
            <w:tcW w:w="683" w:type="dxa"/>
          </w:tcPr>
          <w:p w14:paraId="39A20FE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0.55</w:t>
            </w:r>
          </w:p>
        </w:tc>
        <w:tc>
          <w:tcPr>
            <w:tcW w:w="683" w:type="dxa"/>
          </w:tcPr>
          <w:p w14:paraId="194944C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0.48</w:t>
            </w:r>
          </w:p>
        </w:tc>
        <w:tc>
          <w:tcPr>
            <w:tcW w:w="683" w:type="dxa"/>
          </w:tcPr>
          <w:p w14:paraId="2ADF2AD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0.37</w:t>
            </w:r>
          </w:p>
        </w:tc>
        <w:tc>
          <w:tcPr>
            <w:tcW w:w="957" w:type="dxa"/>
          </w:tcPr>
          <w:p w14:paraId="4E7ADFE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0.38</w:t>
            </w:r>
            <w:r>
              <w:rPr>
                <w:lang w:val="en-IN" w:eastAsia="en-IN"/>
              </w:rPr>
              <w:t>***</w:t>
            </w:r>
          </w:p>
        </w:tc>
        <w:tc>
          <w:tcPr>
            <w:tcW w:w="1093" w:type="dxa"/>
          </w:tcPr>
          <w:p w14:paraId="5AEBA4E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0.19</w:t>
            </w:r>
            <w:r>
              <w:rPr>
                <w:lang w:val="en-IN" w:eastAsia="en-IN"/>
              </w:rPr>
              <w:t>**</w:t>
            </w:r>
          </w:p>
        </w:tc>
        <w:tc>
          <w:tcPr>
            <w:tcW w:w="820" w:type="dxa"/>
          </w:tcPr>
          <w:p w14:paraId="1D22673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-3.87</w:t>
            </w:r>
          </w:p>
        </w:tc>
        <w:tc>
          <w:tcPr>
            <w:tcW w:w="820" w:type="dxa"/>
          </w:tcPr>
          <w:p w14:paraId="4BDFA53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-2.90</w:t>
            </w:r>
          </w:p>
        </w:tc>
        <w:tc>
          <w:tcPr>
            <w:tcW w:w="817" w:type="dxa"/>
          </w:tcPr>
          <w:p w14:paraId="5DD30EB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04E78DF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0.01</w:t>
            </w:r>
          </w:p>
        </w:tc>
      </w:tr>
      <w:tr w:rsidR="00097F22" w14:paraId="4E04A255" w14:textId="77777777" w:rsidTr="00D10819">
        <w:trPr>
          <w:trHeight w:val="428"/>
        </w:trPr>
        <w:tc>
          <w:tcPr>
            <w:tcW w:w="2839" w:type="dxa"/>
          </w:tcPr>
          <w:p w14:paraId="661C6C5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Governance</w:t>
            </w:r>
          </w:p>
        </w:tc>
        <w:tc>
          <w:tcPr>
            <w:tcW w:w="753" w:type="dxa"/>
          </w:tcPr>
          <w:p w14:paraId="6B764AC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341FC56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5.16</w:t>
            </w:r>
          </w:p>
        </w:tc>
        <w:tc>
          <w:tcPr>
            <w:tcW w:w="683" w:type="dxa"/>
          </w:tcPr>
          <w:p w14:paraId="41E5E0A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5.51</w:t>
            </w:r>
          </w:p>
        </w:tc>
        <w:tc>
          <w:tcPr>
            <w:tcW w:w="683" w:type="dxa"/>
          </w:tcPr>
          <w:p w14:paraId="2AE862C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5.59</w:t>
            </w:r>
          </w:p>
        </w:tc>
        <w:tc>
          <w:tcPr>
            <w:tcW w:w="683" w:type="dxa"/>
          </w:tcPr>
          <w:p w14:paraId="302131C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5.86</w:t>
            </w:r>
          </w:p>
        </w:tc>
        <w:tc>
          <w:tcPr>
            <w:tcW w:w="683" w:type="dxa"/>
          </w:tcPr>
          <w:p w14:paraId="048034F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0.83</w:t>
            </w:r>
          </w:p>
        </w:tc>
        <w:tc>
          <w:tcPr>
            <w:tcW w:w="683" w:type="dxa"/>
          </w:tcPr>
          <w:p w14:paraId="457D3AC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0.56</w:t>
            </w:r>
          </w:p>
        </w:tc>
        <w:tc>
          <w:tcPr>
            <w:tcW w:w="683" w:type="dxa"/>
          </w:tcPr>
          <w:p w14:paraId="7045BE7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0.50</w:t>
            </w:r>
          </w:p>
        </w:tc>
        <w:tc>
          <w:tcPr>
            <w:tcW w:w="683" w:type="dxa"/>
          </w:tcPr>
          <w:p w14:paraId="3EA8959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0.35</w:t>
            </w:r>
          </w:p>
        </w:tc>
        <w:tc>
          <w:tcPr>
            <w:tcW w:w="957" w:type="dxa"/>
          </w:tcPr>
          <w:p w14:paraId="647FFB9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0.35</w:t>
            </w:r>
            <w:r>
              <w:rPr>
                <w:lang w:val="en-IN" w:eastAsia="en-IN"/>
              </w:rPr>
              <w:t>***</w:t>
            </w:r>
          </w:p>
        </w:tc>
        <w:tc>
          <w:tcPr>
            <w:tcW w:w="1093" w:type="dxa"/>
          </w:tcPr>
          <w:p w14:paraId="1CE427C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0.27</w:t>
            </w:r>
            <w:r>
              <w:rPr>
                <w:lang w:val="en-IN" w:eastAsia="en-IN"/>
              </w:rPr>
              <w:t>***</w:t>
            </w:r>
          </w:p>
        </w:tc>
        <w:tc>
          <w:tcPr>
            <w:tcW w:w="820" w:type="dxa"/>
          </w:tcPr>
          <w:p w14:paraId="77D7A9A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-3.64</w:t>
            </w:r>
          </w:p>
        </w:tc>
        <w:tc>
          <w:tcPr>
            <w:tcW w:w="820" w:type="dxa"/>
          </w:tcPr>
          <w:p w14:paraId="2795599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-3.65</w:t>
            </w:r>
          </w:p>
        </w:tc>
        <w:tc>
          <w:tcPr>
            <w:tcW w:w="817" w:type="dxa"/>
          </w:tcPr>
          <w:p w14:paraId="279BE15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2220590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5D38495C" w14:textId="77777777" w:rsidTr="00D10819">
        <w:trPr>
          <w:trHeight w:val="428"/>
        </w:trPr>
        <w:tc>
          <w:tcPr>
            <w:tcW w:w="2839" w:type="dxa"/>
          </w:tcPr>
          <w:p w14:paraId="22D47E9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Business Model</w:t>
            </w:r>
          </w:p>
        </w:tc>
        <w:tc>
          <w:tcPr>
            <w:tcW w:w="753" w:type="dxa"/>
          </w:tcPr>
          <w:p w14:paraId="4D08DC9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68036B1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3.62</w:t>
            </w:r>
          </w:p>
        </w:tc>
        <w:tc>
          <w:tcPr>
            <w:tcW w:w="683" w:type="dxa"/>
          </w:tcPr>
          <w:p w14:paraId="663124B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5.24</w:t>
            </w:r>
          </w:p>
        </w:tc>
        <w:tc>
          <w:tcPr>
            <w:tcW w:w="683" w:type="dxa"/>
          </w:tcPr>
          <w:p w14:paraId="065A002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5.51</w:t>
            </w:r>
          </w:p>
        </w:tc>
        <w:tc>
          <w:tcPr>
            <w:tcW w:w="683" w:type="dxa"/>
          </w:tcPr>
          <w:p w14:paraId="45C5C90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5.73</w:t>
            </w:r>
          </w:p>
        </w:tc>
        <w:tc>
          <w:tcPr>
            <w:tcW w:w="683" w:type="dxa"/>
          </w:tcPr>
          <w:p w14:paraId="4FBE66C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2.65</w:t>
            </w:r>
          </w:p>
        </w:tc>
        <w:tc>
          <w:tcPr>
            <w:tcW w:w="683" w:type="dxa"/>
          </w:tcPr>
          <w:p w14:paraId="567A2B4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1.16</w:t>
            </w:r>
          </w:p>
        </w:tc>
        <w:tc>
          <w:tcPr>
            <w:tcW w:w="683" w:type="dxa"/>
          </w:tcPr>
          <w:p w14:paraId="27DAF8B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0.73</w:t>
            </w:r>
          </w:p>
        </w:tc>
        <w:tc>
          <w:tcPr>
            <w:tcW w:w="683" w:type="dxa"/>
          </w:tcPr>
          <w:p w14:paraId="1685627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0.61</w:t>
            </w:r>
          </w:p>
        </w:tc>
        <w:tc>
          <w:tcPr>
            <w:tcW w:w="957" w:type="dxa"/>
          </w:tcPr>
          <w:p w14:paraId="161F807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1.62</w:t>
            </w:r>
            <w:r>
              <w:rPr>
                <w:lang w:val="en-IN" w:eastAsia="en-IN"/>
              </w:rPr>
              <w:t>***</w:t>
            </w:r>
          </w:p>
        </w:tc>
        <w:tc>
          <w:tcPr>
            <w:tcW w:w="1093" w:type="dxa"/>
          </w:tcPr>
          <w:p w14:paraId="518F49A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0.22</w:t>
            </w:r>
            <w:r>
              <w:rPr>
                <w:lang w:val="en-IN" w:eastAsia="en-IN"/>
              </w:rPr>
              <w:t>***</w:t>
            </w:r>
          </w:p>
        </w:tc>
        <w:tc>
          <w:tcPr>
            <w:tcW w:w="820" w:type="dxa"/>
          </w:tcPr>
          <w:p w14:paraId="0108E33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-4.38</w:t>
            </w:r>
          </w:p>
        </w:tc>
        <w:tc>
          <w:tcPr>
            <w:tcW w:w="820" w:type="dxa"/>
          </w:tcPr>
          <w:p w14:paraId="4D013EC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-3.15</w:t>
            </w:r>
          </w:p>
        </w:tc>
        <w:tc>
          <w:tcPr>
            <w:tcW w:w="817" w:type="dxa"/>
          </w:tcPr>
          <w:p w14:paraId="43D2EA1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0D6B01F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5D0C263B" w14:textId="77777777" w:rsidTr="00D10819">
        <w:trPr>
          <w:trHeight w:val="444"/>
        </w:trPr>
        <w:tc>
          <w:tcPr>
            <w:tcW w:w="2839" w:type="dxa"/>
          </w:tcPr>
          <w:p w14:paraId="5363315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Risk and opportunities</w:t>
            </w:r>
          </w:p>
        </w:tc>
        <w:tc>
          <w:tcPr>
            <w:tcW w:w="753" w:type="dxa"/>
          </w:tcPr>
          <w:p w14:paraId="1F68345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7BADAD3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5.05</w:t>
            </w:r>
          </w:p>
        </w:tc>
        <w:tc>
          <w:tcPr>
            <w:tcW w:w="683" w:type="dxa"/>
          </w:tcPr>
          <w:p w14:paraId="50DC457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5.46</w:t>
            </w:r>
          </w:p>
        </w:tc>
        <w:tc>
          <w:tcPr>
            <w:tcW w:w="683" w:type="dxa"/>
          </w:tcPr>
          <w:p w14:paraId="2D60EE1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5.59</w:t>
            </w:r>
          </w:p>
        </w:tc>
        <w:tc>
          <w:tcPr>
            <w:tcW w:w="683" w:type="dxa"/>
          </w:tcPr>
          <w:p w14:paraId="7A9BEE9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5.84</w:t>
            </w:r>
          </w:p>
        </w:tc>
        <w:tc>
          <w:tcPr>
            <w:tcW w:w="683" w:type="dxa"/>
          </w:tcPr>
          <w:p w14:paraId="4B1CA35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0.85</w:t>
            </w:r>
          </w:p>
        </w:tc>
        <w:tc>
          <w:tcPr>
            <w:tcW w:w="683" w:type="dxa"/>
          </w:tcPr>
          <w:p w14:paraId="24B433E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0.51</w:t>
            </w:r>
          </w:p>
        </w:tc>
        <w:tc>
          <w:tcPr>
            <w:tcW w:w="683" w:type="dxa"/>
          </w:tcPr>
          <w:p w14:paraId="3036F35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0.50</w:t>
            </w:r>
          </w:p>
        </w:tc>
        <w:tc>
          <w:tcPr>
            <w:tcW w:w="683" w:type="dxa"/>
          </w:tcPr>
          <w:p w14:paraId="472217B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0.37</w:t>
            </w:r>
          </w:p>
        </w:tc>
        <w:tc>
          <w:tcPr>
            <w:tcW w:w="957" w:type="dxa"/>
          </w:tcPr>
          <w:p w14:paraId="01F4896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0.41</w:t>
            </w:r>
            <w:r>
              <w:rPr>
                <w:lang w:val="en-IN" w:eastAsia="en-IN"/>
              </w:rPr>
              <w:t>***</w:t>
            </w:r>
          </w:p>
        </w:tc>
        <w:tc>
          <w:tcPr>
            <w:tcW w:w="1093" w:type="dxa"/>
          </w:tcPr>
          <w:p w14:paraId="1D48A1B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0.24</w:t>
            </w:r>
            <w:r>
              <w:rPr>
                <w:lang w:val="en-IN" w:eastAsia="en-IN"/>
              </w:rPr>
              <w:t>***</w:t>
            </w:r>
          </w:p>
        </w:tc>
        <w:tc>
          <w:tcPr>
            <w:tcW w:w="820" w:type="dxa"/>
          </w:tcPr>
          <w:p w14:paraId="0670CD24"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-4.48</w:t>
            </w:r>
          </w:p>
        </w:tc>
        <w:tc>
          <w:tcPr>
            <w:tcW w:w="820" w:type="dxa"/>
          </w:tcPr>
          <w:p w14:paraId="307A988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-2.99</w:t>
            </w:r>
          </w:p>
        </w:tc>
        <w:tc>
          <w:tcPr>
            <w:tcW w:w="817" w:type="dxa"/>
          </w:tcPr>
          <w:p w14:paraId="6A3A1A3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520D233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43A2EB7D" w14:textId="77777777" w:rsidTr="00D10819">
        <w:trPr>
          <w:trHeight w:val="428"/>
        </w:trPr>
        <w:tc>
          <w:tcPr>
            <w:tcW w:w="2839" w:type="dxa"/>
          </w:tcPr>
          <w:p w14:paraId="362382F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Strategy </w:t>
            </w:r>
            <w:r>
              <w:rPr>
                <w:lang w:val="en-IN" w:eastAsia="en-IN"/>
              </w:rPr>
              <w:t xml:space="preserve">&amp; </w:t>
            </w:r>
            <w:r w:rsidRPr="004E1316">
              <w:rPr>
                <w:lang w:val="en-IN" w:eastAsia="en-IN"/>
              </w:rPr>
              <w:t>resource allocation</w:t>
            </w:r>
          </w:p>
        </w:tc>
        <w:tc>
          <w:tcPr>
            <w:tcW w:w="753" w:type="dxa"/>
          </w:tcPr>
          <w:p w14:paraId="0B634BC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7B5E6D7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5.11</w:t>
            </w:r>
          </w:p>
        </w:tc>
        <w:tc>
          <w:tcPr>
            <w:tcW w:w="683" w:type="dxa"/>
          </w:tcPr>
          <w:p w14:paraId="709AC1E6"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5.46</w:t>
            </w:r>
          </w:p>
        </w:tc>
        <w:tc>
          <w:tcPr>
            <w:tcW w:w="683" w:type="dxa"/>
          </w:tcPr>
          <w:p w14:paraId="7C0D9A0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5.57</w:t>
            </w:r>
          </w:p>
        </w:tc>
        <w:tc>
          <w:tcPr>
            <w:tcW w:w="683" w:type="dxa"/>
          </w:tcPr>
          <w:p w14:paraId="30D9DF2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5.81</w:t>
            </w:r>
          </w:p>
        </w:tc>
        <w:tc>
          <w:tcPr>
            <w:tcW w:w="683" w:type="dxa"/>
          </w:tcPr>
          <w:p w14:paraId="3153677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0.81</w:t>
            </w:r>
          </w:p>
        </w:tc>
        <w:tc>
          <w:tcPr>
            <w:tcW w:w="683" w:type="dxa"/>
          </w:tcPr>
          <w:p w14:paraId="67B5EB5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0.56</w:t>
            </w:r>
          </w:p>
        </w:tc>
        <w:tc>
          <w:tcPr>
            <w:tcW w:w="683" w:type="dxa"/>
          </w:tcPr>
          <w:p w14:paraId="49126D0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0.50</w:t>
            </w:r>
          </w:p>
        </w:tc>
        <w:tc>
          <w:tcPr>
            <w:tcW w:w="683" w:type="dxa"/>
          </w:tcPr>
          <w:p w14:paraId="62EC97A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0.40</w:t>
            </w:r>
          </w:p>
        </w:tc>
        <w:tc>
          <w:tcPr>
            <w:tcW w:w="957" w:type="dxa"/>
          </w:tcPr>
          <w:p w14:paraId="2981D44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0.35</w:t>
            </w:r>
            <w:r>
              <w:rPr>
                <w:lang w:val="en-IN" w:eastAsia="en-IN"/>
              </w:rPr>
              <w:t>***</w:t>
            </w:r>
          </w:p>
        </w:tc>
        <w:tc>
          <w:tcPr>
            <w:tcW w:w="1093" w:type="dxa"/>
          </w:tcPr>
          <w:p w14:paraId="74B98AF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0.24</w:t>
            </w:r>
            <w:r>
              <w:rPr>
                <w:lang w:val="en-IN" w:eastAsia="en-IN"/>
              </w:rPr>
              <w:t>***</w:t>
            </w:r>
          </w:p>
        </w:tc>
        <w:tc>
          <w:tcPr>
            <w:tcW w:w="820" w:type="dxa"/>
          </w:tcPr>
          <w:p w14:paraId="0D16455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-4.42</w:t>
            </w:r>
          </w:p>
        </w:tc>
        <w:tc>
          <w:tcPr>
            <w:tcW w:w="820" w:type="dxa"/>
          </w:tcPr>
          <w:p w14:paraId="2A6FA37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-3.40</w:t>
            </w:r>
          </w:p>
        </w:tc>
        <w:tc>
          <w:tcPr>
            <w:tcW w:w="817" w:type="dxa"/>
          </w:tcPr>
          <w:p w14:paraId="17DF5CF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6EFEE4F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73E5A286" w14:textId="77777777" w:rsidTr="00D10819">
        <w:trPr>
          <w:trHeight w:val="428"/>
        </w:trPr>
        <w:tc>
          <w:tcPr>
            <w:tcW w:w="2839" w:type="dxa"/>
          </w:tcPr>
          <w:p w14:paraId="5C30FBB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Performance</w:t>
            </w:r>
          </w:p>
        </w:tc>
        <w:tc>
          <w:tcPr>
            <w:tcW w:w="753" w:type="dxa"/>
          </w:tcPr>
          <w:p w14:paraId="5E367FF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6BD8F03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5.11</w:t>
            </w:r>
          </w:p>
        </w:tc>
        <w:tc>
          <w:tcPr>
            <w:tcW w:w="683" w:type="dxa"/>
          </w:tcPr>
          <w:p w14:paraId="7C83552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5.46</w:t>
            </w:r>
          </w:p>
        </w:tc>
        <w:tc>
          <w:tcPr>
            <w:tcW w:w="683" w:type="dxa"/>
          </w:tcPr>
          <w:p w14:paraId="556597D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5.54</w:t>
            </w:r>
          </w:p>
        </w:tc>
        <w:tc>
          <w:tcPr>
            <w:tcW w:w="683" w:type="dxa"/>
          </w:tcPr>
          <w:p w14:paraId="357F36F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5.78</w:t>
            </w:r>
          </w:p>
        </w:tc>
        <w:tc>
          <w:tcPr>
            <w:tcW w:w="683" w:type="dxa"/>
          </w:tcPr>
          <w:p w14:paraId="6C6CD1C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0.77</w:t>
            </w:r>
          </w:p>
        </w:tc>
        <w:tc>
          <w:tcPr>
            <w:tcW w:w="683" w:type="dxa"/>
          </w:tcPr>
          <w:p w14:paraId="25B9ECD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0.56</w:t>
            </w:r>
          </w:p>
        </w:tc>
        <w:tc>
          <w:tcPr>
            <w:tcW w:w="683" w:type="dxa"/>
          </w:tcPr>
          <w:p w14:paraId="68C074B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0.51</w:t>
            </w:r>
          </w:p>
        </w:tc>
        <w:tc>
          <w:tcPr>
            <w:tcW w:w="683" w:type="dxa"/>
          </w:tcPr>
          <w:p w14:paraId="3A4B2EB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0.42</w:t>
            </w:r>
          </w:p>
        </w:tc>
        <w:tc>
          <w:tcPr>
            <w:tcW w:w="957" w:type="dxa"/>
          </w:tcPr>
          <w:p w14:paraId="714BAA7F"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0.35</w:t>
            </w:r>
            <w:r>
              <w:rPr>
                <w:lang w:val="en-IN" w:eastAsia="en-IN"/>
              </w:rPr>
              <w:t>***</w:t>
            </w:r>
          </w:p>
        </w:tc>
        <w:tc>
          <w:tcPr>
            <w:tcW w:w="1093" w:type="dxa"/>
          </w:tcPr>
          <w:p w14:paraId="7ED8B4A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0.24</w:t>
            </w:r>
            <w:r>
              <w:rPr>
                <w:lang w:val="en-IN" w:eastAsia="en-IN"/>
              </w:rPr>
              <w:t>***</w:t>
            </w:r>
          </w:p>
        </w:tc>
        <w:tc>
          <w:tcPr>
            <w:tcW w:w="820" w:type="dxa"/>
          </w:tcPr>
          <w:p w14:paraId="5A9882CD"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-3.97</w:t>
            </w:r>
          </w:p>
        </w:tc>
        <w:tc>
          <w:tcPr>
            <w:tcW w:w="820" w:type="dxa"/>
          </w:tcPr>
          <w:p w14:paraId="27DEDB9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-3.40</w:t>
            </w:r>
          </w:p>
        </w:tc>
        <w:tc>
          <w:tcPr>
            <w:tcW w:w="817" w:type="dxa"/>
          </w:tcPr>
          <w:p w14:paraId="2B9B505A" w14:textId="77777777" w:rsidR="00097F22" w:rsidRPr="00CD1EBD" w:rsidRDefault="00097F22" w:rsidP="00032547">
            <w:pPr>
              <w:spacing w:after="0" w:line="360" w:lineRule="auto"/>
              <w:jc w:val="both"/>
              <w:rPr>
                <w:rFonts w:ascii="Times New Roman" w:hAnsi="Times New Roman" w:cs="Times New Roman"/>
                <w:bCs/>
                <w:sz w:val="24"/>
                <w:szCs w:val="24"/>
                <w:lang w:val="en-IN"/>
              </w:rPr>
            </w:pPr>
            <w:r w:rsidRPr="00CD1EBD">
              <w:rPr>
                <w:rFonts w:ascii="Times New Roman" w:hAnsi="Times New Roman" w:cs="Times New Roman"/>
                <w:bCs/>
                <w:sz w:val="24"/>
                <w:szCs w:val="24"/>
                <w:lang w:val="en-IN"/>
              </w:rPr>
              <w:t>0.00</w:t>
            </w:r>
          </w:p>
        </w:tc>
        <w:tc>
          <w:tcPr>
            <w:tcW w:w="787" w:type="dxa"/>
          </w:tcPr>
          <w:p w14:paraId="0066696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6AEBCB99" w14:textId="77777777" w:rsidTr="00D10819">
        <w:trPr>
          <w:trHeight w:val="428"/>
        </w:trPr>
        <w:tc>
          <w:tcPr>
            <w:tcW w:w="2839" w:type="dxa"/>
          </w:tcPr>
          <w:p w14:paraId="4B98EB4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Outlook</w:t>
            </w:r>
          </w:p>
        </w:tc>
        <w:tc>
          <w:tcPr>
            <w:tcW w:w="753" w:type="dxa"/>
          </w:tcPr>
          <w:p w14:paraId="44873A7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12D9E29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5.00</w:t>
            </w:r>
          </w:p>
        </w:tc>
        <w:tc>
          <w:tcPr>
            <w:tcW w:w="683" w:type="dxa"/>
          </w:tcPr>
          <w:p w14:paraId="4BD7412E"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5.24</w:t>
            </w:r>
          </w:p>
        </w:tc>
        <w:tc>
          <w:tcPr>
            <w:tcW w:w="683" w:type="dxa"/>
          </w:tcPr>
          <w:p w14:paraId="1BEC58A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5.43</w:t>
            </w:r>
          </w:p>
        </w:tc>
        <w:tc>
          <w:tcPr>
            <w:tcW w:w="683" w:type="dxa"/>
          </w:tcPr>
          <w:p w14:paraId="5510E6F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5.73</w:t>
            </w:r>
          </w:p>
        </w:tc>
        <w:tc>
          <w:tcPr>
            <w:tcW w:w="683" w:type="dxa"/>
          </w:tcPr>
          <w:p w14:paraId="047865D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0.85</w:t>
            </w:r>
          </w:p>
        </w:tc>
        <w:tc>
          <w:tcPr>
            <w:tcW w:w="683" w:type="dxa"/>
          </w:tcPr>
          <w:p w14:paraId="19E7F573"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0.72</w:t>
            </w:r>
          </w:p>
        </w:tc>
        <w:tc>
          <w:tcPr>
            <w:tcW w:w="683" w:type="dxa"/>
          </w:tcPr>
          <w:p w14:paraId="72BFF86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0.55</w:t>
            </w:r>
          </w:p>
        </w:tc>
        <w:tc>
          <w:tcPr>
            <w:tcW w:w="683" w:type="dxa"/>
          </w:tcPr>
          <w:p w14:paraId="49AA113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0.51</w:t>
            </w:r>
          </w:p>
        </w:tc>
        <w:tc>
          <w:tcPr>
            <w:tcW w:w="957" w:type="dxa"/>
          </w:tcPr>
          <w:p w14:paraId="1C62431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0.24</w:t>
            </w:r>
            <w:r>
              <w:rPr>
                <w:lang w:val="en-IN" w:eastAsia="en-IN"/>
              </w:rPr>
              <w:t>***</w:t>
            </w:r>
          </w:p>
        </w:tc>
        <w:tc>
          <w:tcPr>
            <w:tcW w:w="1093" w:type="dxa"/>
          </w:tcPr>
          <w:p w14:paraId="00B3BAD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0.30</w:t>
            </w:r>
            <w:r>
              <w:rPr>
                <w:lang w:val="en-IN" w:eastAsia="en-IN"/>
              </w:rPr>
              <w:t>***</w:t>
            </w:r>
          </w:p>
        </w:tc>
        <w:tc>
          <w:tcPr>
            <w:tcW w:w="820" w:type="dxa"/>
          </w:tcPr>
          <w:p w14:paraId="0A13B7E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-3.40</w:t>
            </w:r>
          </w:p>
        </w:tc>
        <w:tc>
          <w:tcPr>
            <w:tcW w:w="820" w:type="dxa"/>
          </w:tcPr>
          <w:p w14:paraId="3181EA3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-3.90</w:t>
            </w:r>
          </w:p>
        </w:tc>
        <w:tc>
          <w:tcPr>
            <w:tcW w:w="817" w:type="dxa"/>
          </w:tcPr>
          <w:p w14:paraId="6002024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481F116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08EB384B" w14:textId="77777777" w:rsidTr="00D10819">
        <w:trPr>
          <w:trHeight w:val="444"/>
        </w:trPr>
        <w:tc>
          <w:tcPr>
            <w:tcW w:w="2839" w:type="dxa"/>
          </w:tcPr>
          <w:p w14:paraId="72EEA058" w14:textId="77777777" w:rsidR="00097F22" w:rsidRDefault="00097F22" w:rsidP="00032547">
            <w:pPr>
              <w:spacing w:after="0" w:line="360" w:lineRule="auto"/>
              <w:jc w:val="both"/>
              <w:rPr>
                <w:rFonts w:ascii="Times New Roman" w:hAnsi="Times New Roman" w:cs="Times New Roman"/>
                <w:b/>
                <w:sz w:val="24"/>
                <w:szCs w:val="24"/>
                <w:lang w:val="en-IN"/>
              </w:rPr>
            </w:pPr>
            <w:r>
              <w:rPr>
                <w:lang w:val="en-IN" w:eastAsia="en-IN"/>
              </w:rPr>
              <w:lastRenderedPageBreak/>
              <w:t>P</w:t>
            </w:r>
            <w:r w:rsidRPr="004E1316">
              <w:rPr>
                <w:lang w:val="en-IN" w:eastAsia="en-IN"/>
              </w:rPr>
              <w:t xml:space="preserve">reparation </w:t>
            </w:r>
            <w:r>
              <w:rPr>
                <w:lang w:val="en-IN" w:eastAsia="en-IN"/>
              </w:rPr>
              <w:t>&amp;</w:t>
            </w:r>
            <w:r w:rsidRPr="004E1316">
              <w:rPr>
                <w:lang w:val="en-IN" w:eastAsia="en-IN"/>
              </w:rPr>
              <w:t xml:space="preserve"> </w:t>
            </w:r>
            <w:r>
              <w:rPr>
                <w:lang w:val="en-IN" w:eastAsia="en-IN"/>
              </w:rPr>
              <w:t>P</w:t>
            </w:r>
            <w:r w:rsidRPr="004E1316">
              <w:rPr>
                <w:lang w:val="en-IN" w:eastAsia="en-IN"/>
              </w:rPr>
              <w:t>resentation</w:t>
            </w:r>
          </w:p>
        </w:tc>
        <w:tc>
          <w:tcPr>
            <w:tcW w:w="753" w:type="dxa"/>
          </w:tcPr>
          <w:p w14:paraId="478A423C"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 xml:space="preserve">1 </w:t>
            </w:r>
            <w:r>
              <w:rPr>
                <w:lang w:val="en-IN" w:eastAsia="en-IN"/>
              </w:rPr>
              <w:t>-</w:t>
            </w:r>
            <w:r w:rsidRPr="004E1316">
              <w:rPr>
                <w:lang w:val="en-IN" w:eastAsia="en-IN"/>
              </w:rPr>
              <w:t xml:space="preserve"> 6</w:t>
            </w:r>
          </w:p>
        </w:tc>
        <w:tc>
          <w:tcPr>
            <w:tcW w:w="683" w:type="dxa"/>
          </w:tcPr>
          <w:p w14:paraId="1E1BD1CA"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5.08</w:t>
            </w:r>
          </w:p>
        </w:tc>
        <w:tc>
          <w:tcPr>
            <w:tcW w:w="683" w:type="dxa"/>
          </w:tcPr>
          <w:p w14:paraId="2C4BEBA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5.38</w:t>
            </w:r>
          </w:p>
        </w:tc>
        <w:tc>
          <w:tcPr>
            <w:tcW w:w="683" w:type="dxa"/>
          </w:tcPr>
          <w:p w14:paraId="779B50A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5.49</w:t>
            </w:r>
          </w:p>
        </w:tc>
        <w:tc>
          <w:tcPr>
            <w:tcW w:w="683" w:type="dxa"/>
          </w:tcPr>
          <w:p w14:paraId="1C714C3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5.81</w:t>
            </w:r>
          </w:p>
        </w:tc>
        <w:tc>
          <w:tcPr>
            <w:tcW w:w="683" w:type="dxa"/>
          </w:tcPr>
          <w:p w14:paraId="4184B8A9"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0.80</w:t>
            </w:r>
          </w:p>
        </w:tc>
        <w:tc>
          <w:tcPr>
            <w:tcW w:w="683" w:type="dxa"/>
          </w:tcPr>
          <w:p w14:paraId="1BAD027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0.59</w:t>
            </w:r>
          </w:p>
        </w:tc>
        <w:tc>
          <w:tcPr>
            <w:tcW w:w="683" w:type="dxa"/>
          </w:tcPr>
          <w:p w14:paraId="5744454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0.51</w:t>
            </w:r>
          </w:p>
        </w:tc>
        <w:tc>
          <w:tcPr>
            <w:tcW w:w="683" w:type="dxa"/>
          </w:tcPr>
          <w:p w14:paraId="7121A707"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0.40</w:t>
            </w:r>
          </w:p>
        </w:tc>
        <w:tc>
          <w:tcPr>
            <w:tcW w:w="957" w:type="dxa"/>
          </w:tcPr>
          <w:p w14:paraId="33119E45"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0.30</w:t>
            </w:r>
            <w:r>
              <w:rPr>
                <w:lang w:val="en-IN" w:eastAsia="en-IN"/>
              </w:rPr>
              <w:t>***</w:t>
            </w:r>
          </w:p>
        </w:tc>
        <w:tc>
          <w:tcPr>
            <w:tcW w:w="1093" w:type="dxa"/>
          </w:tcPr>
          <w:p w14:paraId="45F1981B"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0.32</w:t>
            </w:r>
            <w:r>
              <w:rPr>
                <w:lang w:val="en-IN" w:eastAsia="en-IN"/>
              </w:rPr>
              <w:t>***</w:t>
            </w:r>
          </w:p>
        </w:tc>
        <w:tc>
          <w:tcPr>
            <w:tcW w:w="820" w:type="dxa"/>
          </w:tcPr>
          <w:p w14:paraId="606511E2"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-3.90</w:t>
            </w:r>
          </w:p>
        </w:tc>
        <w:tc>
          <w:tcPr>
            <w:tcW w:w="820" w:type="dxa"/>
          </w:tcPr>
          <w:p w14:paraId="206BEF48"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-4.16</w:t>
            </w:r>
          </w:p>
        </w:tc>
        <w:tc>
          <w:tcPr>
            <w:tcW w:w="817" w:type="dxa"/>
          </w:tcPr>
          <w:p w14:paraId="67C77160"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c>
          <w:tcPr>
            <w:tcW w:w="787" w:type="dxa"/>
          </w:tcPr>
          <w:p w14:paraId="69555001" w14:textId="77777777" w:rsidR="00097F22" w:rsidRDefault="00097F22" w:rsidP="00032547">
            <w:pPr>
              <w:spacing w:after="0" w:line="360" w:lineRule="auto"/>
              <w:jc w:val="both"/>
              <w:rPr>
                <w:rFonts w:ascii="Times New Roman" w:hAnsi="Times New Roman" w:cs="Times New Roman"/>
                <w:b/>
                <w:sz w:val="24"/>
                <w:szCs w:val="24"/>
                <w:lang w:val="en-IN"/>
              </w:rPr>
            </w:pPr>
            <w:r w:rsidRPr="004E1316">
              <w:rPr>
                <w:lang w:val="en-IN" w:eastAsia="en-IN"/>
              </w:rPr>
              <w:t>0.00</w:t>
            </w:r>
          </w:p>
        </w:tc>
      </w:tr>
      <w:tr w:rsidR="00097F22" w14:paraId="3C897DD7" w14:textId="77777777" w:rsidTr="00D10819">
        <w:trPr>
          <w:trHeight w:val="428"/>
        </w:trPr>
        <w:tc>
          <w:tcPr>
            <w:tcW w:w="2839" w:type="dxa"/>
          </w:tcPr>
          <w:p w14:paraId="2C1C01A1"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Six Capital Index (SCI)</w:t>
            </w:r>
          </w:p>
        </w:tc>
        <w:tc>
          <w:tcPr>
            <w:tcW w:w="753" w:type="dxa"/>
          </w:tcPr>
          <w:p w14:paraId="49775873"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1 -36</w:t>
            </w:r>
          </w:p>
        </w:tc>
        <w:tc>
          <w:tcPr>
            <w:tcW w:w="683" w:type="dxa"/>
            <w:vAlign w:val="bottom"/>
          </w:tcPr>
          <w:p w14:paraId="02892140"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75.8</w:t>
            </w:r>
          </w:p>
        </w:tc>
        <w:tc>
          <w:tcPr>
            <w:tcW w:w="683" w:type="dxa"/>
            <w:vAlign w:val="bottom"/>
          </w:tcPr>
          <w:p w14:paraId="61CD562F"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86.0</w:t>
            </w:r>
          </w:p>
        </w:tc>
        <w:tc>
          <w:tcPr>
            <w:tcW w:w="683" w:type="dxa"/>
            <w:vAlign w:val="bottom"/>
          </w:tcPr>
          <w:p w14:paraId="1D704349"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89.1</w:t>
            </w:r>
          </w:p>
        </w:tc>
        <w:tc>
          <w:tcPr>
            <w:tcW w:w="683" w:type="dxa"/>
            <w:vAlign w:val="bottom"/>
          </w:tcPr>
          <w:p w14:paraId="76D21BD0"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94.4</w:t>
            </w:r>
          </w:p>
        </w:tc>
        <w:tc>
          <w:tcPr>
            <w:tcW w:w="683" w:type="dxa"/>
            <w:vAlign w:val="bottom"/>
          </w:tcPr>
          <w:p w14:paraId="7581E1A9"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17.8</w:t>
            </w:r>
          </w:p>
        </w:tc>
        <w:tc>
          <w:tcPr>
            <w:tcW w:w="683" w:type="dxa"/>
            <w:vAlign w:val="bottom"/>
          </w:tcPr>
          <w:p w14:paraId="12BB0E34"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10.0</w:t>
            </w:r>
          </w:p>
        </w:tc>
        <w:tc>
          <w:tcPr>
            <w:tcW w:w="683" w:type="dxa"/>
            <w:vAlign w:val="bottom"/>
          </w:tcPr>
          <w:p w14:paraId="2D1C9378"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7.9</w:t>
            </w:r>
          </w:p>
        </w:tc>
        <w:tc>
          <w:tcPr>
            <w:tcW w:w="683" w:type="dxa"/>
            <w:vAlign w:val="bottom"/>
          </w:tcPr>
          <w:p w14:paraId="3C522D5F"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8.0</w:t>
            </w:r>
          </w:p>
        </w:tc>
        <w:tc>
          <w:tcPr>
            <w:tcW w:w="957" w:type="dxa"/>
          </w:tcPr>
          <w:p w14:paraId="37A379FE"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11.1***</w:t>
            </w:r>
          </w:p>
        </w:tc>
        <w:tc>
          <w:tcPr>
            <w:tcW w:w="1093" w:type="dxa"/>
          </w:tcPr>
          <w:p w14:paraId="158BCF01"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5.26***</w:t>
            </w:r>
          </w:p>
        </w:tc>
        <w:tc>
          <w:tcPr>
            <w:tcW w:w="820" w:type="dxa"/>
          </w:tcPr>
          <w:p w14:paraId="2F912903"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-4.84</w:t>
            </w:r>
          </w:p>
        </w:tc>
        <w:tc>
          <w:tcPr>
            <w:tcW w:w="820" w:type="dxa"/>
          </w:tcPr>
          <w:p w14:paraId="6EDF3526"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-4.32</w:t>
            </w:r>
          </w:p>
        </w:tc>
        <w:tc>
          <w:tcPr>
            <w:tcW w:w="817" w:type="dxa"/>
          </w:tcPr>
          <w:p w14:paraId="0406E393"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0.00</w:t>
            </w:r>
          </w:p>
        </w:tc>
        <w:tc>
          <w:tcPr>
            <w:tcW w:w="787" w:type="dxa"/>
          </w:tcPr>
          <w:p w14:paraId="1755401E"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0.00</w:t>
            </w:r>
          </w:p>
        </w:tc>
      </w:tr>
      <w:tr w:rsidR="00097F22" w14:paraId="1D66E150" w14:textId="77777777" w:rsidTr="00D10819">
        <w:trPr>
          <w:trHeight w:val="428"/>
        </w:trPr>
        <w:tc>
          <w:tcPr>
            <w:tcW w:w="2839" w:type="dxa"/>
          </w:tcPr>
          <w:p w14:paraId="01AD6AC4" w14:textId="5F83D86F"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 xml:space="preserve"> CEI</w:t>
            </w:r>
          </w:p>
        </w:tc>
        <w:tc>
          <w:tcPr>
            <w:tcW w:w="753" w:type="dxa"/>
          </w:tcPr>
          <w:p w14:paraId="74E58384"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1 -48</w:t>
            </w:r>
          </w:p>
        </w:tc>
        <w:tc>
          <w:tcPr>
            <w:tcW w:w="683" w:type="dxa"/>
            <w:vAlign w:val="bottom"/>
          </w:tcPr>
          <w:p w14:paraId="23F36681"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81.9</w:t>
            </w:r>
          </w:p>
        </w:tc>
        <w:tc>
          <w:tcPr>
            <w:tcW w:w="683" w:type="dxa"/>
            <w:vAlign w:val="bottom"/>
          </w:tcPr>
          <w:p w14:paraId="4BB01D88"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90.3</w:t>
            </w:r>
          </w:p>
        </w:tc>
        <w:tc>
          <w:tcPr>
            <w:tcW w:w="683" w:type="dxa"/>
            <w:vAlign w:val="bottom"/>
          </w:tcPr>
          <w:p w14:paraId="3E69CCDD"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92.5</w:t>
            </w:r>
          </w:p>
        </w:tc>
        <w:tc>
          <w:tcPr>
            <w:tcW w:w="683" w:type="dxa"/>
            <w:vAlign w:val="bottom"/>
          </w:tcPr>
          <w:p w14:paraId="7BE507AF"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96.7</w:t>
            </w:r>
          </w:p>
        </w:tc>
        <w:tc>
          <w:tcPr>
            <w:tcW w:w="683" w:type="dxa"/>
            <w:vAlign w:val="bottom"/>
          </w:tcPr>
          <w:p w14:paraId="1C64B6C4"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16.1</w:t>
            </w:r>
          </w:p>
        </w:tc>
        <w:tc>
          <w:tcPr>
            <w:tcW w:w="683" w:type="dxa"/>
            <w:vAlign w:val="bottom"/>
          </w:tcPr>
          <w:p w14:paraId="5EC45026"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9.1</w:t>
            </w:r>
          </w:p>
        </w:tc>
        <w:tc>
          <w:tcPr>
            <w:tcW w:w="683" w:type="dxa"/>
            <w:vAlign w:val="bottom"/>
          </w:tcPr>
          <w:p w14:paraId="2C439E91"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7.4</w:t>
            </w:r>
          </w:p>
        </w:tc>
        <w:tc>
          <w:tcPr>
            <w:tcW w:w="683" w:type="dxa"/>
            <w:vAlign w:val="bottom"/>
          </w:tcPr>
          <w:p w14:paraId="3926F592"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rFonts w:ascii="Calibri" w:hAnsi="Calibri" w:cs="Calibri"/>
                <w:b/>
                <w:bCs/>
                <w:color w:val="000000"/>
              </w:rPr>
              <w:t>5.9</w:t>
            </w:r>
          </w:p>
        </w:tc>
        <w:tc>
          <w:tcPr>
            <w:tcW w:w="957" w:type="dxa"/>
          </w:tcPr>
          <w:p w14:paraId="26A7B42A"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8.3***</w:t>
            </w:r>
          </w:p>
        </w:tc>
        <w:tc>
          <w:tcPr>
            <w:tcW w:w="1093" w:type="dxa"/>
          </w:tcPr>
          <w:p w14:paraId="0AB765BC"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4.22***</w:t>
            </w:r>
          </w:p>
        </w:tc>
        <w:tc>
          <w:tcPr>
            <w:tcW w:w="820" w:type="dxa"/>
          </w:tcPr>
          <w:p w14:paraId="38C692CC"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-4.86</w:t>
            </w:r>
          </w:p>
        </w:tc>
        <w:tc>
          <w:tcPr>
            <w:tcW w:w="820" w:type="dxa"/>
          </w:tcPr>
          <w:p w14:paraId="34FA6A1C"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-4.53</w:t>
            </w:r>
          </w:p>
        </w:tc>
        <w:tc>
          <w:tcPr>
            <w:tcW w:w="817" w:type="dxa"/>
          </w:tcPr>
          <w:p w14:paraId="05C59163"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0.00</w:t>
            </w:r>
          </w:p>
        </w:tc>
        <w:tc>
          <w:tcPr>
            <w:tcW w:w="787" w:type="dxa"/>
          </w:tcPr>
          <w:p w14:paraId="076734F2" w14:textId="77777777" w:rsidR="00097F22" w:rsidRPr="00C739DC" w:rsidRDefault="00097F22" w:rsidP="00032547">
            <w:pPr>
              <w:spacing w:after="0" w:line="360" w:lineRule="auto"/>
              <w:jc w:val="both"/>
              <w:rPr>
                <w:rFonts w:ascii="Times New Roman" w:hAnsi="Times New Roman" w:cs="Times New Roman"/>
                <w:b/>
                <w:bCs/>
                <w:sz w:val="24"/>
                <w:szCs w:val="24"/>
                <w:lang w:val="en-IN"/>
              </w:rPr>
            </w:pPr>
            <w:r w:rsidRPr="00C739DC">
              <w:rPr>
                <w:b/>
                <w:bCs/>
                <w:lang w:val="en-IN" w:eastAsia="en-IN"/>
              </w:rPr>
              <w:t>0.00</w:t>
            </w:r>
          </w:p>
        </w:tc>
      </w:tr>
    </w:tbl>
    <w:p w14:paraId="04800390" w14:textId="523F0027" w:rsidR="00097F22" w:rsidRPr="00D10819" w:rsidRDefault="00D10819" w:rsidP="00D10819">
      <w:pPr>
        <w:jc w:val="both"/>
        <w:rPr>
          <w:rFonts w:ascii="Times New Roman" w:hAnsi="Times New Roman" w:cs="Times New Roman"/>
          <w:sz w:val="24"/>
          <w:szCs w:val="24"/>
        </w:rPr>
      </w:pPr>
      <w:r>
        <w:rPr>
          <w:rFonts w:ascii="Times New Roman" w:hAnsi="Times New Roman" w:cs="Times New Roman"/>
          <w:b/>
          <w:sz w:val="24"/>
          <w:szCs w:val="24"/>
          <w:lang w:val="en-IN"/>
        </w:rPr>
        <w:t xml:space="preserve">Source: </w:t>
      </w:r>
      <w:r w:rsidRPr="00C4607B">
        <w:rPr>
          <w:rFonts w:ascii="Times New Roman" w:hAnsi="Times New Roman" w:cs="Times New Roman"/>
          <w:sz w:val="24"/>
          <w:szCs w:val="24"/>
        </w:rPr>
        <w:t>Authors own computatio</w:t>
      </w:r>
      <w:r>
        <w:rPr>
          <w:rFonts w:ascii="Times New Roman" w:hAnsi="Times New Roman" w:cs="Times New Roman"/>
          <w:sz w:val="24"/>
          <w:szCs w:val="24"/>
        </w:rPr>
        <w:t xml:space="preserve">n. </w:t>
      </w:r>
      <w:r w:rsidR="00097F22" w:rsidRPr="00AF65FF">
        <w:rPr>
          <w:rFonts w:ascii="Times New Roman" w:hAnsi="Times New Roman" w:cs="Times New Roman"/>
          <w:b/>
          <w:sz w:val="24"/>
          <w:szCs w:val="24"/>
          <w:lang w:val="en-IN"/>
        </w:rPr>
        <w:t>P value of paired sample t-test, two-tailed \ ‘*’, ‘**’, ‘***’, denotes significance at 0.1, 0.05, and .001 level</w:t>
      </w:r>
      <w:r w:rsidR="005E73CD">
        <w:rPr>
          <w:rFonts w:ascii="Times New Roman" w:hAnsi="Times New Roman" w:cs="Times New Roman"/>
          <w:b/>
          <w:sz w:val="24"/>
          <w:szCs w:val="24"/>
          <w:lang w:val="en-IN"/>
        </w:rPr>
        <w:t xml:space="preserve">. </w:t>
      </w:r>
    </w:p>
    <w:p w14:paraId="3F42438E" w14:textId="150B810A" w:rsidR="00097F22" w:rsidRPr="00D10819" w:rsidRDefault="00835674" w:rsidP="00097F22">
      <w:pPr>
        <w:spacing w:after="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above table four examines the comparative trend analysis of two tailed test. It was reported that the various capitals, content elements of IR framework </w:t>
      </w:r>
      <w:r w:rsidR="00063F5D">
        <w:rPr>
          <w:rFonts w:ascii="Times New Roman" w:hAnsi="Times New Roman" w:cs="Times New Roman"/>
          <w:bCs/>
          <w:sz w:val="24"/>
          <w:szCs w:val="24"/>
          <w:lang w:val="en-IN"/>
        </w:rPr>
        <w:t>seem</w:t>
      </w:r>
      <w:r>
        <w:rPr>
          <w:rFonts w:ascii="Times New Roman" w:hAnsi="Times New Roman" w:cs="Times New Roman"/>
          <w:bCs/>
          <w:sz w:val="24"/>
          <w:szCs w:val="24"/>
          <w:lang w:val="en-IN"/>
        </w:rPr>
        <w:t xml:space="preserve"> to be significant at two proposed </w:t>
      </w:r>
      <w:r w:rsidR="00063F5D">
        <w:rPr>
          <w:rFonts w:ascii="Times New Roman" w:hAnsi="Times New Roman" w:cs="Times New Roman"/>
          <w:bCs/>
          <w:sz w:val="24"/>
          <w:szCs w:val="24"/>
          <w:lang w:val="en-IN"/>
        </w:rPr>
        <w:t xml:space="preserve">time periods. The </w:t>
      </w:r>
      <w:r w:rsidR="00097F22" w:rsidRPr="00E6391A">
        <w:rPr>
          <w:rFonts w:ascii="Times New Roman" w:hAnsi="Times New Roman" w:cs="Times New Roman"/>
          <w:bCs/>
          <w:sz w:val="24"/>
          <w:szCs w:val="24"/>
          <w:lang w:val="en-IN"/>
        </w:rPr>
        <w:t>P value is significant at various mean differences for all six capitals, content elements, six capital index</w:t>
      </w:r>
      <w:r w:rsidR="00D10819">
        <w:rPr>
          <w:rFonts w:ascii="Times New Roman" w:hAnsi="Times New Roman" w:cs="Times New Roman"/>
          <w:bCs/>
          <w:sz w:val="24"/>
          <w:szCs w:val="24"/>
          <w:lang w:val="en-IN"/>
        </w:rPr>
        <w:t xml:space="preserve"> and </w:t>
      </w:r>
      <w:r w:rsidR="00097F22" w:rsidRPr="00E6391A">
        <w:rPr>
          <w:rFonts w:ascii="Times New Roman" w:hAnsi="Times New Roman" w:cs="Times New Roman"/>
          <w:bCs/>
          <w:sz w:val="24"/>
          <w:szCs w:val="24"/>
          <w:lang w:val="en-IN"/>
        </w:rPr>
        <w:t>content elements index</w:t>
      </w:r>
      <w:r w:rsidR="00D10819">
        <w:rPr>
          <w:rFonts w:ascii="Times New Roman" w:hAnsi="Times New Roman" w:cs="Times New Roman"/>
          <w:bCs/>
          <w:sz w:val="24"/>
          <w:szCs w:val="24"/>
          <w:lang w:val="en-IN"/>
        </w:rPr>
        <w:t xml:space="preserve"> </w:t>
      </w:r>
      <w:r w:rsidR="00097F22" w:rsidRPr="00E6391A">
        <w:rPr>
          <w:rFonts w:ascii="Times New Roman" w:hAnsi="Times New Roman" w:cs="Times New Roman"/>
          <w:bCs/>
          <w:sz w:val="24"/>
          <w:szCs w:val="24"/>
          <w:lang w:val="en-IN"/>
        </w:rPr>
        <w:t xml:space="preserve">for the first period i.e., 2018 &amp; 2019. </w:t>
      </w:r>
      <w:r w:rsidR="00D10819">
        <w:rPr>
          <w:rFonts w:ascii="Times New Roman" w:hAnsi="Times New Roman" w:cs="Times New Roman"/>
          <w:bCs/>
          <w:sz w:val="24"/>
          <w:szCs w:val="24"/>
          <w:lang w:val="en-IN"/>
        </w:rPr>
        <w:t xml:space="preserve">Similarly, </w:t>
      </w:r>
      <w:r w:rsidR="00097F22" w:rsidRPr="00E6391A">
        <w:rPr>
          <w:rFonts w:ascii="Times New Roman" w:hAnsi="Times New Roman" w:cs="Times New Roman"/>
          <w:bCs/>
          <w:sz w:val="24"/>
          <w:szCs w:val="24"/>
          <w:lang w:val="en-IN"/>
        </w:rPr>
        <w:t>P value is significant at various mean differences for all six capitals, content elements,</w:t>
      </w:r>
      <w:r w:rsidR="00D10819">
        <w:rPr>
          <w:rFonts w:ascii="Times New Roman" w:hAnsi="Times New Roman" w:cs="Times New Roman"/>
          <w:bCs/>
          <w:sz w:val="24"/>
          <w:szCs w:val="24"/>
          <w:lang w:val="en-IN"/>
        </w:rPr>
        <w:t xml:space="preserve"> </w:t>
      </w:r>
      <w:r w:rsidR="00097F22" w:rsidRPr="00E6391A">
        <w:rPr>
          <w:rFonts w:ascii="Times New Roman" w:hAnsi="Times New Roman" w:cs="Times New Roman"/>
          <w:bCs/>
          <w:sz w:val="24"/>
          <w:szCs w:val="24"/>
          <w:lang w:val="en-IN"/>
        </w:rPr>
        <w:t>six capital index, content elements index, for the first period i.e., 20</w:t>
      </w:r>
      <w:r w:rsidR="00097F22">
        <w:rPr>
          <w:rFonts w:ascii="Times New Roman" w:hAnsi="Times New Roman" w:cs="Times New Roman"/>
          <w:bCs/>
          <w:sz w:val="24"/>
          <w:szCs w:val="24"/>
          <w:lang w:val="en-IN"/>
        </w:rPr>
        <w:t>20</w:t>
      </w:r>
      <w:r w:rsidR="00097F22" w:rsidRPr="00E6391A">
        <w:rPr>
          <w:rFonts w:ascii="Times New Roman" w:hAnsi="Times New Roman" w:cs="Times New Roman"/>
          <w:bCs/>
          <w:sz w:val="24"/>
          <w:szCs w:val="24"/>
          <w:lang w:val="en-IN"/>
        </w:rPr>
        <w:t xml:space="preserve"> &amp; 20</w:t>
      </w:r>
      <w:r w:rsidR="00097F22">
        <w:rPr>
          <w:rFonts w:ascii="Times New Roman" w:hAnsi="Times New Roman" w:cs="Times New Roman"/>
          <w:bCs/>
          <w:sz w:val="24"/>
          <w:szCs w:val="24"/>
          <w:lang w:val="en-IN"/>
        </w:rPr>
        <w:t>21</w:t>
      </w:r>
      <w:r w:rsidR="00097F22" w:rsidRPr="00E6391A">
        <w:rPr>
          <w:rFonts w:ascii="Times New Roman" w:hAnsi="Times New Roman" w:cs="Times New Roman"/>
          <w:bCs/>
          <w:sz w:val="24"/>
          <w:szCs w:val="24"/>
          <w:lang w:val="en-IN"/>
        </w:rPr>
        <w:t xml:space="preserve">. </w:t>
      </w:r>
      <w:r w:rsidR="00063F5D">
        <w:rPr>
          <w:rFonts w:ascii="Times New Roman" w:hAnsi="Times New Roman" w:cs="Times New Roman"/>
          <w:bCs/>
          <w:sz w:val="24"/>
          <w:szCs w:val="24"/>
          <w:lang w:val="en-IN"/>
        </w:rPr>
        <w:t xml:space="preserve"> </w:t>
      </w:r>
      <w:r w:rsidR="00097F22">
        <w:rPr>
          <w:rFonts w:ascii="Times New Roman" w:hAnsi="Times New Roman" w:cs="Times New Roman"/>
          <w:bCs/>
          <w:sz w:val="24"/>
          <w:szCs w:val="24"/>
          <w:lang w:val="en-IN"/>
        </w:rPr>
        <w:t>A comparative analysis for the two mention periods i.e., i. 2018 &amp; 2019 and ii. 2020 &amp; 2021</w:t>
      </w:r>
      <w:r w:rsidR="00063F5D">
        <w:rPr>
          <w:rFonts w:ascii="Times New Roman" w:hAnsi="Times New Roman" w:cs="Times New Roman"/>
          <w:bCs/>
          <w:sz w:val="24"/>
          <w:szCs w:val="24"/>
          <w:lang w:val="en-IN"/>
        </w:rPr>
        <w:t xml:space="preserve"> c</w:t>
      </w:r>
      <w:r w:rsidR="00097F22">
        <w:rPr>
          <w:rFonts w:ascii="Times New Roman" w:hAnsi="Times New Roman" w:cs="Times New Roman"/>
          <w:bCs/>
          <w:sz w:val="24"/>
          <w:szCs w:val="24"/>
          <w:lang w:val="en-IN"/>
        </w:rPr>
        <w:t xml:space="preserve">learly discloses the average score </w:t>
      </w:r>
      <w:r w:rsidR="00063F5D">
        <w:rPr>
          <w:rFonts w:ascii="Times New Roman" w:hAnsi="Times New Roman" w:cs="Times New Roman"/>
          <w:bCs/>
          <w:sz w:val="24"/>
          <w:szCs w:val="24"/>
          <w:lang w:val="en-IN"/>
        </w:rPr>
        <w:t xml:space="preserve">of capitals content elements are </w:t>
      </w:r>
      <w:r w:rsidR="00097F22">
        <w:rPr>
          <w:rFonts w:ascii="Times New Roman" w:hAnsi="Times New Roman" w:cs="Times New Roman"/>
          <w:bCs/>
          <w:sz w:val="24"/>
          <w:szCs w:val="24"/>
          <w:lang w:val="en-IN"/>
        </w:rPr>
        <w:t>keep increasing</w:t>
      </w:r>
      <w:r w:rsidR="00063F5D">
        <w:rPr>
          <w:rFonts w:ascii="Times New Roman" w:hAnsi="Times New Roman" w:cs="Times New Roman"/>
          <w:bCs/>
          <w:sz w:val="24"/>
          <w:szCs w:val="24"/>
          <w:lang w:val="en-IN"/>
        </w:rPr>
        <w:t xml:space="preserve"> constantly</w:t>
      </w:r>
      <w:r w:rsidR="00097F22">
        <w:rPr>
          <w:rFonts w:ascii="Times New Roman" w:hAnsi="Times New Roman" w:cs="Times New Roman"/>
          <w:bCs/>
          <w:sz w:val="24"/>
          <w:szCs w:val="24"/>
          <w:lang w:val="en-IN"/>
        </w:rPr>
        <w:t xml:space="preserve">. </w:t>
      </w:r>
      <w:r w:rsidR="00063F5D">
        <w:rPr>
          <w:rFonts w:ascii="Times New Roman" w:hAnsi="Times New Roman" w:cs="Times New Roman"/>
          <w:bCs/>
          <w:sz w:val="24"/>
          <w:szCs w:val="24"/>
          <w:lang w:val="en-IN"/>
        </w:rPr>
        <w:t xml:space="preserve">The trend indicates a good sign for all listed companies in disclosing all IR framework related information i.e., disclosing both financial and non-financial information are constantly increasing reporting in the annual reports. </w:t>
      </w:r>
      <w:r w:rsidR="00097F22" w:rsidRPr="00D10819">
        <w:rPr>
          <w:rFonts w:ascii="Times New Roman" w:hAnsi="Times New Roman" w:cs="Times New Roman"/>
          <w:bCs/>
          <w:sz w:val="24"/>
          <w:szCs w:val="24"/>
          <w:lang w:val="en-IN"/>
        </w:rPr>
        <w:t xml:space="preserve">The above table clearly discloses the paired two tailed test for comparative analysis. </w:t>
      </w:r>
    </w:p>
    <w:p w14:paraId="1B2BBC2B" w14:textId="77777777" w:rsidR="00097F22" w:rsidRDefault="00097F22" w:rsidP="00097F22">
      <w:pPr>
        <w:spacing w:after="0" w:line="360" w:lineRule="auto"/>
        <w:jc w:val="both"/>
        <w:rPr>
          <w:rFonts w:ascii="Times New Roman" w:hAnsi="Times New Roman" w:cs="Times New Roman"/>
          <w:b/>
          <w:sz w:val="24"/>
          <w:szCs w:val="24"/>
          <w:lang w:val="en-IN"/>
        </w:rPr>
      </w:pPr>
    </w:p>
    <w:p w14:paraId="227E7ADB" w14:textId="77777777" w:rsidR="00097F22" w:rsidRDefault="00097F22" w:rsidP="0023643A">
      <w:pPr>
        <w:spacing w:after="0" w:line="360" w:lineRule="auto"/>
        <w:jc w:val="both"/>
        <w:rPr>
          <w:rFonts w:ascii="Times New Roman" w:hAnsi="Times New Roman" w:cs="Times New Roman"/>
          <w:b/>
          <w:sz w:val="24"/>
          <w:szCs w:val="24"/>
          <w:lang w:val="en-IN"/>
        </w:rPr>
      </w:pPr>
    </w:p>
    <w:p w14:paraId="38871C80" w14:textId="77777777" w:rsidR="00097F22" w:rsidRDefault="00097F22" w:rsidP="0023643A">
      <w:pPr>
        <w:spacing w:after="0" w:line="360" w:lineRule="auto"/>
        <w:jc w:val="both"/>
        <w:rPr>
          <w:rFonts w:ascii="Times New Roman" w:hAnsi="Times New Roman" w:cs="Times New Roman"/>
          <w:b/>
          <w:sz w:val="24"/>
          <w:szCs w:val="24"/>
          <w:lang w:val="en-IN"/>
        </w:rPr>
      </w:pPr>
    </w:p>
    <w:p w14:paraId="3D855594" w14:textId="77777777" w:rsidR="00097F22" w:rsidRDefault="00097F22" w:rsidP="0023643A">
      <w:pPr>
        <w:spacing w:after="0" w:line="360" w:lineRule="auto"/>
        <w:jc w:val="both"/>
        <w:rPr>
          <w:rFonts w:ascii="Times New Roman" w:hAnsi="Times New Roman" w:cs="Times New Roman"/>
          <w:b/>
          <w:sz w:val="24"/>
          <w:szCs w:val="24"/>
          <w:lang w:val="en-IN"/>
        </w:rPr>
      </w:pPr>
    </w:p>
    <w:p w14:paraId="51F3B882" w14:textId="77777777" w:rsidR="00097F22" w:rsidRDefault="00097F22" w:rsidP="0023643A">
      <w:pPr>
        <w:spacing w:after="0" w:line="360" w:lineRule="auto"/>
        <w:jc w:val="both"/>
        <w:rPr>
          <w:rFonts w:ascii="Times New Roman" w:hAnsi="Times New Roman" w:cs="Times New Roman"/>
          <w:b/>
          <w:sz w:val="24"/>
          <w:szCs w:val="24"/>
          <w:lang w:val="en-IN"/>
        </w:rPr>
      </w:pPr>
    </w:p>
    <w:p w14:paraId="502CE788" w14:textId="77777777" w:rsidR="00097F22" w:rsidRDefault="00097F22" w:rsidP="0023643A">
      <w:pPr>
        <w:spacing w:after="0" w:line="360" w:lineRule="auto"/>
        <w:jc w:val="both"/>
        <w:rPr>
          <w:rFonts w:ascii="Times New Roman" w:hAnsi="Times New Roman" w:cs="Times New Roman"/>
          <w:b/>
          <w:sz w:val="24"/>
          <w:szCs w:val="24"/>
          <w:lang w:val="en-IN"/>
        </w:rPr>
      </w:pPr>
    </w:p>
    <w:p w14:paraId="56D3FAC6" w14:textId="77777777" w:rsidR="00097F22" w:rsidRDefault="00097F22" w:rsidP="0023643A">
      <w:pPr>
        <w:spacing w:after="0" w:line="360" w:lineRule="auto"/>
        <w:jc w:val="both"/>
        <w:rPr>
          <w:rFonts w:ascii="Times New Roman" w:hAnsi="Times New Roman" w:cs="Times New Roman"/>
          <w:b/>
          <w:sz w:val="24"/>
          <w:szCs w:val="24"/>
          <w:lang w:val="en-IN"/>
        </w:rPr>
      </w:pPr>
    </w:p>
    <w:p w14:paraId="69BC1B47" w14:textId="77777777" w:rsidR="00097F22" w:rsidRDefault="00097F22" w:rsidP="0023643A">
      <w:pPr>
        <w:spacing w:after="0" w:line="360" w:lineRule="auto"/>
        <w:jc w:val="both"/>
        <w:rPr>
          <w:rFonts w:ascii="Times New Roman" w:hAnsi="Times New Roman" w:cs="Times New Roman"/>
          <w:b/>
          <w:sz w:val="24"/>
          <w:szCs w:val="24"/>
          <w:lang w:val="en-IN"/>
        </w:rPr>
        <w:sectPr w:rsidR="00097F22" w:rsidSect="00097F22">
          <w:pgSz w:w="16838" w:h="11906" w:orient="landscape"/>
          <w:pgMar w:top="1418" w:right="1440" w:bottom="1440" w:left="1440" w:header="992" w:footer="709" w:gutter="0"/>
          <w:cols w:space="708"/>
          <w:docGrid w:linePitch="360"/>
        </w:sectPr>
      </w:pPr>
    </w:p>
    <w:p w14:paraId="7B67F143" w14:textId="3D7420B1" w:rsidR="0023643A" w:rsidRPr="0023643A" w:rsidRDefault="0023643A" w:rsidP="0023643A">
      <w:pPr>
        <w:spacing w:after="0" w:line="360" w:lineRule="auto"/>
        <w:jc w:val="both"/>
        <w:rPr>
          <w:rFonts w:ascii="Times New Roman" w:hAnsi="Times New Roman" w:cs="Times New Roman"/>
          <w:b/>
          <w:sz w:val="24"/>
          <w:szCs w:val="24"/>
          <w:lang w:val="en-IN"/>
        </w:rPr>
      </w:pPr>
      <w:r w:rsidRPr="0023643A">
        <w:rPr>
          <w:rFonts w:ascii="Times New Roman" w:hAnsi="Times New Roman" w:cs="Times New Roman"/>
          <w:b/>
          <w:sz w:val="24"/>
          <w:szCs w:val="24"/>
          <w:lang w:val="en-IN"/>
        </w:rPr>
        <w:lastRenderedPageBreak/>
        <w:t>Conclusion:</w:t>
      </w:r>
    </w:p>
    <w:p w14:paraId="5D9F8363" w14:textId="7D0EA6C6" w:rsidR="0023643A" w:rsidRPr="00A84C18" w:rsidRDefault="0023643A" w:rsidP="0023643A">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rPr>
        <w:t>The present paper highlights IIRC proposed Six capitals, Seven Guiding Principles, Eight Content Elements, and a list of 3</w:t>
      </w:r>
      <w:r w:rsidR="00617DE6">
        <w:rPr>
          <w:rFonts w:ascii="Times New Roman" w:hAnsi="Times New Roman" w:cs="Times New Roman"/>
          <w:sz w:val="24"/>
          <w:szCs w:val="24"/>
        </w:rPr>
        <w:t>5</w:t>
      </w:r>
      <w:r w:rsidRPr="00A84C18">
        <w:rPr>
          <w:rFonts w:ascii="Times New Roman" w:hAnsi="Times New Roman" w:cs="Times New Roman"/>
          <w:sz w:val="24"/>
          <w:szCs w:val="24"/>
        </w:rPr>
        <w:t xml:space="preserve"> companies following IR practices in India along with their year of disclosure. </w:t>
      </w:r>
      <w:r w:rsidR="00C739DC" w:rsidRPr="00A84C18">
        <w:rPr>
          <w:rFonts w:ascii="Times New Roman" w:hAnsi="Times New Roman" w:cs="Times New Roman"/>
          <w:sz w:val="24"/>
          <w:szCs w:val="24"/>
          <w:lang w:val="en-IN"/>
        </w:rPr>
        <w:t>This</w:t>
      </w:r>
      <w:r w:rsidRPr="00A84C18">
        <w:rPr>
          <w:rFonts w:ascii="Times New Roman" w:hAnsi="Times New Roman" w:cs="Times New Roman"/>
          <w:sz w:val="24"/>
          <w:szCs w:val="24"/>
          <w:lang w:val="en-IN"/>
        </w:rPr>
        <w:t xml:space="preserve"> paper objective is to explain how </w:t>
      </w:r>
      <w:r w:rsidR="0073695E">
        <w:rPr>
          <w:rFonts w:ascii="Times New Roman" w:hAnsi="Times New Roman" w:cs="Times New Roman"/>
          <w:sz w:val="24"/>
          <w:szCs w:val="24"/>
          <w:lang w:val="en-IN"/>
        </w:rPr>
        <w:t xml:space="preserve">the various capital disclosure and content element disclosure helps to </w:t>
      </w:r>
      <w:r w:rsidRPr="00A84C18">
        <w:rPr>
          <w:rFonts w:ascii="Times New Roman" w:hAnsi="Times New Roman" w:cs="Times New Roman"/>
          <w:sz w:val="24"/>
          <w:szCs w:val="24"/>
          <w:lang w:val="en-IN"/>
        </w:rPr>
        <w:t>create value</w:t>
      </w:r>
      <w:r w:rsidR="0073695E">
        <w:rPr>
          <w:rFonts w:ascii="Times New Roman" w:hAnsi="Times New Roman" w:cs="Times New Roman"/>
          <w:sz w:val="24"/>
          <w:szCs w:val="24"/>
          <w:lang w:val="en-IN"/>
        </w:rPr>
        <w:t xml:space="preserve"> to the users. It was reported that before the introduction of IR framework by IIRC (IIRC, 2010) companies disclose only financial related documents to the interested parties but after the introduction of IR framework companies </w:t>
      </w:r>
      <w:r w:rsidR="0022562A">
        <w:rPr>
          <w:rFonts w:ascii="Times New Roman" w:hAnsi="Times New Roman" w:cs="Times New Roman"/>
          <w:sz w:val="24"/>
          <w:szCs w:val="24"/>
          <w:lang w:val="en-IN"/>
        </w:rPr>
        <w:t xml:space="preserve">tries to disclose both types of reports including financial and non-financial reports. Even, the multiple users are willing to know more information than the financial information. </w:t>
      </w:r>
      <w:r w:rsidRPr="00A84C18">
        <w:rPr>
          <w:rFonts w:ascii="Times New Roman" w:hAnsi="Times New Roman" w:cs="Times New Roman"/>
          <w:sz w:val="24"/>
          <w:szCs w:val="24"/>
          <w:lang w:val="en-IN"/>
        </w:rPr>
        <w:t xml:space="preserve">This paper just tries to present the outline and importance of IR as </w:t>
      </w:r>
      <w:proofErr w:type="gramStart"/>
      <w:r w:rsidRPr="00A84C18">
        <w:rPr>
          <w:rFonts w:ascii="Times New Roman" w:hAnsi="Times New Roman" w:cs="Times New Roman"/>
          <w:sz w:val="24"/>
          <w:szCs w:val="24"/>
          <w:lang w:val="en-IN"/>
        </w:rPr>
        <w:t>a</w:t>
      </w:r>
      <w:proofErr w:type="gramEnd"/>
      <w:r w:rsidRPr="00A84C18">
        <w:rPr>
          <w:rFonts w:ascii="Times New Roman" w:hAnsi="Times New Roman" w:cs="Times New Roman"/>
          <w:sz w:val="24"/>
          <w:szCs w:val="24"/>
          <w:lang w:val="en-IN"/>
        </w:rPr>
        <w:t xml:space="preserve"> emerging reporting council, which includes all reports as a single report so that stakeholders may understand better about non-financial information, which results in value creating for the business. This study</w:t>
      </w:r>
      <w:r w:rsidR="0022562A">
        <w:rPr>
          <w:rFonts w:ascii="Times New Roman" w:hAnsi="Times New Roman" w:cs="Times New Roman"/>
          <w:sz w:val="24"/>
          <w:szCs w:val="24"/>
          <w:lang w:val="en-IN"/>
        </w:rPr>
        <w:t xml:space="preserve"> has employed capital disclosure index, content elements index and a comparative two tailed test. </w:t>
      </w:r>
      <w:r w:rsidR="002913CD">
        <w:rPr>
          <w:rFonts w:ascii="Times New Roman" w:hAnsi="Times New Roman" w:cs="Times New Roman"/>
          <w:sz w:val="24"/>
          <w:szCs w:val="24"/>
          <w:lang w:val="en-IN"/>
        </w:rPr>
        <w:t xml:space="preserve">It was found that few companies in India started adopting IR since 2016 financial year ending and other companies’ adoption level difference. The disclosed integrated </w:t>
      </w:r>
      <w:r w:rsidRPr="00A84C18">
        <w:rPr>
          <w:rFonts w:ascii="Times New Roman" w:hAnsi="Times New Roman" w:cs="Times New Roman"/>
          <w:sz w:val="24"/>
          <w:szCs w:val="24"/>
          <w:lang w:val="en-IN"/>
        </w:rPr>
        <w:t>annual reports</w:t>
      </w:r>
      <w:r w:rsidR="002913CD">
        <w:rPr>
          <w:rFonts w:ascii="Times New Roman" w:hAnsi="Times New Roman" w:cs="Times New Roman"/>
          <w:sz w:val="24"/>
          <w:szCs w:val="24"/>
          <w:lang w:val="en-IN"/>
        </w:rPr>
        <w:t xml:space="preserve">/ annual reports </w:t>
      </w:r>
      <w:r w:rsidRPr="00A84C18">
        <w:rPr>
          <w:rFonts w:ascii="Times New Roman" w:hAnsi="Times New Roman" w:cs="Times New Roman"/>
          <w:sz w:val="24"/>
          <w:szCs w:val="24"/>
          <w:lang w:val="en-IN"/>
        </w:rPr>
        <w:t>mentioned IR guiding principles, Six capitals, Key performance Index along with their Business Models as per the requirements. Through this examine there is an increasing trend in IR practice in India. But many improvements need to be done in research by comparison, standard of reporting practice, its impact, etc.</w:t>
      </w:r>
      <w:r w:rsidR="002C56DF">
        <w:rPr>
          <w:rFonts w:ascii="Times New Roman" w:hAnsi="Times New Roman" w:cs="Times New Roman"/>
          <w:sz w:val="24"/>
          <w:szCs w:val="24"/>
          <w:lang w:val="en-IN"/>
        </w:rPr>
        <w:t xml:space="preserve"> The study has certain limitations regarding sample selection, sample period and use of empirical analysis. </w:t>
      </w:r>
      <w:r w:rsidR="00C42E9A">
        <w:rPr>
          <w:rFonts w:ascii="Times New Roman" w:hAnsi="Times New Roman" w:cs="Times New Roman"/>
          <w:sz w:val="24"/>
          <w:szCs w:val="24"/>
          <w:lang w:val="en-IN"/>
        </w:rPr>
        <w:t xml:space="preserve">The study has limited to disclosure level of capitals, content elements and a comparative study of two tailed test. </w:t>
      </w:r>
      <w:r w:rsidR="009E1EA7">
        <w:rPr>
          <w:rFonts w:ascii="Times New Roman" w:hAnsi="Times New Roman" w:cs="Times New Roman"/>
          <w:sz w:val="24"/>
          <w:szCs w:val="24"/>
          <w:lang w:val="en-IN"/>
        </w:rPr>
        <w:t xml:space="preserve">There is a huge scope for this area, future work can be carried out how capitals influence the performance of firm, value relevance of IR quality on firm performance etc., </w:t>
      </w:r>
    </w:p>
    <w:p w14:paraId="4B80441B" w14:textId="77777777" w:rsidR="0023643A" w:rsidRPr="00A84C18" w:rsidRDefault="0023643A" w:rsidP="0023643A">
      <w:pPr>
        <w:spacing w:after="0" w:line="360" w:lineRule="auto"/>
        <w:jc w:val="both"/>
        <w:rPr>
          <w:rFonts w:ascii="Times New Roman" w:hAnsi="Times New Roman" w:cs="Times New Roman"/>
          <w:b/>
          <w:sz w:val="24"/>
          <w:szCs w:val="24"/>
          <w:lang w:val="en-IN"/>
        </w:rPr>
      </w:pPr>
    </w:p>
    <w:p w14:paraId="2C8F042B" w14:textId="77777777" w:rsidR="00992B21" w:rsidRDefault="00992B21" w:rsidP="00316193">
      <w:pPr>
        <w:spacing w:after="0" w:line="360" w:lineRule="auto"/>
        <w:jc w:val="both"/>
        <w:rPr>
          <w:rFonts w:ascii="Times New Roman" w:hAnsi="Times New Roman" w:cs="Times New Roman"/>
          <w:b/>
          <w:sz w:val="24"/>
          <w:szCs w:val="24"/>
          <w:lang w:val="en-IN"/>
        </w:rPr>
      </w:pPr>
    </w:p>
    <w:p w14:paraId="5A533CA1" w14:textId="77777777" w:rsidR="00992B21" w:rsidRDefault="00992B21" w:rsidP="00316193">
      <w:pPr>
        <w:spacing w:after="0" w:line="360" w:lineRule="auto"/>
        <w:jc w:val="both"/>
        <w:rPr>
          <w:rFonts w:ascii="Times New Roman" w:hAnsi="Times New Roman" w:cs="Times New Roman"/>
          <w:b/>
          <w:sz w:val="24"/>
          <w:szCs w:val="24"/>
          <w:lang w:val="en-IN"/>
        </w:rPr>
      </w:pPr>
    </w:p>
    <w:p w14:paraId="164D6192" w14:textId="77777777" w:rsidR="00992B21" w:rsidRDefault="00992B21" w:rsidP="00316193">
      <w:pPr>
        <w:spacing w:after="0" w:line="360" w:lineRule="auto"/>
        <w:jc w:val="both"/>
        <w:rPr>
          <w:rFonts w:ascii="Times New Roman" w:hAnsi="Times New Roman" w:cs="Times New Roman"/>
          <w:b/>
          <w:sz w:val="24"/>
          <w:szCs w:val="24"/>
          <w:lang w:val="en-IN"/>
        </w:rPr>
      </w:pPr>
    </w:p>
    <w:p w14:paraId="1D902966" w14:textId="77777777" w:rsidR="00992B21" w:rsidRDefault="00992B21" w:rsidP="00316193">
      <w:pPr>
        <w:spacing w:after="0" w:line="360" w:lineRule="auto"/>
        <w:jc w:val="both"/>
        <w:rPr>
          <w:rFonts w:ascii="Times New Roman" w:hAnsi="Times New Roman" w:cs="Times New Roman"/>
          <w:b/>
          <w:sz w:val="24"/>
          <w:szCs w:val="24"/>
          <w:lang w:val="en-IN"/>
        </w:rPr>
      </w:pPr>
    </w:p>
    <w:p w14:paraId="487F89AF" w14:textId="77777777" w:rsidR="00992B21" w:rsidRDefault="00992B21" w:rsidP="00316193">
      <w:pPr>
        <w:spacing w:after="0" w:line="360" w:lineRule="auto"/>
        <w:jc w:val="both"/>
        <w:rPr>
          <w:rFonts w:ascii="Times New Roman" w:hAnsi="Times New Roman" w:cs="Times New Roman"/>
          <w:b/>
          <w:sz w:val="24"/>
          <w:szCs w:val="24"/>
          <w:lang w:val="en-IN"/>
        </w:rPr>
        <w:sectPr w:rsidR="00992B21" w:rsidSect="00097F22">
          <w:pgSz w:w="11906" w:h="16838"/>
          <w:pgMar w:top="1440" w:right="1440" w:bottom="1440" w:left="1418" w:header="992" w:footer="709" w:gutter="0"/>
          <w:cols w:space="708"/>
          <w:docGrid w:linePitch="360"/>
        </w:sectPr>
      </w:pPr>
    </w:p>
    <w:p w14:paraId="5B4A5BB5" w14:textId="77777777" w:rsidR="00F03122" w:rsidRPr="00A84C18" w:rsidRDefault="00F03122" w:rsidP="001724C4">
      <w:pPr>
        <w:spacing w:after="0" w:line="360" w:lineRule="auto"/>
        <w:jc w:val="both"/>
        <w:rPr>
          <w:rFonts w:ascii="Times New Roman" w:hAnsi="Times New Roman" w:cs="Times New Roman"/>
          <w:b/>
          <w:sz w:val="24"/>
          <w:szCs w:val="24"/>
          <w:lang w:val="en-IN"/>
        </w:rPr>
      </w:pPr>
    </w:p>
    <w:p w14:paraId="4EAD1362" w14:textId="77777777" w:rsidR="00F03122" w:rsidRPr="00A84C18" w:rsidRDefault="00F03122" w:rsidP="001724C4">
      <w:pPr>
        <w:spacing w:after="0" w:line="360" w:lineRule="auto"/>
        <w:jc w:val="both"/>
        <w:rPr>
          <w:rFonts w:ascii="Times New Roman" w:hAnsi="Times New Roman" w:cs="Times New Roman"/>
          <w:b/>
          <w:sz w:val="24"/>
          <w:szCs w:val="24"/>
          <w:lang w:val="en-IN"/>
        </w:rPr>
      </w:pPr>
    </w:p>
    <w:p w14:paraId="60CD6E44" w14:textId="77777777" w:rsidR="001724C4" w:rsidRPr="00A84C18" w:rsidRDefault="00B94733" w:rsidP="001724C4">
      <w:pPr>
        <w:spacing w:after="0" w:line="360" w:lineRule="auto"/>
        <w:jc w:val="both"/>
        <w:rPr>
          <w:rFonts w:ascii="Times New Roman" w:hAnsi="Times New Roman" w:cs="Times New Roman"/>
          <w:b/>
          <w:sz w:val="24"/>
          <w:szCs w:val="24"/>
          <w:lang w:val="en-IN"/>
        </w:rPr>
      </w:pPr>
      <w:r w:rsidRPr="00A84C18">
        <w:rPr>
          <w:rFonts w:ascii="Times New Roman" w:hAnsi="Times New Roman" w:cs="Times New Roman"/>
          <w:b/>
          <w:sz w:val="24"/>
          <w:szCs w:val="24"/>
          <w:lang w:val="en-IN"/>
        </w:rPr>
        <w:t>List of Abbreviation:</w:t>
      </w:r>
    </w:p>
    <w:p w14:paraId="440C1479"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BG: Business Governance</w:t>
      </w:r>
    </w:p>
    <w:p w14:paraId="1E7A43C5"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BRR: Business Responsibility Reporting </w:t>
      </w:r>
    </w:p>
    <w:p w14:paraId="53869FED"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CSR: Corporate Social Responsibility </w:t>
      </w:r>
    </w:p>
    <w:p w14:paraId="6EB22C40"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DSE: Driving Sustainable Economies </w:t>
      </w:r>
    </w:p>
    <w:p w14:paraId="44587555"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ESG: Environmental Social and Governance </w:t>
      </w:r>
    </w:p>
    <w:p w14:paraId="109A0EE1"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GRI: Global Reporting Initiative </w:t>
      </w:r>
    </w:p>
    <w:p w14:paraId="01398EC8"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IAASB: International Auditing and Assurance Standard Board </w:t>
      </w:r>
    </w:p>
    <w:p w14:paraId="1827353F"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IC: Intellectual Capital</w:t>
      </w:r>
    </w:p>
    <w:p w14:paraId="33327A45"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IIRC: International Integrated Reporting Council</w:t>
      </w:r>
    </w:p>
    <w:p w14:paraId="328979E1" w14:textId="77777777" w:rsidR="008465F4" w:rsidRPr="00A84C18"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IR: Integrated Reporting </w:t>
      </w:r>
    </w:p>
    <w:p w14:paraId="5F156F89" w14:textId="77777777" w:rsidR="008465F4" w:rsidRDefault="008465F4"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VDT: Voluntary Disclosure Theory </w:t>
      </w:r>
    </w:p>
    <w:p w14:paraId="5464C534" w14:textId="77777777" w:rsidR="00435BFB" w:rsidRDefault="00435BFB" w:rsidP="001724C4">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SEBI: Securities Exchange Board of India</w:t>
      </w:r>
    </w:p>
    <w:p w14:paraId="38EE49BC" w14:textId="77777777" w:rsidR="00435BFB" w:rsidRPr="00A84C18" w:rsidRDefault="00435BFB" w:rsidP="001724C4">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RBI: Reserve Bank of India</w:t>
      </w:r>
    </w:p>
    <w:p w14:paraId="288F9614" w14:textId="77777777" w:rsidR="00B94733" w:rsidRPr="00A84C18" w:rsidRDefault="00B94733" w:rsidP="001724C4">
      <w:pPr>
        <w:spacing w:after="0" w:line="360" w:lineRule="auto"/>
        <w:jc w:val="both"/>
        <w:rPr>
          <w:rFonts w:ascii="Times New Roman" w:hAnsi="Times New Roman" w:cs="Times New Roman"/>
          <w:sz w:val="24"/>
          <w:szCs w:val="24"/>
          <w:lang w:val="en-IN"/>
        </w:rPr>
      </w:pPr>
    </w:p>
    <w:p w14:paraId="277D3C82" w14:textId="77777777" w:rsidR="00B94733" w:rsidRPr="00A84C18" w:rsidRDefault="00B94733" w:rsidP="001724C4">
      <w:pPr>
        <w:spacing w:after="0" w:line="360" w:lineRule="auto"/>
        <w:jc w:val="both"/>
        <w:rPr>
          <w:rFonts w:ascii="Times New Roman" w:hAnsi="Times New Roman" w:cs="Times New Roman"/>
          <w:b/>
          <w:sz w:val="24"/>
          <w:szCs w:val="24"/>
        </w:rPr>
      </w:pPr>
      <w:r w:rsidRPr="00A84C18">
        <w:rPr>
          <w:rFonts w:ascii="Times New Roman" w:hAnsi="Times New Roman" w:cs="Times New Roman"/>
          <w:b/>
          <w:sz w:val="24"/>
          <w:szCs w:val="24"/>
        </w:rPr>
        <w:t>Declarations:</w:t>
      </w:r>
    </w:p>
    <w:p w14:paraId="0A870665" w14:textId="77777777" w:rsidR="00B94733" w:rsidRPr="00A84C18" w:rsidRDefault="00B94733" w:rsidP="001724C4">
      <w:pPr>
        <w:spacing w:after="0" w:line="360" w:lineRule="auto"/>
        <w:jc w:val="both"/>
        <w:rPr>
          <w:rFonts w:ascii="Times New Roman" w:hAnsi="Times New Roman" w:cs="Times New Roman"/>
          <w:sz w:val="24"/>
          <w:szCs w:val="24"/>
        </w:rPr>
      </w:pPr>
      <w:r w:rsidRPr="00A84C18">
        <w:rPr>
          <w:rFonts w:ascii="Times New Roman" w:hAnsi="Times New Roman" w:cs="Times New Roman"/>
          <w:b/>
          <w:sz w:val="24"/>
          <w:szCs w:val="24"/>
        </w:rPr>
        <w:t>-Availability of data and material:</w:t>
      </w:r>
      <w:r w:rsidRPr="00A84C18">
        <w:rPr>
          <w:rFonts w:ascii="Times New Roman" w:hAnsi="Times New Roman" w:cs="Times New Roman"/>
          <w:sz w:val="24"/>
          <w:szCs w:val="24"/>
        </w:rPr>
        <w:t xml:space="preserve"> All data </w:t>
      </w:r>
      <w:r w:rsidR="006E1758" w:rsidRPr="00A84C18">
        <w:rPr>
          <w:rFonts w:ascii="Times New Roman" w:hAnsi="Times New Roman" w:cs="Times New Roman"/>
          <w:sz w:val="24"/>
          <w:szCs w:val="24"/>
        </w:rPr>
        <w:t xml:space="preserve">are </w:t>
      </w:r>
      <w:r w:rsidRPr="00A84C18">
        <w:rPr>
          <w:rFonts w:ascii="Times New Roman" w:hAnsi="Times New Roman" w:cs="Times New Roman"/>
          <w:sz w:val="24"/>
          <w:szCs w:val="24"/>
        </w:rPr>
        <w:t xml:space="preserve">collected </w:t>
      </w:r>
      <w:r w:rsidR="006E1758" w:rsidRPr="00A84C18">
        <w:rPr>
          <w:rFonts w:ascii="Times New Roman" w:hAnsi="Times New Roman" w:cs="Times New Roman"/>
          <w:sz w:val="24"/>
          <w:szCs w:val="24"/>
        </w:rPr>
        <w:t>from individual company’s Annual reports</w:t>
      </w:r>
      <w:r w:rsidR="00727A4D" w:rsidRPr="00A84C18">
        <w:rPr>
          <w:rFonts w:ascii="Times New Roman" w:hAnsi="Times New Roman" w:cs="Times New Roman"/>
          <w:sz w:val="24"/>
          <w:szCs w:val="24"/>
        </w:rPr>
        <w:t xml:space="preserve">, IIRC </w:t>
      </w:r>
      <w:r w:rsidR="0024706B" w:rsidRPr="00A84C18">
        <w:rPr>
          <w:rFonts w:ascii="Times New Roman" w:hAnsi="Times New Roman" w:cs="Times New Roman"/>
          <w:sz w:val="24"/>
          <w:szCs w:val="24"/>
        </w:rPr>
        <w:t xml:space="preserve">reports and </w:t>
      </w:r>
      <w:r w:rsidR="00727A4D" w:rsidRPr="00A84C18">
        <w:rPr>
          <w:rFonts w:ascii="Times New Roman" w:hAnsi="Times New Roman" w:cs="Times New Roman"/>
          <w:sz w:val="24"/>
          <w:szCs w:val="24"/>
        </w:rPr>
        <w:t>review papers</w:t>
      </w:r>
      <w:r w:rsidR="0024706B" w:rsidRPr="00A84C18">
        <w:rPr>
          <w:rFonts w:ascii="Times New Roman" w:hAnsi="Times New Roman" w:cs="Times New Roman"/>
          <w:sz w:val="24"/>
          <w:szCs w:val="24"/>
        </w:rPr>
        <w:t xml:space="preserve"> (https://integratedreporting.org/)</w:t>
      </w:r>
      <w:r w:rsidR="00727A4D" w:rsidRPr="00A84C18">
        <w:rPr>
          <w:rFonts w:ascii="Times New Roman" w:hAnsi="Times New Roman" w:cs="Times New Roman"/>
          <w:sz w:val="24"/>
          <w:szCs w:val="24"/>
        </w:rPr>
        <w:t>, KPMG survey reports</w:t>
      </w:r>
      <w:r w:rsidR="00D0252A" w:rsidRPr="00A84C18">
        <w:rPr>
          <w:rFonts w:ascii="Times New Roman" w:hAnsi="Times New Roman" w:cs="Times New Roman"/>
          <w:sz w:val="24"/>
          <w:szCs w:val="24"/>
        </w:rPr>
        <w:t xml:space="preserve"> (https://home.kpmg/xx/en/home/insights/2017/10/the-kpmg-survey-of-corporate-responsibility-reporting-2017.html), Pw</w:t>
      </w:r>
      <w:r w:rsidR="00727A4D" w:rsidRPr="00A84C18">
        <w:rPr>
          <w:rFonts w:ascii="Times New Roman" w:hAnsi="Times New Roman" w:cs="Times New Roman"/>
          <w:sz w:val="24"/>
          <w:szCs w:val="24"/>
        </w:rPr>
        <w:t>C survey reports</w:t>
      </w:r>
      <w:r w:rsidR="00D0252A" w:rsidRPr="00A84C18">
        <w:rPr>
          <w:rFonts w:ascii="Times New Roman" w:hAnsi="Times New Roman" w:cs="Times New Roman"/>
          <w:sz w:val="24"/>
          <w:szCs w:val="24"/>
        </w:rPr>
        <w:t xml:space="preserve"> (https://www.pwc.in/press-releases/pwc-hce-survey.html)</w:t>
      </w:r>
      <w:r w:rsidR="00727A4D" w:rsidRPr="00A84C18">
        <w:rPr>
          <w:rFonts w:ascii="Times New Roman" w:hAnsi="Times New Roman" w:cs="Times New Roman"/>
          <w:sz w:val="24"/>
          <w:szCs w:val="24"/>
        </w:rPr>
        <w:t xml:space="preserve"> and compiled further.</w:t>
      </w:r>
    </w:p>
    <w:p w14:paraId="790D08E2" w14:textId="77777777" w:rsidR="00727A4D" w:rsidRPr="00A84C18" w:rsidRDefault="00B94733" w:rsidP="001724C4">
      <w:pPr>
        <w:spacing w:after="0" w:line="360" w:lineRule="auto"/>
        <w:jc w:val="both"/>
        <w:rPr>
          <w:rFonts w:ascii="Times New Roman" w:hAnsi="Times New Roman" w:cs="Times New Roman"/>
          <w:sz w:val="24"/>
          <w:szCs w:val="24"/>
        </w:rPr>
      </w:pPr>
      <w:r w:rsidRPr="00A84C18">
        <w:rPr>
          <w:rFonts w:ascii="Times New Roman" w:hAnsi="Times New Roman" w:cs="Times New Roman"/>
          <w:b/>
          <w:sz w:val="24"/>
          <w:szCs w:val="24"/>
        </w:rPr>
        <w:t>-Funding</w:t>
      </w:r>
      <w:r w:rsidR="00727A4D" w:rsidRPr="00A84C18">
        <w:rPr>
          <w:rFonts w:ascii="Times New Roman" w:hAnsi="Times New Roman" w:cs="Times New Roman"/>
          <w:b/>
          <w:sz w:val="24"/>
          <w:szCs w:val="24"/>
        </w:rPr>
        <w:t>:</w:t>
      </w:r>
      <w:r w:rsidR="00727A4D" w:rsidRPr="00A84C18">
        <w:rPr>
          <w:rFonts w:ascii="Times New Roman" w:hAnsi="Times New Roman" w:cs="Times New Roman"/>
          <w:sz w:val="24"/>
          <w:szCs w:val="24"/>
        </w:rPr>
        <w:t xml:space="preserve"> Authors never received any funding from any agency for this research work.</w:t>
      </w:r>
    </w:p>
    <w:p w14:paraId="041ACF26" w14:textId="77777777" w:rsidR="00B94733" w:rsidRPr="00A84C18" w:rsidRDefault="00B94733" w:rsidP="001724C4">
      <w:pPr>
        <w:spacing w:after="0" w:line="360" w:lineRule="auto"/>
        <w:jc w:val="both"/>
        <w:rPr>
          <w:rFonts w:ascii="Times New Roman" w:hAnsi="Times New Roman" w:cs="Times New Roman"/>
          <w:sz w:val="24"/>
          <w:szCs w:val="24"/>
          <w:lang w:val="en-IN"/>
        </w:rPr>
      </w:pPr>
      <w:r w:rsidRPr="00A84C18">
        <w:rPr>
          <w:rFonts w:ascii="Times New Roman" w:hAnsi="Times New Roman" w:cs="Times New Roman"/>
          <w:b/>
          <w:sz w:val="24"/>
          <w:szCs w:val="24"/>
        </w:rPr>
        <w:t>-Acknowledgements</w:t>
      </w:r>
      <w:r w:rsidR="00727A4D" w:rsidRPr="00A84C18">
        <w:rPr>
          <w:rFonts w:ascii="Times New Roman" w:hAnsi="Times New Roman" w:cs="Times New Roman"/>
          <w:b/>
          <w:sz w:val="24"/>
          <w:szCs w:val="24"/>
        </w:rPr>
        <w:t>:</w:t>
      </w:r>
      <w:r w:rsidR="008465F4" w:rsidRPr="00A84C18">
        <w:rPr>
          <w:rFonts w:ascii="Times New Roman" w:hAnsi="Times New Roman" w:cs="Times New Roman"/>
          <w:sz w:val="24"/>
          <w:szCs w:val="24"/>
        </w:rPr>
        <w:t xml:space="preserve"> Authors </w:t>
      </w:r>
      <w:r w:rsidR="00727A4D" w:rsidRPr="00A84C18">
        <w:rPr>
          <w:rFonts w:ascii="Times New Roman" w:hAnsi="Times New Roman" w:cs="Times New Roman"/>
          <w:sz w:val="24"/>
          <w:szCs w:val="24"/>
        </w:rPr>
        <w:t xml:space="preserve">acknowledge </w:t>
      </w:r>
      <w:r w:rsidR="008465F4" w:rsidRPr="00A84C18">
        <w:rPr>
          <w:rFonts w:ascii="Times New Roman" w:hAnsi="Times New Roman" w:cs="Times New Roman"/>
          <w:sz w:val="24"/>
          <w:szCs w:val="24"/>
        </w:rPr>
        <w:t>Editor</w:t>
      </w:r>
      <w:r w:rsidR="00727A4D" w:rsidRPr="00A84C18">
        <w:rPr>
          <w:rFonts w:ascii="Times New Roman" w:hAnsi="Times New Roman" w:cs="Times New Roman"/>
          <w:sz w:val="24"/>
          <w:szCs w:val="24"/>
        </w:rPr>
        <w:t xml:space="preserve"> and Reviewers’</w:t>
      </w:r>
      <w:r w:rsidR="008465F4" w:rsidRPr="00A84C18">
        <w:rPr>
          <w:rFonts w:ascii="Times New Roman" w:hAnsi="Times New Roman" w:cs="Times New Roman"/>
          <w:sz w:val="24"/>
          <w:szCs w:val="24"/>
        </w:rPr>
        <w:t xml:space="preserve"> comments for the improvement of this paper</w:t>
      </w:r>
      <w:r w:rsidR="00F57DD5" w:rsidRPr="00A84C18">
        <w:rPr>
          <w:rFonts w:ascii="Times New Roman" w:hAnsi="Times New Roman" w:cs="Times New Roman"/>
          <w:sz w:val="24"/>
          <w:szCs w:val="24"/>
        </w:rPr>
        <w:t xml:space="preserve"> from time to time</w:t>
      </w:r>
      <w:r w:rsidR="008465F4" w:rsidRPr="00A84C18">
        <w:rPr>
          <w:rFonts w:ascii="Times New Roman" w:hAnsi="Times New Roman" w:cs="Times New Roman"/>
          <w:sz w:val="24"/>
          <w:szCs w:val="24"/>
        </w:rPr>
        <w:t xml:space="preserve">. </w:t>
      </w:r>
    </w:p>
    <w:p w14:paraId="1389A0D3" w14:textId="77777777" w:rsidR="001724C4" w:rsidRPr="00A84C18" w:rsidRDefault="001724C4" w:rsidP="001724C4">
      <w:pPr>
        <w:spacing w:after="0" w:line="360" w:lineRule="auto"/>
        <w:jc w:val="both"/>
        <w:rPr>
          <w:rFonts w:ascii="Times New Roman" w:hAnsi="Times New Roman" w:cs="Times New Roman"/>
          <w:sz w:val="24"/>
          <w:szCs w:val="24"/>
          <w:lang w:val="en-IN"/>
        </w:rPr>
      </w:pPr>
    </w:p>
    <w:p w14:paraId="21EB8516" w14:textId="77777777" w:rsidR="001724C4" w:rsidRPr="00A84C18" w:rsidRDefault="001724C4" w:rsidP="001724C4">
      <w:pPr>
        <w:spacing w:after="0" w:line="360" w:lineRule="auto"/>
        <w:jc w:val="both"/>
        <w:rPr>
          <w:rFonts w:ascii="Times New Roman" w:hAnsi="Times New Roman" w:cs="Times New Roman"/>
          <w:sz w:val="24"/>
          <w:szCs w:val="24"/>
          <w:lang w:val="en-IN"/>
        </w:rPr>
      </w:pPr>
    </w:p>
    <w:p w14:paraId="635D6CF0" w14:textId="77777777" w:rsidR="00F03122" w:rsidRPr="00A84C18" w:rsidRDefault="00F03122">
      <w:pPr>
        <w:spacing w:after="160" w:line="259" w:lineRule="auto"/>
        <w:rPr>
          <w:rFonts w:ascii="Times New Roman" w:hAnsi="Times New Roman" w:cs="Times New Roman"/>
          <w:b/>
          <w:sz w:val="24"/>
          <w:szCs w:val="24"/>
          <w:lang w:val="en-IN"/>
        </w:rPr>
      </w:pPr>
      <w:r w:rsidRPr="00A84C18">
        <w:rPr>
          <w:rFonts w:ascii="Times New Roman" w:hAnsi="Times New Roman" w:cs="Times New Roman"/>
          <w:b/>
          <w:sz w:val="24"/>
          <w:szCs w:val="24"/>
          <w:lang w:val="en-IN"/>
        </w:rPr>
        <w:br w:type="page"/>
      </w:r>
    </w:p>
    <w:p w14:paraId="12292C20" w14:textId="77777777" w:rsidR="001724C4" w:rsidRPr="00A84C18" w:rsidRDefault="001724C4" w:rsidP="001724C4">
      <w:pPr>
        <w:spacing w:after="0" w:line="360" w:lineRule="auto"/>
        <w:jc w:val="both"/>
        <w:rPr>
          <w:rFonts w:ascii="Times New Roman" w:hAnsi="Times New Roman" w:cs="Times New Roman"/>
          <w:b/>
          <w:sz w:val="24"/>
          <w:szCs w:val="24"/>
          <w:lang w:val="en-IN"/>
        </w:rPr>
      </w:pPr>
      <w:r w:rsidRPr="00A84C18">
        <w:rPr>
          <w:rFonts w:ascii="Times New Roman" w:hAnsi="Times New Roman" w:cs="Times New Roman"/>
          <w:b/>
          <w:sz w:val="24"/>
          <w:szCs w:val="24"/>
          <w:lang w:val="en-IN"/>
        </w:rPr>
        <w:lastRenderedPageBreak/>
        <w:t>Reference:</w:t>
      </w:r>
    </w:p>
    <w:p w14:paraId="508E818B"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Adams, C. A. (2015). The international integrated reporting council: A call to action. </w:t>
      </w:r>
      <w:r w:rsidRPr="00A84C18">
        <w:rPr>
          <w:rFonts w:ascii="Times New Roman" w:hAnsi="Times New Roman" w:cs="Times New Roman"/>
          <w:i/>
          <w:sz w:val="24"/>
          <w:szCs w:val="24"/>
        </w:rPr>
        <w:t xml:space="preserve">Critical Perspectives on Accounting, </w:t>
      </w:r>
      <w:r w:rsidRPr="00A84C18">
        <w:rPr>
          <w:rFonts w:ascii="Times New Roman" w:hAnsi="Times New Roman" w:cs="Times New Roman"/>
          <w:sz w:val="24"/>
          <w:szCs w:val="24"/>
        </w:rPr>
        <w:t>27 (1), 23–28.</w:t>
      </w:r>
    </w:p>
    <w:p w14:paraId="060C9B00" w14:textId="77777777" w:rsidR="00C8237E" w:rsidRPr="00A84C18" w:rsidRDefault="00C8237E" w:rsidP="000019F2">
      <w:pPr>
        <w:spacing w:after="0" w:line="360" w:lineRule="auto"/>
        <w:ind w:left="340" w:hanging="340"/>
        <w:jc w:val="both"/>
        <w:rPr>
          <w:rFonts w:ascii="Times New Roman" w:hAnsi="Times New Roman" w:cs="Times New Roman"/>
          <w:i/>
          <w:sz w:val="24"/>
          <w:szCs w:val="24"/>
        </w:rPr>
      </w:pPr>
      <w:r w:rsidRPr="00A84C18">
        <w:rPr>
          <w:rFonts w:ascii="Times New Roman" w:hAnsi="Times New Roman" w:cs="Times New Roman"/>
          <w:sz w:val="24"/>
          <w:szCs w:val="24"/>
        </w:rPr>
        <w:t xml:space="preserve">Adams, C. A., Potter, B., Singh, P. J., &amp; York, J. (2016). Exploring the implications of integrated reporting for social investment (disclosures). </w:t>
      </w:r>
      <w:r w:rsidRPr="00A84C18">
        <w:rPr>
          <w:rFonts w:ascii="Times New Roman" w:hAnsi="Times New Roman" w:cs="Times New Roman"/>
          <w:i/>
          <w:sz w:val="24"/>
          <w:szCs w:val="24"/>
        </w:rPr>
        <w:t xml:space="preserve">The British Accounting Review, </w:t>
      </w:r>
      <w:r w:rsidRPr="00A84C18">
        <w:rPr>
          <w:rFonts w:ascii="Times New Roman" w:hAnsi="Times New Roman" w:cs="Times New Roman"/>
          <w:sz w:val="24"/>
          <w:szCs w:val="24"/>
        </w:rPr>
        <w:t>48(3), 283–296.</w:t>
      </w:r>
    </w:p>
    <w:p w14:paraId="5F415AF3" w14:textId="6AD4E35B" w:rsidR="00E412E3" w:rsidRPr="00E412E3" w:rsidRDefault="00E412E3" w:rsidP="000019F2">
      <w:pPr>
        <w:spacing w:after="0" w:line="360" w:lineRule="auto"/>
        <w:ind w:left="340" w:hanging="340"/>
        <w:jc w:val="both"/>
        <w:rPr>
          <w:rFonts w:ascii="Times New Roman" w:hAnsi="Times New Roman" w:cs="Times New Roman"/>
          <w:sz w:val="24"/>
          <w:szCs w:val="24"/>
        </w:rPr>
      </w:pPr>
      <w:r w:rsidRPr="00E412E3">
        <w:rPr>
          <w:rFonts w:ascii="Times New Roman" w:hAnsi="Times New Roman" w:cs="Times New Roman"/>
          <w:color w:val="222222"/>
          <w:sz w:val="24"/>
          <w:szCs w:val="24"/>
          <w:shd w:val="clear" w:color="auto" w:fill="FFFFFF"/>
        </w:rPr>
        <w:t>Athma, P., &amp; Rajyalaxmi, N. (2013). Integrated reporting: The global scenario. </w:t>
      </w:r>
      <w:r w:rsidRPr="00E412E3">
        <w:rPr>
          <w:rFonts w:ascii="Times New Roman" w:hAnsi="Times New Roman" w:cs="Times New Roman"/>
          <w:i/>
          <w:iCs/>
          <w:color w:val="222222"/>
          <w:sz w:val="24"/>
          <w:szCs w:val="24"/>
          <w:shd w:val="clear" w:color="auto" w:fill="FFFFFF"/>
        </w:rPr>
        <w:t>IUP Journal of Accounting Research &amp; Audit Practices</w:t>
      </w:r>
      <w:r w:rsidRPr="00E412E3">
        <w:rPr>
          <w:rFonts w:ascii="Times New Roman" w:hAnsi="Times New Roman" w:cs="Times New Roman"/>
          <w:color w:val="222222"/>
          <w:sz w:val="24"/>
          <w:szCs w:val="24"/>
          <w:shd w:val="clear" w:color="auto" w:fill="FFFFFF"/>
        </w:rPr>
        <w:t>, </w:t>
      </w:r>
      <w:r w:rsidRPr="00E412E3">
        <w:rPr>
          <w:rFonts w:ascii="Times New Roman" w:hAnsi="Times New Roman" w:cs="Times New Roman"/>
          <w:i/>
          <w:iCs/>
          <w:color w:val="222222"/>
          <w:sz w:val="24"/>
          <w:szCs w:val="24"/>
          <w:shd w:val="clear" w:color="auto" w:fill="FFFFFF"/>
        </w:rPr>
        <w:t>12</w:t>
      </w:r>
      <w:r w:rsidRPr="00E412E3">
        <w:rPr>
          <w:rFonts w:ascii="Times New Roman" w:hAnsi="Times New Roman" w:cs="Times New Roman"/>
          <w:color w:val="222222"/>
          <w:sz w:val="24"/>
          <w:szCs w:val="24"/>
          <w:shd w:val="clear" w:color="auto" w:fill="FFFFFF"/>
        </w:rPr>
        <w:t>(3), 7.</w:t>
      </w:r>
    </w:p>
    <w:p w14:paraId="0332E48D" w14:textId="58375EEC"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Bernardi, C., &amp; Stark, A.W., 2018. Environmental, social and governance disclosure, integrated reporting, and the accuracy of analyst forecasts. </w:t>
      </w:r>
      <w:r w:rsidRPr="00A84C18">
        <w:rPr>
          <w:rFonts w:ascii="Times New Roman" w:hAnsi="Times New Roman" w:cs="Times New Roman"/>
          <w:i/>
          <w:sz w:val="24"/>
          <w:szCs w:val="24"/>
        </w:rPr>
        <w:t>Brit. Account. Rev,</w:t>
      </w:r>
      <w:r w:rsidRPr="00A84C18">
        <w:rPr>
          <w:rFonts w:ascii="Times New Roman" w:hAnsi="Times New Roman" w:cs="Times New Roman"/>
          <w:sz w:val="24"/>
          <w:szCs w:val="24"/>
        </w:rPr>
        <w:t>50 (1), 16–31.</w:t>
      </w:r>
    </w:p>
    <w:p w14:paraId="52769EA8"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De Villiers, C., Pei-Chi, K.H., &amp;Maroun, W., (2017). Developing a conceptual model of influences around integrated reporting, new insights and directions for future research. </w:t>
      </w:r>
      <w:r w:rsidRPr="00A84C18">
        <w:rPr>
          <w:rFonts w:ascii="Times New Roman" w:hAnsi="Times New Roman" w:cs="Times New Roman"/>
          <w:i/>
          <w:sz w:val="24"/>
          <w:szCs w:val="24"/>
        </w:rPr>
        <w:t>Meditari Account. Res,</w:t>
      </w:r>
      <w:r w:rsidRPr="00A84C18">
        <w:rPr>
          <w:rFonts w:ascii="Times New Roman" w:hAnsi="Times New Roman" w:cs="Times New Roman"/>
          <w:sz w:val="24"/>
          <w:szCs w:val="24"/>
        </w:rPr>
        <w:t>25 (4), 450–460.</w:t>
      </w:r>
    </w:p>
    <w:p w14:paraId="2BB17E08"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De Villiers, C., Rinaldi, L., &amp;Unerman, J. (2014). Integrated reporting: Insights, gaps and an agenda for future research. </w:t>
      </w:r>
      <w:r w:rsidRPr="00A84C18">
        <w:rPr>
          <w:rFonts w:ascii="Times New Roman" w:hAnsi="Times New Roman" w:cs="Times New Roman"/>
          <w:i/>
          <w:sz w:val="24"/>
          <w:szCs w:val="24"/>
        </w:rPr>
        <w:t xml:space="preserve">Accounting, Auditing &amp; Accountability Journal, </w:t>
      </w:r>
      <w:r w:rsidRPr="00A84C18">
        <w:rPr>
          <w:rFonts w:ascii="Times New Roman" w:hAnsi="Times New Roman" w:cs="Times New Roman"/>
          <w:sz w:val="24"/>
          <w:szCs w:val="24"/>
        </w:rPr>
        <w:t>27(7), 1042–1067.</w:t>
      </w:r>
    </w:p>
    <w:p w14:paraId="533CD212"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Eccles, R., Krzus M., &amp;Ribot, S. (2015) Models of best practice in integrated reporting 2015. </w:t>
      </w:r>
      <w:r w:rsidRPr="00A84C18">
        <w:rPr>
          <w:rFonts w:ascii="Times New Roman" w:hAnsi="Times New Roman" w:cs="Times New Roman"/>
          <w:i/>
          <w:sz w:val="24"/>
          <w:szCs w:val="24"/>
        </w:rPr>
        <w:t xml:space="preserve">J Applied Corporate Finance, </w:t>
      </w:r>
      <w:r w:rsidRPr="00A84C18">
        <w:rPr>
          <w:rFonts w:ascii="Times New Roman" w:hAnsi="Times New Roman" w:cs="Times New Roman"/>
          <w:sz w:val="24"/>
          <w:szCs w:val="24"/>
        </w:rPr>
        <w:t>27 (2), 103-115.</w:t>
      </w:r>
    </w:p>
    <w:p w14:paraId="5F53DC39" w14:textId="77777777" w:rsidR="00C8237E" w:rsidRPr="00A84C18" w:rsidRDefault="00C8237E" w:rsidP="000019F2">
      <w:pPr>
        <w:spacing w:after="0" w:line="360" w:lineRule="auto"/>
        <w:ind w:left="340" w:hanging="340"/>
        <w:jc w:val="both"/>
        <w:rPr>
          <w:rFonts w:ascii="Times New Roman" w:hAnsi="Times New Roman" w:cs="Times New Roman"/>
          <w:i/>
          <w:sz w:val="24"/>
          <w:szCs w:val="24"/>
        </w:rPr>
      </w:pPr>
      <w:proofErr w:type="gramStart"/>
      <w:r w:rsidRPr="00A84C18">
        <w:rPr>
          <w:rFonts w:ascii="Times New Roman" w:hAnsi="Times New Roman" w:cs="Times New Roman"/>
          <w:sz w:val="24"/>
          <w:szCs w:val="24"/>
        </w:rPr>
        <w:t>Flower,J.</w:t>
      </w:r>
      <w:proofErr w:type="gramEnd"/>
      <w:r w:rsidRPr="00A84C18">
        <w:rPr>
          <w:rFonts w:ascii="Times New Roman" w:hAnsi="Times New Roman" w:cs="Times New Roman"/>
          <w:sz w:val="24"/>
          <w:szCs w:val="24"/>
        </w:rPr>
        <w:t xml:space="preserve">(2015).The international integrated reporting council: A story of failure. </w:t>
      </w:r>
      <w:r w:rsidRPr="00A84C18">
        <w:rPr>
          <w:rFonts w:ascii="Times New Roman" w:hAnsi="Times New Roman" w:cs="Times New Roman"/>
          <w:i/>
          <w:sz w:val="24"/>
          <w:szCs w:val="24"/>
        </w:rPr>
        <w:t xml:space="preserve">Critical Perspectives on Accounting, </w:t>
      </w:r>
      <w:r w:rsidRPr="00A84C18">
        <w:rPr>
          <w:rFonts w:ascii="Times New Roman" w:hAnsi="Times New Roman" w:cs="Times New Roman"/>
          <w:sz w:val="24"/>
          <w:szCs w:val="24"/>
        </w:rPr>
        <w:t>27(1), 1–17.</w:t>
      </w:r>
    </w:p>
    <w:p w14:paraId="2F344ED3"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Garcia-Sánchez, I. M., Rodríguez-Ariza, L., &amp; Frias-Aceituno, J. V. (2013). The cultural system and integrated reporting. </w:t>
      </w:r>
      <w:r w:rsidRPr="00A84C18">
        <w:rPr>
          <w:rFonts w:ascii="Times New Roman" w:hAnsi="Times New Roman" w:cs="Times New Roman"/>
          <w:i/>
          <w:sz w:val="24"/>
          <w:szCs w:val="24"/>
        </w:rPr>
        <w:t xml:space="preserve">International Business Review, </w:t>
      </w:r>
      <w:r w:rsidRPr="00A84C18">
        <w:rPr>
          <w:rFonts w:ascii="Times New Roman" w:hAnsi="Times New Roman" w:cs="Times New Roman"/>
          <w:sz w:val="24"/>
          <w:szCs w:val="24"/>
        </w:rPr>
        <w:t>22(5), 828–838.</w:t>
      </w:r>
    </w:p>
    <w:p w14:paraId="6214424B" w14:textId="0758AB14" w:rsidR="00CB15B2" w:rsidRDefault="00CB15B2" w:rsidP="000019F2">
      <w:pPr>
        <w:spacing w:after="0" w:line="360" w:lineRule="auto"/>
        <w:ind w:left="340" w:hanging="340"/>
        <w:jc w:val="both"/>
        <w:rPr>
          <w:rFonts w:ascii="Times New Roman" w:hAnsi="Times New Roman" w:cs="Times New Roman"/>
          <w:color w:val="222222"/>
          <w:sz w:val="24"/>
          <w:szCs w:val="24"/>
          <w:shd w:val="clear" w:color="auto" w:fill="FFFFFF"/>
        </w:rPr>
      </w:pPr>
      <w:r w:rsidRPr="00CB15B2">
        <w:rPr>
          <w:rFonts w:ascii="Times New Roman" w:hAnsi="Times New Roman" w:cs="Times New Roman"/>
          <w:color w:val="222222"/>
          <w:sz w:val="24"/>
          <w:szCs w:val="24"/>
          <w:shd w:val="clear" w:color="auto" w:fill="FFFFFF"/>
        </w:rPr>
        <w:t xml:space="preserve">Ghosh, S. (2017). Reporting of CSR activities in India: are we still at a nascent stage even after the legal </w:t>
      </w:r>
      <w:r w:rsidR="00786934" w:rsidRPr="00CB15B2">
        <w:rPr>
          <w:rFonts w:ascii="Times New Roman" w:hAnsi="Times New Roman" w:cs="Times New Roman"/>
          <w:color w:val="222222"/>
          <w:sz w:val="24"/>
          <w:szCs w:val="24"/>
          <w:shd w:val="clear" w:color="auto" w:fill="FFFFFF"/>
        </w:rPr>
        <w:t>mandate?</w:t>
      </w:r>
      <w:r w:rsidRPr="00CB15B2">
        <w:rPr>
          <w:rFonts w:ascii="Times New Roman" w:hAnsi="Times New Roman" w:cs="Times New Roman"/>
          <w:color w:val="222222"/>
          <w:sz w:val="24"/>
          <w:szCs w:val="24"/>
          <w:shd w:val="clear" w:color="auto" w:fill="FFFFFF"/>
        </w:rPr>
        <w:t xml:space="preserve"> In </w:t>
      </w:r>
      <w:r w:rsidRPr="00CB15B2">
        <w:rPr>
          <w:rFonts w:ascii="Times New Roman" w:hAnsi="Times New Roman" w:cs="Times New Roman"/>
          <w:i/>
          <w:iCs/>
          <w:color w:val="222222"/>
          <w:sz w:val="24"/>
          <w:szCs w:val="24"/>
          <w:shd w:val="clear" w:color="auto" w:fill="FFFFFF"/>
        </w:rPr>
        <w:t>Corporate Social Responsibility in India</w:t>
      </w:r>
      <w:r w:rsidRPr="00CB15B2">
        <w:rPr>
          <w:rFonts w:ascii="Times New Roman" w:hAnsi="Times New Roman" w:cs="Times New Roman"/>
          <w:color w:val="222222"/>
          <w:sz w:val="24"/>
          <w:szCs w:val="24"/>
          <w:shd w:val="clear" w:color="auto" w:fill="FFFFFF"/>
        </w:rPr>
        <w:t> (pp. 133-147). Springer, Cham.</w:t>
      </w:r>
    </w:p>
    <w:p w14:paraId="6FA7BFC2" w14:textId="77246D77" w:rsidR="00786934" w:rsidRPr="00786934" w:rsidRDefault="00786934" w:rsidP="000019F2">
      <w:pPr>
        <w:spacing w:after="0" w:line="360" w:lineRule="auto"/>
        <w:ind w:left="340" w:hanging="340"/>
        <w:jc w:val="both"/>
        <w:rPr>
          <w:rFonts w:ascii="Times New Roman" w:hAnsi="Times New Roman" w:cs="Times New Roman"/>
          <w:spacing w:val="4"/>
          <w:sz w:val="24"/>
          <w:szCs w:val="24"/>
          <w:shd w:val="clear" w:color="auto" w:fill="FCFCFC"/>
        </w:rPr>
      </w:pPr>
      <w:r w:rsidRPr="00786934">
        <w:rPr>
          <w:rFonts w:ascii="Times New Roman" w:hAnsi="Times New Roman" w:cs="Times New Roman"/>
          <w:color w:val="222222"/>
          <w:sz w:val="24"/>
          <w:szCs w:val="24"/>
          <w:shd w:val="clear" w:color="auto" w:fill="FFFFFF"/>
        </w:rPr>
        <w:t>Ghosh, S. (2019). Integrated reporting in India: research findings and insights. In </w:t>
      </w:r>
      <w:r w:rsidRPr="00786934">
        <w:rPr>
          <w:rFonts w:ascii="Times New Roman" w:hAnsi="Times New Roman" w:cs="Times New Roman"/>
          <w:i/>
          <w:iCs/>
          <w:color w:val="222222"/>
          <w:sz w:val="24"/>
          <w:szCs w:val="24"/>
          <w:shd w:val="clear" w:color="auto" w:fill="FFFFFF"/>
        </w:rPr>
        <w:t>Integrated Reporting</w:t>
      </w:r>
      <w:r w:rsidRPr="00786934">
        <w:rPr>
          <w:rFonts w:ascii="Times New Roman" w:hAnsi="Times New Roman" w:cs="Times New Roman"/>
          <w:color w:val="222222"/>
          <w:sz w:val="24"/>
          <w:szCs w:val="24"/>
          <w:shd w:val="clear" w:color="auto" w:fill="FFFFFF"/>
        </w:rPr>
        <w:t> (pp. 365-386). Springer, Cham.</w:t>
      </w:r>
    </w:p>
    <w:p w14:paraId="48A8F9AC"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IAASB, (2013). ISAE 3410: Aurance engagements on greenhouse gas statements. SAICA Members’ </w:t>
      </w:r>
      <w:proofErr w:type="gramStart"/>
      <w:r w:rsidRPr="00A84C18">
        <w:rPr>
          <w:rFonts w:ascii="Times New Roman" w:hAnsi="Times New Roman" w:cs="Times New Roman"/>
          <w:sz w:val="24"/>
          <w:szCs w:val="24"/>
        </w:rPr>
        <w:t>Handbook,.</w:t>
      </w:r>
      <w:proofErr w:type="gramEnd"/>
      <w:r w:rsidRPr="00A84C18">
        <w:rPr>
          <w:rFonts w:ascii="Times New Roman" w:hAnsi="Times New Roman" w:cs="Times New Roman"/>
          <w:sz w:val="24"/>
          <w:szCs w:val="24"/>
        </w:rPr>
        <w:t xml:space="preserve"> LexisNexis, Pietermaritsburg</w:t>
      </w:r>
    </w:p>
    <w:p w14:paraId="157F0B96"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International Integrated Reporting Council (IIRC) (2011). </w:t>
      </w:r>
      <w:r w:rsidRPr="00A84C18">
        <w:rPr>
          <w:rFonts w:ascii="Times New Roman" w:hAnsi="Times New Roman" w:cs="Times New Roman"/>
          <w:i/>
          <w:sz w:val="24"/>
          <w:szCs w:val="24"/>
        </w:rPr>
        <w:t>Towards Integrated Reporting Communicating value in the21stcentury.</w:t>
      </w:r>
      <w:r w:rsidRPr="00A84C18">
        <w:rPr>
          <w:rFonts w:ascii="Times New Roman" w:hAnsi="Times New Roman" w:cs="Times New Roman"/>
          <w:sz w:val="24"/>
          <w:szCs w:val="24"/>
        </w:rPr>
        <w:t xml:space="preserve"> (Accessed18May,2016) www.theiirc.org/wp-content/uploads/2011/09/IR-Discussion-Paper-2011-single.pdf.</w:t>
      </w:r>
    </w:p>
    <w:p w14:paraId="45EC33A3" w14:textId="77777777" w:rsidR="00C8237E" w:rsidRPr="00A84C18" w:rsidRDefault="00C8237E" w:rsidP="000019F2">
      <w:pPr>
        <w:spacing w:after="0" w:line="360" w:lineRule="auto"/>
        <w:ind w:left="340" w:hanging="340"/>
        <w:jc w:val="both"/>
        <w:rPr>
          <w:rFonts w:ascii="Times New Roman" w:hAnsi="Times New Roman" w:cs="Times New Roman"/>
          <w:i/>
          <w:sz w:val="24"/>
          <w:szCs w:val="24"/>
        </w:rPr>
      </w:pPr>
      <w:r w:rsidRPr="00A84C18">
        <w:rPr>
          <w:rFonts w:ascii="Times New Roman" w:hAnsi="Times New Roman" w:cs="Times New Roman"/>
          <w:sz w:val="24"/>
          <w:szCs w:val="24"/>
        </w:rPr>
        <w:lastRenderedPageBreak/>
        <w:t xml:space="preserve">International Integrated Reporting Council (IIRC) (2013). </w:t>
      </w:r>
      <w:r w:rsidRPr="00A84C18">
        <w:rPr>
          <w:rFonts w:ascii="Times New Roman" w:hAnsi="Times New Roman" w:cs="Times New Roman"/>
          <w:i/>
          <w:sz w:val="24"/>
          <w:szCs w:val="24"/>
        </w:rPr>
        <w:t>The International Framework. London: IIRC</w:t>
      </w:r>
    </w:p>
    <w:p w14:paraId="1185CC42"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Ioanaa, D., &amp;Tiron-Tudor, A. (2014) Research agenda on integrated reporting: New emergent theory and practice. </w:t>
      </w:r>
      <w:r w:rsidRPr="00A84C18">
        <w:rPr>
          <w:rFonts w:ascii="Times New Roman" w:hAnsi="Times New Roman" w:cs="Times New Roman"/>
          <w:i/>
          <w:sz w:val="24"/>
          <w:szCs w:val="24"/>
        </w:rPr>
        <w:t xml:space="preserve">Procedia Economics and Finance, </w:t>
      </w:r>
      <w:r w:rsidRPr="00A84C18">
        <w:rPr>
          <w:rFonts w:ascii="Times New Roman" w:hAnsi="Times New Roman" w:cs="Times New Roman"/>
          <w:sz w:val="24"/>
          <w:szCs w:val="24"/>
        </w:rPr>
        <w:t>15 (1), 221 – 227</w:t>
      </w:r>
    </w:p>
    <w:p w14:paraId="54F9C3DC"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IRCSA (Integrated Reporting Committee of South Africa). (2011). Framework for integrated reporting and the integrated report. Accessed May 18, 2017, from http://www.sustainabilitysa. Org</w:t>
      </w:r>
    </w:p>
    <w:p w14:paraId="0CDBBE7E"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Janek, C., Riccerib, F., Sangiorgia, D., &amp; Guthrie, J. (2016). Sustainability and integrated reporting: A case study of a large multinational organization.</w:t>
      </w:r>
    </w:p>
    <w:p w14:paraId="6527AD01" w14:textId="77777777" w:rsidR="00C8237E" w:rsidRPr="00A84C18" w:rsidRDefault="00C8237E" w:rsidP="000019F2">
      <w:pPr>
        <w:spacing w:after="0" w:line="360" w:lineRule="auto"/>
        <w:ind w:left="340" w:hanging="340"/>
        <w:jc w:val="both"/>
        <w:rPr>
          <w:rFonts w:ascii="Times New Roman" w:hAnsi="Times New Roman" w:cs="Times New Roman"/>
          <w:i/>
          <w:sz w:val="24"/>
          <w:szCs w:val="24"/>
        </w:rPr>
      </w:pPr>
      <w:r w:rsidRPr="00A84C18">
        <w:rPr>
          <w:rFonts w:ascii="Times New Roman" w:hAnsi="Times New Roman" w:cs="Times New Roman"/>
          <w:sz w:val="24"/>
          <w:szCs w:val="24"/>
        </w:rPr>
        <w:t xml:space="preserve">Jensen, J. C., &amp; Berg, N. (2012). Determinants of traditional sustainability reporting versus integrated reporting: An institutionalist approach. </w:t>
      </w:r>
      <w:r w:rsidRPr="00A84C18">
        <w:rPr>
          <w:rFonts w:ascii="Times New Roman" w:hAnsi="Times New Roman" w:cs="Times New Roman"/>
          <w:i/>
          <w:sz w:val="24"/>
          <w:szCs w:val="24"/>
        </w:rPr>
        <w:t xml:space="preserve">Business Strategy and the Environment, </w:t>
      </w:r>
      <w:r w:rsidRPr="00A84C18">
        <w:rPr>
          <w:rFonts w:ascii="Times New Roman" w:hAnsi="Times New Roman" w:cs="Times New Roman"/>
          <w:sz w:val="24"/>
          <w:szCs w:val="24"/>
        </w:rPr>
        <w:t>21 (5), 299–316.</w:t>
      </w:r>
    </w:p>
    <w:p w14:paraId="3E24F946" w14:textId="71956717" w:rsidR="00C8237E"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Joshi, A. (2018). Integrating Reporting: Current Trends in financial Reporting. </w:t>
      </w:r>
      <w:r w:rsidRPr="00A84C18">
        <w:rPr>
          <w:rFonts w:ascii="Times New Roman" w:hAnsi="Times New Roman" w:cs="Times New Roman"/>
          <w:i/>
          <w:sz w:val="24"/>
          <w:szCs w:val="24"/>
        </w:rPr>
        <w:t xml:space="preserve">International Journal of Accounting Research. </w:t>
      </w:r>
      <w:r w:rsidRPr="00A84C18">
        <w:rPr>
          <w:rFonts w:ascii="Times New Roman" w:hAnsi="Times New Roman" w:cs="Times New Roman"/>
          <w:sz w:val="24"/>
          <w:szCs w:val="24"/>
        </w:rPr>
        <w:t>6 (2), 1-4.</w:t>
      </w:r>
    </w:p>
    <w:p w14:paraId="0BA0C8E2" w14:textId="16283D40" w:rsidR="009C2A23" w:rsidRPr="009C2A23" w:rsidRDefault="009C2A23" w:rsidP="000019F2">
      <w:pPr>
        <w:spacing w:after="0" w:line="360" w:lineRule="auto"/>
        <w:ind w:left="340" w:hanging="340"/>
        <w:jc w:val="both"/>
        <w:rPr>
          <w:rFonts w:ascii="Times New Roman" w:hAnsi="Times New Roman" w:cs="Times New Roman"/>
          <w:sz w:val="24"/>
          <w:szCs w:val="24"/>
          <w:lang w:val="en-IN"/>
        </w:rPr>
      </w:pPr>
      <w:r w:rsidRPr="009C2A23">
        <w:rPr>
          <w:rFonts w:ascii="Times New Roman" w:hAnsi="Times New Roman" w:cs="Times New Roman"/>
          <w:color w:val="222222"/>
          <w:sz w:val="24"/>
          <w:szCs w:val="24"/>
          <w:shd w:val="clear" w:color="auto" w:fill="FFFFFF"/>
        </w:rPr>
        <w:t>Vadithala, U. K. (2015). A STUDY OF INTEGRATED REPORTING IN INDIAN BANKS. </w:t>
      </w:r>
      <w:r w:rsidRPr="009C2A23">
        <w:rPr>
          <w:rFonts w:ascii="Times New Roman" w:hAnsi="Times New Roman" w:cs="Times New Roman"/>
          <w:i/>
          <w:iCs/>
          <w:color w:val="222222"/>
          <w:sz w:val="24"/>
          <w:szCs w:val="24"/>
          <w:shd w:val="clear" w:color="auto" w:fill="FFFFFF"/>
        </w:rPr>
        <w:t>The MANAGEMENT ACCOUNTANT, ICMAI</w:t>
      </w:r>
      <w:r w:rsidRPr="009C2A23">
        <w:rPr>
          <w:rFonts w:ascii="Times New Roman" w:hAnsi="Times New Roman" w:cs="Times New Roman"/>
          <w:color w:val="222222"/>
          <w:sz w:val="24"/>
          <w:szCs w:val="24"/>
          <w:shd w:val="clear" w:color="auto" w:fill="FFFFFF"/>
        </w:rPr>
        <w:t>.</w:t>
      </w:r>
    </w:p>
    <w:p w14:paraId="44A383E8"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KPMG (2017) The KPMG survey of corporate responsibility reporting 2015. Accessed 1 August, 2018.</w:t>
      </w:r>
    </w:p>
    <w:p w14:paraId="50083066" w14:textId="77777777" w:rsidR="00C8237E" w:rsidRPr="00A84C18" w:rsidRDefault="00C8237E" w:rsidP="000019F2">
      <w:pPr>
        <w:spacing w:after="0" w:line="360" w:lineRule="auto"/>
        <w:ind w:left="340" w:hanging="340"/>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Kundu B. (2017). Application of integrated reporting in Indian corporate scenario. </w:t>
      </w:r>
      <w:r w:rsidRPr="00A84C18">
        <w:rPr>
          <w:rFonts w:ascii="Times New Roman" w:hAnsi="Times New Roman" w:cs="Times New Roman"/>
          <w:i/>
          <w:sz w:val="24"/>
          <w:szCs w:val="24"/>
          <w:lang w:val="en-IN"/>
        </w:rPr>
        <w:t>Prestige International Journal of Management &amp; IT-Sanchayan</w:t>
      </w:r>
      <w:r w:rsidRPr="00A84C18">
        <w:rPr>
          <w:rFonts w:ascii="Times New Roman" w:hAnsi="Times New Roman" w:cs="Times New Roman"/>
          <w:sz w:val="24"/>
          <w:szCs w:val="24"/>
          <w:lang w:val="en-IN"/>
        </w:rPr>
        <w:t>, 6(1), 99-110.</w:t>
      </w:r>
    </w:p>
    <w:p w14:paraId="6535A014"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Lee, K. W., &amp; Yeo, G. H. H. (2016). The association between integrated reporting and firm valuation. </w:t>
      </w:r>
      <w:r w:rsidRPr="00A84C18">
        <w:rPr>
          <w:rFonts w:ascii="Times New Roman" w:hAnsi="Times New Roman" w:cs="Times New Roman"/>
          <w:i/>
          <w:sz w:val="24"/>
          <w:szCs w:val="24"/>
        </w:rPr>
        <w:t>Review of Quantitative Finance and Accounting,</w:t>
      </w:r>
      <w:r w:rsidRPr="00A84C18">
        <w:rPr>
          <w:rFonts w:ascii="Times New Roman" w:hAnsi="Times New Roman" w:cs="Times New Roman"/>
          <w:sz w:val="24"/>
          <w:szCs w:val="24"/>
        </w:rPr>
        <w:t xml:space="preserve"> 47(4), 1221–1250.</w:t>
      </w:r>
    </w:p>
    <w:p w14:paraId="554B161A"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Lodhia, S. (2014).  Exploring the Transition to Integrated Reporting Through a Practice Lens: An Australian Customer Owned Bank Perspective.  </w:t>
      </w:r>
      <w:r w:rsidRPr="00A84C18">
        <w:rPr>
          <w:rFonts w:ascii="Times New Roman" w:hAnsi="Times New Roman" w:cs="Times New Roman"/>
          <w:i/>
          <w:sz w:val="24"/>
          <w:szCs w:val="24"/>
        </w:rPr>
        <w:t>J Bus Ethics</w:t>
      </w:r>
      <w:r w:rsidRPr="00A84C18">
        <w:rPr>
          <w:rFonts w:ascii="Times New Roman" w:hAnsi="Times New Roman" w:cs="Times New Roman"/>
          <w:sz w:val="24"/>
          <w:szCs w:val="24"/>
        </w:rPr>
        <w:t xml:space="preserve">, 129 (1),585-598. </w:t>
      </w:r>
    </w:p>
    <w:p w14:paraId="3C9BC06F"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Raju, K. K. (2015). Communicating value to the stake holders: A case study of Tata Steel Company Ltd. </w:t>
      </w:r>
      <w:r w:rsidRPr="00A84C18">
        <w:rPr>
          <w:rFonts w:ascii="Times New Roman" w:hAnsi="Times New Roman" w:cs="Times New Roman"/>
          <w:i/>
          <w:sz w:val="24"/>
          <w:szCs w:val="24"/>
        </w:rPr>
        <w:t>The Management Accountant,</w:t>
      </w:r>
      <w:r w:rsidRPr="00A84C18">
        <w:rPr>
          <w:rFonts w:ascii="Times New Roman" w:hAnsi="Times New Roman" w:cs="Times New Roman"/>
          <w:sz w:val="24"/>
          <w:szCs w:val="24"/>
        </w:rPr>
        <w:t xml:space="preserve"> 50 (1), 34–35.</w:t>
      </w:r>
    </w:p>
    <w:p w14:paraId="3E3225C3"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Rinaldi, L., Unerman, J., &amp; de Villiers, C., (2018). Evaluating the integrated reporting journey: insights, gaps and agendas for future research. </w:t>
      </w:r>
      <w:r w:rsidRPr="00A84C18">
        <w:rPr>
          <w:rFonts w:ascii="Times New Roman" w:hAnsi="Times New Roman" w:cs="Times New Roman"/>
          <w:i/>
          <w:sz w:val="24"/>
          <w:szCs w:val="24"/>
        </w:rPr>
        <w:t>Account. Audit. Account. J,</w:t>
      </w:r>
      <w:r w:rsidRPr="00A84C18">
        <w:rPr>
          <w:rFonts w:ascii="Times New Roman" w:hAnsi="Times New Roman" w:cs="Times New Roman"/>
          <w:sz w:val="24"/>
          <w:szCs w:val="24"/>
        </w:rPr>
        <w:t xml:space="preserve"> 31 (5), 1294–1318.</w:t>
      </w:r>
    </w:p>
    <w:p w14:paraId="24DF6F9A"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Thiagarajan, A., &amp;Baul, U. (2014). Holistic intellectual capital conceptual offering for empirical research and business application. </w:t>
      </w:r>
      <w:r w:rsidRPr="00A84C18">
        <w:rPr>
          <w:rFonts w:ascii="Times New Roman" w:hAnsi="Times New Roman" w:cs="Times New Roman"/>
          <w:i/>
          <w:sz w:val="24"/>
          <w:szCs w:val="24"/>
        </w:rPr>
        <w:t>International Journal of Management</w:t>
      </w:r>
      <w:r w:rsidRPr="00A84C18">
        <w:rPr>
          <w:rFonts w:ascii="Times New Roman" w:hAnsi="Times New Roman" w:cs="Times New Roman"/>
          <w:sz w:val="24"/>
          <w:szCs w:val="24"/>
        </w:rPr>
        <w:t>, 3(1), 31–50.</w:t>
      </w:r>
    </w:p>
    <w:p w14:paraId="00A58BCC" w14:textId="77777777" w:rsidR="00C8237E" w:rsidRPr="00A84C18" w:rsidRDefault="00C8237E" w:rsidP="000019F2">
      <w:pPr>
        <w:spacing w:after="0" w:line="360" w:lineRule="auto"/>
        <w:ind w:left="340" w:hanging="340"/>
        <w:jc w:val="both"/>
        <w:rPr>
          <w:rFonts w:ascii="Times New Roman" w:hAnsi="Times New Roman" w:cs="Times New Roman"/>
          <w:sz w:val="24"/>
          <w:szCs w:val="24"/>
          <w:lang w:val="en-IN"/>
        </w:rPr>
      </w:pPr>
      <w:r w:rsidRPr="00A84C18">
        <w:rPr>
          <w:rFonts w:ascii="Times New Roman" w:hAnsi="Times New Roman" w:cs="Times New Roman"/>
          <w:sz w:val="24"/>
          <w:szCs w:val="24"/>
          <w:lang w:val="en-IN"/>
        </w:rPr>
        <w:t xml:space="preserve">Warren, M. (2019) Does external assurance contribute to higher quality integrated reports? </w:t>
      </w:r>
      <w:r w:rsidRPr="00A84C18">
        <w:rPr>
          <w:rFonts w:ascii="Times New Roman" w:hAnsi="Times New Roman" w:cs="Times New Roman"/>
          <w:i/>
          <w:sz w:val="24"/>
          <w:szCs w:val="24"/>
          <w:lang w:val="en-IN"/>
        </w:rPr>
        <w:t>J. Account. Public Policy,</w:t>
      </w:r>
      <w:r w:rsidRPr="00A84C18">
        <w:rPr>
          <w:rFonts w:ascii="Times New Roman" w:hAnsi="Times New Roman" w:cs="Times New Roman"/>
          <w:sz w:val="24"/>
          <w:szCs w:val="24"/>
          <w:lang w:val="en-IN"/>
        </w:rPr>
        <w:t>38 (4),1-23.</w:t>
      </w:r>
    </w:p>
    <w:p w14:paraId="69F0C7A8" w14:textId="77777777" w:rsidR="00C8237E" w:rsidRPr="00A84C18"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lastRenderedPageBreak/>
        <w:t xml:space="preserve">Wen, L. &amp; Angeline, Y. (2017) Integrated reporting and financial performance: Evidence from Malaysia. </w:t>
      </w:r>
      <w:r w:rsidRPr="00A84C18">
        <w:rPr>
          <w:rFonts w:ascii="Times New Roman" w:hAnsi="Times New Roman" w:cs="Times New Roman"/>
          <w:i/>
          <w:sz w:val="24"/>
          <w:szCs w:val="24"/>
        </w:rPr>
        <w:t>Manage Accounting Rev</w:t>
      </w:r>
      <w:r w:rsidRPr="00A84C18">
        <w:rPr>
          <w:rFonts w:ascii="Times New Roman" w:hAnsi="Times New Roman" w:cs="Times New Roman"/>
          <w:sz w:val="24"/>
          <w:szCs w:val="24"/>
        </w:rPr>
        <w:t>, 16 (1), 101-130.</w:t>
      </w:r>
    </w:p>
    <w:p w14:paraId="55285ADD" w14:textId="77777777" w:rsidR="00C8237E" w:rsidRPr="00A84C18" w:rsidRDefault="00C8237E" w:rsidP="000019F2">
      <w:pPr>
        <w:spacing w:after="0" w:line="360" w:lineRule="auto"/>
        <w:ind w:left="340" w:hanging="340"/>
        <w:jc w:val="both"/>
        <w:rPr>
          <w:rFonts w:ascii="Times New Roman" w:hAnsi="Times New Roman" w:cs="Times New Roman"/>
          <w:sz w:val="24"/>
          <w:szCs w:val="24"/>
          <w:lang w:val="en-IN"/>
        </w:rPr>
      </w:pPr>
      <w:r w:rsidRPr="00A84C18">
        <w:rPr>
          <w:rFonts w:ascii="Times New Roman" w:hAnsi="Times New Roman" w:cs="Times New Roman"/>
          <w:sz w:val="24"/>
          <w:szCs w:val="24"/>
        </w:rPr>
        <w:t>Yu, K., Du, S., &amp; Bhattacharya, C. B. (2014). Everybody’s talking but is anybody listening? Stock market reactions to corporate social responsibility communications. Working paper.</w:t>
      </w:r>
    </w:p>
    <w:p w14:paraId="0832A5A2" w14:textId="19C2B614" w:rsidR="00C8237E" w:rsidRDefault="00C8237E" w:rsidP="000019F2">
      <w:pPr>
        <w:spacing w:after="0" w:line="360" w:lineRule="auto"/>
        <w:ind w:left="340" w:hanging="340"/>
        <w:jc w:val="both"/>
        <w:rPr>
          <w:rFonts w:ascii="Times New Roman" w:hAnsi="Times New Roman" w:cs="Times New Roman"/>
          <w:sz w:val="24"/>
          <w:szCs w:val="24"/>
        </w:rPr>
      </w:pPr>
      <w:r w:rsidRPr="00A84C18">
        <w:rPr>
          <w:rFonts w:ascii="Times New Roman" w:hAnsi="Times New Roman" w:cs="Times New Roman"/>
          <w:sz w:val="24"/>
          <w:szCs w:val="24"/>
        </w:rPr>
        <w:t xml:space="preserve">Zhou, S., Simnett, R., &amp; Green, W., (2017). Does Integrated reporting matter to the capital market? </w:t>
      </w:r>
      <w:r w:rsidRPr="00A84C18">
        <w:rPr>
          <w:rFonts w:ascii="Times New Roman" w:hAnsi="Times New Roman" w:cs="Times New Roman"/>
          <w:i/>
          <w:sz w:val="24"/>
          <w:szCs w:val="24"/>
        </w:rPr>
        <w:t>Abacus,</w:t>
      </w:r>
      <w:r w:rsidRPr="00A84C18">
        <w:rPr>
          <w:rFonts w:ascii="Times New Roman" w:hAnsi="Times New Roman" w:cs="Times New Roman"/>
          <w:sz w:val="24"/>
          <w:szCs w:val="24"/>
        </w:rPr>
        <w:t xml:space="preserve"> 53 (1), 94–132.</w:t>
      </w:r>
    </w:p>
    <w:sectPr w:rsidR="00C8237E" w:rsidSect="00097F22">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B917C" w14:textId="77777777" w:rsidR="00744962" w:rsidRDefault="00744962" w:rsidP="001724C4">
      <w:pPr>
        <w:spacing w:after="0" w:line="240" w:lineRule="auto"/>
      </w:pPr>
      <w:r>
        <w:separator/>
      </w:r>
    </w:p>
  </w:endnote>
  <w:endnote w:type="continuationSeparator" w:id="0">
    <w:p w14:paraId="3EB164FE" w14:textId="77777777" w:rsidR="00744962" w:rsidRDefault="00744962" w:rsidP="00172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102311"/>
      <w:docPartObj>
        <w:docPartGallery w:val="Page Numbers (Bottom of Page)"/>
        <w:docPartUnique/>
      </w:docPartObj>
    </w:sdtPr>
    <w:sdtEndPr>
      <w:rPr>
        <w:noProof/>
      </w:rPr>
    </w:sdtEndPr>
    <w:sdtContent>
      <w:p w14:paraId="2AD43050" w14:textId="77777777" w:rsidR="008F2B0B" w:rsidRDefault="00997191">
        <w:pPr>
          <w:pStyle w:val="Footer"/>
          <w:jc w:val="right"/>
        </w:pPr>
        <w:r>
          <w:fldChar w:fldCharType="begin"/>
        </w:r>
        <w:r>
          <w:instrText xml:space="preserve"> PAGE   \* MERGEFORMAT </w:instrText>
        </w:r>
        <w:r>
          <w:fldChar w:fldCharType="separate"/>
        </w:r>
        <w:r w:rsidR="004A5BBF">
          <w:rPr>
            <w:noProof/>
          </w:rPr>
          <w:t>1</w:t>
        </w:r>
        <w:r>
          <w:rPr>
            <w:noProof/>
          </w:rPr>
          <w:fldChar w:fldCharType="end"/>
        </w:r>
      </w:p>
    </w:sdtContent>
  </w:sdt>
  <w:p w14:paraId="294E2A6E" w14:textId="77777777" w:rsidR="008F2B0B" w:rsidRDefault="008F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CC90" w14:textId="77777777" w:rsidR="00744962" w:rsidRDefault="00744962" w:rsidP="001724C4">
      <w:pPr>
        <w:spacing w:after="0" w:line="240" w:lineRule="auto"/>
      </w:pPr>
      <w:r>
        <w:separator/>
      </w:r>
    </w:p>
  </w:footnote>
  <w:footnote w:type="continuationSeparator" w:id="0">
    <w:p w14:paraId="2751B968" w14:textId="77777777" w:rsidR="00744962" w:rsidRDefault="00744962" w:rsidP="00172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882"/>
    <w:multiLevelType w:val="hybridMultilevel"/>
    <w:tmpl w:val="53ECE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3E6FC0"/>
    <w:multiLevelType w:val="hybridMultilevel"/>
    <w:tmpl w:val="B5D653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B1382C"/>
    <w:multiLevelType w:val="hybridMultilevel"/>
    <w:tmpl w:val="B5D65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0815770">
    <w:abstractNumId w:val="2"/>
  </w:num>
  <w:num w:numId="2" w16cid:durableId="1763378301">
    <w:abstractNumId w:val="1"/>
  </w:num>
  <w:num w:numId="3" w16cid:durableId="46782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24C4"/>
    <w:rsid w:val="00001045"/>
    <w:rsid w:val="000019F2"/>
    <w:rsid w:val="0000428D"/>
    <w:rsid w:val="00004EE2"/>
    <w:rsid w:val="00006C39"/>
    <w:rsid w:val="00010649"/>
    <w:rsid w:val="00015602"/>
    <w:rsid w:val="00016371"/>
    <w:rsid w:val="0002286C"/>
    <w:rsid w:val="0002378F"/>
    <w:rsid w:val="0003454C"/>
    <w:rsid w:val="00037052"/>
    <w:rsid w:val="00037C23"/>
    <w:rsid w:val="0004244A"/>
    <w:rsid w:val="000444EA"/>
    <w:rsid w:val="00050194"/>
    <w:rsid w:val="00056BE5"/>
    <w:rsid w:val="00062C7A"/>
    <w:rsid w:val="00063F5D"/>
    <w:rsid w:val="00064342"/>
    <w:rsid w:val="00065FFD"/>
    <w:rsid w:val="00077968"/>
    <w:rsid w:val="000813AB"/>
    <w:rsid w:val="00081E60"/>
    <w:rsid w:val="00082C3A"/>
    <w:rsid w:val="00082F78"/>
    <w:rsid w:val="000844A5"/>
    <w:rsid w:val="000864CF"/>
    <w:rsid w:val="00086CF7"/>
    <w:rsid w:val="00091CD6"/>
    <w:rsid w:val="00097F22"/>
    <w:rsid w:val="000A05D4"/>
    <w:rsid w:val="000A1EC3"/>
    <w:rsid w:val="000A3EF7"/>
    <w:rsid w:val="000B19B8"/>
    <w:rsid w:val="000C336E"/>
    <w:rsid w:val="000C4287"/>
    <w:rsid w:val="000C4311"/>
    <w:rsid w:val="000C541A"/>
    <w:rsid w:val="000D067A"/>
    <w:rsid w:val="000D1462"/>
    <w:rsid w:val="000D1C8A"/>
    <w:rsid w:val="000D25D0"/>
    <w:rsid w:val="000D62A9"/>
    <w:rsid w:val="000E5648"/>
    <w:rsid w:val="000E7CF8"/>
    <w:rsid w:val="000F3F70"/>
    <w:rsid w:val="000F4964"/>
    <w:rsid w:val="000F6616"/>
    <w:rsid w:val="00102751"/>
    <w:rsid w:val="001033BE"/>
    <w:rsid w:val="0010586E"/>
    <w:rsid w:val="0010592D"/>
    <w:rsid w:val="0010740D"/>
    <w:rsid w:val="001112F3"/>
    <w:rsid w:val="001144CE"/>
    <w:rsid w:val="001267FC"/>
    <w:rsid w:val="0013066A"/>
    <w:rsid w:val="00133D92"/>
    <w:rsid w:val="00135244"/>
    <w:rsid w:val="00136412"/>
    <w:rsid w:val="00137ECC"/>
    <w:rsid w:val="00147427"/>
    <w:rsid w:val="0015063E"/>
    <w:rsid w:val="001554DE"/>
    <w:rsid w:val="0015668E"/>
    <w:rsid w:val="00157939"/>
    <w:rsid w:val="001675D1"/>
    <w:rsid w:val="00170802"/>
    <w:rsid w:val="00171A68"/>
    <w:rsid w:val="001724C4"/>
    <w:rsid w:val="001737E7"/>
    <w:rsid w:val="00173901"/>
    <w:rsid w:val="00173D74"/>
    <w:rsid w:val="00175F41"/>
    <w:rsid w:val="00177729"/>
    <w:rsid w:val="001777AE"/>
    <w:rsid w:val="00181DF7"/>
    <w:rsid w:val="00182C67"/>
    <w:rsid w:val="00186744"/>
    <w:rsid w:val="00191B99"/>
    <w:rsid w:val="00192653"/>
    <w:rsid w:val="001928CD"/>
    <w:rsid w:val="00194869"/>
    <w:rsid w:val="001957B3"/>
    <w:rsid w:val="001A0C8E"/>
    <w:rsid w:val="001A40DA"/>
    <w:rsid w:val="001A5358"/>
    <w:rsid w:val="001A7625"/>
    <w:rsid w:val="001A7D29"/>
    <w:rsid w:val="001B138B"/>
    <w:rsid w:val="001B3745"/>
    <w:rsid w:val="001B4020"/>
    <w:rsid w:val="001B42D8"/>
    <w:rsid w:val="001B5587"/>
    <w:rsid w:val="001B7670"/>
    <w:rsid w:val="001C0757"/>
    <w:rsid w:val="001C4CAB"/>
    <w:rsid w:val="001C5AEB"/>
    <w:rsid w:val="001C5ECE"/>
    <w:rsid w:val="001C6128"/>
    <w:rsid w:val="001C7BF5"/>
    <w:rsid w:val="001D1FF9"/>
    <w:rsid w:val="001D412B"/>
    <w:rsid w:val="001E33DB"/>
    <w:rsid w:val="001E4266"/>
    <w:rsid w:val="001E64B3"/>
    <w:rsid w:val="001E7BF0"/>
    <w:rsid w:val="001F3AA1"/>
    <w:rsid w:val="002054BE"/>
    <w:rsid w:val="00205561"/>
    <w:rsid w:val="00211B88"/>
    <w:rsid w:val="00222926"/>
    <w:rsid w:val="00224892"/>
    <w:rsid w:val="0022562A"/>
    <w:rsid w:val="002270F8"/>
    <w:rsid w:val="00230253"/>
    <w:rsid w:val="00230C16"/>
    <w:rsid w:val="00234619"/>
    <w:rsid w:val="00234A86"/>
    <w:rsid w:val="0023643A"/>
    <w:rsid w:val="0024706B"/>
    <w:rsid w:val="00250F30"/>
    <w:rsid w:val="00251D99"/>
    <w:rsid w:val="002523C3"/>
    <w:rsid w:val="00255630"/>
    <w:rsid w:val="00260ED0"/>
    <w:rsid w:val="002613F9"/>
    <w:rsid w:val="00262BE2"/>
    <w:rsid w:val="00262DCC"/>
    <w:rsid w:val="0027129D"/>
    <w:rsid w:val="0027406D"/>
    <w:rsid w:val="002762AC"/>
    <w:rsid w:val="0028422A"/>
    <w:rsid w:val="002913CD"/>
    <w:rsid w:val="00294587"/>
    <w:rsid w:val="002A1D3F"/>
    <w:rsid w:val="002A36A2"/>
    <w:rsid w:val="002A5B60"/>
    <w:rsid w:val="002A6D97"/>
    <w:rsid w:val="002B0145"/>
    <w:rsid w:val="002B2670"/>
    <w:rsid w:val="002B36A4"/>
    <w:rsid w:val="002B37B5"/>
    <w:rsid w:val="002B479C"/>
    <w:rsid w:val="002B68FB"/>
    <w:rsid w:val="002B6F21"/>
    <w:rsid w:val="002C56DF"/>
    <w:rsid w:val="002C5CBF"/>
    <w:rsid w:val="002D1CD7"/>
    <w:rsid w:val="002E0B22"/>
    <w:rsid w:val="002E3208"/>
    <w:rsid w:val="002F0696"/>
    <w:rsid w:val="002F20DF"/>
    <w:rsid w:val="002F2EA7"/>
    <w:rsid w:val="00304436"/>
    <w:rsid w:val="00311879"/>
    <w:rsid w:val="003124CD"/>
    <w:rsid w:val="00316193"/>
    <w:rsid w:val="003240A4"/>
    <w:rsid w:val="00324644"/>
    <w:rsid w:val="003321BA"/>
    <w:rsid w:val="0033275A"/>
    <w:rsid w:val="00334C4E"/>
    <w:rsid w:val="003367ED"/>
    <w:rsid w:val="003375B3"/>
    <w:rsid w:val="00337EAD"/>
    <w:rsid w:val="00340962"/>
    <w:rsid w:val="00345F4C"/>
    <w:rsid w:val="00352DF0"/>
    <w:rsid w:val="00352E5E"/>
    <w:rsid w:val="0035509D"/>
    <w:rsid w:val="00357B53"/>
    <w:rsid w:val="003601A0"/>
    <w:rsid w:val="003604D2"/>
    <w:rsid w:val="0036362B"/>
    <w:rsid w:val="003655B6"/>
    <w:rsid w:val="0037097E"/>
    <w:rsid w:val="00371E05"/>
    <w:rsid w:val="0037649C"/>
    <w:rsid w:val="0038412A"/>
    <w:rsid w:val="00386BCE"/>
    <w:rsid w:val="00390FC0"/>
    <w:rsid w:val="00393DA0"/>
    <w:rsid w:val="003949F6"/>
    <w:rsid w:val="00395A44"/>
    <w:rsid w:val="003A014E"/>
    <w:rsid w:val="003A56B6"/>
    <w:rsid w:val="003B05C5"/>
    <w:rsid w:val="003B7C8C"/>
    <w:rsid w:val="003C0325"/>
    <w:rsid w:val="003C3BF5"/>
    <w:rsid w:val="003C3C11"/>
    <w:rsid w:val="003C4014"/>
    <w:rsid w:val="003C5D6D"/>
    <w:rsid w:val="003D2F4E"/>
    <w:rsid w:val="003E1A26"/>
    <w:rsid w:val="003E321A"/>
    <w:rsid w:val="003E4359"/>
    <w:rsid w:val="003E57FB"/>
    <w:rsid w:val="003E6BFE"/>
    <w:rsid w:val="003F13FA"/>
    <w:rsid w:val="00401791"/>
    <w:rsid w:val="004034B1"/>
    <w:rsid w:val="00404C7A"/>
    <w:rsid w:val="00406214"/>
    <w:rsid w:val="00406A84"/>
    <w:rsid w:val="00417662"/>
    <w:rsid w:val="00420CF0"/>
    <w:rsid w:val="00423007"/>
    <w:rsid w:val="004232C7"/>
    <w:rsid w:val="004356D5"/>
    <w:rsid w:val="00435BFB"/>
    <w:rsid w:val="00436A5C"/>
    <w:rsid w:val="004405EA"/>
    <w:rsid w:val="004560B2"/>
    <w:rsid w:val="00456214"/>
    <w:rsid w:val="004565C3"/>
    <w:rsid w:val="00465AA0"/>
    <w:rsid w:val="0046778F"/>
    <w:rsid w:val="0047158C"/>
    <w:rsid w:val="0049022C"/>
    <w:rsid w:val="004924F1"/>
    <w:rsid w:val="004958A6"/>
    <w:rsid w:val="004A042D"/>
    <w:rsid w:val="004A1373"/>
    <w:rsid w:val="004A13EA"/>
    <w:rsid w:val="004A5B7C"/>
    <w:rsid w:val="004A5BBF"/>
    <w:rsid w:val="004A5BFE"/>
    <w:rsid w:val="004B4971"/>
    <w:rsid w:val="004B6A71"/>
    <w:rsid w:val="004B7086"/>
    <w:rsid w:val="004C07AA"/>
    <w:rsid w:val="004C531B"/>
    <w:rsid w:val="004D6C84"/>
    <w:rsid w:val="004E0890"/>
    <w:rsid w:val="004E113C"/>
    <w:rsid w:val="004E1316"/>
    <w:rsid w:val="004E5393"/>
    <w:rsid w:val="004E736F"/>
    <w:rsid w:val="004F0510"/>
    <w:rsid w:val="004F05D6"/>
    <w:rsid w:val="004F068A"/>
    <w:rsid w:val="004F20C9"/>
    <w:rsid w:val="004F21F1"/>
    <w:rsid w:val="004F4B04"/>
    <w:rsid w:val="005006F4"/>
    <w:rsid w:val="005010E4"/>
    <w:rsid w:val="00501838"/>
    <w:rsid w:val="005031BE"/>
    <w:rsid w:val="005033B3"/>
    <w:rsid w:val="00507C8B"/>
    <w:rsid w:val="0051507D"/>
    <w:rsid w:val="00524A64"/>
    <w:rsid w:val="00526D9B"/>
    <w:rsid w:val="00533D3E"/>
    <w:rsid w:val="0053578C"/>
    <w:rsid w:val="005369B2"/>
    <w:rsid w:val="00536B16"/>
    <w:rsid w:val="00536D88"/>
    <w:rsid w:val="0054014D"/>
    <w:rsid w:val="00540FD9"/>
    <w:rsid w:val="005412FE"/>
    <w:rsid w:val="00553526"/>
    <w:rsid w:val="005560D1"/>
    <w:rsid w:val="00556EB1"/>
    <w:rsid w:val="0056417F"/>
    <w:rsid w:val="005720C0"/>
    <w:rsid w:val="00573A66"/>
    <w:rsid w:val="00575B22"/>
    <w:rsid w:val="005772FF"/>
    <w:rsid w:val="005819EC"/>
    <w:rsid w:val="00581CAF"/>
    <w:rsid w:val="0058565B"/>
    <w:rsid w:val="005858E2"/>
    <w:rsid w:val="00590EF1"/>
    <w:rsid w:val="0059304D"/>
    <w:rsid w:val="00593790"/>
    <w:rsid w:val="00594A65"/>
    <w:rsid w:val="00594D84"/>
    <w:rsid w:val="005A1D2C"/>
    <w:rsid w:val="005B1631"/>
    <w:rsid w:val="005C299D"/>
    <w:rsid w:val="005C2B50"/>
    <w:rsid w:val="005C36A4"/>
    <w:rsid w:val="005C3E1E"/>
    <w:rsid w:val="005D0583"/>
    <w:rsid w:val="005D3614"/>
    <w:rsid w:val="005D3F5C"/>
    <w:rsid w:val="005E1AC0"/>
    <w:rsid w:val="005E28E5"/>
    <w:rsid w:val="005E61AC"/>
    <w:rsid w:val="005E73CD"/>
    <w:rsid w:val="005E77CB"/>
    <w:rsid w:val="005F400A"/>
    <w:rsid w:val="005F668C"/>
    <w:rsid w:val="005F73BC"/>
    <w:rsid w:val="0060303A"/>
    <w:rsid w:val="0060473B"/>
    <w:rsid w:val="006048E9"/>
    <w:rsid w:val="0060633B"/>
    <w:rsid w:val="006115F4"/>
    <w:rsid w:val="00612174"/>
    <w:rsid w:val="0061322A"/>
    <w:rsid w:val="00616A6D"/>
    <w:rsid w:val="00617DE6"/>
    <w:rsid w:val="0062008E"/>
    <w:rsid w:val="006227C7"/>
    <w:rsid w:val="006232A0"/>
    <w:rsid w:val="006259A2"/>
    <w:rsid w:val="006309EC"/>
    <w:rsid w:val="006366FB"/>
    <w:rsid w:val="006372ED"/>
    <w:rsid w:val="00637DD2"/>
    <w:rsid w:val="0064506C"/>
    <w:rsid w:val="006467F9"/>
    <w:rsid w:val="006516AB"/>
    <w:rsid w:val="0065603B"/>
    <w:rsid w:val="006579D8"/>
    <w:rsid w:val="00664FD0"/>
    <w:rsid w:val="00666945"/>
    <w:rsid w:val="00667D9C"/>
    <w:rsid w:val="00673BAF"/>
    <w:rsid w:val="0067626B"/>
    <w:rsid w:val="006819F8"/>
    <w:rsid w:val="00682D1B"/>
    <w:rsid w:val="00684523"/>
    <w:rsid w:val="00684BF4"/>
    <w:rsid w:val="006877B3"/>
    <w:rsid w:val="00690671"/>
    <w:rsid w:val="006906E5"/>
    <w:rsid w:val="00696561"/>
    <w:rsid w:val="00696998"/>
    <w:rsid w:val="0069700F"/>
    <w:rsid w:val="006A0F9F"/>
    <w:rsid w:val="006A15CB"/>
    <w:rsid w:val="006A4692"/>
    <w:rsid w:val="006A7497"/>
    <w:rsid w:val="006B0D21"/>
    <w:rsid w:val="006B2002"/>
    <w:rsid w:val="006B4C87"/>
    <w:rsid w:val="006B74C1"/>
    <w:rsid w:val="006C47D4"/>
    <w:rsid w:val="006D0286"/>
    <w:rsid w:val="006D1F5A"/>
    <w:rsid w:val="006D3431"/>
    <w:rsid w:val="006D343C"/>
    <w:rsid w:val="006E0247"/>
    <w:rsid w:val="006E102B"/>
    <w:rsid w:val="006E1758"/>
    <w:rsid w:val="006E274A"/>
    <w:rsid w:val="006E369D"/>
    <w:rsid w:val="006E4C36"/>
    <w:rsid w:val="006E4DD3"/>
    <w:rsid w:val="006F059C"/>
    <w:rsid w:val="006F1F83"/>
    <w:rsid w:val="006F6C3A"/>
    <w:rsid w:val="00702E91"/>
    <w:rsid w:val="0070600D"/>
    <w:rsid w:val="007068EF"/>
    <w:rsid w:val="00715570"/>
    <w:rsid w:val="00716F09"/>
    <w:rsid w:val="0072278A"/>
    <w:rsid w:val="00727A4D"/>
    <w:rsid w:val="007301F2"/>
    <w:rsid w:val="007340C1"/>
    <w:rsid w:val="0073535D"/>
    <w:rsid w:val="00735713"/>
    <w:rsid w:val="007361B6"/>
    <w:rsid w:val="0073695E"/>
    <w:rsid w:val="0074221D"/>
    <w:rsid w:val="00744962"/>
    <w:rsid w:val="00744E8C"/>
    <w:rsid w:val="00746ABB"/>
    <w:rsid w:val="007470E3"/>
    <w:rsid w:val="00751B64"/>
    <w:rsid w:val="00756134"/>
    <w:rsid w:val="0076345A"/>
    <w:rsid w:val="00764CA3"/>
    <w:rsid w:val="00765A31"/>
    <w:rsid w:val="00771BAA"/>
    <w:rsid w:val="0078140C"/>
    <w:rsid w:val="00784631"/>
    <w:rsid w:val="00785537"/>
    <w:rsid w:val="00786934"/>
    <w:rsid w:val="00786D37"/>
    <w:rsid w:val="0079117D"/>
    <w:rsid w:val="00793967"/>
    <w:rsid w:val="00793FD9"/>
    <w:rsid w:val="007A1762"/>
    <w:rsid w:val="007A4436"/>
    <w:rsid w:val="007B1FA4"/>
    <w:rsid w:val="007B2956"/>
    <w:rsid w:val="007B2B8C"/>
    <w:rsid w:val="007C42E8"/>
    <w:rsid w:val="007C4A10"/>
    <w:rsid w:val="007C786E"/>
    <w:rsid w:val="007D3758"/>
    <w:rsid w:val="007D617F"/>
    <w:rsid w:val="007E1CBB"/>
    <w:rsid w:val="007E30AF"/>
    <w:rsid w:val="007E6847"/>
    <w:rsid w:val="007F259A"/>
    <w:rsid w:val="007F51BD"/>
    <w:rsid w:val="007F5F3F"/>
    <w:rsid w:val="007F610B"/>
    <w:rsid w:val="00812427"/>
    <w:rsid w:val="00814F1E"/>
    <w:rsid w:val="0081770F"/>
    <w:rsid w:val="0082046B"/>
    <w:rsid w:val="00820CCA"/>
    <w:rsid w:val="008220B6"/>
    <w:rsid w:val="00822DDE"/>
    <w:rsid w:val="00826A43"/>
    <w:rsid w:val="0083104D"/>
    <w:rsid w:val="008338D7"/>
    <w:rsid w:val="00834BC0"/>
    <w:rsid w:val="00835674"/>
    <w:rsid w:val="00840C79"/>
    <w:rsid w:val="00841D00"/>
    <w:rsid w:val="00844828"/>
    <w:rsid w:val="0084494B"/>
    <w:rsid w:val="008465F4"/>
    <w:rsid w:val="00846F62"/>
    <w:rsid w:val="00850CC4"/>
    <w:rsid w:val="0086080F"/>
    <w:rsid w:val="00864134"/>
    <w:rsid w:val="00871C13"/>
    <w:rsid w:val="00880034"/>
    <w:rsid w:val="0089243E"/>
    <w:rsid w:val="008B03EA"/>
    <w:rsid w:val="008B056C"/>
    <w:rsid w:val="008B1DFA"/>
    <w:rsid w:val="008B648C"/>
    <w:rsid w:val="008B7BE7"/>
    <w:rsid w:val="008C0A3E"/>
    <w:rsid w:val="008C2273"/>
    <w:rsid w:val="008C7AF9"/>
    <w:rsid w:val="008D3FCA"/>
    <w:rsid w:val="008D5F06"/>
    <w:rsid w:val="008E417B"/>
    <w:rsid w:val="008E5C92"/>
    <w:rsid w:val="008F10F6"/>
    <w:rsid w:val="008F2B0B"/>
    <w:rsid w:val="008F44C3"/>
    <w:rsid w:val="008F6E4E"/>
    <w:rsid w:val="008F7C59"/>
    <w:rsid w:val="009009A7"/>
    <w:rsid w:val="00900F4B"/>
    <w:rsid w:val="0090157A"/>
    <w:rsid w:val="00902989"/>
    <w:rsid w:val="009037A0"/>
    <w:rsid w:val="00905322"/>
    <w:rsid w:val="009114CB"/>
    <w:rsid w:val="0091485E"/>
    <w:rsid w:val="00917435"/>
    <w:rsid w:val="0093057C"/>
    <w:rsid w:val="00933BCE"/>
    <w:rsid w:val="00934846"/>
    <w:rsid w:val="00950F17"/>
    <w:rsid w:val="009534F0"/>
    <w:rsid w:val="009553EF"/>
    <w:rsid w:val="00962AD0"/>
    <w:rsid w:val="00963A0D"/>
    <w:rsid w:val="00965B69"/>
    <w:rsid w:val="00970E48"/>
    <w:rsid w:val="009733DF"/>
    <w:rsid w:val="0098416E"/>
    <w:rsid w:val="00987927"/>
    <w:rsid w:val="00992B21"/>
    <w:rsid w:val="00997191"/>
    <w:rsid w:val="009A1015"/>
    <w:rsid w:val="009A1F3B"/>
    <w:rsid w:val="009A5075"/>
    <w:rsid w:val="009A616D"/>
    <w:rsid w:val="009A77FC"/>
    <w:rsid w:val="009B14EB"/>
    <w:rsid w:val="009B1DC2"/>
    <w:rsid w:val="009B72CA"/>
    <w:rsid w:val="009C1602"/>
    <w:rsid w:val="009C1899"/>
    <w:rsid w:val="009C222F"/>
    <w:rsid w:val="009C2A23"/>
    <w:rsid w:val="009D4719"/>
    <w:rsid w:val="009D6571"/>
    <w:rsid w:val="009E02F1"/>
    <w:rsid w:val="009E1EA7"/>
    <w:rsid w:val="009E51E1"/>
    <w:rsid w:val="009E6806"/>
    <w:rsid w:val="009F050A"/>
    <w:rsid w:val="009F5AA9"/>
    <w:rsid w:val="009F7C6B"/>
    <w:rsid w:val="00A023B1"/>
    <w:rsid w:val="00A05969"/>
    <w:rsid w:val="00A05F84"/>
    <w:rsid w:val="00A13DE5"/>
    <w:rsid w:val="00A144C5"/>
    <w:rsid w:val="00A16BE6"/>
    <w:rsid w:val="00A22623"/>
    <w:rsid w:val="00A23CB6"/>
    <w:rsid w:val="00A26BE3"/>
    <w:rsid w:val="00A270EF"/>
    <w:rsid w:val="00A3071A"/>
    <w:rsid w:val="00A32A94"/>
    <w:rsid w:val="00A350A5"/>
    <w:rsid w:val="00A35FC0"/>
    <w:rsid w:val="00A37E0E"/>
    <w:rsid w:val="00A4059D"/>
    <w:rsid w:val="00A41412"/>
    <w:rsid w:val="00A46AB7"/>
    <w:rsid w:val="00A504E2"/>
    <w:rsid w:val="00A531CE"/>
    <w:rsid w:val="00A541F5"/>
    <w:rsid w:val="00A600DD"/>
    <w:rsid w:val="00A61597"/>
    <w:rsid w:val="00A83BE2"/>
    <w:rsid w:val="00A84B57"/>
    <w:rsid w:val="00A84C18"/>
    <w:rsid w:val="00AA0EA2"/>
    <w:rsid w:val="00AA2FD3"/>
    <w:rsid w:val="00AA3E17"/>
    <w:rsid w:val="00AA43B2"/>
    <w:rsid w:val="00AA5055"/>
    <w:rsid w:val="00AA5062"/>
    <w:rsid w:val="00AA6504"/>
    <w:rsid w:val="00AA728D"/>
    <w:rsid w:val="00AB1DB5"/>
    <w:rsid w:val="00AC4328"/>
    <w:rsid w:val="00AD2257"/>
    <w:rsid w:val="00AD2522"/>
    <w:rsid w:val="00AD6623"/>
    <w:rsid w:val="00AE1A68"/>
    <w:rsid w:val="00AE2312"/>
    <w:rsid w:val="00AE442A"/>
    <w:rsid w:val="00AE76B6"/>
    <w:rsid w:val="00AE76C2"/>
    <w:rsid w:val="00AF368C"/>
    <w:rsid w:val="00AF65FF"/>
    <w:rsid w:val="00AF69D9"/>
    <w:rsid w:val="00AF70E7"/>
    <w:rsid w:val="00B01D0B"/>
    <w:rsid w:val="00B01DDC"/>
    <w:rsid w:val="00B0359B"/>
    <w:rsid w:val="00B03E2D"/>
    <w:rsid w:val="00B11BAC"/>
    <w:rsid w:val="00B155D4"/>
    <w:rsid w:val="00B16F9E"/>
    <w:rsid w:val="00B20F9F"/>
    <w:rsid w:val="00B22DD2"/>
    <w:rsid w:val="00B25E09"/>
    <w:rsid w:val="00B26CA7"/>
    <w:rsid w:val="00B3664D"/>
    <w:rsid w:val="00B41658"/>
    <w:rsid w:val="00B447A8"/>
    <w:rsid w:val="00B477CA"/>
    <w:rsid w:val="00B47DD6"/>
    <w:rsid w:val="00B536B6"/>
    <w:rsid w:val="00B6178B"/>
    <w:rsid w:val="00B637D5"/>
    <w:rsid w:val="00B6473A"/>
    <w:rsid w:val="00B70325"/>
    <w:rsid w:val="00B750DD"/>
    <w:rsid w:val="00B77DDA"/>
    <w:rsid w:val="00B84025"/>
    <w:rsid w:val="00B90220"/>
    <w:rsid w:val="00B9113E"/>
    <w:rsid w:val="00B94733"/>
    <w:rsid w:val="00B94EE1"/>
    <w:rsid w:val="00BB165E"/>
    <w:rsid w:val="00BB2115"/>
    <w:rsid w:val="00BB70B6"/>
    <w:rsid w:val="00BC0A92"/>
    <w:rsid w:val="00BC37A1"/>
    <w:rsid w:val="00BC609F"/>
    <w:rsid w:val="00BD4D56"/>
    <w:rsid w:val="00BD7B4A"/>
    <w:rsid w:val="00BE18A8"/>
    <w:rsid w:val="00BE340F"/>
    <w:rsid w:val="00BF1C2A"/>
    <w:rsid w:val="00C05144"/>
    <w:rsid w:val="00C1633F"/>
    <w:rsid w:val="00C21359"/>
    <w:rsid w:val="00C23599"/>
    <w:rsid w:val="00C241E5"/>
    <w:rsid w:val="00C24281"/>
    <w:rsid w:val="00C3194E"/>
    <w:rsid w:val="00C31BF6"/>
    <w:rsid w:val="00C367F3"/>
    <w:rsid w:val="00C37654"/>
    <w:rsid w:val="00C412DA"/>
    <w:rsid w:val="00C42E9A"/>
    <w:rsid w:val="00C4607B"/>
    <w:rsid w:val="00C5184A"/>
    <w:rsid w:val="00C60798"/>
    <w:rsid w:val="00C615FC"/>
    <w:rsid w:val="00C6562A"/>
    <w:rsid w:val="00C65996"/>
    <w:rsid w:val="00C671E6"/>
    <w:rsid w:val="00C677B3"/>
    <w:rsid w:val="00C71480"/>
    <w:rsid w:val="00C739DC"/>
    <w:rsid w:val="00C74264"/>
    <w:rsid w:val="00C8237E"/>
    <w:rsid w:val="00C82644"/>
    <w:rsid w:val="00C8347D"/>
    <w:rsid w:val="00C86D78"/>
    <w:rsid w:val="00C91EC8"/>
    <w:rsid w:val="00C94B55"/>
    <w:rsid w:val="00C96E4F"/>
    <w:rsid w:val="00C9701A"/>
    <w:rsid w:val="00CA2EE0"/>
    <w:rsid w:val="00CA3E3A"/>
    <w:rsid w:val="00CA5731"/>
    <w:rsid w:val="00CA76E7"/>
    <w:rsid w:val="00CB1400"/>
    <w:rsid w:val="00CB15B2"/>
    <w:rsid w:val="00CB1CE2"/>
    <w:rsid w:val="00CB57AD"/>
    <w:rsid w:val="00CB6F92"/>
    <w:rsid w:val="00CC15FB"/>
    <w:rsid w:val="00CC26AA"/>
    <w:rsid w:val="00CC766D"/>
    <w:rsid w:val="00CC7EB9"/>
    <w:rsid w:val="00CD004E"/>
    <w:rsid w:val="00CD1EBD"/>
    <w:rsid w:val="00CD4EEF"/>
    <w:rsid w:val="00CD709A"/>
    <w:rsid w:val="00CE01C5"/>
    <w:rsid w:val="00CE09B5"/>
    <w:rsid w:val="00CE4B34"/>
    <w:rsid w:val="00CE7B29"/>
    <w:rsid w:val="00CF6FEB"/>
    <w:rsid w:val="00CF7601"/>
    <w:rsid w:val="00D00AA6"/>
    <w:rsid w:val="00D0151A"/>
    <w:rsid w:val="00D018F1"/>
    <w:rsid w:val="00D0252A"/>
    <w:rsid w:val="00D07C79"/>
    <w:rsid w:val="00D10710"/>
    <w:rsid w:val="00D10819"/>
    <w:rsid w:val="00D213C7"/>
    <w:rsid w:val="00D21B04"/>
    <w:rsid w:val="00D25942"/>
    <w:rsid w:val="00D25CE7"/>
    <w:rsid w:val="00D279FA"/>
    <w:rsid w:val="00D30588"/>
    <w:rsid w:val="00D35505"/>
    <w:rsid w:val="00D35A3A"/>
    <w:rsid w:val="00D35B05"/>
    <w:rsid w:val="00D35E00"/>
    <w:rsid w:val="00D4595E"/>
    <w:rsid w:val="00D46344"/>
    <w:rsid w:val="00D471B9"/>
    <w:rsid w:val="00D5000D"/>
    <w:rsid w:val="00D55F02"/>
    <w:rsid w:val="00D62FA1"/>
    <w:rsid w:val="00D650A0"/>
    <w:rsid w:val="00D6524D"/>
    <w:rsid w:val="00D7068E"/>
    <w:rsid w:val="00D7300E"/>
    <w:rsid w:val="00D90DA3"/>
    <w:rsid w:val="00D937F7"/>
    <w:rsid w:val="00D961AC"/>
    <w:rsid w:val="00DA36BE"/>
    <w:rsid w:val="00DA6611"/>
    <w:rsid w:val="00DA7F35"/>
    <w:rsid w:val="00DB2F7D"/>
    <w:rsid w:val="00DB3178"/>
    <w:rsid w:val="00DB4EC1"/>
    <w:rsid w:val="00DC3387"/>
    <w:rsid w:val="00DC7ECB"/>
    <w:rsid w:val="00DD2E2A"/>
    <w:rsid w:val="00DD542F"/>
    <w:rsid w:val="00DE0812"/>
    <w:rsid w:val="00DE198C"/>
    <w:rsid w:val="00DE2513"/>
    <w:rsid w:val="00DE2F45"/>
    <w:rsid w:val="00DE60A1"/>
    <w:rsid w:val="00DF19C0"/>
    <w:rsid w:val="00DF1AA8"/>
    <w:rsid w:val="00DF4199"/>
    <w:rsid w:val="00DF6D23"/>
    <w:rsid w:val="00DF7375"/>
    <w:rsid w:val="00E05B50"/>
    <w:rsid w:val="00E0639E"/>
    <w:rsid w:val="00E06439"/>
    <w:rsid w:val="00E06B3B"/>
    <w:rsid w:val="00E1031A"/>
    <w:rsid w:val="00E10752"/>
    <w:rsid w:val="00E14A8B"/>
    <w:rsid w:val="00E24B0B"/>
    <w:rsid w:val="00E412E3"/>
    <w:rsid w:val="00E44A93"/>
    <w:rsid w:val="00E45BA4"/>
    <w:rsid w:val="00E54DDC"/>
    <w:rsid w:val="00E6278F"/>
    <w:rsid w:val="00E6391A"/>
    <w:rsid w:val="00E63EDC"/>
    <w:rsid w:val="00E67AC9"/>
    <w:rsid w:val="00E71CE5"/>
    <w:rsid w:val="00E734FB"/>
    <w:rsid w:val="00E75B15"/>
    <w:rsid w:val="00E76501"/>
    <w:rsid w:val="00E839DF"/>
    <w:rsid w:val="00E87421"/>
    <w:rsid w:val="00E9003E"/>
    <w:rsid w:val="00E92B57"/>
    <w:rsid w:val="00E96286"/>
    <w:rsid w:val="00E97FAD"/>
    <w:rsid w:val="00EA1B17"/>
    <w:rsid w:val="00EB1B12"/>
    <w:rsid w:val="00EC6A5F"/>
    <w:rsid w:val="00EC7640"/>
    <w:rsid w:val="00ED57AF"/>
    <w:rsid w:val="00EE3753"/>
    <w:rsid w:val="00EE3B39"/>
    <w:rsid w:val="00EE7FDA"/>
    <w:rsid w:val="00EF0050"/>
    <w:rsid w:val="00EF26A6"/>
    <w:rsid w:val="00EF39F3"/>
    <w:rsid w:val="00EF3BF2"/>
    <w:rsid w:val="00F02CF9"/>
    <w:rsid w:val="00F03122"/>
    <w:rsid w:val="00F03656"/>
    <w:rsid w:val="00F0691F"/>
    <w:rsid w:val="00F11791"/>
    <w:rsid w:val="00F11B6E"/>
    <w:rsid w:val="00F135D4"/>
    <w:rsid w:val="00F13D94"/>
    <w:rsid w:val="00F13FC8"/>
    <w:rsid w:val="00F14452"/>
    <w:rsid w:val="00F14BF7"/>
    <w:rsid w:val="00F2088E"/>
    <w:rsid w:val="00F237E3"/>
    <w:rsid w:val="00F23C0D"/>
    <w:rsid w:val="00F23FD2"/>
    <w:rsid w:val="00F23FD4"/>
    <w:rsid w:val="00F2661E"/>
    <w:rsid w:val="00F27446"/>
    <w:rsid w:val="00F421A0"/>
    <w:rsid w:val="00F53D3F"/>
    <w:rsid w:val="00F53D79"/>
    <w:rsid w:val="00F54C21"/>
    <w:rsid w:val="00F563AA"/>
    <w:rsid w:val="00F5738B"/>
    <w:rsid w:val="00F57DD5"/>
    <w:rsid w:val="00F61E21"/>
    <w:rsid w:val="00F650BE"/>
    <w:rsid w:val="00F65ADA"/>
    <w:rsid w:val="00F65CD6"/>
    <w:rsid w:val="00F66BFA"/>
    <w:rsid w:val="00F721B4"/>
    <w:rsid w:val="00F75827"/>
    <w:rsid w:val="00F818EC"/>
    <w:rsid w:val="00F8493F"/>
    <w:rsid w:val="00F960FC"/>
    <w:rsid w:val="00F96F36"/>
    <w:rsid w:val="00F971E6"/>
    <w:rsid w:val="00F97AD0"/>
    <w:rsid w:val="00FB587A"/>
    <w:rsid w:val="00FC3716"/>
    <w:rsid w:val="00FC3EC8"/>
    <w:rsid w:val="00FC43F0"/>
    <w:rsid w:val="00FC4554"/>
    <w:rsid w:val="00FC6874"/>
    <w:rsid w:val="00FD37F2"/>
    <w:rsid w:val="00FD5429"/>
    <w:rsid w:val="00FE10FD"/>
    <w:rsid w:val="00FE1674"/>
    <w:rsid w:val="00FE57C1"/>
    <w:rsid w:val="00FE72F4"/>
    <w:rsid w:val="00FF1832"/>
    <w:rsid w:val="00FF4D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D7338"/>
  <w15:docId w15:val="{8F721EF1-5A67-440C-8A97-CA761237E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4C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724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24C4"/>
    <w:rPr>
      <w:rFonts w:eastAsiaTheme="minorEastAsia"/>
      <w:sz w:val="20"/>
      <w:szCs w:val="20"/>
      <w:lang w:val="en-US"/>
    </w:rPr>
  </w:style>
  <w:style w:type="character" w:styleId="FootnoteReference">
    <w:name w:val="footnote reference"/>
    <w:basedOn w:val="DefaultParagraphFont"/>
    <w:uiPriority w:val="99"/>
    <w:semiHidden/>
    <w:unhideWhenUsed/>
    <w:rsid w:val="001724C4"/>
    <w:rPr>
      <w:vertAlign w:val="superscript"/>
    </w:rPr>
  </w:style>
  <w:style w:type="table" w:styleId="TableGrid">
    <w:name w:val="Table Grid"/>
    <w:basedOn w:val="TableNormal"/>
    <w:uiPriority w:val="59"/>
    <w:rsid w:val="001724C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72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24C4"/>
    <w:rPr>
      <w:rFonts w:eastAsiaTheme="minorEastAsia"/>
      <w:lang w:val="en-US"/>
    </w:rPr>
  </w:style>
  <w:style w:type="paragraph" w:styleId="Footer">
    <w:name w:val="footer"/>
    <w:basedOn w:val="Normal"/>
    <w:link w:val="FooterChar"/>
    <w:uiPriority w:val="99"/>
    <w:unhideWhenUsed/>
    <w:rsid w:val="00172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24C4"/>
    <w:rPr>
      <w:rFonts w:eastAsiaTheme="minorEastAsia"/>
      <w:lang w:val="en-US"/>
    </w:rPr>
  </w:style>
  <w:style w:type="paragraph" w:styleId="ListParagraph">
    <w:name w:val="List Paragraph"/>
    <w:basedOn w:val="Normal"/>
    <w:uiPriority w:val="34"/>
    <w:qFormat/>
    <w:rsid w:val="0038412A"/>
    <w:pPr>
      <w:ind w:left="720"/>
      <w:contextualSpacing/>
    </w:pPr>
  </w:style>
  <w:style w:type="paragraph" w:styleId="BalloonText">
    <w:name w:val="Balloon Text"/>
    <w:basedOn w:val="Normal"/>
    <w:link w:val="BalloonTextChar"/>
    <w:uiPriority w:val="99"/>
    <w:semiHidden/>
    <w:unhideWhenUsed/>
    <w:rsid w:val="00082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3A"/>
    <w:rPr>
      <w:rFonts w:ascii="Tahoma" w:eastAsiaTheme="minorEastAsia" w:hAnsi="Tahoma" w:cs="Tahoma"/>
      <w:sz w:val="16"/>
      <w:szCs w:val="16"/>
      <w:lang w:val="en-US"/>
    </w:rPr>
  </w:style>
  <w:style w:type="character" w:customStyle="1" w:styleId="pagecontents">
    <w:name w:val="pagecontents"/>
    <w:basedOn w:val="DefaultParagraphFont"/>
    <w:rsid w:val="00EF26A6"/>
  </w:style>
  <w:style w:type="character" w:styleId="Hyperlink">
    <w:name w:val="Hyperlink"/>
    <w:basedOn w:val="DefaultParagraphFont"/>
    <w:uiPriority w:val="99"/>
    <w:unhideWhenUsed/>
    <w:rsid w:val="004E0890"/>
    <w:rPr>
      <w:color w:val="0563C1" w:themeColor="hyperlink"/>
      <w:u w:val="single"/>
    </w:rPr>
  </w:style>
  <w:style w:type="character" w:styleId="UnresolvedMention">
    <w:name w:val="Unresolved Mention"/>
    <w:basedOn w:val="DefaultParagraphFont"/>
    <w:uiPriority w:val="99"/>
    <w:semiHidden/>
    <w:unhideWhenUsed/>
    <w:rsid w:val="004E0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8001">
      <w:bodyDiv w:val="1"/>
      <w:marLeft w:val="0"/>
      <w:marRight w:val="0"/>
      <w:marTop w:val="0"/>
      <w:marBottom w:val="0"/>
      <w:divBdr>
        <w:top w:val="none" w:sz="0" w:space="0" w:color="auto"/>
        <w:left w:val="none" w:sz="0" w:space="0" w:color="auto"/>
        <w:bottom w:val="none" w:sz="0" w:space="0" w:color="auto"/>
        <w:right w:val="none" w:sz="0" w:space="0" w:color="auto"/>
      </w:divBdr>
    </w:div>
    <w:div w:id="524947821">
      <w:bodyDiv w:val="1"/>
      <w:marLeft w:val="0"/>
      <w:marRight w:val="0"/>
      <w:marTop w:val="0"/>
      <w:marBottom w:val="0"/>
      <w:divBdr>
        <w:top w:val="none" w:sz="0" w:space="0" w:color="auto"/>
        <w:left w:val="none" w:sz="0" w:space="0" w:color="auto"/>
        <w:bottom w:val="none" w:sz="0" w:space="0" w:color="auto"/>
        <w:right w:val="none" w:sz="0" w:space="0" w:color="auto"/>
      </w:divBdr>
    </w:div>
    <w:div w:id="588807452">
      <w:bodyDiv w:val="1"/>
      <w:marLeft w:val="0"/>
      <w:marRight w:val="0"/>
      <w:marTop w:val="0"/>
      <w:marBottom w:val="0"/>
      <w:divBdr>
        <w:top w:val="none" w:sz="0" w:space="0" w:color="auto"/>
        <w:left w:val="none" w:sz="0" w:space="0" w:color="auto"/>
        <w:bottom w:val="none" w:sz="0" w:space="0" w:color="auto"/>
        <w:right w:val="none" w:sz="0" w:space="0" w:color="auto"/>
      </w:divBdr>
    </w:div>
    <w:div w:id="614557965">
      <w:bodyDiv w:val="1"/>
      <w:marLeft w:val="0"/>
      <w:marRight w:val="0"/>
      <w:marTop w:val="0"/>
      <w:marBottom w:val="0"/>
      <w:divBdr>
        <w:top w:val="none" w:sz="0" w:space="0" w:color="auto"/>
        <w:left w:val="none" w:sz="0" w:space="0" w:color="auto"/>
        <w:bottom w:val="none" w:sz="0" w:space="0" w:color="auto"/>
        <w:right w:val="none" w:sz="0" w:space="0" w:color="auto"/>
      </w:divBdr>
    </w:div>
    <w:div w:id="857156318">
      <w:bodyDiv w:val="1"/>
      <w:marLeft w:val="0"/>
      <w:marRight w:val="0"/>
      <w:marTop w:val="0"/>
      <w:marBottom w:val="0"/>
      <w:divBdr>
        <w:top w:val="none" w:sz="0" w:space="0" w:color="auto"/>
        <w:left w:val="none" w:sz="0" w:space="0" w:color="auto"/>
        <w:bottom w:val="none" w:sz="0" w:space="0" w:color="auto"/>
        <w:right w:val="none" w:sz="0" w:space="0" w:color="auto"/>
      </w:divBdr>
    </w:div>
    <w:div w:id="996225269">
      <w:bodyDiv w:val="1"/>
      <w:marLeft w:val="0"/>
      <w:marRight w:val="0"/>
      <w:marTop w:val="0"/>
      <w:marBottom w:val="0"/>
      <w:divBdr>
        <w:top w:val="none" w:sz="0" w:space="0" w:color="auto"/>
        <w:left w:val="none" w:sz="0" w:space="0" w:color="auto"/>
        <w:bottom w:val="none" w:sz="0" w:space="0" w:color="auto"/>
        <w:right w:val="none" w:sz="0" w:space="0" w:color="auto"/>
      </w:divBdr>
    </w:div>
    <w:div w:id="1008681780">
      <w:bodyDiv w:val="1"/>
      <w:marLeft w:val="0"/>
      <w:marRight w:val="0"/>
      <w:marTop w:val="0"/>
      <w:marBottom w:val="0"/>
      <w:divBdr>
        <w:top w:val="none" w:sz="0" w:space="0" w:color="auto"/>
        <w:left w:val="none" w:sz="0" w:space="0" w:color="auto"/>
        <w:bottom w:val="none" w:sz="0" w:space="0" w:color="auto"/>
        <w:right w:val="none" w:sz="0" w:space="0" w:color="auto"/>
      </w:divBdr>
    </w:div>
    <w:div w:id="1223172770">
      <w:bodyDiv w:val="1"/>
      <w:marLeft w:val="0"/>
      <w:marRight w:val="0"/>
      <w:marTop w:val="0"/>
      <w:marBottom w:val="0"/>
      <w:divBdr>
        <w:top w:val="none" w:sz="0" w:space="0" w:color="auto"/>
        <w:left w:val="none" w:sz="0" w:space="0" w:color="auto"/>
        <w:bottom w:val="none" w:sz="0" w:space="0" w:color="auto"/>
        <w:right w:val="none" w:sz="0" w:space="0" w:color="auto"/>
      </w:divBdr>
    </w:div>
    <w:div w:id="1322123494">
      <w:bodyDiv w:val="1"/>
      <w:marLeft w:val="0"/>
      <w:marRight w:val="0"/>
      <w:marTop w:val="0"/>
      <w:marBottom w:val="0"/>
      <w:divBdr>
        <w:top w:val="none" w:sz="0" w:space="0" w:color="auto"/>
        <w:left w:val="none" w:sz="0" w:space="0" w:color="auto"/>
        <w:bottom w:val="none" w:sz="0" w:space="0" w:color="auto"/>
        <w:right w:val="none" w:sz="0" w:space="0" w:color="auto"/>
      </w:divBdr>
    </w:div>
    <w:div w:id="1322781972">
      <w:bodyDiv w:val="1"/>
      <w:marLeft w:val="0"/>
      <w:marRight w:val="0"/>
      <w:marTop w:val="0"/>
      <w:marBottom w:val="0"/>
      <w:divBdr>
        <w:top w:val="none" w:sz="0" w:space="0" w:color="auto"/>
        <w:left w:val="none" w:sz="0" w:space="0" w:color="auto"/>
        <w:bottom w:val="none" w:sz="0" w:space="0" w:color="auto"/>
        <w:right w:val="none" w:sz="0" w:space="0" w:color="auto"/>
      </w:divBdr>
    </w:div>
    <w:div w:id="1345011719">
      <w:bodyDiv w:val="1"/>
      <w:marLeft w:val="0"/>
      <w:marRight w:val="0"/>
      <w:marTop w:val="0"/>
      <w:marBottom w:val="0"/>
      <w:divBdr>
        <w:top w:val="none" w:sz="0" w:space="0" w:color="auto"/>
        <w:left w:val="none" w:sz="0" w:space="0" w:color="auto"/>
        <w:bottom w:val="none" w:sz="0" w:space="0" w:color="auto"/>
        <w:right w:val="none" w:sz="0" w:space="0" w:color="auto"/>
      </w:divBdr>
    </w:div>
    <w:div w:id="1355571201">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409617046">
      <w:bodyDiv w:val="1"/>
      <w:marLeft w:val="0"/>
      <w:marRight w:val="0"/>
      <w:marTop w:val="0"/>
      <w:marBottom w:val="0"/>
      <w:divBdr>
        <w:top w:val="none" w:sz="0" w:space="0" w:color="auto"/>
        <w:left w:val="none" w:sz="0" w:space="0" w:color="auto"/>
        <w:bottom w:val="none" w:sz="0" w:space="0" w:color="auto"/>
        <w:right w:val="none" w:sz="0" w:space="0" w:color="auto"/>
      </w:divBdr>
    </w:div>
    <w:div w:id="1510831714">
      <w:bodyDiv w:val="1"/>
      <w:marLeft w:val="0"/>
      <w:marRight w:val="0"/>
      <w:marTop w:val="0"/>
      <w:marBottom w:val="0"/>
      <w:divBdr>
        <w:top w:val="none" w:sz="0" w:space="0" w:color="auto"/>
        <w:left w:val="none" w:sz="0" w:space="0" w:color="auto"/>
        <w:bottom w:val="none" w:sz="0" w:space="0" w:color="auto"/>
        <w:right w:val="none" w:sz="0" w:space="0" w:color="auto"/>
      </w:divBdr>
    </w:div>
    <w:div w:id="1542285838">
      <w:bodyDiv w:val="1"/>
      <w:marLeft w:val="0"/>
      <w:marRight w:val="0"/>
      <w:marTop w:val="0"/>
      <w:marBottom w:val="0"/>
      <w:divBdr>
        <w:top w:val="none" w:sz="0" w:space="0" w:color="auto"/>
        <w:left w:val="none" w:sz="0" w:space="0" w:color="auto"/>
        <w:bottom w:val="none" w:sz="0" w:space="0" w:color="auto"/>
        <w:right w:val="none" w:sz="0" w:space="0" w:color="auto"/>
      </w:divBdr>
    </w:div>
    <w:div w:id="1544832929">
      <w:bodyDiv w:val="1"/>
      <w:marLeft w:val="0"/>
      <w:marRight w:val="0"/>
      <w:marTop w:val="0"/>
      <w:marBottom w:val="0"/>
      <w:divBdr>
        <w:top w:val="none" w:sz="0" w:space="0" w:color="auto"/>
        <w:left w:val="none" w:sz="0" w:space="0" w:color="auto"/>
        <w:bottom w:val="none" w:sz="0" w:space="0" w:color="auto"/>
        <w:right w:val="none" w:sz="0" w:space="0" w:color="auto"/>
      </w:divBdr>
    </w:div>
    <w:div w:id="1672756417">
      <w:bodyDiv w:val="1"/>
      <w:marLeft w:val="0"/>
      <w:marRight w:val="0"/>
      <w:marTop w:val="0"/>
      <w:marBottom w:val="0"/>
      <w:divBdr>
        <w:top w:val="none" w:sz="0" w:space="0" w:color="auto"/>
        <w:left w:val="none" w:sz="0" w:space="0" w:color="auto"/>
        <w:bottom w:val="none" w:sz="0" w:space="0" w:color="auto"/>
        <w:right w:val="none" w:sz="0" w:space="0" w:color="auto"/>
      </w:divBdr>
    </w:div>
    <w:div w:id="1755005079">
      <w:bodyDiv w:val="1"/>
      <w:marLeft w:val="0"/>
      <w:marRight w:val="0"/>
      <w:marTop w:val="0"/>
      <w:marBottom w:val="0"/>
      <w:divBdr>
        <w:top w:val="none" w:sz="0" w:space="0" w:color="auto"/>
        <w:left w:val="none" w:sz="0" w:space="0" w:color="auto"/>
        <w:bottom w:val="none" w:sz="0" w:space="0" w:color="auto"/>
        <w:right w:val="none" w:sz="0" w:space="0" w:color="auto"/>
      </w:divBdr>
    </w:div>
    <w:div w:id="1874078933">
      <w:bodyDiv w:val="1"/>
      <w:marLeft w:val="0"/>
      <w:marRight w:val="0"/>
      <w:marTop w:val="0"/>
      <w:marBottom w:val="0"/>
      <w:divBdr>
        <w:top w:val="none" w:sz="0" w:space="0" w:color="auto"/>
        <w:left w:val="none" w:sz="0" w:space="0" w:color="auto"/>
        <w:bottom w:val="none" w:sz="0" w:space="0" w:color="auto"/>
        <w:right w:val="none" w:sz="0" w:space="0" w:color="auto"/>
      </w:divBdr>
    </w:div>
    <w:div w:id="2054233527">
      <w:bodyDiv w:val="1"/>
      <w:marLeft w:val="0"/>
      <w:marRight w:val="0"/>
      <w:marTop w:val="0"/>
      <w:marBottom w:val="0"/>
      <w:divBdr>
        <w:top w:val="none" w:sz="0" w:space="0" w:color="auto"/>
        <w:left w:val="none" w:sz="0" w:space="0" w:color="auto"/>
        <w:bottom w:val="none" w:sz="0" w:space="0" w:color="auto"/>
        <w:right w:val="none" w:sz="0" w:space="0" w:color="auto"/>
      </w:divBdr>
    </w:div>
    <w:div w:id="2108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ikanta.t@srmap.edu.in"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lalithamohan.m@srmap.edu.in"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PhD%20chapters\IR%20Concept\CDI+CEI+%20Guiding%20principles=%20IRFI%20for%20122%20compani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hD%20chapters\IR%20Concept\CDI+CEI+%20Guiding%20principles=%20IRFI%20for%20122%20compani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hD%20chapters\IR%20Concept\CDI+CEI+%20Guiding%20principles=%20IRFI%20for%20122%20compani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20chapters\IR%20Concept\CDI+CEI+%20Guiding%20principles=%20IRFI%20for%20122%20companie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Sector </a:t>
            </a:r>
            <a:r>
              <a:rPr lang="en-US" baseline="0"/>
              <a:t>wise classification of companies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Sheet1!$S$13</c:f>
              <c:strCache>
                <c:ptCount val="1"/>
                <c:pt idx="0">
                  <c:v>No. of companies</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Sheet1!$R$14:$R$21</c:f>
              <c:strCache>
                <c:ptCount val="8"/>
                <c:pt idx="0">
                  <c:v>Financial Services</c:v>
                </c:pt>
                <c:pt idx="1">
                  <c:v>Metals and Mining</c:v>
                </c:pt>
                <c:pt idx="2">
                  <c:v>Automotive &amp; Electronics </c:v>
                </c:pt>
                <c:pt idx="3">
                  <c:v>Software Services</c:v>
                </c:pt>
                <c:pt idx="4">
                  <c:v>Consumer Goods</c:v>
                </c:pt>
                <c:pt idx="5">
                  <c:v>Oil, Gas, Utilities &amp; Energy</c:v>
                </c:pt>
                <c:pt idx="6">
                  <c:v>Chemicals</c:v>
                </c:pt>
                <c:pt idx="7">
                  <c:v>Others</c:v>
                </c:pt>
              </c:strCache>
            </c:strRef>
          </c:cat>
          <c:val>
            <c:numRef>
              <c:f>Sheet1!$S$14:$S$21</c:f>
              <c:numCache>
                <c:formatCode>General</c:formatCode>
                <c:ptCount val="8"/>
                <c:pt idx="0">
                  <c:v>6</c:v>
                </c:pt>
                <c:pt idx="1">
                  <c:v>3</c:v>
                </c:pt>
                <c:pt idx="2">
                  <c:v>6</c:v>
                </c:pt>
                <c:pt idx="3">
                  <c:v>3</c:v>
                </c:pt>
                <c:pt idx="4">
                  <c:v>5</c:v>
                </c:pt>
                <c:pt idx="5">
                  <c:v>5</c:v>
                </c:pt>
                <c:pt idx="6">
                  <c:v>2</c:v>
                </c:pt>
                <c:pt idx="7">
                  <c:v>5</c:v>
                </c:pt>
              </c:numCache>
            </c:numRef>
          </c:val>
          <c:extLst>
            <c:ext xmlns:c16="http://schemas.microsoft.com/office/drawing/2014/chart" uri="{C3380CC4-5D6E-409C-BE32-E72D297353CC}">
              <c16:uniqueId val="{00000000-B789-47C9-B2CC-0BD5C7951FE6}"/>
            </c:ext>
          </c:extLst>
        </c:ser>
        <c:dLbls>
          <c:showLegendKey val="0"/>
          <c:showVal val="0"/>
          <c:showCatName val="0"/>
          <c:showSerName val="0"/>
          <c:showPercent val="0"/>
          <c:showBubbleSize val="0"/>
        </c:dLbls>
        <c:gapWidth val="150"/>
        <c:axId val="1075880463"/>
        <c:axId val="1075851759"/>
      </c:barChart>
      <c:catAx>
        <c:axId val="10758804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Sector</a:t>
                </a:r>
                <a:r>
                  <a:rPr lang="en-IN" baseline="0"/>
                  <a:t>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851759"/>
        <c:crosses val="autoZero"/>
        <c:auto val="1"/>
        <c:lblAlgn val="ctr"/>
        <c:lblOffset val="100"/>
        <c:noMultiLvlLbl val="0"/>
      </c:catAx>
      <c:valAx>
        <c:axId val="10758517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companies</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58804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IR</a:t>
            </a:r>
            <a:r>
              <a:rPr lang="en-US" baseline="0"/>
              <a:t> adoption trends by the Indian companies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c:f>
              <c:strCache>
                <c:ptCount val="1"/>
                <c:pt idx="0">
                  <c:v>No of Companies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Sheet1!$E$2:$E$7</c:f>
              <c:numCache>
                <c:formatCode>General</c:formatCode>
                <c:ptCount val="6"/>
                <c:pt idx="0">
                  <c:v>1</c:v>
                </c:pt>
                <c:pt idx="1">
                  <c:v>2</c:v>
                </c:pt>
                <c:pt idx="2">
                  <c:v>3</c:v>
                </c:pt>
                <c:pt idx="3">
                  <c:v>4</c:v>
                </c:pt>
                <c:pt idx="4">
                  <c:v>5</c:v>
                </c:pt>
                <c:pt idx="5">
                  <c:v>6</c:v>
                </c:pt>
              </c:numCache>
            </c:numRef>
          </c:cat>
          <c:val>
            <c:numRef>
              <c:f>Sheet1!$F$2:$F$7</c:f>
              <c:numCache>
                <c:formatCode>General</c:formatCode>
                <c:ptCount val="6"/>
                <c:pt idx="0">
                  <c:v>0</c:v>
                </c:pt>
                <c:pt idx="1">
                  <c:v>2</c:v>
                </c:pt>
                <c:pt idx="2">
                  <c:v>10</c:v>
                </c:pt>
                <c:pt idx="3">
                  <c:v>17</c:v>
                </c:pt>
                <c:pt idx="4">
                  <c:v>2</c:v>
                </c:pt>
                <c:pt idx="5">
                  <c:v>4</c:v>
                </c:pt>
              </c:numCache>
            </c:numRef>
          </c:val>
          <c:extLst>
            <c:ext xmlns:c16="http://schemas.microsoft.com/office/drawing/2014/chart" uri="{C3380CC4-5D6E-409C-BE32-E72D297353CC}">
              <c16:uniqueId val="{00000000-7B4B-4B5F-95A5-C4DCD799BC33}"/>
            </c:ext>
          </c:extLst>
        </c:ser>
        <c:dLbls>
          <c:showLegendKey val="0"/>
          <c:showVal val="0"/>
          <c:showCatName val="0"/>
          <c:showSerName val="0"/>
          <c:showPercent val="0"/>
          <c:showBubbleSize val="0"/>
        </c:dLbls>
        <c:gapWidth val="219"/>
        <c:overlap val="-27"/>
        <c:axId val="1115010735"/>
        <c:axId val="1115006575"/>
      </c:barChart>
      <c:catAx>
        <c:axId val="1115010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Adoption</a:t>
                </a:r>
                <a:r>
                  <a:rPr lang="en-IN" baseline="0"/>
                  <a:t>  year</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006575"/>
        <c:crosses val="autoZero"/>
        <c:auto val="1"/>
        <c:lblAlgn val="ctr"/>
        <c:lblOffset val="100"/>
        <c:noMultiLvlLbl val="0"/>
      </c:catAx>
      <c:valAx>
        <c:axId val="1115006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Companies</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50107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Capital</a:t>
            </a:r>
            <a:r>
              <a:rPr lang="en-IN" baseline="0"/>
              <a:t> disclosure Index</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Sheet3!$C$1:$C$2</c:f>
              <c:strCache>
                <c:ptCount val="2"/>
                <c:pt idx="0">
                  <c:v>CDI</c:v>
                </c:pt>
                <c:pt idx="1">
                  <c:v>2018</c:v>
                </c:pt>
              </c:strCache>
            </c:strRef>
          </c:tx>
          <c:spPr>
            <a:solidFill>
              <a:schemeClr val="accent1"/>
            </a:solidFill>
            <a:ln>
              <a:noFill/>
            </a:ln>
            <a:effectLst/>
          </c:spPr>
          <c:invertIfNegative val="0"/>
          <c:cat>
            <c:strRef>
              <c:f>Sheet3!$B$3:$B$37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Sheet3!$C$3:$C$37</c:f>
              <c:numCache>
                <c:formatCode>0</c:formatCode>
                <c:ptCount val="35"/>
                <c:pt idx="0">
                  <c:v>50</c:v>
                </c:pt>
                <c:pt idx="1">
                  <c:v>100</c:v>
                </c:pt>
                <c:pt idx="2">
                  <c:v>83.333333333333343</c:v>
                </c:pt>
                <c:pt idx="3">
                  <c:v>83.333333333333343</c:v>
                </c:pt>
                <c:pt idx="4">
                  <c:v>100</c:v>
                </c:pt>
                <c:pt idx="5">
                  <c:v>66.666666666666657</c:v>
                </c:pt>
                <c:pt idx="6">
                  <c:v>50</c:v>
                </c:pt>
                <c:pt idx="7">
                  <c:v>50</c:v>
                </c:pt>
                <c:pt idx="8">
                  <c:v>83.333333333333343</c:v>
                </c:pt>
                <c:pt idx="9">
                  <c:v>66.666666666666657</c:v>
                </c:pt>
                <c:pt idx="10">
                  <c:v>50</c:v>
                </c:pt>
                <c:pt idx="11">
                  <c:v>50</c:v>
                </c:pt>
                <c:pt idx="12">
                  <c:v>50</c:v>
                </c:pt>
                <c:pt idx="13">
                  <c:v>83.333333333333343</c:v>
                </c:pt>
                <c:pt idx="14">
                  <c:v>100</c:v>
                </c:pt>
                <c:pt idx="15">
                  <c:v>50</c:v>
                </c:pt>
                <c:pt idx="16">
                  <c:v>83.333333333333343</c:v>
                </c:pt>
                <c:pt idx="17">
                  <c:v>100</c:v>
                </c:pt>
                <c:pt idx="18">
                  <c:v>100</c:v>
                </c:pt>
                <c:pt idx="19">
                  <c:v>50</c:v>
                </c:pt>
                <c:pt idx="20">
                  <c:v>66.666666666666657</c:v>
                </c:pt>
                <c:pt idx="21">
                  <c:v>83.333333333333343</c:v>
                </c:pt>
                <c:pt idx="22">
                  <c:v>100</c:v>
                </c:pt>
                <c:pt idx="23">
                  <c:v>66.666666666666657</c:v>
                </c:pt>
                <c:pt idx="24">
                  <c:v>83.333333333333343</c:v>
                </c:pt>
                <c:pt idx="25">
                  <c:v>75</c:v>
                </c:pt>
                <c:pt idx="26">
                  <c:v>75</c:v>
                </c:pt>
                <c:pt idx="27">
                  <c:v>83.333333333333343</c:v>
                </c:pt>
                <c:pt idx="28">
                  <c:v>47.222222222222221</c:v>
                </c:pt>
                <c:pt idx="29">
                  <c:v>100</c:v>
                </c:pt>
                <c:pt idx="30">
                  <c:v>83.333333333333343</c:v>
                </c:pt>
                <c:pt idx="31">
                  <c:v>83.333333333333343</c:v>
                </c:pt>
                <c:pt idx="32">
                  <c:v>69.444444444444443</c:v>
                </c:pt>
                <c:pt idx="33">
                  <c:v>77.777777777777786</c:v>
                </c:pt>
                <c:pt idx="34">
                  <c:v>83.333333333333343</c:v>
                </c:pt>
              </c:numCache>
            </c:numRef>
          </c:val>
          <c:extLst>
            <c:ext xmlns:c16="http://schemas.microsoft.com/office/drawing/2014/chart" uri="{C3380CC4-5D6E-409C-BE32-E72D297353CC}">
              <c16:uniqueId val="{00000000-2AB9-45BC-88CB-07E721CB2D36}"/>
            </c:ext>
          </c:extLst>
        </c:ser>
        <c:ser>
          <c:idx val="1"/>
          <c:order val="1"/>
          <c:tx>
            <c:strRef>
              <c:f>Sheet3!$D$1:$D$2</c:f>
              <c:strCache>
                <c:ptCount val="2"/>
                <c:pt idx="0">
                  <c:v>CDI</c:v>
                </c:pt>
                <c:pt idx="1">
                  <c:v>2019</c:v>
                </c:pt>
              </c:strCache>
            </c:strRef>
          </c:tx>
          <c:spPr>
            <a:solidFill>
              <a:schemeClr val="accent2"/>
            </a:solidFill>
            <a:ln>
              <a:noFill/>
            </a:ln>
            <a:effectLst/>
          </c:spPr>
          <c:invertIfNegative val="0"/>
          <c:cat>
            <c:strRef>
              <c:f>Sheet3!$B$3:$B$37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Sheet3!$D$3:$D$37</c:f>
              <c:numCache>
                <c:formatCode>0</c:formatCode>
                <c:ptCount val="35"/>
                <c:pt idx="0">
                  <c:v>66.666666666666657</c:v>
                </c:pt>
                <c:pt idx="1">
                  <c:v>100</c:v>
                </c:pt>
                <c:pt idx="2">
                  <c:v>83.333333333333343</c:v>
                </c:pt>
                <c:pt idx="3">
                  <c:v>83.333333333333343</c:v>
                </c:pt>
                <c:pt idx="4">
                  <c:v>100</c:v>
                </c:pt>
                <c:pt idx="5">
                  <c:v>83.333333333333343</c:v>
                </c:pt>
                <c:pt idx="6">
                  <c:v>83.333333333333343</c:v>
                </c:pt>
                <c:pt idx="7">
                  <c:v>69.444444444444443</c:v>
                </c:pt>
                <c:pt idx="8">
                  <c:v>83.333333333333343</c:v>
                </c:pt>
                <c:pt idx="9">
                  <c:v>83.333333333333343</c:v>
                </c:pt>
                <c:pt idx="10">
                  <c:v>83.333333333333343</c:v>
                </c:pt>
                <c:pt idx="11">
                  <c:v>50</c:v>
                </c:pt>
                <c:pt idx="12">
                  <c:v>83.333333333333343</c:v>
                </c:pt>
                <c:pt idx="13">
                  <c:v>83.333333333333343</c:v>
                </c:pt>
                <c:pt idx="14">
                  <c:v>100</c:v>
                </c:pt>
                <c:pt idx="15">
                  <c:v>83.333333333333343</c:v>
                </c:pt>
                <c:pt idx="16">
                  <c:v>83.333333333333343</c:v>
                </c:pt>
                <c:pt idx="17">
                  <c:v>100</c:v>
                </c:pt>
                <c:pt idx="18">
                  <c:v>100</c:v>
                </c:pt>
                <c:pt idx="19">
                  <c:v>83.333333333333343</c:v>
                </c:pt>
                <c:pt idx="20">
                  <c:v>83.333333333333343</c:v>
                </c:pt>
                <c:pt idx="21">
                  <c:v>83.333333333333343</c:v>
                </c:pt>
                <c:pt idx="22">
                  <c:v>100</c:v>
                </c:pt>
                <c:pt idx="23">
                  <c:v>83.333333333333343</c:v>
                </c:pt>
                <c:pt idx="24">
                  <c:v>83.333333333333343</c:v>
                </c:pt>
                <c:pt idx="25">
                  <c:v>77.777777777777786</c:v>
                </c:pt>
                <c:pt idx="26">
                  <c:v>83.333333333333343</c:v>
                </c:pt>
                <c:pt idx="27">
                  <c:v>83.333333333333343</c:v>
                </c:pt>
                <c:pt idx="28">
                  <c:v>50</c:v>
                </c:pt>
                <c:pt idx="29">
                  <c:v>100</c:v>
                </c:pt>
                <c:pt idx="30">
                  <c:v>100</c:v>
                </c:pt>
                <c:pt idx="31">
                  <c:v>83.333333333333343</c:v>
                </c:pt>
                <c:pt idx="32">
                  <c:v>83.333333333333343</c:v>
                </c:pt>
                <c:pt idx="33">
                  <c:v>77.777777777777786</c:v>
                </c:pt>
                <c:pt idx="34">
                  <c:v>83.333333333333343</c:v>
                </c:pt>
              </c:numCache>
            </c:numRef>
          </c:val>
          <c:extLst>
            <c:ext xmlns:c16="http://schemas.microsoft.com/office/drawing/2014/chart" uri="{C3380CC4-5D6E-409C-BE32-E72D297353CC}">
              <c16:uniqueId val="{00000001-2AB9-45BC-88CB-07E721CB2D36}"/>
            </c:ext>
          </c:extLst>
        </c:ser>
        <c:ser>
          <c:idx val="2"/>
          <c:order val="2"/>
          <c:tx>
            <c:strRef>
              <c:f>Sheet3!$E$1:$E$2</c:f>
              <c:strCache>
                <c:ptCount val="2"/>
                <c:pt idx="0">
                  <c:v>CDI</c:v>
                </c:pt>
                <c:pt idx="1">
                  <c:v>2020</c:v>
                </c:pt>
              </c:strCache>
            </c:strRef>
          </c:tx>
          <c:spPr>
            <a:solidFill>
              <a:schemeClr val="accent3"/>
            </a:solidFill>
            <a:ln>
              <a:noFill/>
            </a:ln>
            <a:effectLst/>
          </c:spPr>
          <c:invertIfNegative val="0"/>
          <c:cat>
            <c:strRef>
              <c:f>Sheet3!$B$3:$B$37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Sheet3!$E$3:$E$37</c:f>
              <c:numCache>
                <c:formatCode>0</c:formatCode>
                <c:ptCount val="35"/>
                <c:pt idx="0">
                  <c:v>66.666666666666657</c:v>
                </c:pt>
                <c:pt idx="1">
                  <c:v>100</c:v>
                </c:pt>
                <c:pt idx="2">
                  <c:v>83.333333333333343</c:v>
                </c:pt>
                <c:pt idx="3">
                  <c:v>83.333333333333343</c:v>
                </c:pt>
                <c:pt idx="4">
                  <c:v>100</c:v>
                </c:pt>
                <c:pt idx="5">
                  <c:v>83.333333333333343</c:v>
                </c:pt>
                <c:pt idx="6">
                  <c:v>83.333333333333343</c:v>
                </c:pt>
                <c:pt idx="7">
                  <c:v>100</c:v>
                </c:pt>
                <c:pt idx="8">
                  <c:v>83.333333333333343</c:v>
                </c:pt>
                <c:pt idx="9">
                  <c:v>100</c:v>
                </c:pt>
                <c:pt idx="10">
                  <c:v>83.333333333333343</c:v>
                </c:pt>
                <c:pt idx="11">
                  <c:v>83.333333333333343</c:v>
                </c:pt>
                <c:pt idx="12">
                  <c:v>83.333333333333343</c:v>
                </c:pt>
                <c:pt idx="13">
                  <c:v>83.333333333333343</c:v>
                </c:pt>
                <c:pt idx="14">
                  <c:v>100</c:v>
                </c:pt>
                <c:pt idx="15">
                  <c:v>83.333333333333343</c:v>
                </c:pt>
                <c:pt idx="16">
                  <c:v>83.333333333333343</c:v>
                </c:pt>
                <c:pt idx="17">
                  <c:v>100</c:v>
                </c:pt>
                <c:pt idx="18">
                  <c:v>100</c:v>
                </c:pt>
                <c:pt idx="19">
                  <c:v>83.333333333333343</c:v>
                </c:pt>
                <c:pt idx="20">
                  <c:v>83.333333333333343</c:v>
                </c:pt>
                <c:pt idx="21">
                  <c:v>83.333333333333343</c:v>
                </c:pt>
                <c:pt idx="22">
                  <c:v>100</c:v>
                </c:pt>
                <c:pt idx="23">
                  <c:v>86.111111111111114</c:v>
                </c:pt>
                <c:pt idx="24">
                  <c:v>83.333333333333343</c:v>
                </c:pt>
                <c:pt idx="25">
                  <c:v>86.111111111111114</c:v>
                </c:pt>
                <c:pt idx="26">
                  <c:v>83.333333333333343</c:v>
                </c:pt>
                <c:pt idx="27">
                  <c:v>83.333333333333343</c:v>
                </c:pt>
                <c:pt idx="28">
                  <c:v>100</c:v>
                </c:pt>
                <c:pt idx="29">
                  <c:v>100</c:v>
                </c:pt>
                <c:pt idx="30">
                  <c:v>100</c:v>
                </c:pt>
                <c:pt idx="31">
                  <c:v>83.333333333333343</c:v>
                </c:pt>
                <c:pt idx="32">
                  <c:v>83.333333333333343</c:v>
                </c:pt>
                <c:pt idx="33">
                  <c:v>77.777777777777786</c:v>
                </c:pt>
                <c:pt idx="34">
                  <c:v>83.333333333333343</c:v>
                </c:pt>
              </c:numCache>
            </c:numRef>
          </c:val>
          <c:extLst>
            <c:ext xmlns:c16="http://schemas.microsoft.com/office/drawing/2014/chart" uri="{C3380CC4-5D6E-409C-BE32-E72D297353CC}">
              <c16:uniqueId val="{00000002-2AB9-45BC-88CB-07E721CB2D36}"/>
            </c:ext>
          </c:extLst>
        </c:ser>
        <c:ser>
          <c:idx val="3"/>
          <c:order val="3"/>
          <c:tx>
            <c:strRef>
              <c:f>Sheet3!$F$1:$F$2</c:f>
              <c:strCache>
                <c:ptCount val="2"/>
                <c:pt idx="0">
                  <c:v>CDI</c:v>
                </c:pt>
                <c:pt idx="1">
                  <c:v>2021</c:v>
                </c:pt>
              </c:strCache>
            </c:strRef>
          </c:tx>
          <c:spPr>
            <a:solidFill>
              <a:schemeClr val="accent4"/>
            </a:solidFill>
            <a:ln>
              <a:noFill/>
            </a:ln>
            <a:effectLst/>
          </c:spPr>
          <c:invertIfNegative val="0"/>
          <c:cat>
            <c:strRef>
              <c:f>Sheet3!$B$3:$B$37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Sheet3!$F$3:$F$37</c:f>
              <c:numCache>
                <c:formatCode>0</c:formatCode>
                <c:ptCount val="35"/>
                <c:pt idx="0">
                  <c:v>66.666666666666657</c:v>
                </c:pt>
                <c:pt idx="1">
                  <c:v>100</c:v>
                </c:pt>
                <c:pt idx="2">
                  <c:v>83.333333333333343</c:v>
                </c:pt>
                <c:pt idx="3">
                  <c:v>100</c:v>
                </c:pt>
                <c:pt idx="4">
                  <c:v>100</c:v>
                </c:pt>
                <c:pt idx="5">
                  <c:v>100</c:v>
                </c:pt>
                <c:pt idx="6">
                  <c:v>83.333333333333343</c:v>
                </c:pt>
                <c:pt idx="7">
                  <c:v>100</c:v>
                </c:pt>
                <c:pt idx="8">
                  <c:v>83.333333333333343</c:v>
                </c:pt>
                <c:pt idx="9">
                  <c:v>100</c:v>
                </c:pt>
                <c:pt idx="10">
                  <c:v>83.333333333333343</c:v>
                </c:pt>
                <c:pt idx="11">
                  <c:v>83.333333333333343</c:v>
                </c:pt>
                <c:pt idx="12">
                  <c:v>86.111111111111114</c:v>
                </c:pt>
                <c:pt idx="13">
                  <c:v>83.333333333333343</c:v>
                </c:pt>
                <c:pt idx="14">
                  <c:v>100</c:v>
                </c:pt>
                <c:pt idx="15">
                  <c:v>83.333333333333343</c:v>
                </c:pt>
                <c:pt idx="16">
                  <c:v>100</c:v>
                </c:pt>
                <c:pt idx="17">
                  <c:v>100</c:v>
                </c:pt>
                <c:pt idx="18">
                  <c:v>100</c:v>
                </c:pt>
                <c:pt idx="19">
                  <c:v>100</c:v>
                </c:pt>
                <c:pt idx="20">
                  <c:v>100</c:v>
                </c:pt>
                <c:pt idx="21">
                  <c:v>100</c:v>
                </c:pt>
                <c:pt idx="22">
                  <c:v>100</c:v>
                </c:pt>
                <c:pt idx="23">
                  <c:v>100</c:v>
                </c:pt>
                <c:pt idx="24">
                  <c:v>100</c:v>
                </c:pt>
                <c:pt idx="25">
                  <c:v>100</c:v>
                </c:pt>
                <c:pt idx="26">
                  <c:v>100</c:v>
                </c:pt>
                <c:pt idx="27">
                  <c:v>83.333333333333343</c:v>
                </c:pt>
                <c:pt idx="28">
                  <c:v>100</c:v>
                </c:pt>
                <c:pt idx="29">
                  <c:v>100</c:v>
                </c:pt>
                <c:pt idx="30">
                  <c:v>100</c:v>
                </c:pt>
                <c:pt idx="31">
                  <c:v>83.333333333333343</c:v>
                </c:pt>
                <c:pt idx="32">
                  <c:v>100</c:v>
                </c:pt>
                <c:pt idx="33">
                  <c:v>77.777777777777786</c:v>
                </c:pt>
                <c:pt idx="34">
                  <c:v>83.333333333333343</c:v>
                </c:pt>
              </c:numCache>
            </c:numRef>
          </c:val>
          <c:extLst>
            <c:ext xmlns:c16="http://schemas.microsoft.com/office/drawing/2014/chart" uri="{C3380CC4-5D6E-409C-BE32-E72D297353CC}">
              <c16:uniqueId val="{00000003-2AB9-45BC-88CB-07E721CB2D36}"/>
            </c:ext>
          </c:extLst>
        </c:ser>
        <c:dLbls>
          <c:showLegendKey val="0"/>
          <c:showVal val="0"/>
          <c:showCatName val="0"/>
          <c:showSerName val="0"/>
          <c:showPercent val="0"/>
          <c:showBubbleSize val="0"/>
        </c:dLbls>
        <c:gapWidth val="219"/>
        <c:overlap val="-27"/>
        <c:axId val="983926735"/>
        <c:axId val="983918831"/>
      </c:barChart>
      <c:catAx>
        <c:axId val="983926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List of companies year wise</a:t>
                </a:r>
                <a:r>
                  <a:rPr lang="en-IN" baseline="0"/>
                  <a:t> </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918831"/>
        <c:crosses val="autoZero"/>
        <c:auto val="1"/>
        <c:lblAlgn val="ctr"/>
        <c:lblOffset val="100"/>
        <c:noMultiLvlLbl val="0"/>
      </c:catAx>
      <c:valAx>
        <c:axId val="983918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392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Content</a:t>
            </a:r>
            <a:r>
              <a:rPr lang="en-IN" baseline="0"/>
              <a:t> Elements Index</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Sheet3!$I$1:$I$2</c:f>
              <c:strCache>
                <c:ptCount val="2"/>
                <c:pt idx="0">
                  <c:v>CE Index</c:v>
                </c:pt>
                <c:pt idx="1">
                  <c:v>2018</c:v>
                </c:pt>
              </c:strCache>
            </c:strRef>
          </c:tx>
          <c:spPr>
            <a:solidFill>
              <a:schemeClr val="accent1"/>
            </a:solidFill>
            <a:ln>
              <a:noFill/>
            </a:ln>
            <a:effectLst/>
          </c:spPr>
          <c:invertIfNegative val="0"/>
          <c:cat>
            <c:strRef>
              <c:f>Sheet3!$H$3:$H$37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 Bharti Infratel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 Tata Global beverages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Sheet3!$I$3:$I$37</c:f>
              <c:numCache>
                <c:formatCode>0</c:formatCode>
                <c:ptCount val="35"/>
                <c:pt idx="0">
                  <c:v>58.333333333333336</c:v>
                </c:pt>
                <c:pt idx="1">
                  <c:v>100</c:v>
                </c:pt>
                <c:pt idx="2">
                  <c:v>75</c:v>
                </c:pt>
                <c:pt idx="3">
                  <c:v>85.416666666666657</c:v>
                </c:pt>
                <c:pt idx="4">
                  <c:v>100</c:v>
                </c:pt>
                <c:pt idx="5">
                  <c:v>81.25</c:v>
                </c:pt>
                <c:pt idx="6">
                  <c:v>60.416666666666664</c:v>
                </c:pt>
                <c:pt idx="7">
                  <c:v>58.333333333333336</c:v>
                </c:pt>
                <c:pt idx="8">
                  <c:v>83.333333333333343</c:v>
                </c:pt>
                <c:pt idx="9">
                  <c:v>72.916666666666657</c:v>
                </c:pt>
                <c:pt idx="10">
                  <c:v>58.333333333333336</c:v>
                </c:pt>
                <c:pt idx="11">
                  <c:v>79.166666666666657</c:v>
                </c:pt>
                <c:pt idx="12">
                  <c:v>58.333333333333336</c:v>
                </c:pt>
                <c:pt idx="13">
                  <c:v>100</c:v>
                </c:pt>
                <c:pt idx="14">
                  <c:v>100</c:v>
                </c:pt>
                <c:pt idx="15">
                  <c:v>66.666666666666657</c:v>
                </c:pt>
                <c:pt idx="16">
                  <c:v>100</c:v>
                </c:pt>
                <c:pt idx="17">
                  <c:v>100</c:v>
                </c:pt>
                <c:pt idx="18">
                  <c:v>89.583333333333343</c:v>
                </c:pt>
                <c:pt idx="19">
                  <c:v>58.333333333333336</c:v>
                </c:pt>
                <c:pt idx="20">
                  <c:v>70.833333333333343</c:v>
                </c:pt>
                <c:pt idx="21">
                  <c:v>100</c:v>
                </c:pt>
                <c:pt idx="22">
                  <c:v>100</c:v>
                </c:pt>
                <c:pt idx="23">
                  <c:v>58.333333333333336</c:v>
                </c:pt>
                <c:pt idx="24">
                  <c:v>95.833333333333343</c:v>
                </c:pt>
                <c:pt idx="25">
                  <c:v>64.583333333333343</c:v>
                </c:pt>
                <c:pt idx="26">
                  <c:v>83.333333333333343</c:v>
                </c:pt>
                <c:pt idx="27">
                  <c:v>97.916666666666657</c:v>
                </c:pt>
                <c:pt idx="28">
                  <c:v>58.333333333333336</c:v>
                </c:pt>
                <c:pt idx="29">
                  <c:v>100</c:v>
                </c:pt>
                <c:pt idx="30">
                  <c:v>100</c:v>
                </c:pt>
                <c:pt idx="31">
                  <c:v>83.333333333333343</c:v>
                </c:pt>
                <c:pt idx="32">
                  <c:v>68.75</c:v>
                </c:pt>
                <c:pt idx="33">
                  <c:v>83.333333333333343</c:v>
                </c:pt>
                <c:pt idx="34">
                  <c:v>100</c:v>
                </c:pt>
              </c:numCache>
            </c:numRef>
          </c:val>
          <c:extLst>
            <c:ext xmlns:c16="http://schemas.microsoft.com/office/drawing/2014/chart" uri="{C3380CC4-5D6E-409C-BE32-E72D297353CC}">
              <c16:uniqueId val="{00000000-E445-4FB2-A295-33051C066FFA}"/>
            </c:ext>
          </c:extLst>
        </c:ser>
        <c:ser>
          <c:idx val="1"/>
          <c:order val="1"/>
          <c:tx>
            <c:strRef>
              <c:f>Sheet3!$J$1:$J$2</c:f>
              <c:strCache>
                <c:ptCount val="2"/>
                <c:pt idx="0">
                  <c:v>CE Index</c:v>
                </c:pt>
                <c:pt idx="1">
                  <c:v>2019</c:v>
                </c:pt>
              </c:strCache>
            </c:strRef>
          </c:tx>
          <c:spPr>
            <a:solidFill>
              <a:schemeClr val="accent2"/>
            </a:solidFill>
            <a:ln>
              <a:noFill/>
            </a:ln>
            <a:effectLst/>
          </c:spPr>
          <c:invertIfNegative val="0"/>
          <c:cat>
            <c:strRef>
              <c:f>Sheet3!$H$3:$H$37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 Bharti Infratel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 Tata Global beverages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Sheet3!$J$3:$J$37</c:f>
              <c:numCache>
                <c:formatCode>0</c:formatCode>
                <c:ptCount val="35"/>
                <c:pt idx="0">
                  <c:v>79.166666666666657</c:v>
                </c:pt>
                <c:pt idx="1">
                  <c:v>100</c:v>
                </c:pt>
                <c:pt idx="2">
                  <c:v>72.916666666666657</c:v>
                </c:pt>
                <c:pt idx="3">
                  <c:v>85.416666666666657</c:v>
                </c:pt>
                <c:pt idx="4">
                  <c:v>100</c:v>
                </c:pt>
                <c:pt idx="5">
                  <c:v>87.5</c:v>
                </c:pt>
                <c:pt idx="6">
                  <c:v>93.75</c:v>
                </c:pt>
                <c:pt idx="7">
                  <c:v>75</c:v>
                </c:pt>
                <c:pt idx="8">
                  <c:v>83.333333333333343</c:v>
                </c:pt>
                <c:pt idx="9">
                  <c:v>83.333333333333343</c:v>
                </c:pt>
                <c:pt idx="10">
                  <c:v>79.166666666666657</c:v>
                </c:pt>
                <c:pt idx="11">
                  <c:v>79.166666666666657</c:v>
                </c:pt>
                <c:pt idx="12">
                  <c:v>83.333333333333343</c:v>
                </c:pt>
                <c:pt idx="13">
                  <c:v>100</c:v>
                </c:pt>
                <c:pt idx="14">
                  <c:v>100</c:v>
                </c:pt>
                <c:pt idx="15">
                  <c:v>83.333333333333343</c:v>
                </c:pt>
                <c:pt idx="16">
                  <c:v>100</c:v>
                </c:pt>
                <c:pt idx="17">
                  <c:v>100</c:v>
                </c:pt>
                <c:pt idx="18">
                  <c:v>89.583333333333343</c:v>
                </c:pt>
                <c:pt idx="19">
                  <c:v>85.416666666666657</c:v>
                </c:pt>
                <c:pt idx="20">
                  <c:v>87.5</c:v>
                </c:pt>
                <c:pt idx="21">
                  <c:v>100</c:v>
                </c:pt>
                <c:pt idx="22">
                  <c:v>100</c:v>
                </c:pt>
                <c:pt idx="23">
                  <c:v>85.416666666666657</c:v>
                </c:pt>
                <c:pt idx="24">
                  <c:v>95.833333333333343</c:v>
                </c:pt>
                <c:pt idx="25">
                  <c:v>72.916666666666657</c:v>
                </c:pt>
                <c:pt idx="26">
                  <c:v>83.333333333333343</c:v>
                </c:pt>
                <c:pt idx="27">
                  <c:v>97.916666666666657</c:v>
                </c:pt>
                <c:pt idx="28">
                  <c:v>58.333333333333336</c:v>
                </c:pt>
                <c:pt idx="29">
                  <c:v>100</c:v>
                </c:pt>
                <c:pt idx="30">
                  <c:v>100</c:v>
                </c:pt>
                <c:pt idx="31">
                  <c:v>100</c:v>
                </c:pt>
                <c:pt idx="32">
                  <c:v>85.416666666666657</c:v>
                </c:pt>
                <c:pt idx="33">
                  <c:v>100</c:v>
                </c:pt>
                <c:pt idx="34">
                  <c:v>100</c:v>
                </c:pt>
              </c:numCache>
            </c:numRef>
          </c:val>
          <c:extLst>
            <c:ext xmlns:c16="http://schemas.microsoft.com/office/drawing/2014/chart" uri="{C3380CC4-5D6E-409C-BE32-E72D297353CC}">
              <c16:uniqueId val="{00000001-E445-4FB2-A295-33051C066FFA}"/>
            </c:ext>
          </c:extLst>
        </c:ser>
        <c:ser>
          <c:idx val="2"/>
          <c:order val="2"/>
          <c:tx>
            <c:strRef>
              <c:f>Sheet3!$K$1:$K$2</c:f>
              <c:strCache>
                <c:ptCount val="2"/>
                <c:pt idx="0">
                  <c:v>CE Index</c:v>
                </c:pt>
                <c:pt idx="1">
                  <c:v>2020</c:v>
                </c:pt>
              </c:strCache>
            </c:strRef>
          </c:tx>
          <c:spPr>
            <a:solidFill>
              <a:schemeClr val="accent3"/>
            </a:solidFill>
            <a:ln>
              <a:noFill/>
            </a:ln>
            <a:effectLst/>
          </c:spPr>
          <c:invertIfNegative val="0"/>
          <c:cat>
            <c:strRef>
              <c:f>Sheet3!$H$3:$H$37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 Bharti Infratel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 Tata Global beverages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Sheet3!$K$3:$K$37</c:f>
              <c:numCache>
                <c:formatCode>0</c:formatCode>
                <c:ptCount val="35"/>
                <c:pt idx="0">
                  <c:v>79.166666666666657</c:v>
                </c:pt>
                <c:pt idx="1">
                  <c:v>100</c:v>
                </c:pt>
                <c:pt idx="2">
                  <c:v>79.166666666666657</c:v>
                </c:pt>
                <c:pt idx="3">
                  <c:v>89.583333333333343</c:v>
                </c:pt>
                <c:pt idx="4">
                  <c:v>100</c:v>
                </c:pt>
                <c:pt idx="5">
                  <c:v>81.25</c:v>
                </c:pt>
                <c:pt idx="6">
                  <c:v>95.833333333333343</c:v>
                </c:pt>
                <c:pt idx="7">
                  <c:v>83.333333333333343</c:v>
                </c:pt>
                <c:pt idx="8">
                  <c:v>83.333333333333343</c:v>
                </c:pt>
                <c:pt idx="9">
                  <c:v>93.75</c:v>
                </c:pt>
                <c:pt idx="10">
                  <c:v>83.333333333333343</c:v>
                </c:pt>
                <c:pt idx="11">
                  <c:v>97.916666666666657</c:v>
                </c:pt>
                <c:pt idx="12">
                  <c:v>83.333333333333343</c:v>
                </c:pt>
                <c:pt idx="13">
                  <c:v>100</c:v>
                </c:pt>
                <c:pt idx="14">
                  <c:v>100</c:v>
                </c:pt>
                <c:pt idx="15">
                  <c:v>85.416666666666657</c:v>
                </c:pt>
                <c:pt idx="16">
                  <c:v>100</c:v>
                </c:pt>
                <c:pt idx="17">
                  <c:v>100</c:v>
                </c:pt>
                <c:pt idx="18">
                  <c:v>89.583333333333343</c:v>
                </c:pt>
                <c:pt idx="19">
                  <c:v>85.416666666666657</c:v>
                </c:pt>
                <c:pt idx="20">
                  <c:v>87.5</c:v>
                </c:pt>
                <c:pt idx="21">
                  <c:v>100</c:v>
                </c:pt>
                <c:pt idx="22">
                  <c:v>100</c:v>
                </c:pt>
                <c:pt idx="23">
                  <c:v>85.416666666666657</c:v>
                </c:pt>
                <c:pt idx="24">
                  <c:v>95.833333333333343</c:v>
                </c:pt>
                <c:pt idx="25">
                  <c:v>83.333333333333343</c:v>
                </c:pt>
                <c:pt idx="26">
                  <c:v>83.333333333333343</c:v>
                </c:pt>
                <c:pt idx="27">
                  <c:v>97.916666666666657</c:v>
                </c:pt>
                <c:pt idx="28">
                  <c:v>100</c:v>
                </c:pt>
                <c:pt idx="29">
                  <c:v>100</c:v>
                </c:pt>
                <c:pt idx="30">
                  <c:v>100</c:v>
                </c:pt>
                <c:pt idx="31">
                  <c:v>100</c:v>
                </c:pt>
                <c:pt idx="32">
                  <c:v>89.583333333333343</c:v>
                </c:pt>
                <c:pt idx="33">
                  <c:v>100</c:v>
                </c:pt>
                <c:pt idx="34">
                  <c:v>100</c:v>
                </c:pt>
              </c:numCache>
            </c:numRef>
          </c:val>
          <c:extLst>
            <c:ext xmlns:c16="http://schemas.microsoft.com/office/drawing/2014/chart" uri="{C3380CC4-5D6E-409C-BE32-E72D297353CC}">
              <c16:uniqueId val="{00000002-E445-4FB2-A295-33051C066FFA}"/>
            </c:ext>
          </c:extLst>
        </c:ser>
        <c:ser>
          <c:idx val="3"/>
          <c:order val="3"/>
          <c:tx>
            <c:strRef>
              <c:f>Sheet3!$L$1:$L$2</c:f>
              <c:strCache>
                <c:ptCount val="2"/>
                <c:pt idx="0">
                  <c:v>CE Index</c:v>
                </c:pt>
                <c:pt idx="1">
                  <c:v>2021</c:v>
                </c:pt>
              </c:strCache>
            </c:strRef>
          </c:tx>
          <c:spPr>
            <a:solidFill>
              <a:schemeClr val="accent4"/>
            </a:solidFill>
            <a:ln>
              <a:noFill/>
            </a:ln>
            <a:effectLst/>
          </c:spPr>
          <c:invertIfNegative val="0"/>
          <c:cat>
            <c:strRef>
              <c:f>Sheet3!$H$3:$H$37</c:f>
              <c:strCache>
                <c:ptCount val="35"/>
                <c:pt idx="0">
                  <c:v>Adani Transmission Ltd</c:v>
                </c:pt>
                <c:pt idx="1">
                  <c:v>Apollo tyres Ltd</c:v>
                </c:pt>
                <c:pt idx="2">
                  <c:v>Axis Bank Ltd</c:v>
                </c:pt>
                <c:pt idx="3">
                  <c:v>Bharti Airtel Ltd</c:v>
                </c:pt>
                <c:pt idx="4">
                  <c:v>Cipla Ltd</c:v>
                </c:pt>
                <c:pt idx="5">
                  <c:v>Dabur India Ltd</c:v>
                </c:pt>
                <c:pt idx="6">
                  <c:v>HDFC Bank Ltd</c:v>
                </c:pt>
                <c:pt idx="7">
                  <c:v>Havells India Ltd</c:v>
                </c:pt>
                <c:pt idx="8">
                  <c:v>Hindustan Unilever (HUL)</c:v>
                </c:pt>
                <c:pt idx="9">
                  <c:v>HDFC Ltd</c:v>
                </c:pt>
                <c:pt idx="10">
                  <c:v>ICICI Bank Ltd</c:v>
                </c:pt>
                <c:pt idx="11">
                  <c:v>ITC Ltd</c:v>
                </c:pt>
                <c:pt idx="12">
                  <c:v>Indian Hotels Company</c:v>
                </c:pt>
                <c:pt idx="13">
                  <c:v>Indian Oil Corporation Ltd</c:v>
                </c:pt>
                <c:pt idx="14">
                  <c:v>Indus towers Ltd./ Bharti Infratel Ltd</c:v>
                </c:pt>
                <c:pt idx="15">
                  <c:v>JSW Energy Ltd</c:v>
                </c:pt>
                <c:pt idx="16">
                  <c:v>JSW Steel Ltd</c:v>
                </c:pt>
                <c:pt idx="17">
                  <c:v>Laser &amp; Tourbo Ltd</c:v>
                </c:pt>
                <c:pt idx="18">
                  <c:v>Mahindra &amp; Mahindra Ltd</c:v>
                </c:pt>
                <c:pt idx="19">
                  <c:v> Marico Ltd</c:v>
                </c:pt>
                <c:pt idx="20">
                  <c:v>Maruthi Suzuki Ltd</c:v>
                </c:pt>
                <c:pt idx="21">
                  <c:v>Mindtree Ltd</c:v>
                </c:pt>
                <c:pt idx="22">
                  <c:v>Reliance Industries Ltd</c:v>
                </c:pt>
                <c:pt idx="23">
                  <c:v>SBI Insurance company Ltd</c:v>
                </c:pt>
                <c:pt idx="24">
                  <c:v>Tata Chemicals Ltd</c:v>
                </c:pt>
                <c:pt idx="25">
                  <c:v>TCS Ltd</c:v>
                </c:pt>
                <c:pt idx="26">
                  <c:v>Tata Consumer Products Ltd/ Tata Global beverages Ltd</c:v>
                </c:pt>
                <c:pt idx="27">
                  <c:v>Tata Motors Ltd</c:v>
                </c:pt>
                <c:pt idx="28">
                  <c:v>Tata Power Company Ltd</c:v>
                </c:pt>
                <c:pt idx="29">
                  <c:v>Tata Steel Ltd</c:v>
                </c:pt>
                <c:pt idx="30">
                  <c:v>Titan Company Ltd</c:v>
                </c:pt>
                <c:pt idx="31">
                  <c:v>Vedanta Ltd</c:v>
                </c:pt>
                <c:pt idx="32">
                  <c:v>Voltas Ltd</c:v>
                </c:pt>
                <c:pt idx="33">
                  <c:v>Wipro Ltd</c:v>
                </c:pt>
                <c:pt idx="34">
                  <c:v>Yes Bank Ltd</c:v>
                </c:pt>
              </c:strCache>
            </c:strRef>
          </c:cat>
          <c:val>
            <c:numRef>
              <c:f>Sheet3!$L$3:$L$37</c:f>
              <c:numCache>
                <c:formatCode>0</c:formatCode>
                <c:ptCount val="35"/>
                <c:pt idx="0">
                  <c:v>79.166666666666657</c:v>
                </c:pt>
                <c:pt idx="1">
                  <c:v>100</c:v>
                </c:pt>
                <c:pt idx="2">
                  <c:v>83.333333333333343</c:v>
                </c:pt>
                <c:pt idx="3">
                  <c:v>93.75</c:v>
                </c:pt>
                <c:pt idx="4">
                  <c:v>100</c:v>
                </c:pt>
                <c:pt idx="5">
                  <c:v>83.333333333333343</c:v>
                </c:pt>
                <c:pt idx="6">
                  <c:v>97.916666666666657</c:v>
                </c:pt>
                <c:pt idx="7">
                  <c:v>85.416666666666657</c:v>
                </c:pt>
                <c:pt idx="8">
                  <c:v>83.333333333333343</c:v>
                </c:pt>
                <c:pt idx="9">
                  <c:v>93.75</c:v>
                </c:pt>
                <c:pt idx="10">
                  <c:v>83.333333333333343</c:v>
                </c:pt>
                <c:pt idx="11">
                  <c:v>97.916666666666657</c:v>
                </c:pt>
                <c:pt idx="12">
                  <c:v>93.75</c:v>
                </c:pt>
                <c:pt idx="13">
                  <c:v>100</c:v>
                </c:pt>
                <c:pt idx="14">
                  <c:v>100</c:v>
                </c:pt>
                <c:pt idx="15">
                  <c:v>97.916666666666657</c:v>
                </c:pt>
                <c:pt idx="16">
                  <c:v>100</c:v>
                </c:pt>
                <c:pt idx="17">
                  <c:v>100</c:v>
                </c:pt>
                <c:pt idx="18">
                  <c:v>100</c:v>
                </c:pt>
                <c:pt idx="19">
                  <c:v>100</c:v>
                </c:pt>
                <c:pt idx="20">
                  <c:v>100</c:v>
                </c:pt>
                <c:pt idx="21">
                  <c:v>100</c:v>
                </c:pt>
                <c:pt idx="22">
                  <c:v>100</c:v>
                </c:pt>
                <c:pt idx="23">
                  <c:v>100</c:v>
                </c:pt>
                <c:pt idx="24">
                  <c:v>97.916666666666657</c:v>
                </c:pt>
                <c:pt idx="25">
                  <c:v>100</c:v>
                </c:pt>
                <c:pt idx="26">
                  <c:v>100</c:v>
                </c:pt>
                <c:pt idx="27">
                  <c:v>97.916666666666657</c:v>
                </c:pt>
                <c:pt idx="28">
                  <c:v>100</c:v>
                </c:pt>
                <c:pt idx="29">
                  <c:v>100</c:v>
                </c:pt>
                <c:pt idx="30">
                  <c:v>100</c:v>
                </c:pt>
                <c:pt idx="31">
                  <c:v>100</c:v>
                </c:pt>
                <c:pt idx="32">
                  <c:v>100</c:v>
                </c:pt>
                <c:pt idx="33">
                  <c:v>100</c:v>
                </c:pt>
                <c:pt idx="34">
                  <c:v>100</c:v>
                </c:pt>
              </c:numCache>
            </c:numRef>
          </c:val>
          <c:extLst>
            <c:ext xmlns:c16="http://schemas.microsoft.com/office/drawing/2014/chart" uri="{C3380CC4-5D6E-409C-BE32-E72D297353CC}">
              <c16:uniqueId val="{00000003-E445-4FB2-A295-33051C066FFA}"/>
            </c:ext>
          </c:extLst>
        </c:ser>
        <c:dLbls>
          <c:showLegendKey val="0"/>
          <c:showVal val="0"/>
          <c:showCatName val="0"/>
          <c:showSerName val="0"/>
          <c:showPercent val="0"/>
          <c:showBubbleSize val="0"/>
        </c:dLbls>
        <c:gapWidth val="219"/>
        <c:overlap val="-27"/>
        <c:axId val="1069385599"/>
        <c:axId val="1069375615"/>
      </c:barChart>
      <c:catAx>
        <c:axId val="10693855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List of companies year wise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375615"/>
        <c:crosses val="autoZero"/>
        <c:auto val="1"/>
        <c:lblAlgn val="ctr"/>
        <c:lblOffset val="100"/>
        <c:noMultiLvlLbl val="0"/>
      </c:catAx>
      <c:valAx>
        <c:axId val="10693756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9385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74095-85AD-413A-B814-C881EE7C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1952</TotalTime>
  <Pages>18</Pages>
  <Words>5284</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dsuman127@gmail.com</cp:lastModifiedBy>
  <cp:revision>401</cp:revision>
  <dcterms:created xsi:type="dcterms:W3CDTF">2020-03-27T16:28:00Z</dcterms:created>
  <dcterms:modified xsi:type="dcterms:W3CDTF">2022-08-30T16:39:00Z</dcterms:modified>
</cp:coreProperties>
</file>