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22B87" w14:textId="1FA4FBEA" w:rsidR="00FB0FB1" w:rsidRPr="006F2CEA" w:rsidRDefault="00FB0FB1" w:rsidP="00FB17BD">
      <w:pPr>
        <w:spacing w:after="0" w:line="240" w:lineRule="auto"/>
        <w:jc w:val="center"/>
        <w:rPr>
          <w:rFonts w:ascii="Times New Roman" w:hAnsi="Times New Roman" w:cs="Times New Roman"/>
          <w:b/>
          <w:bCs/>
          <w:color w:val="333333"/>
          <w:sz w:val="48"/>
          <w:szCs w:val="48"/>
        </w:rPr>
      </w:pPr>
      <w:r w:rsidRPr="00CC77C3">
        <w:rPr>
          <w:rFonts w:ascii="Times New Roman" w:hAnsi="Times New Roman" w:cs="Times New Roman"/>
          <w:b/>
          <w:bCs/>
          <w:color w:val="333333"/>
          <w:sz w:val="48"/>
          <w:szCs w:val="48"/>
        </w:rPr>
        <w:t xml:space="preserve">Challenges </w:t>
      </w:r>
      <w:r w:rsidR="005A1E54" w:rsidRPr="00CC77C3">
        <w:rPr>
          <w:rFonts w:ascii="Times New Roman" w:hAnsi="Times New Roman" w:cs="Times New Roman"/>
          <w:b/>
          <w:bCs/>
          <w:color w:val="333333"/>
          <w:sz w:val="48"/>
          <w:szCs w:val="48"/>
        </w:rPr>
        <w:t xml:space="preserve">and Opportunities of Biomarkers for Biological Targeting: </w:t>
      </w:r>
      <w:r w:rsidR="002E511F" w:rsidRPr="00CC77C3">
        <w:rPr>
          <w:rFonts w:ascii="Times New Roman" w:hAnsi="Times New Roman" w:cs="Times New Roman"/>
          <w:b/>
          <w:bCs/>
          <w:color w:val="333333"/>
          <w:sz w:val="48"/>
          <w:szCs w:val="48"/>
        </w:rPr>
        <w:t xml:space="preserve">A </w:t>
      </w:r>
      <w:r w:rsidR="005A1E54" w:rsidRPr="00CC77C3">
        <w:rPr>
          <w:rFonts w:ascii="Times New Roman" w:hAnsi="Times New Roman" w:cs="Times New Roman"/>
          <w:b/>
          <w:bCs/>
          <w:color w:val="333333"/>
          <w:sz w:val="48"/>
          <w:szCs w:val="48"/>
        </w:rPr>
        <w:t xml:space="preserve">Potential Way of </w:t>
      </w:r>
      <w:r w:rsidR="005A1E54" w:rsidRPr="006F2CEA">
        <w:rPr>
          <w:rFonts w:ascii="Times New Roman" w:hAnsi="Times New Roman" w:cs="Times New Roman"/>
          <w:b/>
          <w:bCs/>
          <w:color w:val="333333"/>
          <w:sz w:val="48"/>
          <w:szCs w:val="48"/>
        </w:rPr>
        <w:t>Diagnosis and Treatment</w:t>
      </w:r>
    </w:p>
    <w:p w14:paraId="68532A7F" w14:textId="599235A8" w:rsidR="000F022D" w:rsidRPr="006F2CEA" w:rsidRDefault="000F022D" w:rsidP="006F2CEA">
      <w:pPr>
        <w:spacing w:after="0" w:line="360" w:lineRule="auto"/>
        <w:jc w:val="center"/>
        <w:rPr>
          <w:rFonts w:ascii="Times New Roman" w:hAnsi="Times New Roman" w:cs="Times New Roman"/>
          <w:b/>
          <w:bCs/>
          <w:color w:val="333333"/>
          <w:sz w:val="20"/>
          <w:szCs w:val="20"/>
          <w:vertAlign w:val="superscript"/>
        </w:rPr>
      </w:pPr>
      <w:r w:rsidRPr="006F2CEA">
        <w:rPr>
          <w:rFonts w:ascii="Times New Roman" w:hAnsi="Times New Roman" w:cs="Times New Roman"/>
          <w:b/>
          <w:bCs/>
          <w:color w:val="333333"/>
          <w:sz w:val="20"/>
          <w:szCs w:val="20"/>
        </w:rPr>
        <w:t>Himanshi Bhalerao</w:t>
      </w:r>
      <w:r w:rsidRPr="006F2CEA">
        <w:rPr>
          <w:rFonts w:ascii="Times New Roman" w:hAnsi="Times New Roman" w:cs="Times New Roman"/>
          <w:b/>
          <w:bCs/>
          <w:color w:val="333333"/>
          <w:sz w:val="20"/>
          <w:szCs w:val="20"/>
          <w:vertAlign w:val="superscript"/>
        </w:rPr>
        <w:t>1</w:t>
      </w:r>
    </w:p>
    <w:p w14:paraId="21A94AD9" w14:textId="3B08E488" w:rsidR="000F022D" w:rsidRPr="006F2CEA" w:rsidRDefault="000F022D" w:rsidP="006F2CEA">
      <w:pPr>
        <w:spacing w:after="0" w:line="360" w:lineRule="auto"/>
        <w:jc w:val="center"/>
        <w:rPr>
          <w:rFonts w:ascii="Times New Roman" w:hAnsi="Times New Roman" w:cs="Times New Roman"/>
          <w:b/>
          <w:bCs/>
          <w:color w:val="333333"/>
          <w:sz w:val="20"/>
          <w:szCs w:val="20"/>
        </w:rPr>
      </w:pPr>
      <w:r w:rsidRPr="006F2CEA">
        <w:rPr>
          <w:rFonts w:ascii="Times New Roman" w:hAnsi="Times New Roman" w:cs="Times New Roman"/>
          <w:b/>
          <w:bCs/>
          <w:color w:val="333333"/>
          <w:sz w:val="20"/>
          <w:szCs w:val="20"/>
          <w:vertAlign w:val="superscript"/>
        </w:rPr>
        <w:t>`1</w:t>
      </w:r>
      <w:r w:rsidRPr="006F2CEA">
        <w:rPr>
          <w:rFonts w:ascii="Times New Roman" w:hAnsi="Times New Roman" w:cs="Times New Roman"/>
          <w:b/>
          <w:bCs/>
          <w:color w:val="333333"/>
          <w:sz w:val="20"/>
          <w:szCs w:val="20"/>
        </w:rPr>
        <w:t xml:space="preserve">Department of </w:t>
      </w:r>
      <w:r w:rsidR="006F2CEA">
        <w:rPr>
          <w:rFonts w:ascii="Times New Roman" w:hAnsi="Times New Roman" w:cs="Times New Roman"/>
          <w:b/>
          <w:bCs/>
          <w:color w:val="333333"/>
          <w:sz w:val="20"/>
          <w:szCs w:val="20"/>
        </w:rPr>
        <w:t xml:space="preserve">Pharmacology, </w:t>
      </w:r>
      <w:proofErr w:type="spellStart"/>
      <w:r w:rsidR="006F2CEA">
        <w:rPr>
          <w:rFonts w:ascii="Times New Roman" w:hAnsi="Times New Roman" w:cs="Times New Roman"/>
          <w:b/>
          <w:bCs/>
          <w:color w:val="333333"/>
          <w:sz w:val="20"/>
          <w:szCs w:val="20"/>
        </w:rPr>
        <w:t>ShriR</w:t>
      </w:r>
      <w:r w:rsidRPr="006F2CEA">
        <w:rPr>
          <w:rFonts w:ascii="Times New Roman" w:hAnsi="Times New Roman" w:cs="Times New Roman"/>
          <w:b/>
          <w:bCs/>
          <w:color w:val="333333"/>
          <w:sz w:val="20"/>
          <w:szCs w:val="20"/>
        </w:rPr>
        <w:t>am</w:t>
      </w:r>
      <w:proofErr w:type="spellEnd"/>
      <w:r w:rsidRPr="006F2CEA">
        <w:rPr>
          <w:rFonts w:ascii="Times New Roman" w:hAnsi="Times New Roman" w:cs="Times New Roman"/>
          <w:b/>
          <w:bCs/>
          <w:color w:val="333333"/>
          <w:sz w:val="20"/>
          <w:szCs w:val="20"/>
        </w:rPr>
        <w:t xml:space="preserve"> College of Pharmacy, </w:t>
      </w:r>
      <w:proofErr w:type="spellStart"/>
      <w:r w:rsidRPr="006F2CEA">
        <w:rPr>
          <w:rFonts w:ascii="Times New Roman" w:hAnsi="Times New Roman" w:cs="Times New Roman"/>
          <w:b/>
          <w:bCs/>
          <w:color w:val="333333"/>
          <w:sz w:val="20"/>
          <w:szCs w:val="20"/>
        </w:rPr>
        <w:t>Banmore</w:t>
      </w:r>
      <w:proofErr w:type="spellEnd"/>
      <w:r w:rsidRPr="006F2CEA">
        <w:rPr>
          <w:rFonts w:ascii="Times New Roman" w:hAnsi="Times New Roman" w:cs="Times New Roman"/>
          <w:b/>
          <w:bCs/>
          <w:color w:val="333333"/>
          <w:sz w:val="20"/>
          <w:szCs w:val="20"/>
        </w:rPr>
        <w:t xml:space="preserve">, </w:t>
      </w:r>
      <w:proofErr w:type="spellStart"/>
      <w:r w:rsidRPr="006F2CEA">
        <w:rPr>
          <w:rFonts w:ascii="Times New Roman" w:hAnsi="Times New Roman" w:cs="Times New Roman"/>
          <w:b/>
          <w:bCs/>
          <w:color w:val="333333"/>
          <w:sz w:val="20"/>
          <w:szCs w:val="20"/>
        </w:rPr>
        <w:t>Morena</w:t>
      </w:r>
      <w:proofErr w:type="spellEnd"/>
      <w:r w:rsidRPr="006F2CEA">
        <w:rPr>
          <w:rFonts w:ascii="Times New Roman" w:hAnsi="Times New Roman" w:cs="Times New Roman"/>
          <w:b/>
          <w:bCs/>
          <w:color w:val="333333"/>
          <w:sz w:val="20"/>
          <w:szCs w:val="20"/>
        </w:rPr>
        <w:t>, M.P., 476444</w:t>
      </w:r>
    </w:p>
    <w:p w14:paraId="45170E2B" w14:textId="0F701122" w:rsidR="006F2CEA" w:rsidRPr="006F2CEA" w:rsidRDefault="00250129" w:rsidP="006F2CEA">
      <w:pPr>
        <w:spacing w:after="0" w:line="360" w:lineRule="auto"/>
        <w:jc w:val="center"/>
        <w:rPr>
          <w:rFonts w:ascii="Times New Roman" w:hAnsi="Times New Roman" w:cs="Times New Roman"/>
          <w:b/>
          <w:bCs/>
          <w:color w:val="333333"/>
          <w:sz w:val="20"/>
          <w:szCs w:val="20"/>
        </w:rPr>
      </w:pPr>
      <w:hyperlink r:id="rId8" w:history="1">
        <w:r w:rsidRPr="006F2CEA">
          <w:rPr>
            <w:rStyle w:val="Hyperlink"/>
            <w:rFonts w:ascii="Times New Roman" w:hAnsi="Times New Roman" w:cs="Times New Roman"/>
            <w:b/>
            <w:bCs/>
            <w:sz w:val="20"/>
            <w:szCs w:val="20"/>
          </w:rPr>
          <w:t>Himanshibhalerao075@gmail.com</w:t>
        </w:r>
      </w:hyperlink>
    </w:p>
    <w:p w14:paraId="31CF05BB" w14:textId="5ACC4D3C" w:rsidR="00250129" w:rsidRPr="006F2CEA" w:rsidRDefault="00250129" w:rsidP="006F2CEA">
      <w:pPr>
        <w:spacing w:after="0" w:line="360" w:lineRule="auto"/>
        <w:jc w:val="center"/>
        <w:rPr>
          <w:rFonts w:ascii="Times New Roman" w:hAnsi="Times New Roman" w:cs="Times New Roman"/>
          <w:b/>
          <w:bCs/>
          <w:color w:val="333333"/>
          <w:sz w:val="20"/>
          <w:szCs w:val="20"/>
          <w:vertAlign w:val="superscript"/>
        </w:rPr>
      </w:pPr>
      <w:r w:rsidRPr="006F2CEA">
        <w:rPr>
          <w:rFonts w:ascii="Times New Roman" w:hAnsi="Times New Roman" w:cs="Times New Roman"/>
          <w:b/>
          <w:bCs/>
          <w:color w:val="333333"/>
          <w:sz w:val="20"/>
          <w:szCs w:val="20"/>
        </w:rPr>
        <w:t>Harish Sharma</w:t>
      </w:r>
      <w:r w:rsidR="006F2CEA" w:rsidRPr="006F2CEA">
        <w:rPr>
          <w:rFonts w:ascii="Times New Roman" w:hAnsi="Times New Roman" w:cs="Times New Roman"/>
          <w:b/>
          <w:bCs/>
          <w:color w:val="333333"/>
          <w:sz w:val="20"/>
          <w:szCs w:val="20"/>
          <w:vertAlign w:val="superscript"/>
        </w:rPr>
        <w:t>2</w:t>
      </w:r>
    </w:p>
    <w:p w14:paraId="20875A32" w14:textId="77502680" w:rsidR="006F2CEA" w:rsidRPr="006F2CEA" w:rsidRDefault="006F2CEA" w:rsidP="006F2CEA">
      <w:pPr>
        <w:spacing w:after="0" w:line="360" w:lineRule="auto"/>
        <w:jc w:val="center"/>
        <w:rPr>
          <w:rFonts w:ascii="Times New Roman" w:hAnsi="Times New Roman" w:cs="Times New Roman"/>
          <w:b/>
          <w:bCs/>
          <w:color w:val="333333"/>
          <w:sz w:val="20"/>
          <w:szCs w:val="20"/>
          <w:vertAlign w:val="superscript"/>
        </w:rPr>
      </w:pPr>
      <w:r>
        <w:rPr>
          <w:rFonts w:ascii="Times New Roman" w:hAnsi="Times New Roman" w:cs="Times New Roman"/>
          <w:b/>
          <w:bCs/>
          <w:color w:val="333333"/>
          <w:sz w:val="20"/>
          <w:szCs w:val="20"/>
          <w:vertAlign w:val="superscript"/>
        </w:rPr>
        <w:t>`2</w:t>
      </w:r>
      <w:r w:rsidRPr="006F2CEA">
        <w:rPr>
          <w:rFonts w:ascii="Times New Roman" w:hAnsi="Times New Roman" w:cs="Times New Roman"/>
          <w:b/>
          <w:bCs/>
          <w:color w:val="333333"/>
          <w:sz w:val="20"/>
          <w:szCs w:val="20"/>
        </w:rPr>
        <w:t xml:space="preserve">Department of </w:t>
      </w:r>
      <w:r>
        <w:rPr>
          <w:rFonts w:ascii="Times New Roman" w:hAnsi="Times New Roman" w:cs="Times New Roman"/>
          <w:b/>
          <w:bCs/>
          <w:color w:val="333333"/>
          <w:sz w:val="20"/>
          <w:szCs w:val="20"/>
        </w:rPr>
        <w:t xml:space="preserve">Pharmaceutics, </w:t>
      </w:r>
      <w:proofErr w:type="spellStart"/>
      <w:r>
        <w:rPr>
          <w:rFonts w:ascii="Times New Roman" w:hAnsi="Times New Roman" w:cs="Times New Roman"/>
          <w:b/>
          <w:bCs/>
          <w:color w:val="333333"/>
          <w:sz w:val="20"/>
          <w:szCs w:val="20"/>
        </w:rPr>
        <w:t>ShriR</w:t>
      </w:r>
      <w:r w:rsidRPr="006F2CEA">
        <w:rPr>
          <w:rFonts w:ascii="Times New Roman" w:hAnsi="Times New Roman" w:cs="Times New Roman"/>
          <w:b/>
          <w:bCs/>
          <w:color w:val="333333"/>
          <w:sz w:val="20"/>
          <w:szCs w:val="20"/>
        </w:rPr>
        <w:t>am</w:t>
      </w:r>
      <w:proofErr w:type="spellEnd"/>
      <w:r w:rsidRPr="006F2CEA">
        <w:rPr>
          <w:rFonts w:ascii="Times New Roman" w:hAnsi="Times New Roman" w:cs="Times New Roman"/>
          <w:b/>
          <w:bCs/>
          <w:color w:val="333333"/>
          <w:sz w:val="20"/>
          <w:szCs w:val="20"/>
        </w:rPr>
        <w:t xml:space="preserve"> College of Pharmacy, </w:t>
      </w:r>
      <w:proofErr w:type="spellStart"/>
      <w:r w:rsidRPr="006F2CEA">
        <w:rPr>
          <w:rFonts w:ascii="Times New Roman" w:hAnsi="Times New Roman" w:cs="Times New Roman"/>
          <w:b/>
          <w:bCs/>
          <w:color w:val="333333"/>
          <w:sz w:val="20"/>
          <w:szCs w:val="20"/>
        </w:rPr>
        <w:t>Banmore</w:t>
      </w:r>
      <w:proofErr w:type="spellEnd"/>
      <w:r w:rsidRPr="006F2CEA">
        <w:rPr>
          <w:rFonts w:ascii="Times New Roman" w:hAnsi="Times New Roman" w:cs="Times New Roman"/>
          <w:b/>
          <w:bCs/>
          <w:color w:val="333333"/>
          <w:sz w:val="20"/>
          <w:szCs w:val="20"/>
        </w:rPr>
        <w:t xml:space="preserve">, </w:t>
      </w:r>
      <w:proofErr w:type="spellStart"/>
      <w:r w:rsidRPr="006F2CEA">
        <w:rPr>
          <w:rFonts w:ascii="Times New Roman" w:hAnsi="Times New Roman" w:cs="Times New Roman"/>
          <w:b/>
          <w:bCs/>
          <w:color w:val="333333"/>
          <w:sz w:val="20"/>
          <w:szCs w:val="20"/>
        </w:rPr>
        <w:t>Morena</w:t>
      </w:r>
      <w:proofErr w:type="spellEnd"/>
      <w:r w:rsidRPr="006F2CEA">
        <w:rPr>
          <w:rFonts w:ascii="Times New Roman" w:hAnsi="Times New Roman" w:cs="Times New Roman"/>
          <w:b/>
          <w:bCs/>
          <w:color w:val="333333"/>
          <w:sz w:val="20"/>
          <w:szCs w:val="20"/>
        </w:rPr>
        <w:t>, M.P., 476444</w:t>
      </w:r>
    </w:p>
    <w:p w14:paraId="64E4F11F" w14:textId="49E938D2" w:rsidR="00250129" w:rsidRDefault="00250129" w:rsidP="006F2CEA">
      <w:pPr>
        <w:spacing w:after="0" w:line="360" w:lineRule="auto"/>
        <w:jc w:val="center"/>
        <w:rPr>
          <w:rFonts w:ascii="Times New Roman" w:hAnsi="Times New Roman" w:cs="Times New Roman"/>
          <w:b/>
          <w:bCs/>
          <w:color w:val="333333"/>
          <w:sz w:val="20"/>
          <w:szCs w:val="20"/>
        </w:rPr>
      </w:pPr>
      <w:hyperlink r:id="rId9" w:history="1">
        <w:r w:rsidRPr="006F2CEA">
          <w:rPr>
            <w:rStyle w:val="Hyperlink"/>
            <w:rFonts w:ascii="Times New Roman" w:hAnsi="Times New Roman" w:cs="Times New Roman"/>
            <w:b/>
            <w:bCs/>
            <w:sz w:val="20"/>
            <w:szCs w:val="20"/>
          </w:rPr>
          <w:t>hs9277587@gmail.com</w:t>
        </w:r>
      </w:hyperlink>
    </w:p>
    <w:p w14:paraId="116B089E" w14:textId="0E4B4DBE" w:rsidR="00FB17BD" w:rsidRDefault="00FB17BD" w:rsidP="006F2CEA">
      <w:pPr>
        <w:spacing w:after="0" w:line="360" w:lineRule="auto"/>
        <w:jc w:val="center"/>
        <w:rPr>
          <w:rFonts w:ascii="Times New Roman" w:hAnsi="Times New Roman" w:cs="Times New Roman"/>
          <w:b/>
          <w:bCs/>
          <w:color w:val="333333"/>
          <w:sz w:val="20"/>
          <w:szCs w:val="20"/>
          <w:vertAlign w:val="superscript"/>
        </w:rPr>
      </w:pPr>
      <w:proofErr w:type="spellStart"/>
      <w:r>
        <w:rPr>
          <w:rFonts w:ascii="Times New Roman" w:hAnsi="Times New Roman" w:cs="Times New Roman"/>
          <w:b/>
          <w:bCs/>
          <w:color w:val="333333"/>
          <w:sz w:val="20"/>
          <w:szCs w:val="20"/>
        </w:rPr>
        <w:t>Krati</w:t>
      </w:r>
      <w:proofErr w:type="spellEnd"/>
      <w:r>
        <w:rPr>
          <w:rFonts w:ascii="Times New Roman" w:hAnsi="Times New Roman" w:cs="Times New Roman"/>
          <w:b/>
          <w:bCs/>
          <w:color w:val="333333"/>
          <w:sz w:val="20"/>
          <w:szCs w:val="20"/>
        </w:rPr>
        <w:t xml:space="preserve"> Dhakad</w:t>
      </w:r>
      <w:r w:rsidRPr="00FB17BD">
        <w:rPr>
          <w:rFonts w:ascii="Times New Roman" w:hAnsi="Times New Roman" w:cs="Times New Roman"/>
          <w:b/>
          <w:bCs/>
          <w:color w:val="333333"/>
          <w:sz w:val="20"/>
          <w:szCs w:val="20"/>
          <w:vertAlign w:val="superscript"/>
        </w:rPr>
        <w:t>3</w:t>
      </w:r>
    </w:p>
    <w:p w14:paraId="13C1FBEF" w14:textId="2637BC09" w:rsidR="00FB17BD" w:rsidRDefault="00FB17BD" w:rsidP="006F2CEA">
      <w:pPr>
        <w:spacing w:after="0"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vertAlign w:val="superscript"/>
        </w:rPr>
        <w:t>3</w:t>
      </w:r>
      <w:r w:rsidRPr="006F2CEA">
        <w:rPr>
          <w:rFonts w:ascii="Times New Roman" w:hAnsi="Times New Roman" w:cs="Times New Roman"/>
          <w:b/>
          <w:bCs/>
          <w:color w:val="333333"/>
          <w:sz w:val="20"/>
          <w:szCs w:val="20"/>
        </w:rPr>
        <w:t xml:space="preserve">Department of </w:t>
      </w:r>
      <w:r>
        <w:rPr>
          <w:rFonts w:ascii="Times New Roman" w:hAnsi="Times New Roman" w:cs="Times New Roman"/>
          <w:b/>
          <w:bCs/>
          <w:color w:val="333333"/>
          <w:sz w:val="20"/>
          <w:szCs w:val="20"/>
        </w:rPr>
        <w:t>Pharmaceutical chemistry</w:t>
      </w:r>
      <w:r>
        <w:rPr>
          <w:rFonts w:ascii="Times New Roman" w:hAnsi="Times New Roman" w:cs="Times New Roman"/>
          <w:b/>
          <w:bCs/>
          <w:color w:val="333333"/>
          <w:sz w:val="20"/>
          <w:szCs w:val="20"/>
        </w:rPr>
        <w:t xml:space="preserve">, </w:t>
      </w:r>
      <w:proofErr w:type="spellStart"/>
      <w:r>
        <w:rPr>
          <w:rFonts w:ascii="Times New Roman" w:hAnsi="Times New Roman" w:cs="Times New Roman"/>
          <w:b/>
          <w:bCs/>
          <w:color w:val="333333"/>
          <w:sz w:val="20"/>
          <w:szCs w:val="20"/>
        </w:rPr>
        <w:t>ShriR</w:t>
      </w:r>
      <w:r w:rsidRPr="006F2CEA">
        <w:rPr>
          <w:rFonts w:ascii="Times New Roman" w:hAnsi="Times New Roman" w:cs="Times New Roman"/>
          <w:b/>
          <w:bCs/>
          <w:color w:val="333333"/>
          <w:sz w:val="20"/>
          <w:szCs w:val="20"/>
        </w:rPr>
        <w:t>am</w:t>
      </w:r>
      <w:proofErr w:type="spellEnd"/>
      <w:r w:rsidRPr="006F2CEA">
        <w:rPr>
          <w:rFonts w:ascii="Times New Roman" w:hAnsi="Times New Roman" w:cs="Times New Roman"/>
          <w:b/>
          <w:bCs/>
          <w:color w:val="333333"/>
          <w:sz w:val="20"/>
          <w:szCs w:val="20"/>
        </w:rPr>
        <w:t xml:space="preserve"> College of Pharmacy, </w:t>
      </w:r>
      <w:proofErr w:type="spellStart"/>
      <w:r w:rsidRPr="006F2CEA">
        <w:rPr>
          <w:rFonts w:ascii="Times New Roman" w:hAnsi="Times New Roman" w:cs="Times New Roman"/>
          <w:b/>
          <w:bCs/>
          <w:color w:val="333333"/>
          <w:sz w:val="20"/>
          <w:szCs w:val="20"/>
        </w:rPr>
        <w:t>Banmore</w:t>
      </w:r>
      <w:proofErr w:type="spellEnd"/>
      <w:r w:rsidRPr="006F2CEA">
        <w:rPr>
          <w:rFonts w:ascii="Times New Roman" w:hAnsi="Times New Roman" w:cs="Times New Roman"/>
          <w:b/>
          <w:bCs/>
          <w:color w:val="333333"/>
          <w:sz w:val="20"/>
          <w:szCs w:val="20"/>
        </w:rPr>
        <w:t xml:space="preserve">, </w:t>
      </w:r>
      <w:proofErr w:type="spellStart"/>
      <w:r w:rsidRPr="006F2CEA">
        <w:rPr>
          <w:rFonts w:ascii="Times New Roman" w:hAnsi="Times New Roman" w:cs="Times New Roman"/>
          <w:b/>
          <w:bCs/>
          <w:color w:val="333333"/>
          <w:sz w:val="20"/>
          <w:szCs w:val="20"/>
        </w:rPr>
        <w:t>Morena</w:t>
      </w:r>
      <w:proofErr w:type="spellEnd"/>
      <w:r w:rsidRPr="006F2CEA">
        <w:rPr>
          <w:rFonts w:ascii="Times New Roman" w:hAnsi="Times New Roman" w:cs="Times New Roman"/>
          <w:b/>
          <w:bCs/>
          <w:color w:val="333333"/>
          <w:sz w:val="20"/>
          <w:szCs w:val="20"/>
        </w:rPr>
        <w:t>, M.P., 476444</w:t>
      </w:r>
    </w:p>
    <w:p w14:paraId="2D8BA70B" w14:textId="6184DBC7" w:rsidR="00FB17BD" w:rsidRDefault="00FB17BD" w:rsidP="006F2CEA">
      <w:pPr>
        <w:spacing w:after="0" w:line="360" w:lineRule="auto"/>
        <w:jc w:val="center"/>
        <w:rPr>
          <w:rFonts w:ascii="Times New Roman" w:hAnsi="Times New Roman" w:cs="Times New Roman"/>
          <w:b/>
          <w:bCs/>
          <w:color w:val="333333"/>
          <w:sz w:val="20"/>
          <w:szCs w:val="20"/>
        </w:rPr>
      </w:pPr>
      <w:hyperlink r:id="rId10" w:history="1">
        <w:r w:rsidRPr="00652D3D">
          <w:rPr>
            <w:rStyle w:val="Hyperlink"/>
            <w:rFonts w:ascii="Times New Roman" w:hAnsi="Times New Roman" w:cs="Times New Roman"/>
            <w:b/>
            <w:bCs/>
            <w:sz w:val="20"/>
            <w:szCs w:val="20"/>
          </w:rPr>
          <w:t>Kratidhakad08@gmail.com</w:t>
        </w:r>
      </w:hyperlink>
    </w:p>
    <w:p w14:paraId="43357D89" w14:textId="1B650AA2" w:rsidR="00FB17BD" w:rsidRDefault="00FB17BD" w:rsidP="006F2CEA">
      <w:pPr>
        <w:spacing w:after="0" w:line="360" w:lineRule="auto"/>
        <w:jc w:val="center"/>
        <w:rPr>
          <w:rFonts w:ascii="Times New Roman" w:hAnsi="Times New Roman" w:cs="Times New Roman"/>
          <w:b/>
          <w:bCs/>
          <w:color w:val="333333"/>
          <w:sz w:val="20"/>
          <w:szCs w:val="20"/>
        </w:rPr>
      </w:pPr>
      <w:proofErr w:type="spellStart"/>
      <w:r>
        <w:rPr>
          <w:rFonts w:ascii="Times New Roman" w:hAnsi="Times New Roman" w:cs="Times New Roman"/>
          <w:b/>
          <w:bCs/>
          <w:color w:val="333333"/>
          <w:sz w:val="20"/>
          <w:szCs w:val="20"/>
        </w:rPr>
        <w:t>Dr.</w:t>
      </w:r>
      <w:proofErr w:type="spellEnd"/>
      <w:r>
        <w:rPr>
          <w:rFonts w:ascii="Times New Roman" w:hAnsi="Times New Roman" w:cs="Times New Roman"/>
          <w:b/>
          <w:bCs/>
          <w:color w:val="333333"/>
          <w:sz w:val="20"/>
          <w:szCs w:val="20"/>
        </w:rPr>
        <w:t xml:space="preserve"> Pankaj Sharma</w:t>
      </w:r>
      <w:r w:rsidRPr="00FB17BD">
        <w:rPr>
          <w:rFonts w:ascii="Times New Roman" w:hAnsi="Times New Roman" w:cs="Times New Roman"/>
          <w:b/>
          <w:bCs/>
          <w:color w:val="333333"/>
          <w:sz w:val="20"/>
          <w:szCs w:val="20"/>
          <w:vertAlign w:val="superscript"/>
        </w:rPr>
        <w:t>4</w:t>
      </w:r>
    </w:p>
    <w:p w14:paraId="0E55A0AD" w14:textId="0601CCB1" w:rsidR="00FB17BD" w:rsidRDefault="00FB17BD" w:rsidP="00FB17BD">
      <w:pPr>
        <w:spacing w:after="0"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vertAlign w:val="superscript"/>
        </w:rPr>
        <w:t>2</w:t>
      </w:r>
      <w:r w:rsidRPr="006F2CEA">
        <w:rPr>
          <w:rFonts w:ascii="Times New Roman" w:hAnsi="Times New Roman" w:cs="Times New Roman"/>
          <w:b/>
          <w:bCs/>
          <w:color w:val="333333"/>
          <w:sz w:val="20"/>
          <w:szCs w:val="20"/>
        </w:rPr>
        <w:t xml:space="preserve">Department of </w:t>
      </w:r>
      <w:r>
        <w:rPr>
          <w:rFonts w:ascii="Times New Roman" w:hAnsi="Times New Roman" w:cs="Times New Roman"/>
          <w:b/>
          <w:bCs/>
          <w:color w:val="333333"/>
          <w:sz w:val="20"/>
          <w:szCs w:val="20"/>
        </w:rPr>
        <w:t xml:space="preserve">Pharmaceutics, </w:t>
      </w:r>
      <w:proofErr w:type="spellStart"/>
      <w:r>
        <w:rPr>
          <w:rFonts w:ascii="Times New Roman" w:hAnsi="Times New Roman" w:cs="Times New Roman"/>
          <w:b/>
          <w:bCs/>
          <w:color w:val="333333"/>
          <w:sz w:val="20"/>
          <w:szCs w:val="20"/>
        </w:rPr>
        <w:t>ShriR</w:t>
      </w:r>
      <w:r w:rsidRPr="006F2CEA">
        <w:rPr>
          <w:rFonts w:ascii="Times New Roman" w:hAnsi="Times New Roman" w:cs="Times New Roman"/>
          <w:b/>
          <w:bCs/>
          <w:color w:val="333333"/>
          <w:sz w:val="20"/>
          <w:szCs w:val="20"/>
        </w:rPr>
        <w:t>am</w:t>
      </w:r>
      <w:proofErr w:type="spellEnd"/>
      <w:r w:rsidRPr="006F2CEA">
        <w:rPr>
          <w:rFonts w:ascii="Times New Roman" w:hAnsi="Times New Roman" w:cs="Times New Roman"/>
          <w:b/>
          <w:bCs/>
          <w:color w:val="333333"/>
          <w:sz w:val="20"/>
          <w:szCs w:val="20"/>
        </w:rPr>
        <w:t xml:space="preserve"> College of Pharmacy, </w:t>
      </w:r>
      <w:proofErr w:type="spellStart"/>
      <w:r w:rsidRPr="006F2CEA">
        <w:rPr>
          <w:rFonts w:ascii="Times New Roman" w:hAnsi="Times New Roman" w:cs="Times New Roman"/>
          <w:b/>
          <w:bCs/>
          <w:color w:val="333333"/>
          <w:sz w:val="20"/>
          <w:szCs w:val="20"/>
        </w:rPr>
        <w:t>Banmore</w:t>
      </w:r>
      <w:proofErr w:type="spellEnd"/>
      <w:r w:rsidRPr="006F2CEA">
        <w:rPr>
          <w:rFonts w:ascii="Times New Roman" w:hAnsi="Times New Roman" w:cs="Times New Roman"/>
          <w:b/>
          <w:bCs/>
          <w:color w:val="333333"/>
          <w:sz w:val="20"/>
          <w:szCs w:val="20"/>
        </w:rPr>
        <w:t xml:space="preserve">, </w:t>
      </w:r>
      <w:proofErr w:type="spellStart"/>
      <w:r w:rsidRPr="006F2CEA">
        <w:rPr>
          <w:rFonts w:ascii="Times New Roman" w:hAnsi="Times New Roman" w:cs="Times New Roman"/>
          <w:b/>
          <w:bCs/>
          <w:color w:val="333333"/>
          <w:sz w:val="20"/>
          <w:szCs w:val="20"/>
        </w:rPr>
        <w:t>Morena</w:t>
      </w:r>
      <w:proofErr w:type="spellEnd"/>
      <w:r w:rsidRPr="006F2CEA">
        <w:rPr>
          <w:rFonts w:ascii="Times New Roman" w:hAnsi="Times New Roman" w:cs="Times New Roman"/>
          <w:b/>
          <w:bCs/>
          <w:color w:val="333333"/>
          <w:sz w:val="20"/>
          <w:szCs w:val="20"/>
        </w:rPr>
        <w:t>, M.P., 476444</w:t>
      </w:r>
    </w:p>
    <w:p w14:paraId="0E164C7D" w14:textId="613B1205" w:rsidR="00FB17BD" w:rsidRDefault="00FB17BD" w:rsidP="00FB17BD">
      <w:pPr>
        <w:spacing w:after="0" w:line="360" w:lineRule="auto"/>
        <w:jc w:val="center"/>
        <w:rPr>
          <w:rFonts w:ascii="Times New Roman" w:hAnsi="Times New Roman" w:cs="Times New Roman"/>
          <w:b/>
          <w:bCs/>
          <w:color w:val="333333"/>
          <w:sz w:val="20"/>
          <w:szCs w:val="20"/>
        </w:rPr>
      </w:pPr>
      <w:hyperlink r:id="rId11" w:history="1">
        <w:r w:rsidRPr="00652D3D">
          <w:rPr>
            <w:rStyle w:val="Hyperlink"/>
            <w:rFonts w:ascii="Times New Roman" w:hAnsi="Times New Roman" w:cs="Times New Roman"/>
            <w:b/>
            <w:bCs/>
            <w:sz w:val="20"/>
            <w:szCs w:val="20"/>
          </w:rPr>
          <w:t>Pankajsharma223@gmail.com</w:t>
        </w:r>
      </w:hyperlink>
    </w:p>
    <w:p w14:paraId="352AD915" w14:textId="1D3E4AA3" w:rsidR="00FB17BD" w:rsidRDefault="00FB17BD" w:rsidP="00FB17BD">
      <w:pPr>
        <w:spacing w:after="0" w:line="360" w:lineRule="auto"/>
        <w:jc w:val="center"/>
        <w:rPr>
          <w:rFonts w:ascii="Times New Roman" w:hAnsi="Times New Roman" w:cs="Times New Roman"/>
          <w:b/>
          <w:bCs/>
          <w:color w:val="333333"/>
          <w:sz w:val="20"/>
          <w:szCs w:val="20"/>
          <w:vertAlign w:val="superscript"/>
        </w:rPr>
      </w:pPr>
      <w:proofErr w:type="spellStart"/>
      <w:r>
        <w:rPr>
          <w:rFonts w:ascii="Times New Roman" w:hAnsi="Times New Roman" w:cs="Times New Roman"/>
          <w:b/>
          <w:bCs/>
          <w:color w:val="333333"/>
          <w:sz w:val="20"/>
          <w:szCs w:val="20"/>
        </w:rPr>
        <w:t>Saloni</w:t>
      </w:r>
      <w:proofErr w:type="spellEnd"/>
      <w:r>
        <w:rPr>
          <w:rFonts w:ascii="Times New Roman" w:hAnsi="Times New Roman" w:cs="Times New Roman"/>
          <w:b/>
          <w:bCs/>
          <w:color w:val="333333"/>
          <w:sz w:val="20"/>
          <w:szCs w:val="20"/>
        </w:rPr>
        <w:t xml:space="preserve"> jain</w:t>
      </w:r>
      <w:r w:rsidRPr="00FB17BD">
        <w:rPr>
          <w:rFonts w:ascii="Times New Roman" w:hAnsi="Times New Roman" w:cs="Times New Roman"/>
          <w:b/>
          <w:bCs/>
          <w:color w:val="333333"/>
          <w:sz w:val="20"/>
          <w:szCs w:val="20"/>
          <w:vertAlign w:val="superscript"/>
        </w:rPr>
        <w:t>5</w:t>
      </w:r>
      <w:bookmarkStart w:id="0" w:name="_GoBack"/>
      <w:bookmarkEnd w:id="0"/>
    </w:p>
    <w:p w14:paraId="4A22FFD7" w14:textId="3BBDB997" w:rsidR="00FB17BD" w:rsidRDefault="00FB17BD" w:rsidP="00FB17BD">
      <w:pPr>
        <w:spacing w:after="0" w:line="360" w:lineRule="auto"/>
        <w:jc w:val="center"/>
        <w:rPr>
          <w:rFonts w:ascii="Times New Roman" w:hAnsi="Times New Roman" w:cs="Times New Roman"/>
          <w:b/>
          <w:bCs/>
          <w:color w:val="333333"/>
          <w:sz w:val="20"/>
          <w:szCs w:val="20"/>
        </w:rPr>
      </w:pPr>
      <w:r w:rsidRPr="006F2CEA">
        <w:rPr>
          <w:rFonts w:ascii="Times New Roman" w:hAnsi="Times New Roman" w:cs="Times New Roman"/>
          <w:b/>
          <w:bCs/>
          <w:color w:val="333333"/>
          <w:sz w:val="20"/>
          <w:szCs w:val="20"/>
          <w:vertAlign w:val="superscript"/>
        </w:rPr>
        <w:t>1</w:t>
      </w:r>
      <w:r w:rsidRPr="006F2CEA">
        <w:rPr>
          <w:rFonts w:ascii="Times New Roman" w:hAnsi="Times New Roman" w:cs="Times New Roman"/>
          <w:b/>
          <w:bCs/>
          <w:color w:val="333333"/>
          <w:sz w:val="20"/>
          <w:szCs w:val="20"/>
        </w:rPr>
        <w:t xml:space="preserve">Department of </w:t>
      </w:r>
      <w:r>
        <w:rPr>
          <w:rFonts w:ascii="Times New Roman" w:hAnsi="Times New Roman" w:cs="Times New Roman"/>
          <w:b/>
          <w:bCs/>
          <w:color w:val="333333"/>
          <w:sz w:val="20"/>
          <w:szCs w:val="20"/>
        </w:rPr>
        <w:t xml:space="preserve">Pharmacology, </w:t>
      </w:r>
      <w:proofErr w:type="spellStart"/>
      <w:r>
        <w:rPr>
          <w:rFonts w:ascii="Times New Roman" w:hAnsi="Times New Roman" w:cs="Times New Roman"/>
          <w:b/>
          <w:bCs/>
          <w:color w:val="333333"/>
          <w:sz w:val="20"/>
          <w:szCs w:val="20"/>
        </w:rPr>
        <w:t>ShriR</w:t>
      </w:r>
      <w:r w:rsidRPr="006F2CEA">
        <w:rPr>
          <w:rFonts w:ascii="Times New Roman" w:hAnsi="Times New Roman" w:cs="Times New Roman"/>
          <w:b/>
          <w:bCs/>
          <w:color w:val="333333"/>
          <w:sz w:val="20"/>
          <w:szCs w:val="20"/>
        </w:rPr>
        <w:t>am</w:t>
      </w:r>
      <w:proofErr w:type="spellEnd"/>
      <w:r w:rsidRPr="006F2CEA">
        <w:rPr>
          <w:rFonts w:ascii="Times New Roman" w:hAnsi="Times New Roman" w:cs="Times New Roman"/>
          <w:b/>
          <w:bCs/>
          <w:color w:val="333333"/>
          <w:sz w:val="20"/>
          <w:szCs w:val="20"/>
        </w:rPr>
        <w:t xml:space="preserve"> College of Pharmacy, </w:t>
      </w:r>
      <w:proofErr w:type="spellStart"/>
      <w:r w:rsidRPr="006F2CEA">
        <w:rPr>
          <w:rFonts w:ascii="Times New Roman" w:hAnsi="Times New Roman" w:cs="Times New Roman"/>
          <w:b/>
          <w:bCs/>
          <w:color w:val="333333"/>
          <w:sz w:val="20"/>
          <w:szCs w:val="20"/>
        </w:rPr>
        <w:t>Banmore</w:t>
      </w:r>
      <w:proofErr w:type="spellEnd"/>
      <w:r w:rsidRPr="006F2CEA">
        <w:rPr>
          <w:rFonts w:ascii="Times New Roman" w:hAnsi="Times New Roman" w:cs="Times New Roman"/>
          <w:b/>
          <w:bCs/>
          <w:color w:val="333333"/>
          <w:sz w:val="20"/>
          <w:szCs w:val="20"/>
        </w:rPr>
        <w:t xml:space="preserve">, </w:t>
      </w:r>
      <w:proofErr w:type="spellStart"/>
      <w:r w:rsidRPr="006F2CEA">
        <w:rPr>
          <w:rFonts w:ascii="Times New Roman" w:hAnsi="Times New Roman" w:cs="Times New Roman"/>
          <w:b/>
          <w:bCs/>
          <w:color w:val="333333"/>
          <w:sz w:val="20"/>
          <w:szCs w:val="20"/>
        </w:rPr>
        <w:t>Morena</w:t>
      </w:r>
      <w:proofErr w:type="spellEnd"/>
      <w:r w:rsidRPr="006F2CEA">
        <w:rPr>
          <w:rFonts w:ascii="Times New Roman" w:hAnsi="Times New Roman" w:cs="Times New Roman"/>
          <w:b/>
          <w:bCs/>
          <w:color w:val="333333"/>
          <w:sz w:val="20"/>
          <w:szCs w:val="20"/>
        </w:rPr>
        <w:t>, M.P., 476444</w:t>
      </w:r>
    </w:p>
    <w:p w14:paraId="2166CB97" w14:textId="6258A942" w:rsidR="00250129" w:rsidRPr="00CC77C3" w:rsidRDefault="00FB17BD" w:rsidP="00FB17BD">
      <w:pPr>
        <w:spacing w:after="0" w:line="360" w:lineRule="auto"/>
        <w:jc w:val="center"/>
        <w:rPr>
          <w:rFonts w:ascii="Times New Roman" w:hAnsi="Times New Roman" w:cs="Times New Roman"/>
          <w:b/>
          <w:bCs/>
          <w:color w:val="333333"/>
          <w:sz w:val="20"/>
          <w:szCs w:val="20"/>
        </w:rPr>
      </w:pPr>
      <w:hyperlink r:id="rId12" w:history="1">
        <w:r w:rsidRPr="00652D3D">
          <w:rPr>
            <w:rStyle w:val="Hyperlink"/>
            <w:rFonts w:ascii="Times New Roman" w:hAnsi="Times New Roman" w:cs="Times New Roman"/>
            <w:b/>
            <w:bCs/>
            <w:sz w:val="20"/>
            <w:szCs w:val="20"/>
          </w:rPr>
          <w:t>Salonijain455@gmail.com</w:t>
        </w:r>
      </w:hyperlink>
    </w:p>
    <w:p w14:paraId="600AF9DE" w14:textId="17DEBD53" w:rsidR="00CC77C3" w:rsidRPr="006F2CEA" w:rsidRDefault="00CC77C3" w:rsidP="00084EEA">
      <w:pPr>
        <w:spacing w:after="0" w:line="240" w:lineRule="auto"/>
        <w:jc w:val="center"/>
        <w:rPr>
          <w:rFonts w:ascii="Times New Roman" w:hAnsi="Times New Roman" w:cs="Times New Roman"/>
          <w:b/>
          <w:bCs/>
          <w:color w:val="333333"/>
          <w:sz w:val="20"/>
          <w:szCs w:val="20"/>
        </w:rPr>
      </w:pPr>
      <w:r w:rsidRPr="006F2CEA">
        <w:rPr>
          <w:rFonts w:ascii="Times New Roman" w:hAnsi="Times New Roman" w:cs="Times New Roman"/>
          <w:b/>
          <w:bCs/>
          <w:color w:val="000000" w:themeColor="text1"/>
          <w:sz w:val="20"/>
          <w:szCs w:val="20"/>
        </w:rPr>
        <w:t>ABSTRACT</w:t>
      </w:r>
    </w:p>
    <w:p w14:paraId="4D5125F2" w14:textId="2020B236" w:rsidR="005B631A" w:rsidRPr="006F2CEA" w:rsidRDefault="005B631A" w:rsidP="00084EEA">
      <w:pPr>
        <w:spacing w:after="0" w:line="240" w:lineRule="auto"/>
        <w:ind w:firstLine="720"/>
        <w:jc w:val="both"/>
        <w:rPr>
          <w:rFonts w:ascii="Times New Roman" w:hAnsi="Times New Roman" w:cs="Times New Roman"/>
          <w:bCs/>
          <w:color w:val="000000" w:themeColor="text1"/>
          <w:sz w:val="20"/>
          <w:szCs w:val="20"/>
        </w:rPr>
      </w:pPr>
      <w:r w:rsidRPr="006F2CEA">
        <w:rPr>
          <w:rFonts w:ascii="Times New Roman" w:hAnsi="Times New Roman" w:cs="Times New Roman"/>
          <w:bCs/>
          <w:color w:val="000000" w:themeColor="text1"/>
          <w:sz w:val="20"/>
          <w:szCs w:val="20"/>
        </w:rPr>
        <w:t>Biomarkers provide new avenues for studying disease processes and how drugs operate to combat disease. This information may be applied in the</w:t>
      </w:r>
      <w:r w:rsidR="00CC77C3" w:rsidRPr="006F2CEA">
        <w:rPr>
          <w:rFonts w:ascii="Times New Roman" w:hAnsi="Times New Roman" w:cs="Times New Roman"/>
          <w:bCs/>
          <w:color w:val="000000" w:themeColor="text1"/>
          <w:sz w:val="20"/>
          <w:szCs w:val="20"/>
        </w:rPr>
        <w:t xml:space="preserve"> practice</w:t>
      </w:r>
      <w:r w:rsidRPr="006F2CEA">
        <w:rPr>
          <w:rFonts w:ascii="Times New Roman" w:hAnsi="Times New Roman" w:cs="Times New Roman"/>
          <w:bCs/>
          <w:color w:val="000000" w:themeColor="text1"/>
          <w:sz w:val="20"/>
          <w:szCs w:val="20"/>
        </w:rPr>
        <w:t xml:space="preserve"> of evidence-based medicine to enhance illness diagnosis, the safety and efficacy of existing drugs, and the development of novel medicines and targeted treatments. Novel molecular biomarkers have the potential to change much of the </w:t>
      </w:r>
      <w:r w:rsidR="00CC77C3" w:rsidRPr="006F2CEA">
        <w:rPr>
          <w:rFonts w:ascii="Times New Roman" w:hAnsi="Times New Roman" w:cs="Times New Roman"/>
          <w:bCs/>
          <w:color w:val="000000" w:themeColor="text1"/>
          <w:sz w:val="20"/>
          <w:szCs w:val="20"/>
        </w:rPr>
        <w:t>present healthcare</w:t>
      </w:r>
      <w:r w:rsidRPr="006F2CEA">
        <w:rPr>
          <w:rFonts w:ascii="Times New Roman" w:hAnsi="Times New Roman" w:cs="Times New Roman"/>
          <w:bCs/>
          <w:color w:val="000000" w:themeColor="text1"/>
          <w:sz w:val="20"/>
          <w:szCs w:val="20"/>
        </w:rPr>
        <w:t xml:space="preserve"> model, changing the emphasis from a reactive 'one-size-fits-all' approach to one that is more proactive and precise. In this new, proactive approach, disease or disease susceptibility may be diagnosed earlier, and disease may be controlled or possibly prevented before it begins; and when </w:t>
      </w:r>
      <w:r w:rsidR="00CC77C3" w:rsidRPr="006F2CEA">
        <w:rPr>
          <w:rFonts w:ascii="Times New Roman" w:hAnsi="Times New Roman" w:cs="Times New Roman"/>
          <w:bCs/>
          <w:color w:val="000000" w:themeColor="text1"/>
          <w:sz w:val="20"/>
          <w:szCs w:val="20"/>
        </w:rPr>
        <w:t xml:space="preserve">the </w:t>
      </w:r>
      <w:r w:rsidRPr="006F2CEA">
        <w:rPr>
          <w:rFonts w:ascii="Times New Roman" w:hAnsi="Times New Roman" w:cs="Times New Roman"/>
          <w:bCs/>
          <w:color w:val="000000" w:themeColor="text1"/>
          <w:sz w:val="20"/>
          <w:szCs w:val="20"/>
        </w:rPr>
        <w:t xml:space="preserve">disease is detected, new biomarker-based diagnostics may be used to develop treatment strategies that are tailored to the individual. Biomarkers may increase patient </w:t>
      </w:r>
      <w:r w:rsidR="00CC77C3" w:rsidRPr="006F2CEA">
        <w:rPr>
          <w:rFonts w:ascii="Times New Roman" w:hAnsi="Times New Roman" w:cs="Times New Roman"/>
          <w:bCs/>
          <w:color w:val="000000" w:themeColor="text1"/>
          <w:sz w:val="20"/>
          <w:szCs w:val="20"/>
        </w:rPr>
        <w:t>well-being</w:t>
      </w:r>
      <w:r w:rsidRPr="006F2CEA">
        <w:rPr>
          <w:rFonts w:ascii="Times New Roman" w:hAnsi="Times New Roman" w:cs="Times New Roman"/>
          <w:bCs/>
          <w:color w:val="000000" w:themeColor="text1"/>
          <w:sz w:val="20"/>
          <w:szCs w:val="20"/>
        </w:rPr>
        <w:t xml:space="preserve"> in the long run by delivering improved health outcomes. Health-care expenses are growing in OECD nations and across the world, and are expected to rise further as the population grows, people live longer, and the frequency of chronic and infectious illnesses rises. Novel biomarkers, whose discovery and development </w:t>
      </w:r>
      <w:r w:rsidR="00CC77C3" w:rsidRPr="006F2CEA">
        <w:rPr>
          <w:rFonts w:ascii="Times New Roman" w:hAnsi="Times New Roman" w:cs="Times New Roman"/>
          <w:bCs/>
          <w:color w:val="000000" w:themeColor="text1"/>
          <w:sz w:val="20"/>
          <w:szCs w:val="20"/>
        </w:rPr>
        <w:t>have</w:t>
      </w:r>
      <w:r w:rsidRPr="006F2CEA">
        <w:rPr>
          <w:rFonts w:ascii="Times New Roman" w:hAnsi="Times New Roman" w:cs="Times New Roman"/>
          <w:bCs/>
          <w:color w:val="000000" w:themeColor="text1"/>
          <w:sz w:val="20"/>
          <w:szCs w:val="20"/>
        </w:rPr>
        <w:t xml:space="preserve"> been hastened by a decade of investment in genomics research, have the potential to improve health outcomes and lower total health care expenditures in the long run.</w:t>
      </w:r>
    </w:p>
    <w:p w14:paraId="69B8F5D6" w14:textId="266F8279" w:rsidR="00684D02" w:rsidRPr="006F2CEA" w:rsidRDefault="00684D02" w:rsidP="00084EEA">
      <w:pPr>
        <w:spacing w:after="0" w:line="240" w:lineRule="auto"/>
        <w:jc w:val="both"/>
        <w:rPr>
          <w:rFonts w:ascii="Times New Roman" w:hAnsi="Times New Roman" w:cs="Times New Roman"/>
          <w:bCs/>
          <w:color w:val="000000" w:themeColor="text1"/>
          <w:sz w:val="20"/>
          <w:szCs w:val="20"/>
        </w:rPr>
      </w:pPr>
      <w:r w:rsidRPr="006F2CEA">
        <w:rPr>
          <w:rFonts w:ascii="Times New Roman" w:hAnsi="Times New Roman" w:cs="Times New Roman"/>
          <w:b/>
          <w:bCs/>
          <w:color w:val="000000" w:themeColor="text1"/>
          <w:sz w:val="20"/>
          <w:szCs w:val="20"/>
        </w:rPr>
        <w:t>Keyword</w:t>
      </w:r>
      <w:r w:rsidR="00CC77C3" w:rsidRPr="006F2CEA">
        <w:rPr>
          <w:rFonts w:ascii="Times New Roman" w:hAnsi="Times New Roman" w:cs="Times New Roman"/>
          <w:b/>
          <w:bCs/>
          <w:color w:val="000000" w:themeColor="text1"/>
          <w:sz w:val="20"/>
          <w:szCs w:val="20"/>
        </w:rPr>
        <w:t>s</w:t>
      </w:r>
      <w:r w:rsidR="00250129" w:rsidRPr="006F2CEA">
        <w:rPr>
          <w:rFonts w:ascii="Times New Roman" w:hAnsi="Times New Roman" w:cs="Times New Roman"/>
          <w:b/>
          <w:bCs/>
          <w:color w:val="000000" w:themeColor="text1"/>
          <w:sz w:val="20"/>
          <w:szCs w:val="20"/>
        </w:rPr>
        <w:t>-</w:t>
      </w:r>
      <w:r w:rsidRPr="006F2CEA">
        <w:rPr>
          <w:rFonts w:ascii="Times New Roman" w:hAnsi="Times New Roman" w:cs="Times New Roman"/>
          <w:b/>
          <w:bCs/>
          <w:color w:val="000000" w:themeColor="text1"/>
          <w:sz w:val="20"/>
          <w:szCs w:val="20"/>
        </w:rPr>
        <w:t xml:space="preserve"> </w:t>
      </w:r>
      <w:r w:rsidR="00CC77C3" w:rsidRPr="006F2CEA">
        <w:rPr>
          <w:rFonts w:ascii="Times New Roman" w:hAnsi="Times New Roman" w:cs="Times New Roman"/>
          <w:bCs/>
          <w:color w:val="000000" w:themeColor="text1"/>
          <w:sz w:val="20"/>
          <w:szCs w:val="20"/>
        </w:rPr>
        <w:t>B</w:t>
      </w:r>
      <w:r w:rsidR="00250129" w:rsidRPr="006F2CEA">
        <w:rPr>
          <w:rFonts w:ascii="Times New Roman" w:hAnsi="Times New Roman" w:cs="Times New Roman"/>
          <w:bCs/>
          <w:color w:val="000000" w:themeColor="text1"/>
          <w:sz w:val="20"/>
          <w:szCs w:val="20"/>
        </w:rPr>
        <w:t>iomarkers; disease; diagnosis;</w:t>
      </w:r>
      <w:r w:rsidR="00621DC2" w:rsidRPr="006F2CEA">
        <w:rPr>
          <w:sz w:val="20"/>
          <w:szCs w:val="20"/>
        </w:rPr>
        <w:t xml:space="preserve"> </w:t>
      </w:r>
      <w:r w:rsidR="00250129" w:rsidRPr="006F2CEA">
        <w:rPr>
          <w:rFonts w:ascii="Times New Roman" w:hAnsi="Times New Roman" w:cs="Times New Roman"/>
          <w:bCs/>
          <w:color w:val="000000" w:themeColor="text1"/>
          <w:sz w:val="20"/>
          <w:szCs w:val="20"/>
        </w:rPr>
        <w:t>surrogate endpoints; clinical endpoints;</w:t>
      </w:r>
      <w:r w:rsidR="00621DC2" w:rsidRPr="006F2CEA">
        <w:rPr>
          <w:rFonts w:ascii="Times New Roman" w:hAnsi="Times New Roman" w:cs="Times New Roman"/>
          <w:bCs/>
          <w:color w:val="000000" w:themeColor="text1"/>
          <w:sz w:val="20"/>
          <w:szCs w:val="20"/>
        </w:rPr>
        <w:t xml:space="preserve"> drug development.</w:t>
      </w:r>
    </w:p>
    <w:p w14:paraId="6ED08E7A" w14:textId="09F530F6" w:rsidR="001C250B" w:rsidRPr="000D2F8F" w:rsidRDefault="00084EEA" w:rsidP="00084EE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0079091D" w:rsidRPr="000D2F8F">
        <w:rPr>
          <w:rFonts w:ascii="Times New Roman" w:hAnsi="Times New Roman" w:cs="Times New Roman"/>
          <w:b/>
          <w:bCs/>
          <w:sz w:val="20"/>
          <w:szCs w:val="20"/>
        </w:rPr>
        <w:t xml:space="preserve"> </w:t>
      </w:r>
      <w:r w:rsidR="00A67CA0" w:rsidRPr="000D2F8F">
        <w:rPr>
          <w:rFonts w:ascii="Times New Roman" w:hAnsi="Times New Roman" w:cs="Times New Roman"/>
          <w:b/>
          <w:bCs/>
          <w:sz w:val="20"/>
          <w:szCs w:val="20"/>
        </w:rPr>
        <w:t>INTRODUCTION</w:t>
      </w:r>
    </w:p>
    <w:p w14:paraId="15240362" w14:textId="2EF4BD29" w:rsidR="005B631A" w:rsidRPr="000D2F8F" w:rsidRDefault="005B631A"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 xml:space="preserve">Biomarkers are objectively quantifiable markers of biological conditions. Biomarkers in health care can increase our understanding of disease and give information on disease existence or susceptibility in an individual, as well as predict or monitor patient response to treatment interventions. The application of innovative molecular biomarkers in the practise of evidence-based medicine may enhance illness diagnosis or therapy, </w:t>
      </w:r>
      <w:r w:rsidR="00CC77C3">
        <w:rPr>
          <w:rFonts w:ascii="Times New Roman" w:hAnsi="Times New Roman" w:cs="Times New Roman"/>
          <w:sz w:val="20"/>
          <w:szCs w:val="20"/>
        </w:rPr>
        <w:t>increase</w:t>
      </w:r>
      <w:r w:rsidRPr="000D2F8F">
        <w:rPr>
          <w:rFonts w:ascii="Times New Roman" w:hAnsi="Times New Roman" w:cs="Times New Roman"/>
          <w:sz w:val="20"/>
          <w:szCs w:val="20"/>
        </w:rPr>
        <w:t xml:space="preserve"> health outcomes, and lowering disease's social and economic cost</w:t>
      </w:r>
      <w:r w:rsidR="00AE23D9">
        <w:rPr>
          <w:rFonts w:ascii="Times New Roman" w:hAnsi="Times New Roman" w:cs="Times New Roman"/>
          <w:sz w:val="20"/>
          <w:szCs w:val="20"/>
        </w:rPr>
        <w:t xml:space="preserve"> [1]</w:t>
      </w:r>
      <w:r w:rsidRPr="000D2F8F">
        <w:rPr>
          <w:rFonts w:ascii="Times New Roman" w:hAnsi="Times New Roman" w:cs="Times New Roman"/>
          <w:sz w:val="20"/>
          <w:szCs w:val="20"/>
        </w:rPr>
        <w:t>.</w:t>
      </w:r>
    </w:p>
    <w:p w14:paraId="348CDE15" w14:textId="6EAFC30C" w:rsidR="005B631A" w:rsidRPr="000D2F8F" w:rsidRDefault="005B631A"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According to the National Institutes of Health in the United States, a biomarker is "a trait that is objectively measured and assessed as an indication of normal biological processes, pathogenic processes, or pharmacologic reactions to a therapeutic intervention." Biomarkers can include cellular properties, metabolites (such as sugars, lipids, and hormones), molecular changes, or physical traits (such as clinical symptoms) and are evaluated via measurement, annotation, documentation, and photographs. The identification of new biomarkers is becoming more linked to breakthroughs in molecular biology methods that may be accessible through DNA, RNA, or protein analysis</w:t>
      </w:r>
      <w:r w:rsidR="00DE6753">
        <w:rPr>
          <w:rFonts w:ascii="Times New Roman" w:hAnsi="Times New Roman" w:cs="Times New Roman"/>
          <w:sz w:val="20"/>
          <w:szCs w:val="20"/>
        </w:rPr>
        <w:t xml:space="preserve"> [1]</w:t>
      </w:r>
      <w:r w:rsidRPr="000D2F8F">
        <w:rPr>
          <w:rFonts w:ascii="Times New Roman" w:hAnsi="Times New Roman" w:cs="Times New Roman"/>
          <w:sz w:val="20"/>
          <w:szCs w:val="20"/>
        </w:rPr>
        <w:t>.</w:t>
      </w:r>
    </w:p>
    <w:p w14:paraId="40069452" w14:textId="1B30AA91" w:rsidR="00FA27F0" w:rsidRPr="000D2F8F" w:rsidRDefault="00FA27F0"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lastRenderedPageBreak/>
        <w:t xml:space="preserve">We can discriminate four main types of molecular biomarkers: </w:t>
      </w:r>
    </w:p>
    <w:p w14:paraId="3C2BAE8C" w14:textId="77777777" w:rsidR="00FA27F0" w:rsidRPr="000D2F8F" w:rsidRDefault="00FA27F0"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 Genomic biomarkers: based on the analysis of DNA (deoxyribonucleic acid) profiles, especially the analysis of SNPs (single nucleotide polymorphisms), i.e. identification of punctual variations in genomic DNA. </w:t>
      </w:r>
    </w:p>
    <w:p w14:paraId="7445095A" w14:textId="77777777" w:rsidR="00FA27F0" w:rsidRPr="000D2F8F" w:rsidRDefault="00FA27F0"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 Transcriptomic biomarkers: based on the analysis of RNA expression profiles. </w:t>
      </w:r>
    </w:p>
    <w:p w14:paraId="4ACDF0A8" w14:textId="599640E9" w:rsidR="00FA27F0" w:rsidRPr="000D2F8F" w:rsidRDefault="00FA27F0"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 Proteomic biomarkers: based on the analysis of the protein profiles. </w:t>
      </w:r>
    </w:p>
    <w:p w14:paraId="17D00A7E" w14:textId="75842E39" w:rsidR="00FA27F0" w:rsidRPr="000D2F8F" w:rsidRDefault="00FA27F0"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Metabolomic biomarkers: based on the analysis of metabolites (metabolites are the intermediates and products of metabolism)</w:t>
      </w:r>
      <w:r w:rsidR="00AE23D9">
        <w:rPr>
          <w:rFonts w:ascii="Times New Roman" w:hAnsi="Times New Roman" w:cs="Times New Roman"/>
          <w:sz w:val="20"/>
          <w:szCs w:val="20"/>
        </w:rPr>
        <w:t xml:space="preserve"> [2]</w:t>
      </w:r>
      <w:r w:rsidRPr="000D2F8F">
        <w:rPr>
          <w:rFonts w:ascii="Times New Roman" w:hAnsi="Times New Roman" w:cs="Times New Roman"/>
          <w:sz w:val="20"/>
          <w:szCs w:val="20"/>
        </w:rPr>
        <w:t>.</w:t>
      </w:r>
    </w:p>
    <w:p w14:paraId="0E5E96A4" w14:textId="26EB3161" w:rsidR="00DF7C26" w:rsidRPr="000D2F8F" w:rsidRDefault="00DF7C26"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The Biomarkers Definitions Working Group of the National Institutes of Health defined a biomarker as "a trait that is objectively measured and analysed as an indication of normal biological processes, pathogenic processes, or pharmacologic responses to a therapeutic intervention" in 1998</w:t>
      </w:r>
      <w:r w:rsidR="00AE23D9">
        <w:rPr>
          <w:rFonts w:ascii="Times New Roman" w:hAnsi="Times New Roman" w:cs="Times New Roman"/>
          <w:sz w:val="20"/>
          <w:szCs w:val="20"/>
        </w:rPr>
        <w:t xml:space="preserve"> [2]</w:t>
      </w:r>
      <w:r w:rsidRPr="000D2F8F">
        <w:rPr>
          <w:rFonts w:ascii="Times New Roman" w:hAnsi="Times New Roman" w:cs="Times New Roman"/>
          <w:sz w:val="20"/>
          <w:szCs w:val="20"/>
        </w:rPr>
        <w:t>.</w:t>
      </w:r>
    </w:p>
    <w:p w14:paraId="4D3020D9" w14:textId="7C75DDCB" w:rsidR="00DF7C26" w:rsidRPr="000D2F8F" w:rsidRDefault="00DF7C26"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Biomarker discovery is accelerating at an unprecedented rate, thanks to recent investments in genetic science that are allowing for a better understanding of disease causes and unique patient responses to therapy. Such biomarkers enable earlier illness detection, improved diagnoses, and safer and more efficacious treatments, resulting in better patient outcomes and more efficient and effective public health spending. Promising findings from early applications of biomarkers show that, given the appropriate conditions, their incorporation into evidence-based medicine has the potential to revolutionise our approach to chronic illness and other major disorders, altering how disease is identified and treated. Securing the necessary circumstances for biomarker acceptance across health systems remains difficult, but doable. Those countries that successfully integrate biomarkers into their health-care systems stand to gain significantly</w:t>
      </w:r>
      <w:r w:rsidR="00AE23D9">
        <w:rPr>
          <w:rFonts w:ascii="Times New Roman" w:hAnsi="Times New Roman" w:cs="Times New Roman"/>
          <w:sz w:val="20"/>
          <w:szCs w:val="20"/>
        </w:rPr>
        <w:t xml:space="preserve"> [3]</w:t>
      </w:r>
      <w:r w:rsidRPr="000D2F8F">
        <w:rPr>
          <w:rFonts w:ascii="Times New Roman" w:hAnsi="Times New Roman" w:cs="Times New Roman"/>
          <w:sz w:val="20"/>
          <w:szCs w:val="20"/>
        </w:rPr>
        <w:t>.</w:t>
      </w:r>
    </w:p>
    <w:p w14:paraId="6052863E" w14:textId="4F4CD7BD" w:rsidR="00186F5C" w:rsidRPr="000D2F8F" w:rsidRDefault="00084EEA" w:rsidP="00084EE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A67CA0" w:rsidRPr="000D2F8F">
        <w:rPr>
          <w:rFonts w:ascii="Times New Roman" w:hAnsi="Times New Roman" w:cs="Times New Roman"/>
          <w:b/>
          <w:bCs/>
          <w:sz w:val="20"/>
          <w:szCs w:val="20"/>
        </w:rPr>
        <w:t>TYPES OF BIOMARKERS</w:t>
      </w:r>
    </w:p>
    <w:p w14:paraId="616A2DD3" w14:textId="769A3AC6" w:rsidR="003D6C43" w:rsidRPr="000D2F8F" w:rsidRDefault="003D6C43" w:rsidP="00084EEA">
      <w:pPr>
        <w:spacing w:after="0" w:line="240" w:lineRule="auto"/>
        <w:jc w:val="center"/>
        <w:rPr>
          <w:rFonts w:ascii="Times New Roman" w:hAnsi="Times New Roman" w:cs="Times New Roman"/>
          <w:sz w:val="20"/>
          <w:szCs w:val="20"/>
        </w:rPr>
      </w:pPr>
      <w:r w:rsidRPr="000D2F8F">
        <w:rPr>
          <w:rFonts w:ascii="Times New Roman" w:hAnsi="Times New Roman" w:cs="Times New Roman"/>
          <w:b/>
          <w:bCs/>
          <w:sz w:val="20"/>
          <w:szCs w:val="20"/>
        </w:rPr>
        <w:t>Table</w:t>
      </w:r>
      <w:r w:rsidR="0079091D" w:rsidRPr="000D2F8F">
        <w:rPr>
          <w:rFonts w:ascii="Times New Roman" w:hAnsi="Times New Roman" w:cs="Times New Roman"/>
          <w:b/>
          <w:bCs/>
          <w:sz w:val="20"/>
          <w:szCs w:val="20"/>
        </w:rPr>
        <w:t xml:space="preserve"> 1</w:t>
      </w:r>
      <w:r w:rsidRPr="000D2F8F">
        <w:rPr>
          <w:rFonts w:ascii="Times New Roman" w:hAnsi="Times New Roman" w:cs="Times New Roman"/>
          <w:b/>
          <w:bCs/>
          <w:sz w:val="20"/>
          <w:szCs w:val="20"/>
        </w:rPr>
        <w:t xml:space="preserve">: </w:t>
      </w:r>
      <w:r w:rsidRPr="000D2F8F">
        <w:rPr>
          <w:rFonts w:ascii="Times New Roman" w:hAnsi="Times New Roman" w:cs="Times New Roman"/>
          <w:sz w:val="20"/>
          <w:szCs w:val="20"/>
        </w:rPr>
        <w:t>Biomarkers categories</w:t>
      </w:r>
    </w:p>
    <w:tbl>
      <w:tblPr>
        <w:tblStyle w:val="PlainTable1"/>
        <w:tblpPr w:leftFromText="180" w:rightFromText="180" w:vertAnchor="text" w:horzAnchor="margin" w:tblpY="242"/>
        <w:tblW w:w="9531" w:type="dxa"/>
        <w:tblLayout w:type="fixed"/>
        <w:tblLook w:val="04A0" w:firstRow="1" w:lastRow="0" w:firstColumn="1" w:lastColumn="0" w:noHBand="0" w:noVBand="1"/>
      </w:tblPr>
      <w:tblGrid>
        <w:gridCol w:w="1720"/>
        <w:gridCol w:w="3947"/>
        <w:gridCol w:w="3864"/>
      </w:tblGrid>
      <w:tr w:rsidR="00EE34F4" w:rsidRPr="000D2F8F" w14:paraId="51950C5C" w14:textId="77777777" w:rsidTr="00EE34F4">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720" w:type="dxa"/>
          </w:tcPr>
          <w:p w14:paraId="37E9829F" w14:textId="4D48BC5A" w:rsidR="00FA60FB" w:rsidRPr="005A63CF" w:rsidRDefault="00FA60FB" w:rsidP="005A63CF">
            <w:pPr>
              <w:ind w:left="-113" w:right="-84"/>
              <w:jc w:val="center"/>
              <w:rPr>
                <w:rFonts w:ascii="Times New Roman" w:hAnsi="Times New Roman" w:cs="Times New Roman"/>
                <w:iCs/>
                <w:sz w:val="20"/>
                <w:szCs w:val="20"/>
              </w:rPr>
            </w:pPr>
            <w:r w:rsidRPr="005A63CF">
              <w:rPr>
                <w:rFonts w:ascii="Times New Roman" w:hAnsi="Times New Roman" w:cs="Times New Roman"/>
                <w:iCs/>
                <w:sz w:val="20"/>
                <w:szCs w:val="20"/>
              </w:rPr>
              <w:t>Biomarkers category</w:t>
            </w:r>
          </w:p>
        </w:tc>
        <w:tc>
          <w:tcPr>
            <w:tcW w:w="3947" w:type="dxa"/>
          </w:tcPr>
          <w:p w14:paraId="1444DA31" w14:textId="30F46AF7" w:rsidR="00FA60FB" w:rsidRPr="005A63CF" w:rsidRDefault="00EE34F4" w:rsidP="00084E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5A63CF">
              <w:rPr>
                <w:rFonts w:ascii="Times New Roman" w:hAnsi="Times New Roman" w:cs="Times New Roman"/>
                <w:iCs/>
                <w:sz w:val="20"/>
                <w:szCs w:val="20"/>
              </w:rPr>
              <w:t>D</w:t>
            </w:r>
            <w:r w:rsidR="00FA60FB" w:rsidRPr="005A63CF">
              <w:rPr>
                <w:rFonts w:ascii="Times New Roman" w:hAnsi="Times New Roman" w:cs="Times New Roman"/>
                <w:iCs/>
                <w:sz w:val="20"/>
                <w:szCs w:val="20"/>
              </w:rPr>
              <w:t>escription</w:t>
            </w:r>
            <w:r w:rsidRPr="005A63CF">
              <w:rPr>
                <w:rFonts w:ascii="Times New Roman" w:hAnsi="Times New Roman" w:cs="Times New Roman"/>
                <w:iCs/>
                <w:sz w:val="20"/>
                <w:szCs w:val="20"/>
              </w:rPr>
              <w:t xml:space="preserve"> </w:t>
            </w:r>
          </w:p>
        </w:tc>
        <w:tc>
          <w:tcPr>
            <w:tcW w:w="3864" w:type="dxa"/>
          </w:tcPr>
          <w:p w14:paraId="307347C5" w14:textId="0288A543" w:rsidR="00FA60FB" w:rsidRPr="005A63CF" w:rsidRDefault="00EE34F4" w:rsidP="00084E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5A63CF">
              <w:rPr>
                <w:rFonts w:ascii="Times New Roman" w:hAnsi="Times New Roman" w:cs="Times New Roman"/>
                <w:iCs/>
                <w:sz w:val="20"/>
                <w:szCs w:val="20"/>
              </w:rPr>
              <w:t>E</w:t>
            </w:r>
            <w:r w:rsidR="00FA60FB" w:rsidRPr="005A63CF">
              <w:rPr>
                <w:rFonts w:ascii="Times New Roman" w:hAnsi="Times New Roman" w:cs="Times New Roman"/>
                <w:iCs/>
                <w:sz w:val="20"/>
                <w:szCs w:val="20"/>
              </w:rPr>
              <w:t>xamples</w:t>
            </w:r>
            <w:r w:rsidRPr="005A63CF">
              <w:rPr>
                <w:rFonts w:ascii="Times New Roman" w:hAnsi="Times New Roman" w:cs="Times New Roman"/>
                <w:iCs/>
                <w:sz w:val="20"/>
                <w:szCs w:val="20"/>
              </w:rPr>
              <w:t xml:space="preserve"> </w:t>
            </w:r>
          </w:p>
        </w:tc>
      </w:tr>
      <w:tr w:rsidR="00EE34F4" w:rsidRPr="000D2F8F" w14:paraId="1E3A6AB7" w14:textId="77777777" w:rsidTr="00EE34F4">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720" w:type="dxa"/>
          </w:tcPr>
          <w:p w14:paraId="5E07FD50" w14:textId="6CC5BA1C" w:rsidR="00FA60FB" w:rsidRPr="000D2F8F" w:rsidRDefault="00FA60FB"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t>Diagnostic</w:t>
            </w:r>
          </w:p>
        </w:tc>
        <w:tc>
          <w:tcPr>
            <w:tcW w:w="3947" w:type="dxa"/>
          </w:tcPr>
          <w:p w14:paraId="738DC25F" w14:textId="5C54B1BA" w:rsidR="00FA60FB" w:rsidRPr="000D2F8F" w:rsidRDefault="00FA60FB"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A biomarker used to detect or confirm presence of a disease or condition of interest or to identify individuals with a subtype of the disease</w:t>
            </w:r>
          </w:p>
        </w:tc>
        <w:tc>
          <w:tcPr>
            <w:tcW w:w="3864" w:type="dxa"/>
          </w:tcPr>
          <w:p w14:paraId="2066AE53" w14:textId="013D4E56" w:rsidR="00FA60FB" w:rsidRPr="000D2F8F" w:rsidRDefault="00FA60FB"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Sweat chloride may be used as a diagnostic biomarker to confirm cystic fibrosis8</w:t>
            </w:r>
          </w:p>
        </w:tc>
      </w:tr>
      <w:tr w:rsidR="00EE34F4" w:rsidRPr="000D2F8F" w14:paraId="4BE71245" w14:textId="77777777" w:rsidTr="00EE34F4">
        <w:trPr>
          <w:trHeight w:val="1831"/>
        </w:trPr>
        <w:tc>
          <w:tcPr>
            <w:cnfStyle w:val="001000000000" w:firstRow="0" w:lastRow="0" w:firstColumn="1" w:lastColumn="0" w:oddVBand="0" w:evenVBand="0" w:oddHBand="0" w:evenHBand="0" w:firstRowFirstColumn="0" w:firstRowLastColumn="0" w:lastRowFirstColumn="0" w:lastRowLastColumn="0"/>
            <w:tcW w:w="1720" w:type="dxa"/>
          </w:tcPr>
          <w:p w14:paraId="421CA9AD" w14:textId="6BB7E642" w:rsidR="00FA60FB" w:rsidRPr="000D2F8F" w:rsidRDefault="0020441E"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t>Monitoring</w:t>
            </w:r>
          </w:p>
        </w:tc>
        <w:tc>
          <w:tcPr>
            <w:tcW w:w="3947" w:type="dxa"/>
          </w:tcPr>
          <w:p w14:paraId="60A6185A" w14:textId="78F65AE9" w:rsidR="00FA60FB" w:rsidRPr="000D2F8F" w:rsidRDefault="0020441E"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A biomarker measured serially for assessing status of a disease or medical condition or for evidence of exposure to (or effect of) a medical product or an environmental agent</w:t>
            </w:r>
          </w:p>
        </w:tc>
        <w:tc>
          <w:tcPr>
            <w:tcW w:w="3864" w:type="dxa"/>
          </w:tcPr>
          <w:p w14:paraId="5F0131F9" w14:textId="1D3C04B3" w:rsidR="00FA60FB" w:rsidRPr="000D2F8F" w:rsidRDefault="0020441E"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 xml:space="preserve">Monoclonal protein (M protein) level in blood may be used as a monitoring biomarker to evaluate whether individuals diagnosed with monoclonal </w:t>
            </w:r>
            <w:proofErr w:type="spellStart"/>
            <w:r w:rsidRPr="000D2F8F">
              <w:rPr>
                <w:rFonts w:ascii="Times New Roman" w:hAnsi="Times New Roman" w:cs="Times New Roman"/>
                <w:sz w:val="20"/>
                <w:szCs w:val="20"/>
              </w:rPr>
              <w:t>gammopathy</w:t>
            </w:r>
            <w:proofErr w:type="spellEnd"/>
            <w:r w:rsidRPr="000D2F8F">
              <w:rPr>
                <w:rFonts w:ascii="Times New Roman" w:hAnsi="Times New Roman" w:cs="Times New Roman"/>
                <w:sz w:val="20"/>
                <w:szCs w:val="20"/>
              </w:rPr>
              <w:t xml:space="preserve"> of undetermined significance (MGUS) are showing signs of progressing to other disorders, including some types of blood cancer which may require treatment</w:t>
            </w:r>
          </w:p>
        </w:tc>
      </w:tr>
      <w:tr w:rsidR="00EE34F4" w:rsidRPr="000D2F8F" w14:paraId="07158475" w14:textId="77777777" w:rsidTr="00EE34F4">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1720" w:type="dxa"/>
          </w:tcPr>
          <w:p w14:paraId="7AB4C1B8" w14:textId="39DAE532" w:rsidR="00FA60FB" w:rsidRPr="000D2F8F" w:rsidRDefault="0020441E" w:rsidP="005A63CF">
            <w:pPr>
              <w:ind w:left="-113" w:right="-84"/>
              <w:jc w:val="center"/>
              <w:rPr>
                <w:rFonts w:ascii="Times New Roman" w:hAnsi="Times New Roman" w:cs="Times New Roman"/>
                <w:sz w:val="20"/>
                <w:szCs w:val="20"/>
              </w:rPr>
            </w:pPr>
            <w:proofErr w:type="spellStart"/>
            <w:r w:rsidRPr="000D2F8F">
              <w:rPr>
                <w:rFonts w:ascii="Times New Roman" w:hAnsi="Times New Roman" w:cs="Times New Roman"/>
                <w:sz w:val="20"/>
                <w:szCs w:val="20"/>
              </w:rPr>
              <w:t>Pharmacodynamic</w:t>
            </w:r>
            <w:proofErr w:type="spellEnd"/>
            <w:r w:rsidRPr="000D2F8F">
              <w:rPr>
                <w:rFonts w:ascii="Times New Roman" w:hAnsi="Times New Roman" w:cs="Times New Roman"/>
                <w:sz w:val="20"/>
                <w:szCs w:val="20"/>
              </w:rPr>
              <w:t>/ response</w:t>
            </w:r>
          </w:p>
        </w:tc>
        <w:tc>
          <w:tcPr>
            <w:tcW w:w="3947" w:type="dxa"/>
          </w:tcPr>
          <w:p w14:paraId="0378BC30" w14:textId="652B3B52" w:rsidR="00FA60FB" w:rsidRPr="000D2F8F" w:rsidRDefault="0020441E"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A biomarker used to show that a biological response has occurred in an individual who has been exposed to a medical product or an environmental agent</w:t>
            </w:r>
          </w:p>
        </w:tc>
        <w:tc>
          <w:tcPr>
            <w:tcW w:w="3864" w:type="dxa"/>
          </w:tcPr>
          <w:p w14:paraId="49D83928" w14:textId="0488B7EF" w:rsidR="00FA60FB" w:rsidRPr="000D2F8F" w:rsidRDefault="0020441E"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Serum LDL cholesterol may be used as a pharmacodynamic/response biomarker when evaluating patients with hypercholesterolemia, to assess response to a lipid-lowering agent or dietary changes</w:t>
            </w:r>
          </w:p>
        </w:tc>
      </w:tr>
      <w:tr w:rsidR="00EE34F4" w:rsidRPr="000D2F8F" w14:paraId="4369D559" w14:textId="77777777" w:rsidTr="00EE34F4">
        <w:trPr>
          <w:trHeight w:val="1602"/>
        </w:trPr>
        <w:tc>
          <w:tcPr>
            <w:cnfStyle w:val="001000000000" w:firstRow="0" w:lastRow="0" w:firstColumn="1" w:lastColumn="0" w:oddVBand="0" w:evenVBand="0" w:oddHBand="0" w:evenHBand="0" w:firstRowFirstColumn="0" w:firstRowLastColumn="0" w:lastRowFirstColumn="0" w:lastRowLastColumn="0"/>
            <w:tcW w:w="1720" w:type="dxa"/>
          </w:tcPr>
          <w:p w14:paraId="5F873692" w14:textId="1D977693" w:rsidR="00FA60FB" w:rsidRPr="000D2F8F" w:rsidRDefault="0020441E"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t>Predictive</w:t>
            </w:r>
          </w:p>
        </w:tc>
        <w:tc>
          <w:tcPr>
            <w:tcW w:w="3947" w:type="dxa"/>
          </w:tcPr>
          <w:p w14:paraId="61457679" w14:textId="74AEBB19" w:rsidR="00FA60FB" w:rsidRPr="000D2F8F" w:rsidRDefault="0020441E"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A biomarker used to identify individuals who are more likely than similar individuals without the biomarker to experience a favourable or unfavourable effect from exposure to a medical product or an environmental agent</w:t>
            </w:r>
          </w:p>
        </w:tc>
        <w:tc>
          <w:tcPr>
            <w:tcW w:w="3864" w:type="dxa"/>
          </w:tcPr>
          <w:p w14:paraId="40DEEE54" w14:textId="65B734D4" w:rsidR="00FA60FB" w:rsidRPr="000D2F8F" w:rsidRDefault="0020441E"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0D2F8F">
              <w:rPr>
                <w:rFonts w:ascii="Times New Roman" w:hAnsi="Times New Roman" w:cs="Times New Roman"/>
                <w:sz w:val="20"/>
                <w:szCs w:val="20"/>
              </w:rPr>
              <w:t>BReast</w:t>
            </w:r>
            <w:proofErr w:type="spellEnd"/>
            <w:r w:rsidRPr="000D2F8F">
              <w:rPr>
                <w:rFonts w:ascii="Times New Roman" w:hAnsi="Times New Roman" w:cs="Times New Roman"/>
                <w:sz w:val="20"/>
                <w:szCs w:val="20"/>
              </w:rPr>
              <w:t xml:space="preserve"> </w:t>
            </w:r>
            <w:proofErr w:type="spellStart"/>
            <w:r w:rsidRPr="000D2F8F">
              <w:rPr>
                <w:rFonts w:ascii="Times New Roman" w:hAnsi="Times New Roman" w:cs="Times New Roman"/>
                <w:sz w:val="20"/>
                <w:szCs w:val="20"/>
              </w:rPr>
              <w:t>CAncer</w:t>
            </w:r>
            <w:proofErr w:type="spellEnd"/>
            <w:r w:rsidRPr="000D2F8F">
              <w:rPr>
                <w:rFonts w:ascii="Times New Roman" w:hAnsi="Times New Roman" w:cs="Times New Roman"/>
                <w:sz w:val="20"/>
                <w:szCs w:val="20"/>
              </w:rPr>
              <w:t xml:space="preserve"> genes 1 and 2 (BRCA1/2) mutations may be used as predictive biomarkers when evaluating women with platinum-sensitive ovarian cancer, to identify patients likely to respond to poly (ADP-ribose) polymerase (PARP) inhibitors</w:t>
            </w:r>
          </w:p>
        </w:tc>
      </w:tr>
      <w:tr w:rsidR="00EE34F4" w:rsidRPr="000D2F8F" w14:paraId="65B9033A" w14:textId="77777777" w:rsidTr="00EE34F4">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1720" w:type="dxa"/>
          </w:tcPr>
          <w:p w14:paraId="4E2A8016" w14:textId="56AC9CD9" w:rsidR="00FA60FB" w:rsidRPr="000D2F8F" w:rsidRDefault="0020441E"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t>Prognostic</w:t>
            </w:r>
          </w:p>
        </w:tc>
        <w:tc>
          <w:tcPr>
            <w:tcW w:w="3947" w:type="dxa"/>
          </w:tcPr>
          <w:p w14:paraId="4F80B424" w14:textId="6BE7393C" w:rsidR="00FA60FB" w:rsidRPr="000D2F8F" w:rsidRDefault="0020441E"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A biomarker used to identify likelihood of a clinical event, disease recurrence or progression in patients who have the disease or medical condition of interest</w:t>
            </w:r>
          </w:p>
        </w:tc>
        <w:tc>
          <w:tcPr>
            <w:tcW w:w="3864" w:type="dxa"/>
          </w:tcPr>
          <w:p w14:paraId="178BB55A" w14:textId="5BF6A0DA" w:rsidR="00FA60FB" w:rsidRPr="000D2F8F" w:rsidRDefault="0020441E"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D2F8F">
              <w:rPr>
                <w:rFonts w:ascii="Times New Roman" w:hAnsi="Times New Roman" w:cs="Times New Roman"/>
                <w:sz w:val="20"/>
                <w:szCs w:val="20"/>
              </w:rPr>
              <w:t>BReast</w:t>
            </w:r>
            <w:proofErr w:type="spellEnd"/>
            <w:r w:rsidRPr="000D2F8F">
              <w:rPr>
                <w:rFonts w:ascii="Times New Roman" w:hAnsi="Times New Roman" w:cs="Times New Roman"/>
                <w:sz w:val="20"/>
                <w:szCs w:val="20"/>
              </w:rPr>
              <w:t xml:space="preserve"> </w:t>
            </w:r>
            <w:proofErr w:type="spellStart"/>
            <w:r w:rsidRPr="000D2F8F">
              <w:rPr>
                <w:rFonts w:ascii="Times New Roman" w:hAnsi="Times New Roman" w:cs="Times New Roman"/>
                <w:sz w:val="20"/>
                <w:szCs w:val="20"/>
              </w:rPr>
              <w:t>CAncer</w:t>
            </w:r>
            <w:proofErr w:type="spellEnd"/>
            <w:r w:rsidRPr="000D2F8F">
              <w:rPr>
                <w:rFonts w:ascii="Times New Roman" w:hAnsi="Times New Roman" w:cs="Times New Roman"/>
                <w:sz w:val="20"/>
                <w:szCs w:val="20"/>
              </w:rPr>
              <w:t xml:space="preserve"> genes 1 and 2 (BRCA1/2) mutations may be used as prognostic biomarkers when evaluating women with breast cancer, to assess the likelihood of a second breast cancer</w:t>
            </w:r>
          </w:p>
        </w:tc>
      </w:tr>
      <w:tr w:rsidR="00EE34F4" w:rsidRPr="000D2F8F" w14:paraId="2E44A78D" w14:textId="77777777" w:rsidTr="00EE34F4">
        <w:trPr>
          <w:trHeight w:val="457"/>
        </w:trPr>
        <w:tc>
          <w:tcPr>
            <w:cnfStyle w:val="001000000000" w:firstRow="0" w:lastRow="0" w:firstColumn="1" w:lastColumn="0" w:oddVBand="0" w:evenVBand="0" w:oddHBand="0" w:evenHBand="0" w:firstRowFirstColumn="0" w:firstRowLastColumn="0" w:lastRowFirstColumn="0" w:lastRowLastColumn="0"/>
            <w:tcW w:w="1720" w:type="dxa"/>
          </w:tcPr>
          <w:p w14:paraId="05BDB77E" w14:textId="370A1A8F" w:rsidR="00FA60FB" w:rsidRPr="000D2F8F" w:rsidRDefault="0020441E"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t>Safety</w:t>
            </w:r>
          </w:p>
        </w:tc>
        <w:tc>
          <w:tcPr>
            <w:tcW w:w="3947" w:type="dxa"/>
          </w:tcPr>
          <w:p w14:paraId="5A351412" w14:textId="05C6A9D3" w:rsidR="00FA60FB" w:rsidRPr="000D2F8F" w:rsidRDefault="0020441E"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 xml:space="preserve">A biomarker measured before or after an exposure to a medical product or an </w:t>
            </w:r>
            <w:r w:rsidRPr="000D2F8F">
              <w:rPr>
                <w:rFonts w:ascii="Times New Roman" w:hAnsi="Times New Roman" w:cs="Times New Roman"/>
                <w:sz w:val="20"/>
                <w:szCs w:val="20"/>
              </w:rPr>
              <w:lastRenderedPageBreak/>
              <w:t>environmental agent to indicate the likelihood, presence, or extent of toxicity as an adverse effect</w:t>
            </w:r>
          </w:p>
        </w:tc>
        <w:tc>
          <w:tcPr>
            <w:tcW w:w="3864" w:type="dxa"/>
          </w:tcPr>
          <w:p w14:paraId="414FD254" w14:textId="2F93F428" w:rsidR="00FA60FB" w:rsidRPr="000D2F8F" w:rsidRDefault="0020441E"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lastRenderedPageBreak/>
              <w:t xml:space="preserve">Serum creatinine may be used as a safety biomarker when evaluating patients on drugs </w:t>
            </w:r>
            <w:r w:rsidRPr="000D2F8F">
              <w:rPr>
                <w:rFonts w:ascii="Times New Roman" w:hAnsi="Times New Roman" w:cs="Times New Roman"/>
                <w:sz w:val="20"/>
                <w:szCs w:val="20"/>
              </w:rPr>
              <w:lastRenderedPageBreak/>
              <w:t>that affect kidney function to monitor for nephrotoxicity</w:t>
            </w:r>
          </w:p>
        </w:tc>
      </w:tr>
      <w:tr w:rsidR="0020441E" w:rsidRPr="000D2F8F" w14:paraId="31AFF652" w14:textId="77777777" w:rsidTr="00EE34F4">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1720" w:type="dxa"/>
          </w:tcPr>
          <w:p w14:paraId="59DB670A" w14:textId="19A99EBE" w:rsidR="0020441E" w:rsidRPr="000D2F8F" w:rsidRDefault="0020441E"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lastRenderedPageBreak/>
              <w:t>Susceptibility/risk</w:t>
            </w:r>
          </w:p>
        </w:tc>
        <w:tc>
          <w:tcPr>
            <w:tcW w:w="3947" w:type="dxa"/>
          </w:tcPr>
          <w:p w14:paraId="510CC8F8" w14:textId="70E2A73E" w:rsidR="0020441E" w:rsidRPr="000D2F8F" w:rsidRDefault="0020441E"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A biomarker that indicates the potential for developing a disease or medical condition in an individual who does not currently have clinically apparent disease or the medical condition</w:t>
            </w:r>
          </w:p>
        </w:tc>
        <w:tc>
          <w:tcPr>
            <w:tcW w:w="3864" w:type="dxa"/>
          </w:tcPr>
          <w:p w14:paraId="72869FDE" w14:textId="1BFE9E86" w:rsidR="0020441E" w:rsidRPr="000D2F8F" w:rsidRDefault="0020441E"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Apolipoprotein E (APOE) gene variations may be used as susceptibility/risk biomarkers to identify individuals with a predisposition to develop Alzheimer’s disease</w:t>
            </w:r>
          </w:p>
        </w:tc>
      </w:tr>
    </w:tbl>
    <w:p w14:paraId="6FAC21D3" w14:textId="77777777" w:rsidR="00DF7C26" w:rsidRPr="000D2F8F" w:rsidRDefault="00DF7C26" w:rsidP="00084EEA">
      <w:pPr>
        <w:spacing w:after="0" w:line="240" w:lineRule="auto"/>
        <w:jc w:val="both"/>
        <w:rPr>
          <w:rFonts w:ascii="Times New Roman" w:hAnsi="Times New Roman" w:cs="Times New Roman"/>
          <w:sz w:val="20"/>
          <w:szCs w:val="20"/>
        </w:rPr>
      </w:pPr>
    </w:p>
    <w:p w14:paraId="6E42B342" w14:textId="77777777" w:rsidR="00CC582B" w:rsidRDefault="00DF7C26"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A biomarker is not an evaluation of how an individual feels, functions, or lives', a clinical outcome assessment measure (COA). The Food and Drug Administration - National Institutes of Health (FDANIH) Biomarker Working Group created the BEST Resource in 2016 with the goal of clarifying and harmonising language and thereby speeding up research, development, and testing on innovative techniques, particularly biomarkers. Each biomarker, according to the BEST Resource Dictionary, falls into one of seven distinct groups</w:t>
      </w:r>
      <w:r w:rsidR="00584AB1">
        <w:rPr>
          <w:rFonts w:ascii="Times New Roman" w:hAnsi="Times New Roman" w:cs="Times New Roman"/>
          <w:sz w:val="20"/>
          <w:szCs w:val="20"/>
        </w:rPr>
        <w:t xml:space="preserve"> [4]</w:t>
      </w:r>
      <w:r w:rsidRPr="000D2F8F">
        <w:rPr>
          <w:rFonts w:ascii="Times New Roman" w:hAnsi="Times New Roman" w:cs="Times New Roman"/>
          <w:sz w:val="20"/>
          <w:szCs w:val="20"/>
        </w:rPr>
        <w:t>.</w:t>
      </w:r>
    </w:p>
    <w:p w14:paraId="7E1598E7" w14:textId="30E28D96" w:rsidR="00EE34F4" w:rsidRPr="000D2F8F" w:rsidRDefault="005B2747" w:rsidP="00CC582B">
      <w:pPr>
        <w:spacing w:after="0" w:line="240" w:lineRule="auto"/>
        <w:jc w:val="center"/>
        <w:rPr>
          <w:rFonts w:ascii="Times New Roman" w:hAnsi="Times New Roman" w:cs="Times New Roman"/>
          <w:sz w:val="20"/>
          <w:szCs w:val="20"/>
        </w:rPr>
      </w:pPr>
      <w:r w:rsidRPr="000D2F8F">
        <w:rPr>
          <w:rFonts w:ascii="Times New Roman" w:hAnsi="Times New Roman" w:cs="Times New Roman"/>
          <w:noProof/>
          <w:sz w:val="20"/>
          <w:szCs w:val="20"/>
          <w:lang w:eastAsia="en-IN"/>
        </w:rPr>
        <w:drawing>
          <wp:inline distT="0" distB="0" distL="0" distR="0" wp14:anchorId="03CC0A5D" wp14:editId="1B3B9ABE">
            <wp:extent cx="5873750" cy="2220473"/>
            <wp:effectExtent l="0" t="0" r="0" b="8890"/>
            <wp:docPr id="5" name="Picture 5"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with low confidence"/>
                    <pic:cNvPicPr/>
                  </pic:nvPicPr>
                  <pic:blipFill rotWithShape="1">
                    <a:blip r:embed="rId13">
                      <a:extLst>
                        <a:ext uri="{28A0092B-C50C-407E-A947-70E740481C1C}">
                          <a14:useLocalDpi xmlns:a14="http://schemas.microsoft.com/office/drawing/2010/main" val="0"/>
                        </a:ext>
                      </a:extLst>
                    </a:blip>
                    <a:srcRect l="7755" r="5495" b="12813"/>
                    <a:stretch/>
                  </pic:blipFill>
                  <pic:spPr bwMode="auto">
                    <a:xfrm>
                      <a:off x="0" y="0"/>
                      <a:ext cx="5905313" cy="2232405"/>
                    </a:xfrm>
                    <a:prstGeom prst="rect">
                      <a:avLst/>
                    </a:prstGeom>
                    <a:ln>
                      <a:noFill/>
                    </a:ln>
                    <a:extLst>
                      <a:ext uri="{53640926-AAD7-44D8-BBD7-CCE9431645EC}">
                        <a14:shadowObscured xmlns:a14="http://schemas.microsoft.com/office/drawing/2010/main"/>
                      </a:ext>
                    </a:extLst>
                  </pic:spPr>
                </pic:pic>
              </a:graphicData>
            </a:graphic>
          </wp:inline>
        </w:drawing>
      </w:r>
      <w:r w:rsidR="00EE34F4" w:rsidRPr="000D2F8F">
        <w:rPr>
          <w:rFonts w:ascii="Times New Roman" w:hAnsi="Times New Roman" w:cs="Times New Roman"/>
          <w:b/>
          <w:bCs/>
          <w:sz w:val="20"/>
          <w:szCs w:val="20"/>
        </w:rPr>
        <w:t>Fig</w:t>
      </w:r>
      <w:r w:rsidR="0079091D" w:rsidRPr="000D2F8F">
        <w:rPr>
          <w:rFonts w:ascii="Times New Roman" w:hAnsi="Times New Roman" w:cs="Times New Roman"/>
          <w:b/>
          <w:bCs/>
          <w:sz w:val="20"/>
          <w:szCs w:val="20"/>
        </w:rPr>
        <w:t xml:space="preserve"> 1</w:t>
      </w:r>
      <w:r w:rsidR="00EE34F4" w:rsidRPr="000D2F8F">
        <w:rPr>
          <w:rFonts w:ascii="Times New Roman" w:hAnsi="Times New Roman" w:cs="Times New Roman"/>
          <w:b/>
          <w:bCs/>
          <w:sz w:val="20"/>
          <w:szCs w:val="20"/>
        </w:rPr>
        <w:t xml:space="preserve">. </w:t>
      </w:r>
      <w:r w:rsidR="00EE34F4" w:rsidRPr="000D2F8F">
        <w:rPr>
          <w:rFonts w:ascii="Times New Roman" w:hAnsi="Times New Roman" w:cs="Times New Roman"/>
          <w:sz w:val="20"/>
          <w:szCs w:val="20"/>
        </w:rPr>
        <w:t>Drug discovery and development processes with potential from biomarkers phases</w:t>
      </w:r>
    </w:p>
    <w:p w14:paraId="4F8F5050" w14:textId="48E14AA4" w:rsidR="005B2747" w:rsidRPr="000D2F8F" w:rsidRDefault="00084EEA" w:rsidP="00084EE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III. </w:t>
      </w:r>
      <w:r w:rsidR="004359C1">
        <w:rPr>
          <w:rFonts w:ascii="Times New Roman" w:hAnsi="Times New Roman" w:cs="Times New Roman"/>
          <w:b/>
          <w:bCs/>
          <w:sz w:val="20"/>
          <w:szCs w:val="20"/>
        </w:rPr>
        <w:t>DISEASE PATHWAY AND POTENTIAL IMPACT OF BIOMARKERS</w:t>
      </w:r>
    </w:p>
    <w:p w14:paraId="1F7F186D" w14:textId="30F7D698" w:rsidR="00245EC1" w:rsidRPr="000D2F8F" w:rsidRDefault="00DF7C26"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Biomarkers are classified into two types: biomarkers of exposure, which are used in risk prediction, and biomarkers of illness, which are used in disease screening, diagnosis, and monitoring</w:t>
      </w:r>
      <w:r w:rsidR="00186F5C" w:rsidRPr="000D2F8F">
        <w:rPr>
          <w:rFonts w:ascii="Times New Roman" w:hAnsi="Times New Roman" w:cs="Times New Roman"/>
          <w:sz w:val="20"/>
          <w:szCs w:val="20"/>
        </w:rPr>
        <w:t>.</w:t>
      </w:r>
    </w:p>
    <w:p w14:paraId="3A72EE6B" w14:textId="338FE127" w:rsidR="00FB509C" w:rsidRPr="00084EEA" w:rsidRDefault="00DF7C26"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Biomarkers are widely established in risk prediction, screening, and diagnostic procedures, and they provide distinct and evident advantages. Many neurological illnesses are classified using either established clinical criteria or histology diagnosis. Biomarkers offer the ability to diagnose neurological disease at an early stage, to give a mechanism for homogenous disease categorization, and to further our understanding of disease causation. These benefits </w:t>
      </w:r>
      <w:r w:rsidR="00D81C26">
        <w:rPr>
          <w:rFonts w:ascii="Times New Roman" w:hAnsi="Times New Roman" w:cs="Times New Roman"/>
          <w:sz w:val="20"/>
          <w:szCs w:val="20"/>
        </w:rPr>
        <w:t xml:space="preserve">are </w:t>
      </w:r>
      <w:r w:rsidRPr="000D2F8F">
        <w:rPr>
          <w:rFonts w:ascii="Times New Roman" w:hAnsi="Times New Roman" w:cs="Times New Roman"/>
          <w:sz w:val="20"/>
          <w:szCs w:val="20"/>
        </w:rPr>
        <w:t>applicable to all forms of clinical research, from clinical trials to epidemiological observational studies</w:t>
      </w:r>
      <w:r w:rsidR="00584AB1">
        <w:rPr>
          <w:rFonts w:ascii="Times New Roman" w:hAnsi="Times New Roman" w:cs="Times New Roman"/>
          <w:sz w:val="20"/>
          <w:szCs w:val="20"/>
        </w:rPr>
        <w:t xml:space="preserve"> [5]</w:t>
      </w:r>
      <w:r w:rsidRPr="000D2F8F">
        <w:rPr>
          <w:rFonts w:ascii="Times New Roman" w:hAnsi="Times New Roman" w:cs="Times New Roman"/>
          <w:sz w:val="20"/>
          <w:szCs w:val="20"/>
        </w:rPr>
        <w:t>.</w:t>
      </w:r>
    </w:p>
    <w:p w14:paraId="0B7BCE71" w14:textId="1F9AD04A" w:rsidR="00FB509C" w:rsidRDefault="00FB509C" w:rsidP="00084EEA">
      <w:pPr>
        <w:spacing w:after="0" w:line="240" w:lineRule="auto"/>
        <w:jc w:val="both"/>
        <w:rPr>
          <w:rFonts w:ascii="Times New Roman" w:hAnsi="Times New Roman" w:cs="Times New Roman"/>
          <w:b/>
          <w:sz w:val="20"/>
          <w:szCs w:val="20"/>
        </w:rPr>
      </w:pPr>
    </w:p>
    <w:p w14:paraId="7ACDE719" w14:textId="1135660D" w:rsidR="00FB509C" w:rsidRDefault="005A63CF" w:rsidP="00084EEA">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59264" behindDoc="0" locked="0" layoutInCell="1" allowOverlap="1" wp14:anchorId="64CE916D" wp14:editId="27C858A4">
                <wp:simplePos x="0" y="0"/>
                <wp:positionH relativeFrom="column">
                  <wp:posOffset>914400</wp:posOffset>
                </wp:positionH>
                <wp:positionV relativeFrom="paragraph">
                  <wp:posOffset>64446</wp:posOffset>
                </wp:positionV>
                <wp:extent cx="4186555" cy="2463590"/>
                <wp:effectExtent l="0" t="0" r="23495" b="13335"/>
                <wp:wrapNone/>
                <wp:docPr id="1" name="Rectangle 1"/>
                <wp:cNvGraphicFramePr/>
                <a:graphic xmlns:a="http://schemas.openxmlformats.org/drawingml/2006/main">
                  <a:graphicData uri="http://schemas.microsoft.com/office/word/2010/wordprocessingShape">
                    <wps:wsp>
                      <wps:cNvSpPr/>
                      <wps:spPr>
                        <a:xfrm>
                          <a:off x="0" y="0"/>
                          <a:ext cx="4186555" cy="246359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87280A" id="Rectangle 1" o:spid="_x0000_s1026" style="position:absolute;margin-left:1in;margin-top:5.05pt;width:329.65pt;height:1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" fillcolor="#fff2cc [663]" strokecolor="#1f3763 [1604]" strokeweight="1pt"/>
            </w:pict>
          </mc:Fallback>
        </mc:AlternateContent>
      </w:r>
    </w:p>
    <w:p w14:paraId="482792D5" w14:textId="0230055A" w:rsidR="00FB509C" w:rsidRDefault="005A63CF" w:rsidP="00084EEA">
      <w:pPr>
        <w:spacing w:after="0" w:line="240" w:lineRule="auto"/>
        <w:jc w:val="both"/>
        <w:rPr>
          <w:rFonts w:ascii="Times New Roman" w:hAnsi="Times New Roman" w:cs="Times New Roman"/>
          <w:b/>
          <w:sz w:val="20"/>
          <w:szCs w:val="20"/>
        </w:rPr>
      </w:pPr>
      <w:r w:rsidRPr="00FB509C">
        <w:rPr>
          <w:rFonts w:ascii="Times New Roman" w:hAnsi="Times New Roman" w:cs="Times New Roman"/>
          <w:b/>
          <w:noProof/>
          <w:sz w:val="20"/>
          <w:szCs w:val="20"/>
          <w:lang w:eastAsia="en-IN"/>
        </w:rPr>
        <mc:AlternateContent>
          <mc:Choice Requires="wps">
            <w:drawing>
              <wp:anchor distT="45720" distB="45720" distL="114300" distR="114300" simplePos="0" relativeHeight="251661312" behindDoc="0" locked="0" layoutInCell="1" allowOverlap="1" wp14:anchorId="6DDF753A" wp14:editId="7F25711C">
                <wp:simplePos x="0" y="0"/>
                <wp:positionH relativeFrom="column">
                  <wp:posOffset>1299210</wp:posOffset>
                </wp:positionH>
                <wp:positionV relativeFrom="paragraph">
                  <wp:posOffset>16510</wp:posOffset>
                </wp:positionV>
                <wp:extent cx="3468370" cy="1050290"/>
                <wp:effectExtent l="0" t="0" r="1778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1050290"/>
                        </a:xfrm>
                        <a:prstGeom prst="rect">
                          <a:avLst/>
                        </a:prstGeom>
                        <a:solidFill>
                          <a:schemeClr val="accent4">
                            <a:lumMod val="20000"/>
                            <a:lumOff val="80000"/>
                          </a:schemeClr>
                        </a:solidFill>
                        <a:ln w="9525">
                          <a:solidFill>
                            <a:schemeClr val="accent4">
                              <a:lumMod val="20000"/>
                              <a:lumOff val="80000"/>
                            </a:schemeClr>
                          </a:solidFill>
                          <a:miter lim="800000"/>
                          <a:headEnd/>
                          <a:tailEnd/>
                        </a:ln>
                      </wps:spPr>
                      <wps:txbx>
                        <w:txbxContent>
                          <w:p w14:paraId="5D3B501D" w14:textId="6AFAF8DC" w:rsidR="00CC77C3" w:rsidRDefault="00CC77C3" w:rsidP="00FB509C">
                            <w:pPr>
                              <w:jc w:val="center"/>
                              <w:rPr>
                                <w:rFonts w:ascii="Times New Roman" w:hAnsi="Times New Roman" w:cs="Times New Roman"/>
                                <w:b/>
                                <w:sz w:val="32"/>
                                <w:szCs w:val="32"/>
                              </w:rPr>
                            </w:pPr>
                            <w:r w:rsidRPr="00FB509C">
                              <w:rPr>
                                <w:rFonts w:ascii="Times New Roman" w:hAnsi="Times New Roman" w:cs="Times New Roman"/>
                                <w:b/>
                                <w:sz w:val="32"/>
                                <w:szCs w:val="32"/>
                              </w:rPr>
                              <w:t xml:space="preserve">Disease </w:t>
                            </w:r>
                            <w:r>
                              <w:rPr>
                                <w:rFonts w:ascii="Times New Roman" w:hAnsi="Times New Roman" w:cs="Times New Roman"/>
                                <w:b/>
                                <w:sz w:val="32"/>
                                <w:szCs w:val="32"/>
                              </w:rPr>
                              <w:t>P</w:t>
                            </w:r>
                            <w:r w:rsidRPr="00FB509C">
                              <w:rPr>
                                <w:rFonts w:ascii="Times New Roman" w:hAnsi="Times New Roman" w:cs="Times New Roman"/>
                                <w:b/>
                                <w:sz w:val="32"/>
                                <w:szCs w:val="32"/>
                              </w:rPr>
                              <w:t>athway</w:t>
                            </w:r>
                          </w:p>
                          <w:p w14:paraId="0B79AF86" w14:textId="57F044C9" w:rsidR="00CC77C3" w:rsidRDefault="00CC77C3" w:rsidP="00273A67">
                            <w:pPr>
                              <w:rPr>
                                <w:rFonts w:ascii="Times New Roman" w:hAnsi="Times New Roman" w:cs="Times New Roman"/>
                                <w:b/>
                              </w:rPr>
                            </w:pPr>
                            <w:r w:rsidRPr="00273A67">
                              <w:rPr>
                                <w:rFonts w:ascii="Times New Roman" w:hAnsi="Times New Roman" w:cs="Times New Roman"/>
                                <w:b/>
                              </w:rPr>
                              <w:t xml:space="preserve">Risk </w:t>
                            </w:r>
                            <w:r>
                              <w:rPr>
                                <w:rFonts w:ascii="Times New Roman" w:hAnsi="Times New Roman" w:cs="Times New Roman"/>
                                <w:b/>
                              </w:rPr>
                              <w:t>factors       Screening and D</w:t>
                            </w:r>
                            <w:r w:rsidRPr="00273A67">
                              <w:rPr>
                                <w:rFonts w:ascii="Times New Roman" w:hAnsi="Times New Roman" w:cs="Times New Roman"/>
                                <w:b/>
                              </w:rPr>
                              <w:t>iagnosis</w:t>
                            </w:r>
                            <w:r>
                              <w:rPr>
                                <w:rFonts w:ascii="Times New Roman" w:hAnsi="Times New Roman" w:cs="Times New Roman"/>
                                <w:b/>
                              </w:rPr>
                              <w:t xml:space="preserve">      P</w:t>
                            </w:r>
                            <w:r w:rsidRPr="00273A67">
                              <w:rPr>
                                <w:rFonts w:ascii="Times New Roman" w:hAnsi="Times New Roman" w:cs="Times New Roman"/>
                                <w:b/>
                              </w:rPr>
                              <w:t>rognosis</w:t>
                            </w:r>
                          </w:p>
                          <w:p w14:paraId="378BB7CD" w14:textId="62390BCA" w:rsidR="00CC77C3" w:rsidRPr="00273A67" w:rsidRDefault="00CC77C3" w:rsidP="00273A67">
                            <w:pPr>
                              <w:rPr>
                                <w:rFonts w:ascii="Times New Roman" w:hAnsi="Times New Roman" w:cs="Times New Roman"/>
                                <w:b/>
                                <w:i/>
                              </w:rPr>
                            </w:pPr>
                            <w:r w:rsidRPr="00273A67">
                              <w:rPr>
                                <w:rFonts w:ascii="Times New Roman" w:hAnsi="Times New Roman" w:cs="Times New Roman"/>
                                <w:b/>
                                <w:i/>
                              </w:rPr>
                              <w:t>Induction                    Latency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F753A" id="_x0000_t202" coordsize="21600,21600" o:spt="202" path="m,l,21600r21600,l21600,xe">
                <v:stroke joinstyle="miter"/>
                <v:path gradientshapeok="t" o:connecttype="rect"/>
              </v:shapetype>
              <v:shape id="Text Box 2" o:spid="_x0000_s1026" type="#_x0000_t202" style="position:absolute;left:0;text-align:left;margin-left:102.3pt;margin-top:1.3pt;width:273.1pt;height:8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" fillcolor="#fff2cc [663]" strokecolor="#fff2cc [663]">
                <v:textbox>
                  <w:txbxContent>
                    <w:p w14:paraId="5D3B501D" w14:textId="6AFAF8DC" w:rsidR="00CC77C3" w:rsidRDefault="00CC77C3" w:rsidP="00FB509C">
                      <w:pPr>
                        <w:jc w:val="center"/>
                        <w:rPr>
                          <w:rFonts w:ascii="Times New Roman" w:hAnsi="Times New Roman" w:cs="Times New Roman"/>
                          <w:b/>
                          <w:sz w:val="32"/>
                          <w:szCs w:val="32"/>
                        </w:rPr>
                      </w:pPr>
                      <w:r w:rsidRPr="00FB509C">
                        <w:rPr>
                          <w:rFonts w:ascii="Times New Roman" w:hAnsi="Times New Roman" w:cs="Times New Roman"/>
                          <w:b/>
                          <w:sz w:val="32"/>
                          <w:szCs w:val="32"/>
                        </w:rPr>
                        <w:t xml:space="preserve">Disease </w:t>
                      </w:r>
                      <w:r>
                        <w:rPr>
                          <w:rFonts w:ascii="Times New Roman" w:hAnsi="Times New Roman" w:cs="Times New Roman"/>
                          <w:b/>
                          <w:sz w:val="32"/>
                          <w:szCs w:val="32"/>
                        </w:rPr>
                        <w:t>P</w:t>
                      </w:r>
                      <w:r w:rsidRPr="00FB509C">
                        <w:rPr>
                          <w:rFonts w:ascii="Times New Roman" w:hAnsi="Times New Roman" w:cs="Times New Roman"/>
                          <w:b/>
                          <w:sz w:val="32"/>
                          <w:szCs w:val="32"/>
                        </w:rPr>
                        <w:t>athway</w:t>
                      </w:r>
                    </w:p>
                    <w:p w14:paraId="0B79AF86" w14:textId="57F044C9" w:rsidR="00CC77C3" w:rsidRDefault="00CC77C3" w:rsidP="00273A67">
                      <w:pPr>
                        <w:rPr>
                          <w:rFonts w:ascii="Times New Roman" w:hAnsi="Times New Roman" w:cs="Times New Roman"/>
                          <w:b/>
                        </w:rPr>
                      </w:pPr>
                      <w:r w:rsidRPr="00273A67">
                        <w:rPr>
                          <w:rFonts w:ascii="Times New Roman" w:hAnsi="Times New Roman" w:cs="Times New Roman"/>
                          <w:b/>
                        </w:rPr>
                        <w:t xml:space="preserve">Risk </w:t>
                      </w:r>
                      <w:r>
                        <w:rPr>
                          <w:rFonts w:ascii="Times New Roman" w:hAnsi="Times New Roman" w:cs="Times New Roman"/>
                          <w:b/>
                        </w:rPr>
                        <w:t>factors       Screening and D</w:t>
                      </w:r>
                      <w:r w:rsidRPr="00273A67">
                        <w:rPr>
                          <w:rFonts w:ascii="Times New Roman" w:hAnsi="Times New Roman" w:cs="Times New Roman"/>
                          <w:b/>
                        </w:rPr>
                        <w:t>iagnosis</w:t>
                      </w:r>
                      <w:r>
                        <w:rPr>
                          <w:rFonts w:ascii="Times New Roman" w:hAnsi="Times New Roman" w:cs="Times New Roman"/>
                          <w:b/>
                        </w:rPr>
                        <w:t xml:space="preserve">      P</w:t>
                      </w:r>
                      <w:r w:rsidRPr="00273A67">
                        <w:rPr>
                          <w:rFonts w:ascii="Times New Roman" w:hAnsi="Times New Roman" w:cs="Times New Roman"/>
                          <w:b/>
                        </w:rPr>
                        <w:t>rognosis</w:t>
                      </w:r>
                    </w:p>
                    <w:p w14:paraId="378BB7CD" w14:textId="62390BCA" w:rsidR="00CC77C3" w:rsidRPr="00273A67" w:rsidRDefault="00CC77C3" w:rsidP="00273A67">
                      <w:pPr>
                        <w:rPr>
                          <w:rFonts w:ascii="Times New Roman" w:hAnsi="Times New Roman" w:cs="Times New Roman"/>
                          <w:b/>
                          <w:i/>
                        </w:rPr>
                      </w:pPr>
                      <w:r w:rsidRPr="00273A67">
                        <w:rPr>
                          <w:rFonts w:ascii="Times New Roman" w:hAnsi="Times New Roman" w:cs="Times New Roman"/>
                          <w:b/>
                          <w:i/>
                        </w:rPr>
                        <w:t>Induction                    Latency                         Disease</w:t>
                      </w:r>
                    </w:p>
                  </w:txbxContent>
                </v:textbox>
                <w10:wrap type="square"/>
              </v:shape>
            </w:pict>
          </mc:Fallback>
        </mc:AlternateContent>
      </w:r>
    </w:p>
    <w:p w14:paraId="3138CCD2" w14:textId="284535DC" w:rsidR="00FB509C" w:rsidRDefault="00FB509C" w:rsidP="00084EEA">
      <w:pPr>
        <w:spacing w:after="0" w:line="240" w:lineRule="auto"/>
        <w:jc w:val="both"/>
        <w:rPr>
          <w:rFonts w:ascii="Times New Roman" w:hAnsi="Times New Roman" w:cs="Times New Roman"/>
          <w:b/>
          <w:sz w:val="20"/>
          <w:szCs w:val="20"/>
        </w:rPr>
      </w:pPr>
    </w:p>
    <w:p w14:paraId="6B166D27" w14:textId="15521061" w:rsidR="00FB509C" w:rsidRDefault="00FB509C" w:rsidP="00084EEA">
      <w:pPr>
        <w:spacing w:after="0" w:line="240" w:lineRule="auto"/>
        <w:jc w:val="both"/>
        <w:rPr>
          <w:rFonts w:ascii="Times New Roman" w:hAnsi="Times New Roman" w:cs="Times New Roman"/>
          <w:b/>
          <w:sz w:val="20"/>
          <w:szCs w:val="20"/>
        </w:rPr>
      </w:pPr>
    </w:p>
    <w:p w14:paraId="56665B57" w14:textId="2E576098" w:rsidR="00FB509C" w:rsidRDefault="00FB509C" w:rsidP="00084EEA">
      <w:pPr>
        <w:spacing w:after="0" w:line="240" w:lineRule="auto"/>
        <w:jc w:val="both"/>
        <w:rPr>
          <w:rFonts w:ascii="Times New Roman" w:hAnsi="Times New Roman" w:cs="Times New Roman"/>
          <w:b/>
          <w:sz w:val="20"/>
          <w:szCs w:val="20"/>
        </w:rPr>
      </w:pPr>
    </w:p>
    <w:p w14:paraId="2FCB0148" w14:textId="571DF002" w:rsidR="00FB509C" w:rsidRDefault="00FB509C" w:rsidP="00084EEA">
      <w:pPr>
        <w:spacing w:after="0" w:line="240" w:lineRule="auto"/>
        <w:jc w:val="both"/>
        <w:rPr>
          <w:rFonts w:ascii="Times New Roman" w:hAnsi="Times New Roman" w:cs="Times New Roman"/>
          <w:b/>
          <w:sz w:val="20"/>
          <w:szCs w:val="20"/>
        </w:rPr>
      </w:pPr>
    </w:p>
    <w:p w14:paraId="19FCF77B" w14:textId="38C7EF27" w:rsidR="00FB509C" w:rsidRDefault="00FB509C" w:rsidP="00084EEA">
      <w:pPr>
        <w:spacing w:after="0" w:line="240" w:lineRule="auto"/>
        <w:jc w:val="both"/>
        <w:rPr>
          <w:rFonts w:ascii="Times New Roman" w:hAnsi="Times New Roman" w:cs="Times New Roman"/>
          <w:b/>
          <w:sz w:val="20"/>
          <w:szCs w:val="20"/>
        </w:rPr>
      </w:pPr>
    </w:p>
    <w:p w14:paraId="18AEF8BC" w14:textId="2972395C" w:rsidR="00FB509C" w:rsidRDefault="0067563A" w:rsidP="00084EEA">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66432" behindDoc="0" locked="0" layoutInCell="1" allowOverlap="1" wp14:anchorId="00DF7DC3" wp14:editId="11CA6786">
                <wp:simplePos x="0" y="0"/>
                <wp:positionH relativeFrom="margin">
                  <wp:posOffset>1473263</wp:posOffset>
                </wp:positionH>
                <wp:positionV relativeFrom="paragraph">
                  <wp:posOffset>63495</wp:posOffset>
                </wp:positionV>
                <wp:extent cx="2908935" cy="1186038"/>
                <wp:effectExtent l="0" t="19050" r="24765" b="0"/>
                <wp:wrapNone/>
                <wp:docPr id="11" name="Arc 11"/>
                <wp:cNvGraphicFramePr/>
                <a:graphic xmlns:a="http://schemas.openxmlformats.org/drawingml/2006/main">
                  <a:graphicData uri="http://schemas.microsoft.com/office/word/2010/wordprocessingShape">
                    <wps:wsp>
                      <wps:cNvSpPr/>
                      <wps:spPr>
                        <a:xfrm>
                          <a:off x="0" y="0"/>
                          <a:ext cx="2908935" cy="1186038"/>
                        </a:xfrm>
                        <a:prstGeom prst="arc">
                          <a:avLst>
                            <a:gd name="adj1" fmla="val 11035458"/>
                            <a:gd name="adj2" fmla="val 215800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7191A" id="Arc 11" o:spid="_x0000_s1026" style="position:absolute;margin-left:116pt;margin-top:5pt;width:229.05pt;height:9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08935,118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" path="m20160,494627nsc139155,206265,755929,-3689,1473062,49v787920,4107,1424522,263291,1435727,584537l1454468,593019,20160,494627xem20160,494627nfc139155,206265,755929,-3689,1473062,49v787920,4107,1424522,263291,1435727,584537e" filled="f" strokecolor="black [3200]" strokeweight=".5pt">
                <v:stroke joinstyle="miter"/>
                <v:path arrowok="t" o:connecttype="custom" o:connectlocs="20160,494627;1473062,49;2908789,584586" o:connectangles="0,0,0"/>
                <w10:wrap anchorx="margin"/>
              </v:shape>
            </w:pict>
          </mc:Fallback>
        </mc:AlternateContent>
      </w:r>
    </w:p>
    <w:p w14:paraId="0B890FFA" w14:textId="29BEE01D" w:rsidR="00FB509C" w:rsidRDefault="005A63CF" w:rsidP="00084EEA">
      <w:pPr>
        <w:spacing w:after="0" w:line="240" w:lineRule="auto"/>
        <w:jc w:val="both"/>
        <w:rPr>
          <w:rFonts w:ascii="Times New Roman" w:hAnsi="Times New Roman" w:cs="Times New Roman"/>
          <w:b/>
          <w:sz w:val="20"/>
          <w:szCs w:val="20"/>
        </w:rPr>
      </w:pPr>
      <w:r w:rsidRPr="00273A67">
        <w:rPr>
          <w:rFonts w:ascii="Times New Roman" w:hAnsi="Times New Roman" w:cs="Times New Roman"/>
          <w:b/>
          <w:noProof/>
          <w:sz w:val="20"/>
          <w:szCs w:val="20"/>
          <w:lang w:eastAsia="en-IN"/>
        </w:rPr>
        <mc:AlternateContent>
          <mc:Choice Requires="wps">
            <w:drawing>
              <wp:anchor distT="45720" distB="45720" distL="114300" distR="114300" simplePos="0" relativeHeight="251663360" behindDoc="0" locked="0" layoutInCell="1" allowOverlap="1" wp14:anchorId="0BD97662" wp14:editId="657E5F23">
                <wp:simplePos x="0" y="0"/>
                <wp:positionH relativeFrom="column">
                  <wp:posOffset>1216660</wp:posOffset>
                </wp:positionH>
                <wp:positionV relativeFrom="paragraph">
                  <wp:posOffset>6985</wp:posOffset>
                </wp:positionV>
                <wp:extent cx="3679825" cy="1254125"/>
                <wp:effectExtent l="0" t="0" r="1587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825" cy="1254125"/>
                        </a:xfrm>
                        <a:prstGeom prst="rect">
                          <a:avLst/>
                        </a:prstGeom>
                        <a:solidFill>
                          <a:schemeClr val="accent4">
                            <a:lumMod val="20000"/>
                            <a:lumOff val="80000"/>
                          </a:schemeClr>
                        </a:solidFill>
                        <a:ln w="9525">
                          <a:solidFill>
                            <a:schemeClr val="accent4">
                              <a:lumMod val="20000"/>
                              <a:lumOff val="80000"/>
                            </a:schemeClr>
                          </a:solidFill>
                          <a:miter lim="800000"/>
                          <a:headEnd/>
                          <a:tailEnd/>
                        </a:ln>
                      </wps:spPr>
                      <wps:txbx>
                        <w:txbxContent>
                          <w:p w14:paraId="36FC062D" w14:textId="26171CA8" w:rsidR="00CC77C3" w:rsidRDefault="00CC77C3" w:rsidP="00273A67"/>
                          <w:p w14:paraId="5FB31F2A" w14:textId="013DF252" w:rsidR="00CC77C3" w:rsidRPr="00273A67" w:rsidRDefault="00CC77C3" w:rsidP="00273A67">
                            <w:pPr>
                              <w:rPr>
                                <w:rFonts w:ascii="Times New Roman" w:hAnsi="Times New Roman" w:cs="Times New Roman"/>
                                <w:b/>
                              </w:rPr>
                            </w:pPr>
                            <w:r>
                              <w:t xml:space="preserve">                    </w:t>
                            </w:r>
                            <w:r w:rsidRPr="00273A67">
                              <w:rPr>
                                <w:rFonts w:ascii="Times New Roman" w:hAnsi="Times New Roman" w:cs="Times New Roman"/>
                                <w:b/>
                              </w:rPr>
                              <w:t xml:space="preserve">Pathogenesis </w:t>
                            </w:r>
                            <w:r>
                              <w:rPr>
                                <w:rFonts w:ascii="Times New Roman" w:hAnsi="Times New Roman" w:cs="Times New Roman"/>
                                <w:b/>
                              </w:rPr>
                              <w:t xml:space="preserve">                  Detection</w:t>
                            </w:r>
                          </w:p>
                          <w:p w14:paraId="4F8D71C6" w14:textId="77777777" w:rsidR="00CC77C3" w:rsidRDefault="00CC77C3" w:rsidP="00273A67">
                            <w:pPr>
                              <w:ind w:left="2160"/>
                            </w:pPr>
                          </w:p>
                          <w:p w14:paraId="4B2057B8" w14:textId="41C9A248" w:rsidR="00CC77C3" w:rsidRPr="00273A67" w:rsidRDefault="00CC77C3" w:rsidP="00273A67">
                            <w:pPr>
                              <w:rPr>
                                <w:rFonts w:ascii="Times New Roman" w:hAnsi="Times New Roman" w:cs="Times New Roman"/>
                                <w:b/>
                              </w:rPr>
                            </w:pPr>
                            <w:r>
                              <w:rPr>
                                <w:rFonts w:ascii="Times New Roman" w:hAnsi="Times New Roman" w:cs="Times New Roman"/>
                                <w:b/>
                              </w:rPr>
                              <w:t xml:space="preserve">Etiology                           </w:t>
                            </w:r>
                            <w:r w:rsidRPr="00273A67">
                              <w:rPr>
                                <w:rFonts w:ascii="Times New Roman" w:hAnsi="Times New Roman" w:cs="Times New Roman"/>
                                <w:b/>
                              </w:rPr>
                              <w:t xml:space="preserve">Biomarkers </w:t>
                            </w:r>
                            <w:r>
                              <w:rPr>
                                <w:rFonts w:ascii="Times New Roman" w:hAnsi="Times New Roman" w:cs="Times New Roman"/>
                                <w:b/>
                              </w:rPr>
                              <w:t xml:space="preserve">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97662" id="_x0000_s1027" type="#_x0000_t202" style="position:absolute;left:0;text-align:left;margin-left:95.8pt;margin-top:.55pt;width:289.75pt;height:98.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" fillcolor="#fff2cc [663]" strokecolor="#fff2cc [663]">
                <v:textbox>
                  <w:txbxContent>
                    <w:p w14:paraId="36FC062D" w14:textId="26171CA8" w:rsidR="00CC77C3" w:rsidRDefault="00CC77C3" w:rsidP="00273A67"/>
                    <w:p w14:paraId="5FB31F2A" w14:textId="013DF252" w:rsidR="00CC77C3" w:rsidRPr="00273A67" w:rsidRDefault="00CC77C3" w:rsidP="00273A67">
                      <w:pPr>
                        <w:rPr>
                          <w:rFonts w:ascii="Times New Roman" w:hAnsi="Times New Roman" w:cs="Times New Roman"/>
                          <w:b/>
                        </w:rPr>
                      </w:pPr>
                      <w:r>
                        <w:t xml:space="preserve">                    </w:t>
                      </w:r>
                      <w:r w:rsidRPr="00273A67">
                        <w:rPr>
                          <w:rFonts w:ascii="Times New Roman" w:hAnsi="Times New Roman" w:cs="Times New Roman"/>
                          <w:b/>
                        </w:rPr>
                        <w:t xml:space="preserve">Pathogenesis </w:t>
                      </w:r>
                      <w:r>
                        <w:rPr>
                          <w:rFonts w:ascii="Times New Roman" w:hAnsi="Times New Roman" w:cs="Times New Roman"/>
                          <w:b/>
                        </w:rPr>
                        <w:t xml:space="preserve">                  Detection</w:t>
                      </w:r>
                    </w:p>
                    <w:p w14:paraId="4F8D71C6" w14:textId="77777777" w:rsidR="00CC77C3" w:rsidRDefault="00CC77C3" w:rsidP="00273A67">
                      <w:pPr>
                        <w:ind w:left="2160"/>
                      </w:pPr>
                    </w:p>
                    <w:p w14:paraId="4B2057B8" w14:textId="41C9A248" w:rsidR="00CC77C3" w:rsidRPr="00273A67" w:rsidRDefault="00CC77C3" w:rsidP="00273A67">
                      <w:pPr>
                        <w:rPr>
                          <w:rFonts w:ascii="Times New Roman" w:hAnsi="Times New Roman" w:cs="Times New Roman"/>
                          <w:b/>
                        </w:rPr>
                      </w:pPr>
                      <w:r>
                        <w:rPr>
                          <w:rFonts w:ascii="Times New Roman" w:hAnsi="Times New Roman" w:cs="Times New Roman"/>
                          <w:b/>
                        </w:rPr>
                        <w:t xml:space="preserve">Etiology                           </w:t>
                      </w:r>
                      <w:r w:rsidRPr="00273A67">
                        <w:rPr>
                          <w:rFonts w:ascii="Times New Roman" w:hAnsi="Times New Roman" w:cs="Times New Roman"/>
                          <w:b/>
                        </w:rPr>
                        <w:t xml:space="preserve">Biomarkers </w:t>
                      </w:r>
                      <w:r>
                        <w:rPr>
                          <w:rFonts w:ascii="Times New Roman" w:hAnsi="Times New Roman" w:cs="Times New Roman"/>
                          <w:b/>
                        </w:rPr>
                        <w:t xml:space="preserve">                  Disease</w:t>
                      </w:r>
                    </w:p>
                  </w:txbxContent>
                </v:textbox>
                <w10:wrap type="square"/>
              </v:shape>
            </w:pict>
          </mc:Fallback>
        </mc:AlternateContent>
      </w:r>
    </w:p>
    <w:p w14:paraId="2436AED5" w14:textId="21A9E29E" w:rsidR="00FB509C" w:rsidRDefault="00FB509C" w:rsidP="00084EEA">
      <w:pPr>
        <w:spacing w:after="0" w:line="240" w:lineRule="auto"/>
        <w:jc w:val="both"/>
        <w:rPr>
          <w:rFonts w:ascii="Times New Roman" w:hAnsi="Times New Roman" w:cs="Times New Roman"/>
          <w:b/>
          <w:sz w:val="20"/>
          <w:szCs w:val="20"/>
        </w:rPr>
      </w:pPr>
    </w:p>
    <w:p w14:paraId="3AE7F3F6" w14:textId="05D8DB45" w:rsidR="00FB509C" w:rsidRDefault="00FB509C" w:rsidP="00084EEA">
      <w:pPr>
        <w:spacing w:after="0" w:line="240" w:lineRule="auto"/>
        <w:jc w:val="both"/>
        <w:rPr>
          <w:rFonts w:ascii="Times New Roman" w:hAnsi="Times New Roman" w:cs="Times New Roman"/>
          <w:b/>
          <w:sz w:val="20"/>
          <w:szCs w:val="20"/>
        </w:rPr>
      </w:pPr>
    </w:p>
    <w:p w14:paraId="31BD68A4" w14:textId="377BE70F" w:rsidR="00084EEA" w:rsidRDefault="00084EEA" w:rsidP="00084EEA">
      <w:pPr>
        <w:spacing w:after="0" w:line="240" w:lineRule="auto"/>
        <w:jc w:val="both"/>
        <w:rPr>
          <w:rFonts w:ascii="Times New Roman" w:hAnsi="Times New Roman" w:cs="Times New Roman"/>
          <w:b/>
          <w:sz w:val="20"/>
          <w:szCs w:val="20"/>
        </w:rPr>
      </w:pPr>
    </w:p>
    <w:p w14:paraId="4A641C64" w14:textId="505C6083" w:rsidR="00084EEA" w:rsidRDefault="00084EEA" w:rsidP="00084EEA">
      <w:pPr>
        <w:spacing w:after="0" w:line="240" w:lineRule="auto"/>
        <w:jc w:val="both"/>
        <w:rPr>
          <w:rFonts w:ascii="Times New Roman" w:hAnsi="Times New Roman" w:cs="Times New Roman"/>
          <w:b/>
          <w:sz w:val="20"/>
          <w:szCs w:val="20"/>
        </w:rPr>
      </w:pPr>
    </w:p>
    <w:p w14:paraId="7DA206BC" w14:textId="59B1380E" w:rsidR="00084EEA" w:rsidRDefault="00084EEA" w:rsidP="00084EEA">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68480" behindDoc="0" locked="0" layoutInCell="1" allowOverlap="1" wp14:anchorId="04FE3A77" wp14:editId="32DBEE33">
                <wp:simplePos x="0" y="0"/>
                <wp:positionH relativeFrom="column">
                  <wp:posOffset>3294821</wp:posOffset>
                </wp:positionH>
                <wp:positionV relativeFrom="paragraph">
                  <wp:posOffset>5321</wp:posOffset>
                </wp:positionV>
                <wp:extent cx="188926" cy="317395"/>
                <wp:effectExtent l="0" t="38100" r="59055" b="26035"/>
                <wp:wrapNone/>
                <wp:docPr id="13" name="Straight Arrow Connector 13"/>
                <wp:cNvGraphicFramePr/>
                <a:graphic xmlns:a="http://schemas.openxmlformats.org/drawingml/2006/main">
                  <a:graphicData uri="http://schemas.microsoft.com/office/word/2010/wordprocessingShape">
                    <wps:wsp>
                      <wps:cNvCnPr/>
                      <wps:spPr>
                        <a:xfrm flipV="1">
                          <a:off x="0" y="0"/>
                          <a:ext cx="188926" cy="3173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8AC39BB" id="_x0000_t32" coordsize="21600,21600" o:spt="32" o:oned="t" path="m,l21600,21600e" filled="f">
                <v:path arrowok="t" fillok="f" o:connecttype="none"/>
                <o:lock v:ext="edit" shapetype="t"/>
              </v:shapetype>
              <v:shape id="Straight Arrow Connector 13" o:spid="_x0000_s1026" type="#_x0000_t32" style="position:absolute;margin-left:259.45pt;margin-top:.4pt;width:14.9pt;height: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" strokecolor="black [3200]" strokeweight=".5pt">
                <v:stroke endarrow="block" joinstyle="miter"/>
              </v:shape>
            </w:pict>
          </mc:Fallback>
        </mc:AlternateContent>
      </w:r>
      <w:r>
        <w:rPr>
          <w:rFonts w:ascii="Times New Roman" w:hAnsi="Times New Roman" w:cs="Times New Roman"/>
          <w:b/>
          <w:noProof/>
          <w:sz w:val="20"/>
          <w:szCs w:val="20"/>
          <w:lang w:eastAsia="en-IN"/>
        </w:rPr>
        <mc:AlternateContent>
          <mc:Choice Requires="wps">
            <w:drawing>
              <wp:anchor distT="0" distB="0" distL="114300" distR="114300" simplePos="0" relativeHeight="251667456" behindDoc="0" locked="0" layoutInCell="1" allowOverlap="1" wp14:anchorId="01E79BF5" wp14:editId="27D3CCDF">
                <wp:simplePos x="0" y="0"/>
                <wp:positionH relativeFrom="column">
                  <wp:posOffset>2584450</wp:posOffset>
                </wp:positionH>
                <wp:positionV relativeFrom="paragraph">
                  <wp:posOffset>50474</wp:posOffset>
                </wp:positionV>
                <wp:extent cx="287167" cy="287166"/>
                <wp:effectExtent l="38100" t="38100" r="17780" b="17780"/>
                <wp:wrapNone/>
                <wp:docPr id="12" name="Straight Arrow Connector 12"/>
                <wp:cNvGraphicFramePr/>
                <a:graphic xmlns:a="http://schemas.openxmlformats.org/drawingml/2006/main">
                  <a:graphicData uri="http://schemas.microsoft.com/office/word/2010/wordprocessingShape">
                    <wps:wsp>
                      <wps:cNvCnPr/>
                      <wps:spPr>
                        <a:xfrm flipH="1" flipV="1">
                          <a:off x="0" y="0"/>
                          <a:ext cx="287167" cy="2871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DA4E60" id="Straight Arrow Connector 12" o:spid="_x0000_s1026" type="#_x0000_t32" style="position:absolute;margin-left:203.5pt;margin-top:3.95pt;width:22.6pt;height:22.6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" strokecolor="black [3200]" strokeweight=".5pt">
                <v:stroke endarrow="block" joinstyle="miter"/>
              </v:shape>
            </w:pict>
          </mc:Fallback>
        </mc:AlternateContent>
      </w:r>
    </w:p>
    <w:p w14:paraId="4BE95567" w14:textId="705C5995" w:rsidR="00084EEA" w:rsidRDefault="00084EEA" w:rsidP="00084EEA">
      <w:pPr>
        <w:spacing w:after="0" w:line="240" w:lineRule="auto"/>
        <w:jc w:val="both"/>
        <w:rPr>
          <w:rFonts w:ascii="Times New Roman" w:hAnsi="Times New Roman" w:cs="Times New Roman"/>
          <w:b/>
          <w:sz w:val="20"/>
          <w:szCs w:val="20"/>
        </w:rPr>
      </w:pPr>
    </w:p>
    <w:p w14:paraId="517E3B0A" w14:textId="21E5ACDB" w:rsidR="00084EEA" w:rsidRDefault="00084EEA" w:rsidP="00084EEA">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65408" behindDoc="0" locked="0" layoutInCell="1" allowOverlap="1" wp14:anchorId="4BDCCD03" wp14:editId="42A9AA4E">
                <wp:simplePos x="0" y="0"/>
                <wp:positionH relativeFrom="column">
                  <wp:posOffset>1986978</wp:posOffset>
                </wp:positionH>
                <wp:positionV relativeFrom="paragraph">
                  <wp:posOffset>90170</wp:posOffset>
                </wp:positionV>
                <wp:extent cx="656590"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flipV="1">
                          <a:off x="0" y="0"/>
                          <a:ext cx="6565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7B529B" id="Straight Arrow Connector 10" o:spid="_x0000_s1026" type="#_x0000_t32" style="position:absolute;margin-left:156.45pt;margin-top:7.1pt;width:51.7pt;height:0;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" strokecolor="black [3200]" strokeweight=".5pt">
                <v:stroke endarrow="block" joinstyle="miter"/>
              </v:shape>
            </w:pict>
          </mc:Fallback>
        </mc:AlternateContent>
      </w:r>
      <w:r>
        <w:rPr>
          <w:rFonts w:ascii="Times New Roman" w:hAnsi="Times New Roman" w:cs="Times New Roman"/>
          <w:b/>
          <w:noProof/>
          <w:sz w:val="20"/>
          <w:szCs w:val="20"/>
          <w:lang w:eastAsia="en-IN"/>
        </w:rPr>
        <mc:AlternateContent>
          <mc:Choice Requires="wps">
            <w:drawing>
              <wp:anchor distT="0" distB="0" distL="114300" distR="114300" simplePos="0" relativeHeight="251664384" behindDoc="0" locked="0" layoutInCell="1" allowOverlap="1" wp14:anchorId="0A8D5BA8" wp14:editId="15E45AD5">
                <wp:simplePos x="0" y="0"/>
                <wp:positionH relativeFrom="column">
                  <wp:posOffset>3558917</wp:posOffset>
                </wp:positionH>
                <wp:positionV relativeFrom="paragraph">
                  <wp:posOffset>81217</wp:posOffset>
                </wp:positionV>
                <wp:extent cx="551663" cy="0"/>
                <wp:effectExtent l="0" t="76200" r="20320" b="95250"/>
                <wp:wrapNone/>
                <wp:docPr id="9" name="Straight Arrow Connector 9"/>
                <wp:cNvGraphicFramePr/>
                <a:graphic xmlns:a="http://schemas.openxmlformats.org/drawingml/2006/main">
                  <a:graphicData uri="http://schemas.microsoft.com/office/word/2010/wordprocessingShape">
                    <wps:wsp>
                      <wps:cNvCnPr/>
                      <wps:spPr>
                        <a:xfrm>
                          <a:off x="0" y="0"/>
                          <a:ext cx="55166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D3FFC0" id="Straight Arrow Connector 9" o:spid="_x0000_s1026" type="#_x0000_t32" style="position:absolute;margin-left:280.25pt;margin-top:6.4pt;width:43.4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" strokecolor="black [3200]" strokeweight=".5pt">
                <v:stroke endarrow="block" joinstyle="miter"/>
              </v:shape>
            </w:pict>
          </mc:Fallback>
        </mc:AlternateContent>
      </w:r>
    </w:p>
    <w:p w14:paraId="72ABDAAD" w14:textId="77777777" w:rsidR="00084EEA" w:rsidRDefault="00084EEA" w:rsidP="00084EEA">
      <w:pPr>
        <w:spacing w:after="0" w:line="240" w:lineRule="auto"/>
        <w:jc w:val="both"/>
        <w:rPr>
          <w:rFonts w:ascii="Times New Roman" w:hAnsi="Times New Roman" w:cs="Times New Roman"/>
          <w:b/>
          <w:sz w:val="20"/>
          <w:szCs w:val="20"/>
        </w:rPr>
      </w:pPr>
    </w:p>
    <w:p w14:paraId="45F11C34" w14:textId="77777777" w:rsidR="00084EEA" w:rsidRDefault="00084EEA" w:rsidP="00084EEA">
      <w:pPr>
        <w:spacing w:after="0" w:line="240" w:lineRule="auto"/>
        <w:jc w:val="both"/>
        <w:rPr>
          <w:rFonts w:ascii="Times New Roman" w:hAnsi="Times New Roman" w:cs="Times New Roman"/>
          <w:b/>
          <w:sz w:val="20"/>
          <w:szCs w:val="20"/>
        </w:rPr>
      </w:pPr>
    </w:p>
    <w:p w14:paraId="6F86FD87" w14:textId="77777777" w:rsidR="00FB509C" w:rsidRDefault="00FB509C" w:rsidP="00084EEA">
      <w:pPr>
        <w:spacing w:after="0" w:line="240" w:lineRule="auto"/>
        <w:jc w:val="both"/>
        <w:rPr>
          <w:rFonts w:ascii="Times New Roman" w:hAnsi="Times New Roman" w:cs="Times New Roman"/>
          <w:b/>
          <w:sz w:val="20"/>
          <w:szCs w:val="20"/>
        </w:rPr>
      </w:pPr>
    </w:p>
    <w:p w14:paraId="5C4F9A84" w14:textId="663146F3" w:rsidR="00292C35" w:rsidRPr="000D2F8F" w:rsidRDefault="00292C35" w:rsidP="00084EEA">
      <w:pPr>
        <w:spacing w:after="0" w:line="240" w:lineRule="auto"/>
        <w:jc w:val="center"/>
        <w:rPr>
          <w:rFonts w:ascii="Times New Roman" w:hAnsi="Times New Roman" w:cs="Times New Roman"/>
          <w:sz w:val="20"/>
          <w:szCs w:val="20"/>
        </w:rPr>
      </w:pPr>
      <w:r w:rsidRPr="000D2F8F">
        <w:rPr>
          <w:rFonts w:ascii="Times New Roman" w:hAnsi="Times New Roman" w:cs="Times New Roman"/>
          <w:b/>
          <w:sz w:val="20"/>
          <w:szCs w:val="20"/>
        </w:rPr>
        <w:t>Fig</w:t>
      </w:r>
      <w:r w:rsidRPr="000D2F8F">
        <w:rPr>
          <w:rFonts w:ascii="Times New Roman" w:hAnsi="Times New Roman" w:cs="Times New Roman"/>
          <w:sz w:val="20"/>
          <w:szCs w:val="20"/>
        </w:rPr>
        <w:t>. Disease pathway and potential impact biomarkers</w:t>
      </w:r>
    </w:p>
    <w:p w14:paraId="2C8CD8AB" w14:textId="74E7A266" w:rsidR="008D7F2A" w:rsidRPr="000D2F8F" w:rsidRDefault="008D7F2A"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A valid biomarker should be: </w:t>
      </w:r>
    </w:p>
    <w:p w14:paraId="2FC3FD7D" w14:textId="61DBBC3A" w:rsidR="008D7F2A" w:rsidRPr="000D2F8F" w:rsidRDefault="008D7F2A" w:rsidP="00084EEA">
      <w:pPr>
        <w:pStyle w:val="ListParagraph"/>
        <w:numPr>
          <w:ilvl w:val="0"/>
          <w:numId w:val="2"/>
        </w:num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a major product of oxidative modification that may be implicated directly in the development of disease; </w:t>
      </w:r>
    </w:p>
    <w:p w14:paraId="6076D269" w14:textId="67092A26" w:rsidR="008D7F2A" w:rsidRPr="000D2F8F" w:rsidRDefault="008D7F2A" w:rsidP="00084EEA">
      <w:pPr>
        <w:pStyle w:val="ListParagraph"/>
        <w:numPr>
          <w:ilvl w:val="0"/>
          <w:numId w:val="2"/>
        </w:num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a stable product, not susceptible to artefactual induction or loss during storage;  </w:t>
      </w:r>
    </w:p>
    <w:p w14:paraId="034F7B9A" w14:textId="77777777" w:rsidR="008D7F2A" w:rsidRPr="000D2F8F" w:rsidRDefault="008D7F2A" w:rsidP="00084EEA">
      <w:pPr>
        <w:pStyle w:val="ListParagraph"/>
        <w:numPr>
          <w:ilvl w:val="0"/>
          <w:numId w:val="2"/>
        </w:num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representative of the balance between oxidative damage generation and clearance (i.e. the steady state, but also possibly applicable to the measurement of cumulative oxidative damage); </w:t>
      </w:r>
    </w:p>
    <w:p w14:paraId="58473D13" w14:textId="77777777" w:rsidR="008D7F2A" w:rsidRPr="000D2F8F" w:rsidRDefault="008D7F2A" w:rsidP="00084EEA">
      <w:pPr>
        <w:pStyle w:val="ListParagraph"/>
        <w:numPr>
          <w:ilvl w:val="0"/>
          <w:numId w:val="2"/>
        </w:num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determined by an assay that is specific, sensitive, reproducible and robust; </w:t>
      </w:r>
    </w:p>
    <w:p w14:paraId="7F41816A" w14:textId="77777777" w:rsidR="008D7F2A" w:rsidRPr="000D2F8F" w:rsidRDefault="008D7F2A" w:rsidP="00084EEA">
      <w:pPr>
        <w:pStyle w:val="ListParagraph"/>
        <w:numPr>
          <w:ilvl w:val="0"/>
          <w:numId w:val="2"/>
        </w:num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free of confounding factors from dietary intake; </w:t>
      </w:r>
    </w:p>
    <w:p w14:paraId="3ED49DC7" w14:textId="127F23FA" w:rsidR="008D7F2A" w:rsidRPr="000D2F8F" w:rsidRDefault="008D7F2A" w:rsidP="00084EEA">
      <w:pPr>
        <w:pStyle w:val="ListParagraph"/>
        <w:numPr>
          <w:ilvl w:val="0"/>
          <w:numId w:val="2"/>
        </w:num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accessible in a target tissue or a valid surrogate tissue such as a leucocyte; and </w:t>
      </w:r>
    </w:p>
    <w:p w14:paraId="3FB19C33" w14:textId="68A3B4D8" w:rsidR="001A1937" w:rsidRPr="000D2F8F" w:rsidRDefault="008D7F2A" w:rsidP="00084EEA">
      <w:pPr>
        <w:pStyle w:val="ListParagraph"/>
        <w:numPr>
          <w:ilvl w:val="0"/>
          <w:numId w:val="2"/>
        </w:numPr>
        <w:spacing w:after="0" w:line="240" w:lineRule="auto"/>
        <w:jc w:val="both"/>
        <w:rPr>
          <w:rFonts w:ascii="Times New Roman" w:hAnsi="Times New Roman" w:cs="Times New Roman"/>
          <w:sz w:val="20"/>
          <w:szCs w:val="20"/>
        </w:rPr>
      </w:pPr>
      <w:proofErr w:type="gramStart"/>
      <w:r w:rsidRPr="000D2F8F">
        <w:rPr>
          <w:rFonts w:ascii="Times New Roman" w:hAnsi="Times New Roman" w:cs="Times New Roman"/>
          <w:sz w:val="20"/>
          <w:szCs w:val="20"/>
        </w:rPr>
        <w:t>measurable</w:t>
      </w:r>
      <w:proofErr w:type="gramEnd"/>
      <w:r w:rsidRPr="000D2F8F">
        <w:rPr>
          <w:rFonts w:ascii="Times New Roman" w:hAnsi="Times New Roman" w:cs="Times New Roman"/>
          <w:sz w:val="20"/>
          <w:szCs w:val="20"/>
        </w:rPr>
        <w:t xml:space="preserve"> within the limits of detection of a reliable analytical procedure</w:t>
      </w:r>
      <w:r w:rsidR="001A2DB9">
        <w:rPr>
          <w:rFonts w:ascii="Times New Roman" w:hAnsi="Times New Roman" w:cs="Times New Roman"/>
          <w:sz w:val="20"/>
          <w:szCs w:val="20"/>
        </w:rPr>
        <w:t xml:space="preserve"> [5]</w:t>
      </w:r>
      <w:r w:rsidRPr="000D2F8F">
        <w:rPr>
          <w:rFonts w:ascii="Times New Roman" w:hAnsi="Times New Roman" w:cs="Times New Roman"/>
          <w:sz w:val="20"/>
          <w:szCs w:val="20"/>
        </w:rPr>
        <w:t>.</w:t>
      </w:r>
    </w:p>
    <w:p w14:paraId="7029F64A" w14:textId="68DC794A" w:rsidR="008D7F2A" w:rsidRPr="000D2F8F" w:rsidRDefault="00084EEA" w:rsidP="00084EE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IV. </w:t>
      </w:r>
      <w:r w:rsidR="00A67CA0" w:rsidRPr="000D2F8F">
        <w:rPr>
          <w:rFonts w:ascii="Times New Roman" w:hAnsi="Times New Roman" w:cs="Times New Roman"/>
          <w:b/>
          <w:bCs/>
          <w:sz w:val="20"/>
          <w:szCs w:val="20"/>
        </w:rPr>
        <w:t>BIOMARKERS VERSUS CLINICAL ENDPOINT</w:t>
      </w:r>
    </w:p>
    <w:p w14:paraId="1E1DD215" w14:textId="15DB9BBB" w:rsidR="00DF7C26" w:rsidRPr="000D2F8F" w:rsidRDefault="00DF7C26"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By definition, biomarkers are objective, measurable aspects of biological processes. They may or may not correlate with a patient's experience and sense of well-being, and it's possible to conceive quantifiable biological traits that don't correspond to patients' clinical states, or whose fluctuations are undetectable and have no influence on health. It's also easy to conceive observable biological traits that vary so much among populations that they're almost useless as dependable indicators of illness or its absence. Clinical endpoints, on the other hand, are variables that reflect or characterise how a person in a research or clinical trial "feels, functions, or survives." In other words, they are variables that indicate a research subject's health and well-being from the subject's point of view. The purpose of clinical practise is to ameliorate morbidity and mortality, not to modify quantitative characteristics of patients' inherent biochemistry with no obvious clinical consequence, for example. Similarly, individuals want therapy for their ailments, not for numerical indicators that commonly but not always exactly correlate with them. Many consider survival to be the gold-standard clinical endpoint for most HIV trials, but other well-defined, unambiguous clinical variables, such as stroke, myocardial infarction, and the occurrence of predefined opportunistic infections, have also been used as endpoints in appropriate circumstances; they provide clear, unambiguous data that can show definitively whether interventions are effective or ineffective, as well as safe or unsafe. However, not all clinical endpoints are created equal; examples of clinical data items that p</w:t>
      </w:r>
      <w:r w:rsidR="001A2DB9">
        <w:rPr>
          <w:rFonts w:ascii="Times New Roman" w:hAnsi="Times New Roman" w:cs="Times New Roman"/>
          <w:sz w:val="20"/>
          <w:szCs w:val="20"/>
        </w:rPr>
        <w:t>roduce less trustworthy results [6].</w:t>
      </w:r>
    </w:p>
    <w:p w14:paraId="15AE2A97" w14:textId="664EA94F" w:rsidR="00A42855" w:rsidRPr="000D2F8F" w:rsidRDefault="00084EEA" w:rsidP="00084EE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V. </w:t>
      </w:r>
      <w:r w:rsidR="00A67CA0" w:rsidRPr="000D2F8F">
        <w:rPr>
          <w:rFonts w:ascii="Times New Roman" w:hAnsi="Times New Roman" w:cs="Times New Roman"/>
          <w:b/>
          <w:bCs/>
          <w:sz w:val="20"/>
          <w:szCs w:val="20"/>
        </w:rPr>
        <w:t>BIOMARKERS AS SURROGATE ENDPOINT</w:t>
      </w:r>
    </w:p>
    <w:p w14:paraId="60B36BF8" w14:textId="5BB807D0" w:rsidR="00DF7C26" w:rsidRPr="000D2F8F" w:rsidRDefault="00DF7C26"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Biomarkers are called surrogate endpoints when employed as clinical trial results; that is, they operate as surrogates or substitutes for clinically significant endpoints. However, not all biomarkers are intended to be surrogate endpoints. Surrogate endpoints are a tiny subset of well-characterized biomarkers having therapeutic use. To be termed a surrogate endpoint, convincing scientific proof (e.g., epidemiological, pharmacological, and/or pathophysiological) showing a biomarker consistently and reliably predicts a clinical result, either benefit or damage, is required. A surrogate endpoint is a biomarker that can be relied on to act as a substitute for, but not as a replacement for, a clinical endpoint</w:t>
      </w:r>
      <w:r w:rsidR="001A2DB9">
        <w:rPr>
          <w:rFonts w:ascii="Times New Roman" w:hAnsi="Times New Roman" w:cs="Times New Roman"/>
          <w:sz w:val="20"/>
          <w:szCs w:val="20"/>
        </w:rPr>
        <w:t xml:space="preserve"> [7]</w:t>
      </w:r>
      <w:r w:rsidRPr="000D2F8F">
        <w:rPr>
          <w:rFonts w:ascii="Times New Roman" w:hAnsi="Times New Roman" w:cs="Times New Roman"/>
          <w:sz w:val="20"/>
          <w:szCs w:val="20"/>
        </w:rPr>
        <w:t>.</w:t>
      </w:r>
    </w:p>
    <w:p w14:paraId="7F77F889" w14:textId="7541A4E6" w:rsidR="00A42855" w:rsidRPr="000D2F8F" w:rsidRDefault="00084EEA" w:rsidP="00084EE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00722744">
        <w:rPr>
          <w:rFonts w:ascii="Times New Roman" w:hAnsi="Times New Roman" w:cs="Times New Roman"/>
          <w:b/>
          <w:bCs/>
          <w:sz w:val="20"/>
          <w:szCs w:val="20"/>
        </w:rPr>
        <w:t>CHARACTERIZATION</w:t>
      </w:r>
      <w:r w:rsidR="00A67CA0" w:rsidRPr="000D2F8F">
        <w:rPr>
          <w:rFonts w:ascii="Times New Roman" w:hAnsi="Times New Roman" w:cs="Times New Roman"/>
          <w:b/>
          <w:bCs/>
          <w:sz w:val="20"/>
          <w:szCs w:val="20"/>
        </w:rPr>
        <w:t xml:space="preserve"> AND EVALUATION OF BIOMARKERS</w:t>
      </w:r>
    </w:p>
    <w:p w14:paraId="06EAB7A2" w14:textId="1E600851" w:rsidR="00DF7C26" w:rsidRPr="000D2F8F" w:rsidRDefault="00DF7C26"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Biomarkers are called surrogate endpoints when employed as clinical trial results; that is, they operate as surrogates or substitutes for clinically significant endpoints. However, not all biomarkers are intended to be surrogate endpoints. Surrogate endpoints are a tiny subset of well-characterized biomarkers having therapeutic use. To be termed a surrogate endpoint, convincing scientific proof (e.g., epidemiological, pharmacological, and/or pathophysiological) showing a biomarker consistently and reliably predicts a clinical result, either benefit or damage, is required. A surrogate endpoint is a biomarker that can be relied on to act as a substitute for, but not as a replacement for, a clinical endpoint</w:t>
      </w:r>
      <w:r w:rsidR="001A2DB9">
        <w:rPr>
          <w:rFonts w:ascii="Times New Roman" w:hAnsi="Times New Roman" w:cs="Times New Roman"/>
          <w:sz w:val="20"/>
          <w:szCs w:val="20"/>
        </w:rPr>
        <w:t xml:space="preserve"> [8]</w:t>
      </w:r>
      <w:r w:rsidRPr="000D2F8F">
        <w:rPr>
          <w:rFonts w:ascii="Times New Roman" w:hAnsi="Times New Roman" w:cs="Times New Roman"/>
          <w:sz w:val="20"/>
          <w:szCs w:val="20"/>
        </w:rPr>
        <w:t>.</w:t>
      </w:r>
    </w:p>
    <w:p w14:paraId="44DDCCDA" w14:textId="53B3EB2E" w:rsidR="002A6C23" w:rsidRPr="000D2F8F" w:rsidRDefault="002A6C23"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Identifying biomarkers as surrogate endpoints necessitates establishing relevance and validity. The potential of a biomarker to give clinically relevant information on issues of interest to the general public, healthcare practitioners, or health policy makers is referred to as relevance. The necessity to describe a biomarker's effectiveness or utility as a surrogate endpoint is referred to as validity. Unfortunately, legitimacy is rarely black and white, but rather a continuum. In fact, some researchers have rejected the word validation as "unsuitable" for the study of biomarkers since it implies a thorough biological explanation of the link between a specific biomarker and a clinical outcome, which they reject</w:t>
      </w:r>
      <w:r w:rsidR="001A2DB9">
        <w:rPr>
          <w:rFonts w:ascii="Times New Roman" w:hAnsi="Times New Roman" w:cs="Times New Roman"/>
          <w:sz w:val="20"/>
          <w:szCs w:val="20"/>
        </w:rPr>
        <w:t xml:space="preserve"> [9]</w:t>
      </w:r>
      <w:r w:rsidRPr="000D2F8F">
        <w:rPr>
          <w:rFonts w:ascii="Times New Roman" w:hAnsi="Times New Roman" w:cs="Times New Roman"/>
          <w:sz w:val="20"/>
          <w:szCs w:val="20"/>
        </w:rPr>
        <w:t>.</w:t>
      </w:r>
    </w:p>
    <w:p w14:paraId="074F90F7" w14:textId="063BE723" w:rsidR="002A6C23" w:rsidRPr="000D2F8F" w:rsidRDefault="002A6C23"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 xml:space="preserve">For years, researchers used arrhythmia suppression as a surrogate endpoint for decreased morbidity due to cardiovascular disease, resulting in the approval of anti-arrhythmia drugs (e.g., </w:t>
      </w:r>
      <w:proofErr w:type="spellStart"/>
      <w:r w:rsidRPr="000D2F8F">
        <w:rPr>
          <w:rFonts w:ascii="Times New Roman" w:hAnsi="Times New Roman" w:cs="Times New Roman"/>
          <w:sz w:val="20"/>
          <w:szCs w:val="20"/>
        </w:rPr>
        <w:t>encainide</w:t>
      </w:r>
      <w:proofErr w:type="spellEnd"/>
      <w:r w:rsidRPr="000D2F8F">
        <w:rPr>
          <w:rFonts w:ascii="Times New Roman" w:hAnsi="Times New Roman" w:cs="Times New Roman"/>
          <w:sz w:val="20"/>
          <w:szCs w:val="20"/>
        </w:rPr>
        <w:t xml:space="preserve">, flecainide, </w:t>
      </w:r>
      <w:proofErr w:type="spellStart"/>
      <w:r w:rsidRPr="000D2F8F">
        <w:rPr>
          <w:rFonts w:ascii="Times New Roman" w:hAnsi="Times New Roman" w:cs="Times New Roman"/>
          <w:sz w:val="20"/>
          <w:szCs w:val="20"/>
        </w:rPr>
        <w:t>moricinze</w:t>
      </w:r>
      <w:proofErr w:type="spellEnd"/>
      <w:r w:rsidRPr="000D2F8F">
        <w:rPr>
          <w:rFonts w:ascii="Times New Roman" w:hAnsi="Times New Roman" w:cs="Times New Roman"/>
          <w:sz w:val="20"/>
          <w:szCs w:val="20"/>
        </w:rPr>
        <w:t xml:space="preserve">) that were later found to increase mortality in certain patient populations in later trials. More recently, a large and well-publicized trial of the combination of two cholesterol-lowering drugs, ezetimibe and simvastatin, highlighted the risk </w:t>
      </w:r>
      <w:r w:rsidRPr="000D2F8F">
        <w:rPr>
          <w:rFonts w:ascii="Times New Roman" w:hAnsi="Times New Roman" w:cs="Times New Roman"/>
          <w:sz w:val="20"/>
          <w:szCs w:val="20"/>
        </w:rPr>
        <w:lastRenderedPageBreak/>
        <w:t>of relying too heavily on biomarkers: while the combination treatment lowered subjects' cholesterol levels more than simvastatin alone, it did not improve atherosclerosis or overall mortality, calling into question much previous research that relied on the assumption that lowering</w:t>
      </w:r>
      <w:r w:rsidR="001A2DB9">
        <w:rPr>
          <w:rFonts w:ascii="Times New Roman" w:hAnsi="Times New Roman" w:cs="Times New Roman"/>
          <w:sz w:val="20"/>
          <w:szCs w:val="20"/>
        </w:rPr>
        <w:t xml:space="preserve"> [9]</w:t>
      </w:r>
      <w:r w:rsidRPr="000D2F8F">
        <w:rPr>
          <w:rFonts w:ascii="Times New Roman" w:hAnsi="Times New Roman" w:cs="Times New Roman"/>
          <w:sz w:val="20"/>
          <w:szCs w:val="20"/>
        </w:rPr>
        <w:t>.</w:t>
      </w:r>
    </w:p>
    <w:p w14:paraId="543CF121" w14:textId="5E8CC487" w:rsidR="00FB0FB1" w:rsidRPr="000D2F8F" w:rsidRDefault="00084EEA" w:rsidP="00084EE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 </w:t>
      </w:r>
      <w:r w:rsidR="009E44FC" w:rsidRPr="000D2F8F">
        <w:rPr>
          <w:rFonts w:ascii="Times New Roman" w:hAnsi="Times New Roman" w:cs="Times New Roman"/>
          <w:b/>
          <w:bCs/>
          <w:sz w:val="20"/>
          <w:szCs w:val="20"/>
        </w:rPr>
        <w:t>BIOMARKERS OF EXPOSURE OR ANTECEDENT BIOMARKERS</w:t>
      </w:r>
    </w:p>
    <w:p w14:paraId="682792B8" w14:textId="7027B1D4" w:rsidR="002A6C23" w:rsidRPr="000D2F8F" w:rsidRDefault="002A6C23" w:rsidP="00084EEA">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 xml:space="preserve">Exposures to the environment, impact modifiers, or risk factors </w:t>
      </w:r>
      <w:proofErr w:type="gramStart"/>
      <w:r w:rsidRPr="000D2F8F">
        <w:rPr>
          <w:rFonts w:ascii="Times New Roman" w:hAnsi="Times New Roman" w:cs="Times New Roman"/>
          <w:sz w:val="20"/>
          <w:szCs w:val="20"/>
        </w:rPr>
        <w:t>When</w:t>
      </w:r>
      <w:proofErr w:type="gramEnd"/>
      <w:r w:rsidRPr="000D2F8F">
        <w:rPr>
          <w:rFonts w:ascii="Times New Roman" w:hAnsi="Times New Roman" w:cs="Times New Roman"/>
          <w:sz w:val="20"/>
          <w:szCs w:val="20"/>
        </w:rPr>
        <w:t xml:space="preserve"> an illness is suspected of being caused by a hazardous exposure, researchers naturally want to know how much exposure there was. The concentration of the poison in an individual's immediate environment is referred to as external exposure. While surveys provide a historical record of exposure, actual measurement of the suspected toxin in the air, water, soil, or food can provide precise information on the "dose" of exposure. The exterior dose measurement offers the foundation for understanding the link to the illness process, while the "internal" dose measurement may give higher precision. When a toxin is found in tissues or bodily fluids, it serves as a biomarker for the internal dosage. A biomarker that detects a "biologically effective dosage" reveals the quantity of toxin or chemical detected in the target organ or its surrogate. Lead exposure is a great example. Measurement of lead in the environment can reinforce a history of lead exposure, but blood and tissues provide the greatest indication of the dosage of exposure (hair, nails, </w:t>
      </w:r>
      <w:proofErr w:type="gramStart"/>
      <w:r w:rsidRPr="000D2F8F">
        <w:rPr>
          <w:rFonts w:ascii="Times New Roman" w:hAnsi="Times New Roman" w:cs="Times New Roman"/>
          <w:sz w:val="20"/>
          <w:szCs w:val="20"/>
        </w:rPr>
        <w:t>teeth</w:t>
      </w:r>
      <w:proofErr w:type="gramEnd"/>
      <w:r w:rsidRPr="000D2F8F">
        <w:rPr>
          <w:rFonts w:ascii="Times New Roman" w:hAnsi="Times New Roman" w:cs="Times New Roman"/>
          <w:sz w:val="20"/>
          <w:szCs w:val="20"/>
        </w:rPr>
        <w:t>). Because a variety of bodily fluids might be employed dependent on the pharmacologic qualities of the agent, the pharmacokinetic features of the toxin or chemical of interest become vital to consider when measuring the internal dosage. Some chemicals, like halogenated hydrocarbons, are stored in adipose tissue, but others, like organophosphate insecticides, are best tested in blood or urine</w:t>
      </w:r>
      <w:r w:rsidR="001A2DB9">
        <w:rPr>
          <w:rFonts w:ascii="Times New Roman" w:hAnsi="Times New Roman" w:cs="Times New Roman"/>
          <w:sz w:val="20"/>
          <w:szCs w:val="20"/>
        </w:rPr>
        <w:t xml:space="preserve"> [10]</w:t>
      </w:r>
      <w:r w:rsidRPr="000D2F8F">
        <w:rPr>
          <w:rFonts w:ascii="Times New Roman" w:hAnsi="Times New Roman" w:cs="Times New Roman"/>
          <w:sz w:val="20"/>
          <w:szCs w:val="20"/>
        </w:rPr>
        <w:t>.</w:t>
      </w:r>
    </w:p>
    <w:p w14:paraId="5A7916D4" w14:textId="4D56B141" w:rsidR="002A6C23" w:rsidRDefault="002A6C23"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A biomarker of exposure has an advantage over a history of exposure in that it predicts the actual "internal" dosage of the exposure. This enhances precision in risk factor measurement by including both internal and external validity when analysing the influence of exposure on outcome. Because of the pharmacologic features of the chemical or toxin, biomarkers are particularly relevant in the cross-sectional examination of acute illness. Finding biomarkers for exposures that are stable over the lengthy durations necessary for prospective investigations of chronic neurological disorders such as Alzheimer's disease is extremely challenging. Depending on the disease being studied and the pharmacologic properties of the biomarker, banked serum or plasma may be useful in some cases</w:t>
      </w:r>
      <w:r w:rsidR="001A2DB9">
        <w:rPr>
          <w:rFonts w:ascii="Times New Roman" w:hAnsi="Times New Roman" w:cs="Times New Roman"/>
          <w:sz w:val="20"/>
          <w:szCs w:val="20"/>
        </w:rPr>
        <w:t xml:space="preserve"> [10]</w:t>
      </w:r>
      <w:r w:rsidRPr="000D2F8F">
        <w:rPr>
          <w:rFonts w:ascii="Times New Roman" w:hAnsi="Times New Roman" w:cs="Times New Roman"/>
          <w:sz w:val="20"/>
          <w:szCs w:val="20"/>
        </w:rPr>
        <w:t>.</w:t>
      </w:r>
    </w:p>
    <w:p w14:paraId="6FD23751" w14:textId="77777777" w:rsidR="00CC582B" w:rsidRPr="000D2F8F" w:rsidRDefault="00CC582B" w:rsidP="00084EEA">
      <w:pPr>
        <w:spacing w:after="0" w:line="240" w:lineRule="auto"/>
        <w:jc w:val="both"/>
        <w:rPr>
          <w:rFonts w:ascii="Times New Roman" w:hAnsi="Times New Roman" w:cs="Times New Roman"/>
          <w:sz w:val="20"/>
          <w:szCs w:val="20"/>
        </w:rPr>
      </w:pPr>
    </w:p>
    <w:p w14:paraId="599B4125" w14:textId="47B7C375" w:rsidR="009E44FC" w:rsidRPr="000D2F8F" w:rsidRDefault="009E44FC"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 xml:space="preserve">Genetic susceptibility </w:t>
      </w:r>
    </w:p>
    <w:p w14:paraId="7ECFB825" w14:textId="16EE9CFF" w:rsidR="002A6C23" w:rsidRPr="000D2F8F" w:rsidRDefault="002A6C23"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Using life table methodologies and recurrence risk, epidemiologic analysis may investigate familial aggregation and estimate genetic and environmental factors to an illness. Gene mutations that cause Mendelian illness are often predictable. Variant alleles or polymorphisms in genes may be connected to vulnerability, although they are not deterministic. Most adult-onset degenerative nervous system illnesses are thought to be a combination of heritable and environmental factors. The characteristic or illness is formed by the associated combinations of these traits. As a result, these antecedent biomarkers may or may not be implicated in the pathogenesis. In certain cases, the genetic variation is neither required nor sufficient to induce the disease.</w:t>
      </w:r>
      <w:r w:rsidR="009E44FC" w:rsidRPr="000D2F8F">
        <w:rPr>
          <w:rFonts w:ascii="Times New Roman" w:hAnsi="Times New Roman" w:cs="Times New Roman"/>
          <w:sz w:val="20"/>
          <w:szCs w:val="20"/>
        </w:rPr>
        <w:t xml:space="preserve"> </w:t>
      </w:r>
      <w:r w:rsidRPr="000D2F8F">
        <w:rPr>
          <w:rFonts w:ascii="Times New Roman" w:hAnsi="Times New Roman" w:cs="Times New Roman"/>
          <w:sz w:val="20"/>
          <w:szCs w:val="20"/>
        </w:rPr>
        <w:t>They can, however, be potent antecedents at any step of the illness cascade. These antecedent biomarkers, by definition, exist before the disease or result and are unaffected by other exposures. They increase the precision of other associations' measurements since they might be synergistic or antagonistic</w:t>
      </w:r>
      <w:r w:rsidR="001A2DB9">
        <w:rPr>
          <w:rFonts w:ascii="Times New Roman" w:hAnsi="Times New Roman" w:cs="Times New Roman"/>
          <w:sz w:val="20"/>
          <w:szCs w:val="20"/>
        </w:rPr>
        <w:t xml:space="preserve"> [11]</w:t>
      </w:r>
      <w:r w:rsidRPr="000D2F8F">
        <w:rPr>
          <w:rFonts w:ascii="Times New Roman" w:hAnsi="Times New Roman" w:cs="Times New Roman"/>
          <w:sz w:val="20"/>
          <w:szCs w:val="20"/>
        </w:rPr>
        <w:t>.</w:t>
      </w:r>
    </w:p>
    <w:p w14:paraId="4779A3F5" w14:textId="77777777" w:rsidR="00CC582B" w:rsidRDefault="00CC582B" w:rsidP="00084EEA">
      <w:pPr>
        <w:spacing w:after="0" w:line="240" w:lineRule="auto"/>
        <w:jc w:val="both"/>
        <w:rPr>
          <w:rFonts w:ascii="Times New Roman" w:hAnsi="Times New Roman" w:cs="Times New Roman"/>
          <w:b/>
          <w:bCs/>
          <w:sz w:val="20"/>
          <w:szCs w:val="20"/>
        </w:rPr>
      </w:pPr>
    </w:p>
    <w:p w14:paraId="286A4A81" w14:textId="7F9663A5" w:rsidR="009E44FC" w:rsidRPr="000D2F8F" w:rsidRDefault="009E44FC"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 xml:space="preserve">Intermediate biomarkers </w:t>
      </w:r>
    </w:p>
    <w:p w14:paraId="4273E186" w14:textId="36F2CA51" w:rsidR="002A6C23" w:rsidRPr="000D2F8F" w:rsidRDefault="002A6C23"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Some biomarkers indicate direct steps in the illness's causative chain and are therefore highly associated to disease. Others are indirectly connected to the cause. There are several options to examine. To produce disease, a biomarker may be dependent on another known or unknown component. As a result, while it is not the lone determinant, it is part of the causation pathway and remains closely linked to the disease. The biomarker might potentially be connected to a previously known exposure or signify a modification produced by the exposure that results in the disease. The most dangerous condition is when the biomarker is linked to an unknown component that is also linked to the exposure</w:t>
      </w:r>
      <w:r w:rsidR="001A2DB9">
        <w:rPr>
          <w:rFonts w:ascii="Times New Roman" w:hAnsi="Times New Roman" w:cs="Times New Roman"/>
          <w:sz w:val="20"/>
          <w:szCs w:val="20"/>
        </w:rPr>
        <w:t xml:space="preserve"> [12]</w:t>
      </w:r>
      <w:r w:rsidRPr="000D2F8F">
        <w:rPr>
          <w:rFonts w:ascii="Times New Roman" w:hAnsi="Times New Roman" w:cs="Times New Roman"/>
          <w:sz w:val="20"/>
          <w:szCs w:val="20"/>
        </w:rPr>
        <w:t xml:space="preserve">. </w:t>
      </w:r>
    </w:p>
    <w:p w14:paraId="24F09965" w14:textId="2BAB26BF" w:rsidR="00B2352C" w:rsidRPr="000D2F8F" w:rsidRDefault="00CC582B" w:rsidP="00CC582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009F5E28">
        <w:rPr>
          <w:rFonts w:ascii="Times New Roman" w:hAnsi="Times New Roman" w:cs="Times New Roman"/>
          <w:b/>
          <w:bCs/>
          <w:sz w:val="20"/>
          <w:szCs w:val="20"/>
        </w:rPr>
        <w:t>ROLE OF BIOMARKERS IN DIAGNOSIS</w:t>
      </w:r>
    </w:p>
    <w:p w14:paraId="702E2294" w14:textId="77777777" w:rsidR="002A6C23" w:rsidRPr="000D2F8F" w:rsidRDefault="002A6C23"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Prognosis, screening, and diagnostic tests Biomarkers that represent prodromal signals allow for early diagnosis or the determination of the outcome of interest at a more primitive stage of disease. The biological information required for the diagnosis is provided by blood, urine, and cerebrospinal fluid. Biomarkers are employed as an indication of a biological element that indicates either a subclinical manifestation, stage of the disorder, or a surrogate manifestation of the disease in certain circumstances. Surrogate signs of the illness are frequently represented by biomarkers used for screening or diagnosis.</w:t>
      </w:r>
    </w:p>
    <w:p w14:paraId="0B3FCBFE" w14:textId="34F16C52" w:rsidR="00292C35" w:rsidRPr="000D2F8F" w:rsidRDefault="00B2352C"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The potential uses of this class of biomarkers include: </w:t>
      </w:r>
    </w:p>
    <w:p w14:paraId="683434E9" w14:textId="71C3C2A1" w:rsidR="00292C35" w:rsidRPr="000D2F8F" w:rsidRDefault="00B2352C"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1) </w:t>
      </w:r>
      <w:r w:rsidR="00292C35" w:rsidRPr="000D2F8F">
        <w:rPr>
          <w:rFonts w:ascii="Times New Roman" w:hAnsi="Times New Roman" w:cs="Times New Roman"/>
          <w:sz w:val="20"/>
          <w:szCs w:val="20"/>
        </w:rPr>
        <w:t>Identification</w:t>
      </w:r>
      <w:r w:rsidRPr="000D2F8F">
        <w:rPr>
          <w:rFonts w:ascii="Times New Roman" w:hAnsi="Times New Roman" w:cs="Times New Roman"/>
          <w:sz w:val="20"/>
          <w:szCs w:val="20"/>
        </w:rPr>
        <w:t xml:space="preserve"> of individuals destined to become affected or who are in the “preclinical” stages of the illness, </w:t>
      </w:r>
    </w:p>
    <w:p w14:paraId="3F0E53E0" w14:textId="664488D3" w:rsidR="00292C35" w:rsidRPr="000D2F8F" w:rsidRDefault="00B2352C"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2) </w:t>
      </w:r>
      <w:r w:rsidR="00292C35" w:rsidRPr="000D2F8F">
        <w:rPr>
          <w:rFonts w:ascii="Times New Roman" w:hAnsi="Times New Roman" w:cs="Times New Roman"/>
          <w:sz w:val="20"/>
          <w:szCs w:val="20"/>
        </w:rPr>
        <w:t>Reduction</w:t>
      </w:r>
      <w:r w:rsidRPr="000D2F8F">
        <w:rPr>
          <w:rFonts w:ascii="Times New Roman" w:hAnsi="Times New Roman" w:cs="Times New Roman"/>
          <w:sz w:val="20"/>
          <w:szCs w:val="20"/>
        </w:rPr>
        <w:t xml:space="preserve"> in disease heterogeneity in clinical trials or epidemiologic studies, </w:t>
      </w:r>
    </w:p>
    <w:p w14:paraId="21DF857B" w14:textId="77777777" w:rsidR="00292C35" w:rsidRPr="000D2F8F" w:rsidRDefault="00B2352C"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lastRenderedPageBreak/>
        <w:t xml:space="preserve">3) </w:t>
      </w:r>
      <w:r w:rsidR="00292C35" w:rsidRPr="000D2F8F">
        <w:rPr>
          <w:rFonts w:ascii="Times New Roman" w:hAnsi="Times New Roman" w:cs="Times New Roman"/>
          <w:sz w:val="20"/>
          <w:szCs w:val="20"/>
        </w:rPr>
        <w:t>Reflection</w:t>
      </w:r>
      <w:r w:rsidRPr="000D2F8F">
        <w:rPr>
          <w:rFonts w:ascii="Times New Roman" w:hAnsi="Times New Roman" w:cs="Times New Roman"/>
          <w:sz w:val="20"/>
          <w:szCs w:val="20"/>
        </w:rPr>
        <w:t xml:space="preserve"> of the natural history of disease encompassing the phases of induction, latency and detection, and </w:t>
      </w:r>
    </w:p>
    <w:p w14:paraId="2C969B11" w14:textId="601E2F17" w:rsidR="00292C35" w:rsidRPr="000D2F8F" w:rsidRDefault="00292C35"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4) T</w:t>
      </w:r>
      <w:r w:rsidR="00B2352C" w:rsidRPr="000D2F8F">
        <w:rPr>
          <w:rFonts w:ascii="Times New Roman" w:hAnsi="Times New Roman" w:cs="Times New Roman"/>
          <w:sz w:val="20"/>
          <w:szCs w:val="20"/>
        </w:rPr>
        <w:t>arget for a clinical trial. The improvement in validity and precision far outweigh the difficulty in obtaining such tissues from patients</w:t>
      </w:r>
      <w:r w:rsidR="001A2DB9">
        <w:rPr>
          <w:rFonts w:ascii="Times New Roman" w:hAnsi="Times New Roman" w:cs="Times New Roman"/>
          <w:sz w:val="20"/>
          <w:szCs w:val="20"/>
        </w:rPr>
        <w:t xml:space="preserve"> [13]</w:t>
      </w:r>
      <w:r w:rsidR="00B2352C" w:rsidRPr="000D2F8F">
        <w:rPr>
          <w:rFonts w:ascii="Times New Roman" w:hAnsi="Times New Roman" w:cs="Times New Roman"/>
          <w:sz w:val="20"/>
          <w:szCs w:val="20"/>
        </w:rPr>
        <w:t xml:space="preserve">. </w:t>
      </w:r>
    </w:p>
    <w:p w14:paraId="2354D9A3" w14:textId="134E2BC5" w:rsidR="00B2352C" w:rsidRPr="000D2F8F" w:rsidRDefault="002A6C23"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Most ethical review boards and healthcare systems mandate proper follow-up for persons who test positive, whether or not they have the condition. Treatment should also be offered for people who test positive, and it should be accessible and acceptable. Those who test positive and are sick should be given access to therapies, which must be appropriate and readily available. It is important to note that the major advantage of screening is prevention, either primary (before the development of symptoms) or secondary (early or prodromal identification). Consider the advantages of conducting a therapy trial in patients prior to the onset of overt symptoms. Diagnostic tests for neurological illnesses are increasingly being employed in clinical research and practise. The collecting of information from numerous sources, some of which include diagnostic test results, aids in the ultimate objective of enhancing the probability of a certain diagnosis. Clinical tests are also conducted, albeit probably less frequently, for other objectives such as measuring illness severity, predicting disease onset, or monitoring response to a specific therapy. More significantly, illness biomarkers lend themselves easily to clinical studies. Another advantage of this form of diagnostic test is that it reduces disease heterogeneity in clinical trials or observational epidemiologic research, leading to a better knowledge of illness's natural history, which includes the phases of induction, latency, and detection</w:t>
      </w:r>
      <w:r w:rsidR="001A2DB9">
        <w:rPr>
          <w:rFonts w:ascii="Times New Roman" w:hAnsi="Times New Roman" w:cs="Times New Roman"/>
          <w:sz w:val="20"/>
          <w:szCs w:val="20"/>
        </w:rPr>
        <w:t xml:space="preserve"> [13]</w:t>
      </w:r>
      <w:r w:rsidRPr="000D2F8F">
        <w:rPr>
          <w:rFonts w:ascii="Times New Roman" w:hAnsi="Times New Roman" w:cs="Times New Roman"/>
          <w:sz w:val="20"/>
          <w:szCs w:val="20"/>
        </w:rPr>
        <w:t>.</w:t>
      </w:r>
    </w:p>
    <w:p w14:paraId="07E9A3E6" w14:textId="77777777" w:rsidR="00CC582B" w:rsidRDefault="00CC582B" w:rsidP="00084EEA">
      <w:pPr>
        <w:spacing w:after="0" w:line="240" w:lineRule="auto"/>
        <w:jc w:val="both"/>
        <w:rPr>
          <w:rFonts w:ascii="Times New Roman" w:hAnsi="Times New Roman" w:cs="Times New Roman"/>
          <w:b/>
          <w:bCs/>
          <w:sz w:val="20"/>
          <w:szCs w:val="20"/>
        </w:rPr>
      </w:pPr>
    </w:p>
    <w:p w14:paraId="44680B44" w14:textId="3CBF09D9" w:rsidR="00B2352C" w:rsidRPr="000D2F8F" w:rsidRDefault="00B2352C"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V</w:t>
      </w:r>
      <w:r w:rsidR="00040209" w:rsidRPr="000D2F8F">
        <w:rPr>
          <w:rFonts w:ascii="Times New Roman" w:hAnsi="Times New Roman" w:cs="Times New Roman"/>
          <w:b/>
          <w:bCs/>
          <w:sz w:val="20"/>
          <w:szCs w:val="20"/>
        </w:rPr>
        <w:t>ariability</w:t>
      </w:r>
    </w:p>
    <w:p w14:paraId="601EDA79" w14:textId="614F42BE" w:rsidR="00093A77" w:rsidRPr="000D2F8F" w:rsidRDefault="00093A77"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 xml:space="preserve">Although there are various advantages to using biomarkers, unpredictability is a key problem. Variability exists regardless of whether the biomarker is an exposure or effect modifier, a disease surrogate, or an indicator of susceptibility. The quantity of an external exposure or the manner a suspected poison is metabolised can cause </w:t>
      </w:r>
      <w:proofErr w:type="spellStart"/>
      <w:r w:rsidRPr="000D2F8F">
        <w:rPr>
          <w:rFonts w:ascii="Times New Roman" w:hAnsi="Times New Roman" w:cs="Times New Roman"/>
          <w:sz w:val="20"/>
          <w:szCs w:val="20"/>
        </w:rPr>
        <w:t>interindividual</w:t>
      </w:r>
      <w:proofErr w:type="spellEnd"/>
      <w:r w:rsidRPr="000D2F8F">
        <w:rPr>
          <w:rFonts w:ascii="Times New Roman" w:hAnsi="Times New Roman" w:cs="Times New Roman"/>
          <w:sz w:val="20"/>
          <w:szCs w:val="20"/>
        </w:rPr>
        <w:t xml:space="preserve"> variations. Individuals exposed to the same chemical, for example, may differ in their aptitude (or inability) to metabolise the agent, or they may have had various sorts of exposures (in the field as compared with in the office). </w:t>
      </w:r>
      <w:proofErr w:type="spellStart"/>
      <w:r w:rsidRPr="000D2F8F">
        <w:rPr>
          <w:rFonts w:ascii="Times New Roman" w:hAnsi="Times New Roman" w:cs="Times New Roman"/>
          <w:sz w:val="20"/>
          <w:szCs w:val="20"/>
        </w:rPr>
        <w:t>Intraindividual</w:t>
      </w:r>
      <w:proofErr w:type="spellEnd"/>
      <w:r w:rsidRPr="000D2F8F">
        <w:rPr>
          <w:rFonts w:ascii="Times New Roman" w:hAnsi="Times New Roman" w:cs="Times New Roman"/>
          <w:sz w:val="20"/>
          <w:szCs w:val="20"/>
        </w:rPr>
        <w:t xml:space="preserve"> variability is typically associated with laboratory mistakes or other variables or exposures that are specific to the individual. Group variability occurs as well, however this is frequently the expected conclusion of a study. Obviously, it works best when group differences are significant. Nonetheless, sensitivity and specificity, or comparable variance estimates, are used to assess a biomarker's capacity to discriminate across groups. Consideration of the sources of variability in biomarker measurement reduces the possibility of exposure misclassification. While measurement error is always an issue with biomarkers, other variables may explain individual or group variability</w:t>
      </w:r>
      <w:r w:rsidR="001A2DB9">
        <w:rPr>
          <w:rFonts w:ascii="Times New Roman" w:hAnsi="Times New Roman" w:cs="Times New Roman"/>
          <w:sz w:val="20"/>
          <w:szCs w:val="20"/>
        </w:rPr>
        <w:t xml:space="preserve"> [14]</w:t>
      </w:r>
      <w:r w:rsidRPr="000D2F8F">
        <w:rPr>
          <w:rFonts w:ascii="Times New Roman" w:hAnsi="Times New Roman" w:cs="Times New Roman"/>
          <w:sz w:val="20"/>
          <w:szCs w:val="20"/>
        </w:rPr>
        <w:t>.</w:t>
      </w:r>
    </w:p>
    <w:p w14:paraId="3EC69685" w14:textId="77777777" w:rsidR="00CC582B" w:rsidRDefault="00CC582B" w:rsidP="00084EEA">
      <w:pPr>
        <w:spacing w:after="0" w:line="240" w:lineRule="auto"/>
        <w:jc w:val="both"/>
        <w:rPr>
          <w:rFonts w:ascii="Times New Roman" w:hAnsi="Times New Roman" w:cs="Times New Roman"/>
          <w:b/>
          <w:bCs/>
          <w:sz w:val="20"/>
          <w:szCs w:val="20"/>
        </w:rPr>
      </w:pPr>
    </w:p>
    <w:p w14:paraId="1630F406" w14:textId="4D5B3329" w:rsidR="000F0FD6" w:rsidRPr="000D2F8F" w:rsidRDefault="00B2352C"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V</w:t>
      </w:r>
      <w:r w:rsidR="00040209" w:rsidRPr="000D2F8F">
        <w:rPr>
          <w:rFonts w:ascii="Times New Roman" w:hAnsi="Times New Roman" w:cs="Times New Roman"/>
          <w:b/>
          <w:bCs/>
          <w:sz w:val="20"/>
          <w:szCs w:val="20"/>
        </w:rPr>
        <w:t>alidity</w:t>
      </w:r>
    </w:p>
    <w:p w14:paraId="49C881AC" w14:textId="4398887D" w:rsidR="00093A77" w:rsidRPr="000D2F8F" w:rsidRDefault="00093A77"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Precise numbers are appealing, but they are subject to the same issues as any variable. The reliability, validity, sensitivity, specificity, ascertainment bias, and interpretation of data employing biomarkers should be scrutinised in the same way that any other variable is. These issues persist regardless of whether the biomarker is employed as a variable in a clinical trial or an epidemiology investigation. Reliability and repeatability are critical</w:t>
      </w:r>
      <w:r w:rsidR="001A2DB9">
        <w:rPr>
          <w:rFonts w:ascii="Times New Roman" w:hAnsi="Times New Roman" w:cs="Times New Roman"/>
          <w:sz w:val="20"/>
          <w:szCs w:val="20"/>
        </w:rPr>
        <w:t xml:space="preserve"> [15]</w:t>
      </w:r>
      <w:r w:rsidRPr="000D2F8F">
        <w:rPr>
          <w:rFonts w:ascii="Times New Roman" w:hAnsi="Times New Roman" w:cs="Times New Roman"/>
          <w:sz w:val="20"/>
          <w:szCs w:val="20"/>
        </w:rPr>
        <w:t>.</w:t>
      </w:r>
    </w:p>
    <w:p w14:paraId="12B856C1" w14:textId="77777777" w:rsidR="00CC582B" w:rsidRDefault="00CC582B" w:rsidP="00084EEA">
      <w:pPr>
        <w:spacing w:after="0" w:line="240" w:lineRule="auto"/>
        <w:jc w:val="both"/>
        <w:rPr>
          <w:rFonts w:ascii="Times New Roman" w:hAnsi="Times New Roman" w:cs="Times New Roman"/>
          <w:b/>
          <w:bCs/>
          <w:sz w:val="20"/>
          <w:szCs w:val="20"/>
        </w:rPr>
      </w:pPr>
    </w:p>
    <w:p w14:paraId="792AC557" w14:textId="7A9DCC6C" w:rsidR="00AF4C2F" w:rsidRPr="000D2F8F" w:rsidRDefault="00AF4C2F"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 xml:space="preserve">Biomarkers for IEM </w:t>
      </w:r>
      <w:r w:rsidR="009F5E28">
        <w:rPr>
          <w:rFonts w:ascii="Times New Roman" w:hAnsi="Times New Roman" w:cs="Times New Roman"/>
          <w:b/>
          <w:bCs/>
          <w:sz w:val="20"/>
          <w:szCs w:val="20"/>
        </w:rPr>
        <w:t>(Inborn errors of metabolism)</w:t>
      </w:r>
    </w:p>
    <w:p w14:paraId="5F830F21" w14:textId="77777777" w:rsidR="00AF4C2F" w:rsidRPr="000D2F8F" w:rsidRDefault="00AF4C2F"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 xml:space="preserve">Biomarker is defined as an analyte or measurable disease feature that can be used to objectively quantify the presence, extent, and clinical progress of a disease. An ideal biomarker provides indirect assessment of disease activity and may assist in clinical management. A biomarker should be easily measurable in accessible clinical material. The levels should not vary significantly in the general population. Biomarker levels also should correlate with the disease progression and response to treatment. The preferred biomarkers also should have reliable and rapid measurement. Some of the biomarkers used for screening, diagnosis, and treatment monitoring. </w:t>
      </w:r>
    </w:p>
    <w:p w14:paraId="0ACF825D" w14:textId="77777777" w:rsidR="00AF4C2F" w:rsidRPr="000D2F8F" w:rsidRDefault="00AF4C2F"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Some of the Biomarkers Used for IEM Disease Biomarker(s) </w:t>
      </w:r>
    </w:p>
    <w:p w14:paraId="59E3935A" w14:textId="31AB9ED5" w:rsidR="006C07AA" w:rsidRPr="000D2F8F" w:rsidRDefault="00AF4C2F" w:rsidP="00084EEA">
      <w:pPr>
        <w:pStyle w:val="ListParagraph"/>
        <w:numPr>
          <w:ilvl w:val="0"/>
          <w:numId w:val="6"/>
        </w:numPr>
        <w:spacing w:after="0" w:line="240" w:lineRule="auto"/>
        <w:jc w:val="both"/>
        <w:rPr>
          <w:rFonts w:ascii="Times New Roman" w:hAnsi="Times New Roman" w:cs="Times New Roman"/>
          <w:sz w:val="20"/>
          <w:szCs w:val="20"/>
        </w:rPr>
      </w:pPr>
      <w:proofErr w:type="spellStart"/>
      <w:r w:rsidRPr="000D2F8F">
        <w:rPr>
          <w:rFonts w:ascii="Times New Roman" w:hAnsi="Times New Roman" w:cs="Times New Roman"/>
          <w:b/>
          <w:bCs/>
          <w:sz w:val="20"/>
          <w:szCs w:val="20"/>
        </w:rPr>
        <w:t>Gaucher</w:t>
      </w:r>
      <w:proofErr w:type="spellEnd"/>
      <w:r w:rsidRPr="000D2F8F">
        <w:rPr>
          <w:rFonts w:ascii="Times New Roman" w:hAnsi="Times New Roman" w:cs="Times New Roman"/>
          <w:b/>
          <w:bCs/>
          <w:sz w:val="20"/>
          <w:szCs w:val="20"/>
        </w:rPr>
        <w:t xml:space="preserve"> disease</w:t>
      </w:r>
      <w:r w:rsidRPr="000D2F8F">
        <w:rPr>
          <w:rFonts w:ascii="Times New Roman" w:hAnsi="Times New Roman" w:cs="Times New Roman"/>
          <w:sz w:val="20"/>
          <w:szCs w:val="20"/>
        </w:rPr>
        <w:t xml:space="preserve">: </w:t>
      </w:r>
      <w:proofErr w:type="spellStart"/>
      <w:r w:rsidRPr="000D2F8F">
        <w:rPr>
          <w:rFonts w:ascii="Times New Roman" w:hAnsi="Times New Roman" w:cs="Times New Roman"/>
          <w:sz w:val="20"/>
          <w:szCs w:val="20"/>
        </w:rPr>
        <w:t>ChitotriosidasePulmonary</w:t>
      </w:r>
      <w:proofErr w:type="spellEnd"/>
      <w:r w:rsidRPr="000D2F8F">
        <w:rPr>
          <w:rFonts w:ascii="Times New Roman" w:hAnsi="Times New Roman" w:cs="Times New Roman"/>
          <w:sz w:val="20"/>
          <w:szCs w:val="20"/>
        </w:rPr>
        <w:t xml:space="preserve"> and activation-regulated chemokine (PARC/CCL18)Macrophage inflammatory proteins (MIP-10and MIP-10)</w:t>
      </w:r>
    </w:p>
    <w:p w14:paraId="2D179CD4" w14:textId="6CF5D826" w:rsidR="00AF4C2F" w:rsidRPr="000D2F8F" w:rsidRDefault="00AF4C2F" w:rsidP="00084EEA">
      <w:pPr>
        <w:pStyle w:val="ListParagraph"/>
        <w:numPr>
          <w:ilvl w:val="0"/>
          <w:numId w:val="6"/>
        </w:numPr>
        <w:spacing w:after="0" w:line="240" w:lineRule="auto"/>
        <w:jc w:val="both"/>
        <w:rPr>
          <w:rFonts w:ascii="Times New Roman" w:hAnsi="Times New Roman" w:cs="Times New Roman"/>
          <w:sz w:val="20"/>
          <w:szCs w:val="20"/>
        </w:rPr>
      </w:pPr>
      <w:proofErr w:type="spellStart"/>
      <w:r w:rsidRPr="000D2F8F">
        <w:rPr>
          <w:rFonts w:ascii="Times New Roman" w:hAnsi="Times New Roman" w:cs="Times New Roman"/>
          <w:b/>
          <w:bCs/>
          <w:sz w:val="20"/>
          <w:szCs w:val="20"/>
        </w:rPr>
        <w:t>Fabry</w:t>
      </w:r>
      <w:proofErr w:type="spellEnd"/>
      <w:r w:rsidRPr="000D2F8F">
        <w:rPr>
          <w:rFonts w:ascii="Times New Roman" w:hAnsi="Times New Roman" w:cs="Times New Roman"/>
          <w:b/>
          <w:bCs/>
          <w:sz w:val="20"/>
          <w:szCs w:val="20"/>
        </w:rPr>
        <w:t xml:space="preserve"> disease</w:t>
      </w:r>
      <w:r w:rsidRPr="000D2F8F">
        <w:rPr>
          <w:rFonts w:ascii="Times New Roman" w:hAnsi="Times New Roman" w:cs="Times New Roman"/>
          <w:sz w:val="20"/>
          <w:szCs w:val="20"/>
        </w:rPr>
        <w:t xml:space="preserve">; </w:t>
      </w:r>
      <w:proofErr w:type="spellStart"/>
      <w:r w:rsidRPr="000D2F8F">
        <w:rPr>
          <w:rFonts w:ascii="Times New Roman" w:hAnsi="Times New Roman" w:cs="Times New Roman"/>
          <w:sz w:val="20"/>
          <w:szCs w:val="20"/>
        </w:rPr>
        <w:t>Globotriaosylceramide</w:t>
      </w:r>
      <w:proofErr w:type="spellEnd"/>
      <w:r w:rsidRPr="000D2F8F">
        <w:rPr>
          <w:rFonts w:ascii="Times New Roman" w:hAnsi="Times New Roman" w:cs="Times New Roman"/>
          <w:sz w:val="20"/>
          <w:szCs w:val="20"/>
        </w:rPr>
        <w:t xml:space="preserve"> (Gb3)</w:t>
      </w:r>
      <w:proofErr w:type="spellStart"/>
      <w:r w:rsidRPr="000D2F8F">
        <w:rPr>
          <w:rFonts w:ascii="Times New Roman" w:hAnsi="Times New Roman" w:cs="Times New Roman"/>
          <w:sz w:val="20"/>
          <w:szCs w:val="20"/>
        </w:rPr>
        <w:t>Globotriaosylsphingosine</w:t>
      </w:r>
      <w:proofErr w:type="spellEnd"/>
      <w:r w:rsidRPr="000D2F8F">
        <w:rPr>
          <w:rFonts w:ascii="Times New Roman" w:hAnsi="Times New Roman" w:cs="Times New Roman"/>
          <w:sz w:val="20"/>
          <w:szCs w:val="20"/>
        </w:rPr>
        <w:t xml:space="preserve"> (lysoGb3) </w:t>
      </w:r>
    </w:p>
    <w:p w14:paraId="1FF91DF5" w14:textId="298DAA81" w:rsidR="00AF4C2F" w:rsidRPr="000D2F8F" w:rsidRDefault="00AF4C2F" w:rsidP="00084EEA">
      <w:pPr>
        <w:pStyle w:val="ListParagraph"/>
        <w:numPr>
          <w:ilvl w:val="0"/>
          <w:numId w:val="6"/>
        </w:numPr>
        <w:spacing w:after="0" w:line="240" w:lineRule="auto"/>
        <w:jc w:val="both"/>
        <w:rPr>
          <w:rFonts w:ascii="Times New Roman" w:hAnsi="Times New Roman" w:cs="Times New Roman"/>
          <w:sz w:val="20"/>
          <w:szCs w:val="20"/>
        </w:rPr>
      </w:pPr>
      <w:proofErr w:type="spellStart"/>
      <w:r w:rsidRPr="000D2F8F">
        <w:rPr>
          <w:rFonts w:ascii="Times New Roman" w:hAnsi="Times New Roman" w:cs="Times New Roman"/>
          <w:b/>
          <w:bCs/>
          <w:sz w:val="20"/>
          <w:szCs w:val="20"/>
        </w:rPr>
        <w:t>Mucopolysaccharidoses</w:t>
      </w:r>
      <w:proofErr w:type="spellEnd"/>
      <w:r w:rsidRPr="000D2F8F">
        <w:rPr>
          <w:rFonts w:ascii="Times New Roman" w:hAnsi="Times New Roman" w:cs="Times New Roman"/>
          <w:b/>
          <w:bCs/>
          <w:sz w:val="20"/>
          <w:szCs w:val="20"/>
        </w:rPr>
        <w:t>:</w:t>
      </w:r>
      <w:r w:rsidRPr="000D2F8F">
        <w:rPr>
          <w:rFonts w:ascii="Times New Roman" w:hAnsi="Times New Roman" w:cs="Times New Roman"/>
          <w:sz w:val="20"/>
          <w:szCs w:val="20"/>
        </w:rPr>
        <w:t xml:space="preserve">  </w:t>
      </w:r>
      <w:proofErr w:type="spellStart"/>
      <w:r w:rsidRPr="000D2F8F">
        <w:rPr>
          <w:rFonts w:ascii="Times New Roman" w:hAnsi="Times New Roman" w:cs="Times New Roman"/>
          <w:sz w:val="20"/>
          <w:szCs w:val="20"/>
        </w:rPr>
        <w:t>GAGsHeparin</w:t>
      </w:r>
      <w:proofErr w:type="spellEnd"/>
      <w:r w:rsidRPr="000D2F8F">
        <w:rPr>
          <w:rFonts w:ascii="Times New Roman" w:hAnsi="Times New Roman" w:cs="Times New Roman"/>
          <w:sz w:val="20"/>
          <w:szCs w:val="20"/>
        </w:rPr>
        <w:t xml:space="preserve"> cofactor II thrombin (HCII-T) Serum dipeptidyl peptidase-IV (DPP-IV)</w:t>
      </w:r>
      <w:r w:rsidR="00E0605B">
        <w:rPr>
          <w:rFonts w:ascii="Times New Roman" w:hAnsi="Times New Roman" w:cs="Times New Roman"/>
          <w:sz w:val="20"/>
          <w:szCs w:val="20"/>
        </w:rPr>
        <w:t xml:space="preserve"> [16].</w:t>
      </w:r>
    </w:p>
    <w:p w14:paraId="7735EA2A" w14:textId="77777777" w:rsidR="00CC582B" w:rsidRDefault="00CC582B" w:rsidP="00084EEA">
      <w:pPr>
        <w:spacing w:after="0" w:line="240" w:lineRule="auto"/>
        <w:jc w:val="both"/>
        <w:rPr>
          <w:rFonts w:ascii="Times New Roman" w:hAnsi="Times New Roman" w:cs="Times New Roman"/>
          <w:b/>
          <w:bCs/>
          <w:sz w:val="20"/>
          <w:szCs w:val="20"/>
        </w:rPr>
      </w:pPr>
    </w:p>
    <w:p w14:paraId="6580BB98" w14:textId="7E93627A" w:rsidR="00203BED" w:rsidRPr="000D2F8F" w:rsidRDefault="009F5E28" w:rsidP="00084EEA">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Biological </w:t>
      </w:r>
      <w:r w:rsidRPr="009F5E28">
        <w:rPr>
          <w:rFonts w:ascii="Times New Roman" w:hAnsi="Times New Roman" w:cs="Times New Roman"/>
          <w:b/>
          <w:sz w:val="20"/>
          <w:szCs w:val="20"/>
        </w:rPr>
        <w:t>biomarkers</w:t>
      </w:r>
    </w:p>
    <w:p w14:paraId="051BFDB1" w14:textId="55CA6D80" w:rsidR="00203BED" w:rsidRPr="000D2F8F" w:rsidRDefault="00203BED"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Biomarkers of exposure can be divided in two subcategories: internal dose and biologically effective dose. Biomarkers of internal dose aim to determine the compound or its metabolites in tissues or body fluids such as blood, urine, breast milk, and saliva</w:t>
      </w:r>
      <w:r w:rsidR="00E0605B">
        <w:rPr>
          <w:rFonts w:ascii="Times New Roman" w:hAnsi="Times New Roman" w:cs="Times New Roman"/>
          <w:sz w:val="20"/>
          <w:szCs w:val="20"/>
        </w:rPr>
        <w:t xml:space="preserve"> [17]</w:t>
      </w:r>
      <w:r w:rsidRPr="000D2F8F">
        <w:rPr>
          <w:rFonts w:ascii="Times New Roman" w:hAnsi="Times New Roman" w:cs="Times New Roman"/>
          <w:sz w:val="20"/>
          <w:szCs w:val="20"/>
        </w:rPr>
        <w:t xml:space="preserve">. </w:t>
      </w:r>
    </w:p>
    <w:p w14:paraId="62BE364C" w14:textId="7BC0B5F7" w:rsidR="00AF4C2F" w:rsidRPr="000D2F8F" w:rsidRDefault="00203BED"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lastRenderedPageBreak/>
        <w:t xml:space="preserve">They can also give information on other sources of exposure to that compound and the existence of genetic polymorphisms for metabolic enzymes. Biomarkers of biologically effective dose assess the interaction of compounds with molecular targets such as DNA and protein receptors (e.g., measurement of DNA and protein adducts in urine and serum). Despite the presence of these adducts being readily measured, DNA adducts have become more popular and one of the most important biomarkers of exposure as their presence may be indicative of the risk associated with the exposure. Although biomarkers of exposure are highly relevant and specific indicators of an exposure, the information given does not necessarily translate into prediction of health consequence, and, therefore, other biomarkers need to be </w:t>
      </w:r>
      <w:proofErr w:type="spellStart"/>
      <w:r w:rsidRPr="000D2F8F">
        <w:rPr>
          <w:rFonts w:ascii="Times New Roman" w:hAnsi="Times New Roman" w:cs="Times New Roman"/>
          <w:sz w:val="20"/>
          <w:szCs w:val="20"/>
        </w:rPr>
        <w:t>analyzed</w:t>
      </w:r>
      <w:proofErr w:type="spellEnd"/>
      <w:r w:rsidR="00E0605B">
        <w:rPr>
          <w:rFonts w:ascii="Times New Roman" w:hAnsi="Times New Roman" w:cs="Times New Roman"/>
          <w:sz w:val="20"/>
          <w:szCs w:val="20"/>
        </w:rPr>
        <w:t xml:space="preserve"> [17]</w:t>
      </w:r>
      <w:r w:rsidRPr="000D2F8F">
        <w:rPr>
          <w:rFonts w:ascii="Times New Roman" w:hAnsi="Times New Roman" w:cs="Times New Roman"/>
          <w:sz w:val="20"/>
          <w:szCs w:val="20"/>
        </w:rPr>
        <w:t>.</w:t>
      </w:r>
    </w:p>
    <w:p w14:paraId="6B69C04A" w14:textId="77777777" w:rsidR="00CC582B" w:rsidRDefault="00CC582B" w:rsidP="00084EEA">
      <w:pPr>
        <w:spacing w:after="0" w:line="240" w:lineRule="auto"/>
        <w:jc w:val="both"/>
        <w:rPr>
          <w:rFonts w:ascii="Times New Roman" w:hAnsi="Times New Roman" w:cs="Times New Roman"/>
          <w:b/>
          <w:sz w:val="20"/>
          <w:szCs w:val="20"/>
        </w:rPr>
      </w:pPr>
    </w:p>
    <w:p w14:paraId="14C6F342" w14:textId="0783EEB8" w:rsidR="00203BED" w:rsidRPr="000D2F8F" w:rsidRDefault="00203BED" w:rsidP="00084EEA">
      <w:pPr>
        <w:spacing w:after="0" w:line="240" w:lineRule="auto"/>
        <w:jc w:val="both"/>
        <w:rPr>
          <w:rFonts w:ascii="Times New Roman" w:hAnsi="Times New Roman" w:cs="Times New Roman"/>
          <w:b/>
          <w:sz w:val="20"/>
          <w:szCs w:val="20"/>
        </w:rPr>
      </w:pPr>
      <w:r w:rsidRPr="000D2F8F">
        <w:rPr>
          <w:rFonts w:ascii="Times New Roman" w:hAnsi="Times New Roman" w:cs="Times New Roman"/>
          <w:b/>
          <w:sz w:val="20"/>
          <w:szCs w:val="20"/>
        </w:rPr>
        <w:t>Renal biomarkers</w:t>
      </w:r>
    </w:p>
    <w:p w14:paraId="6ADBFAC7" w14:textId="459878C6" w:rsidR="00292C35" w:rsidRPr="000D2F8F" w:rsidRDefault="00203BED"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The number of renal BMs has considerably increased in recent years, expanding from BMs or renal function such as blood urea nitrogen and creatinine, to Bristol Myers Squibb (BMS) of tubular health. These BMs may be assessed in the urine or in the blood.</w:t>
      </w:r>
      <w:r w:rsidR="00510F30" w:rsidRPr="000D2F8F">
        <w:rPr>
          <w:rFonts w:ascii="Times New Roman" w:hAnsi="Times New Roman" w:cs="Times New Roman"/>
          <w:sz w:val="20"/>
          <w:szCs w:val="20"/>
        </w:rPr>
        <w:t xml:space="preserve"> Urinary samples are typically collected overnight on Nalgene mini chiller blocks from animals in metabolism cages and stored frozen at −80°C. Parameters that are frequently evaluated in the urine include α-glutathione S transferase (</w:t>
      </w:r>
      <w:proofErr w:type="spellStart"/>
      <w:r w:rsidR="00510F30" w:rsidRPr="000D2F8F">
        <w:rPr>
          <w:rFonts w:ascii="Times New Roman" w:hAnsi="Times New Roman" w:cs="Times New Roman"/>
          <w:sz w:val="20"/>
          <w:szCs w:val="20"/>
        </w:rPr>
        <w:t>aGST</w:t>
      </w:r>
      <w:proofErr w:type="spellEnd"/>
      <w:r w:rsidR="00510F30" w:rsidRPr="000D2F8F">
        <w:rPr>
          <w:rFonts w:ascii="Times New Roman" w:hAnsi="Times New Roman" w:cs="Times New Roman"/>
          <w:sz w:val="20"/>
          <w:szCs w:val="20"/>
        </w:rPr>
        <w:t xml:space="preserve">), kidney injury molecule 1 (KIM1), lipocalin-2 (Lcn2; also named neutrophil gelatinase associated </w:t>
      </w:r>
      <w:proofErr w:type="spellStart"/>
      <w:r w:rsidR="00510F30" w:rsidRPr="000D2F8F">
        <w:rPr>
          <w:rFonts w:ascii="Times New Roman" w:hAnsi="Times New Roman" w:cs="Times New Roman"/>
          <w:sz w:val="20"/>
          <w:szCs w:val="20"/>
        </w:rPr>
        <w:t>lipocalin</w:t>
      </w:r>
      <w:proofErr w:type="spellEnd"/>
      <w:r w:rsidR="00510F30" w:rsidRPr="000D2F8F">
        <w:rPr>
          <w:rFonts w:ascii="Times New Roman" w:hAnsi="Times New Roman" w:cs="Times New Roman"/>
          <w:sz w:val="20"/>
          <w:szCs w:val="20"/>
        </w:rPr>
        <w:t xml:space="preserve">), micro-albumin, </w:t>
      </w:r>
      <w:proofErr w:type="spellStart"/>
      <w:r w:rsidR="00510F30" w:rsidRPr="000D2F8F">
        <w:rPr>
          <w:rFonts w:ascii="Times New Roman" w:hAnsi="Times New Roman" w:cs="Times New Roman"/>
          <w:sz w:val="20"/>
          <w:szCs w:val="20"/>
        </w:rPr>
        <w:t>osteopontin</w:t>
      </w:r>
      <w:proofErr w:type="spellEnd"/>
      <w:r w:rsidR="00510F30" w:rsidRPr="000D2F8F">
        <w:rPr>
          <w:rFonts w:ascii="Times New Roman" w:hAnsi="Times New Roman" w:cs="Times New Roman"/>
          <w:sz w:val="20"/>
          <w:szCs w:val="20"/>
        </w:rPr>
        <w:t xml:space="preserve"> (Spp1), </w:t>
      </w:r>
      <w:proofErr w:type="spellStart"/>
      <w:r w:rsidR="00510F30" w:rsidRPr="000D2F8F">
        <w:rPr>
          <w:rFonts w:ascii="Times New Roman" w:hAnsi="Times New Roman" w:cs="Times New Roman"/>
          <w:sz w:val="20"/>
          <w:szCs w:val="20"/>
        </w:rPr>
        <w:t>clusterin</w:t>
      </w:r>
      <w:proofErr w:type="spellEnd"/>
      <w:r w:rsidR="00510F30" w:rsidRPr="000D2F8F">
        <w:rPr>
          <w:rFonts w:ascii="Times New Roman" w:hAnsi="Times New Roman" w:cs="Times New Roman"/>
          <w:sz w:val="20"/>
          <w:szCs w:val="20"/>
        </w:rPr>
        <w:t xml:space="preserve"> (</w:t>
      </w:r>
      <w:proofErr w:type="spellStart"/>
      <w:proofErr w:type="gramStart"/>
      <w:r w:rsidR="00510F30" w:rsidRPr="000D2F8F">
        <w:rPr>
          <w:rFonts w:ascii="Times New Roman" w:hAnsi="Times New Roman" w:cs="Times New Roman"/>
          <w:sz w:val="20"/>
          <w:szCs w:val="20"/>
        </w:rPr>
        <w:t>Clu</w:t>
      </w:r>
      <w:proofErr w:type="spellEnd"/>
      <w:proofErr w:type="gramEnd"/>
      <w:r w:rsidR="00510F30" w:rsidRPr="000D2F8F">
        <w:rPr>
          <w:rFonts w:ascii="Times New Roman" w:hAnsi="Times New Roman" w:cs="Times New Roman"/>
          <w:sz w:val="20"/>
          <w:szCs w:val="20"/>
        </w:rPr>
        <w:t xml:space="preserve">), trefoil factor 3 (TFF3), and renal papillary </w:t>
      </w:r>
      <w:r w:rsidR="00E6778E" w:rsidRPr="000D2F8F">
        <w:rPr>
          <w:rFonts w:ascii="Times New Roman" w:hAnsi="Times New Roman" w:cs="Times New Roman"/>
          <w:sz w:val="20"/>
          <w:szCs w:val="20"/>
        </w:rPr>
        <w:t>antigen</w:t>
      </w:r>
      <w:r w:rsidR="00510F30" w:rsidRPr="000D2F8F">
        <w:rPr>
          <w:rFonts w:ascii="Times New Roman" w:hAnsi="Times New Roman" w:cs="Times New Roman"/>
          <w:sz w:val="20"/>
          <w:szCs w:val="20"/>
        </w:rPr>
        <w:t>. These can be detected with electro chemiluminescent assays</w:t>
      </w:r>
      <w:r w:rsidR="00E0605B">
        <w:rPr>
          <w:rFonts w:ascii="Times New Roman" w:hAnsi="Times New Roman" w:cs="Times New Roman"/>
          <w:sz w:val="20"/>
          <w:szCs w:val="20"/>
        </w:rPr>
        <w:t xml:space="preserve"> [18]</w:t>
      </w:r>
      <w:r w:rsidR="00510F30" w:rsidRPr="000D2F8F">
        <w:rPr>
          <w:rFonts w:ascii="Times New Roman" w:hAnsi="Times New Roman" w:cs="Times New Roman"/>
          <w:sz w:val="20"/>
          <w:szCs w:val="20"/>
        </w:rPr>
        <w:t>.</w:t>
      </w:r>
    </w:p>
    <w:p w14:paraId="099E5BBF" w14:textId="47C8158A" w:rsidR="00040209" w:rsidRPr="000D2F8F" w:rsidRDefault="00040209" w:rsidP="00CC582B">
      <w:pPr>
        <w:spacing w:after="0" w:line="240" w:lineRule="auto"/>
        <w:jc w:val="center"/>
        <w:rPr>
          <w:rFonts w:ascii="Times New Roman" w:hAnsi="Times New Roman" w:cs="Times New Roman"/>
          <w:sz w:val="20"/>
          <w:szCs w:val="20"/>
        </w:rPr>
      </w:pPr>
      <w:r w:rsidRPr="000D2F8F">
        <w:rPr>
          <w:rFonts w:ascii="Times New Roman" w:hAnsi="Times New Roman" w:cs="Times New Roman"/>
          <w:b/>
          <w:sz w:val="20"/>
          <w:szCs w:val="20"/>
        </w:rPr>
        <w:t>Table</w:t>
      </w:r>
      <w:r w:rsidR="0079091D" w:rsidRPr="000D2F8F">
        <w:rPr>
          <w:rFonts w:ascii="Times New Roman" w:hAnsi="Times New Roman" w:cs="Times New Roman"/>
          <w:b/>
          <w:sz w:val="20"/>
          <w:szCs w:val="20"/>
        </w:rPr>
        <w:t xml:space="preserve"> 2</w:t>
      </w:r>
      <w:r w:rsidRPr="000D2F8F">
        <w:rPr>
          <w:rFonts w:ascii="Times New Roman" w:hAnsi="Times New Roman" w:cs="Times New Roman"/>
          <w:sz w:val="20"/>
          <w:szCs w:val="20"/>
        </w:rPr>
        <w:t>: Biomarkers of urine for renal injury and disease</w:t>
      </w:r>
    </w:p>
    <w:tbl>
      <w:tblPr>
        <w:tblStyle w:val="PlainTable1"/>
        <w:tblW w:w="0" w:type="auto"/>
        <w:tblLook w:val="04A0" w:firstRow="1" w:lastRow="0" w:firstColumn="1" w:lastColumn="0" w:noHBand="0" w:noVBand="1"/>
      </w:tblPr>
      <w:tblGrid>
        <w:gridCol w:w="2547"/>
        <w:gridCol w:w="3402"/>
        <w:gridCol w:w="3401"/>
      </w:tblGrid>
      <w:tr w:rsidR="00E6778E" w:rsidRPr="000D2F8F" w14:paraId="36C115B0" w14:textId="77777777" w:rsidTr="00E67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9458AD" w14:textId="2B5C0DBB" w:rsidR="00E6778E" w:rsidRPr="000D2F8F" w:rsidRDefault="00E6778E" w:rsidP="00084EEA">
            <w:pPr>
              <w:jc w:val="center"/>
              <w:rPr>
                <w:rFonts w:ascii="Times New Roman" w:hAnsi="Times New Roman" w:cs="Times New Roman"/>
                <w:i/>
                <w:sz w:val="20"/>
                <w:szCs w:val="20"/>
              </w:rPr>
            </w:pPr>
            <w:r w:rsidRPr="000D2F8F">
              <w:rPr>
                <w:rFonts w:ascii="Times New Roman" w:hAnsi="Times New Roman" w:cs="Times New Roman"/>
                <w:i/>
                <w:sz w:val="20"/>
                <w:szCs w:val="20"/>
              </w:rPr>
              <w:t>Biomarkers</w:t>
            </w:r>
          </w:p>
        </w:tc>
        <w:tc>
          <w:tcPr>
            <w:tcW w:w="3402" w:type="dxa"/>
          </w:tcPr>
          <w:p w14:paraId="7C1AC7E6" w14:textId="05877D34" w:rsidR="00E6778E" w:rsidRPr="000D2F8F" w:rsidRDefault="00E6778E" w:rsidP="00084E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D2F8F">
              <w:rPr>
                <w:rFonts w:ascii="Times New Roman" w:hAnsi="Times New Roman" w:cs="Times New Roman"/>
                <w:i/>
                <w:sz w:val="20"/>
                <w:szCs w:val="20"/>
              </w:rPr>
              <w:t>Performance</w:t>
            </w:r>
          </w:p>
        </w:tc>
        <w:tc>
          <w:tcPr>
            <w:tcW w:w="3401" w:type="dxa"/>
          </w:tcPr>
          <w:p w14:paraId="2A73C7B4" w14:textId="64287CCE" w:rsidR="00E6778E" w:rsidRPr="000D2F8F" w:rsidRDefault="00E6778E" w:rsidP="00084E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D2F8F">
              <w:rPr>
                <w:rFonts w:ascii="Times New Roman" w:hAnsi="Times New Roman" w:cs="Times New Roman"/>
                <w:i/>
                <w:sz w:val="20"/>
                <w:szCs w:val="20"/>
              </w:rPr>
              <w:t>Lesions monitored</w:t>
            </w:r>
          </w:p>
        </w:tc>
      </w:tr>
      <w:tr w:rsidR="00E6778E" w:rsidRPr="000D2F8F" w14:paraId="0067D1CE" w14:textId="77777777" w:rsidTr="00E67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69DDDA" w14:textId="033409C3" w:rsidR="00E6778E" w:rsidRPr="000D2F8F" w:rsidRDefault="00E6778E" w:rsidP="00084EEA">
            <w:pPr>
              <w:jc w:val="center"/>
              <w:rPr>
                <w:rFonts w:ascii="Times New Roman" w:hAnsi="Times New Roman" w:cs="Times New Roman"/>
                <w:sz w:val="20"/>
                <w:szCs w:val="20"/>
              </w:rPr>
            </w:pPr>
            <w:r w:rsidRPr="000D2F8F">
              <w:rPr>
                <w:rFonts w:ascii="Times New Roman" w:hAnsi="Times New Roman" w:cs="Times New Roman"/>
                <w:sz w:val="20"/>
                <w:szCs w:val="20"/>
              </w:rPr>
              <w:t xml:space="preserve">K1M1, </w:t>
            </w:r>
            <w:proofErr w:type="spellStart"/>
            <w:r w:rsidRPr="000D2F8F">
              <w:rPr>
                <w:rFonts w:ascii="Times New Roman" w:hAnsi="Times New Roman" w:cs="Times New Roman"/>
                <w:sz w:val="20"/>
                <w:szCs w:val="20"/>
              </w:rPr>
              <w:t>Clu</w:t>
            </w:r>
            <w:proofErr w:type="spellEnd"/>
            <w:r w:rsidRPr="000D2F8F">
              <w:rPr>
                <w:rFonts w:ascii="Times New Roman" w:hAnsi="Times New Roman" w:cs="Times New Roman"/>
                <w:sz w:val="20"/>
                <w:szCs w:val="20"/>
              </w:rPr>
              <w:t>, Albumin</w:t>
            </w:r>
          </w:p>
        </w:tc>
        <w:tc>
          <w:tcPr>
            <w:tcW w:w="3402" w:type="dxa"/>
          </w:tcPr>
          <w:p w14:paraId="0070B0AB" w14:textId="6F23C254" w:rsidR="00E6778E" w:rsidRPr="000D2F8F" w:rsidRDefault="00E6778E"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 xml:space="preserve">Many individually outperform and add information to blood urea nitrogen (BUN) and </w:t>
            </w:r>
            <w:proofErr w:type="spellStart"/>
            <w:r w:rsidRPr="000D2F8F">
              <w:rPr>
                <w:rFonts w:ascii="Times New Roman" w:hAnsi="Times New Roman" w:cs="Times New Roman"/>
                <w:sz w:val="20"/>
                <w:szCs w:val="20"/>
              </w:rPr>
              <w:t>SCr</w:t>
            </w:r>
            <w:proofErr w:type="spellEnd"/>
          </w:p>
        </w:tc>
        <w:tc>
          <w:tcPr>
            <w:tcW w:w="3401" w:type="dxa"/>
          </w:tcPr>
          <w:p w14:paraId="7E3633A2" w14:textId="4641FA45" w:rsidR="00E6778E" w:rsidRPr="000D2F8F" w:rsidRDefault="00E6778E"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0D2F8F">
              <w:rPr>
                <w:rFonts w:ascii="Times New Roman" w:hAnsi="Times New Roman" w:cs="Times New Roman"/>
                <w:sz w:val="20"/>
                <w:szCs w:val="20"/>
              </w:rPr>
              <w:t>Acutev</w:t>
            </w:r>
            <w:proofErr w:type="spellEnd"/>
            <w:r w:rsidRPr="000D2F8F">
              <w:rPr>
                <w:rFonts w:ascii="Times New Roman" w:hAnsi="Times New Roman" w:cs="Times New Roman"/>
                <w:sz w:val="20"/>
                <w:szCs w:val="20"/>
              </w:rPr>
              <w:t xml:space="preserve"> kidney tubular alterations in rat</w:t>
            </w:r>
          </w:p>
        </w:tc>
      </w:tr>
      <w:tr w:rsidR="00E6778E" w:rsidRPr="000D2F8F" w14:paraId="1E81B12E" w14:textId="77777777" w:rsidTr="00E6778E">
        <w:tc>
          <w:tcPr>
            <w:cnfStyle w:val="001000000000" w:firstRow="0" w:lastRow="0" w:firstColumn="1" w:lastColumn="0" w:oddVBand="0" w:evenVBand="0" w:oddHBand="0" w:evenHBand="0" w:firstRowFirstColumn="0" w:firstRowLastColumn="0" w:lastRowFirstColumn="0" w:lastRowLastColumn="0"/>
            <w:tcW w:w="2547" w:type="dxa"/>
          </w:tcPr>
          <w:p w14:paraId="29E885E8" w14:textId="1E431310" w:rsidR="00E6778E" w:rsidRPr="000D2F8F" w:rsidRDefault="00E6778E" w:rsidP="00084EEA">
            <w:pPr>
              <w:jc w:val="center"/>
              <w:rPr>
                <w:rFonts w:ascii="Times New Roman" w:hAnsi="Times New Roman" w:cs="Times New Roman"/>
                <w:sz w:val="20"/>
                <w:szCs w:val="20"/>
              </w:rPr>
            </w:pPr>
            <w:r w:rsidRPr="000D2F8F">
              <w:rPr>
                <w:rFonts w:ascii="Times New Roman" w:hAnsi="Times New Roman" w:cs="Times New Roman"/>
                <w:sz w:val="20"/>
                <w:szCs w:val="20"/>
              </w:rPr>
              <w:t>Total protein, B2M, Cystatin C</w:t>
            </w:r>
          </w:p>
        </w:tc>
        <w:tc>
          <w:tcPr>
            <w:tcW w:w="3402" w:type="dxa"/>
          </w:tcPr>
          <w:p w14:paraId="5865E65B" w14:textId="7B206AD3" w:rsidR="00E6778E" w:rsidRPr="000D2F8F" w:rsidRDefault="00E6778E"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 xml:space="preserve">May individually outperform </w:t>
            </w:r>
            <w:proofErr w:type="spellStart"/>
            <w:r w:rsidRPr="000D2F8F">
              <w:rPr>
                <w:rFonts w:ascii="Times New Roman" w:hAnsi="Times New Roman" w:cs="Times New Roman"/>
                <w:sz w:val="20"/>
                <w:szCs w:val="20"/>
              </w:rPr>
              <w:t>SCr</w:t>
            </w:r>
            <w:proofErr w:type="spellEnd"/>
            <w:r w:rsidRPr="000D2F8F">
              <w:rPr>
                <w:rFonts w:ascii="Times New Roman" w:hAnsi="Times New Roman" w:cs="Times New Roman"/>
                <w:sz w:val="20"/>
                <w:szCs w:val="20"/>
              </w:rPr>
              <w:t xml:space="preserve"> assay and add information to BUN and </w:t>
            </w:r>
            <w:proofErr w:type="spellStart"/>
            <w:r w:rsidRPr="000D2F8F">
              <w:rPr>
                <w:rFonts w:ascii="Times New Roman" w:hAnsi="Times New Roman" w:cs="Times New Roman"/>
                <w:sz w:val="20"/>
                <w:szCs w:val="20"/>
              </w:rPr>
              <w:t>SCr</w:t>
            </w:r>
            <w:proofErr w:type="spellEnd"/>
            <w:r w:rsidRPr="000D2F8F">
              <w:rPr>
                <w:rFonts w:ascii="Times New Roman" w:hAnsi="Times New Roman" w:cs="Times New Roman"/>
                <w:sz w:val="20"/>
                <w:szCs w:val="20"/>
              </w:rPr>
              <w:t xml:space="preserve"> assays</w:t>
            </w:r>
          </w:p>
        </w:tc>
        <w:tc>
          <w:tcPr>
            <w:tcW w:w="3401" w:type="dxa"/>
          </w:tcPr>
          <w:p w14:paraId="58430773" w14:textId="3E00A3A8" w:rsidR="00E6778E" w:rsidRPr="000D2F8F" w:rsidRDefault="00E6778E"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 xml:space="preserve">Early diagnostic biomarkers in rat of acute drug- induced glomerular alterations or damage resulting in </w:t>
            </w:r>
            <w:proofErr w:type="spellStart"/>
            <w:r w:rsidRPr="000D2F8F">
              <w:rPr>
                <w:rFonts w:ascii="Times New Roman" w:hAnsi="Times New Roman" w:cs="Times New Roman"/>
                <w:sz w:val="20"/>
                <w:szCs w:val="20"/>
              </w:rPr>
              <w:t>impairement</w:t>
            </w:r>
            <w:proofErr w:type="spellEnd"/>
            <w:r w:rsidRPr="000D2F8F">
              <w:rPr>
                <w:rFonts w:ascii="Times New Roman" w:hAnsi="Times New Roman" w:cs="Times New Roman"/>
                <w:sz w:val="20"/>
                <w:szCs w:val="20"/>
              </w:rPr>
              <w:t xml:space="preserve"> of kidney tubular reabsorption</w:t>
            </w:r>
          </w:p>
        </w:tc>
      </w:tr>
      <w:tr w:rsidR="00E6778E" w:rsidRPr="000D2F8F" w14:paraId="1B67ADFB" w14:textId="77777777" w:rsidTr="00E67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76E27D" w14:textId="1D512B69" w:rsidR="00E6778E" w:rsidRPr="000D2F8F" w:rsidRDefault="00E6778E" w:rsidP="00084EEA">
            <w:pPr>
              <w:jc w:val="center"/>
              <w:rPr>
                <w:rFonts w:ascii="Times New Roman" w:hAnsi="Times New Roman" w:cs="Times New Roman"/>
                <w:sz w:val="20"/>
                <w:szCs w:val="20"/>
              </w:rPr>
            </w:pPr>
            <w:r w:rsidRPr="000D2F8F">
              <w:rPr>
                <w:rFonts w:ascii="Times New Roman" w:hAnsi="Times New Roman" w:cs="Times New Roman"/>
                <w:sz w:val="20"/>
                <w:szCs w:val="20"/>
              </w:rPr>
              <w:t>TFF3</w:t>
            </w:r>
          </w:p>
        </w:tc>
        <w:tc>
          <w:tcPr>
            <w:tcW w:w="3402" w:type="dxa"/>
          </w:tcPr>
          <w:p w14:paraId="1BDBB8C5" w14:textId="12F00CE0" w:rsidR="00E6778E" w:rsidRPr="000D2F8F" w:rsidRDefault="00E6778E"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 xml:space="preserve">Adds information to BUN and </w:t>
            </w:r>
            <w:proofErr w:type="spellStart"/>
            <w:r w:rsidRPr="000D2F8F">
              <w:rPr>
                <w:rFonts w:ascii="Times New Roman" w:hAnsi="Times New Roman" w:cs="Times New Roman"/>
                <w:sz w:val="20"/>
                <w:szCs w:val="20"/>
              </w:rPr>
              <w:t>SCr</w:t>
            </w:r>
            <w:proofErr w:type="spellEnd"/>
            <w:r w:rsidRPr="000D2F8F">
              <w:rPr>
                <w:rFonts w:ascii="Times New Roman" w:hAnsi="Times New Roman" w:cs="Times New Roman"/>
                <w:sz w:val="20"/>
                <w:szCs w:val="20"/>
              </w:rPr>
              <w:t xml:space="preserve"> assays in rat</w:t>
            </w:r>
          </w:p>
        </w:tc>
        <w:tc>
          <w:tcPr>
            <w:tcW w:w="3401" w:type="dxa"/>
          </w:tcPr>
          <w:p w14:paraId="574C0BA5" w14:textId="0B618BDD" w:rsidR="00E6778E" w:rsidRPr="000D2F8F" w:rsidRDefault="00E6778E"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D2F8F">
              <w:rPr>
                <w:rFonts w:ascii="Times New Roman" w:hAnsi="Times New Roman" w:cs="Times New Roman"/>
                <w:sz w:val="20"/>
                <w:szCs w:val="20"/>
              </w:rPr>
              <w:t>Drug- induced acute kidney tubular alterations</w:t>
            </w:r>
          </w:p>
        </w:tc>
      </w:tr>
    </w:tbl>
    <w:p w14:paraId="42DA2399" w14:textId="77777777" w:rsidR="00E6778E" w:rsidRPr="000D2F8F" w:rsidRDefault="00E6778E" w:rsidP="00084EEA">
      <w:pPr>
        <w:spacing w:after="0" w:line="240" w:lineRule="auto"/>
        <w:jc w:val="both"/>
        <w:rPr>
          <w:rFonts w:ascii="Times New Roman" w:hAnsi="Times New Roman" w:cs="Times New Roman"/>
          <w:sz w:val="20"/>
          <w:szCs w:val="20"/>
        </w:rPr>
      </w:pPr>
    </w:p>
    <w:p w14:paraId="2C423982" w14:textId="77777777" w:rsidR="00CC582B" w:rsidRDefault="00CC582B" w:rsidP="00084EEA">
      <w:pPr>
        <w:spacing w:after="0" w:line="240" w:lineRule="auto"/>
        <w:jc w:val="both"/>
        <w:rPr>
          <w:rFonts w:ascii="Times New Roman" w:hAnsi="Times New Roman" w:cs="Times New Roman"/>
          <w:b/>
          <w:bCs/>
          <w:sz w:val="20"/>
          <w:szCs w:val="20"/>
        </w:rPr>
      </w:pPr>
    </w:p>
    <w:p w14:paraId="16D02072" w14:textId="3DB6E37E" w:rsidR="00765303" w:rsidRPr="000D2F8F" w:rsidRDefault="00765303"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b/>
          <w:bCs/>
          <w:sz w:val="20"/>
          <w:szCs w:val="20"/>
        </w:rPr>
        <w:t>Hepatic Biomarkers</w:t>
      </w:r>
      <w:r w:rsidRPr="000D2F8F">
        <w:rPr>
          <w:rFonts w:ascii="Times New Roman" w:hAnsi="Times New Roman" w:cs="Times New Roman"/>
          <w:sz w:val="20"/>
          <w:szCs w:val="20"/>
        </w:rPr>
        <w:t xml:space="preserve"> </w:t>
      </w:r>
    </w:p>
    <w:p w14:paraId="1BA9FABB" w14:textId="77777777" w:rsidR="00684D02" w:rsidRDefault="00765303"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The evaluation of the liver function can be done using panels of BM evaluated</w:t>
      </w:r>
      <w:r w:rsidR="00A67CA0" w:rsidRPr="000D2F8F">
        <w:rPr>
          <w:rFonts w:ascii="Times New Roman" w:hAnsi="Times New Roman" w:cs="Times New Roman"/>
          <w:sz w:val="20"/>
          <w:szCs w:val="20"/>
        </w:rPr>
        <w:t xml:space="preserve"> in the serum</w:t>
      </w:r>
      <w:r w:rsidRPr="000D2F8F">
        <w:rPr>
          <w:rFonts w:ascii="Times New Roman" w:hAnsi="Times New Roman" w:cs="Times New Roman"/>
          <w:sz w:val="20"/>
          <w:szCs w:val="20"/>
        </w:rPr>
        <w:t>. Evaluation for specific types of liver histopathology by ROC analysis led to the identification of parameters considered as relevant markers of hepatic injury. Alanine aminotransferase (ALT), aspartate aminotransferase (AST), total bilirubin (</w:t>
      </w:r>
      <w:proofErr w:type="spellStart"/>
      <w:r w:rsidRPr="000D2F8F">
        <w:rPr>
          <w:rFonts w:ascii="Times New Roman" w:hAnsi="Times New Roman" w:cs="Times New Roman"/>
          <w:sz w:val="20"/>
          <w:szCs w:val="20"/>
        </w:rPr>
        <w:t>Tbili</w:t>
      </w:r>
      <w:proofErr w:type="spellEnd"/>
      <w:r w:rsidRPr="000D2F8F">
        <w:rPr>
          <w:rFonts w:ascii="Times New Roman" w:hAnsi="Times New Roman" w:cs="Times New Roman"/>
          <w:sz w:val="20"/>
          <w:szCs w:val="20"/>
        </w:rPr>
        <w:t>), and serum bile acids (SBA) have the greatest diagnostic utility for manifestations of hepatocellular necrosis and biliary injury, with comparable magnitude of area under the ROC curve and serum hepatobiliary marker changes for both. In the absence of hepatocellular necrosis, ALT increases were observed with biochemical or morphological evidence of cholestasis. After the challenge by hepato-toxicants (CHCl3 and CCl4) the activities of AST and ALT, marker enzymes for liver damage, were elevated remarkably</w:t>
      </w:r>
      <w:r w:rsidR="009F5E28">
        <w:rPr>
          <w:rFonts w:ascii="Times New Roman" w:hAnsi="Times New Roman" w:cs="Times New Roman"/>
          <w:sz w:val="20"/>
          <w:szCs w:val="20"/>
        </w:rPr>
        <w:t>. Serum biomarkers of liver effects are</w:t>
      </w:r>
      <w:r w:rsidR="00684D02">
        <w:rPr>
          <w:rFonts w:ascii="Times New Roman" w:hAnsi="Times New Roman" w:cs="Times New Roman"/>
          <w:sz w:val="20"/>
          <w:szCs w:val="20"/>
        </w:rPr>
        <w:t xml:space="preserve"> Alanine aminotransferase, Aspartate aminotransferase, Total bilirubin, Serum bile acids, Alkaline phosphatase, Gamma </w:t>
      </w:r>
      <w:proofErr w:type="spellStart"/>
      <w:r w:rsidR="00684D02">
        <w:rPr>
          <w:rFonts w:ascii="Times New Roman" w:hAnsi="Times New Roman" w:cs="Times New Roman"/>
          <w:sz w:val="20"/>
          <w:szCs w:val="20"/>
        </w:rPr>
        <w:t>glutamyl</w:t>
      </w:r>
      <w:proofErr w:type="spellEnd"/>
      <w:r w:rsidR="00684D02">
        <w:rPr>
          <w:rFonts w:ascii="Times New Roman" w:hAnsi="Times New Roman" w:cs="Times New Roman"/>
          <w:sz w:val="20"/>
          <w:szCs w:val="20"/>
        </w:rPr>
        <w:t xml:space="preserve"> transferase, Total cholesterol, Triglycerides, </w:t>
      </w:r>
      <w:proofErr w:type="spellStart"/>
      <w:r w:rsidR="00684D02">
        <w:rPr>
          <w:rFonts w:ascii="Times New Roman" w:hAnsi="Times New Roman" w:cs="Times New Roman"/>
          <w:sz w:val="20"/>
          <w:szCs w:val="20"/>
        </w:rPr>
        <w:t>Paraoxonase</w:t>
      </w:r>
      <w:proofErr w:type="spellEnd"/>
      <w:r w:rsidR="00684D02">
        <w:rPr>
          <w:rFonts w:ascii="Times New Roman" w:hAnsi="Times New Roman" w:cs="Times New Roman"/>
          <w:sz w:val="20"/>
          <w:szCs w:val="20"/>
        </w:rPr>
        <w:t xml:space="preserve">, Purine nucleotide phosphorylase, Glutamate dehydrogenase, Malate dehydrogenase, </w:t>
      </w:r>
      <w:r w:rsidR="00684D02" w:rsidRPr="00684D02">
        <w:rPr>
          <w:rFonts w:ascii="Times New Roman" w:hAnsi="Times New Roman" w:cs="Times New Roman"/>
          <w:sz w:val="20"/>
          <w:szCs w:val="20"/>
        </w:rPr>
        <w:t>miR-122</w:t>
      </w:r>
      <w:r w:rsidR="00684D02">
        <w:rPr>
          <w:rFonts w:ascii="Times New Roman" w:hAnsi="Times New Roman" w:cs="Times New Roman"/>
          <w:sz w:val="20"/>
          <w:szCs w:val="20"/>
        </w:rPr>
        <w:t xml:space="preserve"> </w:t>
      </w:r>
      <w:r w:rsidR="009F5E28">
        <w:rPr>
          <w:rFonts w:ascii="Times New Roman" w:hAnsi="Times New Roman" w:cs="Times New Roman"/>
          <w:sz w:val="20"/>
          <w:szCs w:val="20"/>
        </w:rPr>
        <w:t xml:space="preserve"> </w:t>
      </w:r>
      <w:r w:rsidR="00E0605B">
        <w:rPr>
          <w:rFonts w:ascii="Times New Roman" w:hAnsi="Times New Roman" w:cs="Times New Roman"/>
          <w:sz w:val="20"/>
          <w:szCs w:val="20"/>
        </w:rPr>
        <w:t xml:space="preserve"> [19]</w:t>
      </w:r>
      <w:r w:rsidRPr="000D2F8F">
        <w:rPr>
          <w:rFonts w:ascii="Times New Roman" w:hAnsi="Times New Roman" w:cs="Times New Roman"/>
          <w:sz w:val="20"/>
          <w:szCs w:val="20"/>
        </w:rPr>
        <w:t>.</w:t>
      </w:r>
    </w:p>
    <w:p w14:paraId="5D636C0D" w14:textId="77777777" w:rsidR="00CC582B" w:rsidRDefault="0079091D"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 xml:space="preserve"> </w:t>
      </w:r>
    </w:p>
    <w:p w14:paraId="169D5297" w14:textId="4A350B55" w:rsidR="00765303" w:rsidRPr="00684D02" w:rsidRDefault="00765303"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b/>
          <w:bCs/>
          <w:sz w:val="20"/>
          <w:szCs w:val="20"/>
        </w:rPr>
        <w:t xml:space="preserve">Cardiac Biomarkers </w:t>
      </w:r>
    </w:p>
    <w:p w14:paraId="795E8F01" w14:textId="1DA4DF58" w:rsidR="00765303" w:rsidRPr="000D2F8F" w:rsidRDefault="00765303"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Major steps forward have been made in the field of cardiac BMs in the past few years, and these have revolved primarily around identifying BMs of myocardial necrosis. This rapid progress in part is the result of the development of ultrasensitive assays for cardiac troponins</w:t>
      </w:r>
      <w:r w:rsidR="00474C40">
        <w:rPr>
          <w:rFonts w:ascii="Times New Roman" w:hAnsi="Times New Roman" w:cs="Times New Roman"/>
          <w:sz w:val="20"/>
          <w:szCs w:val="20"/>
        </w:rPr>
        <w:t xml:space="preserve"> </w:t>
      </w:r>
      <w:proofErr w:type="gramStart"/>
      <w:r w:rsidR="00474C40">
        <w:rPr>
          <w:rFonts w:ascii="Times New Roman" w:hAnsi="Times New Roman" w:cs="Times New Roman"/>
          <w:sz w:val="20"/>
          <w:szCs w:val="20"/>
        </w:rPr>
        <w:t>I</w:t>
      </w:r>
      <w:proofErr w:type="gramEnd"/>
      <w:r w:rsidR="00474C40">
        <w:rPr>
          <w:rFonts w:ascii="Times New Roman" w:hAnsi="Times New Roman" w:cs="Times New Roman"/>
          <w:sz w:val="20"/>
          <w:szCs w:val="20"/>
        </w:rPr>
        <w:t xml:space="preserve"> (</w:t>
      </w:r>
      <w:proofErr w:type="spellStart"/>
      <w:r w:rsidR="00474C40">
        <w:rPr>
          <w:rFonts w:ascii="Times New Roman" w:hAnsi="Times New Roman" w:cs="Times New Roman"/>
          <w:sz w:val="20"/>
          <w:szCs w:val="20"/>
        </w:rPr>
        <w:t>cTnI</w:t>
      </w:r>
      <w:proofErr w:type="spellEnd"/>
      <w:r w:rsidR="00474C40">
        <w:rPr>
          <w:rFonts w:ascii="Times New Roman" w:hAnsi="Times New Roman" w:cs="Times New Roman"/>
          <w:sz w:val="20"/>
          <w:szCs w:val="20"/>
        </w:rPr>
        <w:t>) and T (</w:t>
      </w:r>
      <w:proofErr w:type="spellStart"/>
      <w:r w:rsidR="00474C40">
        <w:rPr>
          <w:rFonts w:ascii="Times New Roman" w:hAnsi="Times New Roman" w:cs="Times New Roman"/>
          <w:sz w:val="20"/>
          <w:szCs w:val="20"/>
        </w:rPr>
        <w:t>cTnT</w:t>
      </w:r>
      <w:proofErr w:type="spellEnd"/>
      <w:r w:rsidR="00474C40">
        <w:rPr>
          <w:rFonts w:ascii="Times New Roman" w:hAnsi="Times New Roman" w:cs="Times New Roman"/>
          <w:sz w:val="20"/>
          <w:szCs w:val="20"/>
        </w:rPr>
        <w:t>)</w:t>
      </w:r>
      <w:r w:rsidRPr="000D2F8F">
        <w:rPr>
          <w:rFonts w:ascii="Times New Roman" w:hAnsi="Times New Roman" w:cs="Times New Roman"/>
          <w:sz w:val="20"/>
          <w:szCs w:val="20"/>
        </w:rPr>
        <w:t>. Cardiac troponins are parts of the contractile apparatus proteins, are specific to the heart, and increases in their serum concentrations were traditionally equated to myocardial necrosis</w:t>
      </w:r>
      <w:r w:rsidR="00E0605B">
        <w:rPr>
          <w:rFonts w:ascii="Times New Roman" w:hAnsi="Times New Roman" w:cs="Times New Roman"/>
          <w:sz w:val="20"/>
          <w:szCs w:val="20"/>
        </w:rPr>
        <w:t xml:space="preserve"> [20]</w:t>
      </w:r>
      <w:r w:rsidRPr="000D2F8F">
        <w:rPr>
          <w:rFonts w:ascii="Times New Roman" w:hAnsi="Times New Roman" w:cs="Times New Roman"/>
          <w:sz w:val="20"/>
          <w:szCs w:val="20"/>
        </w:rPr>
        <w:t>.</w:t>
      </w:r>
    </w:p>
    <w:p w14:paraId="4367A604" w14:textId="77777777" w:rsidR="00CC582B" w:rsidRDefault="00CC582B" w:rsidP="00084EEA">
      <w:pPr>
        <w:spacing w:after="0" w:line="240" w:lineRule="auto"/>
        <w:jc w:val="both"/>
        <w:rPr>
          <w:rFonts w:ascii="Times New Roman" w:hAnsi="Times New Roman" w:cs="Times New Roman"/>
          <w:b/>
          <w:bCs/>
          <w:sz w:val="20"/>
          <w:szCs w:val="20"/>
        </w:rPr>
      </w:pPr>
    </w:p>
    <w:p w14:paraId="47983E5E" w14:textId="0E3C8930" w:rsidR="00765303" w:rsidRPr="000D2F8F" w:rsidRDefault="00765303"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 xml:space="preserve">Skeletal Muscle </w:t>
      </w:r>
    </w:p>
    <w:p w14:paraId="4948A221" w14:textId="4CE98E95" w:rsidR="00765303" w:rsidRPr="000D2F8F" w:rsidRDefault="00765303"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Biomarkers A variety of drugs, including statins, PPAR-α agonists, steroids, and β-adrenergic receptor agonists, may</w:t>
      </w:r>
      <w:r w:rsidR="00474C40">
        <w:rPr>
          <w:rFonts w:ascii="Times New Roman" w:hAnsi="Times New Roman" w:cs="Times New Roman"/>
          <w:sz w:val="20"/>
          <w:szCs w:val="20"/>
        </w:rPr>
        <w:t xml:space="preserve"> cause muscle toxicity</w:t>
      </w:r>
      <w:r w:rsidRPr="000D2F8F">
        <w:rPr>
          <w:rFonts w:ascii="Times New Roman" w:hAnsi="Times New Roman" w:cs="Times New Roman"/>
          <w:sz w:val="20"/>
          <w:szCs w:val="20"/>
        </w:rPr>
        <w:t xml:space="preserve">. Such drug-induced skeletal muscle toxicity may result in serious liability, as illustrated by the withdrawal from the market of </w:t>
      </w:r>
      <w:proofErr w:type="spellStart"/>
      <w:r w:rsidRPr="000D2F8F">
        <w:rPr>
          <w:rFonts w:ascii="Times New Roman" w:hAnsi="Times New Roman" w:cs="Times New Roman"/>
          <w:sz w:val="20"/>
          <w:szCs w:val="20"/>
        </w:rPr>
        <w:t>cerivastatin</w:t>
      </w:r>
      <w:proofErr w:type="spellEnd"/>
      <w:r w:rsidRPr="000D2F8F">
        <w:rPr>
          <w:rFonts w:ascii="Times New Roman" w:hAnsi="Times New Roman" w:cs="Times New Roman"/>
          <w:sz w:val="20"/>
          <w:szCs w:val="20"/>
        </w:rPr>
        <w:t xml:space="preserve"> (</w:t>
      </w:r>
      <w:proofErr w:type="spellStart"/>
      <w:r w:rsidRPr="000D2F8F">
        <w:rPr>
          <w:rFonts w:ascii="Times New Roman" w:hAnsi="Times New Roman" w:cs="Times New Roman"/>
          <w:sz w:val="20"/>
          <w:szCs w:val="20"/>
        </w:rPr>
        <w:t>Baycol</w:t>
      </w:r>
      <w:proofErr w:type="spellEnd"/>
      <w:r w:rsidRPr="000D2F8F">
        <w:rPr>
          <w:rFonts w:ascii="Times New Roman" w:hAnsi="Times New Roman" w:cs="Times New Roman"/>
          <w:sz w:val="20"/>
          <w:szCs w:val="20"/>
        </w:rPr>
        <w:t>), the 3-hydroxy-3-methylglutaryl-coenzyme A (HMG-CoA) reductase inhibitor, after it was associated with 100 rha</w:t>
      </w:r>
      <w:r w:rsidR="00474C40">
        <w:rPr>
          <w:rFonts w:ascii="Times New Roman" w:hAnsi="Times New Roman" w:cs="Times New Roman"/>
          <w:sz w:val="20"/>
          <w:szCs w:val="20"/>
        </w:rPr>
        <w:t>bdomyolysis-related deaths</w:t>
      </w:r>
      <w:r w:rsidRPr="000D2F8F">
        <w:rPr>
          <w:rFonts w:ascii="Times New Roman" w:hAnsi="Times New Roman" w:cs="Times New Roman"/>
          <w:sz w:val="20"/>
          <w:szCs w:val="20"/>
        </w:rPr>
        <w:t xml:space="preserve">. Nonclinical </w:t>
      </w:r>
      <w:r w:rsidRPr="000D2F8F">
        <w:rPr>
          <w:rFonts w:ascii="Times New Roman" w:hAnsi="Times New Roman" w:cs="Times New Roman"/>
          <w:sz w:val="20"/>
          <w:szCs w:val="20"/>
        </w:rPr>
        <w:lastRenderedPageBreak/>
        <w:t>detection of skeletal muscle toxicity typically hinges on standard histopathological evaluation, supplemented by the assessment of serological BMs, including creatine kinase (CK), and AST</w:t>
      </w:r>
      <w:r w:rsidR="00E0605B">
        <w:rPr>
          <w:rFonts w:ascii="Times New Roman" w:hAnsi="Times New Roman" w:cs="Times New Roman"/>
          <w:sz w:val="20"/>
          <w:szCs w:val="20"/>
        </w:rPr>
        <w:t xml:space="preserve"> [21]</w:t>
      </w:r>
      <w:r w:rsidRPr="000D2F8F">
        <w:rPr>
          <w:rFonts w:ascii="Times New Roman" w:hAnsi="Times New Roman" w:cs="Times New Roman"/>
          <w:sz w:val="20"/>
          <w:szCs w:val="20"/>
        </w:rPr>
        <w:t>.</w:t>
      </w:r>
    </w:p>
    <w:p w14:paraId="20B5BE08" w14:textId="200AC731" w:rsidR="00765303" w:rsidRPr="000D2F8F" w:rsidRDefault="00CC582B" w:rsidP="00CC582B">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IX. </w:t>
      </w:r>
      <w:r w:rsidR="00684D02">
        <w:rPr>
          <w:rFonts w:ascii="Times New Roman" w:hAnsi="Times New Roman" w:cs="Times New Roman"/>
          <w:b/>
          <w:bCs/>
          <w:sz w:val="20"/>
          <w:szCs w:val="20"/>
        </w:rPr>
        <w:t>Advantages and disadvantages of biomarkers</w:t>
      </w:r>
    </w:p>
    <w:p w14:paraId="0C5E0482"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4957E071" w14:textId="21EC96B3" w:rsidR="00474C40" w:rsidRPr="00596124"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sidRPr="00596124">
        <w:rPr>
          <w:rFonts w:ascii="Times New Roman" w:hAnsi="Times New Roman" w:cs="Times New Roman"/>
          <w:b/>
          <w:sz w:val="20"/>
          <w:szCs w:val="20"/>
          <w:lang w:val="en"/>
        </w:rPr>
        <w:t>Implementation difficulties</w:t>
      </w:r>
    </w:p>
    <w:p w14:paraId="4B4A1EB3" w14:textId="55BEC3CF"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The use and spread of biomarkers within a brand-new healthcare paradigm could be transformational and alter how diseases are </w:t>
      </w:r>
      <w:proofErr w:type="spellStart"/>
      <w:r w:rsidRPr="003C4D4B">
        <w:rPr>
          <w:rFonts w:ascii="Times New Roman" w:hAnsi="Times New Roman" w:cs="Times New Roman"/>
          <w:sz w:val="20"/>
          <w:szCs w:val="20"/>
          <w:lang w:val="en"/>
        </w:rPr>
        <w:t>recognised</w:t>
      </w:r>
      <w:proofErr w:type="spellEnd"/>
      <w:r w:rsidRPr="003C4D4B">
        <w:rPr>
          <w:rFonts w:ascii="Times New Roman" w:hAnsi="Times New Roman" w:cs="Times New Roman"/>
          <w:sz w:val="20"/>
          <w:szCs w:val="20"/>
          <w:lang w:val="en"/>
        </w:rPr>
        <w:t xml:space="preserve"> and treated. However, there are a number of obstacles that must be overcome before </w:t>
      </w:r>
      <w:proofErr w:type="spellStart"/>
      <w:r w:rsidRPr="003C4D4B">
        <w:rPr>
          <w:rFonts w:ascii="Times New Roman" w:hAnsi="Times New Roman" w:cs="Times New Roman"/>
          <w:sz w:val="20"/>
          <w:szCs w:val="20"/>
          <w:lang w:val="en"/>
        </w:rPr>
        <w:t>personalised</w:t>
      </w:r>
      <w:proofErr w:type="spellEnd"/>
      <w:r w:rsidRPr="003C4D4B">
        <w:rPr>
          <w:rFonts w:ascii="Times New Roman" w:hAnsi="Times New Roman" w:cs="Times New Roman"/>
          <w:sz w:val="20"/>
          <w:szCs w:val="20"/>
          <w:lang w:val="en"/>
        </w:rPr>
        <w:t xml:space="preserve"> medicine may become a reality in the translation of biomarkers into clinical </w:t>
      </w:r>
      <w:proofErr w:type="spellStart"/>
      <w:r w:rsidRPr="003C4D4B">
        <w:rPr>
          <w:rFonts w:ascii="Times New Roman" w:hAnsi="Times New Roman" w:cs="Times New Roman"/>
          <w:sz w:val="20"/>
          <w:szCs w:val="20"/>
          <w:lang w:val="en"/>
        </w:rPr>
        <w:t>practise</w:t>
      </w:r>
      <w:proofErr w:type="spellEnd"/>
      <w:r w:rsidR="00324E70">
        <w:rPr>
          <w:rFonts w:ascii="Times New Roman" w:hAnsi="Times New Roman" w:cs="Times New Roman"/>
          <w:sz w:val="20"/>
          <w:szCs w:val="20"/>
          <w:lang w:val="en"/>
        </w:rPr>
        <w:t xml:space="preserve"> [22]</w:t>
      </w:r>
      <w:r w:rsidRPr="003C4D4B">
        <w:rPr>
          <w:rFonts w:ascii="Times New Roman" w:hAnsi="Times New Roman" w:cs="Times New Roman"/>
          <w:sz w:val="20"/>
          <w:szCs w:val="20"/>
          <w:lang w:val="en"/>
        </w:rPr>
        <w:t>:</w:t>
      </w:r>
    </w:p>
    <w:p w14:paraId="75889616"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1. The discovery of clinically useful molecular biomarkers. Data is being generated by genomic and related technologies and instruments more quickly than it can be </w:t>
      </w:r>
      <w:proofErr w:type="spellStart"/>
      <w:r w:rsidRPr="003C4D4B">
        <w:rPr>
          <w:rFonts w:ascii="Times New Roman" w:hAnsi="Times New Roman" w:cs="Times New Roman"/>
          <w:sz w:val="20"/>
          <w:szCs w:val="20"/>
          <w:lang w:val="en"/>
        </w:rPr>
        <w:t>analysed</w:t>
      </w:r>
      <w:proofErr w:type="spellEnd"/>
      <w:r w:rsidRPr="003C4D4B">
        <w:rPr>
          <w:rFonts w:ascii="Times New Roman" w:hAnsi="Times New Roman" w:cs="Times New Roman"/>
          <w:sz w:val="20"/>
          <w:szCs w:val="20"/>
          <w:lang w:val="en"/>
        </w:rPr>
        <w:t xml:space="preserve"> and translated for use in a clinical context. In fact, the hunt for novel molecular biomarkers is a very expensive and complex </w:t>
      </w:r>
      <w:proofErr w:type="spellStart"/>
      <w:r w:rsidRPr="003C4D4B">
        <w:rPr>
          <w:rFonts w:ascii="Times New Roman" w:hAnsi="Times New Roman" w:cs="Times New Roman"/>
          <w:sz w:val="20"/>
          <w:szCs w:val="20"/>
          <w:lang w:val="en"/>
        </w:rPr>
        <w:t>endeavour</w:t>
      </w:r>
      <w:proofErr w:type="spellEnd"/>
      <w:r w:rsidRPr="003C4D4B">
        <w:rPr>
          <w:rFonts w:ascii="Times New Roman" w:hAnsi="Times New Roman" w:cs="Times New Roman"/>
          <w:sz w:val="20"/>
          <w:szCs w:val="20"/>
          <w:lang w:val="en"/>
        </w:rPr>
        <w:t xml:space="preserve"> that frequently exceeds the capabilities of any one actor. Progress is nevertheless gradual and not as effective or efficient as it could be, despite the construction and </w:t>
      </w:r>
      <w:proofErr w:type="spellStart"/>
      <w:r w:rsidRPr="003C4D4B">
        <w:rPr>
          <w:rFonts w:ascii="Times New Roman" w:hAnsi="Times New Roman" w:cs="Times New Roman"/>
          <w:sz w:val="20"/>
          <w:szCs w:val="20"/>
          <w:lang w:val="en"/>
        </w:rPr>
        <w:t>organisation</w:t>
      </w:r>
      <w:proofErr w:type="spellEnd"/>
      <w:r w:rsidRPr="003C4D4B">
        <w:rPr>
          <w:rFonts w:ascii="Times New Roman" w:hAnsi="Times New Roman" w:cs="Times New Roman"/>
          <w:sz w:val="20"/>
          <w:szCs w:val="20"/>
          <w:lang w:val="en"/>
        </w:rPr>
        <w:t xml:space="preserve"> of massive infrastructures set up to gather and share knowledge to stimulate biomarker discovery and validation.</w:t>
      </w:r>
    </w:p>
    <w:p w14:paraId="13F2BAC3"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2. Demonstrating the clinical value and validity of tests based on biomarkers. Evidence of the biomarker's clinical validity and utility will be needed before biomarker-based testing can be used in the clinical context. This is critical to ensure regulatory approval and adequate remuneration for the test, as well as to assist physicians in making decisions within the context of evidence-based medicine. But gathering the information required to demonstrate clinical validity and utility can be a time-consuming and expensive procedure that is made more challenging by the absence of standards.</w:t>
      </w:r>
    </w:p>
    <w:p w14:paraId="61F38C8D"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3. Ineffective regulatory and payment frameworks. The regulatory and reimbursement processes in the majority of OECD nations are not well suited to deal with this new wave of molecular biomarker-based diagnostic tests. Modern biomarker-based diagnostics that produce complex data needing in-depth analysis and interpretation are not well adapted to the regulatory systems now in place because they were designed around simple diagnostic tests. Furthermore, present reimbursement procedures may not accurately account for the testing's complexity or its importance to the healthcare system. The adoption of these technologies in the clinical arena may be hampered by inadequately designed regulatory and reimbursement systems, which may also serve as a deterrent to further biomarker research.</w:t>
      </w:r>
    </w:p>
    <w:p w14:paraId="5763E286"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4. Modifying the clinic's use of evidence-based medicine. The medical community may be reluctant to adopt or make use of novel clinical testing. The test's information must be understood by doctors so they can know how to use it in their decision-making. Patients must understand how new tests can help them and the ramifications of the new knowledge they may reveal. Like other genetic tests, biomarker-based assays have a variety of privacy concerns that must be resolved. The ease with which tests can be incorporated into doctors' current </w:t>
      </w:r>
      <w:proofErr w:type="spellStart"/>
      <w:r w:rsidRPr="003C4D4B">
        <w:rPr>
          <w:rFonts w:ascii="Times New Roman" w:hAnsi="Times New Roman" w:cs="Times New Roman"/>
          <w:sz w:val="20"/>
          <w:szCs w:val="20"/>
          <w:lang w:val="en"/>
        </w:rPr>
        <w:t>practises</w:t>
      </w:r>
      <w:proofErr w:type="spellEnd"/>
      <w:r w:rsidRPr="003C4D4B">
        <w:rPr>
          <w:rFonts w:ascii="Times New Roman" w:hAnsi="Times New Roman" w:cs="Times New Roman"/>
          <w:sz w:val="20"/>
          <w:szCs w:val="20"/>
          <w:lang w:val="en"/>
        </w:rPr>
        <w:t xml:space="preserve"> will also be reflected in their uptake in the clinical setting.</w:t>
      </w:r>
    </w:p>
    <w:p w14:paraId="2DF61EB3" w14:textId="20F4DBAB" w:rsidR="00474C40"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5. The absence of suitable business models. For innovations to proceed into the market arena successfully, there must be workable business models. The same is true for the introduction of innovations based on biomarkers in the medical field</w:t>
      </w:r>
      <w:r w:rsidR="00E0605B">
        <w:rPr>
          <w:rFonts w:ascii="Times New Roman" w:hAnsi="Times New Roman" w:cs="Times New Roman"/>
          <w:sz w:val="20"/>
          <w:szCs w:val="20"/>
          <w:lang w:val="en"/>
        </w:rPr>
        <w:t xml:space="preserve"> [22]</w:t>
      </w:r>
      <w:r w:rsidRPr="003C4D4B">
        <w:rPr>
          <w:rFonts w:ascii="Times New Roman" w:hAnsi="Times New Roman" w:cs="Times New Roman"/>
          <w:sz w:val="20"/>
          <w:szCs w:val="20"/>
          <w:lang w:val="en"/>
        </w:rPr>
        <w:t xml:space="preserve">. </w:t>
      </w:r>
    </w:p>
    <w:p w14:paraId="560481B5" w14:textId="77777777"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Depending on how you look at it, novel molecular biomarkers may be able to </w:t>
      </w:r>
      <w:proofErr w:type="spellStart"/>
      <w:r w:rsidRPr="003C4D4B">
        <w:rPr>
          <w:rFonts w:ascii="Times New Roman" w:hAnsi="Times New Roman" w:cs="Times New Roman"/>
          <w:sz w:val="20"/>
          <w:szCs w:val="20"/>
          <w:lang w:val="en"/>
        </w:rPr>
        <w:t>revitalise</w:t>
      </w:r>
      <w:proofErr w:type="spellEnd"/>
      <w:r w:rsidRPr="003C4D4B">
        <w:rPr>
          <w:rFonts w:ascii="Times New Roman" w:hAnsi="Times New Roman" w:cs="Times New Roman"/>
          <w:sz w:val="20"/>
          <w:szCs w:val="20"/>
          <w:lang w:val="en"/>
        </w:rPr>
        <w:t xml:space="preserve"> the diagnostic sector, which has been pretty stagnant. However, it is urgent to find workable business plans to promote the creation and commercialization of diagnostic tests based on biomarkers.</w:t>
      </w:r>
    </w:p>
    <w:p w14:paraId="05F0DDF1"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By enabling a more precise description of the target group that has the highest potential for a benefit and the lowest risk to experience unintended side responses, biomarkers aid in the development of medicines. This reduces healthcare spending and offers justification for reimbursement contracts. Overall, the proper use of biomarkers has the potential to dramatically speed up the approval process, </w:t>
      </w:r>
      <w:proofErr w:type="spellStart"/>
      <w:r w:rsidRPr="003C4D4B">
        <w:rPr>
          <w:rFonts w:ascii="Times New Roman" w:hAnsi="Times New Roman" w:cs="Times New Roman"/>
          <w:sz w:val="20"/>
          <w:szCs w:val="20"/>
          <w:lang w:val="en"/>
        </w:rPr>
        <w:t>minimise</w:t>
      </w:r>
      <w:proofErr w:type="spellEnd"/>
      <w:r w:rsidRPr="003C4D4B">
        <w:rPr>
          <w:rFonts w:ascii="Times New Roman" w:hAnsi="Times New Roman" w:cs="Times New Roman"/>
          <w:sz w:val="20"/>
          <w:szCs w:val="20"/>
          <w:lang w:val="en"/>
        </w:rPr>
        <w:t xml:space="preserve"> development costs, and improve the quality and safety of a medicine.</w:t>
      </w:r>
    </w:p>
    <w:p w14:paraId="047F0A38" w14:textId="77777777" w:rsidR="00474C40"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The development of biomarkers, however, is fraught with difficulties, including the following: </w:t>
      </w:r>
    </w:p>
    <w:p w14:paraId="18B7CB81" w14:textId="77777777" w:rsidR="00474C40" w:rsidRPr="003C4D4B"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The scientific basis for some biomarkers cannot always be verified, creating difficulties for biomarker certification and validation in the future. Additionally, it is important to </w:t>
      </w:r>
      <w:proofErr w:type="spellStart"/>
      <w:r w:rsidRPr="003C4D4B">
        <w:rPr>
          <w:rFonts w:ascii="Times New Roman" w:hAnsi="Times New Roman" w:cs="Times New Roman"/>
          <w:sz w:val="20"/>
          <w:szCs w:val="20"/>
          <w:lang w:val="en"/>
        </w:rPr>
        <w:t>minimise</w:t>
      </w:r>
      <w:proofErr w:type="spellEnd"/>
      <w:r w:rsidRPr="003C4D4B">
        <w:rPr>
          <w:rFonts w:ascii="Times New Roman" w:hAnsi="Times New Roman" w:cs="Times New Roman"/>
          <w:sz w:val="20"/>
          <w:szCs w:val="20"/>
          <w:lang w:val="en"/>
        </w:rPr>
        <w:t xml:space="preserve"> misinterpretations of biomarker data and incorrect associations between a biomarker and a disease.</w:t>
      </w:r>
    </w:p>
    <w:p w14:paraId="5E06E070" w14:textId="77777777" w:rsidR="00474C40"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Development costs for biomarkers could rise as a result of more extensive clinical trials or extra testing requirements. Additionally, it is common for commercial drug companies to be reluctant to spend upfront in biomarkers and to release biomarkers dat</w:t>
      </w:r>
      <w:r>
        <w:rPr>
          <w:rFonts w:ascii="Times New Roman" w:hAnsi="Times New Roman" w:cs="Times New Roman"/>
          <w:sz w:val="20"/>
          <w:szCs w:val="20"/>
          <w:lang w:val="en"/>
        </w:rPr>
        <w:t xml:space="preserve">a into the open market. </w:t>
      </w:r>
    </w:p>
    <w:p w14:paraId="48DD1AF4" w14:textId="77777777" w:rsidR="00474C40"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The development and certification of biomarkers is often labor- and resource-intensive. </w:t>
      </w:r>
    </w:p>
    <w:p w14:paraId="655FDC8D" w14:textId="77777777" w:rsidR="00474C40" w:rsidRPr="003C4D4B"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For qualification purposes, more convincing evidence of a </w:t>
      </w:r>
      <w:proofErr w:type="spellStart"/>
      <w:r w:rsidRPr="003C4D4B">
        <w:rPr>
          <w:rFonts w:ascii="Times New Roman" w:hAnsi="Times New Roman" w:cs="Times New Roman"/>
          <w:sz w:val="20"/>
          <w:szCs w:val="20"/>
          <w:lang w:val="en"/>
        </w:rPr>
        <w:t>favourable</w:t>
      </w:r>
      <w:proofErr w:type="spellEnd"/>
      <w:r w:rsidRPr="003C4D4B">
        <w:rPr>
          <w:rFonts w:ascii="Times New Roman" w:hAnsi="Times New Roman" w:cs="Times New Roman"/>
          <w:sz w:val="20"/>
          <w:szCs w:val="20"/>
          <w:lang w:val="en"/>
        </w:rPr>
        <w:t xml:space="preserve"> benefit-risk analysis is typically needed than for an assessment as part of a regulatory clearance for a single medicine. This explains why academic groups and consortia, as opposed to lone commercial drug producers, more frequently pursue biomarker certifications </w:t>
      </w:r>
      <w:r w:rsidRPr="003C4D4B">
        <w:rPr>
          <w:rFonts w:ascii="Times New Roman" w:hAnsi="Times New Roman" w:cs="Times New Roman"/>
          <w:sz w:val="20"/>
          <w:szCs w:val="20"/>
          <w:lang w:val="en"/>
        </w:rPr>
        <w:lastRenderedPageBreak/>
        <w:t>from the EMA and FDA.</w:t>
      </w:r>
    </w:p>
    <w:p w14:paraId="299D0C3A" w14:textId="77777777" w:rsidR="00474C40" w:rsidRPr="003C4D4B"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For the development of "</w:t>
      </w:r>
      <w:proofErr w:type="spellStart"/>
      <w:r w:rsidRPr="003C4D4B">
        <w:rPr>
          <w:rFonts w:ascii="Times New Roman" w:hAnsi="Times New Roman" w:cs="Times New Roman"/>
          <w:sz w:val="20"/>
          <w:szCs w:val="20"/>
          <w:lang w:val="en"/>
        </w:rPr>
        <w:t>personalised</w:t>
      </w:r>
      <w:proofErr w:type="spellEnd"/>
      <w:r w:rsidRPr="003C4D4B">
        <w:rPr>
          <w:rFonts w:ascii="Times New Roman" w:hAnsi="Times New Roman" w:cs="Times New Roman"/>
          <w:sz w:val="20"/>
          <w:szCs w:val="20"/>
          <w:lang w:val="en"/>
        </w:rPr>
        <w:t xml:space="preserve"> pharmaceuticals," early population-related strategy decisions are necessary to ensure that a smaller group of eligible patients will still be able to earn a profit.</w:t>
      </w:r>
    </w:p>
    <w:p w14:paraId="08EAE258" w14:textId="6954C947" w:rsidR="00474C40" w:rsidRPr="003C4D4B"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Collaborations between industry, private </w:t>
      </w:r>
      <w:proofErr w:type="spellStart"/>
      <w:r w:rsidRPr="003C4D4B">
        <w:rPr>
          <w:rFonts w:ascii="Times New Roman" w:hAnsi="Times New Roman" w:cs="Times New Roman"/>
          <w:sz w:val="20"/>
          <w:szCs w:val="20"/>
          <w:lang w:val="en"/>
        </w:rPr>
        <w:t>organisations</w:t>
      </w:r>
      <w:proofErr w:type="spellEnd"/>
      <w:r w:rsidRPr="003C4D4B">
        <w:rPr>
          <w:rFonts w:ascii="Times New Roman" w:hAnsi="Times New Roman" w:cs="Times New Roman"/>
          <w:sz w:val="20"/>
          <w:szCs w:val="20"/>
          <w:lang w:val="en"/>
        </w:rPr>
        <w:t>, academic institutions, and regulatory bodies are what drive the ongoing growth of the biomarker scientific and regulatory landscape. The acceptance of biomarkers has recently increased in the US and EU as a result of these cooperation. The acceptance of biomarkers is anticipated to increase further in the near future</w:t>
      </w:r>
      <w:r w:rsidR="00324E70">
        <w:rPr>
          <w:rFonts w:ascii="Times New Roman" w:hAnsi="Times New Roman" w:cs="Times New Roman"/>
          <w:sz w:val="20"/>
          <w:szCs w:val="20"/>
          <w:lang w:val="en"/>
        </w:rPr>
        <w:t xml:space="preserve"> [24]</w:t>
      </w:r>
      <w:r w:rsidRPr="003C4D4B">
        <w:rPr>
          <w:rFonts w:ascii="Times New Roman" w:hAnsi="Times New Roman" w:cs="Times New Roman"/>
          <w:sz w:val="20"/>
          <w:szCs w:val="20"/>
          <w:lang w:val="en"/>
        </w:rPr>
        <w:t>.</w:t>
      </w:r>
    </w:p>
    <w:p w14:paraId="7B9D82CE"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35F9F235" w14:textId="1E53457D"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b/>
          <w:bCs/>
          <w:sz w:val="20"/>
          <w:szCs w:val="20"/>
          <w:lang w:val="en"/>
        </w:rPr>
      </w:pPr>
      <w:r w:rsidRPr="00596124">
        <w:rPr>
          <w:rFonts w:ascii="Times New Roman" w:hAnsi="Times New Roman" w:cs="Times New Roman"/>
          <w:b/>
          <w:bCs/>
          <w:sz w:val="20"/>
          <w:szCs w:val="20"/>
          <w:lang w:val="en"/>
        </w:rPr>
        <w:t>Using</w:t>
      </w:r>
      <w:r w:rsidRPr="003C4D4B">
        <w:rPr>
          <w:rFonts w:ascii="Times New Roman" w:hAnsi="Times New Roman" w:cs="Times New Roman"/>
          <w:b/>
          <w:bCs/>
          <w:sz w:val="20"/>
          <w:szCs w:val="20"/>
          <w:lang w:val="en"/>
        </w:rPr>
        <w:t xml:space="preserve"> biomarkers to their full potential</w:t>
      </w:r>
    </w:p>
    <w:p w14:paraId="50CDA37C" w14:textId="77777777"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This type of biomarker-based technology integration into the healthcare system has a number of potential advantages:</w:t>
      </w:r>
    </w:p>
    <w:p w14:paraId="7C05A9C7" w14:textId="77777777" w:rsidR="00474C40" w:rsidRPr="00324E70" w:rsidRDefault="00474C40" w:rsidP="00084EEA">
      <w:pPr>
        <w:pStyle w:val="ListParagraph"/>
        <w:widowControl w:val="0"/>
        <w:numPr>
          <w:ilvl w:val="0"/>
          <w:numId w:val="16"/>
        </w:numPr>
        <w:autoSpaceDE w:val="0"/>
        <w:autoSpaceDN w:val="0"/>
        <w:adjustRightInd w:val="0"/>
        <w:spacing w:after="0" w:line="240" w:lineRule="auto"/>
        <w:jc w:val="both"/>
        <w:rPr>
          <w:rFonts w:ascii="Times New Roman" w:hAnsi="Times New Roman" w:cs="Times New Roman"/>
          <w:sz w:val="20"/>
          <w:szCs w:val="20"/>
          <w:lang w:val="en"/>
        </w:rPr>
      </w:pPr>
      <w:r w:rsidRPr="00324E70">
        <w:rPr>
          <w:rFonts w:ascii="Times New Roman" w:hAnsi="Times New Roman" w:cs="Times New Roman"/>
          <w:sz w:val="20"/>
          <w:szCs w:val="20"/>
          <w:lang w:val="en"/>
        </w:rPr>
        <w:t>Improved diagnostics may result in early disease identification and treatment, thereby enhancing health outcomes, and lowering both the direct and indirect costs of illness and care.</w:t>
      </w:r>
    </w:p>
    <w:p w14:paraId="004F406A" w14:textId="77777777" w:rsidR="00474C40" w:rsidRPr="00324E70" w:rsidRDefault="00474C40" w:rsidP="00084EEA">
      <w:pPr>
        <w:pStyle w:val="ListParagraph"/>
        <w:widowControl w:val="0"/>
        <w:numPr>
          <w:ilvl w:val="0"/>
          <w:numId w:val="16"/>
        </w:numPr>
        <w:autoSpaceDE w:val="0"/>
        <w:autoSpaceDN w:val="0"/>
        <w:adjustRightInd w:val="0"/>
        <w:spacing w:after="0" w:line="240" w:lineRule="auto"/>
        <w:jc w:val="both"/>
        <w:rPr>
          <w:rFonts w:ascii="Times New Roman" w:hAnsi="Times New Roman" w:cs="Times New Roman"/>
          <w:sz w:val="20"/>
          <w:szCs w:val="20"/>
          <w:lang w:val="en"/>
        </w:rPr>
      </w:pPr>
      <w:r w:rsidRPr="00324E70">
        <w:rPr>
          <w:rFonts w:ascii="Times New Roman" w:hAnsi="Times New Roman" w:cs="Times New Roman"/>
          <w:sz w:val="20"/>
          <w:szCs w:val="20"/>
          <w:lang w:val="en"/>
        </w:rPr>
        <w:t>Through the use of pharmacogenetics, medications may be made more safe and effective while also reducing unpleasant side effects.</w:t>
      </w:r>
    </w:p>
    <w:p w14:paraId="7B66E591" w14:textId="77777777" w:rsidR="00474C40" w:rsidRPr="00324E70" w:rsidRDefault="00474C40" w:rsidP="00084EEA">
      <w:pPr>
        <w:pStyle w:val="ListParagraph"/>
        <w:widowControl w:val="0"/>
        <w:numPr>
          <w:ilvl w:val="0"/>
          <w:numId w:val="16"/>
        </w:numPr>
        <w:autoSpaceDE w:val="0"/>
        <w:autoSpaceDN w:val="0"/>
        <w:adjustRightInd w:val="0"/>
        <w:spacing w:after="0" w:line="240" w:lineRule="auto"/>
        <w:jc w:val="both"/>
        <w:rPr>
          <w:rFonts w:ascii="Times New Roman" w:hAnsi="Times New Roman" w:cs="Times New Roman"/>
          <w:sz w:val="20"/>
          <w:szCs w:val="20"/>
          <w:lang w:val="en"/>
        </w:rPr>
      </w:pPr>
      <w:r w:rsidRPr="00324E70">
        <w:rPr>
          <w:rFonts w:ascii="Times New Roman" w:hAnsi="Times New Roman" w:cs="Times New Roman"/>
          <w:sz w:val="20"/>
          <w:szCs w:val="20"/>
          <w:lang w:val="en"/>
        </w:rPr>
        <w:t xml:space="preserve">As medication development costs and deadlines are shortened by the use of biomarkers in the field of pharmacogenetics, more safe and effective medicines may become available. These modifications may also have </w:t>
      </w:r>
      <w:proofErr w:type="spellStart"/>
      <w:r w:rsidRPr="00324E70">
        <w:rPr>
          <w:rFonts w:ascii="Times New Roman" w:hAnsi="Times New Roman" w:cs="Times New Roman"/>
          <w:sz w:val="20"/>
          <w:szCs w:val="20"/>
          <w:lang w:val="en"/>
        </w:rPr>
        <w:t>favourable</w:t>
      </w:r>
      <w:proofErr w:type="spellEnd"/>
      <w:r w:rsidRPr="00324E70">
        <w:rPr>
          <w:rFonts w:ascii="Times New Roman" w:hAnsi="Times New Roman" w:cs="Times New Roman"/>
          <w:sz w:val="20"/>
          <w:szCs w:val="20"/>
          <w:lang w:val="en"/>
        </w:rPr>
        <w:t xml:space="preserve"> economic effects in addition to many advantageous results for patients and healthcare systems.</w:t>
      </w:r>
    </w:p>
    <w:p w14:paraId="3581DB52" w14:textId="77777777" w:rsidR="00474C40" w:rsidRPr="00324E70" w:rsidRDefault="00474C40" w:rsidP="00084EEA">
      <w:pPr>
        <w:pStyle w:val="ListParagraph"/>
        <w:widowControl w:val="0"/>
        <w:numPr>
          <w:ilvl w:val="0"/>
          <w:numId w:val="16"/>
        </w:numPr>
        <w:autoSpaceDE w:val="0"/>
        <w:autoSpaceDN w:val="0"/>
        <w:adjustRightInd w:val="0"/>
        <w:spacing w:after="0" w:line="240" w:lineRule="auto"/>
        <w:jc w:val="both"/>
        <w:rPr>
          <w:rFonts w:ascii="Times New Roman" w:hAnsi="Times New Roman" w:cs="Times New Roman"/>
          <w:sz w:val="20"/>
          <w:szCs w:val="20"/>
          <w:lang w:val="en"/>
        </w:rPr>
      </w:pPr>
      <w:r w:rsidRPr="00324E70">
        <w:rPr>
          <w:rFonts w:ascii="Times New Roman" w:hAnsi="Times New Roman" w:cs="Times New Roman"/>
          <w:sz w:val="20"/>
          <w:szCs w:val="20"/>
          <w:lang w:val="en"/>
        </w:rPr>
        <w:t>Less variety in patient response and fewer side effects will lead to savings in the health care system as a whole; regulators and third-party payers may be at lower risk of adopting expensive pharmaceuticals.</w:t>
      </w:r>
    </w:p>
    <w:p w14:paraId="51C7B360" w14:textId="0DADBECC" w:rsidR="00474C40" w:rsidRPr="00324E70" w:rsidRDefault="00474C40" w:rsidP="00084EEA">
      <w:pPr>
        <w:pStyle w:val="ListParagraph"/>
        <w:widowControl w:val="0"/>
        <w:numPr>
          <w:ilvl w:val="0"/>
          <w:numId w:val="16"/>
        </w:numPr>
        <w:autoSpaceDE w:val="0"/>
        <w:autoSpaceDN w:val="0"/>
        <w:adjustRightInd w:val="0"/>
        <w:spacing w:after="0" w:line="240" w:lineRule="auto"/>
        <w:jc w:val="both"/>
        <w:rPr>
          <w:rFonts w:ascii="Times New Roman" w:hAnsi="Times New Roman" w:cs="Times New Roman"/>
          <w:sz w:val="20"/>
          <w:szCs w:val="20"/>
          <w:lang w:val="en"/>
        </w:rPr>
      </w:pPr>
      <w:r w:rsidRPr="00324E70">
        <w:rPr>
          <w:rFonts w:ascii="Times New Roman" w:hAnsi="Times New Roman" w:cs="Times New Roman"/>
          <w:sz w:val="20"/>
          <w:szCs w:val="20"/>
          <w:lang w:val="en"/>
        </w:rPr>
        <w:t>By using biomarkers to expedite drug delivery and assess the safety and effectiveness of those drugs, therapeutics developers may lower their financial risks and increase production. Despite the evident promise of biomarkers, there are still major obstacles to overcome</w:t>
      </w:r>
      <w:r w:rsidR="00324E70" w:rsidRPr="00324E70">
        <w:rPr>
          <w:rFonts w:ascii="Times New Roman" w:hAnsi="Times New Roman" w:cs="Times New Roman"/>
          <w:sz w:val="20"/>
          <w:szCs w:val="20"/>
          <w:lang w:val="en"/>
        </w:rPr>
        <w:t xml:space="preserve"> [23]</w:t>
      </w:r>
      <w:r w:rsidRPr="00324E70">
        <w:rPr>
          <w:rFonts w:ascii="Times New Roman" w:hAnsi="Times New Roman" w:cs="Times New Roman"/>
          <w:sz w:val="20"/>
          <w:szCs w:val="20"/>
          <w:lang w:val="en"/>
        </w:rPr>
        <w:t>.</w:t>
      </w:r>
    </w:p>
    <w:p w14:paraId="75395ADD" w14:textId="77777777" w:rsidR="00474C40" w:rsidRPr="003C4D4B" w:rsidRDefault="00474C40" w:rsidP="00CC582B">
      <w:pPr>
        <w:widowControl w:val="0"/>
        <w:autoSpaceDE w:val="0"/>
        <w:autoSpaceDN w:val="0"/>
        <w:adjustRightInd w:val="0"/>
        <w:spacing w:after="0" w:line="240" w:lineRule="auto"/>
        <w:ind w:firstLine="36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For the discovery, development, and approval of novel drugs, biomarkers are essential instruments. Over 20% of the medications FDA </w:t>
      </w:r>
      <w:proofErr w:type="spellStart"/>
      <w:r w:rsidRPr="003C4D4B">
        <w:rPr>
          <w:rFonts w:ascii="Times New Roman" w:hAnsi="Times New Roman" w:cs="Times New Roman"/>
          <w:sz w:val="20"/>
          <w:szCs w:val="20"/>
          <w:lang w:val="en"/>
        </w:rPr>
        <w:t>authorised</w:t>
      </w:r>
      <w:proofErr w:type="spellEnd"/>
      <w:r w:rsidRPr="003C4D4B">
        <w:rPr>
          <w:rFonts w:ascii="Times New Roman" w:hAnsi="Times New Roman" w:cs="Times New Roman"/>
          <w:sz w:val="20"/>
          <w:szCs w:val="20"/>
          <w:lang w:val="en"/>
        </w:rPr>
        <w:t xml:space="preserve"> between 2014 and 2018 and about 42% alone in 2018 fall within the category of "</w:t>
      </w:r>
      <w:proofErr w:type="spellStart"/>
      <w:r w:rsidRPr="003C4D4B">
        <w:rPr>
          <w:rFonts w:ascii="Times New Roman" w:hAnsi="Times New Roman" w:cs="Times New Roman"/>
          <w:sz w:val="20"/>
          <w:szCs w:val="20"/>
          <w:lang w:val="en"/>
        </w:rPr>
        <w:t>personalised</w:t>
      </w:r>
      <w:proofErr w:type="spellEnd"/>
      <w:r w:rsidRPr="003C4D4B">
        <w:rPr>
          <w:rFonts w:ascii="Times New Roman" w:hAnsi="Times New Roman" w:cs="Times New Roman"/>
          <w:sz w:val="20"/>
          <w:szCs w:val="20"/>
          <w:lang w:val="en"/>
        </w:rPr>
        <w:t xml:space="preserve"> medicines." 68,78. Between 2015 and 2019, over 65% of therapeutic approvals by the EMA and FDA were linked to the inclusion of at least one biomarker in the development </w:t>
      </w:r>
      <w:proofErr w:type="spellStart"/>
      <w:r w:rsidRPr="003C4D4B">
        <w:rPr>
          <w:rFonts w:ascii="Times New Roman" w:hAnsi="Times New Roman" w:cs="Times New Roman"/>
          <w:sz w:val="20"/>
          <w:szCs w:val="20"/>
          <w:lang w:val="en"/>
        </w:rPr>
        <w:t>programme</w:t>
      </w:r>
      <w:proofErr w:type="spellEnd"/>
      <w:r w:rsidRPr="003C4D4B">
        <w:rPr>
          <w:rFonts w:ascii="Times New Roman" w:hAnsi="Times New Roman" w:cs="Times New Roman"/>
          <w:sz w:val="20"/>
          <w:szCs w:val="20"/>
          <w:lang w:val="en"/>
        </w:rPr>
        <w:t>, and in the near future, a higher acceptance rate of biomarkers is anticipated. It is obvious that biomarkers are now a crucial component of medication development, even though this percentage depends on a number of variables, including current scientific advancement, characteristics of a product class, and development of the regulatory landscape. Several advantages for patients</w:t>
      </w:r>
      <w:r>
        <w:rPr>
          <w:rFonts w:ascii="Times New Roman" w:hAnsi="Times New Roman" w:cs="Times New Roman"/>
          <w:sz w:val="20"/>
          <w:szCs w:val="20"/>
          <w:lang w:val="en"/>
        </w:rPr>
        <w:t>:</w:t>
      </w:r>
    </w:p>
    <w:p w14:paraId="345FCD31" w14:textId="77777777"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Biomarkers are widely </w:t>
      </w:r>
      <w:proofErr w:type="spellStart"/>
      <w:r w:rsidRPr="003C4D4B">
        <w:rPr>
          <w:rFonts w:ascii="Times New Roman" w:hAnsi="Times New Roman" w:cs="Times New Roman"/>
          <w:sz w:val="20"/>
          <w:szCs w:val="20"/>
          <w:lang w:val="en"/>
        </w:rPr>
        <w:t>utilised</w:t>
      </w:r>
      <w:proofErr w:type="spellEnd"/>
      <w:r w:rsidRPr="003C4D4B">
        <w:rPr>
          <w:rFonts w:ascii="Times New Roman" w:hAnsi="Times New Roman" w:cs="Times New Roman"/>
          <w:sz w:val="20"/>
          <w:szCs w:val="20"/>
          <w:lang w:val="en"/>
        </w:rPr>
        <w:t xml:space="preserve"> in diagnostics, medication research, and development, and can be helpful at every stage of the process, from creating an animal model that is acceptable to choosing patients who will be suitable for clinical trials and differentiating them from rivals.</w:t>
      </w:r>
    </w:p>
    <w:p w14:paraId="5A4FA2D9" w14:textId="77777777"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Biomarkers assist in choosing the best therapeutic candidates, which considerably lowers the cost of discovery and the likelihood of failure in subsequent stages.</w:t>
      </w:r>
    </w:p>
    <w:p w14:paraId="3C2734B3" w14:textId="77777777"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b/>
          <w:bCs/>
          <w:sz w:val="20"/>
          <w:szCs w:val="20"/>
        </w:rPr>
      </w:pPr>
      <w:r w:rsidRPr="003C4D4B">
        <w:rPr>
          <w:rFonts w:ascii="Times New Roman" w:hAnsi="Times New Roman" w:cs="Times New Roman"/>
          <w:sz w:val="20"/>
          <w:szCs w:val="20"/>
          <w:lang w:val="en"/>
        </w:rPr>
        <w:t xml:space="preserve">Biomarkers can aid in a better understanding of the mechanism of action, allowing for the prediction of </w:t>
      </w:r>
      <w:proofErr w:type="spellStart"/>
      <w:r w:rsidRPr="003C4D4B">
        <w:rPr>
          <w:rFonts w:ascii="Times New Roman" w:hAnsi="Times New Roman" w:cs="Times New Roman"/>
          <w:sz w:val="20"/>
          <w:szCs w:val="20"/>
          <w:lang w:val="en"/>
        </w:rPr>
        <w:t>unfavourable</w:t>
      </w:r>
      <w:proofErr w:type="spellEnd"/>
      <w:r w:rsidRPr="003C4D4B">
        <w:rPr>
          <w:rFonts w:ascii="Times New Roman" w:hAnsi="Times New Roman" w:cs="Times New Roman"/>
          <w:sz w:val="20"/>
          <w:szCs w:val="20"/>
          <w:lang w:val="en"/>
        </w:rPr>
        <w:t xml:space="preserve"> side effects and drug-drug interactions (DDIs).</w:t>
      </w:r>
    </w:p>
    <w:p w14:paraId="471D9703" w14:textId="147E22BE"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Because fewer participants are required to demonstrate clinical benefit and non-inferiority, biomarkers offer the potential to </w:t>
      </w:r>
      <w:proofErr w:type="spellStart"/>
      <w:r w:rsidRPr="003C4D4B">
        <w:rPr>
          <w:rFonts w:ascii="Times New Roman" w:hAnsi="Times New Roman" w:cs="Times New Roman"/>
          <w:sz w:val="20"/>
          <w:szCs w:val="20"/>
          <w:lang w:val="en"/>
        </w:rPr>
        <w:t>minimise</w:t>
      </w:r>
      <w:proofErr w:type="spellEnd"/>
      <w:r w:rsidRPr="003C4D4B">
        <w:rPr>
          <w:rFonts w:ascii="Times New Roman" w:hAnsi="Times New Roman" w:cs="Times New Roman"/>
          <w:sz w:val="20"/>
          <w:szCs w:val="20"/>
          <w:lang w:val="en"/>
        </w:rPr>
        <w:t xml:space="preserve"> the number of patients in clinical trials. Using the right biomarkers to stratify patients can lower the risk of failure due to safet</w:t>
      </w:r>
      <w:r w:rsidR="00DE6753">
        <w:rPr>
          <w:rFonts w:ascii="Times New Roman" w:hAnsi="Times New Roman" w:cs="Times New Roman"/>
          <w:sz w:val="20"/>
          <w:szCs w:val="20"/>
          <w:lang w:val="en"/>
        </w:rPr>
        <w:t xml:space="preserve">y and effectiveness problems. </w:t>
      </w:r>
    </w:p>
    <w:p w14:paraId="55371BB7" w14:textId="77777777"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Biomarkers might be employed as a clinical study's stand-in endpoint. 27% of medications that the FDA </w:t>
      </w:r>
      <w:proofErr w:type="spellStart"/>
      <w:r w:rsidRPr="003C4D4B">
        <w:rPr>
          <w:rFonts w:ascii="Times New Roman" w:hAnsi="Times New Roman" w:cs="Times New Roman"/>
          <w:sz w:val="20"/>
          <w:szCs w:val="20"/>
          <w:lang w:val="en"/>
        </w:rPr>
        <w:t>authorised</w:t>
      </w:r>
      <w:proofErr w:type="spellEnd"/>
      <w:r w:rsidRPr="003C4D4B">
        <w:rPr>
          <w:rFonts w:ascii="Times New Roman" w:hAnsi="Times New Roman" w:cs="Times New Roman"/>
          <w:sz w:val="20"/>
          <w:szCs w:val="20"/>
          <w:lang w:val="en"/>
        </w:rPr>
        <w:t xml:space="preserve"> between March and May 2016 employed at least one surrogate measure as a main endpoint. For instance, the approval of the HIV-1 infection therapy drug </w:t>
      </w:r>
      <w:proofErr w:type="spellStart"/>
      <w:r w:rsidRPr="003C4D4B">
        <w:rPr>
          <w:rFonts w:ascii="Times New Roman" w:hAnsi="Times New Roman" w:cs="Times New Roman"/>
          <w:sz w:val="20"/>
          <w:szCs w:val="20"/>
          <w:lang w:val="en"/>
        </w:rPr>
        <w:t>Odefsey</w:t>
      </w:r>
      <w:proofErr w:type="spellEnd"/>
      <w:r w:rsidRPr="003C4D4B">
        <w:rPr>
          <w:rFonts w:ascii="Times New Roman" w:hAnsi="Times New Roman" w:cs="Times New Roman"/>
          <w:sz w:val="20"/>
          <w:szCs w:val="20"/>
          <w:lang w:val="en"/>
        </w:rPr>
        <w:t xml:space="preserve"> was predicated on the viral suppression and CD4+ cell counts as surrogate markers.</w:t>
      </w:r>
    </w:p>
    <w:p w14:paraId="3E2F1C37" w14:textId="39485E79"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Biomarkers make it easier for regulatory bodies to decide how to proceed with a drug development project based on the medicine's benefit-risk profile</w:t>
      </w:r>
      <w:r w:rsidR="00324E70">
        <w:rPr>
          <w:rFonts w:ascii="Times New Roman" w:hAnsi="Times New Roman" w:cs="Times New Roman"/>
          <w:sz w:val="20"/>
          <w:szCs w:val="20"/>
          <w:lang w:val="en"/>
        </w:rPr>
        <w:t xml:space="preserve"> [23]</w:t>
      </w:r>
      <w:r w:rsidRPr="003C4D4B">
        <w:rPr>
          <w:rFonts w:ascii="Times New Roman" w:hAnsi="Times New Roman" w:cs="Times New Roman"/>
          <w:sz w:val="20"/>
          <w:szCs w:val="20"/>
          <w:lang w:val="en"/>
        </w:rPr>
        <w:t>.</w:t>
      </w:r>
    </w:p>
    <w:p w14:paraId="305A3090" w14:textId="3780EE50" w:rsidR="00474C40" w:rsidRPr="00596124" w:rsidRDefault="00CC582B" w:rsidP="00CC582B">
      <w:pPr>
        <w:widowControl w:val="0"/>
        <w:autoSpaceDE w:val="0"/>
        <w:autoSpaceDN w:val="0"/>
        <w:adjustRightInd w:val="0"/>
        <w:spacing w:after="0" w:line="240" w:lineRule="auto"/>
        <w:jc w:val="center"/>
        <w:rPr>
          <w:rFonts w:ascii="Times New Roman" w:hAnsi="Times New Roman" w:cs="Times New Roman"/>
          <w:b/>
          <w:sz w:val="20"/>
          <w:szCs w:val="20"/>
          <w:lang w:val="en"/>
        </w:rPr>
      </w:pPr>
      <w:r>
        <w:rPr>
          <w:rFonts w:ascii="Times New Roman" w:hAnsi="Times New Roman" w:cs="Times New Roman"/>
          <w:b/>
          <w:sz w:val="20"/>
          <w:szCs w:val="20"/>
          <w:lang w:val="en"/>
        </w:rPr>
        <w:t xml:space="preserve">X. </w:t>
      </w:r>
      <w:r w:rsidR="00684D02">
        <w:rPr>
          <w:rFonts w:ascii="Times New Roman" w:hAnsi="Times New Roman" w:cs="Times New Roman"/>
          <w:b/>
          <w:sz w:val="20"/>
          <w:szCs w:val="20"/>
          <w:lang w:val="en"/>
        </w:rPr>
        <w:t>Current scenario for the diagnosis</w:t>
      </w:r>
    </w:p>
    <w:p w14:paraId="0F05E233" w14:textId="340CFDBE"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Potential biomarkers are being investigated from a broad and expanding range of biological measurements, including many domains and degrees of analysis. These tests include omics analyses of blood, cerebrospinal fluid (CSF), and other tissues, electrophysiology in peripheral nerves and the brain, and structural and functional imaging of the brain and peripheral tiss</w:t>
      </w:r>
      <w:r w:rsidR="00324E70">
        <w:rPr>
          <w:rFonts w:ascii="Times New Roman" w:hAnsi="Times New Roman" w:cs="Times New Roman"/>
          <w:sz w:val="20"/>
          <w:szCs w:val="20"/>
          <w:lang w:val="en"/>
        </w:rPr>
        <w:t>ues</w:t>
      </w:r>
      <w:r w:rsidRPr="003C4D4B">
        <w:rPr>
          <w:rFonts w:ascii="Times New Roman" w:hAnsi="Times New Roman" w:cs="Times New Roman"/>
          <w:sz w:val="20"/>
          <w:szCs w:val="20"/>
          <w:lang w:val="en"/>
        </w:rPr>
        <w:t>. In clinical trials and clinical treatment for pain, there are currently few biomarkers based on electrophysiology, omics, and imaging, while significant validations are starting to emerge</w:t>
      </w:r>
      <w:r w:rsidR="00324E70">
        <w:rPr>
          <w:rFonts w:ascii="Times New Roman" w:hAnsi="Times New Roman" w:cs="Times New Roman"/>
          <w:sz w:val="20"/>
          <w:szCs w:val="20"/>
          <w:lang w:val="en"/>
        </w:rPr>
        <w:t xml:space="preserve"> [24]</w:t>
      </w:r>
      <w:r w:rsidRPr="003C4D4B">
        <w:rPr>
          <w:rFonts w:ascii="Times New Roman" w:hAnsi="Times New Roman" w:cs="Times New Roman"/>
          <w:sz w:val="20"/>
          <w:szCs w:val="20"/>
          <w:lang w:val="en"/>
        </w:rPr>
        <w:t>.</w:t>
      </w:r>
    </w:p>
    <w:p w14:paraId="2109C004"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6FC388DB" w14:textId="45747DC5" w:rsidR="00474C40" w:rsidRPr="00596124"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sidRPr="00596124">
        <w:rPr>
          <w:rFonts w:ascii="Times New Roman" w:hAnsi="Times New Roman" w:cs="Times New Roman"/>
          <w:b/>
          <w:sz w:val="20"/>
          <w:szCs w:val="20"/>
          <w:lang w:val="en"/>
        </w:rPr>
        <w:t>Electrophysiological biomarkers</w:t>
      </w:r>
    </w:p>
    <w:p w14:paraId="3B661A97" w14:textId="5F251DE6"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Electrophysiology can show electrical signals connected to pain that are sent from peripheral nerves to the brain. Microneurography61–63, as well as tests on neurons or non-neural cells produced from induced pluripotent </w:t>
      </w:r>
      <w:r w:rsidRPr="003C4D4B">
        <w:rPr>
          <w:rFonts w:ascii="Times New Roman" w:hAnsi="Times New Roman" w:cs="Times New Roman"/>
          <w:sz w:val="20"/>
          <w:szCs w:val="20"/>
          <w:lang w:val="en"/>
        </w:rPr>
        <w:lastRenderedPageBreak/>
        <w:t>stem cells, are examples of peripheral measurements. EEG and related magnetoencephalography measurements of evoked potentials and oscillations in pain-related brain systems are among the brain measurements</w:t>
      </w:r>
      <w:r w:rsidR="00324E70">
        <w:rPr>
          <w:rFonts w:ascii="Times New Roman" w:hAnsi="Times New Roman" w:cs="Times New Roman"/>
          <w:sz w:val="20"/>
          <w:szCs w:val="20"/>
          <w:lang w:val="en"/>
        </w:rPr>
        <w:t xml:space="preserve"> [26]</w:t>
      </w:r>
      <w:r w:rsidRPr="003C4D4B">
        <w:rPr>
          <w:rFonts w:ascii="Times New Roman" w:hAnsi="Times New Roman" w:cs="Times New Roman"/>
          <w:sz w:val="20"/>
          <w:szCs w:val="20"/>
          <w:lang w:val="en"/>
        </w:rPr>
        <w:t>.</w:t>
      </w:r>
    </w:p>
    <w:p w14:paraId="7B0F623B"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5716F563" w14:textId="0A9E6EDA" w:rsidR="00474C40" w:rsidRPr="00596124"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sidRPr="00596124">
        <w:rPr>
          <w:rFonts w:ascii="Times New Roman" w:hAnsi="Times New Roman" w:cs="Times New Roman"/>
          <w:b/>
          <w:sz w:val="20"/>
          <w:szCs w:val="20"/>
          <w:lang w:val="en"/>
        </w:rPr>
        <w:t xml:space="preserve">A test called </w:t>
      </w:r>
      <w:proofErr w:type="spellStart"/>
      <w:r w:rsidRPr="00596124">
        <w:rPr>
          <w:rFonts w:ascii="Times New Roman" w:hAnsi="Times New Roman" w:cs="Times New Roman"/>
          <w:b/>
          <w:sz w:val="20"/>
          <w:szCs w:val="20"/>
          <w:lang w:val="en"/>
        </w:rPr>
        <w:t>Oncotype</w:t>
      </w:r>
      <w:proofErr w:type="spellEnd"/>
      <w:r w:rsidRPr="00596124">
        <w:rPr>
          <w:rFonts w:ascii="Times New Roman" w:hAnsi="Times New Roman" w:cs="Times New Roman"/>
          <w:b/>
          <w:sz w:val="20"/>
          <w:szCs w:val="20"/>
          <w:lang w:val="en"/>
        </w:rPr>
        <w:t>® DX</w:t>
      </w:r>
    </w:p>
    <w:p w14:paraId="26D0AB56" w14:textId="592F4246"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In 2004, Genomic Health released </w:t>
      </w:r>
      <w:proofErr w:type="spellStart"/>
      <w:r w:rsidRPr="003C4D4B">
        <w:rPr>
          <w:rFonts w:ascii="Times New Roman" w:hAnsi="Times New Roman" w:cs="Times New Roman"/>
          <w:sz w:val="20"/>
          <w:szCs w:val="20"/>
          <w:lang w:val="en"/>
        </w:rPr>
        <w:t>Oncotype</w:t>
      </w:r>
      <w:proofErr w:type="spellEnd"/>
      <w:r w:rsidRPr="003C4D4B">
        <w:rPr>
          <w:rFonts w:ascii="Times New Roman" w:hAnsi="Times New Roman" w:cs="Times New Roman"/>
          <w:sz w:val="20"/>
          <w:szCs w:val="20"/>
          <w:lang w:val="en"/>
        </w:rPr>
        <w:t xml:space="preserve"> DX to the public. A panel of 21 genes within a </w:t>
      </w:r>
      <w:proofErr w:type="spellStart"/>
      <w:r w:rsidRPr="003C4D4B">
        <w:rPr>
          <w:rFonts w:ascii="Times New Roman" w:hAnsi="Times New Roman" w:cs="Times New Roman"/>
          <w:sz w:val="20"/>
          <w:szCs w:val="20"/>
          <w:lang w:val="en"/>
        </w:rPr>
        <w:t>tumour</w:t>
      </w:r>
      <w:proofErr w:type="spellEnd"/>
      <w:r w:rsidRPr="003C4D4B">
        <w:rPr>
          <w:rFonts w:ascii="Times New Roman" w:hAnsi="Times New Roman" w:cs="Times New Roman"/>
          <w:sz w:val="20"/>
          <w:szCs w:val="20"/>
          <w:lang w:val="en"/>
        </w:rPr>
        <w:t xml:space="preserve"> are simultaneously examined by the validated genomic test </w:t>
      </w:r>
      <w:proofErr w:type="spellStart"/>
      <w:r w:rsidRPr="003C4D4B">
        <w:rPr>
          <w:rFonts w:ascii="Times New Roman" w:hAnsi="Times New Roman" w:cs="Times New Roman"/>
          <w:sz w:val="20"/>
          <w:szCs w:val="20"/>
          <w:lang w:val="en"/>
        </w:rPr>
        <w:t>Oncotype</w:t>
      </w:r>
      <w:proofErr w:type="spellEnd"/>
      <w:r w:rsidRPr="003C4D4B">
        <w:rPr>
          <w:rFonts w:ascii="Times New Roman" w:hAnsi="Times New Roman" w:cs="Times New Roman"/>
          <w:sz w:val="20"/>
          <w:szCs w:val="20"/>
          <w:lang w:val="en"/>
        </w:rPr>
        <w:t xml:space="preserve"> DX. These genes serve as breast cancer biomarkers. The chance of disease recurrence in women with early-stage breast cancer may be quantified using statistical analysis of the level of expression of these 21 genes, and the likelihood that particular types of chemotherapy will be beneficial can also be determined. The first gene expression test </w:t>
      </w:r>
      <w:proofErr w:type="spellStart"/>
      <w:r w:rsidRPr="003C4D4B">
        <w:rPr>
          <w:rFonts w:ascii="Times New Roman" w:hAnsi="Times New Roman" w:cs="Times New Roman"/>
          <w:sz w:val="20"/>
          <w:szCs w:val="20"/>
          <w:lang w:val="en"/>
        </w:rPr>
        <w:t>recognised</w:t>
      </w:r>
      <w:proofErr w:type="spellEnd"/>
      <w:r w:rsidRPr="003C4D4B">
        <w:rPr>
          <w:rFonts w:ascii="Times New Roman" w:hAnsi="Times New Roman" w:cs="Times New Roman"/>
          <w:sz w:val="20"/>
          <w:szCs w:val="20"/>
          <w:lang w:val="en"/>
        </w:rPr>
        <w:t xml:space="preserve"> for its ability to predict a patient's response to chemotherapy and recurrence risk is called </w:t>
      </w:r>
      <w:proofErr w:type="spellStart"/>
      <w:r w:rsidRPr="003C4D4B">
        <w:rPr>
          <w:rFonts w:ascii="Times New Roman" w:hAnsi="Times New Roman" w:cs="Times New Roman"/>
          <w:sz w:val="20"/>
          <w:szCs w:val="20"/>
          <w:lang w:val="en"/>
        </w:rPr>
        <w:t>Oncotype</w:t>
      </w:r>
      <w:proofErr w:type="spellEnd"/>
      <w:r w:rsidRPr="003C4D4B">
        <w:rPr>
          <w:rFonts w:ascii="Times New Roman" w:hAnsi="Times New Roman" w:cs="Times New Roman"/>
          <w:sz w:val="20"/>
          <w:szCs w:val="20"/>
          <w:lang w:val="en"/>
        </w:rPr>
        <w:t xml:space="preserve"> DX. </w:t>
      </w:r>
      <w:proofErr w:type="spellStart"/>
      <w:r w:rsidRPr="003C4D4B">
        <w:rPr>
          <w:rFonts w:ascii="Times New Roman" w:hAnsi="Times New Roman" w:cs="Times New Roman"/>
          <w:sz w:val="20"/>
          <w:szCs w:val="20"/>
          <w:lang w:val="en"/>
        </w:rPr>
        <w:t>Oncotype</w:t>
      </w:r>
      <w:proofErr w:type="spellEnd"/>
      <w:r w:rsidRPr="003C4D4B">
        <w:rPr>
          <w:rFonts w:ascii="Times New Roman" w:hAnsi="Times New Roman" w:cs="Times New Roman"/>
          <w:sz w:val="20"/>
          <w:szCs w:val="20"/>
          <w:lang w:val="en"/>
        </w:rPr>
        <w:t xml:space="preserve"> DX is based on several research by Genomic Health that demonstrate</w:t>
      </w:r>
      <w:r>
        <w:rPr>
          <w:rFonts w:ascii="Times New Roman" w:hAnsi="Times New Roman" w:cs="Times New Roman"/>
          <w:sz w:val="20"/>
          <w:szCs w:val="20"/>
          <w:lang w:val="en"/>
        </w:rPr>
        <w:t xml:space="preserve">. </w:t>
      </w:r>
      <w:r w:rsidRPr="003C4D4B">
        <w:rPr>
          <w:rFonts w:ascii="Times New Roman" w:hAnsi="Times New Roman" w:cs="Times New Roman"/>
          <w:sz w:val="20"/>
          <w:szCs w:val="20"/>
          <w:lang w:val="en"/>
        </w:rPr>
        <w:t xml:space="preserve">This has made it much easier for regulatory bodies to approve it. Numerous studies including more than 3 300 patients examined </w:t>
      </w:r>
      <w:proofErr w:type="spellStart"/>
      <w:r w:rsidRPr="003C4D4B">
        <w:rPr>
          <w:rFonts w:ascii="Times New Roman" w:hAnsi="Times New Roman" w:cs="Times New Roman"/>
          <w:sz w:val="20"/>
          <w:szCs w:val="20"/>
          <w:lang w:val="en"/>
        </w:rPr>
        <w:t>Oncotype</w:t>
      </w:r>
      <w:proofErr w:type="spellEnd"/>
      <w:r w:rsidRPr="003C4D4B">
        <w:rPr>
          <w:rFonts w:ascii="Times New Roman" w:hAnsi="Times New Roman" w:cs="Times New Roman"/>
          <w:sz w:val="20"/>
          <w:szCs w:val="20"/>
          <w:lang w:val="en"/>
        </w:rPr>
        <w:t xml:space="preserve"> DX, and a cost-effectiveness study was also carried out. Genomic Health subsequently provided information on the test's reliability, clinical value, and financial efficiency when used in clinical </w:t>
      </w:r>
      <w:proofErr w:type="spellStart"/>
      <w:r w:rsidRPr="003C4D4B">
        <w:rPr>
          <w:rFonts w:ascii="Times New Roman" w:hAnsi="Times New Roman" w:cs="Times New Roman"/>
          <w:sz w:val="20"/>
          <w:szCs w:val="20"/>
          <w:lang w:val="en"/>
        </w:rPr>
        <w:t>practise</w:t>
      </w:r>
      <w:proofErr w:type="spellEnd"/>
      <w:r w:rsidRPr="003C4D4B">
        <w:rPr>
          <w:rFonts w:ascii="Times New Roman" w:hAnsi="Times New Roman" w:cs="Times New Roman"/>
          <w:sz w:val="20"/>
          <w:szCs w:val="20"/>
          <w:lang w:val="en"/>
        </w:rPr>
        <w:t xml:space="preserve">. The clinical and economic assessments were both </w:t>
      </w:r>
      <w:proofErr w:type="spellStart"/>
      <w:r w:rsidRPr="003C4D4B">
        <w:rPr>
          <w:rFonts w:ascii="Times New Roman" w:hAnsi="Times New Roman" w:cs="Times New Roman"/>
          <w:sz w:val="20"/>
          <w:szCs w:val="20"/>
          <w:lang w:val="en"/>
        </w:rPr>
        <w:t>favourable</w:t>
      </w:r>
      <w:proofErr w:type="spellEnd"/>
      <w:r w:rsidRPr="003C4D4B">
        <w:rPr>
          <w:rFonts w:ascii="Times New Roman" w:hAnsi="Times New Roman" w:cs="Times New Roman"/>
          <w:sz w:val="20"/>
          <w:szCs w:val="20"/>
          <w:lang w:val="en"/>
        </w:rPr>
        <w:t>. Many health insurance providers in the United States are now paying for this complicated test, even at its current list price of USD, as a result of this kind of examination</w:t>
      </w:r>
      <w:r w:rsidR="00324E70">
        <w:rPr>
          <w:rFonts w:ascii="Times New Roman" w:hAnsi="Times New Roman" w:cs="Times New Roman"/>
          <w:sz w:val="20"/>
          <w:szCs w:val="20"/>
          <w:lang w:val="en"/>
        </w:rPr>
        <w:t xml:space="preserve"> [27]</w:t>
      </w:r>
      <w:r w:rsidRPr="003C4D4B">
        <w:rPr>
          <w:rFonts w:ascii="Times New Roman" w:hAnsi="Times New Roman" w:cs="Times New Roman"/>
          <w:sz w:val="20"/>
          <w:szCs w:val="20"/>
          <w:lang w:val="en"/>
        </w:rPr>
        <w:t>.</w:t>
      </w:r>
    </w:p>
    <w:p w14:paraId="290A2254"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2E49C9F3" w14:textId="316C767B" w:rsidR="00474C40" w:rsidRPr="00596124"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roofErr w:type="spellStart"/>
      <w:r w:rsidRPr="00596124">
        <w:rPr>
          <w:rFonts w:ascii="Times New Roman" w:hAnsi="Times New Roman" w:cs="Times New Roman"/>
          <w:b/>
          <w:sz w:val="20"/>
          <w:szCs w:val="20"/>
          <w:lang w:val="en"/>
        </w:rPr>
        <w:t>Omic</w:t>
      </w:r>
      <w:proofErr w:type="spellEnd"/>
      <w:r w:rsidRPr="00596124">
        <w:rPr>
          <w:rFonts w:ascii="Times New Roman" w:hAnsi="Times New Roman" w:cs="Times New Roman"/>
          <w:b/>
          <w:sz w:val="20"/>
          <w:szCs w:val="20"/>
          <w:lang w:val="en"/>
        </w:rPr>
        <w:t>-based biomarkers</w:t>
      </w:r>
    </w:p>
    <w:p w14:paraId="5FD54299" w14:textId="2FB21796"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Because they provide biological markers from easily accessible body compartments, </w:t>
      </w:r>
      <w:proofErr w:type="spellStart"/>
      <w:r w:rsidRPr="003C4D4B">
        <w:rPr>
          <w:rFonts w:ascii="Times New Roman" w:hAnsi="Times New Roman" w:cs="Times New Roman"/>
          <w:sz w:val="20"/>
          <w:szCs w:val="20"/>
          <w:lang w:val="en"/>
        </w:rPr>
        <w:t>omic</w:t>
      </w:r>
      <w:proofErr w:type="spellEnd"/>
      <w:r w:rsidRPr="003C4D4B">
        <w:rPr>
          <w:rFonts w:ascii="Times New Roman" w:hAnsi="Times New Roman" w:cs="Times New Roman"/>
          <w:sz w:val="20"/>
          <w:szCs w:val="20"/>
          <w:lang w:val="en"/>
        </w:rPr>
        <w:t xml:space="preserve"> techniques are appealing. Because blood analysis is common, minimally intrusive, and reasonably priced81, metabolites, proteins, or DNA detected in blood are the primary biomarkers employed in clinical </w:t>
      </w:r>
      <w:proofErr w:type="spellStart"/>
      <w:r w:rsidRPr="003C4D4B">
        <w:rPr>
          <w:rFonts w:ascii="Times New Roman" w:hAnsi="Times New Roman" w:cs="Times New Roman"/>
          <w:sz w:val="20"/>
          <w:szCs w:val="20"/>
          <w:lang w:val="en"/>
        </w:rPr>
        <w:t>practise</w:t>
      </w:r>
      <w:proofErr w:type="spellEnd"/>
      <w:r w:rsidRPr="003C4D4B">
        <w:rPr>
          <w:rFonts w:ascii="Times New Roman" w:hAnsi="Times New Roman" w:cs="Times New Roman"/>
          <w:sz w:val="20"/>
          <w:szCs w:val="20"/>
          <w:lang w:val="en"/>
        </w:rPr>
        <w:t xml:space="preserve"> today. Clinically available </w:t>
      </w:r>
      <w:proofErr w:type="spellStart"/>
      <w:r w:rsidRPr="003C4D4B">
        <w:rPr>
          <w:rFonts w:ascii="Times New Roman" w:hAnsi="Times New Roman" w:cs="Times New Roman"/>
          <w:sz w:val="20"/>
          <w:szCs w:val="20"/>
          <w:lang w:val="en"/>
        </w:rPr>
        <w:t>omic</w:t>
      </w:r>
      <w:proofErr w:type="spellEnd"/>
      <w:r w:rsidRPr="003C4D4B">
        <w:rPr>
          <w:rFonts w:ascii="Times New Roman" w:hAnsi="Times New Roman" w:cs="Times New Roman"/>
          <w:sz w:val="20"/>
          <w:szCs w:val="20"/>
          <w:lang w:val="en"/>
        </w:rPr>
        <w:t xml:space="preserve"> biomarkers for pain treatment have the potential to improve patient care and reveal pathophysiological causes. Such a prospect, meanwhile, is now mostly supported by exploratory data and would need to be carefully examined in sizable, diverse, and well-</w:t>
      </w:r>
      <w:proofErr w:type="spellStart"/>
      <w:r w:rsidRPr="003C4D4B">
        <w:rPr>
          <w:rFonts w:ascii="Times New Roman" w:hAnsi="Times New Roman" w:cs="Times New Roman"/>
          <w:sz w:val="20"/>
          <w:szCs w:val="20"/>
          <w:lang w:val="en"/>
        </w:rPr>
        <w:t>phenotyped</w:t>
      </w:r>
      <w:proofErr w:type="spellEnd"/>
      <w:r w:rsidRPr="003C4D4B">
        <w:rPr>
          <w:rFonts w:ascii="Times New Roman" w:hAnsi="Times New Roman" w:cs="Times New Roman"/>
          <w:sz w:val="20"/>
          <w:szCs w:val="20"/>
          <w:lang w:val="en"/>
        </w:rPr>
        <w:t xml:space="preserve"> patient </w:t>
      </w:r>
      <w:proofErr w:type="spellStart"/>
      <w:r w:rsidRPr="003C4D4B">
        <w:rPr>
          <w:rFonts w:ascii="Times New Roman" w:hAnsi="Times New Roman" w:cs="Times New Roman"/>
          <w:sz w:val="20"/>
          <w:szCs w:val="20"/>
          <w:lang w:val="en"/>
        </w:rPr>
        <w:t>populations.Whether</w:t>
      </w:r>
      <w:proofErr w:type="spellEnd"/>
      <w:r w:rsidRPr="003C4D4B">
        <w:rPr>
          <w:rFonts w:ascii="Times New Roman" w:hAnsi="Times New Roman" w:cs="Times New Roman"/>
          <w:sz w:val="20"/>
          <w:szCs w:val="20"/>
          <w:lang w:val="en"/>
        </w:rPr>
        <w:t xml:space="preserve"> </w:t>
      </w:r>
      <w:proofErr w:type="spellStart"/>
      <w:r w:rsidRPr="003C4D4B">
        <w:rPr>
          <w:rFonts w:ascii="Times New Roman" w:hAnsi="Times New Roman" w:cs="Times New Roman"/>
          <w:sz w:val="20"/>
          <w:szCs w:val="20"/>
          <w:lang w:val="en"/>
        </w:rPr>
        <w:t>omic</w:t>
      </w:r>
      <w:proofErr w:type="spellEnd"/>
      <w:r w:rsidRPr="003C4D4B">
        <w:rPr>
          <w:rFonts w:ascii="Times New Roman" w:hAnsi="Times New Roman" w:cs="Times New Roman"/>
          <w:sz w:val="20"/>
          <w:szCs w:val="20"/>
          <w:lang w:val="en"/>
        </w:rPr>
        <w:t xml:space="preserve"> signatures derived from readily available </w:t>
      </w:r>
      <w:proofErr w:type="spellStart"/>
      <w:r w:rsidRPr="003C4D4B">
        <w:rPr>
          <w:rFonts w:ascii="Times New Roman" w:hAnsi="Times New Roman" w:cs="Times New Roman"/>
          <w:sz w:val="20"/>
          <w:szCs w:val="20"/>
          <w:lang w:val="en"/>
        </w:rPr>
        <w:t>biospecimens</w:t>
      </w:r>
      <w:proofErr w:type="spellEnd"/>
      <w:r w:rsidRPr="003C4D4B">
        <w:rPr>
          <w:rFonts w:ascii="Times New Roman" w:hAnsi="Times New Roman" w:cs="Times New Roman"/>
          <w:sz w:val="20"/>
          <w:szCs w:val="20"/>
          <w:lang w:val="en"/>
        </w:rPr>
        <w:t>, such as blood, urine, CSF, or exudate, reflect pertinent biology is a crucial question, as is determining which pain conditions — such as inflammatory versus neuropathic, or temporal patterns from acute to chronic — would benefit from such profiling</w:t>
      </w:r>
      <w:r w:rsidR="00324E70">
        <w:rPr>
          <w:rFonts w:ascii="Times New Roman" w:hAnsi="Times New Roman" w:cs="Times New Roman"/>
          <w:sz w:val="20"/>
          <w:szCs w:val="20"/>
          <w:lang w:val="en"/>
        </w:rPr>
        <w:t xml:space="preserve"> [28]</w:t>
      </w:r>
      <w:r w:rsidRPr="003C4D4B">
        <w:rPr>
          <w:rFonts w:ascii="Times New Roman" w:hAnsi="Times New Roman" w:cs="Times New Roman"/>
          <w:sz w:val="20"/>
          <w:szCs w:val="20"/>
          <w:lang w:val="en"/>
        </w:rPr>
        <w:t>.</w:t>
      </w:r>
    </w:p>
    <w:p w14:paraId="2C3B5001"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1368C0D3" w14:textId="691A2CF3" w:rsidR="00474C40" w:rsidRPr="00324E70"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sidRPr="00324E70">
        <w:rPr>
          <w:rFonts w:ascii="Times New Roman" w:hAnsi="Times New Roman" w:cs="Times New Roman"/>
          <w:b/>
          <w:sz w:val="20"/>
          <w:szCs w:val="20"/>
          <w:lang w:val="en"/>
        </w:rPr>
        <w:t xml:space="preserve">Herceptin/HER2 screening and Herceptin in breast cancer: </w:t>
      </w:r>
      <w:proofErr w:type="spellStart"/>
      <w:r w:rsidRPr="00324E70">
        <w:rPr>
          <w:rFonts w:ascii="Times New Roman" w:hAnsi="Times New Roman" w:cs="Times New Roman"/>
          <w:b/>
          <w:sz w:val="20"/>
          <w:szCs w:val="20"/>
          <w:lang w:val="en"/>
        </w:rPr>
        <w:t>pharmacogenetic</w:t>
      </w:r>
      <w:proofErr w:type="spellEnd"/>
      <w:r w:rsidRPr="00324E70">
        <w:rPr>
          <w:rFonts w:ascii="Times New Roman" w:hAnsi="Times New Roman" w:cs="Times New Roman"/>
          <w:b/>
          <w:sz w:val="20"/>
          <w:szCs w:val="20"/>
          <w:lang w:val="en"/>
        </w:rPr>
        <w:t xml:space="preserve"> testing</w:t>
      </w:r>
    </w:p>
    <w:p w14:paraId="34BA1EF1" w14:textId="525E9BB7"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Herceptin and HER2 were important early examples of breast cancer prognostic biomarkers and show the possibility of </w:t>
      </w:r>
      <w:proofErr w:type="spellStart"/>
      <w:r w:rsidRPr="003C4D4B">
        <w:rPr>
          <w:rFonts w:ascii="Times New Roman" w:hAnsi="Times New Roman" w:cs="Times New Roman"/>
          <w:sz w:val="20"/>
          <w:szCs w:val="20"/>
          <w:lang w:val="en"/>
        </w:rPr>
        <w:t>individualised</w:t>
      </w:r>
      <w:proofErr w:type="spellEnd"/>
      <w:r w:rsidRPr="003C4D4B">
        <w:rPr>
          <w:rFonts w:ascii="Times New Roman" w:hAnsi="Times New Roman" w:cs="Times New Roman"/>
          <w:sz w:val="20"/>
          <w:szCs w:val="20"/>
          <w:lang w:val="en"/>
        </w:rPr>
        <w:t xml:space="preserve"> treatment. Women with metastatic breast cancer whose </w:t>
      </w:r>
      <w:proofErr w:type="spellStart"/>
      <w:r w:rsidRPr="003C4D4B">
        <w:rPr>
          <w:rFonts w:ascii="Times New Roman" w:hAnsi="Times New Roman" w:cs="Times New Roman"/>
          <w:sz w:val="20"/>
          <w:szCs w:val="20"/>
          <w:lang w:val="en"/>
        </w:rPr>
        <w:t>tumours</w:t>
      </w:r>
      <w:proofErr w:type="spellEnd"/>
      <w:r w:rsidRPr="003C4D4B">
        <w:rPr>
          <w:rFonts w:ascii="Times New Roman" w:hAnsi="Times New Roman" w:cs="Times New Roman"/>
          <w:sz w:val="20"/>
          <w:szCs w:val="20"/>
          <w:lang w:val="en"/>
        </w:rPr>
        <w:t xml:space="preserve"> overexpress the protein HER2 are treated with Herceptin®. Due to each person's unique genetic makeup, one in every four breast cancer patients has HER2 positivity. It is feasible to </w:t>
      </w:r>
      <w:proofErr w:type="spellStart"/>
      <w:r w:rsidRPr="003C4D4B">
        <w:rPr>
          <w:rFonts w:ascii="Times New Roman" w:hAnsi="Times New Roman" w:cs="Times New Roman"/>
          <w:sz w:val="20"/>
          <w:szCs w:val="20"/>
          <w:lang w:val="en"/>
        </w:rPr>
        <w:t>recognise</w:t>
      </w:r>
      <w:proofErr w:type="spellEnd"/>
      <w:r w:rsidRPr="003C4D4B">
        <w:rPr>
          <w:rFonts w:ascii="Times New Roman" w:hAnsi="Times New Roman" w:cs="Times New Roman"/>
          <w:sz w:val="20"/>
          <w:szCs w:val="20"/>
          <w:lang w:val="en"/>
        </w:rPr>
        <w:t xml:space="preserve"> and treat those who will benefit from Herceptin® by testing all women diagnosed with breast cancer for the hereditary biomarker HER2.The effectiveness of Herceptin® has been seen to enhance with this focused use. As a result, the percentage of women in the targeted group who will respond to the medication is significantly higher than the percentage of women with breast cancer overall who would benefit from it. The risk-benefit ratio of the treatment can be altered by this strategy since fewer patients will have adverse effects (or no therapeutic effect) because the medication is only given to women who are likely to benefit from it. Herceptin®, which had sales of USD 747 million in 2005, is the first example of a successful </w:t>
      </w:r>
      <w:proofErr w:type="spellStart"/>
      <w:r w:rsidRPr="003C4D4B">
        <w:rPr>
          <w:rFonts w:ascii="Times New Roman" w:hAnsi="Times New Roman" w:cs="Times New Roman"/>
          <w:sz w:val="20"/>
          <w:szCs w:val="20"/>
          <w:lang w:val="en"/>
        </w:rPr>
        <w:t>personalised</w:t>
      </w:r>
      <w:proofErr w:type="spellEnd"/>
      <w:r w:rsidRPr="003C4D4B">
        <w:rPr>
          <w:rFonts w:ascii="Times New Roman" w:hAnsi="Times New Roman" w:cs="Times New Roman"/>
          <w:sz w:val="20"/>
          <w:szCs w:val="20"/>
          <w:lang w:val="en"/>
        </w:rPr>
        <w:t xml:space="preserve"> drug. About 37 </w:t>
      </w:r>
      <w:proofErr w:type="spellStart"/>
      <w:r w:rsidRPr="003C4D4B">
        <w:rPr>
          <w:rFonts w:ascii="Times New Roman" w:hAnsi="Times New Roman" w:cs="Times New Roman"/>
          <w:sz w:val="20"/>
          <w:szCs w:val="20"/>
          <w:lang w:val="en"/>
        </w:rPr>
        <w:t>customised</w:t>
      </w:r>
      <w:proofErr w:type="spellEnd"/>
      <w:r w:rsidRPr="003C4D4B">
        <w:rPr>
          <w:rFonts w:ascii="Times New Roman" w:hAnsi="Times New Roman" w:cs="Times New Roman"/>
          <w:sz w:val="20"/>
          <w:szCs w:val="20"/>
          <w:lang w:val="en"/>
        </w:rPr>
        <w:t xml:space="preserve"> medications and the tests that go along with them (also known as </w:t>
      </w:r>
      <w:proofErr w:type="spellStart"/>
      <w:r w:rsidRPr="003C4D4B">
        <w:rPr>
          <w:rFonts w:ascii="Times New Roman" w:hAnsi="Times New Roman" w:cs="Times New Roman"/>
          <w:sz w:val="20"/>
          <w:szCs w:val="20"/>
          <w:lang w:val="en"/>
        </w:rPr>
        <w:t>pharmacogenetic</w:t>
      </w:r>
      <w:proofErr w:type="spellEnd"/>
      <w:r w:rsidRPr="003C4D4B">
        <w:rPr>
          <w:rFonts w:ascii="Times New Roman" w:hAnsi="Times New Roman" w:cs="Times New Roman"/>
          <w:sz w:val="20"/>
          <w:szCs w:val="20"/>
          <w:lang w:val="en"/>
        </w:rPr>
        <w:t xml:space="preserve"> tests) have been available since 2005</w:t>
      </w:r>
      <w:r w:rsidR="00324E70">
        <w:rPr>
          <w:rFonts w:ascii="Times New Roman" w:hAnsi="Times New Roman" w:cs="Times New Roman"/>
          <w:sz w:val="20"/>
          <w:szCs w:val="20"/>
          <w:lang w:val="en"/>
        </w:rPr>
        <w:t xml:space="preserve"> [29]</w:t>
      </w:r>
      <w:r w:rsidRPr="003C4D4B">
        <w:rPr>
          <w:rFonts w:ascii="Times New Roman" w:hAnsi="Times New Roman" w:cs="Times New Roman"/>
          <w:sz w:val="20"/>
          <w:szCs w:val="20"/>
          <w:lang w:val="en"/>
        </w:rPr>
        <w:t>.</w:t>
      </w:r>
    </w:p>
    <w:p w14:paraId="44D167F6"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6341D78B" w14:textId="66E6F1A6" w:rsidR="00474C40" w:rsidRPr="00596124" w:rsidRDefault="00684D02"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Pr>
          <w:rFonts w:ascii="Times New Roman" w:hAnsi="Times New Roman" w:cs="Times New Roman"/>
          <w:b/>
          <w:sz w:val="20"/>
          <w:szCs w:val="20"/>
          <w:lang w:val="en"/>
        </w:rPr>
        <w:t>Role of biomarkers</w:t>
      </w:r>
      <w:r w:rsidR="00474C40" w:rsidRPr="00596124">
        <w:rPr>
          <w:rFonts w:ascii="Times New Roman" w:hAnsi="Times New Roman" w:cs="Times New Roman"/>
          <w:b/>
          <w:sz w:val="20"/>
          <w:szCs w:val="20"/>
          <w:lang w:val="en"/>
        </w:rPr>
        <w:t xml:space="preserve"> for a new health care paradigm</w:t>
      </w:r>
    </w:p>
    <w:p w14:paraId="6FF6E116" w14:textId="4AA176D4"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An ageing population and an increase in the use of pricey technologies like magnetic resonance imaging (MRI) and computed tomography (CT) scans are two major factors contributing to an increase in health care costs across the OECD countries, which have grown at a rate of 4% annually over the last decade and now amount to almost 9% of GDP. Despite these costs, the OECD's health system still requires reform. More than 12% of </w:t>
      </w:r>
      <w:proofErr w:type="spellStart"/>
      <w:r w:rsidRPr="003C4D4B">
        <w:rPr>
          <w:rFonts w:ascii="Times New Roman" w:hAnsi="Times New Roman" w:cs="Times New Roman"/>
          <w:sz w:val="20"/>
          <w:szCs w:val="20"/>
          <w:lang w:val="en"/>
        </w:rPr>
        <w:t>hospitalised</w:t>
      </w:r>
      <w:proofErr w:type="spellEnd"/>
      <w:r w:rsidRPr="003C4D4B">
        <w:rPr>
          <w:rFonts w:ascii="Times New Roman" w:hAnsi="Times New Roman" w:cs="Times New Roman"/>
          <w:sz w:val="20"/>
          <w:szCs w:val="20"/>
          <w:lang w:val="en"/>
        </w:rPr>
        <w:t xml:space="preserve"> patients in Norway experience adverse events, 70% of which could have been avoided, and more than half of which result in disability; in England, it is thought that more effective primary care could have prevented more than 40%, or nearly 1.7 million emergency admissions to hospitals. 5 cost of medical treatment in the Governments all around the world are struggling to strike a balance between their citizens' demands of the greatest healthcare and the necessity for cost control and growth in the developing countries</w:t>
      </w:r>
      <w:r w:rsidR="00324E70">
        <w:rPr>
          <w:rFonts w:ascii="Times New Roman" w:hAnsi="Times New Roman" w:cs="Times New Roman"/>
          <w:sz w:val="20"/>
          <w:szCs w:val="20"/>
          <w:lang w:val="en"/>
        </w:rPr>
        <w:t xml:space="preserve"> [29]</w:t>
      </w:r>
      <w:r w:rsidRPr="003C4D4B">
        <w:rPr>
          <w:rFonts w:ascii="Times New Roman" w:hAnsi="Times New Roman" w:cs="Times New Roman"/>
          <w:sz w:val="20"/>
          <w:szCs w:val="20"/>
          <w:lang w:val="en"/>
        </w:rPr>
        <w:t>.</w:t>
      </w:r>
    </w:p>
    <w:p w14:paraId="0C88F6EB"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6D25F0EA" w14:textId="0720B33E"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sidRPr="003C4D4B">
        <w:rPr>
          <w:rFonts w:ascii="Times New Roman" w:hAnsi="Times New Roman" w:cs="Times New Roman"/>
          <w:b/>
          <w:sz w:val="20"/>
          <w:szCs w:val="20"/>
          <w:lang w:val="en"/>
        </w:rPr>
        <w:t xml:space="preserve">The </w:t>
      </w:r>
      <w:r>
        <w:rPr>
          <w:rFonts w:ascii="Times New Roman" w:hAnsi="Times New Roman" w:cs="Times New Roman"/>
          <w:b/>
          <w:sz w:val="20"/>
          <w:szCs w:val="20"/>
          <w:lang w:val="en"/>
        </w:rPr>
        <w:t>pharmaceutical context</w:t>
      </w:r>
    </w:p>
    <w:p w14:paraId="63983ED0" w14:textId="0195BE7F"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In all OECD nations, pharmaceuticals play a crucial role in the prevention and treatment of disease and have significantly improved patient care. Pharmaceuticals are an effective way to cure many fatal and disabling diseases, </w:t>
      </w:r>
      <w:r w:rsidRPr="003C4D4B">
        <w:rPr>
          <w:rFonts w:ascii="Times New Roman" w:hAnsi="Times New Roman" w:cs="Times New Roman"/>
          <w:sz w:val="20"/>
          <w:szCs w:val="20"/>
          <w:lang w:val="en"/>
        </w:rPr>
        <w:lastRenderedPageBreak/>
        <w:t>and they have greatly enhanced life expectancy in the OECD countries. But during the past ten years, the procedure for finding new drugs and developing them has grown more time-consuming and expensive</w:t>
      </w:r>
      <w:proofErr w:type="gramStart"/>
      <w:r w:rsidRPr="003C4D4B">
        <w:rPr>
          <w:rFonts w:ascii="Times New Roman" w:hAnsi="Times New Roman" w:cs="Times New Roman"/>
          <w:sz w:val="20"/>
          <w:szCs w:val="20"/>
          <w:lang w:val="en"/>
        </w:rPr>
        <w:t>..</w:t>
      </w:r>
      <w:proofErr w:type="gramEnd"/>
      <w:r w:rsidRPr="003C4D4B">
        <w:rPr>
          <w:rFonts w:ascii="Times New Roman" w:hAnsi="Times New Roman" w:cs="Times New Roman"/>
          <w:sz w:val="20"/>
          <w:szCs w:val="20"/>
          <w:lang w:val="en"/>
        </w:rPr>
        <w:t xml:space="preserve"> Withdrawals from well-known drugs like </w:t>
      </w:r>
      <w:proofErr w:type="spellStart"/>
      <w:r w:rsidRPr="003C4D4B">
        <w:rPr>
          <w:rFonts w:ascii="Times New Roman" w:hAnsi="Times New Roman" w:cs="Times New Roman"/>
          <w:sz w:val="20"/>
          <w:szCs w:val="20"/>
          <w:lang w:val="en"/>
        </w:rPr>
        <w:t>Vioxx</w:t>
      </w:r>
      <w:proofErr w:type="spellEnd"/>
      <w:r w:rsidRPr="003C4D4B">
        <w:rPr>
          <w:rFonts w:ascii="Times New Roman" w:hAnsi="Times New Roman" w:cs="Times New Roman"/>
          <w:sz w:val="20"/>
          <w:szCs w:val="20"/>
          <w:lang w:val="en"/>
        </w:rPr>
        <w:t xml:space="preserve"> have made the issue worse. From target selection to clinical application, medication development takes an average of 12 years and costs between USD 350 million and USD 1 billion. Poor target identification and validation as well as the failure (attrition) of compounds late in the research phase are major contributors to expense. Costs and attrition seem certain to rise as business is forced to concentrate its efforts on more challenging disease targets, particularly those linked to complex disorders like cancer, diabetes, and asthma</w:t>
      </w:r>
      <w:r w:rsidR="00324E70">
        <w:rPr>
          <w:rFonts w:ascii="Times New Roman" w:hAnsi="Times New Roman" w:cs="Times New Roman"/>
          <w:sz w:val="20"/>
          <w:szCs w:val="20"/>
          <w:lang w:val="en"/>
        </w:rPr>
        <w:t xml:space="preserve"> [29]</w:t>
      </w:r>
      <w:r w:rsidRPr="003C4D4B">
        <w:rPr>
          <w:rFonts w:ascii="Times New Roman" w:hAnsi="Times New Roman" w:cs="Times New Roman"/>
          <w:sz w:val="20"/>
          <w:szCs w:val="20"/>
          <w:lang w:val="en"/>
        </w:rPr>
        <w:t>.</w:t>
      </w:r>
    </w:p>
    <w:p w14:paraId="2C898604"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62AE8A80" w14:textId="4D4A0AB4"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b/>
          <w:sz w:val="20"/>
          <w:szCs w:val="20"/>
          <w:lang w:val="en"/>
        </w:rPr>
        <w:t>The clinical context</w:t>
      </w:r>
    </w:p>
    <w:p w14:paraId="5D0441A4" w14:textId="77777777" w:rsidR="00474C40" w:rsidRDefault="00474C40" w:rsidP="008B6FC5">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Evidence-based medicine has already benefited significantly from the clinical application of biomarkers. The amount of diagnostic and pharmacogenetics-based tests that are currently offered to support physicians' decision-making process serves as the finest example of this. In order to diagnose latent or subclin</w:t>
      </w:r>
      <w:r>
        <w:rPr>
          <w:rFonts w:ascii="Times New Roman" w:hAnsi="Times New Roman" w:cs="Times New Roman"/>
          <w:sz w:val="20"/>
          <w:szCs w:val="20"/>
          <w:lang w:val="en"/>
        </w:rPr>
        <w:t xml:space="preserve">ical disease, these tests can </w:t>
      </w:r>
    </w:p>
    <w:p w14:paraId="07571510" w14:textId="77777777" w:rsidR="00474C40" w:rsidRDefault="00474C40" w:rsidP="00084EEA">
      <w:pPr>
        <w:pStyle w:val="ListParagraph"/>
        <w:numPr>
          <w:ilvl w:val="0"/>
          <w:numId w:val="11"/>
        </w:num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Help in diagnosis of latent or subclinical disease; </w:t>
      </w:r>
    </w:p>
    <w:p w14:paraId="32CFAA2E" w14:textId="77777777" w:rsidR="00474C40" w:rsidRPr="00596124" w:rsidRDefault="00474C40" w:rsidP="00084EEA">
      <w:pPr>
        <w:pStyle w:val="ListParagraph"/>
        <w:numPr>
          <w:ilvl w:val="0"/>
          <w:numId w:val="11"/>
        </w:numPr>
        <w:spacing w:after="0" w:line="240" w:lineRule="auto"/>
        <w:jc w:val="both"/>
        <w:rPr>
          <w:rFonts w:ascii="Times New Roman" w:hAnsi="Times New Roman" w:cs="Times New Roman"/>
          <w:sz w:val="20"/>
          <w:szCs w:val="20"/>
        </w:rPr>
      </w:pPr>
      <w:r w:rsidRPr="00596124">
        <w:rPr>
          <w:rFonts w:ascii="Times New Roman" w:hAnsi="Times New Roman" w:cs="Times New Roman"/>
          <w:sz w:val="20"/>
          <w:szCs w:val="20"/>
          <w:lang w:val="en"/>
        </w:rPr>
        <w:t xml:space="preserve">Assist in determining who will respond and not respond to a treatment; </w:t>
      </w:r>
    </w:p>
    <w:p w14:paraId="63C0765C" w14:textId="77777777" w:rsidR="00474C40" w:rsidRPr="00596124" w:rsidRDefault="00474C40" w:rsidP="00084EEA">
      <w:pPr>
        <w:pStyle w:val="ListParagraph"/>
        <w:numPr>
          <w:ilvl w:val="0"/>
          <w:numId w:val="11"/>
        </w:numPr>
        <w:spacing w:after="0" w:line="240" w:lineRule="auto"/>
        <w:jc w:val="both"/>
        <w:rPr>
          <w:rFonts w:ascii="Times New Roman" w:hAnsi="Times New Roman" w:cs="Times New Roman"/>
          <w:sz w:val="20"/>
          <w:szCs w:val="20"/>
        </w:rPr>
      </w:pPr>
      <w:r w:rsidRPr="00596124">
        <w:rPr>
          <w:rFonts w:ascii="Times New Roman" w:hAnsi="Times New Roman" w:cs="Times New Roman"/>
          <w:sz w:val="20"/>
          <w:szCs w:val="20"/>
          <w:lang w:val="en"/>
        </w:rPr>
        <w:t>Assist in determining the proper doses for responders; and</w:t>
      </w:r>
    </w:p>
    <w:p w14:paraId="6989847B" w14:textId="3095D904" w:rsidR="00474C40" w:rsidRPr="00596124" w:rsidRDefault="00474C40" w:rsidP="00084EEA">
      <w:pPr>
        <w:pStyle w:val="ListParagraph"/>
        <w:numPr>
          <w:ilvl w:val="0"/>
          <w:numId w:val="11"/>
        </w:numPr>
        <w:spacing w:after="0" w:line="240" w:lineRule="auto"/>
        <w:jc w:val="both"/>
        <w:rPr>
          <w:rFonts w:ascii="Times New Roman" w:hAnsi="Times New Roman" w:cs="Times New Roman"/>
          <w:sz w:val="20"/>
          <w:szCs w:val="20"/>
        </w:rPr>
      </w:pPr>
      <w:r w:rsidRPr="00596124">
        <w:rPr>
          <w:rFonts w:ascii="Times New Roman" w:hAnsi="Times New Roman" w:cs="Times New Roman"/>
          <w:sz w:val="20"/>
          <w:szCs w:val="20"/>
          <w:lang w:val="en"/>
        </w:rPr>
        <w:t>Determine the risk of harmful drug effects or adverse drug reactions, potentially eliminating some patients from treatment</w:t>
      </w:r>
      <w:r w:rsidR="00324E70">
        <w:rPr>
          <w:rFonts w:ascii="Times New Roman" w:hAnsi="Times New Roman" w:cs="Times New Roman"/>
          <w:sz w:val="20"/>
          <w:szCs w:val="20"/>
          <w:lang w:val="en"/>
        </w:rPr>
        <w:t xml:space="preserve"> [30</w:t>
      </w:r>
      <w:proofErr w:type="gramStart"/>
      <w:r w:rsidR="00324E70">
        <w:rPr>
          <w:rFonts w:ascii="Times New Roman" w:hAnsi="Times New Roman" w:cs="Times New Roman"/>
          <w:sz w:val="20"/>
          <w:szCs w:val="20"/>
          <w:lang w:val="en"/>
        </w:rPr>
        <w:t xml:space="preserve">] </w:t>
      </w:r>
      <w:r w:rsidRPr="00596124">
        <w:rPr>
          <w:rFonts w:ascii="Times New Roman" w:hAnsi="Times New Roman" w:cs="Times New Roman"/>
          <w:sz w:val="20"/>
          <w:szCs w:val="20"/>
          <w:lang w:val="en"/>
        </w:rPr>
        <w:t>.</w:t>
      </w:r>
      <w:proofErr w:type="gramEnd"/>
    </w:p>
    <w:p w14:paraId="5BAC5373" w14:textId="43041E9A" w:rsidR="00474C40" w:rsidRPr="003C4D4B" w:rsidRDefault="00CC582B" w:rsidP="00CC582B">
      <w:pPr>
        <w:widowControl w:val="0"/>
        <w:autoSpaceDE w:val="0"/>
        <w:autoSpaceDN w:val="0"/>
        <w:adjustRightInd w:val="0"/>
        <w:spacing w:after="0" w:line="240" w:lineRule="auto"/>
        <w:jc w:val="center"/>
        <w:rPr>
          <w:rFonts w:ascii="Times New Roman" w:hAnsi="Times New Roman" w:cs="Times New Roman"/>
          <w:b/>
          <w:bCs/>
          <w:sz w:val="20"/>
          <w:szCs w:val="20"/>
          <w:lang w:val="en"/>
        </w:rPr>
      </w:pPr>
      <w:r>
        <w:rPr>
          <w:rFonts w:ascii="Times New Roman" w:hAnsi="Times New Roman" w:cs="Times New Roman"/>
          <w:b/>
          <w:bCs/>
          <w:sz w:val="20"/>
          <w:szCs w:val="20"/>
          <w:lang w:val="en"/>
        </w:rPr>
        <w:t xml:space="preserve">XI. </w:t>
      </w:r>
      <w:r w:rsidR="00474C40" w:rsidRPr="003C4D4B">
        <w:rPr>
          <w:rFonts w:ascii="Times New Roman" w:hAnsi="Times New Roman" w:cs="Times New Roman"/>
          <w:b/>
          <w:bCs/>
          <w:sz w:val="20"/>
          <w:szCs w:val="20"/>
          <w:lang w:val="en"/>
        </w:rPr>
        <w:t>Biomarkers: Uses and Restrictions</w:t>
      </w:r>
    </w:p>
    <w:p w14:paraId="7D0A4AC6" w14:textId="37201A9C" w:rsidR="00474C40" w:rsidRPr="003C4D4B" w:rsidRDefault="00474C40" w:rsidP="008B6FC5">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The biomarker is insufficient. In order to demonstrate a reasonable level of reliability, pilot studies should be carried out. The dependability of the biomarkers employed in any inquiry may be impacted by modifications to laboratory personnel, methodology, storage, and transit </w:t>
      </w:r>
      <w:proofErr w:type="spellStart"/>
      <w:r w:rsidRPr="003C4D4B">
        <w:rPr>
          <w:rFonts w:ascii="Times New Roman" w:hAnsi="Times New Roman" w:cs="Times New Roman"/>
          <w:sz w:val="20"/>
          <w:szCs w:val="20"/>
          <w:lang w:val="en"/>
        </w:rPr>
        <w:t>practises</w:t>
      </w:r>
      <w:proofErr w:type="spellEnd"/>
      <w:r w:rsidRPr="003C4D4B">
        <w:rPr>
          <w:rFonts w:ascii="Times New Roman" w:hAnsi="Times New Roman" w:cs="Times New Roman"/>
          <w:sz w:val="20"/>
          <w:szCs w:val="20"/>
          <w:lang w:val="en"/>
        </w:rPr>
        <w:t xml:space="preserve">. To evaluate test-retest agreement and consistency, employ kappa statistics for binary or dichotomous data and </w:t>
      </w:r>
      <w:proofErr w:type="spellStart"/>
      <w:r w:rsidRPr="003C4D4B">
        <w:rPr>
          <w:rFonts w:ascii="Times New Roman" w:hAnsi="Times New Roman" w:cs="Times New Roman"/>
          <w:sz w:val="20"/>
          <w:szCs w:val="20"/>
          <w:lang w:val="en"/>
        </w:rPr>
        <w:t>intraclass</w:t>
      </w:r>
      <w:proofErr w:type="spellEnd"/>
      <w:r w:rsidRPr="003C4D4B">
        <w:rPr>
          <w:rFonts w:ascii="Times New Roman" w:hAnsi="Times New Roman" w:cs="Times New Roman"/>
          <w:sz w:val="20"/>
          <w:szCs w:val="20"/>
          <w:lang w:val="en"/>
        </w:rPr>
        <w:t xml:space="preserve"> correlation coefficients. A biomarker's validity is complicated to assess. Three aspects of measurement validity are </w:t>
      </w:r>
      <w:r w:rsidR="00324E70">
        <w:rPr>
          <w:rFonts w:ascii="Times New Roman" w:hAnsi="Times New Roman" w:cs="Times New Roman"/>
          <w:sz w:val="20"/>
          <w:szCs w:val="20"/>
          <w:lang w:val="en"/>
        </w:rPr>
        <w:t xml:space="preserve">proposed by Schulte and </w:t>
      </w:r>
      <w:proofErr w:type="spellStart"/>
      <w:r w:rsidR="00324E70">
        <w:rPr>
          <w:rFonts w:ascii="Times New Roman" w:hAnsi="Times New Roman" w:cs="Times New Roman"/>
          <w:sz w:val="20"/>
          <w:szCs w:val="20"/>
          <w:lang w:val="en"/>
        </w:rPr>
        <w:t>Perera</w:t>
      </w:r>
      <w:proofErr w:type="spellEnd"/>
      <w:r w:rsidRPr="003C4D4B">
        <w:rPr>
          <w:rFonts w:ascii="Times New Roman" w:hAnsi="Times New Roman" w:cs="Times New Roman"/>
          <w:sz w:val="20"/>
          <w:szCs w:val="20"/>
          <w:lang w:val="en"/>
        </w:rPr>
        <w:t>:</w:t>
      </w:r>
    </w:p>
    <w:p w14:paraId="0EE392A2"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1) Content validity, which demonstrates how closely a biomarker corresponds to the biological process under investigation,</w:t>
      </w:r>
    </w:p>
    <w:p w14:paraId="4B7CF857"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2) Construct validity, which relates to additional pertinent traits or aspects of the disease, such as additional biomarkers or disease signs,</w:t>
      </w:r>
    </w:p>
    <w:p w14:paraId="144FF0E2" w14:textId="1C5574B4"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3) Criterion validity, which is often assessed by sensitivity, specificity, and predictive power, demonstrates how much the biomarker connects with the particular disease</w:t>
      </w:r>
      <w:r w:rsidR="00324E70">
        <w:rPr>
          <w:rFonts w:ascii="Times New Roman" w:hAnsi="Times New Roman" w:cs="Times New Roman"/>
          <w:sz w:val="20"/>
          <w:szCs w:val="20"/>
          <w:lang w:val="en"/>
        </w:rPr>
        <w:t xml:space="preserve"> [31]</w:t>
      </w:r>
      <w:r w:rsidRPr="003C4D4B">
        <w:rPr>
          <w:rFonts w:ascii="Times New Roman" w:hAnsi="Times New Roman" w:cs="Times New Roman"/>
          <w:sz w:val="20"/>
          <w:szCs w:val="20"/>
          <w:lang w:val="en"/>
        </w:rPr>
        <w:t>.</w:t>
      </w:r>
    </w:p>
    <w:p w14:paraId="59D8C852" w14:textId="7C8BB5C7" w:rsidR="00474C40" w:rsidRPr="003C4D4B" w:rsidRDefault="00474C40" w:rsidP="008B6FC5">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Evaluated in terms of sensitivity, speci</w:t>
      </w:r>
      <w:r>
        <w:rPr>
          <w:rFonts w:ascii="Times New Roman" w:hAnsi="Times New Roman" w:cs="Times New Roman"/>
          <w:sz w:val="20"/>
          <w:szCs w:val="20"/>
          <w:lang w:val="en"/>
        </w:rPr>
        <w:t xml:space="preserve">ficity, and predictive ability. </w:t>
      </w:r>
      <w:r w:rsidRPr="003C4D4B">
        <w:rPr>
          <w:rFonts w:ascii="Times New Roman" w:hAnsi="Times New Roman" w:cs="Times New Roman"/>
          <w:sz w:val="20"/>
          <w:szCs w:val="20"/>
          <w:lang w:val="en"/>
        </w:rPr>
        <w:t xml:space="preserve">False positives and false negatives, as well as positive and negative predictive power, should also be assessed in order to more fully assess the impact of disease misclassification. In a perfect world, the biomarker would have a clear predictive value, but this is not always the case. In particular when other tests are employed, receiver- operator characteristic curves can give the tools required to choose the optimal option in terms of sensitivity and false-positive </w:t>
      </w:r>
      <w:proofErr w:type="spellStart"/>
      <w:r w:rsidRPr="003C4D4B">
        <w:rPr>
          <w:rFonts w:ascii="Times New Roman" w:hAnsi="Times New Roman" w:cs="Times New Roman"/>
          <w:sz w:val="20"/>
          <w:szCs w:val="20"/>
          <w:lang w:val="en"/>
        </w:rPr>
        <w:t>rates.it's</w:t>
      </w:r>
      <w:proofErr w:type="spellEnd"/>
      <w:r w:rsidRPr="003C4D4B">
        <w:rPr>
          <w:rFonts w:ascii="Times New Roman" w:hAnsi="Times New Roman" w:cs="Times New Roman"/>
          <w:sz w:val="20"/>
          <w:szCs w:val="20"/>
          <w:lang w:val="en"/>
        </w:rPr>
        <w:t xml:space="preserve"> crucial to decide which option will have the best sensitivity and false- rates, especially when other tests are being used. For chronic progressive illnesses, most people </w:t>
      </w:r>
      <w:r w:rsidR="0097123A" w:rsidRPr="003C4D4B">
        <w:rPr>
          <w:rFonts w:ascii="Times New Roman" w:hAnsi="Times New Roman" w:cs="Times New Roman"/>
          <w:sz w:val="20"/>
          <w:szCs w:val="20"/>
          <w:lang w:val="en"/>
        </w:rPr>
        <w:t xml:space="preserve">positive </w:t>
      </w:r>
      <w:r w:rsidRPr="003C4D4B">
        <w:rPr>
          <w:rFonts w:ascii="Times New Roman" w:hAnsi="Times New Roman" w:cs="Times New Roman"/>
          <w:sz w:val="20"/>
          <w:szCs w:val="20"/>
          <w:lang w:val="en"/>
        </w:rPr>
        <w:t>would agree that screening tests would be ideal. One goal of screening is early detection with the intention of curing the disease completely. Many of the procedures and issues with diagnostic testing also apply to screening. Similar to other diagnostic techniques, sensitivity and specificity provide information about the test's accuracy but not its likelihood of detecting a disease. In order to do that, we must estimate the predictive values (positive and negative)</w:t>
      </w:r>
      <w:r w:rsidR="00324E70">
        <w:rPr>
          <w:rFonts w:ascii="Times New Roman" w:hAnsi="Times New Roman" w:cs="Times New Roman"/>
          <w:sz w:val="20"/>
          <w:szCs w:val="20"/>
          <w:lang w:val="en"/>
        </w:rPr>
        <w:t xml:space="preserve"> [31]</w:t>
      </w:r>
      <w:r w:rsidRPr="003C4D4B">
        <w:rPr>
          <w:rFonts w:ascii="Times New Roman" w:hAnsi="Times New Roman" w:cs="Times New Roman"/>
          <w:sz w:val="20"/>
          <w:szCs w:val="20"/>
          <w:lang w:val="en"/>
        </w:rPr>
        <w:t>.</w:t>
      </w:r>
    </w:p>
    <w:p w14:paraId="575C030B" w14:textId="6DE718DC" w:rsidR="00BE6FC2" w:rsidRPr="00474C40" w:rsidRDefault="00474C40" w:rsidP="008B6FC5">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By increasing the likelihood of disease, diagnostic tests are intended to improve clinical diagnosis, and by definition, the pretest probability would be high. The prior probability is substantially lower for screening, and as a result, the </w:t>
      </w:r>
      <w:r w:rsidRPr="00034654">
        <w:rPr>
          <w:rFonts w:ascii="Times New Roman" w:hAnsi="Times New Roman" w:cs="Times New Roman"/>
          <w:szCs w:val="20"/>
          <w:lang w:val="en"/>
        </w:rPr>
        <w:t xml:space="preserve">PPV will be lower. Therefore, prevalence, or the likelihood of disease in the past, must also be carefully taken into </w:t>
      </w:r>
      <w:r w:rsidRPr="003C4D4B">
        <w:rPr>
          <w:rFonts w:ascii="Times New Roman" w:hAnsi="Times New Roman" w:cs="Times New Roman"/>
          <w:sz w:val="20"/>
          <w:szCs w:val="20"/>
          <w:lang w:val="en"/>
        </w:rPr>
        <w:t>account during screening. These analytical techniques are currently accessible on numerous statistical software packages. The use of the biomarker in the study must be made known by the researcher. Over interpreting biomarker data is the main cause of errors.</w:t>
      </w:r>
      <w:r>
        <w:rPr>
          <w:rFonts w:ascii="Times New Roman" w:hAnsi="Times New Roman" w:cs="Times New Roman"/>
          <w:sz w:val="20"/>
          <w:szCs w:val="20"/>
          <w:lang w:val="en"/>
        </w:rPr>
        <w:t xml:space="preserve"> </w:t>
      </w:r>
      <w:r w:rsidRPr="003C4D4B">
        <w:rPr>
          <w:rFonts w:ascii="Times New Roman" w:hAnsi="Times New Roman" w:cs="Times New Roman"/>
          <w:sz w:val="20"/>
          <w:szCs w:val="20"/>
          <w:lang w:val="en"/>
        </w:rPr>
        <w:t>For instance, the findings of one study may suggest that a certain biomarker (gathered as a gauge of exposure or susceptibility) is highly linked to a given condition or result. The finding is interpreted by the researcher as a biomarker for the illness or the observed outcome, on the other hand. A biomarker of this kind cannot be anticipated to serve as a diagnostic test until it is a disease manifestation, regardless of how high the odds ratio or relative risk may be. For instance, the APOE-4 allele is significantly linked to Alzheimer's disease, but its existence does not imply the existence of the illness. Some people with an APOE-4 allele do not develop Alzheimer's disease, although many pati</w:t>
      </w:r>
      <w:r>
        <w:rPr>
          <w:rFonts w:ascii="Times New Roman" w:hAnsi="Times New Roman" w:cs="Times New Roman"/>
          <w:sz w:val="20"/>
          <w:szCs w:val="20"/>
          <w:lang w:val="en"/>
        </w:rPr>
        <w:t>ents without this condition do</w:t>
      </w:r>
      <w:r w:rsidR="00324E70">
        <w:rPr>
          <w:rFonts w:ascii="Times New Roman" w:hAnsi="Times New Roman" w:cs="Times New Roman"/>
          <w:sz w:val="20"/>
          <w:szCs w:val="20"/>
          <w:lang w:val="en"/>
        </w:rPr>
        <w:t xml:space="preserve"> [31]</w:t>
      </w:r>
      <w:r w:rsidR="006C07AA" w:rsidRPr="000D2F8F">
        <w:rPr>
          <w:rFonts w:ascii="Times New Roman" w:hAnsi="Times New Roman" w:cs="Times New Roman"/>
          <w:sz w:val="20"/>
          <w:szCs w:val="20"/>
        </w:rPr>
        <w:t>.</w:t>
      </w:r>
    </w:p>
    <w:p w14:paraId="1542CD54" w14:textId="16E870F9" w:rsidR="00F64B7F" w:rsidRPr="000D2F8F" w:rsidRDefault="00CC582B" w:rsidP="00CC582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XII.</w:t>
      </w:r>
      <w:r w:rsidR="00F64B7F" w:rsidRPr="000D2F8F">
        <w:rPr>
          <w:rFonts w:ascii="Times New Roman" w:hAnsi="Times New Roman" w:cs="Times New Roman"/>
          <w:b/>
          <w:sz w:val="20"/>
          <w:szCs w:val="20"/>
        </w:rPr>
        <w:t xml:space="preserve"> Reference</w:t>
      </w:r>
    </w:p>
    <w:p w14:paraId="78A61C3D"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sz w:val="16"/>
          <w:szCs w:val="16"/>
        </w:rPr>
        <w:t>Strimbu</w:t>
      </w:r>
      <w:proofErr w:type="spellEnd"/>
      <w:r w:rsidRPr="00084EEA">
        <w:rPr>
          <w:rFonts w:ascii="Times New Roman" w:hAnsi="Times New Roman" w:cs="Times New Roman"/>
          <w:sz w:val="16"/>
          <w:szCs w:val="16"/>
        </w:rPr>
        <w:t xml:space="preserve">, K., &amp; </w:t>
      </w:r>
      <w:proofErr w:type="spellStart"/>
      <w:r w:rsidRPr="00084EEA">
        <w:rPr>
          <w:rFonts w:ascii="Times New Roman" w:hAnsi="Times New Roman" w:cs="Times New Roman"/>
          <w:sz w:val="16"/>
          <w:szCs w:val="16"/>
        </w:rPr>
        <w:t>Tavel</w:t>
      </w:r>
      <w:proofErr w:type="spellEnd"/>
      <w:r w:rsidRPr="00084EEA">
        <w:rPr>
          <w:rFonts w:ascii="Times New Roman" w:hAnsi="Times New Roman" w:cs="Times New Roman"/>
          <w:sz w:val="16"/>
          <w:szCs w:val="16"/>
        </w:rPr>
        <w:t>, J. A. (2010). What are biomarkers</w:t>
      </w:r>
      <w:proofErr w:type="gramStart"/>
      <w:r w:rsidRPr="00084EEA">
        <w:rPr>
          <w:rFonts w:ascii="Times New Roman" w:hAnsi="Times New Roman" w:cs="Times New Roman"/>
          <w:sz w:val="16"/>
          <w:szCs w:val="16"/>
        </w:rPr>
        <w:t>?.</w:t>
      </w:r>
      <w:proofErr w:type="gramEnd"/>
      <w:r w:rsidRPr="00084EEA">
        <w:rPr>
          <w:rFonts w:ascii="Times New Roman" w:hAnsi="Times New Roman" w:cs="Times New Roman"/>
          <w:sz w:val="16"/>
          <w:szCs w:val="16"/>
        </w:rPr>
        <w:t> </w:t>
      </w:r>
      <w:r w:rsidRPr="00084EEA">
        <w:rPr>
          <w:rFonts w:ascii="Times New Roman" w:hAnsi="Times New Roman" w:cs="Times New Roman"/>
          <w:i/>
          <w:iCs/>
          <w:sz w:val="16"/>
          <w:szCs w:val="16"/>
        </w:rPr>
        <w:t>Current Opinion in HIV and AIDS</w:t>
      </w:r>
      <w:r w:rsidRPr="00084EEA">
        <w:rPr>
          <w:rFonts w:ascii="Times New Roman" w:hAnsi="Times New Roman" w:cs="Times New Roman"/>
          <w:sz w:val="16"/>
          <w:szCs w:val="16"/>
        </w:rPr>
        <w:t>, </w:t>
      </w:r>
      <w:r w:rsidRPr="00084EEA">
        <w:rPr>
          <w:rFonts w:ascii="Times New Roman" w:hAnsi="Times New Roman" w:cs="Times New Roman"/>
          <w:i/>
          <w:iCs/>
          <w:sz w:val="16"/>
          <w:szCs w:val="16"/>
        </w:rPr>
        <w:t>5</w:t>
      </w:r>
      <w:r w:rsidRPr="00084EEA">
        <w:rPr>
          <w:rFonts w:ascii="Times New Roman" w:hAnsi="Times New Roman" w:cs="Times New Roman"/>
          <w:sz w:val="16"/>
          <w:szCs w:val="16"/>
        </w:rPr>
        <w:t>(6), 463.</w:t>
      </w:r>
    </w:p>
    <w:p w14:paraId="17964EDE"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 xml:space="preserve">Griffiths, H. R., </w:t>
      </w:r>
      <w:proofErr w:type="spellStart"/>
      <w:r w:rsidRPr="00084EEA">
        <w:rPr>
          <w:rFonts w:ascii="Times New Roman" w:hAnsi="Times New Roman" w:cs="Times New Roman"/>
          <w:sz w:val="16"/>
          <w:szCs w:val="16"/>
        </w:rPr>
        <w:t>Møller</w:t>
      </w:r>
      <w:proofErr w:type="spellEnd"/>
      <w:r w:rsidRPr="00084EEA">
        <w:rPr>
          <w:rFonts w:ascii="Times New Roman" w:hAnsi="Times New Roman" w:cs="Times New Roman"/>
          <w:sz w:val="16"/>
          <w:szCs w:val="16"/>
        </w:rPr>
        <w:t xml:space="preserve">, L., </w:t>
      </w:r>
      <w:proofErr w:type="spellStart"/>
      <w:r w:rsidRPr="00084EEA">
        <w:rPr>
          <w:rFonts w:ascii="Times New Roman" w:hAnsi="Times New Roman" w:cs="Times New Roman"/>
          <w:sz w:val="16"/>
          <w:szCs w:val="16"/>
        </w:rPr>
        <w:t>Bartosz</w:t>
      </w:r>
      <w:proofErr w:type="spellEnd"/>
      <w:r w:rsidRPr="00084EEA">
        <w:rPr>
          <w:rFonts w:ascii="Times New Roman" w:hAnsi="Times New Roman" w:cs="Times New Roman"/>
          <w:sz w:val="16"/>
          <w:szCs w:val="16"/>
        </w:rPr>
        <w:t xml:space="preserve">, G., </w:t>
      </w:r>
      <w:proofErr w:type="spellStart"/>
      <w:r w:rsidRPr="00084EEA">
        <w:rPr>
          <w:rFonts w:ascii="Times New Roman" w:hAnsi="Times New Roman" w:cs="Times New Roman"/>
          <w:sz w:val="16"/>
          <w:szCs w:val="16"/>
        </w:rPr>
        <w:t>Bast</w:t>
      </w:r>
      <w:proofErr w:type="spellEnd"/>
      <w:r w:rsidRPr="00084EEA">
        <w:rPr>
          <w:rFonts w:ascii="Times New Roman" w:hAnsi="Times New Roman" w:cs="Times New Roman"/>
          <w:sz w:val="16"/>
          <w:szCs w:val="16"/>
        </w:rPr>
        <w:t xml:space="preserve">, A., </w:t>
      </w:r>
      <w:proofErr w:type="spellStart"/>
      <w:r w:rsidRPr="00084EEA">
        <w:rPr>
          <w:rFonts w:ascii="Times New Roman" w:hAnsi="Times New Roman" w:cs="Times New Roman"/>
          <w:sz w:val="16"/>
          <w:szCs w:val="16"/>
        </w:rPr>
        <w:t>Bertoni-Freddari</w:t>
      </w:r>
      <w:proofErr w:type="spellEnd"/>
      <w:r w:rsidRPr="00084EEA">
        <w:rPr>
          <w:rFonts w:ascii="Times New Roman" w:hAnsi="Times New Roman" w:cs="Times New Roman"/>
          <w:sz w:val="16"/>
          <w:szCs w:val="16"/>
        </w:rPr>
        <w:t>, C., Collins, A., &amp; Astley, S. B. (2002). Biomarkers. </w:t>
      </w:r>
      <w:r w:rsidRPr="00084EEA">
        <w:rPr>
          <w:rFonts w:ascii="Times New Roman" w:hAnsi="Times New Roman" w:cs="Times New Roman"/>
          <w:i/>
          <w:iCs/>
          <w:sz w:val="16"/>
          <w:szCs w:val="16"/>
        </w:rPr>
        <w:t>Molecular aspects of medicine</w:t>
      </w:r>
      <w:r w:rsidRPr="00084EEA">
        <w:rPr>
          <w:rFonts w:ascii="Times New Roman" w:hAnsi="Times New Roman" w:cs="Times New Roman"/>
          <w:sz w:val="16"/>
          <w:szCs w:val="16"/>
        </w:rPr>
        <w:t>, </w:t>
      </w:r>
      <w:r w:rsidRPr="00084EEA">
        <w:rPr>
          <w:rFonts w:ascii="Times New Roman" w:hAnsi="Times New Roman" w:cs="Times New Roman"/>
          <w:i/>
          <w:iCs/>
          <w:sz w:val="16"/>
          <w:szCs w:val="16"/>
        </w:rPr>
        <w:t>23</w:t>
      </w:r>
      <w:r w:rsidRPr="00084EEA">
        <w:rPr>
          <w:rFonts w:ascii="Times New Roman" w:hAnsi="Times New Roman" w:cs="Times New Roman"/>
          <w:sz w:val="16"/>
          <w:szCs w:val="16"/>
        </w:rPr>
        <w:t>(1-3), 101-208.</w:t>
      </w:r>
    </w:p>
    <w:p w14:paraId="7C5C541D"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sz w:val="16"/>
          <w:szCs w:val="16"/>
        </w:rPr>
        <w:lastRenderedPageBreak/>
        <w:t>Arbitrio</w:t>
      </w:r>
      <w:proofErr w:type="spellEnd"/>
      <w:r w:rsidRPr="00084EEA">
        <w:rPr>
          <w:rFonts w:ascii="Times New Roman" w:hAnsi="Times New Roman" w:cs="Times New Roman"/>
          <w:sz w:val="16"/>
          <w:szCs w:val="16"/>
        </w:rPr>
        <w:t xml:space="preserve">, M., </w:t>
      </w:r>
      <w:proofErr w:type="spellStart"/>
      <w:r w:rsidRPr="00084EEA">
        <w:rPr>
          <w:rFonts w:ascii="Times New Roman" w:hAnsi="Times New Roman" w:cs="Times New Roman"/>
          <w:sz w:val="16"/>
          <w:szCs w:val="16"/>
        </w:rPr>
        <w:t>Scionti</w:t>
      </w:r>
      <w:proofErr w:type="spellEnd"/>
      <w:r w:rsidRPr="00084EEA">
        <w:rPr>
          <w:rFonts w:ascii="Times New Roman" w:hAnsi="Times New Roman" w:cs="Times New Roman"/>
          <w:sz w:val="16"/>
          <w:szCs w:val="16"/>
        </w:rPr>
        <w:t xml:space="preserve">, F., Di Martino, M. T., </w:t>
      </w:r>
      <w:proofErr w:type="spellStart"/>
      <w:r w:rsidRPr="00084EEA">
        <w:rPr>
          <w:rFonts w:ascii="Times New Roman" w:hAnsi="Times New Roman" w:cs="Times New Roman"/>
          <w:sz w:val="16"/>
          <w:szCs w:val="16"/>
        </w:rPr>
        <w:t>Caracciolo</w:t>
      </w:r>
      <w:proofErr w:type="spellEnd"/>
      <w:r w:rsidRPr="00084EEA">
        <w:rPr>
          <w:rFonts w:ascii="Times New Roman" w:hAnsi="Times New Roman" w:cs="Times New Roman"/>
          <w:sz w:val="16"/>
          <w:szCs w:val="16"/>
        </w:rPr>
        <w:t xml:space="preserve">, D., </w:t>
      </w:r>
      <w:proofErr w:type="spellStart"/>
      <w:r w:rsidRPr="00084EEA">
        <w:rPr>
          <w:rFonts w:ascii="Times New Roman" w:hAnsi="Times New Roman" w:cs="Times New Roman"/>
          <w:sz w:val="16"/>
          <w:szCs w:val="16"/>
        </w:rPr>
        <w:t>Pensabene</w:t>
      </w:r>
      <w:proofErr w:type="spellEnd"/>
      <w:r w:rsidRPr="00084EEA">
        <w:rPr>
          <w:rFonts w:ascii="Times New Roman" w:hAnsi="Times New Roman" w:cs="Times New Roman"/>
          <w:sz w:val="16"/>
          <w:szCs w:val="16"/>
        </w:rPr>
        <w:t xml:space="preserve">, L., </w:t>
      </w:r>
      <w:proofErr w:type="spellStart"/>
      <w:r w:rsidRPr="00084EEA">
        <w:rPr>
          <w:rFonts w:ascii="Times New Roman" w:hAnsi="Times New Roman" w:cs="Times New Roman"/>
          <w:sz w:val="16"/>
          <w:szCs w:val="16"/>
        </w:rPr>
        <w:t>Tassone</w:t>
      </w:r>
      <w:proofErr w:type="spellEnd"/>
      <w:r w:rsidRPr="00084EEA">
        <w:rPr>
          <w:rFonts w:ascii="Times New Roman" w:hAnsi="Times New Roman" w:cs="Times New Roman"/>
          <w:sz w:val="16"/>
          <w:szCs w:val="16"/>
        </w:rPr>
        <w:t xml:space="preserve">, P., &amp; </w:t>
      </w:r>
      <w:proofErr w:type="spellStart"/>
      <w:r w:rsidRPr="00084EEA">
        <w:rPr>
          <w:rFonts w:ascii="Times New Roman" w:hAnsi="Times New Roman" w:cs="Times New Roman"/>
          <w:sz w:val="16"/>
          <w:szCs w:val="16"/>
        </w:rPr>
        <w:t>Tagliaferri</w:t>
      </w:r>
      <w:proofErr w:type="spellEnd"/>
      <w:r w:rsidRPr="00084EEA">
        <w:rPr>
          <w:rFonts w:ascii="Times New Roman" w:hAnsi="Times New Roman" w:cs="Times New Roman"/>
          <w:sz w:val="16"/>
          <w:szCs w:val="16"/>
        </w:rPr>
        <w:t>, P. (2021). Pharmacogenomics biomarker discovery and validation for translation in clinical practice. </w:t>
      </w:r>
      <w:r w:rsidRPr="00084EEA">
        <w:rPr>
          <w:rFonts w:ascii="Times New Roman" w:hAnsi="Times New Roman" w:cs="Times New Roman"/>
          <w:i/>
          <w:iCs/>
          <w:sz w:val="16"/>
          <w:szCs w:val="16"/>
        </w:rPr>
        <w:t>Clinical and Translational Science</w:t>
      </w:r>
      <w:r w:rsidRPr="00084EEA">
        <w:rPr>
          <w:rFonts w:ascii="Times New Roman" w:hAnsi="Times New Roman" w:cs="Times New Roman"/>
          <w:sz w:val="16"/>
          <w:szCs w:val="16"/>
        </w:rPr>
        <w:t>, </w:t>
      </w:r>
      <w:r w:rsidRPr="00084EEA">
        <w:rPr>
          <w:rFonts w:ascii="Times New Roman" w:hAnsi="Times New Roman" w:cs="Times New Roman"/>
          <w:i/>
          <w:iCs/>
          <w:sz w:val="16"/>
          <w:szCs w:val="16"/>
        </w:rPr>
        <w:t>14</w:t>
      </w:r>
      <w:r w:rsidRPr="00084EEA">
        <w:rPr>
          <w:rFonts w:ascii="Times New Roman" w:hAnsi="Times New Roman" w:cs="Times New Roman"/>
          <w:sz w:val="16"/>
          <w:szCs w:val="16"/>
        </w:rPr>
        <w:t>(1), 113-119.</w:t>
      </w:r>
    </w:p>
    <w:p w14:paraId="7D13E8F3"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sz w:val="16"/>
          <w:szCs w:val="16"/>
        </w:rPr>
        <w:t>Gromova</w:t>
      </w:r>
      <w:proofErr w:type="spellEnd"/>
      <w:r w:rsidRPr="00084EEA">
        <w:rPr>
          <w:rFonts w:ascii="Times New Roman" w:hAnsi="Times New Roman" w:cs="Times New Roman"/>
          <w:sz w:val="16"/>
          <w:szCs w:val="16"/>
        </w:rPr>
        <w:t xml:space="preserve">, M., </w:t>
      </w:r>
      <w:proofErr w:type="spellStart"/>
      <w:r w:rsidRPr="00084EEA">
        <w:rPr>
          <w:rFonts w:ascii="Times New Roman" w:hAnsi="Times New Roman" w:cs="Times New Roman"/>
          <w:sz w:val="16"/>
          <w:szCs w:val="16"/>
        </w:rPr>
        <w:t>Vaggelas</w:t>
      </w:r>
      <w:proofErr w:type="spellEnd"/>
      <w:r w:rsidRPr="00084EEA">
        <w:rPr>
          <w:rFonts w:ascii="Times New Roman" w:hAnsi="Times New Roman" w:cs="Times New Roman"/>
          <w:sz w:val="16"/>
          <w:szCs w:val="16"/>
        </w:rPr>
        <w:t xml:space="preserve">, A., </w:t>
      </w:r>
      <w:proofErr w:type="spellStart"/>
      <w:r w:rsidRPr="00084EEA">
        <w:rPr>
          <w:rFonts w:ascii="Times New Roman" w:hAnsi="Times New Roman" w:cs="Times New Roman"/>
          <w:sz w:val="16"/>
          <w:szCs w:val="16"/>
        </w:rPr>
        <w:t>Dallmann</w:t>
      </w:r>
      <w:proofErr w:type="spellEnd"/>
      <w:r w:rsidRPr="00084EEA">
        <w:rPr>
          <w:rFonts w:ascii="Times New Roman" w:hAnsi="Times New Roman" w:cs="Times New Roman"/>
          <w:sz w:val="16"/>
          <w:szCs w:val="16"/>
        </w:rPr>
        <w:t xml:space="preserve">, G., &amp; </w:t>
      </w:r>
      <w:proofErr w:type="spellStart"/>
      <w:r w:rsidRPr="00084EEA">
        <w:rPr>
          <w:rFonts w:ascii="Times New Roman" w:hAnsi="Times New Roman" w:cs="Times New Roman"/>
          <w:sz w:val="16"/>
          <w:szCs w:val="16"/>
        </w:rPr>
        <w:t>Seimetz</w:t>
      </w:r>
      <w:proofErr w:type="spellEnd"/>
      <w:r w:rsidRPr="00084EEA">
        <w:rPr>
          <w:rFonts w:ascii="Times New Roman" w:hAnsi="Times New Roman" w:cs="Times New Roman"/>
          <w:sz w:val="16"/>
          <w:szCs w:val="16"/>
        </w:rPr>
        <w:t>, D. (2020). Biomarkers: opportunities and challenges for drug development in the current regulatory landscape. </w:t>
      </w:r>
      <w:r w:rsidRPr="00084EEA">
        <w:rPr>
          <w:rFonts w:ascii="Times New Roman" w:hAnsi="Times New Roman" w:cs="Times New Roman"/>
          <w:i/>
          <w:iCs/>
          <w:sz w:val="16"/>
          <w:szCs w:val="16"/>
        </w:rPr>
        <w:t>Biomarker insights</w:t>
      </w:r>
      <w:r w:rsidRPr="00084EEA">
        <w:rPr>
          <w:rFonts w:ascii="Times New Roman" w:hAnsi="Times New Roman" w:cs="Times New Roman"/>
          <w:sz w:val="16"/>
          <w:szCs w:val="16"/>
        </w:rPr>
        <w:t>, </w:t>
      </w:r>
      <w:r w:rsidRPr="00084EEA">
        <w:rPr>
          <w:rFonts w:ascii="Times New Roman" w:hAnsi="Times New Roman" w:cs="Times New Roman"/>
          <w:i/>
          <w:iCs/>
          <w:sz w:val="16"/>
          <w:szCs w:val="16"/>
        </w:rPr>
        <w:t>15</w:t>
      </w:r>
      <w:r w:rsidRPr="00084EEA">
        <w:rPr>
          <w:rFonts w:ascii="Times New Roman" w:hAnsi="Times New Roman" w:cs="Times New Roman"/>
          <w:sz w:val="16"/>
          <w:szCs w:val="16"/>
        </w:rPr>
        <w:t>, 1177271920974652.</w:t>
      </w:r>
    </w:p>
    <w:p w14:paraId="7FDC9B66"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 xml:space="preserve">Aronson, J. K., &amp; </w:t>
      </w:r>
      <w:proofErr w:type="spellStart"/>
      <w:r w:rsidRPr="00084EEA">
        <w:rPr>
          <w:rFonts w:ascii="Times New Roman" w:hAnsi="Times New Roman" w:cs="Times New Roman"/>
          <w:sz w:val="16"/>
          <w:szCs w:val="16"/>
        </w:rPr>
        <w:t>Ferner</w:t>
      </w:r>
      <w:proofErr w:type="spellEnd"/>
      <w:r w:rsidRPr="00084EEA">
        <w:rPr>
          <w:rFonts w:ascii="Times New Roman" w:hAnsi="Times New Roman" w:cs="Times New Roman"/>
          <w:sz w:val="16"/>
          <w:szCs w:val="16"/>
        </w:rPr>
        <w:t>, R. E. (2017). Biomarkers—a general review. </w:t>
      </w:r>
      <w:r w:rsidRPr="00084EEA">
        <w:rPr>
          <w:rFonts w:ascii="Times New Roman" w:hAnsi="Times New Roman" w:cs="Times New Roman"/>
          <w:i/>
          <w:iCs/>
          <w:sz w:val="16"/>
          <w:szCs w:val="16"/>
        </w:rPr>
        <w:t>Current protocols in pharmacology</w:t>
      </w:r>
      <w:r w:rsidRPr="00084EEA">
        <w:rPr>
          <w:rFonts w:ascii="Times New Roman" w:hAnsi="Times New Roman" w:cs="Times New Roman"/>
          <w:sz w:val="16"/>
          <w:szCs w:val="16"/>
        </w:rPr>
        <w:t>, </w:t>
      </w:r>
      <w:r w:rsidRPr="00084EEA">
        <w:rPr>
          <w:rFonts w:ascii="Times New Roman" w:hAnsi="Times New Roman" w:cs="Times New Roman"/>
          <w:i/>
          <w:iCs/>
          <w:sz w:val="16"/>
          <w:szCs w:val="16"/>
        </w:rPr>
        <w:t>76</w:t>
      </w:r>
      <w:r w:rsidRPr="00084EEA">
        <w:rPr>
          <w:rFonts w:ascii="Times New Roman" w:hAnsi="Times New Roman" w:cs="Times New Roman"/>
          <w:sz w:val="16"/>
          <w:szCs w:val="16"/>
        </w:rPr>
        <w:t>(1), 9-23.</w:t>
      </w:r>
    </w:p>
    <w:p w14:paraId="4D429243"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sz w:val="16"/>
          <w:szCs w:val="16"/>
        </w:rPr>
        <w:t>DeGruttola</w:t>
      </w:r>
      <w:proofErr w:type="spellEnd"/>
      <w:r w:rsidRPr="00084EEA">
        <w:rPr>
          <w:rFonts w:ascii="Times New Roman" w:hAnsi="Times New Roman" w:cs="Times New Roman"/>
          <w:sz w:val="16"/>
          <w:szCs w:val="16"/>
        </w:rPr>
        <w:t xml:space="preserve"> D, Fleming TR, Lin DY, Coombs R. (1997). Perspective: Validating surrogate markers: Are we being naïve? J Infect Dis, 127:237–246.</w:t>
      </w:r>
    </w:p>
    <w:p w14:paraId="0DF1F813"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Aronson, J. K. (2005). Biomarkers and surrogate endpoints. </w:t>
      </w:r>
      <w:r w:rsidRPr="00084EEA">
        <w:rPr>
          <w:rFonts w:ascii="Times New Roman" w:hAnsi="Times New Roman" w:cs="Times New Roman"/>
          <w:i/>
          <w:iCs/>
          <w:sz w:val="16"/>
          <w:szCs w:val="16"/>
        </w:rPr>
        <w:t>British journal of clinical pharmacology</w:t>
      </w:r>
      <w:r w:rsidRPr="00084EEA">
        <w:rPr>
          <w:rFonts w:ascii="Times New Roman" w:hAnsi="Times New Roman" w:cs="Times New Roman"/>
          <w:sz w:val="16"/>
          <w:szCs w:val="16"/>
        </w:rPr>
        <w:t>, </w:t>
      </w:r>
      <w:r w:rsidRPr="00084EEA">
        <w:rPr>
          <w:rFonts w:ascii="Times New Roman" w:hAnsi="Times New Roman" w:cs="Times New Roman"/>
          <w:i/>
          <w:iCs/>
          <w:sz w:val="16"/>
          <w:szCs w:val="16"/>
        </w:rPr>
        <w:t>59</w:t>
      </w:r>
      <w:r w:rsidRPr="00084EEA">
        <w:rPr>
          <w:rFonts w:ascii="Times New Roman" w:hAnsi="Times New Roman" w:cs="Times New Roman"/>
          <w:sz w:val="16"/>
          <w:szCs w:val="16"/>
        </w:rPr>
        <w:t>(5), 491.</w:t>
      </w:r>
    </w:p>
    <w:p w14:paraId="16C69B51"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 xml:space="preserve">Pruett, S., Hébert, P., </w:t>
      </w:r>
      <w:proofErr w:type="spellStart"/>
      <w:r w:rsidRPr="00084EEA">
        <w:rPr>
          <w:rFonts w:ascii="Times New Roman" w:hAnsi="Times New Roman" w:cs="Times New Roman"/>
          <w:sz w:val="16"/>
          <w:szCs w:val="16"/>
        </w:rPr>
        <w:t>Lapointe</w:t>
      </w:r>
      <w:proofErr w:type="spellEnd"/>
      <w:r w:rsidRPr="00084EEA">
        <w:rPr>
          <w:rFonts w:ascii="Times New Roman" w:hAnsi="Times New Roman" w:cs="Times New Roman"/>
          <w:sz w:val="16"/>
          <w:szCs w:val="16"/>
        </w:rPr>
        <w:t>, J. M., Reagan, W., Lawton, M., &amp; Kawabata, T. T. (2007). Characterization of the action of drug-induced stress responses on the immune system: evaluation of biomarkers for drug-induced stress in rats. </w:t>
      </w:r>
      <w:r w:rsidRPr="00084EEA">
        <w:rPr>
          <w:rFonts w:ascii="Times New Roman" w:hAnsi="Times New Roman" w:cs="Times New Roman"/>
          <w:i/>
          <w:iCs/>
          <w:sz w:val="16"/>
          <w:szCs w:val="16"/>
        </w:rPr>
        <w:t xml:space="preserve">Journal of </w:t>
      </w:r>
      <w:proofErr w:type="spellStart"/>
      <w:r w:rsidRPr="00084EEA">
        <w:rPr>
          <w:rFonts w:ascii="Times New Roman" w:hAnsi="Times New Roman" w:cs="Times New Roman"/>
          <w:i/>
          <w:iCs/>
          <w:sz w:val="16"/>
          <w:szCs w:val="16"/>
        </w:rPr>
        <w:t>immunotoxicology</w:t>
      </w:r>
      <w:proofErr w:type="spellEnd"/>
      <w:r w:rsidRPr="00084EEA">
        <w:rPr>
          <w:rFonts w:ascii="Times New Roman" w:hAnsi="Times New Roman" w:cs="Times New Roman"/>
          <w:sz w:val="16"/>
          <w:szCs w:val="16"/>
        </w:rPr>
        <w:t>, </w:t>
      </w:r>
      <w:r w:rsidRPr="00084EEA">
        <w:rPr>
          <w:rFonts w:ascii="Times New Roman" w:hAnsi="Times New Roman" w:cs="Times New Roman"/>
          <w:i/>
          <w:iCs/>
          <w:sz w:val="16"/>
          <w:szCs w:val="16"/>
        </w:rPr>
        <w:t>4</w:t>
      </w:r>
      <w:r w:rsidRPr="00084EEA">
        <w:rPr>
          <w:rFonts w:ascii="Times New Roman" w:hAnsi="Times New Roman" w:cs="Times New Roman"/>
          <w:sz w:val="16"/>
          <w:szCs w:val="16"/>
        </w:rPr>
        <w:t>(1), 25-38.</w:t>
      </w:r>
    </w:p>
    <w:p w14:paraId="5C411E8F"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Bravo-</w:t>
      </w:r>
      <w:proofErr w:type="spellStart"/>
      <w:r w:rsidRPr="00084EEA">
        <w:rPr>
          <w:rFonts w:ascii="Times New Roman" w:hAnsi="Times New Roman" w:cs="Times New Roman"/>
          <w:sz w:val="16"/>
          <w:szCs w:val="16"/>
        </w:rPr>
        <w:t>Merodio</w:t>
      </w:r>
      <w:proofErr w:type="spellEnd"/>
      <w:r w:rsidRPr="00084EEA">
        <w:rPr>
          <w:rFonts w:ascii="Times New Roman" w:hAnsi="Times New Roman" w:cs="Times New Roman"/>
          <w:sz w:val="16"/>
          <w:szCs w:val="16"/>
        </w:rPr>
        <w:t xml:space="preserve">, L., </w:t>
      </w:r>
      <w:proofErr w:type="spellStart"/>
      <w:r w:rsidRPr="00084EEA">
        <w:rPr>
          <w:rFonts w:ascii="Times New Roman" w:hAnsi="Times New Roman" w:cs="Times New Roman"/>
          <w:sz w:val="16"/>
          <w:szCs w:val="16"/>
        </w:rPr>
        <w:t>Acharjee</w:t>
      </w:r>
      <w:proofErr w:type="spellEnd"/>
      <w:r w:rsidRPr="00084EEA">
        <w:rPr>
          <w:rFonts w:ascii="Times New Roman" w:hAnsi="Times New Roman" w:cs="Times New Roman"/>
          <w:sz w:val="16"/>
          <w:szCs w:val="16"/>
        </w:rPr>
        <w:t xml:space="preserve">, A., Russ, D., </w:t>
      </w:r>
      <w:proofErr w:type="spellStart"/>
      <w:r w:rsidRPr="00084EEA">
        <w:rPr>
          <w:rFonts w:ascii="Times New Roman" w:hAnsi="Times New Roman" w:cs="Times New Roman"/>
          <w:sz w:val="16"/>
          <w:szCs w:val="16"/>
        </w:rPr>
        <w:t>Bisht</w:t>
      </w:r>
      <w:proofErr w:type="spellEnd"/>
      <w:r w:rsidRPr="00084EEA">
        <w:rPr>
          <w:rFonts w:ascii="Times New Roman" w:hAnsi="Times New Roman" w:cs="Times New Roman"/>
          <w:sz w:val="16"/>
          <w:szCs w:val="16"/>
        </w:rPr>
        <w:t xml:space="preserve">, V., Williams, J. A., </w:t>
      </w:r>
      <w:proofErr w:type="spellStart"/>
      <w:r w:rsidRPr="00084EEA">
        <w:rPr>
          <w:rFonts w:ascii="Times New Roman" w:hAnsi="Times New Roman" w:cs="Times New Roman"/>
          <w:sz w:val="16"/>
          <w:szCs w:val="16"/>
        </w:rPr>
        <w:t>Tsaprouni</w:t>
      </w:r>
      <w:proofErr w:type="spellEnd"/>
      <w:r w:rsidRPr="00084EEA">
        <w:rPr>
          <w:rFonts w:ascii="Times New Roman" w:hAnsi="Times New Roman" w:cs="Times New Roman"/>
          <w:sz w:val="16"/>
          <w:szCs w:val="16"/>
        </w:rPr>
        <w:t xml:space="preserve">, L. G., &amp; </w:t>
      </w:r>
      <w:proofErr w:type="spellStart"/>
      <w:r w:rsidRPr="00084EEA">
        <w:rPr>
          <w:rFonts w:ascii="Times New Roman" w:hAnsi="Times New Roman" w:cs="Times New Roman"/>
          <w:sz w:val="16"/>
          <w:szCs w:val="16"/>
        </w:rPr>
        <w:t>Gkoutos</w:t>
      </w:r>
      <w:proofErr w:type="spellEnd"/>
      <w:r w:rsidRPr="00084EEA">
        <w:rPr>
          <w:rFonts w:ascii="Times New Roman" w:hAnsi="Times New Roman" w:cs="Times New Roman"/>
          <w:sz w:val="16"/>
          <w:szCs w:val="16"/>
        </w:rPr>
        <w:t>, G. V. (2021). Translational biomarkers in the era of precision medicine. </w:t>
      </w:r>
      <w:r w:rsidRPr="00084EEA">
        <w:rPr>
          <w:rFonts w:ascii="Times New Roman" w:hAnsi="Times New Roman" w:cs="Times New Roman"/>
          <w:i/>
          <w:iCs/>
          <w:sz w:val="16"/>
          <w:szCs w:val="16"/>
        </w:rPr>
        <w:t>Advances in clinical chemistry</w:t>
      </w:r>
      <w:r w:rsidRPr="00084EEA">
        <w:rPr>
          <w:rFonts w:ascii="Times New Roman" w:hAnsi="Times New Roman" w:cs="Times New Roman"/>
          <w:sz w:val="16"/>
          <w:szCs w:val="16"/>
        </w:rPr>
        <w:t>, </w:t>
      </w:r>
      <w:r w:rsidRPr="00084EEA">
        <w:rPr>
          <w:rFonts w:ascii="Times New Roman" w:hAnsi="Times New Roman" w:cs="Times New Roman"/>
          <w:i/>
          <w:iCs/>
          <w:sz w:val="16"/>
          <w:szCs w:val="16"/>
        </w:rPr>
        <w:t>102</w:t>
      </w:r>
      <w:r w:rsidRPr="00084EEA">
        <w:rPr>
          <w:rFonts w:ascii="Times New Roman" w:hAnsi="Times New Roman" w:cs="Times New Roman"/>
          <w:sz w:val="16"/>
          <w:szCs w:val="16"/>
        </w:rPr>
        <w:t>, 191-232.</w:t>
      </w:r>
    </w:p>
    <w:p w14:paraId="493E2D43"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Chen, C. J., Hsu, L. I., Wang, C. H., Shih, W. L., Hsu, Y. H., Tseng, M. P., ... &amp; Wu, M. M. (2005). Biomarkers of exposure, effect, and susceptibility of arsenic-induced health hazards in Taiwan. </w:t>
      </w:r>
      <w:r w:rsidRPr="00084EEA">
        <w:rPr>
          <w:rFonts w:ascii="Times New Roman" w:hAnsi="Times New Roman" w:cs="Times New Roman"/>
          <w:i/>
          <w:iCs/>
          <w:sz w:val="16"/>
          <w:szCs w:val="16"/>
        </w:rPr>
        <w:t>Toxicology and applied pharmacology</w:t>
      </w:r>
      <w:r w:rsidRPr="00084EEA">
        <w:rPr>
          <w:rFonts w:ascii="Times New Roman" w:hAnsi="Times New Roman" w:cs="Times New Roman"/>
          <w:sz w:val="16"/>
          <w:szCs w:val="16"/>
        </w:rPr>
        <w:t>, </w:t>
      </w:r>
      <w:r w:rsidRPr="00084EEA">
        <w:rPr>
          <w:rFonts w:ascii="Times New Roman" w:hAnsi="Times New Roman" w:cs="Times New Roman"/>
          <w:i/>
          <w:iCs/>
          <w:sz w:val="16"/>
          <w:szCs w:val="16"/>
        </w:rPr>
        <w:t>206</w:t>
      </w:r>
      <w:r w:rsidRPr="00084EEA">
        <w:rPr>
          <w:rFonts w:ascii="Times New Roman" w:hAnsi="Times New Roman" w:cs="Times New Roman"/>
          <w:sz w:val="16"/>
          <w:szCs w:val="16"/>
        </w:rPr>
        <w:t>(2), 198-206.</w:t>
      </w:r>
    </w:p>
    <w:p w14:paraId="715B50F5"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sz w:val="16"/>
          <w:szCs w:val="16"/>
        </w:rPr>
        <w:t>Norppa</w:t>
      </w:r>
      <w:proofErr w:type="spellEnd"/>
      <w:r w:rsidRPr="00084EEA">
        <w:rPr>
          <w:rFonts w:ascii="Times New Roman" w:hAnsi="Times New Roman" w:cs="Times New Roman"/>
          <w:sz w:val="16"/>
          <w:szCs w:val="16"/>
        </w:rPr>
        <w:t xml:space="preserve">, H. (2003). Genetic susceptibility, biomarker </w:t>
      </w:r>
      <w:proofErr w:type="spellStart"/>
      <w:r w:rsidRPr="00084EEA">
        <w:rPr>
          <w:rFonts w:ascii="Times New Roman" w:hAnsi="Times New Roman" w:cs="Times New Roman"/>
          <w:sz w:val="16"/>
          <w:szCs w:val="16"/>
        </w:rPr>
        <w:t>respones</w:t>
      </w:r>
      <w:proofErr w:type="spellEnd"/>
      <w:r w:rsidRPr="00084EEA">
        <w:rPr>
          <w:rFonts w:ascii="Times New Roman" w:hAnsi="Times New Roman" w:cs="Times New Roman"/>
          <w:sz w:val="16"/>
          <w:szCs w:val="16"/>
        </w:rPr>
        <w:t>, and cancer. </w:t>
      </w:r>
      <w:r w:rsidRPr="00084EEA">
        <w:rPr>
          <w:rFonts w:ascii="Times New Roman" w:hAnsi="Times New Roman" w:cs="Times New Roman"/>
          <w:i/>
          <w:iCs/>
          <w:sz w:val="16"/>
          <w:szCs w:val="16"/>
        </w:rPr>
        <w:t>Mutation Research/Reviews in Mutation Research</w:t>
      </w:r>
      <w:r w:rsidRPr="00084EEA">
        <w:rPr>
          <w:rFonts w:ascii="Times New Roman" w:hAnsi="Times New Roman" w:cs="Times New Roman"/>
          <w:sz w:val="16"/>
          <w:szCs w:val="16"/>
        </w:rPr>
        <w:t>, </w:t>
      </w:r>
      <w:r w:rsidRPr="00084EEA">
        <w:rPr>
          <w:rFonts w:ascii="Times New Roman" w:hAnsi="Times New Roman" w:cs="Times New Roman"/>
          <w:i/>
          <w:iCs/>
          <w:sz w:val="16"/>
          <w:szCs w:val="16"/>
        </w:rPr>
        <w:t>544</w:t>
      </w:r>
      <w:r w:rsidRPr="00084EEA">
        <w:rPr>
          <w:rFonts w:ascii="Times New Roman" w:hAnsi="Times New Roman" w:cs="Times New Roman"/>
          <w:sz w:val="16"/>
          <w:szCs w:val="16"/>
        </w:rPr>
        <w:t>(2-3), 339-348.</w:t>
      </w:r>
    </w:p>
    <w:p w14:paraId="573DBD3D"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Knudsen, L. E., &amp; Hansen, Å. M. (2007). Biomarkers of intermediate endpoints in environmental and occupational health. </w:t>
      </w:r>
      <w:r w:rsidRPr="00084EEA">
        <w:rPr>
          <w:rFonts w:ascii="Times New Roman" w:hAnsi="Times New Roman" w:cs="Times New Roman"/>
          <w:i/>
          <w:iCs/>
          <w:color w:val="222222"/>
          <w:sz w:val="16"/>
          <w:szCs w:val="16"/>
          <w:shd w:val="clear" w:color="auto" w:fill="FFFFFF"/>
        </w:rPr>
        <w:t>International journal of hygiene and environmental health</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210</w:t>
      </w:r>
      <w:r w:rsidRPr="00084EEA">
        <w:rPr>
          <w:rFonts w:ascii="Times New Roman" w:hAnsi="Times New Roman" w:cs="Times New Roman"/>
          <w:color w:val="222222"/>
          <w:sz w:val="16"/>
          <w:szCs w:val="16"/>
          <w:shd w:val="clear" w:color="auto" w:fill="FFFFFF"/>
        </w:rPr>
        <w:t>(3-4), 461-470.</w:t>
      </w:r>
    </w:p>
    <w:p w14:paraId="7691BF46"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color w:val="222222"/>
          <w:sz w:val="16"/>
          <w:szCs w:val="16"/>
          <w:shd w:val="clear" w:color="auto" w:fill="FFFFFF"/>
        </w:rPr>
        <w:t>Branca</w:t>
      </w:r>
      <w:proofErr w:type="spellEnd"/>
      <w:r w:rsidRPr="00084EEA">
        <w:rPr>
          <w:rFonts w:ascii="Times New Roman" w:hAnsi="Times New Roman" w:cs="Times New Roman"/>
          <w:color w:val="222222"/>
          <w:sz w:val="16"/>
          <w:szCs w:val="16"/>
          <w:shd w:val="clear" w:color="auto" w:fill="FFFFFF"/>
        </w:rPr>
        <w:t>, F., Hanley, A. B., Pool-</w:t>
      </w:r>
      <w:proofErr w:type="spellStart"/>
      <w:r w:rsidRPr="00084EEA">
        <w:rPr>
          <w:rFonts w:ascii="Times New Roman" w:hAnsi="Times New Roman" w:cs="Times New Roman"/>
          <w:color w:val="222222"/>
          <w:sz w:val="16"/>
          <w:szCs w:val="16"/>
          <w:shd w:val="clear" w:color="auto" w:fill="FFFFFF"/>
        </w:rPr>
        <w:t>Zobel</w:t>
      </w:r>
      <w:proofErr w:type="spellEnd"/>
      <w:r w:rsidRPr="00084EEA">
        <w:rPr>
          <w:rFonts w:ascii="Times New Roman" w:hAnsi="Times New Roman" w:cs="Times New Roman"/>
          <w:color w:val="222222"/>
          <w:sz w:val="16"/>
          <w:szCs w:val="16"/>
          <w:shd w:val="clear" w:color="auto" w:fill="FFFFFF"/>
        </w:rPr>
        <w:t xml:space="preserve">, B., &amp; </w:t>
      </w:r>
      <w:proofErr w:type="spellStart"/>
      <w:r w:rsidRPr="00084EEA">
        <w:rPr>
          <w:rFonts w:ascii="Times New Roman" w:hAnsi="Times New Roman" w:cs="Times New Roman"/>
          <w:color w:val="222222"/>
          <w:sz w:val="16"/>
          <w:szCs w:val="16"/>
          <w:shd w:val="clear" w:color="auto" w:fill="FFFFFF"/>
        </w:rPr>
        <w:t>Verhagen</w:t>
      </w:r>
      <w:proofErr w:type="spellEnd"/>
      <w:r w:rsidRPr="00084EEA">
        <w:rPr>
          <w:rFonts w:ascii="Times New Roman" w:hAnsi="Times New Roman" w:cs="Times New Roman"/>
          <w:color w:val="222222"/>
          <w:sz w:val="16"/>
          <w:szCs w:val="16"/>
          <w:shd w:val="clear" w:color="auto" w:fill="FFFFFF"/>
        </w:rPr>
        <w:t>, H. (2001). Biomarkers in disease and health. </w:t>
      </w:r>
      <w:r w:rsidRPr="00084EEA">
        <w:rPr>
          <w:rFonts w:ascii="Times New Roman" w:hAnsi="Times New Roman" w:cs="Times New Roman"/>
          <w:i/>
          <w:iCs/>
          <w:color w:val="222222"/>
          <w:sz w:val="16"/>
          <w:szCs w:val="16"/>
          <w:shd w:val="clear" w:color="auto" w:fill="FFFFFF"/>
        </w:rPr>
        <w:t>British Journal of Nutrition</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86</w:t>
      </w:r>
      <w:r w:rsidRPr="00084EEA">
        <w:rPr>
          <w:rFonts w:ascii="Times New Roman" w:hAnsi="Times New Roman" w:cs="Times New Roman"/>
          <w:color w:val="222222"/>
          <w:sz w:val="16"/>
          <w:szCs w:val="16"/>
          <w:shd w:val="clear" w:color="auto" w:fill="FFFFFF"/>
        </w:rPr>
        <w:t>(S1), S55-S92.</w:t>
      </w:r>
    </w:p>
    <w:p w14:paraId="5063D2C5"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sz w:val="16"/>
          <w:szCs w:val="16"/>
        </w:rPr>
        <w:t>Meijers</w:t>
      </w:r>
      <w:proofErr w:type="spellEnd"/>
      <w:r w:rsidRPr="00084EEA">
        <w:rPr>
          <w:rFonts w:ascii="Times New Roman" w:hAnsi="Times New Roman" w:cs="Times New Roman"/>
          <w:sz w:val="16"/>
          <w:szCs w:val="16"/>
        </w:rPr>
        <w:t xml:space="preserve">, W. C., van der </w:t>
      </w:r>
      <w:proofErr w:type="spellStart"/>
      <w:r w:rsidRPr="00084EEA">
        <w:rPr>
          <w:rFonts w:ascii="Times New Roman" w:hAnsi="Times New Roman" w:cs="Times New Roman"/>
          <w:sz w:val="16"/>
          <w:szCs w:val="16"/>
        </w:rPr>
        <w:t>Velde</w:t>
      </w:r>
      <w:proofErr w:type="spellEnd"/>
      <w:r w:rsidRPr="00084EEA">
        <w:rPr>
          <w:rFonts w:ascii="Times New Roman" w:hAnsi="Times New Roman" w:cs="Times New Roman"/>
          <w:sz w:val="16"/>
          <w:szCs w:val="16"/>
        </w:rPr>
        <w:t xml:space="preserve">, A. R., Muller Kobold, A. C., </w:t>
      </w:r>
      <w:proofErr w:type="spellStart"/>
      <w:r w:rsidRPr="00084EEA">
        <w:rPr>
          <w:rFonts w:ascii="Times New Roman" w:hAnsi="Times New Roman" w:cs="Times New Roman"/>
          <w:sz w:val="16"/>
          <w:szCs w:val="16"/>
        </w:rPr>
        <w:t>Dijck‐Brouwer</w:t>
      </w:r>
      <w:proofErr w:type="spellEnd"/>
      <w:r w:rsidRPr="00084EEA">
        <w:rPr>
          <w:rFonts w:ascii="Times New Roman" w:hAnsi="Times New Roman" w:cs="Times New Roman"/>
          <w:sz w:val="16"/>
          <w:szCs w:val="16"/>
        </w:rPr>
        <w:t>, J., Wu, A. H., Jaffe, A., &amp; de Boer, R. A. (2017). Variability of biomarkers in patients with chronic heart failure and healthy controls. </w:t>
      </w:r>
      <w:r w:rsidRPr="00084EEA">
        <w:rPr>
          <w:rFonts w:ascii="Times New Roman" w:hAnsi="Times New Roman" w:cs="Times New Roman"/>
          <w:i/>
          <w:iCs/>
          <w:sz w:val="16"/>
          <w:szCs w:val="16"/>
        </w:rPr>
        <w:t>European journal of heart failure</w:t>
      </w:r>
      <w:r w:rsidRPr="00084EEA">
        <w:rPr>
          <w:rFonts w:ascii="Times New Roman" w:hAnsi="Times New Roman" w:cs="Times New Roman"/>
          <w:sz w:val="16"/>
          <w:szCs w:val="16"/>
        </w:rPr>
        <w:t>, </w:t>
      </w:r>
      <w:r w:rsidRPr="00084EEA">
        <w:rPr>
          <w:rFonts w:ascii="Times New Roman" w:hAnsi="Times New Roman" w:cs="Times New Roman"/>
          <w:i/>
          <w:iCs/>
          <w:sz w:val="16"/>
          <w:szCs w:val="16"/>
        </w:rPr>
        <w:t>19</w:t>
      </w:r>
      <w:r w:rsidRPr="00084EEA">
        <w:rPr>
          <w:rFonts w:ascii="Times New Roman" w:hAnsi="Times New Roman" w:cs="Times New Roman"/>
          <w:sz w:val="16"/>
          <w:szCs w:val="16"/>
        </w:rPr>
        <w:t>(3), 357-365.</w:t>
      </w:r>
    </w:p>
    <w:p w14:paraId="2099B09A"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sz w:val="16"/>
          <w:szCs w:val="16"/>
        </w:rPr>
        <w:t>Dor</w:t>
      </w:r>
      <w:proofErr w:type="spellEnd"/>
      <w:r w:rsidRPr="00084EEA">
        <w:rPr>
          <w:rFonts w:ascii="Times New Roman" w:hAnsi="Times New Roman" w:cs="Times New Roman"/>
          <w:sz w:val="16"/>
          <w:szCs w:val="16"/>
        </w:rPr>
        <w:t xml:space="preserve">, F., Dab, W., </w:t>
      </w:r>
      <w:proofErr w:type="spellStart"/>
      <w:r w:rsidRPr="00084EEA">
        <w:rPr>
          <w:rFonts w:ascii="Times New Roman" w:hAnsi="Times New Roman" w:cs="Times New Roman"/>
          <w:sz w:val="16"/>
          <w:szCs w:val="16"/>
        </w:rPr>
        <w:t>Empereur-Bissonnet</w:t>
      </w:r>
      <w:proofErr w:type="spellEnd"/>
      <w:r w:rsidRPr="00084EEA">
        <w:rPr>
          <w:rFonts w:ascii="Times New Roman" w:hAnsi="Times New Roman" w:cs="Times New Roman"/>
          <w:sz w:val="16"/>
          <w:szCs w:val="16"/>
        </w:rPr>
        <w:t xml:space="preserve">, P., &amp; </w:t>
      </w:r>
      <w:proofErr w:type="spellStart"/>
      <w:r w:rsidRPr="00084EEA">
        <w:rPr>
          <w:rFonts w:ascii="Times New Roman" w:hAnsi="Times New Roman" w:cs="Times New Roman"/>
          <w:sz w:val="16"/>
          <w:szCs w:val="16"/>
        </w:rPr>
        <w:t>Zmirou</w:t>
      </w:r>
      <w:proofErr w:type="spellEnd"/>
      <w:r w:rsidRPr="00084EEA">
        <w:rPr>
          <w:rFonts w:ascii="Times New Roman" w:hAnsi="Times New Roman" w:cs="Times New Roman"/>
          <w:sz w:val="16"/>
          <w:szCs w:val="16"/>
        </w:rPr>
        <w:t>, D. (1999). Validity of biomarkers in environmental health studies: the case of PAHs and benzene. </w:t>
      </w:r>
      <w:r w:rsidRPr="00084EEA">
        <w:rPr>
          <w:rFonts w:ascii="Times New Roman" w:hAnsi="Times New Roman" w:cs="Times New Roman"/>
          <w:i/>
          <w:iCs/>
          <w:sz w:val="16"/>
          <w:szCs w:val="16"/>
        </w:rPr>
        <w:t>Critical reviews in toxicology</w:t>
      </w:r>
      <w:r w:rsidRPr="00084EEA">
        <w:rPr>
          <w:rFonts w:ascii="Times New Roman" w:hAnsi="Times New Roman" w:cs="Times New Roman"/>
          <w:sz w:val="16"/>
          <w:szCs w:val="16"/>
        </w:rPr>
        <w:t>, </w:t>
      </w:r>
      <w:r w:rsidRPr="00084EEA">
        <w:rPr>
          <w:rFonts w:ascii="Times New Roman" w:hAnsi="Times New Roman" w:cs="Times New Roman"/>
          <w:i/>
          <w:iCs/>
          <w:sz w:val="16"/>
          <w:szCs w:val="16"/>
        </w:rPr>
        <w:t>29</w:t>
      </w:r>
      <w:r w:rsidRPr="00084EEA">
        <w:rPr>
          <w:rFonts w:ascii="Times New Roman" w:hAnsi="Times New Roman" w:cs="Times New Roman"/>
          <w:sz w:val="16"/>
          <w:szCs w:val="16"/>
        </w:rPr>
        <w:t>(2), 129-168.</w:t>
      </w:r>
    </w:p>
    <w:p w14:paraId="4318C00A"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 xml:space="preserve">Mamas, M., Dunn, W. B., </w:t>
      </w:r>
      <w:proofErr w:type="spellStart"/>
      <w:r w:rsidRPr="00084EEA">
        <w:rPr>
          <w:rFonts w:ascii="Times New Roman" w:hAnsi="Times New Roman" w:cs="Times New Roman"/>
          <w:color w:val="222222"/>
          <w:sz w:val="16"/>
          <w:szCs w:val="16"/>
          <w:shd w:val="clear" w:color="auto" w:fill="FFFFFF"/>
        </w:rPr>
        <w:t>Neyses</w:t>
      </w:r>
      <w:proofErr w:type="spellEnd"/>
      <w:r w:rsidRPr="00084EEA">
        <w:rPr>
          <w:rFonts w:ascii="Times New Roman" w:hAnsi="Times New Roman" w:cs="Times New Roman"/>
          <w:color w:val="222222"/>
          <w:sz w:val="16"/>
          <w:szCs w:val="16"/>
          <w:shd w:val="clear" w:color="auto" w:fill="FFFFFF"/>
        </w:rPr>
        <w:t xml:space="preserve">, L., &amp; </w:t>
      </w:r>
      <w:proofErr w:type="spellStart"/>
      <w:r w:rsidRPr="00084EEA">
        <w:rPr>
          <w:rFonts w:ascii="Times New Roman" w:hAnsi="Times New Roman" w:cs="Times New Roman"/>
          <w:color w:val="222222"/>
          <w:sz w:val="16"/>
          <w:szCs w:val="16"/>
          <w:shd w:val="clear" w:color="auto" w:fill="FFFFFF"/>
        </w:rPr>
        <w:t>Goodacre</w:t>
      </w:r>
      <w:proofErr w:type="spellEnd"/>
      <w:r w:rsidRPr="00084EEA">
        <w:rPr>
          <w:rFonts w:ascii="Times New Roman" w:hAnsi="Times New Roman" w:cs="Times New Roman"/>
          <w:color w:val="222222"/>
          <w:sz w:val="16"/>
          <w:szCs w:val="16"/>
          <w:shd w:val="clear" w:color="auto" w:fill="FFFFFF"/>
        </w:rPr>
        <w:t>, R. (2011). The role of metabolites and metabolomics in clinically applicable biomarkers of disease. </w:t>
      </w:r>
      <w:r w:rsidRPr="00084EEA">
        <w:rPr>
          <w:rFonts w:ascii="Times New Roman" w:hAnsi="Times New Roman" w:cs="Times New Roman"/>
          <w:i/>
          <w:iCs/>
          <w:color w:val="222222"/>
          <w:sz w:val="16"/>
          <w:szCs w:val="16"/>
          <w:shd w:val="clear" w:color="auto" w:fill="FFFFFF"/>
        </w:rPr>
        <w:t>Archives of toxicology</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85</w:t>
      </w:r>
      <w:r w:rsidRPr="00084EEA">
        <w:rPr>
          <w:rFonts w:ascii="Times New Roman" w:hAnsi="Times New Roman" w:cs="Times New Roman"/>
          <w:color w:val="222222"/>
          <w:sz w:val="16"/>
          <w:szCs w:val="16"/>
          <w:shd w:val="clear" w:color="auto" w:fill="FFFFFF"/>
        </w:rPr>
        <w:t>(1), 5-17.</w:t>
      </w:r>
    </w:p>
    <w:p w14:paraId="278C0D09"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Hughes, M. F. (2006). Biomarkers of exposure: a case study with inorganic arsenic. </w:t>
      </w:r>
      <w:r w:rsidRPr="00084EEA">
        <w:rPr>
          <w:rFonts w:ascii="Times New Roman" w:hAnsi="Times New Roman" w:cs="Times New Roman"/>
          <w:i/>
          <w:iCs/>
          <w:color w:val="222222"/>
          <w:sz w:val="16"/>
          <w:szCs w:val="16"/>
          <w:shd w:val="clear" w:color="auto" w:fill="FFFFFF"/>
        </w:rPr>
        <w:t>Environmental health perspectives</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114</w:t>
      </w:r>
      <w:r w:rsidRPr="00084EEA">
        <w:rPr>
          <w:rFonts w:ascii="Times New Roman" w:hAnsi="Times New Roman" w:cs="Times New Roman"/>
          <w:color w:val="222222"/>
          <w:sz w:val="16"/>
          <w:szCs w:val="16"/>
          <w:shd w:val="clear" w:color="auto" w:fill="FFFFFF"/>
        </w:rPr>
        <w:t>(11), 1790-1796.</w:t>
      </w:r>
    </w:p>
    <w:p w14:paraId="42DCDE19"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color w:val="222222"/>
          <w:sz w:val="16"/>
          <w:szCs w:val="16"/>
          <w:shd w:val="clear" w:color="auto" w:fill="FFFFFF"/>
        </w:rPr>
        <w:t>Trof</w:t>
      </w:r>
      <w:proofErr w:type="spellEnd"/>
      <w:r w:rsidRPr="00084EEA">
        <w:rPr>
          <w:rFonts w:ascii="Times New Roman" w:hAnsi="Times New Roman" w:cs="Times New Roman"/>
          <w:color w:val="222222"/>
          <w:sz w:val="16"/>
          <w:szCs w:val="16"/>
          <w:shd w:val="clear" w:color="auto" w:fill="FFFFFF"/>
        </w:rPr>
        <w:t xml:space="preserve">, R. J., Di Maggio, F., </w:t>
      </w:r>
      <w:proofErr w:type="spellStart"/>
      <w:r w:rsidRPr="00084EEA">
        <w:rPr>
          <w:rFonts w:ascii="Times New Roman" w:hAnsi="Times New Roman" w:cs="Times New Roman"/>
          <w:color w:val="222222"/>
          <w:sz w:val="16"/>
          <w:szCs w:val="16"/>
          <w:shd w:val="clear" w:color="auto" w:fill="FFFFFF"/>
        </w:rPr>
        <w:t>Leemreis</w:t>
      </w:r>
      <w:proofErr w:type="spellEnd"/>
      <w:r w:rsidRPr="00084EEA">
        <w:rPr>
          <w:rFonts w:ascii="Times New Roman" w:hAnsi="Times New Roman" w:cs="Times New Roman"/>
          <w:color w:val="222222"/>
          <w:sz w:val="16"/>
          <w:szCs w:val="16"/>
          <w:shd w:val="clear" w:color="auto" w:fill="FFFFFF"/>
        </w:rPr>
        <w:t xml:space="preserve">, J., &amp; </w:t>
      </w:r>
      <w:proofErr w:type="spellStart"/>
      <w:r w:rsidRPr="00084EEA">
        <w:rPr>
          <w:rFonts w:ascii="Times New Roman" w:hAnsi="Times New Roman" w:cs="Times New Roman"/>
          <w:color w:val="222222"/>
          <w:sz w:val="16"/>
          <w:szCs w:val="16"/>
          <w:shd w:val="clear" w:color="auto" w:fill="FFFFFF"/>
        </w:rPr>
        <w:t>Groeneveld</w:t>
      </w:r>
      <w:proofErr w:type="spellEnd"/>
      <w:r w:rsidRPr="00084EEA">
        <w:rPr>
          <w:rFonts w:ascii="Times New Roman" w:hAnsi="Times New Roman" w:cs="Times New Roman"/>
          <w:color w:val="222222"/>
          <w:sz w:val="16"/>
          <w:szCs w:val="16"/>
          <w:shd w:val="clear" w:color="auto" w:fill="FFFFFF"/>
        </w:rPr>
        <w:t>, A. J. (2006). Biomarkers of acute renal injury and renal failure. </w:t>
      </w:r>
      <w:r w:rsidRPr="00084EEA">
        <w:rPr>
          <w:rFonts w:ascii="Times New Roman" w:hAnsi="Times New Roman" w:cs="Times New Roman"/>
          <w:i/>
          <w:iCs/>
          <w:color w:val="222222"/>
          <w:sz w:val="16"/>
          <w:szCs w:val="16"/>
          <w:shd w:val="clear" w:color="auto" w:fill="FFFFFF"/>
        </w:rPr>
        <w:t>Shock</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26</w:t>
      </w:r>
      <w:r w:rsidRPr="00084EEA">
        <w:rPr>
          <w:rFonts w:ascii="Times New Roman" w:hAnsi="Times New Roman" w:cs="Times New Roman"/>
          <w:color w:val="222222"/>
          <w:sz w:val="16"/>
          <w:szCs w:val="16"/>
          <w:shd w:val="clear" w:color="auto" w:fill="FFFFFF"/>
        </w:rPr>
        <w:t>(3), 245-253.</w:t>
      </w:r>
    </w:p>
    <w:p w14:paraId="2E413807"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sz w:val="16"/>
          <w:szCs w:val="16"/>
        </w:rPr>
        <w:t>Amacher</w:t>
      </w:r>
      <w:proofErr w:type="spellEnd"/>
      <w:r w:rsidRPr="00084EEA">
        <w:rPr>
          <w:rFonts w:ascii="Times New Roman" w:hAnsi="Times New Roman" w:cs="Times New Roman"/>
          <w:sz w:val="16"/>
          <w:szCs w:val="16"/>
        </w:rPr>
        <w:t>, D. E. (2002). A toxicologist's guide to biomarkers of hepatic response. </w:t>
      </w:r>
      <w:r w:rsidRPr="00084EEA">
        <w:rPr>
          <w:rFonts w:ascii="Times New Roman" w:hAnsi="Times New Roman" w:cs="Times New Roman"/>
          <w:i/>
          <w:iCs/>
          <w:sz w:val="16"/>
          <w:szCs w:val="16"/>
        </w:rPr>
        <w:t>Human &amp; experimental toxicology</w:t>
      </w:r>
      <w:r w:rsidRPr="00084EEA">
        <w:rPr>
          <w:rFonts w:ascii="Times New Roman" w:hAnsi="Times New Roman" w:cs="Times New Roman"/>
          <w:sz w:val="16"/>
          <w:szCs w:val="16"/>
        </w:rPr>
        <w:t>, </w:t>
      </w:r>
      <w:r w:rsidRPr="00084EEA">
        <w:rPr>
          <w:rFonts w:ascii="Times New Roman" w:hAnsi="Times New Roman" w:cs="Times New Roman"/>
          <w:i/>
          <w:iCs/>
          <w:sz w:val="16"/>
          <w:szCs w:val="16"/>
        </w:rPr>
        <w:t>21</w:t>
      </w:r>
      <w:r w:rsidRPr="00084EEA">
        <w:rPr>
          <w:rFonts w:ascii="Times New Roman" w:hAnsi="Times New Roman" w:cs="Times New Roman"/>
          <w:sz w:val="16"/>
          <w:szCs w:val="16"/>
        </w:rPr>
        <w:t>(5), 253-262.</w:t>
      </w:r>
    </w:p>
    <w:p w14:paraId="170F414F"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 xml:space="preserve">Singh, V., </w:t>
      </w:r>
      <w:proofErr w:type="spellStart"/>
      <w:r w:rsidRPr="00084EEA">
        <w:rPr>
          <w:rFonts w:ascii="Times New Roman" w:hAnsi="Times New Roman" w:cs="Times New Roman"/>
          <w:color w:val="222222"/>
          <w:sz w:val="16"/>
          <w:szCs w:val="16"/>
          <w:shd w:val="clear" w:color="auto" w:fill="FFFFFF"/>
        </w:rPr>
        <w:t>Martinezclark</w:t>
      </w:r>
      <w:proofErr w:type="spellEnd"/>
      <w:r w:rsidRPr="00084EEA">
        <w:rPr>
          <w:rFonts w:ascii="Times New Roman" w:hAnsi="Times New Roman" w:cs="Times New Roman"/>
          <w:color w:val="222222"/>
          <w:sz w:val="16"/>
          <w:szCs w:val="16"/>
          <w:shd w:val="clear" w:color="auto" w:fill="FFFFFF"/>
        </w:rPr>
        <w:t xml:space="preserve">, P., </w:t>
      </w:r>
      <w:proofErr w:type="spellStart"/>
      <w:r w:rsidRPr="00084EEA">
        <w:rPr>
          <w:rFonts w:ascii="Times New Roman" w:hAnsi="Times New Roman" w:cs="Times New Roman"/>
          <w:color w:val="222222"/>
          <w:sz w:val="16"/>
          <w:szCs w:val="16"/>
          <w:shd w:val="clear" w:color="auto" w:fill="FFFFFF"/>
        </w:rPr>
        <w:t>Pascual</w:t>
      </w:r>
      <w:proofErr w:type="spellEnd"/>
      <w:r w:rsidRPr="00084EEA">
        <w:rPr>
          <w:rFonts w:ascii="Times New Roman" w:hAnsi="Times New Roman" w:cs="Times New Roman"/>
          <w:color w:val="222222"/>
          <w:sz w:val="16"/>
          <w:szCs w:val="16"/>
          <w:shd w:val="clear" w:color="auto" w:fill="FFFFFF"/>
        </w:rPr>
        <w:t>, M., Shaw, E. S., &amp; O'Neill, W. W. (2010). Cardiac biomarkers–the old and the new: a review. </w:t>
      </w:r>
      <w:r w:rsidRPr="00084EEA">
        <w:rPr>
          <w:rFonts w:ascii="Times New Roman" w:hAnsi="Times New Roman" w:cs="Times New Roman"/>
          <w:i/>
          <w:iCs/>
          <w:color w:val="222222"/>
          <w:sz w:val="16"/>
          <w:szCs w:val="16"/>
          <w:shd w:val="clear" w:color="auto" w:fill="FFFFFF"/>
        </w:rPr>
        <w:t>Coronary artery disease</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21</w:t>
      </w:r>
      <w:r w:rsidRPr="00084EEA">
        <w:rPr>
          <w:rFonts w:ascii="Times New Roman" w:hAnsi="Times New Roman" w:cs="Times New Roman"/>
          <w:color w:val="222222"/>
          <w:sz w:val="16"/>
          <w:szCs w:val="16"/>
          <w:shd w:val="clear" w:color="auto" w:fill="FFFFFF"/>
        </w:rPr>
        <w:t>(4), 244-256.</w:t>
      </w:r>
    </w:p>
    <w:p w14:paraId="3F49223B"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Aldous, S. J. (2013). Cardiac biomarkers in acute myocardial infarction. </w:t>
      </w:r>
      <w:r w:rsidRPr="00084EEA">
        <w:rPr>
          <w:rFonts w:ascii="Times New Roman" w:hAnsi="Times New Roman" w:cs="Times New Roman"/>
          <w:i/>
          <w:iCs/>
          <w:color w:val="222222"/>
          <w:sz w:val="16"/>
          <w:szCs w:val="16"/>
          <w:shd w:val="clear" w:color="auto" w:fill="FFFFFF"/>
        </w:rPr>
        <w:t>International journal of cardiology</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164</w:t>
      </w:r>
      <w:r w:rsidRPr="00084EEA">
        <w:rPr>
          <w:rFonts w:ascii="Times New Roman" w:hAnsi="Times New Roman" w:cs="Times New Roman"/>
          <w:color w:val="222222"/>
          <w:sz w:val="16"/>
          <w:szCs w:val="16"/>
          <w:shd w:val="clear" w:color="auto" w:fill="FFFFFF"/>
        </w:rPr>
        <w:t>(3), 282-294.</w:t>
      </w:r>
    </w:p>
    <w:p w14:paraId="73B3038D"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color w:val="222222"/>
          <w:sz w:val="16"/>
          <w:szCs w:val="16"/>
          <w:shd w:val="clear" w:color="auto" w:fill="FFFFFF"/>
        </w:rPr>
        <w:t>Gromova</w:t>
      </w:r>
      <w:proofErr w:type="spellEnd"/>
      <w:r w:rsidRPr="00084EEA">
        <w:rPr>
          <w:rFonts w:ascii="Times New Roman" w:hAnsi="Times New Roman" w:cs="Times New Roman"/>
          <w:color w:val="222222"/>
          <w:sz w:val="16"/>
          <w:szCs w:val="16"/>
          <w:shd w:val="clear" w:color="auto" w:fill="FFFFFF"/>
        </w:rPr>
        <w:t xml:space="preserve">, M., </w:t>
      </w:r>
      <w:proofErr w:type="spellStart"/>
      <w:r w:rsidRPr="00084EEA">
        <w:rPr>
          <w:rFonts w:ascii="Times New Roman" w:hAnsi="Times New Roman" w:cs="Times New Roman"/>
          <w:color w:val="222222"/>
          <w:sz w:val="16"/>
          <w:szCs w:val="16"/>
          <w:shd w:val="clear" w:color="auto" w:fill="FFFFFF"/>
        </w:rPr>
        <w:t>Vaggelas</w:t>
      </w:r>
      <w:proofErr w:type="spellEnd"/>
      <w:r w:rsidRPr="00084EEA">
        <w:rPr>
          <w:rFonts w:ascii="Times New Roman" w:hAnsi="Times New Roman" w:cs="Times New Roman"/>
          <w:color w:val="222222"/>
          <w:sz w:val="16"/>
          <w:szCs w:val="16"/>
          <w:shd w:val="clear" w:color="auto" w:fill="FFFFFF"/>
        </w:rPr>
        <w:t xml:space="preserve">, A., </w:t>
      </w:r>
      <w:proofErr w:type="spellStart"/>
      <w:r w:rsidRPr="00084EEA">
        <w:rPr>
          <w:rFonts w:ascii="Times New Roman" w:hAnsi="Times New Roman" w:cs="Times New Roman"/>
          <w:color w:val="222222"/>
          <w:sz w:val="16"/>
          <w:szCs w:val="16"/>
          <w:shd w:val="clear" w:color="auto" w:fill="FFFFFF"/>
        </w:rPr>
        <w:t>Dallmann</w:t>
      </w:r>
      <w:proofErr w:type="spellEnd"/>
      <w:r w:rsidRPr="00084EEA">
        <w:rPr>
          <w:rFonts w:ascii="Times New Roman" w:hAnsi="Times New Roman" w:cs="Times New Roman"/>
          <w:color w:val="222222"/>
          <w:sz w:val="16"/>
          <w:szCs w:val="16"/>
          <w:shd w:val="clear" w:color="auto" w:fill="FFFFFF"/>
        </w:rPr>
        <w:t xml:space="preserve">, G., &amp; </w:t>
      </w:r>
      <w:proofErr w:type="spellStart"/>
      <w:r w:rsidRPr="00084EEA">
        <w:rPr>
          <w:rFonts w:ascii="Times New Roman" w:hAnsi="Times New Roman" w:cs="Times New Roman"/>
          <w:color w:val="222222"/>
          <w:sz w:val="16"/>
          <w:szCs w:val="16"/>
          <w:shd w:val="clear" w:color="auto" w:fill="FFFFFF"/>
        </w:rPr>
        <w:t>Seimetz</w:t>
      </w:r>
      <w:proofErr w:type="spellEnd"/>
      <w:r w:rsidRPr="00084EEA">
        <w:rPr>
          <w:rFonts w:ascii="Times New Roman" w:hAnsi="Times New Roman" w:cs="Times New Roman"/>
          <w:color w:val="222222"/>
          <w:sz w:val="16"/>
          <w:szCs w:val="16"/>
          <w:shd w:val="clear" w:color="auto" w:fill="FFFFFF"/>
        </w:rPr>
        <w:t>, D. (2020). Biomarkers: opportunities and challenges for drug development in the current regulatory landscape. </w:t>
      </w:r>
      <w:r w:rsidRPr="00084EEA">
        <w:rPr>
          <w:rFonts w:ascii="Times New Roman" w:hAnsi="Times New Roman" w:cs="Times New Roman"/>
          <w:i/>
          <w:iCs/>
          <w:color w:val="222222"/>
          <w:sz w:val="16"/>
          <w:szCs w:val="16"/>
          <w:shd w:val="clear" w:color="auto" w:fill="FFFFFF"/>
        </w:rPr>
        <w:t>Biomarker insights</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15</w:t>
      </w:r>
      <w:r w:rsidRPr="00084EEA">
        <w:rPr>
          <w:rFonts w:ascii="Times New Roman" w:hAnsi="Times New Roman" w:cs="Times New Roman"/>
          <w:color w:val="222222"/>
          <w:sz w:val="16"/>
          <w:szCs w:val="16"/>
          <w:shd w:val="clear" w:color="auto" w:fill="FFFFFF"/>
        </w:rPr>
        <w:t>, 1177271920974652.</w:t>
      </w:r>
    </w:p>
    <w:p w14:paraId="359C3B6C"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Schuster, D. P. (2007). The opportunities and challenges of developing imaging biomarkers to study lung function and disease. </w:t>
      </w:r>
      <w:r w:rsidRPr="00084EEA">
        <w:rPr>
          <w:rFonts w:ascii="Times New Roman" w:hAnsi="Times New Roman" w:cs="Times New Roman"/>
          <w:i/>
          <w:iCs/>
          <w:color w:val="222222"/>
          <w:sz w:val="16"/>
          <w:szCs w:val="16"/>
          <w:shd w:val="clear" w:color="auto" w:fill="FFFFFF"/>
        </w:rPr>
        <w:t>American journal of respiratory and critical care medicine</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176</w:t>
      </w:r>
      <w:r w:rsidRPr="00084EEA">
        <w:rPr>
          <w:rFonts w:ascii="Times New Roman" w:hAnsi="Times New Roman" w:cs="Times New Roman"/>
          <w:color w:val="222222"/>
          <w:sz w:val="16"/>
          <w:szCs w:val="16"/>
          <w:shd w:val="clear" w:color="auto" w:fill="FFFFFF"/>
        </w:rPr>
        <w:t>(3), 224-230.</w:t>
      </w:r>
    </w:p>
    <w:p w14:paraId="45A07A2C"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 xml:space="preserve">Davis, K.D., </w:t>
      </w:r>
      <w:proofErr w:type="spellStart"/>
      <w:r w:rsidRPr="00084EEA">
        <w:rPr>
          <w:rFonts w:ascii="Times New Roman" w:hAnsi="Times New Roman" w:cs="Times New Roman"/>
          <w:sz w:val="16"/>
          <w:szCs w:val="16"/>
        </w:rPr>
        <w:t>Aghaeepour</w:t>
      </w:r>
      <w:proofErr w:type="spellEnd"/>
      <w:r w:rsidRPr="00084EEA">
        <w:rPr>
          <w:rFonts w:ascii="Times New Roman" w:hAnsi="Times New Roman" w:cs="Times New Roman"/>
          <w:sz w:val="16"/>
          <w:szCs w:val="16"/>
        </w:rPr>
        <w:t xml:space="preserve">, N., </w:t>
      </w:r>
      <w:proofErr w:type="spellStart"/>
      <w:r w:rsidRPr="00084EEA">
        <w:rPr>
          <w:rFonts w:ascii="Times New Roman" w:hAnsi="Times New Roman" w:cs="Times New Roman"/>
          <w:sz w:val="16"/>
          <w:szCs w:val="16"/>
        </w:rPr>
        <w:t>Ahn</w:t>
      </w:r>
      <w:proofErr w:type="spellEnd"/>
      <w:r w:rsidRPr="00084EEA">
        <w:rPr>
          <w:rFonts w:ascii="Times New Roman" w:hAnsi="Times New Roman" w:cs="Times New Roman"/>
          <w:sz w:val="16"/>
          <w:szCs w:val="16"/>
        </w:rPr>
        <w:t>, A.H. </w:t>
      </w:r>
      <w:r w:rsidRPr="00084EEA">
        <w:rPr>
          <w:rFonts w:ascii="Times New Roman" w:hAnsi="Times New Roman" w:cs="Times New Roman"/>
          <w:i/>
          <w:iCs/>
          <w:sz w:val="16"/>
          <w:szCs w:val="16"/>
        </w:rPr>
        <w:t>et al.</w:t>
      </w:r>
      <w:r w:rsidRPr="00084EEA">
        <w:rPr>
          <w:rFonts w:ascii="Times New Roman" w:hAnsi="Times New Roman" w:cs="Times New Roman"/>
          <w:sz w:val="16"/>
          <w:szCs w:val="16"/>
        </w:rPr>
        <w:t> (2020).Discovery and validation of biomarkers to aid the development of safe and effective pain therapeutics: challenges and opportunities. </w:t>
      </w:r>
      <w:r w:rsidRPr="00084EEA">
        <w:rPr>
          <w:rFonts w:ascii="Times New Roman" w:hAnsi="Times New Roman" w:cs="Times New Roman"/>
          <w:i/>
          <w:iCs/>
          <w:sz w:val="16"/>
          <w:szCs w:val="16"/>
        </w:rPr>
        <w:t xml:space="preserve">Nat Rev </w:t>
      </w:r>
      <w:proofErr w:type="spellStart"/>
      <w:r w:rsidRPr="00084EEA">
        <w:rPr>
          <w:rFonts w:ascii="Times New Roman" w:hAnsi="Times New Roman" w:cs="Times New Roman"/>
          <w:i/>
          <w:iCs/>
          <w:sz w:val="16"/>
          <w:szCs w:val="16"/>
        </w:rPr>
        <w:t>Neurol</w:t>
      </w:r>
      <w:proofErr w:type="spellEnd"/>
      <w:r w:rsidRPr="00084EEA">
        <w:rPr>
          <w:rFonts w:ascii="Times New Roman" w:hAnsi="Times New Roman" w:cs="Times New Roman"/>
          <w:sz w:val="16"/>
          <w:szCs w:val="16"/>
        </w:rPr>
        <w:t> ,</w:t>
      </w:r>
      <w:r w:rsidRPr="00084EEA">
        <w:rPr>
          <w:rFonts w:ascii="Times New Roman" w:hAnsi="Times New Roman" w:cs="Times New Roman"/>
          <w:bCs/>
          <w:i/>
          <w:sz w:val="16"/>
          <w:szCs w:val="16"/>
        </w:rPr>
        <w:t xml:space="preserve">16 </w:t>
      </w:r>
      <w:r w:rsidRPr="00084EEA">
        <w:rPr>
          <w:rFonts w:ascii="Times New Roman" w:hAnsi="Times New Roman" w:cs="Times New Roman"/>
          <w:sz w:val="16"/>
          <w:szCs w:val="16"/>
        </w:rPr>
        <w:t xml:space="preserve">, 381–400 </w:t>
      </w:r>
    </w:p>
    <w:p w14:paraId="387BBEF4"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sz w:val="16"/>
          <w:szCs w:val="16"/>
        </w:rPr>
        <w:t>Deyati</w:t>
      </w:r>
      <w:proofErr w:type="spellEnd"/>
      <w:r w:rsidRPr="00084EEA">
        <w:rPr>
          <w:rFonts w:ascii="Times New Roman" w:hAnsi="Times New Roman" w:cs="Times New Roman"/>
          <w:sz w:val="16"/>
          <w:szCs w:val="16"/>
        </w:rPr>
        <w:t xml:space="preserve">, A., </w:t>
      </w:r>
      <w:proofErr w:type="spellStart"/>
      <w:r w:rsidRPr="00084EEA">
        <w:rPr>
          <w:rFonts w:ascii="Times New Roman" w:hAnsi="Times New Roman" w:cs="Times New Roman"/>
          <w:sz w:val="16"/>
          <w:szCs w:val="16"/>
        </w:rPr>
        <w:t>Younesi</w:t>
      </w:r>
      <w:proofErr w:type="spellEnd"/>
      <w:r w:rsidRPr="00084EEA">
        <w:rPr>
          <w:rFonts w:ascii="Times New Roman" w:hAnsi="Times New Roman" w:cs="Times New Roman"/>
          <w:sz w:val="16"/>
          <w:szCs w:val="16"/>
        </w:rPr>
        <w:t>, E., Hofmann-</w:t>
      </w:r>
      <w:proofErr w:type="spellStart"/>
      <w:r w:rsidRPr="00084EEA">
        <w:rPr>
          <w:rFonts w:ascii="Times New Roman" w:hAnsi="Times New Roman" w:cs="Times New Roman"/>
          <w:sz w:val="16"/>
          <w:szCs w:val="16"/>
        </w:rPr>
        <w:t>Apitius</w:t>
      </w:r>
      <w:proofErr w:type="spellEnd"/>
      <w:r w:rsidRPr="00084EEA">
        <w:rPr>
          <w:rFonts w:ascii="Times New Roman" w:hAnsi="Times New Roman" w:cs="Times New Roman"/>
          <w:sz w:val="16"/>
          <w:szCs w:val="16"/>
        </w:rPr>
        <w:t xml:space="preserve">, M., &amp; </w:t>
      </w:r>
      <w:proofErr w:type="spellStart"/>
      <w:r w:rsidRPr="00084EEA">
        <w:rPr>
          <w:rFonts w:ascii="Times New Roman" w:hAnsi="Times New Roman" w:cs="Times New Roman"/>
          <w:sz w:val="16"/>
          <w:szCs w:val="16"/>
        </w:rPr>
        <w:t>Novac</w:t>
      </w:r>
      <w:proofErr w:type="spellEnd"/>
      <w:r w:rsidRPr="00084EEA">
        <w:rPr>
          <w:rFonts w:ascii="Times New Roman" w:hAnsi="Times New Roman" w:cs="Times New Roman"/>
          <w:sz w:val="16"/>
          <w:szCs w:val="16"/>
        </w:rPr>
        <w:t>, N. (2013). Challenges and opportunities for oncology biomarker discovery. </w:t>
      </w:r>
      <w:r w:rsidRPr="00084EEA">
        <w:rPr>
          <w:rFonts w:ascii="Times New Roman" w:hAnsi="Times New Roman" w:cs="Times New Roman"/>
          <w:i/>
          <w:iCs/>
          <w:sz w:val="16"/>
          <w:szCs w:val="16"/>
        </w:rPr>
        <w:t>Drug discovery today</w:t>
      </w:r>
      <w:r w:rsidRPr="00084EEA">
        <w:rPr>
          <w:rFonts w:ascii="Times New Roman" w:hAnsi="Times New Roman" w:cs="Times New Roman"/>
          <w:sz w:val="16"/>
          <w:szCs w:val="16"/>
        </w:rPr>
        <w:t>, </w:t>
      </w:r>
      <w:r w:rsidRPr="00084EEA">
        <w:rPr>
          <w:rFonts w:ascii="Times New Roman" w:hAnsi="Times New Roman" w:cs="Times New Roman"/>
          <w:i/>
          <w:iCs/>
          <w:sz w:val="16"/>
          <w:szCs w:val="16"/>
        </w:rPr>
        <w:t>18</w:t>
      </w:r>
      <w:r w:rsidRPr="00084EEA">
        <w:rPr>
          <w:rFonts w:ascii="Times New Roman" w:hAnsi="Times New Roman" w:cs="Times New Roman"/>
          <w:sz w:val="16"/>
          <w:szCs w:val="16"/>
        </w:rPr>
        <w:t>(13-14), 614-624.</w:t>
      </w:r>
    </w:p>
    <w:p w14:paraId="7E596FBA"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color w:val="222222"/>
          <w:sz w:val="16"/>
          <w:szCs w:val="16"/>
          <w:shd w:val="clear" w:color="auto" w:fill="FFFFFF"/>
        </w:rPr>
        <w:t>Jeste</w:t>
      </w:r>
      <w:proofErr w:type="spellEnd"/>
      <w:r w:rsidRPr="00084EEA">
        <w:rPr>
          <w:rFonts w:ascii="Times New Roman" w:hAnsi="Times New Roman" w:cs="Times New Roman"/>
          <w:color w:val="222222"/>
          <w:sz w:val="16"/>
          <w:szCs w:val="16"/>
          <w:shd w:val="clear" w:color="auto" w:fill="FFFFFF"/>
        </w:rPr>
        <w:t xml:space="preserve">, S. S., </w:t>
      </w:r>
      <w:proofErr w:type="spellStart"/>
      <w:r w:rsidRPr="00084EEA">
        <w:rPr>
          <w:rFonts w:ascii="Times New Roman" w:hAnsi="Times New Roman" w:cs="Times New Roman"/>
          <w:color w:val="222222"/>
          <w:sz w:val="16"/>
          <w:szCs w:val="16"/>
          <w:shd w:val="clear" w:color="auto" w:fill="FFFFFF"/>
        </w:rPr>
        <w:t>Frohlich</w:t>
      </w:r>
      <w:proofErr w:type="spellEnd"/>
      <w:r w:rsidRPr="00084EEA">
        <w:rPr>
          <w:rFonts w:ascii="Times New Roman" w:hAnsi="Times New Roman" w:cs="Times New Roman"/>
          <w:color w:val="222222"/>
          <w:sz w:val="16"/>
          <w:szCs w:val="16"/>
          <w:shd w:val="clear" w:color="auto" w:fill="FFFFFF"/>
        </w:rPr>
        <w:t>, J., &amp; Loo, S. K. (2015). Electrophysiological biomarkers of diagnosis and outcome in neurodevelopmental disorders. </w:t>
      </w:r>
      <w:r w:rsidRPr="00084EEA">
        <w:rPr>
          <w:rFonts w:ascii="Times New Roman" w:hAnsi="Times New Roman" w:cs="Times New Roman"/>
          <w:i/>
          <w:iCs/>
          <w:color w:val="222222"/>
          <w:sz w:val="16"/>
          <w:szCs w:val="16"/>
          <w:shd w:val="clear" w:color="auto" w:fill="FFFFFF"/>
        </w:rPr>
        <w:t>Current opinion in neurology</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28</w:t>
      </w:r>
      <w:r w:rsidRPr="00084EEA">
        <w:rPr>
          <w:rFonts w:ascii="Times New Roman" w:hAnsi="Times New Roman" w:cs="Times New Roman"/>
          <w:color w:val="222222"/>
          <w:sz w:val="16"/>
          <w:szCs w:val="16"/>
          <w:shd w:val="clear" w:color="auto" w:fill="FFFFFF"/>
        </w:rPr>
        <w:t>(2), 110.</w:t>
      </w:r>
    </w:p>
    <w:p w14:paraId="482031A6"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 xml:space="preserve">Duffy, M. J., </w:t>
      </w:r>
      <w:proofErr w:type="spellStart"/>
      <w:r w:rsidRPr="00084EEA">
        <w:rPr>
          <w:rFonts w:ascii="Times New Roman" w:hAnsi="Times New Roman" w:cs="Times New Roman"/>
          <w:color w:val="222222"/>
          <w:sz w:val="16"/>
          <w:szCs w:val="16"/>
          <w:shd w:val="clear" w:color="auto" w:fill="FFFFFF"/>
        </w:rPr>
        <w:t>Harbeck</w:t>
      </w:r>
      <w:proofErr w:type="spellEnd"/>
      <w:r w:rsidRPr="00084EEA">
        <w:rPr>
          <w:rFonts w:ascii="Times New Roman" w:hAnsi="Times New Roman" w:cs="Times New Roman"/>
          <w:color w:val="222222"/>
          <w:sz w:val="16"/>
          <w:szCs w:val="16"/>
          <w:shd w:val="clear" w:color="auto" w:fill="FFFFFF"/>
        </w:rPr>
        <w:t xml:space="preserve">, N., Nap, M., Molina, R., </w:t>
      </w:r>
      <w:proofErr w:type="spellStart"/>
      <w:r w:rsidRPr="00084EEA">
        <w:rPr>
          <w:rFonts w:ascii="Times New Roman" w:hAnsi="Times New Roman" w:cs="Times New Roman"/>
          <w:color w:val="222222"/>
          <w:sz w:val="16"/>
          <w:szCs w:val="16"/>
          <w:shd w:val="clear" w:color="auto" w:fill="FFFFFF"/>
        </w:rPr>
        <w:t>Nicolini</w:t>
      </w:r>
      <w:proofErr w:type="spellEnd"/>
      <w:r w:rsidRPr="00084EEA">
        <w:rPr>
          <w:rFonts w:ascii="Times New Roman" w:hAnsi="Times New Roman" w:cs="Times New Roman"/>
          <w:color w:val="222222"/>
          <w:sz w:val="16"/>
          <w:szCs w:val="16"/>
          <w:shd w:val="clear" w:color="auto" w:fill="FFFFFF"/>
        </w:rPr>
        <w:t xml:space="preserve">, A., </w:t>
      </w:r>
      <w:proofErr w:type="spellStart"/>
      <w:r w:rsidRPr="00084EEA">
        <w:rPr>
          <w:rFonts w:ascii="Times New Roman" w:hAnsi="Times New Roman" w:cs="Times New Roman"/>
          <w:color w:val="222222"/>
          <w:sz w:val="16"/>
          <w:szCs w:val="16"/>
          <w:shd w:val="clear" w:color="auto" w:fill="FFFFFF"/>
        </w:rPr>
        <w:t>Senkus</w:t>
      </w:r>
      <w:proofErr w:type="spellEnd"/>
      <w:r w:rsidRPr="00084EEA">
        <w:rPr>
          <w:rFonts w:ascii="Times New Roman" w:hAnsi="Times New Roman" w:cs="Times New Roman"/>
          <w:color w:val="222222"/>
          <w:sz w:val="16"/>
          <w:szCs w:val="16"/>
          <w:shd w:val="clear" w:color="auto" w:fill="FFFFFF"/>
        </w:rPr>
        <w:t xml:space="preserve">, E., &amp; Cardoso, F. (2017). Clinical use of biomarkers in breast cancer: Updated guidelines from the European Group on </w:t>
      </w:r>
      <w:proofErr w:type="spellStart"/>
      <w:r w:rsidRPr="00084EEA">
        <w:rPr>
          <w:rFonts w:ascii="Times New Roman" w:hAnsi="Times New Roman" w:cs="Times New Roman"/>
          <w:color w:val="222222"/>
          <w:sz w:val="16"/>
          <w:szCs w:val="16"/>
          <w:shd w:val="clear" w:color="auto" w:fill="FFFFFF"/>
        </w:rPr>
        <w:t>Tumor</w:t>
      </w:r>
      <w:proofErr w:type="spellEnd"/>
      <w:r w:rsidRPr="00084EEA">
        <w:rPr>
          <w:rFonts w:ascii="Times New Roman" w:hAnsi="Times New Roman" w:cs="Times New Roman"/>
          <w:color w:val="222222"/>
          <w:sz w:val="16"/>
          <w:szCs w:val="16"/>
          <w:shd w:val="clear" w:color="auto" w:fill="FFFFFF"/>
        </w:rPr>
        <w:t xml:space="preserve"> Markers (EGTM). </w:t>
      </w:r>
      <w:r w:rsidRPr="00084EEA">
        <w:rPr>
          <w:rFonts w:ascii="Times New Roman" w:hAnsi="Times New Roman" w:cs="Times New Roman"/>
          <w:i/>
          <w:iCs/>
          <w:color w:val="222222"/>
          <w:sz w:val="16"/>
          <w:szCs w:val="16"/>
          <w:shd w:val="clear" w:color="auto" w:fill="FFFFFF"/>
        </w:rPr>
        <w:t>European journal of cancer</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75</w:t>
      </w:r>
      <w:r w:rsidRPr="00084EEA">
        <w:rPr>
          <w:rFonts w:ascii="Times New Roman" w:hAnsi="Times New Roman" w:cs="Times New Roman"/>
          <w:color w:val="222222"/>
          <w:sz w:val="16"/>
          <w:szCs w:val="16"/>
          <w:shd w:val="clear" w:color="auto" w:fill="FFFFFF"/>
        </w:rPr>
        <w:t>, 284-298.</w:t>
      </w:r>
    </w:p>
    <w:p w14:paraId="161D898B"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 xml:space="preserve">Ng, S., Strunk, T., Jiang, P., </w:t>
      </w:r>
      <w:proofErr w:type="spellStart"/>
      <w:r w:rsidRPr="00084EEA">
        <w:rPr>
          <w:rFonts w:ascii="Times New Roman" w:hAnsi="Times New Roman" w:cs="Times New Roman"/>
          <w:color w:val="222222"/>
          <w:sz w:val="16"/>
          <w:szCs w:val="16"/>
          <w:shd w:val="clear" w:color="auto" w:fill="FFFFFF"/>
        </w:rPr>
        <w:t>Muk</w:t>
      </w:r>
      <w:proofErr w:type="spellEnd"/>
      <w:r w:rsidRPr="00084EEA">
        <w:rPr>
          <w:rFonts w:ascii="Times New Roman" w:hAnsi="Times New Roman" w:cs="Times New Roman"/>
          <w:color w:val="222222"/>
          <w:sz w:val="16"/>
          <w:szCs w:val="16"/>
          <w:shd w:val="clear" w:color="auto" w:fill="FFFFFF"/>
        </w:rPr>
        <w:t xml:space="preserve">, T., </w:t>
      </w:r>
      <w:proofErr w:type="spellStart"/>
      <w:r w:rsidRPr="00084EEA">
        <w:rPr>
          <w:rFonts w:ascii="Times New Roman" w:hAnsi="Times New Roman" w:cs="Times New Roman"/>
          <w:color w:val="222222"/>
          <w:sz w:val="16"/>
          <w:szCs w:val="16"/>
          <w:shd w:val="clear" w:color="auto" w:fill="FFFFFF"/>
        </w:rPr>
        <w:t>Sangild</w:t>
      </w:r>
      <w:proofErr w:type="spellEnd"/>
      <w:r w:rsidRPr="00084EEA">
        <w:rPr>
          <w:rFonts w:ascii="Times New Roman" w:hAnsi="Times New Roman" w:cs="Times New Roman"/>
          <w:color w:val="222222"/>
          <w:sz w:val="16"/>
          <w:szCs w:val="16"/>
          <w:shd w:val="clear" w:color="auto" w:fill="FFFFFF"/>
        </w:rPr>
        <w:t>, P. T., &amp; Currie, A. (2018). Precision medicine for neonatal sepsis. </w:t>
      </w:r>
      <w:r w:rsidRPr="00084EEA">
        <w:rPr>
          <w:rFonts w:ascii="Times New Roman" w:hAnsi="Times New Roman" w:cs="Times New Roman"/>
          <w:i/>
          <w:iCs/>
          <w:color w:val="222222"/>
          <w:sz w:val="16"/>
          <w:szCs w:val="16"/>
          <w:shd w:val="clear" w:color="auto" w:fill="FFFFFF"/>
        </w:rPr>
        <w:t>Frontiers in molecular biosciences</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5</w:t>
      </w:r>
      <w:r w:rsidRPr="00084EEA">
        <w:rPr>
          <w:rFonts w:ascii="Times New Roman" w:hAnsi="Times New Roman" w:cs="Times New Roman"/>
          <w:color w:val="222222"/>
          <w:sz w:val="16"/>
          <w:szCs w:val="16"/>
          <w:shd w:val="clear" w:color="auto" w:fill="FFFFFF"/>
        </w:rPr>
        <w:t>, 70.</w:t>
      </w:r>
    </w:p>
    <w:p w14:paraId="063263FB"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Pedersen, H. C. B., &amp; Bartlett, J. M. (2020). Predictive Markers for Targeted Breast Cancer Treatment. </w:t>
      </w:r>
      <w:r w:rsidRPr="00084EEA">
        <w:rPr>
          <w:rFonts w:ascii="Times New Roman" w:hAnsi="Times New Roman" w:cs="Times New Roman"/>
          <w:i/>
          <w:iCs/>
          <w:color w:val="222222"/>
          <w:sz w:val="16"/>
          <w:szCs w:val="16"/>
          <w:shd w:val="clear" w:color="auto" w:fill="FFFFFF"/>
        </w:rPr>
        <w:t>Pharmacogenetics of Breast Cancer</w:t>
      </w:r>
      <w:r w:rsidRPr="00084EEA">
        <w:rPr>
          <w:rFonts w:ascii="Times New Roman" w:hAnsi="Times New Roman" w:cs="Times New Roman"/>
          <w:color w:val="222222"/>
          <w:sz w:val="16"/>
          <w:szCs w:val="16"/>
          <w:shd w:val="clear" w:color="auto" w:fill="FFFFFF"/>
        </w:rPr>
        <w:t>, 135-149.</w:t>
      </w:r>
    </w:p>
    <w:p w14:paraId="5632366D"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color w:val="222222"/>
          <w:sz w:val="16"/>
          <w:szCs w:val="16"/>
          <w:shd w:val="clear" w:color="auto" w:fill="FFFFFF"/>
        </w:rPr>
        <w:t>Sethi</w:t>
      </w:r>
      <w:proofErr w:type="spellEnd"/>
      <w:r w:rsidRPr="00084EEA">
        <w:rPr>
          <w:rFonts w:ascii="Times New Roman" w:hAnsi="Times New Roman" w:cs="Times New Roman"/>
          <w:color w:val="222222"/>
          <w:sz w:val="16"/>
          <w:szCs w:val="16"/>
          <w:shd w:val="clear" w:color="auto" w:fill="FFFFFF"/>
        </w:rPr>
        <w:t>, S., Ali, S., Philip, P. A., &amp; Sarkar, F. H. (2013). Clinical advances in molecular biomarkers for cancer diagnosis and therapy. </w:t>
      </w:r>
      <w:r w:rsidRPr="00084EEA">
        <w:rPr>
          <w:rFonts w:ascii="Times New Roman" w:hAnsi="Times New Roman" w:cs="Times New Roman"/>
          <w:i/>
          <w:iCs/>
          <w:color w:val="222222"/>
          <w:sz w:val="16"/>
          <w:szCs w:val="16"/>
          <w:shd w:val="clear" w:color="auto" w:fill="FFFFFF"/>
        </w:rPr>
        <w:t>International journal of molecular sciences</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14</w:t>
      </w:r>
      <w:r w:rsidRPr="00084EEA">
        <w:rPr>
          <w:rFonts w:ascii="Times New Roman" w:hAnsi="Times New Roman" w:cs="Times New Roman"/>
          <w:color w:val="222222"/>
          <w:sz w:val="16"/>
          <w:szCs w:val="16"/>
          <w:shd w:val="clear" w:color="auto" w:fill="FFFFFF"/>
        </w:rPr>
        <w:t>(7), 14771-14784.</w:t>
      </w:r>
    </w:p>
    <w:p w14:paraId="5F5ECDCF"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proofErr w:type="spellStart"/>
      <w:r w:rsidRPr="00084EEA">
        <w:rPr>
          <w:rFonts w:ascii="Times New Roman" w:hAnsi="Times New Roman" w:cs="Times New Roman"/>
          <w:color w:val="222222"/>
          <w:sz w:val="16"/>
          <w:szCs w:val="16"/>
          <w:shd w:val="clear" w:color="auto" w:fill="FFFFFF"/>
        </w:rPr>
        <w:t>Mayeux</w:t>
      </w:r>
      <w:proofErr w:type="spellEnd"/>
      <w:r w:rsidRPr="00084EEA">
        <w:rPr>
          <w:rFonts w:ascii="Times New Roman" w:hAnsi="Times New Roman" w:cs="Times New Roman"/>
          <w:color w:val="222222"/>
          <w:sz w:val="16"/>
          <w:szCs w:val="16"/>
          <w:shd w:val="clear" w:color="auto" w:fill="FFFFFF"/>
        </w:rPr>
        <w:t>, R. (2004). Biomarkers: potential uses and limitations. </w:t>
      </w:r>
      <w:proofErr w:type="spellStart"/>
      <w:r w:rsidRPr="00084EEA">
        <w:rPr>
          <w:rFonts w:ascii="Times New Roman" w:hAnsi="Times New Roman" w:cs="Times New Roman"/>
          <w:i/>
          <w:iCs/>
          <w:color w:val="222222"/>
          <w:sz w:val="16"/>
          <w:szCs w:val="16"/>
          <w:shd w:val="clear" w:color="auto" w:fill="FFFFFF"/>
        </w:rPr>
        <w:t>NeuroRx</w:t>
      </w:r>
      <w:proofErr w:type="spellEnd"/>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w:t>
      </w:r>
      <w:r w:rsidRPr="00084EEA">
        <w:rPr>
          <w:rFonts w:ascii="Times New Roman" w:hAnsi="Times New Roman" w:cs="Times New Roman"/>
          <w:color w:val="222222"/>
          <w:sz w:val="16"/>
          <w:szCs w:val="16"/>
          <w:shd w:val="clear" w:color="auto" w:fill="FFFFFF"/>
        </w:rPr>
        <w:t>(2), 182-188.</w:t>
      </w:r>
    </w:p>
    <w:p w14:paraId="530A72B6" w14:textId="77777777" w:rsidR="006D6584" w:rsidRPr="00084EEA" w:rsidRDefault="006D6584" w:rsidP="00084EEA">
      <w:pPr>
        <w:pStyle w:val="ListParagraph"/>
        <w:spacing w:after="0" w:line="240" w:lineRule="auto"/>
        <w:ind w:left="360"/>
        <w:jc w:val="both"/>
        <w:rPr>
          <w:rFonts w:ascii="Times New Roman" w:hAnsi="Times New Roman" w:cs="Times New Roman"/>
          <w:sz w:val="16"/>
          <w:szCs w:val="16"/>
        </w:rPr>
      </w:pPr>
    </w:p>
    <w:p w14:paraId="039AAAF1" w14:textId="77777777" w:rsidR="00674179" w:rsidRPr="00084EEA" w:rsidRDefault="00674179" w:rsidP="00084EEA">
      <w:pPr>
        <w:spacing w:after="0" w:line="240" w:lineRule="auto"/>
        <w:jc w:val="both"/>
        <w:rPr>
          <w:rFonts w:ascii="Times New Roman" w:hAnsi="Times New Roman" w:cs="Times New Roman"/>
          <w:sz w:val="16"/>
          <w:szCs w:val="16"/>
        </w:rPr>
      </w:pPr>
    </w:p>
    <w:sectPr w:rsidR="00674179" w:rsidRPr="00084EE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50EFE" w14:textId="77777777" w:rsidR="009E7DE3" w:rsidRDefault="009E7DE3" w:rsidP="00FB509C">
      <w:pPr>
        <w:spacing w:after="0" w:line="240" w:lineRule="auto"/>
      </w:pPr>
      <w:r>
        <w:separator/>
      </w:r>
    </w:p>
  </w:endnote>
  <w:endnote w:type="continuationSeparator" w:id="0">
    <w:p w14:paraId="57B375F5" w14:textId="77777777" w:rsidR="009E7DE3" w:rsidRDefault="009E7DE3" w:rsidP="00FB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7DA42" w14:textId="77777777" w:rsidR="009E7DE3" w:rsidRDefault="009E7DE3" w:rsidP="00FB509C">
      <w:pPr>
        <w:spacing w:after="0" w:line="240" w:lineRule="auto"/>
      </w:pPr>
      <w:r>
        <w:separator/>
      </w:r>
    </w:p>
  </w:footnote>
  <w:footnote w:type="continuationSeparator" w:id="0">
    <w:p w14:paraId="54DF0D5C" w14:textId="77777777" w:rsidR="009E7DE3" w:rsidRDefault="009E7DE3" w:rsidP="00FB5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88F"/>
    <w:multiLevelType w:val="hybridMultilevel"/>
    <w:tmpl w:val="A6940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E25651"/>
    <w:multiLevelType w:val="hybridMultilevel"/>
    <w:tmpl w:val="3F089AF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BAD2D91"/>
    <w:multiLevelType w:val="hybridMultilevel"/>
    <w:tmpl w:val="BB72907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B85D3E"/>
    <w:multiLevelType w:val="hybridMultilevel"/>
    <w:tmpl w:val="A9C4363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D5329E"/>
    <w:multiLevelType w:val="hybridMultilevel"/>
    <w:tmpl w:val="1840CE2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3322A8"/>
    <w:multiLevelType w:val="hybridMultilevel"/>
    <w:tmpl w:val="EC0AF684"/>
    <w:lvl w:ilvl="0" w:tplc="40090001">
      <w:start w:val="1"/>
      <w:numFmt w:val="bullet"/>
      <w:lvlText w:val=""/>
      <w:lvlJc w:val="left"/>
      <w:pPr>
        <w:ind w:left="720" w:hanging="360"/>
      </w:pPr>
      <w:rPr>
        <w:rFonts w:ascii="Symbol" w:hAnsi="Symbol" w:hint="default"/>
      </w:rPr>
    </w:lvl>
    <w:lvl w:ilvl="1" w:tplc="E5EEA100">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0F1F06"/>
    <w:multiLevelType w:val="hybridMultilevel"/>
    <w:tmpl w:val="AAFE4FE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C4E59ED"/>
    <w:multiLevelType w:val="hybridMultilevel"/>
    <w:tmpl w:val="2C02B99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0AF6C9B"/>
    <w:multiLevelType w:val="hybridMultilevel"/>
    <w:tmpl w:val="91B2E0A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9B315A"/>
    <w:multiLevelType w:val="hybridMultilevel"/>
    <w:tmpl w:val="1CD4389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DC74DA"/>
    <w:multiLevelType w:val="hybridMultilevel"/>
    <w:tmpl w:val="3B080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F1281D"/>
    <w:multiLevelType w:val="hybridMultilevel"/>
    <w:tmpl w:val="C4269A5A"/>
    <w:lvl w:ilvl="0" w:tplc="78584FF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6CC3CE4"/>
    <w:multiLevelType w:val="hybridMultilevel"/>
    <w:tmpl w:val="5A72605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054168"/>
    <w:multiLevelType w:val="hybridMultilevel"/>
    <w:tmpl w:val="CFBAD2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1E03905"/>
    <w:multiLevelType w:val="hybridMultilevel"/>
    <w:tmpl w:val="5356781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C37688"/>
    <w:multiLevelType w:val="hybridMultilevel"/>
    <w:tmpl w:val="1A3001A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5"/>
  </w:num>
  <w:num w:numId="4">
    <w:abstractNumId w:val="8"/>
  </w:num>
  <w:num w:numId="5">
    <w:abstractNumId w:val="14"/>
  </w:num>
  <w:num w:numId="6">
    <w:abstractNumId w:val="1"/>
  </w:num>
  <w:num w:numId="7">
    <w:abstractNumId w:val="10"/>
  </w:num>
  <w:num w:numId="8">
    <w:abstractNumId w:val="4"/>
  </w:num>
  <w:num w:numId="9">
    <w:abstractNumId w:val="7"/>
  </w:num>
  <w:num w:numId="10">
    <w:abstractNumId w:val="2"/>
  </w:num>
  <w:num w:numId="11">
    <w:abstractNumId w:val="11"/>
  </w:num>
  <w:num w:numId="12">
    <w:abstractNumId w:val="13"/>
  </w:num>
  <w:num w:numId="13">
    <w:abstractNumId w:val="3"/>
  </w:num>
  <w:num w:numId="14">
    <w:abstractNumId w:val="9"/>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7F"/>
    <w:rsid w:val="00034654"/>
    <w:rsid w:val="00040209"/>
    <w:rsid w:val="0005452C"/>
    <w:rsid w:val="00084EEA"/>
    <w:rsid w:val="00093A77"/>
    <w:rsid w:val="000D2F8F"/>
    <w:rsid w:val="000F022D"/>
    <w:rsid w:val="000F0FD6"/>
    <w:rsid w:val="000F5C6D"/>
    <w:rsid w:val="00112008"/>
    <w:rsid w:val="00186F5C"/>
    <w:rsid w:val="001A1937"/>
    <w:rsid w:val="001A2DB9"/>
    <w:rsid w:val="001C250B"/>
    <w:rsid w:val="00203BED"/>
    <w:rsid w:val="0020441E"/>
    <w:rsid w:val="00245EC1"/>
    <w:rsid w:val="00246796"/>
    <w:rsid w:val="00250129"/>
    <w:rsid w:val="00273A67"/>
    <w:rsid w:val="00292C35"/>
    <w:rsid w:val="002A2DA2"/>
    <w:rsid w:val="002A662B"/>
    <w:rsid w:val="002A6C23"/>
    <w:rsid w:val="002B7368"/>
    <w:rsid w:val="002D4EA6"/>
    <w:rsid w:val="002E511F"/>
    <w:rsid w:val="00324E70"/>
    <w:rsid w:val="003D6C43"/>
    <w:rsid w:val="004359C1"/>
    <w:rsid w:val="00474C40"/>
    <w:rsid w:val="00510F30"/>
    <w:rsid w:val="00511250"/>
    <w:rsid w:val="00530C96"/>
    <w:rsid w:val="00584AB1"/>
    <w:rsid w:val="005A1E54"/>
    <w:rsid w:val="005A63CF"/>
    <w:rsid w:val="005B2747"/>
    <w:rsid w:val="005B631A"/>
    <w:rsid w:val="00600CE3"/>
    <w:rsid w:val="00621DC2"/>
    <w:rsid w:val="00674179"/>
    <w:rsid w:val="0067563A"/>
    <w:rsid w:val="00684D02"/>
    <w:rsid w:val="006919CC"/>
    <w:rsid w:val="006C07AA"/>
    <w:rsid w:val="006C191A"/>
    <w:rsid w:val="006D6584"/>
    <w:rsid w:val="006F2CEA"/>
    <w:rsid w:val="00705A1B"/>
    <w:rsid w:val="00722744"/>
    <w:rsid w:val="00765303"/>
    <w:rsid w:val="0079091D"/>
    <w:rsid w:val="007D4687"/>
    <w:rsid w:val="0087233C"/>
    <w:rsid w:val="00880410"/>
    <w:rsid w:val="008B6FC5"/>
    <w:rsid w:val="008D7F2A"/>
    <w:rsid w:val="009563DC"/>
    <w:rsid w:val="0095712B"/>
    <w:rsid w:val="0097123A"/>
    <w:rsid w:val="009B54D9"/>
    <w:rsid w:val="009E44FC"/>
    <w:rsid w:val="009E7DE3"/>
    <w:rsid w:val="009F5E28"/>
    <w:rsid w:val="00A42855"/>
    <w:rsid w:val="00A47E95"/>
    <w:rsid w:val="00A67CA0"/>
    <w:rsid w:val="00AC6324"/>
    <w:rsid w:val="00AE0C54"/>
    <w:rsid w:val="00AE23D9"/>
    <w:rsid w:val="00AF4C2F"/>
    <w:rsid w:val="00B158D0"/>
    <w:rsid w:val="00B2352C"/>
    <w:rsid w:val="00B84A04"/>
    <w:rsid w:val="00BE6FC2"/>
    <w:rsid w:val="00C0037F"/>
    <w:rsid w:val="00C3095E"/>
    <w:rsid w:val="00C64559"/>
    <w:rsid w:val="00CC582B"/>
    <w:rsid w:val="00CC77C3"/>
    <w:rsid w:val="00D80DBB"/>
    <w:rsid w:val="00D81C26"/>
    <w:rsid w:val="00DE65F9"/>
    <w:rsid w:val="00DE6753"/>
    <w:rsid w:val="00DF7C26"/>
    <w:rsid w:val="00E0016E"/>
    <w:rsid w:val="00E0605B"/>
    <w:rsid w:val="00E30DA0"/>
    <w:rsid w:val="00E6778E"/>
    <w:rsid w:val="00E71B1E"/>
    <w:rsid w:val="00EC2EF1"/>
    <w:rsid w:val="00EE34F4"/>
    <w:rsid w:val="00F00A8C"/>
    <w:rsid w:val="00F01A89"/>
    <w:rsid w:val="00F03313"/>
    <w:rsid w:val="00F41C76"/>
    <w:rsid w:val="00F64B7F"/>
    <w:rsid w:val="00FA27F0"/>
    <w:rsid w:val="00FA60FB"/>
    <w:rsid w:val="00FB0FB1"/>
    <w:rsid w:val="00FB17BD"/>
    <w:rsid w:val="00FB50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CF84"/>
  <w15:docId w15:val="{3C922729-B1D0-463F-AE5A-9161FF02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50B"/>
    <w:pPr>
      <w:ind w:left="720"/>
      <w:contextualSpacing/>
    </w:pPr>
  </w:style>
  <w:style w:type="table" w:styleId="TableGrid">
    <w:name w:val="Table Grid"/>
    <w:basedOn w:val="TableNormal"/>
    <w:uiPriority w:val="39"/>
    <w:rsid w:val="00040209"/>
    <w:pPr>
      <w:spacing w:after="0" w:line="240" w:lineRule="auto"/>
    </w:pPr>
    <w:rPr>
      <w:rFonts w:ascii="Times New Roman" w:hAnsi="Times New Roman"/>
      <w:i/>
      <w:sz w:val="20"/>
    </w:rPr>
    <w:tblPr>
      <w:tblBorders>
        <w:top w:val="single" w:sz="12" w:space="0" w:color="auto"/>
        <w:bottom w:val="single" w:sz="12" w:space="0" w:color="auto"/>
      </w:tblBorders>
    </w:tblPr>
  </w:style>
  <w:style w:type="table" w:styleId="PlainTable1">
    <w:name w:val="Plain Table 1"/>
    <w:basedOn w:val="TableNormal"/>
    <w:uiPriority w:val="41"/>
    <w:rsid w:val="00EE34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95712B"/>
    <w:rPr>
      <w:i/>
      <w:iCs/>
      <w:color w:val="404040" w:themeColor="text1" w:themeTint="BF"/>
    </w:rPr>
  </w:style>
  <w:style w:type="paragraph" w:styleId="Header">
    <w:name w:val="header"/>
    <w:basedOn w:val="Normal"/>
    <w:link w:val="HeaderChar"/>
    <w:uiPriority w:val="99"/>
    <w:unhideWhenUsed/>
    <w:rsid w:val="00FB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09C"/>
  </w:style>
  <w:style w:type="paragraph" w:styleId="Footer">
    <w:name w:val="footer"/>
    <w:basedOn w:val="Normal"/>
    <w:link w:val="FooterChar"/>
    <w:uiPriority w:val="99"/>
    <w:unhideWhenUsed/>
    <w:rsid w:val="00FB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09C"/>
  </w:style>
  <w:style w:type="character" w:styleId="Hyperlink">
    <w:name w:val="Hyperlink"/>
    <w:basedOn w:val="DefaultParagraphFont"/>
    <w:uiPriority w:val="99"/>
    <w:unhideWhenUsed/>
    <w:rsid w:val="00250129"/>
    <w:rPr>
      <w:color w:val="0563C1" w:themeColor="hyperlink"/>
      <w:u w:val="single"/>
    </w:rPr>
  </w:style>
  <w:style w:type="paragraph" w:styleId="BalloonText">
    <w:name w:val="Balloon Text"/>
    <w:basedOn w:val="Normal"/>
    <w:link w:val="BalloonTextChar"/>
    <w:uiPriority w:val="99"/>
    <w:semiHidden/>
    <w:unhideWhenUsed/>
    <w:rsid w:val="009E7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8710">
      <w:bodyDiv w:val="1"/>
      <w:marLeft w:val="0"/>
      <w:marRight w:val="0"/>
      <w:marTop w:val="0"/>
      <w:marBottom w:val="0"/>
      <w:divBdr>
        <w:top w:val="none" w:sz="0" w:space="0" w:color="auto"/>
        <w:left w:val="none" w:sz="0" w:space="0" w:color="auto"/>
        <w:bottom w:val="none" w:sz="0" w:space="0" w:color="auto"/>
        <w:right w:val="none" w:sz="0" w:space="0" w:color="auto"/>
      </w:divBdr>
    </w:div>
    <w:div w:id="382217907">
      <w:bodyDiv w:val="1"/>
      <w:marLeft w:val="0"/>
      <w:marRight w:val="0"/>
      <w:marTop w:val="0"/>
      <w:marBottom w:val="0"/>
      <w:divBdr>
        <w:top w:val="none" w:sz="0" w:space="0" w:color="auto"/>
        <w:left w:val="none" w:sz="0" w:space="0" w:color="auto"/>
        <w:bottom w:val="none" w:sz="0" w:space="0" w:color="auto"/>
        <w:right w:val="none" w:sz="0" w:space="0" w:color="auto"/>
      </w:divBdr>
    </w:div>
    <w:div w:id="967129087">
      <w:bodyDiv w:val="1"/>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400"/>
          <w:marBottom w:val="4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anshibhalerao075@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onijain45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kajsharma223@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atidhakad08@gmail.com" TargetMode="External"/><Relationship Id="rId4" Type="http://schemas.openxmlformats.org/officeDocument/2006/relationships/settings" Target="settings.xml"/><Relationship Id="rId9" Type="http://schemas.openxmlformats.org/officeDocument/2006/relationships/hyperlink" Target="mailto:hs927758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E0D70-B41B-4B2E-A42E-207D327A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8305</Words>
  <Characters>47339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himanshi bhalerao</dc:creator>
  <cp:keywords/>
  <dc:description/>
  <cp:lastModifiedBy>Microsoft account</cp:lastModifiedBy>
  <cp:revision>10</cp:revision>
  <dcterms:created xsi:type="dcterms:W3CDTF">2022-08-20T07:40:00Z</dcterms:created>
  <dcterms:modified xsi:type="dcterms:W3CDTF">2022-08-20T09:42:00Z</dcterms:modified>
</cp:coreProperties>
</file>