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F0073C" w14:textId="4C4EA855" w:rsidR="00A05B06" w:rsidRDefault="00000000" w:rsidP="00FC0176">
      <w:pPr>
        <w:jc w:val="center"/>
        <w:rPr>
          <w:b/>
          <w:bCs/>
          <w:sz w:val="36"/>
          <w:szCs w:val="36"/>
        </w:rPr>
      </w:pPr>
      <w:r w:rsidRPr="00FC0176">
        <w:rPr>
          <w:b/>
          <w:bCs/>
          <w:sz w:val="36"/>
          <w:szCs w:val="36"/>
        </w:rPr>
        <w:t>Biomarker</w:t>
      </w:r>
      <w:r w:rsidR="00543B64">
        <w:rPr>
          <w:b/>
          <w:bCs/>
          <w:sz w:val="36"/>
          <w:szCs w:val="36"/>
        </w:rPr>
        <w:t>s</w:t>
      </w:r>
    </w:p>
    <w:p w14:paraId="12E3A93D" w14:textId="42E0475A" w:rsidR="0081455C" w:rsidRDefault="0081455C" w:rsidP="00FC0176">
      <w:pPr>
        <w:jc w:val="center"/>
        <w:rPr>
          <w:b/>
          <w:bCs/>
          <w:sz w:val="36"/>
          <w:szCs w:val="36"/>
        </w:rPr>
      </w:pPr>
    </w:p>
    <w:p w14:paraId="6A9AA638" w14:textId="5F1000E6" w:rsidR="0081455C" w:rsidRPr="00EC2228" w:rsidRDefault="0081455C" w:rsidP="0081455C">
      <w:pPr>
        <w:spacing w:line="360" w:lineRule="auto"/>
        <w:jc w:val="center"/>
        <w:rPr>
          <w:b/>
          <w:bCs/>
          <w:sz w:val="24"/>
          <w:szCs w:val="24"/>
          <w:vertAlign w:val="superscript"/>
        </w:rPr>
      </w:pPr>
      <w:r w:rsidRPr="00EC2228">
        <w:rPr>
          <w:b/>
          <w:bCs/>
          <w:sz w:val="24"/>
          <w:szCs w:val="24"/>
        </w:rPr>
        <w:t>Yashomita Mehta</w:t>
      </w:r>
      <w:r w:rsidRPr="00EC2228">
        <w:rPr>
          <w:b/>
          <w:bCs/>
          <w:sz w:val="24"/>
          <w:szCs w:val="24"/>
          <w:vertAlign w:val="superscript"/>
        </w:rPr>
        <w:t>1</w:t>
      </w:r>
      <w:r w:rsidRPr="00EC2228">
        <w:rPr>
          <w:b/>
          <w:bCs/>
          <w:sz w:val="24"/>
          <w:szCs w:val="24"/>
        </w:rPr>
        <w:t xml:space="preserve">, </w:t>
      </w:r>
      <w:r>
        <w:rPr>
          <w:b/>
          <w:bCs/>
          <w:sz w:val="24"/>
          <w:szCs w:val="24"/>
        </w:rPr>
        <w:t>R</w:t>
      </w:r>
      <w:r w:rsidRPr="00EC2228">
        <w:rPr>
          <w:b/>
          <w:bCs/>
          <w:sz w:val="24"/>
          <w:szCs w:val="24"/>
        </w:rPr>
        <w:t>upali Sharma</w:t>
      </w:r>
      <w:r w:rsidRPr="00EC2228">
        <w:rPr>
          <w:b/>
          <w:bCs/>
          <w:sz w:val="24"/>
          <w:szCs w:val="24"/>
          <w:vertAlign w:val="superscript"/>
        </w:rPr>
        <w:t>1</w:t>
      </w:r>
      <w:r w:rsidR="00B10FCB" w:rsidRPr="003009FB">
        <w:rPr>
          <w:b/>
          <w:bCs/>
          <w:sz w:val="24"/>
          <w:szCs w:val="24"/>
        </w:rPr>
        <w:t>,</w:t>
      </w:r>
      <w:r w:rsidR="00B10FCB">
        <w:rPr>
          <w:b/>
          <w:bCs/>
          <w:sz w:val="24"/>
          <w:szCs w:val="24"/>
          <w:vertAlign w:val="superscript"/>
        </w:rPr>
        <w:t xml:space="preserve"> </w:t>
      </w:r>
      <w:r w:rsidR="00B10FCB">
        <w:rPr>
          <w:b/>
          <w:bCs/>
          <w:sz w:val="24"/>
          <w:szCs w:val="24"/>
        </w:rPr>
        <w:t>Jagriti Narang</w:t>
      </w:r>
      <w:r w:rsidR="00B10FCB">
        <w:rPr>
          <w:b/>
          <w:bCs/>
          <w:sz w:val="24"/>
          <w:szCs w:val="24"/>
          <w:vertAlign w:val="superscript"/>
        </w:rPr>
        <w:t>2</w:t>
      </w:r>
      <w:r w:rsidRPr="00EC2228">
        <w:rPr>
          <w:b/>
          <w:bCs/>
          <w:sz w:val="24"/>
          <w:szCs w:val="24"/>
        </w:rPr>
        <w:t>,</w:t>
      </w:r>
      <w:r>
        <w:rPr>
          <w:b/>
          <w:bCs/>
          <w:sz w:val="24"/>
          <w:szCs w:val="24"/>
        </w:rPr>
        <w:t xml:space="preserve"> </w:t>
      </w:r>
      <w:r w:rsidRPr="00EC2228">
        <w:rPr>
          <w:b/>
          <w:bCs/>
          <w:sz w:val="24"/>
          <w:szCs w:val="24"/>
        </w:rPr>
        <w:t>Shekhar Sharma</w:t>
      </w:r>
      <w:r w:rsidR="00B10FCB">
        <w:rPr>
          <w:b/>
          <w:bCs/>
          <w:sz w:val="24"/>
          <w:szCs w:val="24"/>
          <w:vertAlign w:val="superscript"/>
        </w:rPr>
        <w:t>3</w:t>
      </w:r>
      <w:r>
        <w:rPr>
          <w:b/>
          <w:bCs/>
          <w:sz w:val="24"/>
          <w:szCs w:val="24"/>
        </w:rPr>
        <w:t xml:space="preserve">, </w:t>
      </w:r>
      <w:r w:rsidR="00B10FCB">
        <w:rPr>
          <w:b/>
          <w:bCs/>
          <w:sz w:val="24"/>
          <w:szCs w:val="24"/>
        </w:rPr>
        <w:t>Suman Khurana</w:t>
      </w:r>
      <w:r w:rsidR="00B10FCB">
        <w:rPr>
          <w:b/>
          <w:bCs/>
          <w:sz w:val="24"/>
          <w:szCs w:val="24"/>
          <w:vertAlign w:val="superscript"/>
        </w:rPr>
        <w:t>4</w:t>
      </w:r>
    </w:p>
    <w:p w14:paraId="49E78FC7" w14:textId="77777777" w:rsidR="0081455C" w:rsidRPr="00EC2228" w:rsidRDefault="0081455C" w:rsidP="0081455C">
      <w:pPr>
        <w:pStyle w:val="NormalWeb"/>
        <w:numPr>
          <w:ilvl w:val="0"/>
          <w:numId w:val="7"/>
        </w:numPr>
        <w:shd w:val="clear" w:color="auto" w:fill="FFFFFF"/>
        <w:spacing w:before="0" w:beforeAutospacing="0" w:after="0" w:afterAutospacing="0"/>
        <w:jc w:val="both"/>
        <w:textAlignment w:val="baseline"/>
        <w:rPr>
          <w:color w:val="000000"/>
          <w:sz w:val="22"/>
          <w:szCs w:val="22"/>
        </w:rPr>
      </w:pPr>
      <w:r w:rsidRPr="00EC2228">
        <w:rPr>
          <w:sz w:val="22"/>
          <w:szCs w:val="22"/>
        </w:rPr>
        <w:t xml:space="preserve">Amity Institute of Pharmacy, </w:t>
      </w:r>
      <w:r w:rsidRPr="00EC2228">
        <w:rPr>
          <w:color w:val="000000"/>
          <w:sz w:val="22"/>
          <w:szCs w:val="22"/>
          <w:bdr w:val="none" w:sz="0" w:space="0" w:color="auto" w:frame="1"/>
        </w:rPr>
        <w:t>Amity University Haryana</w:t>
      </w:r>
      <w:r>
        <w:rPr>
          <w:color w:val="000000"/>
          <w:sz w:val="22"/>
          <w:szCs w:val="22"/>
        </w:rPr>
        <w:t xml:space="preserve"> </w:t>
      </w:r>
      <w:r w:rsidRPr="00EC2228">
        <w:rPr>
          <w:color w:val="000000"/>
          <w:sz w:val="22"/>
          <w:szCs w:val="22"/>
          <w:bdr w:val="none" w:sz="0" w:space="0" w:color="auto" w:frame="1"/>
        </w:rPr>
        <w:t>Amity Education Valley</w:t>
      </w:r>
      <w:r>
        <w:rPr>
          <w:color w:val="000000"/>
          <w:sz w:val="22"/>
          <w:szCs w:val="22"/>
        </w:rPr>
        <w:t xml:space="preserve"> </w:t>
      </w:r>
      <w:r w:rsidRPr="00EC2228">
        <w:rPr>
          <w:color w:val="000000"/>
          <w:sz w:val="22"/>
          <w:szCs w:val="22"/>
          <w:bdr w:val="none" w:sz="0" w:space="0" w:color="auto" w:frame="1"/>
        </w:rPr>
        <w:t>Manesar, Gurugram- 122413</w:t>
      </w:r>
      <w:r>
        <w:rPr>
          <w:color w:val="000000"/>
          <w:sz w:val="22"/>
          <w:szCs w:val="22"/>
        </w:rPr>
        <w:t xml:space="preserve">, </w:t>
      </w:r>
      <w:r w:rsidRPr="00EC2228">
        <w:rPr>
          <w:color w:val="000000"/>
          <w:sz w:val="22"/>
          <w:szCs w:val="22"/>
          <w:bdr w:val="none" w:sz="0" w:space="0" w:color="auto" w:frame="1"/>
        </w:rPr>
        <w:t>Haryana</w:t>
      </w:r>
      <w:r>
        <w:rPr>
          <w:color w:val="000000"/>
          <w:sz w:val="22"/>
          <w:szCs w:val="22"/>
          <w:bdr w:val="none" w:sz="0" w:space="0" w:color="auto" w:frame="1"/>
        </w:rPr>
        <w:t>.</w:t>
      </w:r>
    </w:p>
    <w:p w14:paraId="159993E3" w14:textId="77777777" w:rsidR="00690B4A" w:rsidRPr="00EC2228" w:rsidRDefault="00690B4A" w:rsidP="00690B4A">
      <w:pPr>
        <w:pStyle w:val="ListParagraph"/>
        <w:numPr>
          <w:ilvl w:val="0"/>
          <w:numId w:val="7"/>
        </w:numPr>
        <w:shd w:val="clear" w:color="auto" w:fill="FFFFFF" w:themeFill="background1"/>
        <w:spacing w:after="160" w:line="360" w:lineRule="auto"/>
        <w:contextualSpacing/>
        <w:jc w:val="both"/>
      </w:pPr>
      <w:r>
        <w:t>Department of Biotechnology, Jamia Hamdard University, New Delhi.</w:t>
      </w:r>
    </w:p>
    <w:p w14:paraId="5383B28A" w14:textId="2F28DCE4" w:rsidR="0081455C" w:rsidRDefault="0081455C" w:rsidP="0081455C">
      <w:pPr>
        <w:pStyle w:val="ListParagraph"/>
        <w:numPr>
          <w:ilvl w:val="0"/>
          <w:numId w:val="7"/>
        </w:numPr>
        <w:shd w:val="clear" w:color="auto" w:fill="FFFFFF" w:themeFill="background1"/>
        <w:spacing w:after="160" w:line="360" w:lineRule="auto"/>
        <w:contextualSpacing/>
        <w:jc w:val="both"/>
      </w:pPr>
      <w:r w:rsidRPr="00EC2228">
        <w:t>Llyod Institute of Management and Technology, Plot No. 11, Knowledge Park II, Greater Noida, U.P 201306.</w:t>
      </w:r>
    </w:p>
    <w:p w14:paraId="7E652B86" w14:textId="0789CB73" w:rsidR="0081455C" w:rsidRPr="00EC2228" w:rsidRDefault="00690B4A" w:rsidP="0081455C">
      <w:pPr>
        <w:pStyle w:val="ListParagraph"/>
        <w:numPr>
          <w:ilvl w:val="0"/>
          <w:numId w:val="7"/>
        </w:numPr>
        <w:shd w:val="clear" w:color="auto" w:fill="FFFFFF" w:themeFill="background1"/>
        <w:spacing w:after="160" w:line="360" w:lineRule="auto"/>
        <w:contextualSpacing/>
        <w:jc w:val="both"/>
      </w:pPr>
      <w:r>
        <w:t>Panipat Institute of Engineering &amp; Technology</w:t>
      </w:r>
      <w:r w:rsidR="0081455C">
        <w:t xml:space="preserve">, </w:t>
      </w:r>
      <w:proofErr w:type="spellStart"/>
      <w:r>
        <w:t>Samalkha</w:t>
      </w:r>
      <w:proofErr w:type="spellEnd"/>
      <w:r w:rsidR="00543B64">
        <w:t>, Panipat-132102, Haryana</w:t>
      </w:r>
    </w:p>
    <w:p w14:paraId="1C5257D9" w14:textId="77777777" w:rsidR="00A05B06" w:rsidRPr="00384E4F" w:rsidRDefault="00A05B06" w:rsidP="00384E4F">
      <w:pPr>
        <w:jc w:val="both"/>
        <w:rPr>
          <w:sz w:val="24"/>
          <w:szCs w:val="24"/>
        </w:rPr>
      </w:pPr>
    </w:p>
    <w:p w14:paraId="1E00EB83" w14:textId="77777777" w:rsidR="00A05B06" w:rsidRPr="00FC0176" w:rsidRDefault="00000000" w:rsidP="00384E4F">
      <w:pPr>
        <w:jc w:val="both"/>
        <w:rPr>
          <w:b/>
          <w:bCs/>
          <w:sz w:val="24"/>
          <w:szCs w:val="24"/>
        </w:rPr>
      </w:pPr>
      <w:r w:rsidRPr="00FC0176">
        <w:rPr>
          <w:b/>
          <w:bCs/>
          <w:sz w:val="24"/>
          <w:szCs w:val="24"/>
        </w:rPr>
        <w:t>Abstract</w:t>
      </w:r>
    </w:p>
    <w:p w14:paraId="2457C59A" w14:textId="77777777" w:rsidR="00A05B06" w:rsidRPr="00384E4F" w:rsidRDefault="00A05B06" w:rsidP="00384E4F">
      <w:pPr>
        <w:jc w:val="both"/>
        <w:rPr>
          <w:sz w:val="24"/>
          <w:szCs w:val="24"/>
        </w:rPr>
      </w:pPr>
    </w:p>
    <w:p w14:paraId="56446396" w14:textId="77777777" w:rsidR="00A05B06" w:rsidRPr="00384E4F" w:rsidRDefault="00000000" w:rsidP="00384E4F">
      <w:pPr>
        <w:jc w:val="both"/>
        <w:rPr>
          <w:sz w:val="24"/>
          <w:szCs w:val="24"/>
        </w:rPr>
      </w:pPr>
      <w:r w:rsidRPr="00384E4F">
        <w:rPr>
          <w:sz w:val="24"/>
          <w:szCs w:val="24"/>
        </w:rPr>
        <w:t>A biomarker is a biological finding that, in theory, predicts and serves as a stand-in for a clinically significant endpoint or intermediate outcome that is more challenging to observe. Because biomarkers are used so often in scientific and clinical research, as well as in clinical practise, it is now nearly universally acknowledged that they should be used as primary endpoints in clinical studies. This use is totally legitimate and suitable in the case of certain biomarkers that have been thoroughly defined and consistently demonstrated to accurately predict pertinent clinical outcomes across a range of treatments and demographics.</w:t>
      </w:r>
    </w:p>
    <w:p w14:paraId="18AD45A4" w14:textId="77777777" w:rsidR="00A05B06" w:rsidRPr="00384E4F" w:rsidRDefault="00A05B06" w:rsidP="00384E4F">
      <w:pPr>
        <w:jc w:val="both"/>
        <w:rPr>
          <w:sz w:val="24"/>
          <w:szCs w:val="24"/>
        </w:rPr>
      </w:pPr>
    </w:p>
    <w:p w14:paraId="4A555761" w14:textId="2A8097AD" w:rsidR="00A05B06" w:rsidRPr="00384E4F" w:rsidRDefault="00000000" w:rsidP="00384E4F">
      <w:pPr>
        <w:jc w:val="both"/>
        <w:rPr>
          <w:sz w:val="24"/>
          <w:szCs w:val="24"/>
        </w:rPr>
      </w:pPr>
      <w:r w:rsidRPr="00384E4F">
        <w:rPr>
          <w:sz w:val="24"/>
          <w:szCs w:val="24"/>
        </w:rPr>
        <w:t xml:space="preserve">However, the "validity" of biomarkers is frequently presumed when it should </w:t>
      </w:r>
      <w:r w:rsidR="00D73DBD" w:rsidRPr="00384E4F">
        <w:rPr>
          <w:sz w:val="24"/>
          <w:szCs w:val="24"/>
        </w:rPr>
        <w:t>be</w:t>
      </w:r>
      <w:r w:rsidRPr="00384E4F">
        <w:rPr>
          <w:sz w:val="24"/>
          <w:szCs w:val="24"/>
        </w:rPr>
        <w:t xml:space="preserve"> tested and retested. To provide context for interpreting studies that extensively rely on such biological measures, this article will examine the current conceptual position of biomarkers as clinical and diagnostic tools and as surrogate endpoints in clinical research.</w:t>
      </w:r>
      <w:r w:rsidR="005E3A06">
        <w:rPr>
          <w:sz w:val="24"/>
          <w:szCs w:val="24"/>
        </w:rPr>
        <w:t xml:space="preserve"> </w:t>
      </w:r>
      <w:r w:rsidR="005E3A06" w:rsidRPr="005856DE">
        <w:rPr>
          <w:b/>
          <w:bCs/>
          <w:sz w:val="24"/>
          <w:szCs w:val="24"/>
        </w:rPr>
        <w:t>[1]</w:t>
      </w:r>
    </w:p>
    <w:p w14:paraId="470603EC" w14:textId="77777777" w:rsidR="00A05B06" w:rsidRPr="00384E4F" w:rsidRDefault="00A05B06" w:rsidP="00384E4F">
      <w:pPr>
        <w:jc w:val="both"/>
        <w:rPr>
          <w:sz w:val="24"/>
          <w:szCs w:val="24"/>
        </w:rPr>
      </w:pPr>
    </w:p>
    <w:p w14:paraId="4CD14CD9" w14:textId="2988FB6B" w:rsidR="00A05B06" w:rsidRPr="00384E4F" w:rsidRDefault="00000000" w:rsidP="00384E4F">
      <w:pPr>
        <w:jc w:val="both"/>
        <w:rPr>
          <w:sz w:val="24"/>
          <w:szCs w:val="24"/>
        </w:rPr>
      </w:pPr>
      <w:r w:rsidRPr="00384E4F">
        <w:rPr>
          <w:sz w:val="24"/>
          <w:szCs w:val="24"/>
        </w:rPr>
        <w:t xml:space="preserve">Clinical biomarkers are typically assessed over a shorter </w:t>
      </w:r>
      <w:r w:rsidR="00D73DBD" w:rsidRPr="00384E4F">
        <w:rPr>
          <w:sz w:val="24"/>
          <w:szCs w:val="24"/>
        </w:rPr>
        <w:t>time</w:t>
      </w:r>
      <w:r w:rsidRPr="00384E4F">
        <w:rPr>
          <w:sz w:val="24"/>
          <w:szCs w:val="24"/>
        </w:rPr>
        <w:t xml:space="preserve"> than the final clinical objective, making their application simpler and less expensive. They can be utilised for pharmacodynamic and dose-response investigations as well as for illness screening, diagnosis, characterisation, and monitoring as prognostic markers for developing tailored therapeutic interventions for predicting and treating adverse drug responses. Good biomarkers should have a large signal-to-noise ratio, be quantifiable with little to no fluctuation, and change quickly and consistently in response to changes in the condition or its treatment.</w:t>
      </w:r>
    </w:p>
    <w:p w14:paraId="147E120D" w14:textId="77777777" w:rsidR="00A05B06" w:rsidRPr="00384E4F" w:rsidRDefault="00A05B06" w:rsidP="00384E4F">
      <w:pPr>
        <w:jc w:val="both"/>
        <w:rPr>
          <w:sz w:val="24"/>
          <w:szCs w:val="24"/>
        </w:rPr>
      </w:pPr>
    </w:p>
    <w:p w14:paraId="438741CF" w14:textId="77777777" w:rsidR="00A05B06" w:rsidRPr="00384E4F" w:rsidRDefault="00000000" w:rsidP="00384E4F">
      <w:pPr>
        <w:jc w:val="both"/>
        <w:rPr>
          <w:sz w:val="24"/>
          <w:szCs w:val="24"/>
        </w:rPr>
      </w:pPr>
      <w:r w:rsidRPr="00384E4F">
        <w:rPr>
          <w:sz w:val="24"/>
          <w:szCs w:val="24"/>
        </w:rPr>
        <w:t>Biomarkers are the cornerstone of a precision approach to clinical medicine and have the potential to dramatically improve and speed up the development of new therapeutics for patients with a variety of diseases such as tumours, heart problems, etc.</w:t>
      </w:r>
    </w:p>
    <w:p w14:paraId="36F467CF" w14:textId="77777777" w:rsidR="00A05B06" w:rsidRPr="00384E4F" w:rsidRDefault="00A05B06" w:rsidP="00384E4F">
      <w:pPr>
        <w:jc w:val="both"/>
        <w:rPr>
          <w:sz w:val="24"/>
          <w:szCs w:val="24"/>
        </w:rPr>
      </w:pPr>
    </w:p>
    <w:p w14:paraId="239CE10D" w14:textId="2154586B" w:rsidR="00A05B06" w:rsidRPr="00FC0176" w:rsidRDefault="00000000" w:rsidP="00384E4F">
      <w:pPr>
        <w:jc w:val="both"/>
        <w:rPr>
          <w:b/>
          <w:bCs/>
          <w:sz w:val="24"/>
          <w:szCs w:val="24"/>
        </w:rPr>
      </w:pPr>
      <w:r w:rsidRPr="00FC0176">
        <w:rPr>
          <w:b/>
          <w:bCs/>
          <w:sz w:val="24"/>
          <w:szCs w:val="24"/>
        </w:rPr>
        <w:t>Introduction</w:t>
      </w:r>
    </w:p>
    <w:p w14:paraId="5472733B" w14:textId="77777777" w:rsidR="00A05B06" w:rsidRPr="00384E4F" w:rsidRDefault="00A05B06" w:rsidP="00384E4F">
      <w:pPr>
        <w:jc w:val="both"/>
        <w:rPr>
          <w:sz w:val="24"/>
          <w:szCs w:val="24"/>
        </w:rPr>
      </w:pPr>
    </w:p>
    <w:p w14:paraId="45BB9186" w14:textId="77777777" w:rsidR="00A05B06" w:rsidRPr="00384E4F" w:rsidRDefault="00000000" w:rsidP="00384E4F">
      <w:pPr>
        <w:jc w:val="both"/>
        <w:rPr>
          <w:sz w:val="24"/>
          <w:szCs w:val="24"/>
        </w:rPr>
      </w:pPr>
      <w:r w:rsidRPr="00384E4F">
        <w:rPr>
          <w:sz w:val="24"/>
          <w:szCs w:val="24"/>
        </w:rPr>
        <w:t>Although the term "biomarker" has gained popularity since the 1980s, biological markers were important long before laboratories were able to routinely measure them. In fact, clinical treatment has been centred on evaluating clinical symptoms since the development of medicine.</w:t>
      </w:r>
    </w:p>
    <w:p w14:paraId="47CA9B85" w14:textId="77777777" w:rsidR="00A05B06" w:rsidRPr="00384E4F" w:rsidRDefault="00A05B06" w:rsidP="00384E4F">
      <w:pPr>
        <w:jc w:val="both"/>
        <w:rPr>
          <w:sz w:val="24"/>
          <w:szCs w:val="24"/>
        </w:rPr>
      </w:pPr>
    </w:p>
    <w:p w14:paraId="42BD0EFD" w14:textId="77777777" w:rsidR="00A05B06" w:rsidRPr="00384E4F" w:rsidRDefault="00000000" w:rsidP="00384E4F">
      <w:pPr>
        <w:jc w:val="both"/>
        <w:rPr>
          <w:sz w:val="24"/>
          <w:szCs w:val="24"/>
        </w:rPr>
      </w:pPr>
      <w:r w:rsidRPr="00384E4F">
        <w:rPr>
          <w:sz w:val="24"/>
          <w:szCs w:val="24"/>
        </w:rPr>
        <w:t xml:space="preserve">"A trait that is objectively measured and assessed as an indication of normal biological processes, pathogenic processes, or pharmacological reactions to a therapeutic intervention," </w:t>
      </w:r>
      <w:r w:rsidRPr="00384E4F">
        <w:rPr>
          <w:sz w:val="24"/>
          <w:szCs w:val="24"/>
        </w:rPr>
        <w:lastRenderedPageBreak/>
        <w:t>was how the term "biomarker" was defined by a working committee of the National Institutes of Health in 2001.</w:t>
      </w:r>
    </w:p>
    <w:p w14:paraId="69F4D94C" w14:textId="77777777" w:rsidR="00A05B06" w:rsidRPr="00384E4F" w:rsidRDefault="00A05B06" w:rsidP="00384E4F">
      <w:pPr>
        <w:jc w:val="both"/>
        <w:rPr>
          <w:sz w:val="24"/>
          <w:szCs w:val="24"/>
        </w:rPr>
      </w:pPr>
    </w:p>
    <w:p w14:paraId="71412D32" w14:textId="1684B069" w:rsidR="00A05B06" w:rsidRPr="00384E4F" w:rsidRDefault="00000000" w:rsidP="00384E4F">
      <w:pPr>
        <w:jc w:val="both"/>
        <w:rPr>
          <w:sz w:val="24"/>
          <w:szCs w:val="24"/>
        </w:rPr>
      </w:pPr>
      <w:r w:rsidRPr="00384E4F">
        <w:rPr>
          <w:sz w:val="24"/>
          <w:szCs w:val="24"/>
        </w:rPr>
        <w:t xml:space="preserve">All elements of the body, including body fluids and tissues, contain biomarkers. </w:t>
      </w:r>
      <w:r w:rsidR="00A27A80" w:rsidRPr="00384E4F">
        <w:rPr>
          <w:sz w:val="24"/>
          <w:szCs w:val="24"/>
        </w:rPr>
        <w:t>Most</w:t>
      </w:r>
      <w:r w:rsidRPr="00384E4F">
        <w:rPr>
          <w:sz w:val="24"/>
          <w:szCs w:val="24"/>
        </w:rPr>
        <w:t xml:space="preserve"> clinical laboratory tests are performed on bodily fluids like blood and urine. Imaging scans or examinations of body tissues can find biomarkers. Biomarkers can be found in even exhaled breath. </w:t>
      </w:r>
      <w:r w:rsidR="005E3A06" w:rsidRPr="005856DE">
        <w:rPr>
          <w:b/>
          <w:bCs/>
          <w:sz w:val="24"/>
          <w:szCs w:val="24"/>
        </w:rPr>
        <w:t>[2]</w:t>
      </w:r>
      <w:r w:rsidR="005E3A06">
        <w:rPr>
          <w:sz w:val="24"/>
          <w:szCs w:val="24"/>
        </w:rPr>
        <w:t xml:space="preserve"> </w:t>
      </w:r>
    </w:p>
    <w:p w14:paraId="6C6FC947" w14:textId="77777777" w:rsidR="00A05B06" w:rsidRPr="00384E4F" w:rsidRDefault="00A05B06" w:rsidP="00384E4F">
      <w:pPr>
        <w:jc w:val="both"/>
        <w:rPr>
          <w:sz w:val="24"/>
          <w:szCs w:val="24"/>
        </w:rPr>
      </w:pPr>
    </w:p>
    <w:p w14:paraId="17899B36" w14:textId="77777777" w:rsidR="00A05B06" w:rsidRPr="00384E4F" w:rsidRDefault="00000000" w:rsidP="00384E4F">
      <w:pPr>
        <w:jc w:val="both"/>
        <w:rPr>
          <w:sz w:val="24"/>
          <w:szCs w:val="24"/>
        </w:rPr>
      </w:pPr>
      <w:r w:rsidRPr="00384E4F">
        <w:rPr>
          <w:sz w:val="24"/>
          <w:szCs w:val="24"/>
        </w:rPr>
        <w:t>According to the FDA/NIH Biomarker Working Group, a biomarker is "a particular attribute that is appraised as an indication of normal biological processes, pathogenic processes, or reactions to an exposure or intervention, including therapeutic therapies." A biomarker can be a molecular, histologic, radiographic, or physiological feature, but it is not an assessment of a person's feelings, behaviours, or quality of life.</w:t>
      </w:r>
    </w:p>
    <w:p w14:paraId="1514282F" w14:textId="77777777" w:rsidR="00A05B06" w:rsidRPr="00384E4F" w:rsidRDefault="00A05B06" w:rsidP="00384E4F">
      <w:pPr>
        <w:jc w:val="both"/>
        <w:rPr>
          <w:sz w:val="24"/>
          <w:szCs w:val="24"/>
        </w:rPr>
      </w:pPr>
    </w:p>
    <w:p w14:paraId="41564414" w14:textId="53636E3A" w:rsidR="00A05B06" w:rsidRPr="00384E4F" w:rsidRDefault="00000000" w:rsidP="00384E4F">
      <w:pPr>
        <w:jc w:val="both"/>
        <w:rPr>
          <w:sz w:val="24"/>
          <w:szCs w:val="24"/>
        </w:rPr>
      </w:pPr>
      <w:r w:rsidRPr="00384E4F">
        <w:rPr>
          <w:sz w:val="24"/>
          <w:szCs w:val="24"/>
        </w:rPr>
        <w:t xml:space="preserve">The World Health Organization (WHO), in collaboration with the United Nations and the International Labour Organization, established the International Programme on Chemical Safety, which defines a biomarker as "any substance, structure, or process that can be measured in the body or its products and influence or predict the incidence of outcome or disease." A definition that goes even farther </w:t>
      </w:r>
      <w:r w:rsidR="005856DE" w:rsidRPr="00384E4F">
        <w:rPr>
          <w:sz w:val="24"/>
          <w:szCs w:val="24"/>
        </w:rPr>
        <w:t>considers</w:t>
      </w:r>
      <w:r w:rsidRPr="00384E4F">
        <w:rPr>
          <w:sz w:val="24"/>
          <w:szCs w:val="24"/>
        </w:rPr>
        <w:t xml:space="preserve"> not only the occurrence and course of disease, but also the results of interventions, therapies, and even inadvertent environmental exposure to substances like toxins or nutrients. </w:t>
      </w:r>
      <w:r w:rsidRPr="005856DE">
        <w:rPr>
          <w:b/>
          <w:bCs/>
          <w:sz w:val="24"/>
          <w:szCs w:val="24"/>
        </w:rPr>
        <w:t>[</w:t>
      </w:r>
      <w:r w:rsidR="005E3A06" w:rsidRPr="005856DE">
        <w:rPr>
          <w:b/>
          <w:bCs/>
          <w:sz w:val="24"/>
          <w:szCs w:val="24"/>
        </w:rPr>
        <w:t>1</w:t>
      </w:r>
      <w:r w:rsidRPr="005856DE">
        <w:rPr>
          <w:b/>
          <w:bCs/>
          <w:sz w:val="24"/>
          <w:szCs w:val="24"/>
        </w:rPr>
        <w:t>]</w:t>
      </w:r>
    </w:p>
    <w:p w14:paraId="257E852A" w14:textId="77777777" w:rsidR="00A05B06" w:rsidRPr="00384E4F" w:rsidRDefault="00A05B06" w:rsidP="00384E4F">
      <w:pPr>
        <w:jc w:val="both"/>
        <w:rPr>
          <w:sz w:val="24"/>
          <w:szCs w:val="24"/>
        </w:rPr>
      </w:pPr>
    </w:p>
    <w:p w14:paraId="01C76431" w14:textId="63FF5345" w:rsidR="00A05B06" w:rsidRPr="00384E4F" w:rsidRDefault="00000000" w:rsidP="00384E4F">
      <w:pPr>
        <w:jc w:val="both"/>
        <w:rPr>
          <w:sz w:val="24"/>
          <w:szCs w:val="24"/>
        </w:rPr>
      </w:pPr>
      <w:r w:rsidRPr="00384E4F">
        <w:rPr>
          <w:sz w:val="24"/>
          <w:szCs w:val="24"/>
        </w:rPr>
        <w:t>For instance, the ancient Hindus are credited with discovering "honey urine" as a sign of diabetes after seeing its propensity to attract flies.</w:t>
      </w:r>
      <w:r w:rsidR="005E3A06">
        <w:rPr>
          <w:sz w:val="24"/>
          <w:szCs w:val="24"/>
        </w:rPr>
        <w:t xml:space="preserve"> </w:t>
      </w:r>
      <w:bookmarkStart w:id="0" w:name="_Hlk111966944"/>
      <w:r w:rsidR="005E3A06" w:rsidRPr="005856DE">
        <w:rPr>
          <w:b/>
          <w:bCs/>
          <w:sz w:val="24"/>
          <w:szCs w:val="24"/>
        </w:rPr>
        <w:t>[3]</w:t>
      </w:r>
      <w:bookmarkEnd w:id="0"/>
    </w:p>
    <w:p w14:paraId="595B6DA9" w14:textId="77777777" w:rsidR="00A05B06" w:rsidRPr="00384E4F" w:rsidRDefault="00A05B06" w:rsidP="00384E4F">
      <w:pPr>
        <w:jc w:val="both"/>
        <w:rPr>
          <w:sz w:val="24"/>
          <w:szCs w:val="24"/>
        </w:rPr>
      </w:pPr>
    </w:p>
    <w:p w14:paraId="238ADFA3" w14:textId="77777777" w:rsidR="00A05B06" w:rsidRPr="00384E4F" w:rsidRDefault="00000000" w:rsidP="00384E4F">
      <w:pPr>
        <w:jc w:val="both"/>
        <w:rPr>
          <w:sz w:val="24"/>
          <w:szCs w:val="24"/>
        </w:rPr>
      </w:pPr>
      <w:r w:rsidRPr="00384E4F">
        <w:rPr>
          <w:sz w:val="24"/>
          <w:szCs w:val="24"/>
        </w:rPr>
        <w:t>Biomarkers include things like genes, proteins, genetic variations, and variations in metabolic expression from different sources like body fluids or tissues.</w:t>
      </w:r>
    </w:p>
    <w:p w14:paraId="21B248A2" w14:textId="77777777" w:rsidR="00A05B06" w:rsidRPr="00384E4F" w:rsidRDefault="00A05B06" w:rsidP="00384E4F">
      <w:pPr>
        <w:jc w:val="both"/>
        <w:rPr>
          <w:sz w:val="24"/>
          <w:szCs w:val="24"/>
        </w:rPr>
      </w:pPr>
    </w:p>
    <w:p w14:paraId="4F992F37" w14:textId="77777777" w:rsidR="00A05B06" w:rsidRPr="00384E4F" w:rsidRDefault="00000000" w:rsidP="00384E4F">
      <w:pPr>
        <w:jc w:val="both"/>
        <w:rPr>
          <w:sz w:val="24"/>
          <w:szCs w:val="24"/>
        </w:rPr>
      </w:pPr>
      <w:r w:rsidRPr="00384E4F">
        <w:rPr>
          <w:sz w:val="24"/>
          <w:szCs w:val="24"/>
        </w:rPr>
        <w:t>A biomarker is a substance that is injected into an organism to evaluate organ function or other aspects of health. It might be a chemical that, when discovered, denotes the presence of a specific illness condition, such as an infection might be deduced from the presence of an antibody.</w:t>
      </w:r>
    </w:p>
    <w:p w14:paraId="42B52BF2" w14:textId="77777777" w:rsidR="00A05B06" w:rsidRPr="00384E4F" w:rsidRDefault="00A05B06" w:rsidP="00384E4F">
      <w:pPr>
        <w:jc w:val="both"/>
        <w:rPr>
          <w:sz w:val="24"/>
          <w:szCs w:val="24"/>
        </w:rPr>
      </w:pPr>
    </w:p>
    <w:p w14:paraId="3B63AA06" w14:textId="401AA5FC" w:rsidR="00A05B06" w:rsidRPr="00D152DD" w:rsidRDefault="00000000" w:rsidP="00384E4F">
      <w:pPr>
        <w:jc w:val="both"/>
        <w:rPr>
          <w:b/>
          <w:bCs/>
          <w:color w:val="FF0000"/>
          <w:sz w:val="24"/>
          <w:szCs w:val="24"/>
        </w:rPr>
      </w:pPr>
      <w:r w:rsidRPr="00384E4F">
        <w:rPr>
          <w:sz w:val="24"/>
          <w:szCs w:val="24"/>
        </w:rPr>
        <w:t xml:space="preserve">In general, a biomarker is a measurable property that in medicine identifies the presence or severity of a disease condition. In a broader sense, anything that can be used as a marker for a certain disease </w:t>
      </w:r>
      <w:r w:rsidR="00450893" w:rsidRPr="00384E4F">
        <w:rPr>
          <w:sz w:val="24"/>
          <w:szCs w:val="24"/>
        </w:rPr>
        <w:t>condition,</w:t>
      </w:r>
      <w:r w:rsidRPr="00384E4F">
        <w:rPr>
          <w:sz w:val="24"/>
          <w:szCs w:val="24"/>
        </w:rPr>
        <w:t xml:space="preserve"> or another physiological state of an organism is referred to as a biomarker. </w:t>
      </w:r>
      <w:r w:rsidR="00D152DD" w:rsidRPr="00450893">
        <w:rPr>
          <w:b/>
          <w:bCs/>
          <w:sz w:val="24"/>
          <w:szCs w:val="24"/>
        </w:rPr>
        <w:t>[4]</w:t>
      </w:r>
    </w:p>
    <w:p w14:paraId="797E6A1D" w14:textId="77777777" w:rsidR="00A05B06" w:rsidRPr="00384E4F" w:rsidRDefault="00A05B06" w:rsidP="00384E4F">
      <w:pPr>
        <w:jc w:val="both"/>
        <w:rPr>
          <w:sz w:val="24"/>
          <w:szCs w:val="24"/>
        </w:rPr>
      </w:pPr>
    </w:p>
    <w:p w14:paraId="01B9D4BF" w14:textId="12BB82BA" w:rsidR="00A05B06" w:rsidRPr="00D152DD" w:rsidRDefault="00000000" w:rsidP="00384E4F">
      <w:pPr>
        <w:jc w:val="both"/>
        <w:rPr>
          <w:b/>
          <w:bCs/>
          <w:color w:val="FF0000"/>
          <w:sz w:val="24"/>
          <w:szCs w:val="24"/>
        </w:rPr>
      </w:pPr>
      <w:r w:rsidRPr="00384E4F">
        <w:rPr>
          <w:sz w:val="24"/>
          <w:szCs w:val="24"/>
        </w:rPr>
        <w:t xml:space="preserve">In a perfect world, biomarker tests that are used in patient treatment would go through a thorough review before being made available in the clinic. </w:t>
      </w:r>
      <w:r w:rsidR="00D152DD" w:rsidRPr="00930F20">
        <w:rPr>
          <w:b/>
          <w:bCs/>
          <w:sz w:val="24"/>
          <w:szCs w:val="24"/>
        </w:rPr>
        <w:t>[5]</w:t>
      </w:r>
    </w:p>
    <w:p w14:paraId="512360C1" w14:textId="77777777" w:rsidR="00A05B06" w:rsidRPr="00384E4F" w:rsidRDefault="00A05B06" w:rsidP="00384E4F">
      <w:pPr>
        <w:jc w:val="both"/>
        <w:rPr>
          <w:sz w:val="24"/>
          <w:szCs w:val="24"/>
        </w:rPr>
      </w:pPr>
    </w:p>
    <w:p w14:paraId="55439CE3" w14:textId="77777777" w:rsidR="00A05B06" w:rsidRPr="00384E4F" w:rsidRDefault="00000000" w:rsidP="00384E4F">
      <w:pPr>
        <w:jc w:val="both"/>
        <w:rPr>
          <w:sz w:val="24"/>
          <w:szCs w:val="24"/>
        </w:rPr>
      </w:pPr>
      <w:r w:rsidRPr="00384E4F">
        <w:rPr>
          <w:sz w:val="24"/>
          <w:szCs w:val="24"/>
        </w:rPr>
        <w:t>A biomarker is a biological finding that, in theory, foretells and acts as a proxy for an intermediate or clinically relevant endpoint that is more difficult to observe.</w:t>
      </w:r>
    </w:p>
    <w:p w14:paraId="1DE699F7" w14:textId="77777777" w:rsidR="00A05B06" w:rsidRPr="00384E4F" w:rsidRDefault="00A05B06" w:rsidP="00384E4F">
      <w:pPr>
        <w:jc w:val="both"/>
        <w:rPr>
          <w:sz w:val="24"/>
          <w:szCs w:val="24"/>
        </w:rPr>
      </w:pPr>
    </w:p>
    <w:p w14:paraId="32AD68FB" w14:textId="06973F8C" w:rsidR="00A05B06" w:rsidRPr="00384E4F" w:rsidRDefault="00000000" w:rsidP="00384E4F">
      <w:pPr>
        <w:jc w:val="both"/>
        <w:rPr>
          <w:sz w:val="24"/>
          <w:szCs w:val="24"/>
        </w:rPr>
      </w:pPr>
      <w:r w:rsidRPr="00384E4F">
        <w:rPr>
          <w:sz w:val="24"/>
          <w:szCs w:val="24"/>
        </w:rPr>
        <w:t xml:space="preserve">Therapeutic biomarkers are frequently evaluated over a shorter </w:t>
      </w:r>
      <w:proofErr w:type="gramStart"/>
      <w:r w:rsidRPr="00384E4F">
        <w:rPr>
          <w:sz w:val="24"/>
          <w:szCs w:val="24"/>
        </w:rPr>
        <w:t>time period</w:t>
      </w:r>
      <w:proofErr w:type="gramEnd"/>
      <w:r w:rsidRPr="00384E4F">
        <w:rPr>
          <w:sz w:val="24"/>
          <w:szCs w:val="24"/>
        </w:rPr>
        <w:t xml:space="preserve"> than the ultimate clinical goal, simplifying and lowering the cost of their implementation. They can be utilised for pharmacodynamic and dose-response research, for anticipating and treating adverse drug reactions, for identifying cell types, for prognostic indicators, for generating individualised therapeutic interventions, and for screening, diagnosing, describing, and monitoring diseases.</w:t>
      </w:r>
      <w:r w:rsidR="00AE7647">
        <w:rPr>
          <w:sz w:val="24"/>
          <w:szCs w:val="24"/>
        </w:rPr>
        <w:t xml:space="preserve"> </w:t>
      </w:r>
      <w:r w:rsidR="00AE7647" w:rsidRPr="00C17D4E">
        <w:rPr>
          <w:b/>
          <w:bCs/>
          <w:sz w:val="24"/>
          <w:szCs w:val="24"/>
        </w:rPr>
        <w:t>[6]</w:t>
      </w:r>
    </w:p>
    <w:p w14:paraId="41A12D44" w14:textId="77777777" w:rsidR="00A05B06" w:rsidRPr="00384E4F" w:rsidRDefault="00A05B06" w:rsidP="00384E4F">
      <w:pPr>
        <w:jc w:val="both"/>
        <w:rPr>
          <w:sz w:val="24"/>
          <w:szCs w:val="24"/>
        </w:rPr>
      </w:pPr>
    </w:p>
    <w:p w14:paraId="43DBE6A9" w14:textId="08ECA09D" w:rsidR="00A05B06" w:rsidRPr="00C42F75" w:rsidRDefault="00000000" w:rsidP="00384E4F">
      <w:pPr>
        <w:jc w:val="both"/>
        <w:rPr>
          <w:b/>
          <w:bCs/>
          <w:color w:val="FF0000"/>
          <w:sz w:val="24"/>
          <w:szCs w:val="24"/>
        </w:rPr>
      </w:pPr>
      <w:r w:rsidRPr="00384E4F">
        <w:rPr>
          <w:sz w:val="24"/>
          <w:szCs w:val="24"/>
        </w:rPr>
        <w:t xml:space="preserve">There could be a connection between certain cells, substances, genes, gene products, enzymes, or hormones. assists, among other things, in early diagnosis, medication target identification, therapeutic response, and sickness prevention. </w:t>
      </w:r>
      <w:r w:rsidR="00C42F75" w:rsidRPr="00937F2A">
        <w:rPr>
          <w:b/>
          <w:bCs/>
          <w:sz w:val="24"/>
          <w:szCs w:val="24"/>
        </w:rPr>
        <w:t>[7]</w:t>
      </w:r>
    </w:p>
    <w:p w14:paraId="662CCA38" w14:textId="77777777" w:rsidR="00A05B06" w:rsidRPr="00384E4F" w:rsidRDefault="00A05B06" w:rsidP="00384E4F">
      <w:pPr>
        <w:jc w:val="both"/>
        <w:rPr>
          <w:sz w:val="24"/>
          <w:szCs w:val="24"/>
        </w:rPr>
      </w:pPr>
    </w:p>
    <w:p w14:paraId="5F56A49A" w14:textId="77777777" w:rsidR="00A05B06" w:rsidRPr="00384E4F" w:rsidRDefault="00000000" w:rsidP="00384E4F">
      <w:pPr>
        <w:jc w:val="both"/>
        <w:rPr>
          <w:sz w:val="24"/>
          <w:szCs w:val="24"/>
        </w:rPr>
      </w:pPr>
      <w:r w:rsidRPr="00384E4F">
        <w:rPr>
          <w:sz w:val="24"/>
          <w:szCs w:val="24"/>
        </w:rPr>
        <w:t>"Biomarkers" refers to molecules in the era of molecular biology and can be divided into three basic categories:</w:t>
      </w:r>
    </w:p>
    <w:p w14:paraId="19F5951E" w14:textId="77777777" w:rsidR="00A05B06" w:rsidRPr="00384E4F" w:rsidRDefault="00A05B06" w:rsidP="00384E4F">
      <w:pPr>
        <w:jc w:val="both"/>
        <w:rPr>
          <w:sz w:val="24"/>
          <w:szCs w:val="24"/>
        </w:rPr>
      </w:pPr>
    </w:p>
    <w:p w14:paraId="7D666C52" w14:textId="1145F256" w:rsidR="00A05B06" w:rsidRPr="00384E4F" w:rsidRDefault="00000000" w:rsidP="00384E4F">
      <w:pPr>
        <w:jc w:val="both"/>
        <w:rPr>
          <w:sz w:val="24"/>
          <w:szCs w:val="24"/>
        </w:rPr>
      </w:pPr>
      <w:r w:rsidRPr="00384E4F">
        <w:rPr>
          <w:sz w:val="24"/>
          <w:szCs w:val="24"/>
        </w:rPr>
        <w:t xml:space="preserve">1. </w:t>
      </w:r>
      <w:r w:rsidR="0062731C" w:rsidRPr="00384E4F">
        <w:rPr>
          <w:sz w:val="24"/>
          <w:szCs w:val="24"/>
        </w:rPr>
        <w:t>For</w:t>
      </w:r>
      <w:r w:rsidRPr="00384E4F">
        <w:rPr>
          <w:sz w:val="24"/>
          <w:szCs w:val="24"/>
        </w:rPr>
        <w:t xml:space="preserve"> the disease to progress through time and align with recognised clinical metrics</w:t>
      </w:r>
    </w:p>
    <w:p w14:paraId="5D56907B" w14:textId="77777777" w:rsidR="00A05B06" w:rsidRPr="00384E4F" w:rsidRDefault="00A05B06" w:rsidP="00384E4F">
      <w:pPr>
        <w:jc w:val="both"/>
        <w:rPr>
          <w:sz w:val="24"/>
          <w:szCs w:val="24"/>
        </w:rPr>
      </w:pPr>
    </w:p>
    <w:p w14:paraId="5CF1A0EA" w14:textId="051B58AE" w:rsidR="00A05B06" w:rsidRPr="00384E4F" w:rsidRDefault="00000000" w:rsidP="00384E4F">
      <w:pPr>
        <w:jc w:val="both"/>
        <w:rPr>
          <w:sz w:val="24"/>
          <w:szCs w:val="24"/>
        </w:rPr>
      </w:pPr>
      <w:r w:rsidRPr="00384E4F">
        <w:rPr>
          <w:sz w:val="24"/>
          <w:szCs w:val="24"/>
        </w:rPr>
        <w:t xml:space="preserve">2. Those who </w:t>
      </w:r>
      <w:r w:rsidR="0062731C" w:rsidRPr="00384E4F">
        <w:rPr>
          <w:sz w:val="24"/>
          <w:szCs w:val="24"/>
        </w:rPr>
        <w:t>can</w:t>
      </w:r>
      <w:r w:rsidRPr="00384E4F">
        <w:rPr>
          <w:sz w:val="24"/>
          <w:szCs w:val="24"/>
        </w:rPr>
        <w:t xml:space="preserve"> recognise a drug's effects</w:t>
      </w:r>
    </w:p>
    <w:p w14:paraId="3CB70FDE" w14:textId="77777777" w:rsidR="00A05B06" w:rsidRPr="00384E4F" w:rsidRDefault="00A05B06" w:rsidP="00384E4F">
      <w:pPr>
        <w:jc w:val="both"/>
        <w:rPr>
          <w:sz w:val="24"/>
          <w:szCs w:val="24"/>
        </w:rPr>
      </w:pPr>
    </w:p>
    <w:p w14:paraId="55E88FD7" w14:textId="77777777" w:rsidR="00A05B06" w:rsidRPr="00384E4F" w:rsidRDefault="00000000" w:rsidP="00384E4F">
      <w:pPr>
        <w:jc w:val="both"/>
        <w:rPr>
          <w:sz w:val="24"/>
          <w:szCs w:val="24"/>
        </w:rPr>
      </w:pPr>
      <w:r w:rsidRPr="00384E4F">
        <w:rPr>
          <w:sz w:val="24"/>
          <w:szCs w:val="24"/>
        </w:rPr>
        <w:t>3. those that serve as replacement objectives in clinical trials</w:t>
      </w:r>
    </w:p>
    <w:p w14:paraId="55E2FCED" w14:textId="77777777" w:rsidR="00A05B06" w:rsidRPr="00384E4F" w:rsidRDefault="00A05B06" w:rsidP="00384E4F">
      <w:pPr>
        <w:jc w:val="both"/>
        <w:rPr>
          <w:sz w:val="24"/>
          <w:szCs w:val="24"/>
        </w:rPr>
      </w:pPr>
    </w:p>
    <w:p w14:paraId="000DF76E" w14:textId="28E7833F" w:rsidR="00A05B06" w:rsidRPr="00C42F75" w:rsidRDefault="00000000" w:rsidP="00384E4F">
      <w:pPr>
        <w:jc w:val="both"/>
        <w:rPr>
          <w:b/>
          <w:bCs/>
          <w:color w:val="FF0000"/>
          <w:sz w:val="24"/>
          <w:szCs w:val="24"/>
        </w:rPr>
      </w:pPr>
      <w:r w:rsidRPr="00384E4F">
        <w:rPr>
          <w:sz w:val="24"/>
          <w:szCs w:val="24"/>
        </w:rPr>
        <w:t>A biomarker could be as simple as a lab test or as complex as the pattern of gene or protein expression. Since the biomarker would sensitively and specifically represent a disease state, it might be used for diagnosis as well as disease monitoring during and after therapy. A "negative biomarker" is a marker that is insufficient or absent in a condition.</w:t>
      </w:r>
      <w:r w:rsidR="00C42F75" w:rsidRPr="00110714">
        <w:rPr>
          <w:b/>
          <w:bCs/>
          <w:sz w:val="24"/>
          <w:szCs w:val="24"/>
        </w:rPr>
        <w:t>[2]</w:t>
      </w:r>
      <w:bookmarkStart w:id="1" w:name="_Hlk111969396"/>
    </w:p>
    <w:bookmarkEnd w:id="1"/>
    <w:p w14:paraId="32D9D695" w14:textId="77777777" w:rsidR="00A05B06" w:rsidRPr="00384E4F" w:rsidRDefault="00A05B06" w:rsidP="00384E4F">
      <w:pPr>
        <w:jc w:val="both"/>
        <w:rPr>
          <w:sz w:val="24"/>
          <w:szCs w:val="24"/>
        </w:rPr>
      </w:pPr>
    </w:p>
    <w:p w14:paraId="6A09DEA1" w14:textId="59D83BC1" w:rsidR="00A05B06" w:rsidRPr="00C42F75" w:rsidRDefault="00110714" w:rsidP="00384E4F">
      <w:pPr>
        <w:jc w:val="both"/>
        <w:rPr>
          <w:b/>
          <w:bCs/>
          <w:color w:val="FF0000"/>
          <w:sz w:val="24"/>
          <w:szCs w:val="24"/>
        </w:rPr>
      </w:pPr>
      <w:r w:rsidRPr="00384E4F">
        <w:rPr>
          <w:sz w:val="24"/>
          <w:szCs w:val="24"/>
        </w:rPr>
        <w:t>Most of the</w:t>
      </w:r>
      <w:r w:rsidR="00000000" w:rsidRPr="00384E4F">
        <w:rPr>
          <w:sz w:val="24"/>
          <w:szCs w:val="24"/>
        </w:rPr>
        <w:t xml:space="preserve"> applied medicine and biomedical discovery domains centre on the pursuit of biomarkers. Biomarkers are generally understood to be objectively observable clinical symptoms that may be precisely and consistently measured as quantitative indications of health and illness. </w:t>
      </w:r>
      <w:r w:rsidR="00C42F75" w:rsidRPr="00110714">
        <w:rPr>
          <w:b/>
          <w:bCs/>
          <w:sz w:val="24"/>
          <w:szCs w:val="24"/>
        </w:rPr>
        <w:t>[3]</w:t>
      </w:r>
    </w:p>
    <w:p w14:paraId="17AEBF6D" w14:textId="77777777" w:rsidR="00A05B06" w:rsidRPr="00384E4F" w:rsidRDefault="00A05B06" w:rsidP="00384E4F">
      <w:pPr>
        <w:jc w:val="both"/>
        <w:rPr>
          <w:sz w:val="24"/>
          <w:szCs w:val="24"/>
        </w:rPr>
      </w:pPr>
    </w:p>
    <w:p w14:paraId="25F27285" w14:textId="577952ED" w:rsidR="00A05B06" w:rsidRPr="00C42F75" w:rsidRDefault="00000000" w:rsidP="00384E4F">
      <w:pPr>
        <w:jc w:val="both"/>
        <w:rPr>
          <w:b/>
          <w:bCs/>
          <w:color w:val="FF0000"/>
          <w:sz w:val="24"/>
          <w:szCs w:val="24"/>
        </w:rPr>
      </w:pPr>
      <w:r w:rsidRPr="00384E4F">
        <w:rPr>
          <w:sz w:val="24"/>
          <w:szCs w:val="24"/>
        </w:rPr>
        <w:t>Therefore, among the technical characteristics of a biomarker test that are frequently considered to contribute to therapeutic efficacy are compatibility with readily available sample types, precision and accuracy, acceptable analytical sensitivity, analytical specificity/selectivity, robustness, and throughput.</w:t>
      </w:r>
      <w:r w:rsidR="00C42F75">
        <w:rPr>
          <w:sz w:val="24"/>
          <w:szCs w:val="24"/>
        </w:rPr>
        <w:t xml:space="preserve"> </w:t>
      </w:r>
      <w:r w:rsidR="00C42F75" w:rsidRPr="00110714">
        <w:rPr>
          <w:b/>
          <w:bCs/>
          <w:sz w:val="24"/>
          <w:szCs w:val="24"/>
        </w:rPr>
        <w:t>[3]</w:t>
      </w:r>
    </w:p>
    <w:p w14:paraId="61201B73" w14:textId="77777777" w:rsidR="00A05B06" w:rsidRPr="00384E4F" w:rsidRDefault="00A05B06" w:rsidP="00384E4F">
      <w:pPr>
        <w:jc w:val="both"/>
        <w:rPr>
          <w:sz w:val="24"/>
          <w:szCs w:val="24"/>
        </w:rPr>
      </w:pPr>
    </w:p>
    <w:p w14:paraId="32A288F2" w14:textId="77777777" w:rsidR="00A05B06" w:rsidRPr="00FC0176" w:rsidRDefault="00000000" w:rsidP="00384E4F">
      <w:pPr>
        <w:jc w:val="both"/>
        <w:rPr>
          <w:b/>
          <w:bCs/>
          <w:sz w:val="24"/>
          <w:szCs w:val="24"/>
        </w:rPr>
      </w:pPr>
      <w:r w:rsidRPr="00FC0176">
        <w:rPr>
          <w:b/>
          <w:bCs/>
          <w:sz w:val="24"/>
          <w:szCs w:val="24"/>
        </w:rPr>
        <w:t>Clinical outcome measurements, biomarkers, and endpoints</w:t>
      </w:r>
    </w:p>
    <w:p w14:paraId="206C708D" w14:textId="77777777" w:rsidR="00A05B06" w:rsidRPr="00384E4F" w:rsidRDefault="00A05B06" w:rsidP="00384E4F">
      <w:pPr>
        <w:jc w:val="both"/>
        <w:rPr>
          <w:sz w:val="24"/>
          <w:szCs w:val="24"/>
        </w:rPr>
      </w:pPr>
    </w:p>
    <w:p w14:paraId="7B269362" w14:textId="77777777" w:rsidR="00A05B06" w:rsidRPr="00384E4F" w:rsidRDefault="00000000" w:rsidP="00384E4F">
      <w:pPr>
        <w:jc w:val="both"/>
        <w:rPr>
          <w:sz w:val="24"/>
          <w:szCs w:val="24"/>
        </w:rPr>
      </w:pPr>
      <w:r w:rsidRPr="00384E4F">
        <w:rPr>
          <w:sz w:val="24"/>
          <w:szCs w:val="24"/>
        </w:rPr>
        <w:t>A biomarker is a defined characteristic that is measured as an indicator of typical biological processes, pathogenic processes, or reactions to an exposure or intervention3. This expansive definition covers therapeutic interventions and can be derived from molecular, histologic, radiographic, or physiologic characteristics. For the sake of clarity, biomarkers should be distinguished from clinical outcome assessments, a kind of measure that directly assesses how a person feels, performs, or survives (COA). This distinction between COAs and biomarkers is significant because COAs measure outcomes that are directly relevant to patients and can be used to meet regulatory requirements for therapeutic product approval, whereas biomarkers have a variety of uses, one of which is to connect a measurement to a prediction of COAs. Except in situations when no effective medicine is available, a biomarker can only be used as the main justification for regulatory permission for marketing once it has been validated.</w:t>
      </w:r>
    </w:p>
    <w:p w14:paraId="11F0FF5B" w14:textId="77777777" w:rsidR="00A05B06" w:rsidRPr="00384E4F" w:rsidRDefault="00A05B06" w:rsidP="00384E4F">
      <w:pPr>
        <w:jc w:val="both"/>
        <w:rPr>
          <w:sz w:val="24"/>
          <w:szCs w:val="24"/>
        </w:rPr>
      </w:pPr>
    </w:p>
    <w:p w14:paraId="6580F722" w14:textId="37B431E8" w:rsidR="00A05B06" w:rsidRPr="00C42F75" w:rsidRDefault="00000000" w:rsidP="00384E4F">
      <w:pPr>
        <w:jc w:val="both"/>
        <w:rPr>
          <w:b/>
          <w:bCs/>
          <w:color w:val="FF0000"/>
          <w:sz w:val="24"/>
          <w:szCs w:val="24"/>
        </w:rPr>
      </w:pPr>
      <w:r w:rsidRPr="00384E4F">
        <w:rPr>
          <w:sz w:val="24"/>
          <w:szCs w:val="24"/>
        </w:rPr>
        <w:t xml:space="preserve">When utilised as endpoints in clinical investigations, biomarkers and COAs acquire added complexity and a commensurate demand for scientific rigour. A biomarker or COA may be discussed in a more general sense, but when either is used as an endpoint, a level of rigour that includes multiple dimensions is required. An endpoint is a precisely defined variable intended to reflect an outcome of interest that is analysed using statistics to answer a specific research question. </w:t>
      </w:r>
      <w:r w:rsidR="00C42F75" w:rsidRPr="00110714">
        <w:rPr>
          <w:b/>
          <w:bCs/>
          <w:sz w:val="24"/>
          <w:szCs w:val="24"/>
        </w:rPr>
        <w:t>[8]</w:t>
      </w:r>
    </w:p>
    <w:p w14:paraId="1F95D295" w14:textId="77777777" w:rsidR="00A05B06" w:rsidRPr="00384E4F" w:rsidRDefault="00A05B06" w:rsidP="00384E4F">
      <w:pPr>
        <w:jc w:val="both"/>
        <w:rPr>
          <w:sz w:val="24"/>
          <w:szCs w:val="24"/>
        </w:rPr>
      </w:pPr>
    </w:p>
    <w:p w14:paraId="51BC61F0" w14:textId="069EC946" w:rsidR="00A05B06" w:rsidRPr="00FC0176" w:rsidRDefault="00FC0176" w:rsidP="00384E4F">
      <w:pPr>
        <w:jc w:val="both"/>
        <w:rPr>
          <w:b/>
          <w:bCs/>
          <w:sz w:val="24"/>
          <w:szCs w:val="24"/>
        </w:rPr>
      </w:pPr>
      <w:r>
        <w:rPr>
          <w:b/>
          <w:bCs/>
          <w:sz w:val="24"/>
          <w:szCs w:val="24"/>
        </w:rPr>
        <w:lastRenderedPageBreak/>
        <w:t>C</w:t>
      </w:r>
      <w:r w:rsidRPr="00FC0176">
        <w:rPr>
          <w:b/>
          <w:bCs/>
          <w:sz w:val="24"/>
          <w:szCs w:val="24"/>
        </w:rPr>
        <w:t>linical endpoint</w:t>
      </w:r>
    </w:p>
    <w:p w14:paraId="43061CCA" w14:textId="77777777" w:rsidR="00A05B06" w:rsidRPr="00384E4F" w:rsidRDefault="00A05B06" w:rsidP="00384E4F">
      <w:pPr>
        <w:jc w:val="both"/>
        <w:rPr>
          <w:sz w:val="24"/>
          <w:szCs w:val="24"/>
        </w:rPr>
      </w:pPr>
    </w:p>
    <w:p w14:paraId="5C8B3ABC" w14:textId="312BE85C" w:rsidR="00A05B06" w:rsidRDefault="00000000" w:rsidP="00384E4F">
      <w:pPr>
        <w:jc w:val="both"/>
        <w:rPr>
          <w:sz w:val="24"/>
          <w:szCs w:val="24"/>
        </w:rPr>
      </w:pPr>
      <w:r w:rsidRPr="00384E4F">
        <w:rPr>
          <w:sz w:val="24"/>
          <w:szCs w:val="24"/>
        </w:rPr>
        <w:t xml:space="preserve">It depicts how a patient feels, behaves, and endures. </w:t>
      </w:r>
      <w:r w:rsidR="0094293F" w:rsidRPr="00384E4F">
        <w:rPr>
          <w:sz w:val="24"/>
          <w:szCs w:val="24"/>
        </w:rPr>
        <w:t>E.g.,</w:t>
      </w:r>
      <w:r w:rsidRPr="00384E4F">
        <w:rPr>
          <w:sz w:val="24"/>
          <w:szCs w:val="24"/>
        </w:rPr>
        <w:t xml:space="preserve"> Survival and patient-reported outcomes, such as pain or functional ability, are important.</w:t>
      </w:r>
    </w:p>
    <w:p w14:paraId="14BD4B8D" w14:textId="77777777" w:rsidR="0094293F" w:rsidRPr="00384E4F" w:rsidRDefault="0094293F" w:rsidP="00384E4F">
      <w:pPr>
        <w:jc w:val="both"/>
        <w:rPr>
          <w:sz w:val="24"/>
          <w:szCs w:val="24"/>
        </w:rPr>
      </w:pPr>
    </w:p>
    <w:p w14:paraId="62B7920D" w14:textId="1A8B9F39" w:rsidR="00A05B06" w:rsidRPr="00384E4F" w:rsidRDefault="00000000" w:rsidP="00384E4F">
      <w:pPr>
        <w:jc w:val="both"/>
        <w:rPr>
          <w:sz w:val="24"/>
          <w:szCs w:val="24"/>
        </w:rPr>
      </w:pPr>
      <w:r w:rsidRPr="00384E4F">
        <w:rPr>
          <w:sz w:val="24"/>
          <w:szCs w:val="24"/>
        </w:rPr>
        <w:t>For instance, the exacerbation rate is an example of an intermediate endpoint.</w:t>
      </w:r>
      <w:r w:rsidR="0094293F">
        <w:rPr>
          <w:sz w:val="24"/>
          <w:szCs w:val="24"/>
        </w:rPr>
        <w:t xml:space="preserve"> </w:t>
      </w:r>
      <w:r w:rsidRPr="00384E4F">
        <w:rPr>
          <w:sz w:val="24"/>
          <w:szCs w:val="24"/>
        </w:rPr>
        <w:t xml:space="preserve">Clinical endpoints that reflect the </w:t>
      </w:r>
      <w:r w:rsidR="0094293F" w:rsidRPr="00384E4F">
        <w:rPr>
          <w:sz w:val="24"/>
          <w:szCs w:val="24"/>
        </w:rPr>
        <w:t>build-up</w:t>
      </w:r>
      <w:r w:rsidRPr="00384E4F">
        <w:rPr>
          <w:sz w:val="24"/>
          <w:szCs w:val="24"/>
        </w:rPr>
        <w:t xml:space="preserve"> of irreversible morbidity and survival but are not the conclusion are referred to as ultimate clinical outcomes. In a similar vein, individuals seek care for their ailments rather than the numerical measurements that commonly but not always correlate with them.</w:t>
      </w:r>
    </w:p>
    <w:p w14:paraId="376AF55C" w14:textId="77777777" w:rsidR="00A05B06" w:rsidRPr="00384E4F" w:rsidRDefault="00A05B06" w:rsidP="00384E4F">
      <w:pPr>
        <w:jc w:val="both"/>
        <w:rPr>
          <w:sz w:val="24"/>
          <w:szCs w:val="24"/>
        </w:rPr>
      </w:pPr>
    </w:p>
    <w:p w14:paraId="064134CF" w14:textId="77777777" w:rsidR="0094293F" w:rsidRDefault="00000000" w:rsidP="00384E4F">
      <w:pPr>
        <w:jc w:val="both"/>
        <w:rPr>
          <w:sz w:val="24"/>
          <w:szCs w:val="24"/>
        </w:rPr>
      </w:pPr>
      <w:r w:rsidRPr="00384E4F">
        <w:rPr>
          <w:sz w:val="24"/>
          <w:szCs w:val="24"/>
        </w:rPr>
        <w:t xml:space="preserve">In other words, they are factors that, from the patient's perspective, describe the health and wellbeing of a research participant. There has long been widespread agreement that the main, </w:t>
      </w:r>
    </w:p>
    <w:p w14:paraId="4EFCF562" w14:textId="77777777" w:rsidR="0094293F" w:rsidRDefault="0094293F" w:rsidP="00384E4F">
      <w:pPr>
        <w:jc w:val="both"/>
        <w:rPr>
          <w:sz w:val="24"/>
          <w:szCs w:val="24"/>
        </w:rPr>
      </w:pPr>
    </w:p>
    <w:p w14:paraId="1D538ED5" w14:textId="623A27F0" w:rsidR="00A05B06" w:rsidRPr="00384E4F" w:rsidRDefault="00000000" w:rsidP="00384E4F">
      <w:pPr>
        <w:jc w:val="both"/>
        <w:rPr>
          <w:sz w:val="24"/>
          <w:szCs w:val="24"/>
        </w:rPr>
      </w:pPr>
      <w:r w:rsidRPr="00384E4F">
        <w:rPr>
          <w:sz w:val="24"/>
          <w:szCs w:val="24"/>
        </w:rPr>
        <w:t xml:space="preserve">and in some </w:t>
      </w:r>
      <w:r w:rsidR="0094293F" w:rsidRPr="00384E4F">
        <w:rPr>
          <w:sz w:val="24"/>
          <w:szCs w:val="24"/>
        </w:rPr>
        <w:t>cases,</w:t>
      </w:r>
      <w:r w:rsidRPr="00384E4F">
        <w:rPr>
          <w:sz w:val="24"/>
          <w:szCs w:val="24"/>
        </w:rPr>
        <w:t xml:space="preserve"> the only significant, outcomes of all clinical research—and eventually of all biomedical research—are clinical endpoints. Clinical practise should focus on reducing morbidity and death rather than altering individuals' intrinsic biochemistry, for example, which would have no discernible clinical impact. In a similar vein, individuals seek care for their ailments rather than the numerical measurements that commonly but not always correlate with them.</w:t>
      </w:r>
    </w:p>
    <w:p w14:paraId="299B5500" w14:textId="77777777" w:rsidR="00A05B06" w:rsidRPr="00384E4F" w:rsidRDefault="00A05B06" w:rsidP="00384E4F">
      <w:pPr>
        <w:jc w:val="both"/>
        <w:rPr>
          <w:sz w:val="24"/>
          <w:szCs w:val="24"/>
        </w:rPr>
      </w:pPr>
    </w:p>
    <w:p w14:paraId="4718AFC0" w14:textId="77777777" w:rsidR="00A05B06" w:rsidRPr="00384E4F" w:rsidRDefault="00000000" w:rsidP="00384E4F">
      <w:pPr>
        <w:jc w:val="both"/>
        <w:rPr>
          <w:sz w:val="24"/>
          <w:szCs w:val="24"/>
        </w:rPr>
      </w:pPr>
      <w:r w:rsidRPr="00384E4F">
        <w:rPr>
          <w:sz w:val="24"/>
          <w:szCs w:val="24"/>
        </w:rPr>
        <w:t>However, other well-defined, unambiguous clinical variables, such as stroke, myocardial infarction, and occurrence of predefined opportunistic infections, have also been used as endpoints in appropriate circumstances. These clinical variables offer clear, unambiguous data with the potential to show definitively whether interventions are effective or ineffective, as well as safe or unsafe. Survival is often regarded as the gold-standard clinical endpoint for most HIV trials. But not all clinical endpoints are the same. Breath sounds, pain, and the alleviation of "symptoms" in situations where symptoms are not predefined are examples of clinical data items that convey less accurate, less quantitative information.</w:t>
      </w:r>
    </w:p>
    <w:p w14:paraId="191B2EEC" w14:textId="77777777" w:rsidR="00A05B06" w:rsidRPr="00384E4F" w:rsidRDefault="00A05B06" w:rsidP="00384E4F">
      <w:pPr>
        <w:jc w:val="both"/>
        <w:rPr>
          <w:sz w:val="24"/>
          <w:szCs w:val="24"/>
        </w:rPr>
      </w:pPr>
    </w:p>
    <w:p w14:paraId="42E3C2DD" w14:textId="56F41540" w:rsidR="00A05B06" w:rsidRPr="00FC0176" w:rsidRDefault="00FC0176" w:rsidP="00384E4F">
      <w:pPr>
        <w:jc w:val="both"/>
        <w:rPr>
          <w:b/>
          <w:bCs/>
          <w:sz w:val="24"/>
          <w:szCs w:val="24"/>
        </w:rPr>
      </w:pPr>
      <w:r w:rsidRPr="00FC0176">
        <w:rPr>
          <w:b/>
          <w:bCs/>
          <w:sz w:val="24"/>
          <w:szCs w:val="24"/>
        </w:rPr>
        <w:t>Surrogate endpoint</w:t>
      </w:r>
    </w:p>
    <w:p w14:paraId="36B77BCA" w14:textId="77777777" w:rsidR="00A05B06" w:rsidRPr="00384E4F" w:rsidRDefault="00A05B06" w:rsidP="00384E4F">
      <w:pPr>
        <w:jc w:val="both"/>
        <w:rPr>
          <w:sz w:val="24"/>
          <w:szCs w:val="24"/>
        </w:rPr>
      </w:pPr>
    </w:p>
    <w:p w14:paraId="3814D69D" w14:textId="77777777" w:rsidR="00A05B06" w:rsidRPr="00384E4F" w:rsidRDefault="00000000" w:rsidP="00384E4F">
      <w:pPr>
        <w:jc w:val="both"/>
        <w:rPr>
          <w:sz w:val="24"/>
          <w:szCs w:val="24"/>
        </w:rPr>
      </w:pPr>
      <w:r w:rsidRPr="00384E4F">
        <w:rPr>
          <w:sz w:val="24"/>
          <w:szCs w:val="24"/>
        </w:rPr>
        <w:t>This type of biomarker is unique. It serves as a stand-in for a clinical endpoint.</w:t>
      </w:r>
    </w:p>
    <w:p w14:paraId="127A23E6" w14:textId="77777777" w:rsidR="00A05B06" w:rsidRPr="00384E4F" w:rsidRDefault="00A05B06" w:rsidP="00384E4F">
      <w:pPr>
        <w:jc w:val="both"/>
        <w:rPr>
          <w:sz w:val="24"/>
          <w:szCs w:val="24"/>
        </w:rPr>
      </w:pPr>
    </w:p>
    <w:p w14:paraId="72BFE061" w14:textId="669BD82A" w:rsidR="00A05B06" w:rsidRPr="00384E4F" w:rsidRDefault="0094293F" w:rsidP="00384E4F">
      <w:pPr>
        <w:jc w:val="both"/>
        <w:rPr>
          <w:sz w:val="24"/>
          <w:szCs w:val="24"/>
        </w:rPr>
      </w:pPr>
      <w:r w:rsidRPr="00384E4F">
        <w:rPr>
          <w:sz w:val="24"/>
          <w:szCs w:val="24"/>
        </w:rPr>
        <w:t>Based on</w:t>
      </w:r>
      <w:r w:rsidR="00000000" w:rsidRPr="00384E4F">
        <w:rPr>
          <w:sz w:val="24"/>
          <w:szCs w:val="24"/>
        </w:rPr>
        <w:t xml:space="preserve"> epidemiological, pathophysiological, pharmacological, or other evidence, it is supposed to forecast clinical gain and damage.</w:t>
      </w:r>
    </w:p>
    <w:p w14:paraId="460FE16C" w14:textId="77777777" w:rsidR="00A05B06" w:rsidRPr="00384E4F" w:rsidRDefault="00A05B06" w:rsidP="00384E4F">
      <w:pPr>
        <w:jc w:val="both"/>
        <w:rPr>
          <w:sz w:val="24"/>
          <w:szCs w:val="24"/>
        </w:rPr>
      </w:pPr>
    </w:p>
    <w:p w14:paraId="6A47D38F" w14:textId="77777777" w:rsidR="00A05B06" w:rsidRPr="00384E4F" w:rsidRDefault="00000000" w:rsidP="00384E4F">
      <w:pPr>
        <w:jc w:val="both"/>
        <w:rPr>
          <w:sz w:val="24"/>
          <w:szCs w:val="24"/>
        </w:rPr>
      </w:pPr>
      <w:r w:rsidRPr="00384E4F">
        <w:rPr>
          <w:sz w:val="24"/>
          <w:szCs w:val="24"/>
        </w:rPr>
        <w:t>There must be strong scientific evidence for a surrogate endpoint.</w:t>
      </w:r>
    </w:p>
    <w:p w14:paraId="608C014B" w14:textId="77777777" w:rsidR="00A05B06" w:rsidRPr="00384E4F" w:rsidRDefault="00A05B06" w:rsidP="00384E4F">
      <w:pPr>
        <w:jc w:val="both"/>
        <w:rPr>
          <w:sz w:val="24"/>
          <w:szCs w:val="24"/>
        </w:rPr>
      </w:pPr>
    </w:p>
    <w:p w14:paraId="761A8D1C" w14:textId="1EA68E19" w:rsidR="00A05B06" w:rsidRPr="00C42F75" w:rsidRDefault="00000000" w:rsidP="00384E4F">
      <w:pPr>
        <w:jc w:val="both"/>
        <w:rPr>
          <w:b/>
          <w:bCs/>
          <w:color w:val="FF0000"/>
          <w:sz w:val="24"/>
          <w:szCs w:val="24"/>
        </w:rPr>
      </w:pPr>
      <w:r w:rsidRPr="00384E4F">
        <w:rPr>
          <w:sz w:val="24"/>
          <w:szCs w:val="24"/>
        </w:rPr>
        <w:t xml:space="preserve">In this respect, a surrogate endpoint is a biomarker that may be relied upon to act as a substitute for a clinical endpoint, but not as a substitute for it. </w:t>
      </w:r>
      <w:r w:rsidR="00C42F75" w:rsidRPr="00AE5D89">
        <w:rPr>
          <w:b/>
          <w:bCs/>
          <w:sz w:val="24"/>
          <w:szCs w:val="24"/>
        </w:rPr>
        <w:t>[</w:t>
      </w:r>
      <w:r w:rsidR="004E1495" w:rsidRPr="00AE5D89">
        <w:rPr>
          <w:b/>
          <w:bCs/>
          <w:sz w:val="24"/>
          <w:szCs w:val="24"/>
        </w:rPr>
        <w:t>9</w:t>
      </w:r>
      <w:r w:rsidR="00DE31B5" w:rsidRPr="00AE5D89">
        <w:rPr>
          <w:b/>
          <w:bCs/>
          <w:sz w:val="24"/>
          <w:szCs w:val="24"/>
        </w:rPr>
        <w:t>]</w:t>
      </w:r>
      <w:bookmarkStart w:id="2" w:name="_Hlk111969525"/>
    </w:p>
    <w:bookmarkEnd w:id="2"/>
    <w:p w14:paraId="73A45677" w14:textId="77777777" w:rsidR="00A05B06" w:rsidRPr="00384E4F" w:rsidRDefault="00A05B06" w:rsidP="00384E4F">
      <w:pPr>
        <w:jc w:val="both"/>
        <w:rPr>
          <w:sz w:val="24"/>
          <w:szCs w:val="24"/>
        </w:rPr>
      </w:pPr>
    </w:p>
    <w:p w14:paraId="029617A2" w14:textId="77777777" w:rsidR="00A05B06" w:rsidRPr="00384E4F" w:rsidRDefault="00000000" w:rsidP="00384E4F">
      <w:pPr>
        <w:jc w:val="both"/>
        <w:rPr>
          <w:sz w:val="24"/>
          <w:szCs w:val="24"/>
        </w:rPr>
      </w:pPr>
      <w:r w:rsidRPr="00384E4F">
        <w:rPr>
          <w:sz w:val="24"/>
          <w:szCs w:val="24"/>
        </w:rPr>
        <w:t>For instance, blood pressure in preventing strokes, the Q-T interval in determining the safety of drugs, the time until cancer progresses, and plasma glucose in determining diabetes.</w:t>
      </w:r>
    </w:p>
    <w:p w14:paraId="531553D4" w14:textId="77777777" w:rsidR="00A05B06" w:rsidRPr="00384E4F" w:rsidRDefault="00A05B06" w:rsidP="00384E4F">
      <w:pPr>
        <w:jc w:val="both"/>
        <w:rPr>
          <w:sz w:val="24"/>
          <w:szCs w:val="24"/>
        </w:rPr>
      </w:pPr>
    </w:p>
    <w:p w14:paraId="743DCBC6" w14:textId="77777777" w:rsidR="00A05B06" w:rsidRPr="00C260C7" w:rsidRDefault="00000000" w:rsidP="00384E4F">
      <w:pPr>
        <w:jc w:val="both"/>
        <w:rPr>
          <w:b/>
          <w:bCs/>
          <w:sz w:val="24"/>
          <w:szCs w:val="24"/>
        </w:rPr>
      </w:pPr>
      <w:r w:rsidRPr="00C260C7">
        <w:rPr>
          <w:b/>
          <w:bCs/>
          <w:sz w:val="24"/>
          <w:szCs w:val="24"/>
        </w:rPr>
        <w:t>Differentiating biomarkers</w:t>
      </w:r>
    </w:p>
    <w:p w14:paraId="01BF6105" w14:textId="77777777" w:rsidR="00A05B06" w:rsidRPr="00384E4F" w:rsidRDefault="00A05B06" w:rsidP="00384E4F">
      <w:pPr>
        <w:jc w:val="both"/>
        <w:rPr>
          <w:sz w:val="24"/>
          <w:szCs w:val="24"/>
        </w:rPr>
      </w:pPr>
    </w:p>
    <w:p w14:paraId="25F9BA7C" w14:textId="77777777" w:rsidR="00A05B06" w:rsidRPr="00384E4F" w:rsidRDefault="00000000" w:rsidP="00384E4F">
      <w:pPr>
        <w:jc w:val="both"/>
        <w:rPr>
          <w:sz w:val="24"/>
          <w:szCs w:val="24"/>
        </w:rPr>
      </w:pPr>
      <w:r w:rsidRPr="00384E4F">
        <w:rPr>
          <w:sz w:val="24"/>
          <w:szCs w:val="24"/>
        </w:rPr>
        <w:t xml:space="preserve">Computed tomography, positron emission tomography, and magnetic resonance imaging are examples of imaging biomarkers. Non-imaging biomarkers, also known as molecular biomarkers, are those with biophysical properties that enable them to be measured in biological </w:t>
      </w:r>
      <w:r w:rsidRPr="00384E4F">
        <w:rPr>
          <w:sz w:val="24"/>
          <w:szCs w:val="24"/>
        </w:rPr>
        <w:lastRenderedPageBreak/>
        <w:t>samples. These include nucleic acid-based biomarkers like gene mutations or polymorphisms and quantitative gene expression.</w:t>
      </w:r>
    </w:p>
    <w:p w14:paraId="7873ED54" w14:textId="77777777" w:rsidR="00A05B06" w:rsidRPr="00384E4F" w:rsidRDefault="00A05B06" w:rsidP="00384E4F">
      <w:pPr>
        <w:jc w:val="both"/>
        <w:rPr>
          <w:sz w:val="24"/>
          <w:szCs w:val="24"/>
        </w:rPr>
      </w:pPr>
    </w:p>
    <w:p w14:paraId="1264AEE6" w14:textId="77777777" w:rsidR="00A05B06" w:rsidRPr="00384E4F" w:rsidRDefault="00000000" w:rsidP="00384E4F">
      <w:pPr>
        <w:jc w:val="both"/>
        <w:rPr>
          <w:sz w:val="24"/>
          <w:szCs w:val="24"/>
        </w:rPr>
      </w:pPr>
      <w:r w:rsidRPr="00384E4F">
        <w:rPr>
          <w:sz w:val="24"/>
          <w:szCs w:val="24"/>
        </w:rPr>
        <w:t>Additionally, biomarkers can be categorised according to how they are used, such as diagnostic biomarkers, disease staging biomarkers, disease prognosis biomarkers, and biomarkers for tracking the clinical outcome of an intervention.</w:t>
      </w:r>
    </w:p>
    <w:p w14:paraId="3B9658F0" w14:textId="77777777" w:rsidR="00A05B06" w:rsidRPr="00384E4F" w:rsidRDefault="00A05B06" w:rsidP="00384E4F">
      <w:pPr>
        <w:jc w:val="both"/>
        <w:rPr>
          <w:sz w:val="24"/>
          <w:szCs w:val="24"/>
        </w:rPr>
      </w:pPr>
    </w:p>
    <w:p w14:paraId="11DECF8C" w14:textId="2C7DA067" w:rsidR="00A05B06" w:rsidRPr="00384E4F" w:rsidRDefault="00000000" w:rsidP="00384E4F">
      <w:pPr>
        <w:jc w:val="both"/>
        <w:rPr>
          <w:sz w:val="24"/>
          <w:szCs w:val="24"/>
        </w:rPr>
      </w:pPr>
      <w:r w:rsidRPr="00384E4F">
        <w:rPr>
          <w:sz w:val="24"/>
          <w:szCs w:val="24"/>
        </w:rPr>
        <w:t>The biomarkers utilised in early drug development decision-making are a different category of biomarkers. For instance, pharmacodynamic biomarkers, which serve as indicators of a specific pharmacological response, are particularly relevant to studies on dose optimization.</w:t>
      </w:r>
      <w:r w:rsidR="00C42F75">
        <w:rPr>
          <w:sz w:val="24"/>
          <w:szCs w:val="24"/>
        </w:rPr>
        <w:t xml:space="preserve"> </w:t>
      </w:r>
      <w:r w:rsidR="00C42F75" w:rsidRPr="00243912">
        <w:rPr>
          <w:b/>
          <w:bCs/>
          <w:sz w:val="24"/>
          <w:szCs w:val="24"/>
        </w:rPr>
        <w:t>[4]</w:t>
      </w:r>
      <w:r w:rsidRPr="00384E4F">
        <w:rPr>
          <w:sz w:val="24"/>
          <w:szCs w:val="24"/>
        </w:rPr>
        <w:t>.</w:t>
      </w:r>
    </w:p>
    <w:p w14:paraId="2BCCF7F7" w14:textId="77777777" w:rsidR="00A05B06" w:rsidRPr="00384E4F" w:rsidRDefault="00A05B06" w:rsidP="00384E4F">
      <w:pPr>
        <w:jc w:val="both"/>
        <w:rPr>
          <w:sz w:val="24"/>
          <w:szCs w:val="24"/>
        </w:rPr>
      </w:pPr>
    </w:p>
    <w:p w14:paraId="71518ADB" w14:textId="07F5997F" w:rsidR="00A05B06" w:rsidRDefault="00000000" w:rsidP="00384E4F">
      <w:pPr>
        <w:jc w:val="both"/>
        <w:rPr>
          <w:sz w:val="24"/>
          <w:szCs w:val="24"/>
        </w:rPr>
      </w:pPr>
      <w:r w:rsidRPr="00384E4F">
        <w:rPr>
          <w:sz w:val="24"/>
          <w:szCs w:val="24"/>
        </w:rPr>
        <w:t xml:space="preserve">The rest of this study illustrates the various classification schemes used for biomarkers. The biomarkers could include straightforward substances like metabolites, sugars (like glucose), hormones, and lipids. Peptides and proteins like insulin, haemoglobin A and C, prostate specific antigen, and C-reactive protein are less straightforward. Autoantibodies and cells like platelets or T cells are examples of more complicated biomarkers. The most complex clinical phenotypes are </w:t>
      </w:r>
      <w:r w:rsidR="00243912" w:rsidRPr="00384E4F">
        <w:rPr>
          <w:sz w:val="24"/>
          <w:szCs w:val="24"/>
        </w:rPr>
        <w:t>patients;</w:t>
      </w:r>
      <w:r w:rsidRPr="00384E4F">
        <w:rPr>
          <w:sz w:val="24"/>
          <w:szCs w:val="24"/>
        </w:rPr>
        <w:t xml:space="preserve"> </w:t>
      </w:r>
      <w:r w:rsidR="00243912" w:rsidRPr="00384E4F">
        <w:rPr>
          <w:sz w:val="24"/>
          <w:szCs w:val="24"/>
        </w:rPr>
        <w:t>however,</w:t>
      </w:r>
      <w:r w:rsidRPr="00384E4F">
        <w:rPr>
          <w:sz w:val="24"/>
          <w:szCs w:val="24"/>
        </w:rPr>
        <w:t xml:space="preserve"> this subject will not be covered in this study.</w:t>
      </w:r>
    </w:p>
    <w:p w14:paraId="21FBB710" w14:textId="50AA9304" w:rsidR="00C260C7" w:rsidRDefault="00C260C7" w:rsidP="00384E4F">
      <w:pPr>
        <w:jc w:val="both"/>
        <w:rPr>
          <w:sz w:val="24"/>
          <w:szCs w:val="24"/>
        </w:rPr>
      </w:pPr>
    </w:p>
    <w:p w14:paraId="3AD6CEC1" w14:textId="1E90372E" w:rsidR="00C260C7" w:rsidRPr="00384E4F" w:rsidRDefault="00C260C7" w:rsidP="00384E4F">
      <w:pPr>
        <w:jc w:val="both"/>
        <w:rPr>
          <w:sz w:val="24"/>
          <w:szCs w:val="24"/>
        </w:rPr>
      </w:pPr>
    </w:p>
    <w:p w14:paraId="6048E260" w14:textId="77777777" w:rsidR="00A05B06" w:rsidRPr="00384E4F" w:rsidRDefault="00A05B06" w:rsidP="00384E4F">
      <w:pPr>
        <w:jc w:val="both"/>
        <w:rPr>
          <w:sz w:val="24"/>
          <w:szCs w:val="24"/>
        </w:rPr>
      </w:pPr>
    </w:p>
    <w:p w14:paraId="67216F97" w14:textId="77777777" w:rsidR="00A05B06" w:rsidRPr="00384E4F" w:rsidRDefault="00A05B06" w:rsidP="00384E4F">
      <w:pPr>
        <w:jc w:val="both"/>
        <w:rPr>
          <w:sz w:val="24"/>
          <w:szCs w:val="24"/>
        </w:rPr>
      </w:pPr>
    </w:p>
    <w:p w14:paraId="08C2D138" w14:textId="77777777" w:rsidR="00A05B06" w:rsidRPr="00384E4F" w:rsidRDefault="00A05B06" w:rsidP="00384E4F">
      <w:pPr>
        <w:jc w:val="both"/>
        <w:rPr>
          <w:sz w:val="24"/>
          <w:szCs w:val="24"/>
        </w:rPr>
      </w:pPr>
    </w:p>
    <w:p w14:paraId="34E11142" w14:textId="77777777" w:rsidR="00A05B06" w:rsidRPr="00384E4F" w:rsidRDefault="00A05B06" w:rsidP="00384E4F">
      <w:pPr>
        <w:jc w:val="both"/>
        <w:rPr>
          <w:sz w:val="24"/>
          <w:szCs w:val="24"/>
        </w:rPr>
      </w:pPr>
    </w:p>
    <w:p w14:paraId="395FE87E" w14:textId="77777777" w:rsidR="00A05B06" w:rsidRPr="00384E4F" w:rsidRDefault="00A05B06" w:rsidP="00384E4F">
      <w:pPr>
        <w:jc w:val="both"/>
        <w:rPr>
          <w:sz w:val="24"/>
          <w:szCs w:val="24"/>
        </w:rPr>
      </w:pPr>
    </w:p>
    <w:p w14:paraId="2F67099C" w14:textId="1DA1A8C5" w:rsidR="00A05B06" w:rsidRPr="00384E4F" w:rsidRDefault="00331491" w:rsidP="00384E4F">
      <w:pPr>
        <w:jc w:val="both"/>
        <w:rPr>
          <w:sz w:val="24"/>
          <w:szCs w:val="24"/>
        </w:rPr>
      </w:pPr>
      <w:r w:rsidRPr="00C260C7">
        <w:rPr>
          <w:rFonts w:asciiTheme="minorHAnsi" w:eastAsiaTheme="minorHAnsi" w:hAnsiTheme="minorHAnsi" w:cstheme="minorBidi"/>
          <w:noProof/>
          <w:sz w:val="22"/>
          <w:szCs w:val="22"/>
          <w:lang w:eastAsia="en-US"/>
        </w:rPr>
        <mc:AlternateContent>
          <mc:Choice Requires="wpg">
            <w:drawing>
              <wp:anchor distT="0" distB="0" distL="114300" distR="114300" simplePos="0" relativeHeight="251659264" behindDoc="0" locked="0" layoutInCell="1" allowOverlap="1" wp14:anchorId="33842BD7" wp14:editId="077C744B">
                <wp:simplePos x="0" y="0"/>
                <wp:positionH relativeFrom="column">
                  <wp:posOffset>-789709</wp:posOffset>
                </wp:positionH>
                <wp:positionV relativeFrom="paragraph">
                  <wp:posOffset>160020</wp:posOffset>
                </wp:positionV>
                <wp:extent cx="7273290" cy="5368290"/>
                <wp:effectExtent l="0" t="0" r="22860" b="22860"/>
                <wp:wrapNone/>
                <wp:docPr id="221" name="Group 221"/>
                <wp:cNvGraphicFramePr/>
                <a:graphic xmlns:a="http://schemas.openxmlformats.org/drawingml/2006/main">
                  <a:graphicData uri="http://schemas.microsoft.com/office/word/2010/wordprocessingGroup">
                    <wpg:wgp>
                      <wpg:cNvGrpSpPr/>
                      <wpg:grpSpPr>
                        <a:xfrm>
                          <a:off x="0" y="0"/>
                          <a:ext cx="7273290" cy="5368290"/>
                          <a:chOff x="0" y="0"/>
                          <a:chExt cx="7273579" cy="5368890"/>
                        </a:xfrm>
                      </wpg:grpSpPr>
                      <wps:wsp>
                        <wps:cNvPr id="9" name="Rectangle: Rounded Corners 9"/>
                        <wps:cNvSpPr/>
                        <wps:spPr>
                          <a:xfrm>
                            <a:off x="2445327" y="803564"/>
                            <a:ext cx="1799590" cy="269875"/>
                          </a:xfrm>
                          <a:prstGeom prst="roundRect">
                            <a:avLst/>
                          </a:prstGeom>
                          <a:noFill/>
                          <a:ln w="12700" cap="flat" cmpd="sng" algn="ctr">
                            <a:solidFill>
                              <a:srgbClr val="A5A5A5">
                                <a:lumMod val="75000"/>
                              </a:srgbClr>
                            </a:solidFill>
                            <a:prstDash val="solid"/>
                            <a:miter lim="800000"/>
                          </a:ln>
                          <a:effectLst/>
                        </wps:spPr>
                        <wps:txbx>
                          <w:txbxContent>
                            <w:p w14:paraId="7B49AB14"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 xml:space="preserve">Based on their characteristics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 name="Group 33"/>
                        <wpg:cNvGrpSpPr/>
                        <wpg:grpSpPr>
                          <a:xfrm>
                            <a:off x="3768436" y="1087582"/>
                            <a:ext cx="3435350" cy="882650"/>
                            <a:chOff x="-347554" y="-79391"/>
                            <a:chExt cx="3885987" cy="848826"/>
                          </a:xfrm>
                        </wpg:grpSpPr>
                        <wps:wsp>
                          <wps:cNvPr id="26" name="Straight Connector 26"/>
                          <wps:cNvCnPr/>
                          <wps:spPr>
                            <a:xfrm>
                              <a:off x="1732802" y="-79391"/>
                              <a:ext cx="0" cy="270000"/>
                            </a:xfrm>
                            <a:prstGeom prst="line">
                              <a:avLst/>
                            </a:prstGeom>
                            <a:noFill/>
                            <a:ln w="12700" cap="flat" cmpd="sng" algn="ctr">
                              <a:solidFill>
                                <a:srgbClr val="A5A5A5">
                                  <a:lumMod val="75000"/>
                                </a:srgbClr>
                              </a:solidFill>
                              <a:prstDash val="solid"/>
                              <a:miter lim="800000"/>
                            </a:ln>
                            <a:effectLst/>
                          </wps:spPr>
                          <wps:bodyPr/>
                        </wps:wsp>
                        <wps:wsp>
                          <wps:cNvPr id="27" name="Straight Connector 27"/>
                          <wps:cNvCnPr/>
                          <wps:spPr>
                            <a:xfrm>
                              <a:off x="222524" y="155108"/>
                              <a:ext cx="2850565" cy="0"/>
                            </a:xfrm>
                            <a:prstGeom prst="line">
                              <a:avLst/>
                            </a:prstGeom>
                            <a:noFill/>
                            <a:ln w="12700" cap="flat" cmpd="sng" algn="ctr">
                              <a:solidFill>
                                <a:srgbClr val="A5A5A5">
                                  <a:lumMod val="75000"/>
                                </a:srgbClr>
                              </a:solidFill>
                              <a:prstDash val="solid"/>
                              <a:miter lim="800000"/>
                            </a:ln>
                            <a:effectLst/>
                          </wps:spPr>
                          <wps:bodyPr/>
                        </wps:wsp>
                        <wps:wsp>
                          <wps:cNvPr id="28" name="Straight Arrow Connector 28"/>
                          <wps:cNvCnPr/>
                          <wps:spPr>
                            <a:xfrm>
                              <a:off x="223514" y="155108"/>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29" name="Straight Arrow Connector 29"/>
                          <wps:cNvCnPr/>
                          <wps:spPr>
                            <a:xfrm>
                              <a:off x="3067274" y="155108"/>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31" name="Straight Arrow Connector 31"/>
                          <wps:cNvCnPr/>
                          <wps:spPr>
                            <a:xfrm>
                              <a:off x="1732802" y="155108"/>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32" name="Rectangle: Rounded Corners 32"/>
                          <wps:cNvSpPr/>
                          <wps:spPr>
                            <a:xfrm>
                              <a:off x="-347554" y="409435"/>
                              <a:ext cx="1144801" cy="360000"/>
                            </a:xfrm>
                            <a:prstGeom prst="roundRect">
                              <a:avLst/>
                            </a:prstGeom>
                            <a:noFill/>
                            <a:ln w="12700" cap="flat" cmpd="sng" algn="ctr">
                              <a:solidFill>
                                <a:srgbClr val="A5A5A5">
                                  <a:lumMod val="75000"/>
                                </a:srgbClr>
                              </a:solidFill>
                              <a:prstDash val="solid"/>
                              <a:miter lim="800000"/>
                            </a:ln>
                            <a:effectLst/>
                          </wps:spPr>
                          <wps:txbx>
                            <w:txbxContent>
                              <w:p w14:paraId="11359D81" w14:textId="77777777" w:rsidR="00C260C7"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Type ‘0’</w:t>
                                </w:r>
                              </w:p>
                              <w:p w14:paraId="50E8189B"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4B71CE">
                                  <w:rPr>
                                    <w:rFonts w:asciiTheme="majorHAnsi" w:hAnsiTheme="majorHAnsi" w:cstheme="majorHAnsi"/>
                                    <w:b/>
                                    <w:bCs/>
                                    <w:color w:val="7B7B7B" w:themeColor="accent3" w:themeShade="BF"/>
                                    <w:sz w:val="12"/>
                                    <w:szCs w:val="12"/>
                                    <w:lang w:val="en-US"/>
                                  </w:rPr>
                                  <w:t>(Natural Biomarker)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Rectangle: Rounded Corners 35"/>
                          <wps:cNvSpPr/>
                          <wps:spPr>
                            <a:xfrm>
                              <a:off x="1006971" y="409435"/>
                              <a:ext cx="1144800" cy="360000"/>
                            </a:xfrm>
                            <a:prstGeom prst="roundRect">
                              <a:avLst/>
                            </a:prstGeom>
                            <a:noFill/>
                            <a:ln w="12700" cap="flat" cmpd="sng" algn="ctr">
                              <a:solidFill>
                                <a:srgbClr val="A5A5A5">
                                  <a:lumMod val="75000"/>
                                </a:srgbClr>
                              </a:solidFill>
                              <a:prstDash val="solid"/>
                              <a:miter lim="800000"/>
                            </a:ln>
                            <a:effectLst/>
                          </wps:spPr>
                          <wps:txbx>
                            <w:txbxContent>
                              <w:p w14:paraId="1C6E8494" w14:textId="77777777" w:rsidR="00C260C7"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Type ‘I’</w:t>
                                </w:r>
                              </w:p>
                              <w:p w14:paraId="56E0EE1E" w14:textId="77777777" w:rsidR="00C260C7" w:rsidRPr="004B71CE" w:rsidRDefault="00C260C7" w:rsidP="00C260C7">
                                <w:pPr>
                                  <w:jc w:val="center"/>
                                  <w:rPr>
                                    <w:rFonts w:asciiTheme="majorHAnsi" w:hAnsiTheme="majorHAnsi" w:cstheme="majorHAnsi"/>
                                    <w:b/>
                                    <w:bCs/>
                                    <w:color w:val="7B7B7B" w:themeColor="accent3" w:themeShade="BF"/>
                                    <w:sz w:val="16"/>
                                    <w:szCs w:val="16"/>
                                    <w:lang w:val="en-US"/>
                                  </w:rPr>
                                </w:pPr>
                                <w:r w:rsidRPr="004B71CE">
                                  <w:rPr>
                                    <w:rFonts w:asciiTheme="majorHAnsi" w:hAnsiTheme="majorHAnsi" w:cstheme="majorHAnsi"/>
                                    <w:b/>
                                    <w:bCs/>
                                    <w:color w:val="7B7B7B" w:themeColor="accent3" w:themeShade="BF"/>
                                    <w:sz w:val="12"/>
                                    <w:szCs w:val="12"/>
                                    <w:lang w:val="en-US"/>
                                  </w:rPr>
                                  <w:t>(Biomarkers to detect drug effects)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Rectangle: Rounded Corners 36"/>
                          <wps:cNvSpPr/>
                          <wps:spPr>
                            <a:xfrm>
                              <a:off x="2393631" y="409435"/>
                              <a:ext cx="1144802" cy="360000"/>
                            </a:xfrm>
                            <a:prstGeom prst="roundRect">
                              <a:avLst/>
                            </a:prstGeom>
                            <a:noFill/>
                            <a:ln w="12700" cap="flat" cmpd="sng" algn="ctr">
                              <a:solidFill>
                                <a:srgbClr val="A5A5A5">
                                  <a:lumMod val="75000"/>
                                </a:srgbClr>
                              </a:solidFill>
                              <a:prstDash val="solid"/>
                              <a:miter lim="800000"/>
                            </a:ln>
                            <a:effectLst/>
                          </wps:spPr>
                          <wps:txbx>
                            <w:txbxContent>
                              <w:p w14:paraId="5C5E1441" w14:textId="77777777" w:rsidR="00C260C7"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Type ‘II’</w:t>
                                </w:r>
                              </w:p>
                              <w:p w14:paraId="203BD922" w14:textId="77777777" w:rsidR="00C260C7" w:rsidRPr="004B71CE" w:rsidRDefault="00C260C7" w:rsidP="00C260C7">
                                <w:pPr>
                                  <w:jc w:val="center"/>
                                  <w:rPr>
                                    <w:rFonts w:asciiTheme="majorHAnsi" w:hAnsiTheme="majorHAnsi" w:cstheme="majorHAnsi"/>
                                    <w:b/>
                                    <w:bCs/>
                                    <w:color w:val="7B7B7B" w:themeColor="accent3" w:themeShade="BF"/>
                                    <w:sz w:val="16"/>
                                    <w:szCs w:val="16"/>
                                    <w:lang w:val="en-US"/>
                                  </w:rPr>
                                </w:pPr>
                                <w:r w:rsidRPr="004B71CE">
                                  <w:rPr>
                                    <w:rFonts w:asciiTheme="majorHAnsi" w:hAnsiTheme="majorHAnsi" w:cstheme="majorHAnsi"/>
                                    <w:b/>
                                    <w:bCs/>
                                    <w:color w:val="7B7B7B" w:themeColor="accent3" w:themeShade="BF"/>
                                    <w:sz w:val="12"/>
                                    <w:szCs w:val="12"/>
                                    <w:lang w:val="en-US"/>
                                  </w:rPr>
                                  <w:t>(</w:t>
                                </w:r>
                                <w:r w:rsidRPr="00EF7800">
                                  <w:rPr>
                                    <w:rFonts w:asciiTheme="majorHAnsi" w:hAnsiTheme="majorHAnsi" w:cstheme="majorHAnsi"/>
                                    <w:b/>
                                    <w:bCs/>
                                    <w:color w:val="7B7B7B" w:themeColor="accent3" w:themeShade="BF"/>
                                    <w:sz w:val="12"/>
                                    <w:szCs w:val="12"/>
                                    <w:lang w:val="en-US"/>
                                  </w:rPr>
                                  <w:t>Biomarkers as surrogate endpoints in clinical trials</w:t>
                                </w:r>
                                <w:r w:rsidRPr="004B71CE">
                                  <w:rPr>
                                    <w:rFonts w:asciiTheme="majorHAnsi" w:hAnsiTheme="majorHAnsi" w:cstheme="majorHAnsi"/>
                                    <w:b/>
                                    <w:bCs/>
                                    <w:color w:val="7B7B7B" w:themeColor="accent3" w:themeShade="BF"/>
                                    <w:sz w:val="12"/>
                                    <w:szCs w:val="12"/>
                                    <w:lang w:val="en-US"/>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7" name="Group 37"/>
                        <wpg:cNvGrpSpPr/>
                        <wpg:grpSpPr>
                          <a:xfrm>
                            <a:off x="3643746" y="2230581"/>
                            <a:ext cx="1168493" cy="1087953"/>
                            <a:chOff x="1" y="-1"/>
                            <a:chExt cx="1576036" cy="1613607"/>
                          </a:xfrm>
                        </wpg:grpSpPr>
                        <wps:wsp>
                          <wps:cNvPr id="38" name="Rectangle: Top Corners Rounded 38"/>
                          <wps:cNvSpPr/>
                          <wps:spPr>
                            <a:xfrm>
                              <a:off x="1" y="-1"/>
                              <a:ext cx="1569938" cy="1613607"/>
                            </a:xfrm>
                            <a:prstGeom prst="round2Same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Connector 39"/>
                          <wps:cNvCnPr/>
                          <wps:spPr>
                            <a:xfrm>
                              <a:off x="7618" y="295554"/>
                              <a:ext cx="1568419" cy="0"/>
                            </a:xfrm>
                            <a:prstGeom prst="line">
                              <a:avLst/>
                            </a:prstGeom>
                            <a:noFill/>
                            <a:ln w="12700" cap="flat" cmpd="sng" algn="ctr">
                              <a:solidFill>
                                <a:srgbClr val="A5A5A5">
                                  <a:lumMod val="75000"/>
                                </a:srgbClr>
                              </a:solidFill>
                              <a:prstDash val="solid"/>
                              <a:miter lim="800000"/>
                            </a:ln>
                            <a:effectLst/>
                          </wps:spPr>
                          <wps:bodyPr/>
                        </wps:wsp>
                        <wps:wsp>
                          <wps:cNvPr id="40" name="Text Box 2"/>
                          <wps:cNvSpPr txBox="1">
                            <a:spLocks noChangeArrowheads="1"/>
                          </wps:cNvSpPr>
                          <wps:spPr bwMode="auto">
                            <a:xfrm>
                              <a:off x="457200" y="30479"/>
                              <a:ext cx="782320" cy="244999"/>
                            </a:xfrm>
                            <a:prstGeom prst="rect">
                              <a:avLst/>
                            </a:prstGeom>
                            <a:solidFill>
                              <a:srgbClr val="FFFFFF">
                                <a:alpha val="0"/>
                              </a:srgbClr>
                            </a:solidFill>
                            <a:ln w="9525">
                              <a:noFill/>
                              <a:miter lim="800000"/>
                              <a:headEnd/>
                              <a:tailEnd/>
                            </a:ln>
                          </wps:spPr>
                          <wps:txbx>
                            <w:txbxContent>
                              <w:p w14:paraId="7ADDAC57" w14:textId="77777777" w:rsidR="00C260C7" w:rsidRPr="009E7E60" w:rsidRDefault="00C260C7" w:rsidP="00C260C7">
                                <w:pPr>
                                  <w:rPr>
                                    <w:b/>
                                    <w:bCs/>
                                    <w:color w:val="7B7B7B" w:themeColor="accent3" w:themeShade="BF"/>
                                    <w:sz w:val="16"/>
                                    <w:szCs w:val="16"/>
                                    <w:lang w:val="en-US"/>
                                  </w:rPr>
                                </w:pPr>
                                <w:r>
                                  <w:rPr>
                                    <w:b/>
                                    <w:bCs/>
                                    <w:color w:val="7B7B7B" w:themeColor="accent3" w:themeShade="BF"/>
                                    <w:sz w:val="16"/>
                                    <w:szCs w:val="16"/>
                                    <w:lang w:val="en-US"/>
                                  </w:rPr>
                                  <w:t>Examples</w:t>
                                </w:r>
                              </w:p>
                            </w:txbxContent>
                          </wps:txbx>
                          <wps:bodyPr rot="0" vert="horz" wrap="square" lIns="0" tIns="0" rIns="0" bIns="0" anchor="t" anchorCtr="0">
                            <a:noAutofit/>
                          </wps:bodyPr>
                        </wps:wsp>
                        <wps:wsp>
                          <wps:cNvPr id="41" name="Text Box 2"/>
                          <wps:cNvSpPr txBox="1">
                            <a:spLocks noChangeArrowheads="1"/>
                          </wps:cNvSpPr>
                          <wps:spPr bwMode="auto">
                            <a:xfrm>
                              <a:off x="83621" y="422193"/>
                              <a:ext cx="1440000" cy="1138946"/>
                            </a:xfrm>
                            <a:prstGeom prst="rect">
                              <a:avLst/>
                            </a:prstGeom>
                            <a:solidFill>
                              <a:srgbClr val="FFFFFF">
                                <a:alpha val="0"/>
                              </a:srgbClr>
                            </a:solidFill>
                            <a:ln w="9525">
                              <a:noFill/>
                              <a:miter lim="800000"/>
                              <a:headEnd/>
                              <a:tailEnd/>
                            </a:ln>
                          </wps:spPr>
                          <wps:txbx>
                            <w:txbxContent>
                              <w:p w14:paraId="4184100A"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Disease biomarker</w:t>
                                </w:r>
                              </w:p>
                              <w:p w14:paraId="0268152C" w14:textId="77777777" w:rsidR="00C260C7" w:rsidRDefault="00C260C7" w:rsidP="00C260C7">
                                <w:pPr>
                                  <w:pStyle w:val="ListParagraph"/>
                                  <w:numPr>
                                    <w:ilvl w:val="0"/>
                                    <w:numId w:val="2"/>
                                  </w:numPr>
                                  <w:ind w:left="142" w:hanging="142"/>
                                  <w:contextualSpacing/>
                                  <w:rPr>
                                    <w:color w:val="7B7B7B" w:themeColor="accent3" w:themeShade="BF"/>
                                    <w:sz w:val="16"/>
                                    <w:szCs w:val="16"/>
                                  </w:rPr>
                                </w:pPr>
                                <w:r w:rsidRPr="00FA0F6B">
                                  <w:rPr>
                                    <w:color w:val="7B7B7B" w:themeColor="accent3" w:themeShade="BF"/>
                                    <w:sz w:val="16"/>
                                    <w:szCs w:val="16"/>
                                  </w:rPr>
                                  <w:t>Diagnostic biomarker</w:t>
                                </w:r>
                              </w:p>
                              <w:p w14:paraId="6E00DBAC" w14:textId="121EB26F" w:rsidR="00C260C7" w:rsidRDefault="00331491" w:rsidP="00C260C7">
                                <w:pPr>
                                  <w:pStyle w:val="ListParagraph"/>
                                  <w:numPr>
                                    <w:ilvl w:val="0"/>
                                    <w:numId w:val="2"/>
                                  </w:numPr>
                                  <w:ind w:left="142" w:hanging="142"/>
                                  <w:contextualSpacing/>
                                  <w:rPr>
                                    <w:color w:val="7B7B7B" w:themeColor="accent3" w:themeShade="BF"/>
                                    <w:sz w:val="16"/>
                                    <w:szCs w:val="16"/>
                                  </w:rPr>
                                </w:pPr>
                                <w:r w:rsidRPr="00331491">
                                  <w:rPr>
                                    <w:color w:val="7B7B7B" w:themeColor="accent3" w:themeShade="BF"/>
                                    <w:sz w:val="16"/>
                                    <w:szCs w:val="16"/>
                                  </w:rPr>
                                  <w:t xml:space="preserve">Prognostic </w:t>
                                </w:r>
                                <w:r w:rsidR="00C260C7">
                                  <w:rPr>
                                    <w:color w:val="7B7B7B" w:themeColor="accent3" w:themeShade="BF"/>
                                    <w:sz w:val="16"/>
                                    <w:szCs w:val="16"/>
                                  </w:rPr>
                                  <w:t xml:space="preserve">Biomarkers </w:t>
                                </w:r>
                              </w:p>
                              <w:p w14:paraId="1846E4D2" w14:textId="77777777" w:rsidR="00331491" w:rsidRDefault="00331491" w:rsidP="00331491">
                                <w:pPr>
                                  <w:pStyle w:val="ListParagraph"/>
                                  <w:numPr>
                                    <w:ilvl w:val="0"/>
                                    <w:numId w:val="2"/>
                                  </w:numPr>
                                  <w:ind w:left="142" w:hanging="142"/>
                                  <w:contextualSpacing/>
                                  <w:rPr>
                                    <w:color w:val="7B7B7B" w:themeColor="accent3" w:themeShade="BF"/>
                                    <w:sz w:val="16"/>
                                    <w:szCs w:val="16"/>
                                  </w:rPr>
                                </w:pPr>
                                <w:r w:rsidRPr="00331491">
                                  <w:rPr>
                                    <w:color w:val="7B7B7B" w:themeColor="accent3" w:themeShade="BF"/>
                                    <w:sz w:val="16"/>
                                    <w:szCs w:val="16"/>
                                  </w:rPr>
                                  <w:t>Susceptibility/Risk biomarker</w:t>
                                </w:r>
                              </w:p>
                              <w:p w14:paraId="31F85983" w14:textId="5A5E9366" w:rsidR="00C260C7"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Predictive biomarker</w:t>
                                </w:r>
                              </w:p>
                              <w:p w14:paraId="1F8EC318" w14:textId="77777777" w:rsidR="00C260C7" w:rsidRDefault="00C260C7" w:rsidP="00331491">
                                <w:pPr>
                                  <w:pStyle w:val="ListParagraph"/>
                                  <w:ind w:left="142"/>
                                  <w:contextualSpacing/>
                                  <w:rPr>
                                    <w:color w:val="7B7B7B" w:themeColor="accent3" w:themeShade="BF"/>
                                    <w:sz w:val="16"/>
                                    <w:szCs w:val="16"/>
                                  </w:rPr>
                                </w:pPr>
                              </w:p>
                              <w:p w14:paraId="42DF34A7" w14:textId="77777777" w:rsidR="00C260C7" w:rsidRPr="009E7E60" w:rsidRDefault="00C260C7" w:rsidP="00C260C7">
                                <w:pPr>
                                  <w:rPr>
                                    <w:b/>
                                    <w:bCs/>
                                    <w:color w:val="7B7B7B" w:themeColor="accent3" w:themeShade="BF"/>
                                    <w:sz w:val="16"/>
                                    <w:szCs w:val="16"/>
                                  </w:rPr>
                                </w:pPr>
                                <w:r>
                                  <w:rPr>
                                    <w:color w:val="7B7B7B" w:themeColor="accent3" w:themeShade="BF"/>
                                    <w:sz w:val="16"/>
                                    <w:szCs w:val="16"/>
                                  </w:rPr>
                                  <w:t xml:space="preserve"> </w:t>
                                </w:r>
                              </w:p>
                            </w:txbxContent>
                          </wps:txbx>
                          <wps:bodyPr rot="0" vert="horz" wrap="square" lIns="0" tIns="0" rIns="0" bIns="0" anchor="t" anchorCtr="0">
                            <a:noAutofit/>
                          </wps:bodyPr>
                        </wps:wsp>
                      </wpg:grpSp>
                      <wps:wsp>
                        <wps:cNvPr id="42" name="Straight Arrow Connector 42"/>
                        <wps:cNvCnPr/>
                        <wps:spPr>
                          <a:xfrm>
                            <a:off x="4253345" y="1974273"/>
                            <a:ext cx="0" cy="269875"/>
                          </a:xfrm>
                          <a:prstGeom prst="straightConnector1">
                            <a:avLst/>
                          </a:prstGeom>
                          <a:noFill/>
                          <a:ln w="12700" cap="flat" cmpd="sng" algn="ctr">
                            <a:solidFill>
                              <a:srgbClr val="A5A5A5">
                                <a:lumMod val="75000"/>
                              </a:srgbClr>
                            </a:solidFill>
                            <a:prstDash val="solid"/>
                            <a:miter lim="800000"/>
                            <a:tailEnd type="triangle"/>
                          </a:ln>
                          <a:effectLst/>
                        </wps:spPr>
                        <wps:bodyPr/>
                      </wps:wsp>
                      <wpg:grpSp>
                        <wpg:cNvPr id="43" name="Group 43"/>
                        <wpg:cNvGrpSpPr/>
                        <wpg:grpSpPr>
                          <a:xfrm>
                            <a:off x="4925291" y="2216727"/>
                            <a:ext cx="1130300" cy="1066800"/>
                            <a:chOff x="0" y="0"/>
                            <a:chExt cx="1525378" cy="1408000"/>
                          </a:xfrm>
                        </wpg:grpSpPr>
                        <wps:wsp>
                          <wps:cNvPr id="44" name="Rectangle: Top Corners Rounded 44"/>
                          <wps:cNvSpPr/>
                          <wps:spPr>
                            <a:xfrm>
                              <a:off x="0" y="0"/>
                              <a:ext cx="1515965" cy="1408000"/>
                            </a:xfrm>
                            <a:prstGeom prst="round2Same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Connector 45"/>
                          <wps:cNvCnPr/>
                          <wps:spPr>
                            <a:xfrm>
                              <a:off x="7619" y="228321"/>
                              <a:ext cx="1517759" cy="0"/>
                            </a:xfrm>
                            <a:prstGeom prst="line">
                              <a:avLst/>
                            </a:prstGeom>
                            <a:noFill/>
                            <a:ln w="12700" cap="flat" cmpd="sng" algn="ctr">
                              <a:solidFill>
                                <a:srgbClr val="A5A5A5">
                                  <a:lumMod val="75000"/>
                                </a:srgbClr>
                              </a:solidFill>
                              <a:prstDash val="solid"/>
                              <a:miter lim="800000"/>
                            </a:ln>
                            <a:effectLst/>
                          </wps:spPr>
                          <wps:bodyPr/>
                        </wps:wsp>
                        <wps:wsp>
                          <wps:cNvPr id="46" name="Text Box 2"/>
                          <wps:cNvSpPr txBox="1">
                            <a:spLocks noChangeArrowheads="1"/>
                          </wps:cNvSpPr>
                          <wps:spPr bwMode="auto">
                            <a:xfrm>
                              <a:off x="457200" y="30479"/>
                              <a:ext cx="782320" cy="244999"/>
                            </a:xfrm>
                            <a:prstGeom prst="rect">
                              <a:avLst/>
                            </a:prstGeom>
                            <a:solidFill>
                              <a:srgbClr val="FFFFFF">
                                <a:alpha val="0"/>
                              </a:srgbClr>
                            </a:solidFill>
                            <a:ln w="9525">
                              <a:noFill/>
                              <a:miter lim="800000"/>
                              <a:headEnd/>
                              <a:tailEnd/>
                            </a:ln>
                          </wps:spPr>
                          <wps:txbx>
                            <w:txbxContent>
                              <w:p w14:paraId="2E6779A8" w14:textId="77777777" w:rsidR="00C260C7" w:rsidRPr="009E7E60" w:rsidRDefault="00C260C7" w:rsidP="00C260C7">
                                <w:pPr>
                                  <w:rPr>
                                    <w:b/>
                                    <w:bCs/>
                                    <w:color w:val="7B7B7B" w:themeColor="accent3" w:themeShade="BF"/>
                                    <w:sz w:val="16"/>
                                    <w:szCs w:val="16"/>
                                    <w:lang w:val="en-US"/>
                                  </w:rPr>
                                </w:pPr>
                                <w:r>
                                  <w:rPr>
                                    <w:b/>
                                    <w:bCs/>
                                    <w:color w:val="7B7B7B" w:themeColor="accent3" w:themeShade="BF"/>
                                    <w:sz w:val="16"/>
                                    <w:szCs w:val="16"/>
                                    <w:lang w:val="en-US"/>
                                  </w:rPr>
                                  <w:t>Examples</w:t>
                                </w:r>
                              </w:p>
                            </w:txbxContent>
                          </wps:txbx>
                          <wps:bodyPr rot="0" vert="horz" wrap="square" lIns="0" tIns="0" rIns="0" bIns="0" anchor="t" anchorCtr="0">
                            <a:noAutofit/>
                          </wps:bodyPr>
                        </wps:wsp>
                        <wps:wsp>
                          <wps:cNvPr id="47" name="Text Box 2"/>
                          <wps:cNvSpPr txBox="1">
                            <a:spLocks noChangeArrowheads="1"/>
                          </wps:cNvSpPr>
                          <wps:spPr bwMode="auto">
                            <a:xfrm>
                              <a:off x="68000" y="254535"/>
                              <a:ext cx="1440001" cy="957601"/>
                            </a:xfrm>
                            <a:prstGeom prst="rect">
                              <a:avLst/>
                            </a:prstGeom>
                            <a:solidFill>
                              <a:srgbClr val="FFFFFF">
                                <a:alpha val="0"/>
                              </a:srgbClr>
                            </a:solidFill>
                            <a:ln w="9525">
                              <a:noFill/>
                              <a:miter lim="800000"/>
                              <a:headEnd/>
                              <a:tailEnd/>
                            </a:ln>
                          </wps:spPr>
                          <wps:txbx>
                            <w:txbxContent>
                              <w:p w14:paraId="26D7277F" w14:textId="72C4FB1E" w:rsidR="00C260C7" w:rsidRDefault="00C260C7" w:rsidP="00C260C7">
                                <w:pPr>
                                  <w:pStyle w:val="ListParagraph"/>
                                  <w:numPr>
                                    <w:ilvl w:val="0"/>
                                    <w:numId w:val="2"/>
                                  </w:numPr>
                                  <w:ind w:left="142" w:hanging="142"/>
                                  <w:contextualSpacing/>
                                  <w:rPr>
                                    <w:color w:val="7B7B7B" w:themeColor="accent3" w:themeShade="BF"/>
                                    <w:sz w:val="16"/>
                                    <w:szCs w:val="16"/>
                                  </w:rPr>
                                </w:pPr>
                                <w:r w:rsidRPr="009E7E60">
                                  <w:rPr>
                                    <w:color w:val="7B7B7B" w:themeColor="accent3" w:themeShade="BF"/>
                                    <w:sz w:val="16"/>
                                    <w:szCs w:val="16"/>
                                  </w:rPr>
                                  <w:t>Mechanism biomarker</w:t>
                                </w:r>
                              </w:p>
                              <w:p w14:paraId="57A4AE71" w14:textId="77777777" w:rsidR="00BB4C82" w:rsidRDefault="00BB4C82" w:rsidP="00BB4C82">
                                <w:pPr>
                                  <w:pStyle w:val="ListParagraph"/>
                                  <w:numPr>
                                    <w:ilvl w:val="0"/>
                                    <w:numId w:val="2"/>
                                  </w:numPr>
                                  <w:ind w:left="142" w:hanging="142"/>
                                  <w:contextualSpacing/>
                                  <w:rPr>
                                    <w:color w:val="7B7B7B" w:themeColor="accent3" w:themeShade="BF"/>
                                    <w:sz w:val="16"/>
                                    <w:szCs w:val="16"/>
                                  </w:rPr>
                                </w:pPr>
                                <w:r w:rsidRPr="009E7E60">
                                  <w:rPr>
                                    <w:color w:val="7B7B7B" w:themeColor="accent3" w:themeShade="BF"/>
                                    <w:sz w:val="16"/>
                                    <w:szCs w:val="16"/>
                                  </w:rPr>
                                  <w:t>Pharmacodynamic biomarker</w:t>
                                </w:r>
                              </w:p>
                              <w:p w14:paraId="19651F0D" w14:textId="77777777" w:rsidR="00BB4C82" w:rsidRDefault="00BB4C82" w:rsidP="00BB4C82">
                                <w:pPr>
                                  <w:pStyle w:val="ListParagraph"/>
                                  <w:numPr>
                                    <w:ilvl w:val="0"/>
                                    <w:numId w:val="2"/>
                                  </w:numPr>
                                  <w:ind w:left="142" w:hanging="142"/>
                                  <w:contextualSpacing/>
                                  <w:rPr>
                                    <w:color w:val="7B7B7B" w:themeColor="accent3" w:themeShade="BF"/>
                                    <w:sz w:val="16"/>
                                    <w:szCs w:val="16"/>
                                  </w:rPr>
                                </w:pPr>
                                <w:r w:rsidRPr="009E7E60">
                                  <w:rPr>
                                    <w:color w:val="7B7B7B" w:themeColor="accent3" w:themeShade="BF"/>
                                    <w:sz w:val="16"/>
                                    <w:szCs w:val="16"/>
                                  </w:rPr>
                                  <w:t>Toxicity biomarker</w:t>
                                </w:r>
                              </w:p>
                              <w:p w14:paraId="09E29BE6" w14:textId="1B7E13F2" w:rsidR="00331491" w:rsidRDefault="00331491" w:rsidP="00C260C7">
                                <w:pPr>
                                  <w:pStyle w:val="ListParagraph"/>
                                  <w:numPr>
                                    <w:ilvl w:val="0"/>
                                    <w:numId w:val="2"/>
                                  </w:numPr>
                                  <w:ind w:left="142" w:hanging="142"/>
                                  <w:contextualSpacing/>
                                  <w:rPr>
                                    <w:color w:val="7B7B7B" w:themeColor="accent3" w:themeShade="BF"/>
                                    <w:sz w:val="16"/>
                                    <w:szCs w:val="16"/>
                                  </w:rPr>
                                </w:pPr>
                                <w:r w:rsidRPr="00331491">
                                  <w:rPr>
                                    <w:color w:val="7B7B7B" w:themeColor="accent3" w:themeShade="BF"/>
                                    <w:sz w:val="16"/>
                                    <w:szCs w:val="16"/>
                                  </w:rPr>
                                  <w:t>Monitoring biomarkers</w:t>
                                </w:r>
                              </w:p>
                              <w:p w14:paraId="39013DC4" w14:textId="3E921390" w:rsidR="00C260C7" w:rsidRDefault="00331491"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 xml:space="preserve">Safety </w:t>
                                </w:r>
                                <w:r w:rsidR="00C260C7" w:rsidRPr="009E7E60">
                                  <w:rPr>
                                    <w:color w:val="7B7B7B" w:themeColor="accent3" w:themeShade="BF"/>
                                    <w:sz w:val="16"/>
                                    <w:szCs w:val="16"/>
                                  </w:rPr>
                                  <w:t>biomarker</w:t>
                                </w:r>
                              </w:p>
                              <w:p w14:paraId="7FAB4EDB" w14:textId="77777777" w:rsidR="00C260C7" w:rsidRPr="009E7E60" w:rsidRDefault="00C260C7" w:rsidP="00C260C7">
                                <w:pPr>
                                  <w:rPr>
                                    <w:b/>
                                    <w:bCs/>
                                    <w:color w:val="7B7B7B" w:themeColor="accent3" w:themeShade="BF"/>
                                    <w:sz w:val="16"/>
                                    <w:szCs w:val="16"/>
                                  </w:rPr>
                                </w:pPr>
                                <w:r>
                                  <w:rPr>
                                    <w:color w:val="7B7B7B" w:themeColor="accent3" w:themeShade="BF"/>
                                    <w:sz w:val="16"/>
                                    <w:szCs w:val="16"/>
                                  </w:rPr>
                                  <w:t xml:space="preserve"> </w:t>
                                </w:r>
                              </w:p>
                            </w:txbxContent>
                          </wps:txbx>
                          <wps:bodyPr rot="0" vert="horz" wrap="square" lIns="0" tIns="0" rIns="0" bIns="0" anchor="t" anchorCtr="0">
                            <a:noAutofit/>
                          </wps:bodyPr>
                        </wps:wsp>
                      </wpg:grpSp>
                      <wpg:grpSp>
                        <wpg:cNvPr id="48" name="Group 48"/>
                        <wpg:cNvGrpSpPr/>
                        <wpg:grpSpPr>
                          <a:xfrm>
                            <a:off x="6213764" y="2244436"/>
                            <a:ext cx="1059815" cy="831850"/>
                            <a:chOff x="0" y="0"/>
                            <a:chExt cx="1525378" cy="1552317"/>
                          </a:xfrm>
                        </wpg:grpSpPr>
                        <wps:wsp>
                          <wps:cNvPr id="49" name="Rectangle: Top Corners Rounded 49"/>
                          <wps:cNvSpPr/>
                          <wps:spPr>
                            <a:xfrm>
                              <a:off x="0" y="0"/>
                              <a:ext cx="1515965" cy="1408000"/>
                            </a:xfrm>
                            <a:prstGeom prst="round2Same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Connector 50"/>
                          <wps:cNvCnPr/>
                          <wps:spPr>
                            <a:xfrm>
                              <a:off x="7619" y="436099"/>
                              <a:ext cx="1517759" cy="0"/>
                            </a:xfrm>
                            <a:prstGeom prst="line">
                              <a:avLst/>
                            </a:prstGeom>
                            <a:noFill/>
                            <a:ln w="12700" cap="flat" cmpd="sng" algn="ctr">
                              <a:solidFill>
                                <a:srgbClr val="A5A5A5">
                                  <a:lumMod val="75000"/>
                                </a:srgbClr>
                              </a:solidFill>
                              <a:prstDash val="solid"/>
                              <a:miter lim="800000"/>
                            </a:ln>
                            <a:effectLst/>
                          </wps:spPr>
                          <wps:bodyPr/>
                        </wps:wsp>
                        <wps:wsp>
                          <wps:cNvPr id="51" name="Text Box 2"/>
                          <wps:cNvSpPr txBox="1">
                            <a:spLocks noChangeArrowheads="1"/>
                          </wps:cNvSpPr>
                          <wps:spPr bwMode="auto">
                            <a:xfrm>
                              <a:off x="457200" y="30479"/>
                              <a:ext cx="782320" cy="244999"/>
                            </a:xfrm>
                            <a:prstGeom prst="rect">
                              <a:avLst/>
                            </a:prstGeom>
                            <a:solidFill>
                              <a:srgbClr val="FFFFFF">
                                <a:alpha val="0"/>
                              </a:srgbClr>
                            </a:solidFill>
                            <a:ln w="9525">
                              <a:noFill/>
                              <a:miter lim="800000"/>
                              <a:headEnd/>
                              <a:tailEnd/>
                            </a:ln>
                          </wps:spPr>
                          <wps:txbx>
                            <w:txbxContent>
                              <w:p w14:paraId="3191C2A7" w14:textId="77777777" w:rsidR="00C260C7" w:rsidRPr="009E7E60" w:rsidRDefault="00C260C7" w:rsidP="00C260C7">
                                <w:pPr>
                                  <w:rPr>
                                    <w:b/>
                                    <w:bCs/>
                                    <w:color w:val="7B7B7B" w:themeColor="accent3" w:themeShade="BF"/>
                                    <w:sz w:val="16"/>
                                    <w:szCs w:val="16"/>
                                    <w:lang w:val="en-US"/>
                                  </w:rPr>
                                </w:pPr>
                                <w:r>
                                  <w:rPr>
                                    <w:b/>
                                    <w:bCs/>
                                    <w:color w:val="7B7B7B" w:themeColor="accent3" w:themeShade="BF"/>
                                    <w:sz w:val="16"/>
                                    <w:szCs w:val="16"/>
                                    <w:lang w:val="en-US"/>
                                  </w:rPr>
                                  <w:t>Examples</w:t>
                                </w:r>
                              </w:p>
                            </w:txbxContent>
                          </wps:txbx>
                          <wps:bodyPr rot="0" vert="horz" wrap="square" lIns="0" tIns="0" rIns="0" bIns="0" anchor="t" anchorCtr="0">
                            <a:noAutofit/>
                          </wps:bodyPr>
                        </wps:wsp>
                        <wps:wsp>
                          <wps:cNvPr id="52" name="Text Box 2"/>
                          <wps:cNvSpPr txBox="1">
                            <a:spLocks noChangeArrowheads="1"/>
                          </wps:cNvSpPr>
                          <wps:spPr bwMode="auto">
                            <a:xfrm>
                              <a:off x="83820" y="594717"/>
                              <a:ext cx="1440000" cy="957600"/>
                            </a:xfrm>
                            <a:prstGeom prst="rect">
                              <a:avLst/>
                            </a:prstGeom>
                            <a:solidFill>
                              <a:srgbClr val="FFFFFF">
                                <a:alpha val="0"/>
                              </a:srgbClr>
                            </a:solidFill>
                            <a:ln w="9525">
                              <a:noFill/>
                              <a:miter lim="800000"/>
                              <a:headEnd/>
                              <a:tailEnd/>
                            </a:ln>
                          </wps:spPr>
                          <wps:txbx>
                            <w:txbxContent>
                              <w:p w14:paraId="5A473BFF"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9E7E60">
                                  <w:rPr>
                                    <w:color w:val="7B7B7B" w:themeColor="accent3" w:themeShade="BF"/>
                                    <w:sz w:val="16"/>
                                    <w:szCs w:val="16"/>
                                  </w:rPr>
                                  <w:t>Valid biomarkers</w:t>
                                </w:r>
                              </w:p>
                            </w:txbxContent>
                          </wps:txbx>
                          <wps:bodyPr rot="0" vert="horz" wrap="square" lIns="0" tIns="0" rIns="0" bIns="0" anchor="t" anchorCtr="0">
                            <a:noAutofit/>
                          </wps:bodyPr>
                        </wps:wsp>
                      </wpg:grpSp>
                      <wpg:grpSp>
                        <wpg:cNvPr id="210" name="Group 210"/>
                        <wpg:cNvGrpSpPr/>
                        <wpg:grpSpPr>
                          <a:xfrm>
                            <a:off x="1295400" y="0"/>
                            <a:ext cx="5120130" cy="1076371"/>
                            <a:chOff x="0" y="0"/>
                            <a:chExt cx="5120130" cy="1076371"/>
                          </a:xfrm>
                        </wpg:grpSpPr>
                        <wpg:grpSp>
                          <wpg:cNvPr id="54" name="Group 54"/>
                          <wpg:cNvGrpSpPr/>
                          <wpg:grpSpPr>
                            <a:xfrm>
                              <a:off x="0" y="0"/>
                              <a:ext cx="5120130" cy="1076371"/>
                              <a:chOff x="0" y="0"/>
                              <a:chExt cx="5120130" cy="1076371"/>
                            </a:xfrm>
                          </wpg:grpSpPr>
                          <wps:wsp>
                            <wps:cNvPr id="3" name="Rectangle: Rounded Corners 3"/>
                            <wps:cNvSpPr/>
                            <wps:spPr>
                              <a:xfrm>
                                <a:off x="1135380" y="0"/>
                                <a:ext cx="1800000" cy="270000"/>
                              </a:xfrm>
                              <a:prstGeom prst="roundRect">
                                <a:avLst/>
                              </a:prstGeom>
                              <a:noFill/>
                              <a:ln w="12700" cap="flat" cmpd="sng" algn="ctr">
                                <a:solidFill>
                                  <a:srgbClr val="A5A5A5">
                                    <a:lumMod val="75000"/>
                                  </a:srgbClr>
                                </a:solidFill>
                                <a:prstDash val="solid"/>
                                <a:miter lim="800000"/>
                              </a:ln>
                              <a:effectLst/>
                            </wps:spPr>
                            <wps:txbx>
                              <w:txbxContent>
                                <w:p w14:paraId="0F711285" w14:textId="77777777" w:rsidR="00C260C7" w:rsidRPr="000B05B8" w:rsidRDefault="00C260C7" w:rsidP="00C260C7">
                                  <w:pPr>
                                    <w:jc w:val="center"/>
                                    <w:rPr>
                                      <w:rFonts w:asciiTheme="majorHAnsi" w:hAnsiTheme="majorHAnsi" w:cstheme="majorHAnsi"/>
                                      <w:b/>
                                      <w:bCs/>
                                      <w:color w:val="7B7B7B" w:themeColor="accent3" w:themeShade="BF"/>
                                      <w:sz w:val="18"/>
                                      <w:szCs w:val="18"/>
                                      <w:lang w:val="en-US"/>
                                    </w:rPr>
                                  </w:pPr>
                                  <w:r w:rsidRPr="000B05B8">
                                    <w:rPr>
                                      <w:rFonts w:asciiTheme="majorHAnsi" w:hAnsiTheme="majorHAnsi" w:cstheme="majorHAnsi"/>
                                      <w:b/>
                                      <w:bCs/>
                                      <w:color w:val="7B7B7B" w:themeColor="accent3" w:themeShade="BF"/>
                                      <w:sz w:val="18"/>
                                      <w:szCs w:val="18"/>
                                      <w:lang w:val="en-US"/>
                                    </w:rPr>
                                    <w:t>Biomarker(s)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2012950" y="271780"/>
                                <a:ext cx="0" cy="270000"/>
                              </a:xfrm>
                              <a:prstGeom prst="line">
                                <a:avLst/>
                              </a:prstGeom>
                              <a:noFill/>
                              <a:ln w="12700" cap="flat" cmpd="sng" algn="ctr">
                                <a:solidFill>
                                  <a:srgbClr val="A5A5A5">
                                    <a:lumMod val="75000"/>
                                  </a:srgbClr>
                                </a:solidFill>
                                <a:prstDash val="solid"/>
                                <a:miter lim="800000"/>
                              </a:ln>
                              <a:effectLst/>
                            </wps:spPr>
                            <wps:bodyPr/>
                          </wps:wsp>
                          <wps:wsp>
                            <wps:cNvPr id="5" name="Straight Connector 5"/>
                            <wps:cNvCnPr/>
                            <wps:spPr>
                              <a:xfrm>
                                <a:off x="0" y="542290"/>
                                <a:ext cx="4319905" cy="0"/>
                              </a:xfrm>
                              <a:prstGeom prst="line">
                                <a:avLst/>
                              </a:prstGeom>
                              <a:noFill/>
                              <a:ln w="12700" cap="flat" cmpd="sng" algn="ctr">
                                <a:solidFill>
                                  <a:srgbClr val="A5A5A5">
                                    <a:lumMod val="75000"/>
                                  </a:srgbClr>
                                </a:solidFill>
                                <a:prstDash val="solid"/>
                                <a:miter lim="800000"/>
                              </a:ln>
                              <a:effectLst/>
                            </wps:spPr>
                            <wps:bodyPr/>
                          </wps:wsp>
                          <wps:wsp>
                            <wps:cNvPr id="6" name="Straight Arrow Connector 6"/>
                            <wps:cNvCnPr/>
                            <wps:spPr>
                              <a:xfrm>
                                <a:off x="3609" y="537877"/>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7" name="Straight Arrow Connector 7"/>
                            <wps:cNvCnPr/>
                            <wps:spPr>
                              <a:xfrm>
                                <a:off x="4316529" y="537004"/>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10" name="Rectangle: Rounded Corners 10"/>
                            <wps:cNvSpPr/>
                            <wps:spPr>
                              <a:xfrm>
                                <a:off x="3590130" y="806371"/>
                                <a:ext cx="1530000" cy="270000"/>
                              </a:xfrm>
                              <a:prstGeom prst="roundRect">
                                <a:avLst/>
                              </a:prstGeom>
                              <a:noFill/>
                              <a:ln w="12700" cap="flat" cmpd="sng" algn="ctr">
                                <a:solidFill>
                                  <a:srgbClr val="A5A5A5">
                                    <a:lumMod val="75000"/>
                                  </a:srgbClr>
                                </a:solidFill>
                                <a:prstDash val="solid"/>
                                <a:miter lim="800000"/>
                              </a:ln>
                              <a:effectLst/>
                            </wps:spPr>
                            <wps:txbx>
                              <w:txbxContent>
                                <w:p w14:paraId="57A64947"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 xml:space="preserve">Based on their application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 name="Straight Arrow Connector 55"/>
                          <wps:cNvCnPr/>
                          <wps:spPr>
                            <a:xfrm>
                              <a:off x="2012950" y="527537"/>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g:grpSp>
                      <wps:wsp>
                        <wps:cNvPr id="56" name="Rectangle: Rounded Corners 56"/>
                        <wps:cNvSpPr/>
                        <wps:spPr>
                          <a:xfrm>
                            <a:off x="547254" y="817418"/>
                            <a:ext cx="1529715" cy="269875"/>
                          </a:xfrm>
                          <a:prstGeom prst="roundRect">
                            <a:avLst/>
                          </a:prstGeom>
                          <a:noFill/>
                          <a:ln w="12700" cap="flat" cmpd="sng" algn="ctr">
                            <a:solidFill>
                              <a:srgbClr val="A5A5A5">
                                <a:lumMod val="75000"/>
                              </a:srgbClr>
                            </a:solidFill>
                            <a:prstDash val="solid"/>
                            <a:miter lim="800000"/>
                          </a:ln>
                          <a:effectLst/>
                        </wps:spPr>
                        <wps:txbx>
                          <w:txbxContent>
                            <w:p w14:paraId="7C39CC50"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 xml:space="preserve">Based on their </w:t>
                              </w:r>
                              <w:r>
                                <w:rPr>
                                  <w:rFonts w:asciiTheme="majorHAnsi" w:hAnsiTheme="majorHAnsi" w:cstheme="majorHAnsi"/>
                                  <w:b/>
                                  <w:bCs/>
                                  <w:color w:val="7B7B7B" w:themeColor="accent3" w:themeShade="BF"/>
                                  <w:sz w:val="18"/>
                                  <w:szCs w:val="18"/>
                                  <w:lang w:val="en-US"/>
                                </w:rPr>
                                <w:t>bio molecule</w:t>
                              </w:r>
                              <w:r w:rsidRPr="00E44613">
                                <w:rPr>
                                  <w:rFonts w:asciiTheme="majorHAnsi" w:hAnsiTheme="majorHAnsi" w:cstheme="majorHAnsi"/>
                                  <w:b/>
                                  <w:bCs/>
                                  <w:color w:val="7B7B7B" w:themeColor="accent3" w:themeShade="BF"/>
                                  <w:sz w:val="18"/>
                                  <w:szCs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9" name="Group 209"/>
                        <wpg:cNvGrpSpPr/>
                        <wpg:grpSpPr>
                          <a:xfrm>
                            <a:off x="0" y="1343891"/>
                            <a:ext cx="2569708" cy="1661076"/>
                            <a:chOff x="349250" y="-276"/>
                            <a:chExt cx="2569708" cy="1661076"/>
                          </a:xfrm>
                        </wpg:grpSpPr>
                        <wps:wsp>
                          <wps:cNvPr id="57" name="Straight Connector 57"/>
                          <wps:cNvCnPr/>
                          <wps:spPr>
                            <a:xfrm>
                              <a:off x="905610" y="6350"/>
                              <a:ext cx="1440000" cy="0"/>
                            </a:xfrm>
                            <a:prstGeom prst="line">
                              <a:avLst/>
                            </a:prstGeom>
                            <a:noFill/>
                            <a:ln w="12700" cap="flat" cmpd="sng" algn="ctr">
                              <a:solidFill>
                                <a:srgbClr val="A5A5A5">
                                  <a:lumMod val="75000"/>
                                </a:srgbClr>
                              </a:solidFill>
                              <a:prstDash val="solid"/>
                              <a:miter lim="800000"/>
                            </a:ln>
                            <a:effectLst/>
                          </wps:spPr>
                          <wps:bodyPr/>
                        </wps:wsp>
                        <wps:wsp>
                          <wps:cNvPr id="58" name="Straight Arrow Connector 58"/>
                          <wps:cNvCnPr/>
                          <wps:spPr>
                            <a:xfrm>
                              <a:off x="906104" y="-276"/>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59" name="Straight Arrow Connector 59"/>
                          <wps:cNvCnPr/>
                          <wps:spPr>
                            <a:xfrm>
                              <a:off x="2349431" y="0"/>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g:grpSp>
                          <wpg:cNvPr id="197" name="Group 197"/>
                          <wpg:cNvGrpSpPr/>
                          <wpg:grpSpPr>
                            <a:xfrm>
                              <a:off x="349250" y="266149"/>
                              <a:ext cx="1171603" cy="1394651"/>
                              <a:chOff x="349250" y="-89451"/>
                              <a:chExt cx="1171603" cy="1394651"/>
                            </a:xfrm>
                          </wpg:grpSpPr>
                          <wpg:grpSp>
                            <wpg:cNvPr id="194" name="Group 194"/>
                            <wpg:cNvGrpSpPr/>
                            <wpg:grpSpPr>
                              <a:xfrm>
                                <a:off x="349250" y="433428"/>
                                <a:ext cx="1111750" cy="871772"/>
                                <a:chOff x="349250" y="-195222"/>
                                <a:chExt cx="1111750" cy="871772"/>
                              </a:xfrm>
                            </wpg:grpSpPr>
                            <wps:wsp>
                              <wps:cNvPr id="62" name="Rectangle: Top Corners Rounded 62"/>
                              <wps:cNvSpPr/>
                              <wps:spPr>
                                <a:xfrm>
                                  <a:off x="349251" y="-195222"/>
                                  <a:ext cx="1080000" cy="792000"/>
                                </a:xfrm>
                                <a:prstGeom prst="round2Same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aight Connector 63"/>
                              <wps:cNvCnPr/>
                              <wps:spPr>
                                <a:xfrm>
                                  <a:off x="349250" y="44809"/>
                                  <a:ext cx="1080000" cy="0"/>
                                </a:xfrm>
                                <a:prstGeom prst="line">
                                  <a:avLst/>
                                </a:prstGeom>
                                <a:noFill/>
                                <a:ln w="12700" cap="flat" cmpd="sng" algn="ctr">
                                  <a:solidFill>
                                    <a:srgbClr val="A5A5A5">
                                      <a:lumMod val="75000"/>
                                    </a:srgbClr>
                                  </a:solidFill>
                                  <a:prstDash val="solid"/>
                                  <a:miter lim="800000"/>
                                </a:ln>
                                <a:effectLst/>
                              </wps:spPr>
                              <wps:bodyPr/>
                            </wps:wsp>
                            <wps:wsp>
                              <wps:cNvPr id="192" name="Text Box 2"/>
                              <wps:cNvSpPr txBox="1">
                                <a:spLocks noChangeArrowheads="1"/>
                              </wps:cNvSpPr>
                              <wps:spPr bwMode="auto">
                                <a:xfrm>
                                  <a:off x="381000" y="82550"/>
                                  <a:ext cx="1080000" cy="594000"/>
                                </a:xfrm>
                                <a:prstGeom prst="rect">
                                  <a:avLst/>
                                </a:prstGeom>
                                <a:solidFill>
                                  <a:srgbClr val="FFFFFF">
                                    <a:alpha val="0"/>
                                  </a:srgbClr>
                                </a:solidFill>
                                <a:ln w="9525">
                                  <a:noFill/>
                                  <a:miter lim="800000"/>
                                  <a:headEnd/>
                                  <a:tailEnd/>
                                </a:ln>
                              </wps:spPr>
                              <wps:txbx>
                                <w:txbxContent>
                                  <w:p w14:paraId="10BEE293" w14:textId="77777777" w:rsidR="00C260C7" w:rsidRDefault="00C260C7" w:rsidP="00C260C7">
                                    <w:pPr>
                                      <w:pStyle w:val="ListParagraph"/>
                                      <w:numPr>
                                        <w:ilvl w:val="0"/>
                                        <w:numId w:val="2"/>
                                      </w:numPr>
                                      <w:ind w:left="142" w:hanging="142"/>
                                      <w:contextualSpacing/>
                                      <w:rPr>
                                        <w:color w:val="7B7B7B" w:themeColor="accent3" w:themeShade="BF"/>
                                        <w:sz w:val="16"/>
                                        <w:szCs w:val="16"/>
                                      </w:rPr>
                                    </w:pPr>
                                    <w:r w:rsidRPr="00E2562A">
                                      <w:rPr>
                                        <w:color w:val="7B7B7B" w:themeColor="accent3" w:themeShade="BF"/>
                                        <w:sz w:val="16"/>
                                        <w:szCs w:val="16"/>
                                      </w:rPr>
                                      <w:t>Metabolites</w:t>
                                    </w:r>
                                  </w:p>
                                  <w:p w14:paraId="0606E48B"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C</w:t>
                                    </w:r>
                                    <w:r w:rsidRPr="00E2562A">
                                      <w:rPr>
                                        <w:color w:val="7B7B7B" w:themeColor="accent3" w:themeShade="BF"/>
                                        <w:sz w:val="16"/>
                                        <w:szCs w:val="16"/>
                                      </w:rPr>
                                      <w:t>arbohydrates</w:t>
                                    </w:r>
                                  </w:p>
                                  <w:p w14:paraId="517A5261" w14:textId="77777777" w:rsidR="00C260C7"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S</w:t>
                                    </w:r>
                                    <w:r w:rsidRPr="00E2562A">
                                      <w:rPr>
                                        <w:color w:val="7B7B7B" w:themeColor="accent3" w:themeShade="BF"/>
                                        <w:sz w:val="16"/>
                                        <w:szCs w:val="16"/>
                                      </w:rPr>
                                      <w:t>teroids</w:t>
                                    </w:r>
                                  </w:p>
                                  <w:p w14:paraId="5CB741AE"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Lipids</w:t>
                                    </w:r>
                                  </w:p>
                                  <w:p w14:paraId="7D5FA65F" w14:textId="77777777" w:rsidR="00C260C7" w:rsidRPr="004B58FC" w:rsidRDefault="00C260C7" w:rsidP="00C260C7">
                                    <w:pPr>
                                      <w:rPr>
                                        <w:b/>
                                        <w:bCs/>
                                        <w:color w:val="7B7B7B" w:themeColor="accent3" w:themeShade="BF"/>
                                        <w:sz w:val="16"/>
                                        <w:szCs w:val="16"/>
                                      </w:rPr>
                                    </w:pPr>
                                  </w:p>
                                </w:txbxContent>
                              </wps:txbx>
                              <wps:bodyPr rot="0" vert="horz" wrap="square" lIns="0" tIns="0" rIns="0" bIns="0" anchor="t" anchorCtr="0">
                                <a:noAutofit/>
                              </wps:bodyPr>
                            </wps:wsp>
                            <wps:wsp>
                              <wps:cNvPr id="193" name="Text Box 2"/>
                              <wps:cNvSpPr txBox="1">
                                <a:spLocks noChangeArrowheads="1"/>
                              </wps:cNvSpPr>
                              <wps:spPr bwMode="auto">
                                <a:xfrm>
                                  <a:off x="558800" y="-120650"/>
                                  <a:ext cx="758813" cy="152481"/>
                                </a:xfrm>
                                <a:prstGeom prst="rect">
                                  <a:avLst/>
                                </a:prstGeom>
                                <a:solidFill>
                                  <a:srgbClr val="FFFFFF">
                                    <a:alpha val="0"/>
                                  </a:srgbClr>
                                </a:solidFill>
                                <a:ln w="9525">
                                  <a:noFill/>
                                  <a:miter lim="800000"/>
                                  <a:headEnd/>
                                  <a:tailEnd/>
                                </a:ln>
                              </wps:spPr>
                              <wps:txbx>
                                <w:txbxContent>
                                  <w:p w14:paraId="636EE4C0" w14:textId="77777777" w:rsidR="00C260C7" w:rsidRPr="009E7E60" w:rsidRDefault="00C260C7" w:rsidP="00C260C7">
                                    <w:pPr>
                                      <w:rPr>
                                        <w:b/>
                                        <w:bCs/>
                                        <w:color w:val="7B7B7B" w:themeColor="accent3" w:themeShade="BF"/>
                                        <w:sz w:val="16"/>
                                        <w:szCs w:val="16"/>
                                      </w:rPr>
                                    </w:pPr>
                                    <w:r w:rsidRPr="009E7E60">
                                      <w:rPr>
                                        <w:b/>
                                        <w:bCs/>
                                        <w:color w:val="7B7B7B" w:themeColor="accent3" w:themeShade="BF"/>
                                        <w:sz w:val="16"/>
                                        <w:szCs w:val="16"/>
                                      </w:rPr>
                                      <w:t>Examples</w:t>
                                    </w:r>
                                  </w:p>
                                </w:txbxContent>
                              </wps:txbx>
                              <wps:bodyPr rot="0" vert="horz" wrap="square" lIns="0" tIns="0" rIns="0" bIns="0" anchor="t" anchorCtr="0">
                                <a:noAutofit/>
                              </wps:bodyPr>
                            </wps:wsp>
                          </wpg:grpSp>
                          <wps:wsp>
                            <wps:cNvPr id="195" name="Rectangle: Rounded Corners 195"/>
                            <wps:cNvSpPr/>
                            <wps:spPr>
                              <a:xfrm>
                                <a:off x="368853" y="-89451"/>
                                <a:ext cx="1152000" cy="270000"/>
                              </a:xfrm>
                              <a:prstGeom prst="roundRect">
                                <a:avLst/>
                              </a:prstGeom>
                              <a:noFill/>
                              <a:ln w="12700" cap="flat" cmpd="sng" algn="ctr">
                                <a:solidFill>
                                  <a:srgbClr val="A5A5A5">
                                    <a:lumMod val="75000"/>
                                  </a:srgbClr>
                                </a:solidFill>
                                <a:prstDash val="solid"/>
                                <a:miter lim="800000"/>
                              </a:ln>
                              <a:effectLst/>
                            </wps:spPr>
                            <wps:txbx>
                              <w:txbxContent>
                                <w:p w14:paraId="357D3FCB"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Simple</w:t>
                                  </w:r>
                                  <w:r w:rsidRPr="00E44613">
                                    <w:rPr>
                                      <w:rFonts w:asciiTheme="majorHAnsi" w:hAnsiTheme="majorHAnsi" w:cstheme="majorHAnsi"/>
                                      <w:b/>
                                      <w:bCs/>
                                      <w:color w:val="7B7B7B" w:themeColor="accent3" w:themeShade="BF"/>
                                      <w:sz w:val="18"/>
                                      <w:szCs w:val="18"/>
                                      <w:lang w:val="en-US"/>
                                    </w:rPr>
                                    <w:t xml:space="preserve"> Biomarker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Straight Arrow Connector 196"/>
                            <wps:cNvCnPr/>
                            <wps:spPr>
                              <a:xfrm>
                                <a:off x="903630" y="172832"/>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g:grpSp>
                        <wpg:grpSp>
                          <wpg:cNvPr id="198" name="Group 198"/>
                          <wpg:cNvGrpSpPr/>
                          <wpg:grpSpPr>
                            <a:xfrm>
                              <a:off x="1695450" y="266424"/>
                              <a:ext cx="1223508" cy="1314605"/>
                              <a:chOff x="-114300" y="-108226"/>
                              <a:chExt cx="1223508" cy="1314605"/>
                            </a:xfrm>
                          </wpg:grpSpPr>
                          <wpg:grpSp>
                            <wpg:cNvPr id="199" name="Group 199"/>
                            <wpg:cNvGrpSpPr/>
                            <wpg:grpSpPr>
                              <a:xfrm>
                                <a:off x="-114300" y="414379"/>
                                <a:ext cx="1105400" cy="792000"/>
                                <a:chOff x="-114300" y="-214271"/>
                                <a:chExt cx="1105400" cy="792000"/>
                              </a:xfrm>
                            </wpg:grpSpPr>
                            <wps:wsp>
                              <wps:cNvPr id="200" name="Rectangle: Top Corners Rounded 200"/>
                              <wps:cNvSpPr/>
                              <wps:spPr>
                                <a:xfrm>
                                  <a:off x="-95250" y="-214271"/>
                                  <a:ext cx="1080000" cy="792000"/>
                                </a:xfrm>
                                <a:prstGeom prst="round2Same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Straight Connector 201"/>
                              <wps:cNvCnPr/>
                              <wps:spPr>
                                <a:xfrm>
                                  <a:off x="-114300" y="19050"/>
                                  <a:ext cx="1080000" cy="0"/>
                                </a:xfrm>
                                <a:prstGeom prst="line">
                                  <a:avLst/>
                                </a:prstGeom>
                                <a:noFill/>
                                <a:ln w="12700" cap="flat" cmpd="sng" algn="ctr">
                                  <a:solidFill>
                                    <a:srgbClr val="A5A5A5">
                                      <a:lumMod val="75000"/>
                                    </a:srgbClr>
                                  </a:solidFill>
                                  <a:prstDash val="solid"/>
                                  <a:miter lim="800000"/>
                                </a:ln>
                                <a:effectLst/>
                              </wps:spPr>
                              <wps:bodyPr/>
                            </wps:wsp>
                            <wps:wsp>
                              <wps:cNvPr id="202" name="Text Box 2"/>
                              <wps:cNvSpPr txBox="1">
                                <a:spLocks noChangeArrowheads="1"/>
                              </wps:cNvSpPr>
                              <wps:spPr bwMode="auto">
                                <a:xfrm>
                                  <a:off x="-88900" y="57150"/>
                                  <a:ext cx="1080000" cy="450000"/>
                                </a:xfrm>
                                <a:prstGeom prst="rect">
                                  <a:avLst/>
                                </a:prstGeom>
                                <a:solidFill>
                                  <a:srgbClr val="FFFFFF">
                                    <a:alpha val="0"/>
                                  </a:srgbClr>
                                </a:solidFill>
                                <a:ln w="9525">
                                  <a:noFill/>
                                  <a:miter lim="800000"/>
                                  <a:headEnd/>
                                  <a:tailEnd/>
                                </a:ln>
                              </wps:spPr>
                              <wps:txbx>
                                <w:txbxContent>
                                  <w:p w14:paraId="5BB6CDE6"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A0494D">
                                      <w:rPr>
                                        <w:color w:val="7B7B7B" w:themeColor="accent3" w:themeShade="BF"/>
                                        <w:sz w:val="16"/>
                                        <w:szCs w:val="16"/>
                                      </w:rPr>
                                      <w:t>C-reactive protein</w:t>
                                    </w:r>
                                  </w:p>
                                  <w:p w14:paraId="0F05D869" w14:textId="77777777" w:rsidR="00C260C7" w:rsidRDefault="00C260C7" w:rsidP="00C260C7">
                                    <w:pPr>
                                      <w:pStyle w:val="ListParagraph"/>
                                      <w:numPr>
                                        <w:ilvl w:val="0"/>
                                        <w:numId w:val="2"/>
                                      </w:numPr>
                                      <w:ind w:left="142" w:hanging="142"/>
                                      <w:contextualSpacing/>
                                      <w:rPr>
                                        <w:color w:val="7B7B7B" w:themeColor="accent3" w:themeShade="BF"/>
                                        <w:sz w:val="16"/>
                                        <w:szCs w:val="16"/>
                                      </w:rPr>
                                    </w:pPr>
                                    <w:r w:rsidRPr="00A0494D">
                                      <w:rPr>
                                        <w:color w:val="7B7B7B" w:themeColor="accent3" w:themeShade="BF"/>
                                        <w:sz w:val="16"/>
                                        <w:szCs w:val="16"/>
                                      </w:rPr>
                                      <w:t>T cells</w:t>
                                    </w:r>
                                  </w:p>
                                  <w:p w14:paraId="6E4BDE2D" w14:textId="77777777" w:rsidR="00C260C7" w:rsidRPr="00A0494D"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A</w:t>
                                    </w:r>
                                    <w:r w:rsidRPr="00A0494D">
                                      <w:rPr>
                                        <w:color w:val="7B7B7B" w:themeColor="accent3" w:themeShade="BF"/>
                                        <w:sz w:val="16"/>
                                        <w:szCs w:val="16"/>
                                      </w:rPr>
                                      <w:t>utoantibodies</w:t>
                                    </w:r>
                                  </w:p>
                                </w:txbxContent>
                              </wps:txbx>
                              <wps:bodyPr rot="0" vert="horz" wrap="square" lIns="0" tIns="0" rIns="0" bIns="0" anchor="t" anchorCtr="0">
                                <a:noAutofit/>
                              </wps:bodyPr>
                            </wps:wsp>
                            <wps:wsp>
                              <wps:cNvPr id="203" name="Text Box 2"/>
                              <wps:cNvSpPr txBox="1">
                                <a:spLocks noChangeArrowheads="1"/>
                              </wps:cNvSpPr>
                              <wps:spPr bwMode="auto">
                                <a:xfrm>
                                  <a:off x="50800" y="-158750"/>
                                  <a:ext cx="758813" cy="152481"/>
                                </a:xfrm>
                                <a:prstGeom prst="rect">
                                  <a:avLst/>
                                </a:prstGeom>
                                <a:solidFill>
                                  <a:srgbClr val="FFFFFF">
                                    <a:alpha val="0"/>
                                  </a:srgbClr>
                                </a:solidFill>
                                <a:ln w="9525">
                                  <a:noFill/>
                                  <a:miter lim="800000"/>
                                  <a:headEnd/>
                                  <a:tailEnd/>
                                </a:ln>
                              </wps:spPr>
                              <wps:txbx>
                                <w:txbxContent>
                                  <w:p w14:paraId="1D66AD7E" w14:textId="77777777" w:rsidR="00C260C7" w:rsidRPr="009E7E60" w:rsidRDefault="00C260C7" w:rsidP="00C260C7">
                                    <w:pPr>
                                      <w:rPr>
                                        <w:b/>
                                        <w:bCs/>
                                        <w:color w:val="7B7B7B" w:themeColor="accent3" w:themeShade="BF"/>
                                        <w:sz w:val="16"/>
                                        <w:szCs w:val="16"/>
                                      </w:rPr>
                                    </w:pPr>
                                    <w:r w:rsidRPr="009E7E60">
                                      <w:rPr>
                                        <w:b/>
                                        <w:bCs/>
                                        <w:color w:val="7B7B7B" w:themeColor="accent3" w:themeShade="BF"/>
                                        <w:sz w:val="16"/>
                                        <w:szCs w:val="16"/>
                                      </w:rPr>
                                      <w:t>Examples</w:t>
                                    </w:r>
                                  </w:p>
                                </w:txbxContent>
                              </wps:txbx>
                              <wps:bodyPr rot="0" vert="horz" wrap="square" lIns="0" tIns="0" rIns="0" bIns="0" anchor="t" anchorCtr="0">
                                <a:noAutofit/>
                              </wps:bodyPr>
                            </wps:wsp>
                          </wpg:grpSp>
                          <wps:wsp>
                            <wps:cNvPr id="204" name="Rectangle: Rounded Corners 204"/>
                            <wps:cNvSpPr/>
                            <wps:spPr>
                              <a:xfrm>
                                <a:off x="-42792" y="-108226"/>
                                <a:ext cx="1152000" cy="270000"/>
                              </a:xfrm>
                              <a:prstGeom prst="roundRect">
                                <a:avLst/>
                              </a:prstGeom>
                              <a:noFill/>
                              <a:ln w="12700" cap="flat" cmpd="sng" algn="ctr">
                                <a:solidFill>
                                  <a:srgbClr val="A5A5A5">
                                    <a:lumMod val="75000"/>
                                  </a:srgbClr>
                                </a:solidFill>
                                <a:prstDash val="solid"/>
                                <a:miter lim="800000"/>
                              </a:ln>
                              <a:effectLst/>
                            </wps:spPr>
                            <wps:txbx>
                              <w:txbxContent>
                                <w:p w14:paraId="1EB63FE3"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Complex</w:t>
                                  </w:r>
                                  <w:r w:rsidRPr="00E44613">
                                    <w:rPr>
                                      <w:rFonts w:asciiTheme="majorHAnsi" w:hAnsiTheme="majorHAnsi" w:cstheme="majorHAnsi"/>
                                      <w:b/>
                                      <w:bCs/>
                                      <w:color w:val="7B7B7B" w:themeColor="accent3" w:themeShade="BF"/>
                                      <w:sz w:val="18"/>
                                      <w:szCs w:val="18"/>
                                      <w:lang w:val="en-US"/>
                                    </w:rPr>
                                    <w:t xml:space="preserve"> Biomarker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Straight Arrow Connector 205"/>
                            <wps:cNvCnPr/>
                            <wps:spPr>
                              <a:xfrm>
                                <a:off x="539200" y="156267"/>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g:grpSp>
                      </wpg:grpSp>
                      <wps:wsp>
                        <wps:cNvPr id="211" name="Straight Connector 211"/>
                        <wps:cNvCnPr/>
                        <wps:spPr>
                          <a:xfrm>
                            <a:off x="1295400" y="1080654"/>
                            <a:ext cx="0" cy="269988"/>
                          </a:xfrm>
                          <a:prstGeom prst="line">
                            <a:avLst/>
                          </a:prstGeom>
                          <a:noFill/>
                          <a:ln w="12700" cap="flat" cmpd="sng" algn="ctr">
                            <a:solidFill>
                              <a:srgbClr val="A5A5A5">
                                <a:lumMod val="75000"/>
                              </a:srgbClr>
                            </a:solidFill>
                            <a:prstDash val="solid"/>
                            <a:miter lim="800000"/>
                          </a:ln>
                          <a:effectLst/>
                        </wps:spPr>
                        <wps:bodyPr/>
                      </wps:wsp>
                      <wps:wsp>
                        <wps:cNvPr id="212" name="Straight Arrow Connector 212"/>
                        <wps:cNvCnPr/>
                        <wps:spPr>
                          <a:xfrm>
                            <a:off x="5479473" y="1960418"/>
                            <a:ext cx="0" cy="269875"/>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213" name="Straight Arrow Connector 213"/>
                        <wps:cNvCnPr/>
                        <wps:spPr>
                          <a:xfrm>
                            <a:off x="6747164" y="1981200"/>
                            <a:ext cx="0" cy="269875"/>
                          </a:xfrm>
                          <a:prstGeom prst="straightConnector1">
                            <a:avLst/>
                          </a:prstGeom>
                          <a:noFill/>
                          <a:ln w="12700" cap="flat" cmpd="sng" algn="ctr">
                            <a:solidFill>
                              <a:srgbClr val="A5A5A5">
                                <a:lumMod val="75000"/>
                              </a:srgbClr>
                            </a:solidFill>
                            <a:prstDash val="solid"/>
                            <a:miter lim="800000"/>
                            <a:tailEnd type="triangle"/>
                          </a:ln>
                          <a:effectLst/>
                        </wps:spPr>
                        <wps:bodyPr/>
                      </wps:wsp>
                      <wpg:grpSp>
                        <wpg:cNvPr id="220" name="Group 220"/>
                        <wpg:cNvGrpSpPr/>
                        <wpg:grpSpPr>
                          <a:xfrm>
                            <a:off x="131618" y="1066800"/>
                            <a:ext cx="3430907" cy="4302090"/>
                            <a:chOff x="0" y="192701"/>
                            <a:chExt cx="3430907" cy="4302677"/>
                          </a:xfrm>
                        </wpg:grpSpPr>
                        <wps:wsp>
                          <wps:cNvPr id="16" name="Straight Connector 16"/>
                          <wps:cNvCnPr/>
                          <wps:spPr>
                            <a:xfrm>
                              <a:off x="723900" y="2423160"/>
                              <a:ext cx="1799590" cy="0"/>
                            </a:xfrm>
                            <a:prstGeom prst="line">
                              <a:avLst/>
                            </a:prstGeom>
                            <a:noFill/>
                            <a:ln w="12700" cap="flat" cmpd="sng" algn="ctr">
                              <a:solidFill>
                                <a:srgbClr val="A5A5A5">
                                  <a:lumMod val="75000"/>
                                </a:srgbClr>
                              </a:solidFill>
                              <a:prstDash val="solid"/>
                              <a:miter lim="800000"/>
                            </a:ln>
                            <a:effectLst/>
                          </wps:spPr>
                          <wps:bodyPr/>
                        </wps:wsp>
                        <wps:wsp>
                          <wps:cNvPr id="11" name="Straight Connector 11"/>
                          <wps:cNvCnPr/>
                          <wps:spPr>
                            <a:xfrm>
                              <a:off x="1565910" y="2165988"/>
                              <a:ext cx="0" cy="262836"/>
                            </a:xfrm>
                            <a:prstGeom prst="line">
                              <a:avLst/>
                            </a:prstGeom>
                            <a:noFill/>
                            <a:ln w="12700" cap="flat" cmpd="sng" algn="ctr">
                              <a:solidFill>
                                <a:srgbClr val="A5A5A5">
                                  <a:lumMod val="75000"/>
                                </a:srgbClr>
                              </a:solidFill>
                              <a:prstDash val="solid"/>
                              <a:miter lim="800000"/>
                            </a:ln>
                            <a:effectLst/>
                          </wps:spPr>
                          <wps:bodyPr/>
                        </wps:wsp>
                        <wps:wsp>
                          <wps:cNvPr id="12" name="Rectangle: Rounded Corners 12"/>
                          <wps:cNvSpPr/>
                          <wps:spPr>
                            <a:xfrm>
                              <a:off x="68580" y="2674620"/>
                              <a:ext cx="1357200" cy="270000"/>
                            </a:xfrm>
                            <a:prstGeom prst="roundRect">
                              <a:avLst/>
                            </a:prstGeom>
                            <a:noFill/>
                            <a:ln w="12700" cap="flat" cmpd="sng" algn="ctr">
                              <a:solidFill>
                                <a:srgbClr val="A5A5A5">
                                  <a:lumMod val="75000"/>
                                </a:srgbClr>
                              </a:solidFill>
                              <a:prstDash val="solid"/>
                              <a:miter lim="800000"/>
                            </a:ln>
                            <a:effectLst/>
                          </wps:spPr>
                          <wps:txbx>
                            <w:txbxContent>
                              <w:p w14:paraId="161E9384"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Imaging Biomarker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727710" y="2415540"/>
                              <a:ext cx="0" cy="269875"/>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18" name="Straight Arrow Connector 18"/>
                          <wps:cNvCnPr/>
                          <wps:spPr>
                            <a:xfrm>
                              <a:off x="2518410" y="2419350"/>
                              <a:ext cx="0" cy="269875"/>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19" name="Straight Arrow Connector 19"/>
                          <wps:cNvCnPr/>
                          <wps:spPr>
                            <a:xfrm>
                              <a:off x="716280" y="2941320"/>
                              <a:ext cx="0" cy="269875"/>
                            </a:xfrm>
                            <a:prstGeom prst="straightConnector1">
                              <a:avLst/>
                            </a:prstGeom>
                            <a:noFill/>
                            <a:ln w="12700" cap="flat" cmpd="sng" algn="ctr">
                              <a:solidFill>
                                <a:srgbClr val="A5A5A5">
                                  <a:lumMod val="75000"/>
                                </a:srgbClr>
                              </a:solidFill>
                              <a:prstDash val="solid"/>
                              <a:miter lim="800000"/>
                              <a:tailEnd type="triangle"/>
                            </a:ln>
                            <a:effectLst/>
                          </wps:spPr>
                          <wps:bodyPr/>
                        </wps:wsp>
                        <wpg:grpSp>
                          <wpg:cNvPr id="1" name="Group 1"/>
                          <wpg:cNvGrpSpPr/>
                          <wpg:grpSpPr>
                            <a:xfrm>
                              <a:off x="0" y="3200400"/>
                              <a:ext cx="1479164" cy="875665"/>
                              <a:chOff x="-39280" y="0"/>
                              <a:chExt cx="1525378" cy="1408000"/>
                            </a:xfrm>
                          </wpg:grpSpPr>
                          <wps:wsp>
                            <wps:cNvPr id="20" name="Rectangle: Top Corners Rounded 20"/>
                            <wps:cNvSpPr/>
                            <wps:spPr>
                              <a:xfrm>
                                <a:off x="-39280" y="0"/>
                                <a:ext cx="1515965" cy="1408000"/>
                              </a:xfrm>
                              <a:prstGeom prst="round2Same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31661" y="295555"/>
                                <a:ext cx="1517759" cy="0"/>
                              </a:xfrm>
                              <a:prstGeom prst="line">
                                <a:avLst/>
                              </a:prstGeom>
                              <a:noFill/>
                              <a:ln w="12700" cap="flat" cmpd="sng" algn="ctr">
                                <a:solidFill>
                                  <a:srgbClr val="A5A5A5">
                                    <a:lumMod val="75000"/>
                                  </a:srgbClr>
                                </a:solidFill>
                                <a:prstDash val="solid"/>
                                <a:miter lim="800000"/>
                              </a:ln>
                              <a:effectLst/>
                            </wps:spPr>
                            <wps:bodyPr/>
                          </wps:wsp>
                          <wps:wsp>
                            <wps:cNvPr id="217" name="Text Box 2"/>
                            <wps:cNvSpPr txBox="1">
                              <a:spLocks noChangeArrowheads="1"/>
                            </wps:cNvSpPr>
                            <wps:spPr bwMode="auto">
                              <a:xfrm>
                                <a:off x="457200" y="30479"/>
                                <a:ext cx="782320" cy="244999"/>
                              </a:xfrm>
                              <a:prstGeom prst="rect">
                                <a:avLst/>
                              </a:prstGeom>
                              <a:solidFill>
                                <a:srgbClr val="FFFFFF">
                                  <a:alpha val="0"/>
                                </a:srgbClr>
                              </a:solidFill>
                              <a:ln w="9525">
                                <a:noFill/>
                                <a:miter lim="800000"/>
                                <a:headEnd/>
                                <a:tailEnd/>
                              </a:ln>
                            </wps:spPr>
                            <wps:txbx>
                              <w:txbxContent>
                                <w:p w14:paraId="6929BFCC" w14:textId="77777777" w:rsidR="00C260C7" w:rsidRPr="009E7E60" w:rsidRDefault="00C260C7" w:rsidP="00C260C7">
                                  <w:pPr>
                                    <w:rPr>
                                      <w:b/>
                                      <w:bCs/>
                                      <w:color w:val="7B7B7B" w:themeColor="accent3" w:themeShade="BF"/>
                                      <w:sz w:val="16"/>
                                      <w:szCs w:val="16"/>
                                    </w:rPr>
                                  </w:pPr>
                                  <w:r w:rsidRPr="009E7E60">
                                    <w:rPr>
                                      <w:b/>
                                      <w:bCs/>
                                      <w:color w:val="7B7B7B" w:themeColor="accent3" w:themeShade="BF"/>
                                      <w:sz w:val="16"/>
                                      <w:szCs w:val="16"/>
                                    </w:rPr>
                                    <w:t>Examples</w:t>
                                  </w:r>
                                </w:p>
                              </w:txbxContent>
                            </wps:txbx>
                            <wps:bodyPr rot="0" vert="horz" wrap="square" lIns="0" tIns="0" rIns="0" bIns="0" anchor="t" anchorCtr="0">
                              <a:noAutofit/>
                            </wps:bodyPr>
                          </wps:wsp>
                          <wps:wsp>
                            <wps:cNvPr id="22" name="Text Box 2"/>
                            <wps:cNvSpPr txBox="1">
                              <a:spLocks noChangeArrowheads="1"/>
                            </wps:cNvSpPr>
                            <wps:spPr bwMode="auto">
                              <a:xfrm>
                                <a:off x="5240" y="422613"/>
                                <a:ext cx="1440000" cy="957600"/>
                              </a:xfrm>
                              <a:prstGeom prst="rect">
                                <a:avLst/>
                              </a:prstGeom>
                              <a:solidFill>
                                <a:srgbClr val="FFFFFF">
                                  <a:alpha val="0"/>
                                </a:srgbClr>
                              </a:solidFill>
                              <a:ln w="9525">
                                <a:noFill/>
                                <a:miter lim="800000"/>
                                <a:headEnd/>
                                <a:tailEnd/>
                              </a:ln>
                            </wps:spPr>
                            <wps:txbx>
                              <w:txbxContent>
                                <w:p w14:paraId="55D31633"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F24C29">
                                    <w:rPr>
                                      <w:color w:val="7B7B7B" w:themeColor="accent3" w:themeShade="BF"/>
                                      <w:sz w:val="16"/>
                                      <w:szCs w:val="16"/>
                                    </w:rPr>
                                    <w:t>Computed tomography</w:t>
                                  </w:r>
                                </w:p>
                                <w:p w14:paraId="1E078A28"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F24C29">
                                    <w:rPr>
                                      <w:color w:val="7B7B7B" w:themeColor="accent3" w:themeShade="BF"/>
                                      <w:sz w:val="16"/>
                                      <w:szCs w:val="16"/>
                                    </w:rPr>
                                    <w:t>Positron emission tomography</w:t>
                                  </w:r>
                                </w:p>
                                <w:p w14:paraId="224BF308"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F24C29">
                                    <w:rPr>
                                      <w:color w:val="7B7B7B" w:themeColor="accent3" w:themeShade="BF"/>
                                      <w:sz w:val="16"/>
                                      <w:szCs w:val="16"/>
                                    </w:rPr>
                                    <w:t>Magnetic resonance imaging</w:t>
                                  </w:r>
                                </w:p>
                                <w:p w14:paraId="56B72CDB" w14:textId="77777777" w:rsidR="00C260C7" w:rsidRPr="004B58FC" w:rsidRDefault="00C260C7" w:rsidP="00C260C7">
                                  <w:pPr>
                                    <w:rPr>
                                      <w:b/>
                                      <w:bCs/>
                                      <w:color w:val="7B7B7B" w:themeColor="accent3" w:themeShade="BF"/>
                                      <w:sz w:val="16"/>
                                      <w:szCs w:val="16"/>
                                    </w:rPr>
                                  </w:pPr>
                                </w:p>
                              </w:txbxContent>
                            </wps:txbx>
                            <wps:bodyPr rot="0" vert="horz" wrap="square" lIns="0" tIns="0" rIns="0" bIns="0" anchor="t" anchorCtr="0">
                              <a:noAutofit/>
                            </wps:bodyPr>
                          </wps:wsp>
                        </wpg:grpSp>
                        <wps:wsp>
                          <wps:cNvPr id="14" name="Rectangle: Rounded Corners 14"/>
                          <wps:cNvSpPr/>
                          <wps:spPr>
                            <a:xfrm>
                              <a:off x="1722120" y="2667000"/>
                              <a:ext cx="1579880" cy="449580"/>
                            </a:xfrm>
                            <a:prstGeom prst="roundRect">
                              <a:avLst/>
                            </a:prstGeom>
                            <a:noFill/>
                            <a:ln w="12700" cap="flat" cmpd="sng" algn="ctr">
                              <a:solidFill>
                                <a:srgbClr val="A5A5A5">
                                  <a:lumMod val="75000"/>
                                </a:srgbClr>
                              </a:solidFill>
                              <a:prstDash val="solid"/>
                              <a:miter lim="800000"/>
                            </a:ln>
                            <a:effectLst/>
                          </wps:spPr>
                          <wps:txbx>
                            <w:txbxContent>
                              <w:p w14:paraId="6A59A395" w14:textId="77777777" w:rsidR="00C260C7"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Non-Imaging Biomarker</w:t>
                                </w:r>
                                <w:r>
                                  <w:rPr>
                                    <w:rFonts w:asciiTheme="majorHAnsi" w:hAnsiTheme="majorHAnsi" w:cstheme="majorHAnsi"/>
                                    <w:b/>
                                    <w:bCs/>
                                    <w:color w:val="7B7B7B" w:themeColor="accent3" w:themeShade="BF"/>
                                    <w:sz w:val="18"/>
                                    <w:szCs w:val="18"/>
                                    <w:lang w:val="en-US"/>
                                  </w:rPr>
                                  <w:t xml:space="preserve"> (Molecular Biomarker)</w:t>
                                </w:r>
                              </w:p>
                              <w:p w14:paraId="0BE57D19"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Group 2"/>
                          <wpg:cNvGrpSpPr/>
                          <wpg:grpSpPr>
                            <a:xfrm>
                              <a:off x="1597052" y="3199202"/>
                              <a:ext cx="1833855" cy="1296176"/>
                              <a:chOff x="-232384" y="-196244"/>
                              <a:chExt cx="1463305" cy="1441570"/>
                            </a:xfrm>
                          </wpg:grpSpPr>
                          <wps:wsp>
                            <wps:cNvPr id="13" name="Rectangle: Top Corners Rounded 13"/>
                            <wps:cNvSpPr/>
                            <wps:spPr>
                              <a:xfrm>
                                <a:off x="-231392" y="-196244"/>
                                <a:ext cx="1439165" cy="1441570"/>
                              </a:xfrm>
                              <a:prstGeom prst="round2Same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a:off x="-232384" y="51462"/>
                                <a:ext cx="1440000" cy="0"/>
                              </a:xfrm>
                              <a:prstGeom prst="line">
                                <a:avLst/>
                              </a:prstGeom>
                              <a:noFill/>
                              <a:ln w="12700" cap="flat" cmpd="sng" algn="ctr">
                                <a:solidFill>
                                  <a:srgbClr val="A5A5A5">
                                    <a:lumMod val="75000"/>
                                  </a:srgbClr>
                                </a:solidFill>
                                <a:prstDash val="solid"/>
                                <a:miter lim="800000"/>
                              </a:ln>
                              <a:effectLst/>
                            </wps:spPr>
                            <wps:bodyPr/>
                          </wps:wsp>
                          <wps:wsp>
                            <wps:cNvPr id="23" name="Text Box 2"/>
                            <wps:cNvSpPr txBox="1">
                              <a:spLocks noChangeArrowheads="1"/>
                            </wps:cNvSpPr>
                            <wps:spPr bwMode="auto">
                              <a:xfrm>
                                <a:off x="334713" y="-167291"/>
                                <a:ext cx="782320" cy="221615"/>
                              </a:xfrm>
                              <a:prstGeom prst="rect">
                                <a:avLst/>
                              </a:prstGeom>
                              <a:solidFill>
                                <a:srgbClr val="FFFFFF">
                                  <a:alpha val="0"/>
                                </a:srgbClr>
                              </a:solidFill>
                              <a:ln w="9525">
                                <a:noFill/>
                                <a:miter lim="800000"/>
                                <a:headEnd/>
                                <a:tailEnd/>
                              </a:ln>
                            </wps:spPr>
                            <wps:txbx>
                              <w:txbxContent>
                                <w:p w14:paraId="6A151C62" w14:textId="77777777" w:rsidR="00C260C7" w:rsidRPr="009E7E60" w:rsidRDefault="00C260C7" w:rsidP="00C260C7">
                                  <w:pPr>
                                    <w:rPr>
                                      <w:b/>
                                      <w:bCs/>
                                      <w:color w:val="7B7B7B" w:themeColor="accent3" w:themeShade="BF"/>
                                      <w:sz w:val="16"/>
                                      <w:szCs w:val="16"/>
                                    </w:rPr>
                                  </w:pPr>
                                  <w:r w:rsidRPr="009E7E60">
                                    <w:rPr>
                                      <w:b/>
                                      <w:bCs/>
                                      <w:color w:val="7B7B7B" w:themeColor="accent3" w:themeShade="BF"/>
                                      <w:sz w:val="16"/>
                                      <w:szCs w:val="16"/>
                                    </w:rPr>
                                    <w:t>Examples</w:t>
                                  </w:r>
                                </w:p>
                              </w:txbxContent>
                            </wps:txbx>
                            <wps:bodyPr rot="0" vert="horz" wrap="square" lIns="0" tIns="0" rIns="0" bIns="0" anchor="t" anchorCtr="0">
                              <a:noAutofit/>
                            </wps:bodyPr>
                          </wps:wsp>
                          <wps:wsp>
                            <wps:cNvPr id="24" name="Text Box 2"/>
                            <wps:cNvSpPr txBox="1">
                              <a:spLocks noChangeArrowheads="1"/>
                            </wps:cNvSpPr>
                            <wps:spPr bwMode="auto">
                              <a:xfrm>
                                <a:off x="-209079" y="121713"/>
                                <a:ext cx="1440000" cy="957601"/>
                              </a:xfrm>
                              <a:prstGeom prst="rect">
                                <a:avLst/>
                              </a:prstGeom>
                              <a:solidFill>
                                <a:srgbClr val="FFFFFF">
                                  <a:alpha val="0"/>
                                </a:srgbClr>
                              </a:solidFill>
                              <a:ln w="9525">
                                <a:noFill/>
                                <a:miter lim="800000"/>
                                <a:headEnd/>
                                <a:tailEnd/>
                              </a:ln>
                            </wps:spPr>
                            <wps:txbx>
                              <w:txbxContent>
                                <w:p w14:paraId="538D49DA"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 xml:space="preserve">Nucleic acid–based biomarker </w:t>
                                  </w:r>
                                </w:p>
                                <w:p w14:paraId="6E57205C"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Gene mutations or polymorphisms</w:t>
                                  </w:r>
                                </w:p>
                                <w:p w14:paraId="1F816668"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Quantitative gene expression analysis</w:t>
                                  </w:r>
                                </w:p>
                                <w:p w14:paraId="4242565C"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Peptides</w:t>
                                  </w:r>
                                </w:p>
                                <w:p w14:paraId="05F7D234"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Proteins</w:t>
                                  </w:r>
                                </w:p>
                                <w:p w14:paraId="0F47D302"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Pr>
                                      <w:color w:val="7B7B7B" w:themeColor="accent3" w:themeShade="BF"/>
                                      <w:sz w:val="16"/>
                                      <w:szCs w:val="16"/>
                                    </w:rPr>
                                    <w:t>L</w:t>
                                  </w:r>
                                  <w:r w:rsidRPr="00F369CE">
                                    <w:rPr>
                                      <w:color w:val="7B7B7B" w:themeColor="accent3" w:themeShade="BF"/>
                                      <w:sz w:val="16"/>
                                      <w:szCs w:val="16"/>
                                    </w:rPr>
                                    <w:t>ipids</w:t>
                                  </w:r>
                                </w:p>
                                <w:p w14:paraId="5176BD75"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Pr>
                                      <w:color w:val="7B7B7B" w:themeColor="accent3" w:themeShade="BF"/>
                                      <w:sz w:val="16"/>
                                      <w:szCs w:val="16"/>
                                    </w:rPr>
                                    <w:t>M</w:t>
                                  </w:r>
                                  <w:r w:rsidRPr="00F369CE">
                                    <w:rPr>
                                      <w:color w:val="7B7B7B" w:themeColor="accent3" w:themeShade="BF"/>
                                      <w:sz w:val="16"/>
                                      <w:szCs w:val="16"/>
                                    </w:rPr>
                                    <w:t>etabolit</w:t>
                                  </w:r>
                                  <w:r>
                                    <w:rPr>
                                      <w:color w:val="7B7B7B" w:themeColor="accent3" w:themeShade="BF"/>
                                      <w:sz w:val="16"/>
                                      <w:szCs w:val="16"/>
                                    </w:rPr>
                                    <w:t>es</w:t>
                                  </w:r>
                                </w:p>
                              </w:txbxContent>
                            </wps:txbx>
                            <wps:bodyPr rot="0" vert="horz" wrap="square" lIns="0" tIns="0" rIns="0" bIns="0" anchor="t" anchorCtr="0">
                              <a:noAutofit/>
                            </wps:bodyPr>
                          </wps:wsp>
                        </wpg:grpSp>
                        <wps:wsp>
                          <wps:cNvPr id="25" name="Straight Arrow Connector 25"/>
                          <wps:cNvCnPr/>
                          <wps:spPr>
                            <a:xfrm>
                              <a:off x="2514600" y="3116580"/>
                              <a:ext cx="0" cy="108015"/>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60" name="Straight Connector 60"/>
                          <wps:cNvCnPr/>
                          <wps:spPr>
                            <a:xfrm>
                              <a:off x="3185160" y="192701"/>
                              <a:ext cx="0" cy="1980271"/>
                            </a:xfrm>
                            <a:prstGeom prst="line">
                              <a:avLst/>
                            </a:prstGeom>
                            <a:noFill/>
                            <a:ln w="12700" cap="flat" cmpd="sng" algn="ctr">
                              <a:solidFill>
                                <a:srgbClr val="A5A5A5">
                                  <a:lumMod val="75000"/>
                                </a:srgbClr>
                              </a:solidFill>
                              <a:prstDash val="solid"/>
                              <a:miter lim="800000"/>
                            </a:ln>
                            <a:effectLst/>
                          </wps:spPr>
                          <wps:bodyPr/>
                        </wps:wsp>
                        <wps:wsp>
                          <wps:cNvPr id="219" name="Straight Connector 219"/>
                          <wps:cNvCnPr/>
                          <wps:spPr>
                            <a:xfrm>
                              <a:off x="1566863" y="2169524"/>
                              <a:ext cx="1620000" cy="0"/>
                            </a:xfrm>
                            <a:prstGeom prst="line">
                              <a:avLst/>
                            </a:prstGeom>
                            <a:noFill/>
                            <a:ln w="12700" cap="flat" cmpd="sng" algn="ctr">
                              <a:solidFill>
                                <a:srgbClr val="A5A5A5">
                                  <a:lumMod val="75000"/>
                                </a:srgbClr>
                              </a:solidFill>
                              <a:prstDash val="solid"/>
                              <a:miter lim="800000"/>
                            </a:ln>
                            <a:effectLst/>
                          </wps:spPr>
                          <wps:bodyPr/>
                        </wps:wsp>
                      </wpg:grpSp>
                    </wpg:wgp>
                  </a:graphicData>
                </a:graphic>
              </wp:anchor>
            </w:drawing>
          </mc:Choice>
          <mc:Fallback>
            <w:pict>
              <v:group w14:anchorId="33842BD7" id="Group 221" o:spid="_x0000_s1026" style="position:absolute;left:0;text-align:left;margin-left:-62.2pt;margin-top:12.6pt;width:572.7pt;height:422.7pt;z-index:251659264" coordsize="72735,53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">
                <v:roundrect id="Rectangle: Rounded Corners 9" o:spid="_x0000_s1027" style="position:absolute;left:24453;top:8035;width:17996;height:2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" filled="f" strokecolor="#7c7c7c" strokeweight="1pt">
                  <v:stroke joinstyle="miter"/>
                  <v:textbox>
                    <w:txbxContent>
                      <w:p w14:paraId="7B49AB14"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 xml:space="preserve">Based on their characteristics </w:t>
                        </w:r>
                      </w:p>
                    </w:txbxContent>
                  </v:textbox>
                </v:roundrect>
                <v:group id="Group 33" o:spid="_x0000_s1028" style="position:absolute;left:37684;top:10875;width:34353;height:8827" coordorigin="-3475,-793" coordsize="3885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26" o:spid="_x0000_s1029" style="position:absolute;visibility:visible;mso-wrap-style:square" from="17328,-793" to="1732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" strokecolor="#7c7c7c" strokeweight="1pt">
                    <v:stroke joinstyle="miter"/>
                  </v:line>
                  <v:line id="Straight Connector 27" o:spid="_x0000_s1030" style="position:absolute;visibility:visible;mso-wrap-style:square" from="2225,1551" to="30730,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" strokecolor="#7c7c7c" strokeweight="1pt">
                    <v:stroke joinstyle="miter"/>
                  </v:line>
                  <v:shapetype id="_x0000_t32" coordsize="21600,21600" o:spt="32" o:oned="t" path="m,l21600,21600e" filled="f">
                    <v:path arrowok="t" fillok="f" o:connecttype="none"/>
                    <o:lock v:ext="edit" shapetype="t"/>
                  </v:shapetype>
                  <v:shape id="Straight Arrow Connector 28" o:spid="_x0000_s1031" type="#_x0000_t32" style="position:absolute;left:2235;top:1551;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" strokecolor="#7c7c7c" strokeweight="1pt">
                    <v:stroke endarrow="block" joinstyle="miter"/>
                  </v:shape>
                  <v:shape id="Straight Arrow Connector 29" o:spid="_x0000_s1032" type="#_x0000_t32" style="position:absolute;left:30672;top:1551;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" strokecolor="#7c7c7c" strokeweight="1pt">
                    <v:stroke endarrow="block" joinstyle="miter"/>
                  </v:shape>
                  <v:shape id="Straight Arrow Connector 31" o:spid="_x0000_s1033" type="#_x0000_t32" style="position:absolute;left:17328;top:1551;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" strokecolor="#7c7c7c" strokeweight="1pt">
                    <v:stroke endarrow="block" joinstyle="miter"/>
                  </v:shape>
                  <v:roundrect id="Rectangle: Rounded Corners 32" o:spid="_x0000_s1034" style="position:absolute;left:-3475;top:4094;width:11447;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" filled="f" strokecolor="#7c7c7c" strokeweight="1pt">
                    <v:stroke joinstyle="miter"/>
                    <v:textbox inset="0,0,0,0">
                      <w:txbxContent>
                        <w:p w14:paraId="11359D81" w14:textId="77777777" w:rsidR="00C260C7"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Type ‘0’</w:t>
                          </w:r>
                        </w:p>
                        <w:p w14:paraId="50E8189B"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4B71CE">
                            <w:rPr>
                              <w:rFonts w:asciiTheme="majorHAnsi" w:hAnsiTheme="majorHAnsi" w:cstheme="majorHAnsi"/>
                              <w:b/>
                              <w:bCs/>
                              <w:color w:val="7B7B7B" w:themeColor="accent3" w:themeShade="BF"/>
                              <w:sz w:val="12"/>
                              <w:szCs w:val="12"/>
                              <w:lang w:val="en-US"/>
                            </w:rPr>
                            <w:t>(Natural Biomarker)</w:t>
                          </w:r>
                        </w:p>
                      </w:txbxContent>
                    </v:textbox>
                  </v:roundrect>
                  <v:roundrect id="Rectangle: Rounded Corners 35" o:spid="_x0000_s1035" style="position:absolute;left:10069;top:4094;width:11448;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" filled="f" strokecolor="#7c7c7c" strokeweight="1pt">
                    <v:stroke joinstyle="miter"/>
                    <v:textbox inset="0,0,0,0">
                      <w:txbxContent>
                        <w:p w14:paraId="1C6E8494" w14:textId="77777777" w:rsidR="00C260C7"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Type ‘I’</w:t>
                          </w:r>
                        </w:p>
                        <w:p w14:paraId="56E0EE1E" w14:textId="77777777" w:rsidR="00C260C7" w:rsidRPr="004B71CE" w:rsidRDefault="00C260C7" w:rsidP="00C260C7">
                          <w:pPr>
                            <w:jc w:val="center"/>
                            <w:rPr>
                              <w:rFonts w:asciiTheme="majorHAnsi" w:hAnsiTheme="majorHAnsi" w:cstheme="majorHAnsi"/>
                              <w:b/>
                              <w:bCs/>
                              <w:color w:val="7B7B7B" w:themeColor="accent3" w:themeShade="BF"/>
                              <w:sz w:val="16"/>
                              <w:szCs w:val="16"/>
                              <w:lang w:val="en-US"/>
                            </w:rPr>
                          </w:pPr>
                          <w:r w:rsidRPr="004B71CE">
                            <w:rPr>
                              <w:rFonts w:asciiTheme="majorHAnsi" w:hAnsiTheme="majorHAnsi" w:cstheme="majorHAnsi"/>
                              <w:b/>
                              <w:bCs/>
                              <w:color w:val="7B7B7B" w:themeColor="accent3" w:themeShade="BF"/>
                              <w:sz w:val="12"/>
                              <w:szCs w:val="12"/>
                              <w:lang w:val="en-US"/>
                            </w:rPr>
                            <w:t>(Biomarkers to detect drug effects)</w:t>
                          </w:r>
                        </w:p>
                      </w:txbxContent>
                    </v:textbox>
                  </v:roundrect>
                  <v:roundrect id="Rectangle: Rounded Corners 36" o:spid="_x0000_s1036" style="position:absolute;left:23936;top:4094;width:11448;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" filled="f" strokecolor="#7c7c7c" strokeweight="1pt">
                    <v:stroke joinstyle="miter"/>
                    <v:textbox inset="0,0,0,0">
                      <w:txbxContent>
                        <w:p w14:paraId="5C5E1441" w14:textId="77777777" w:rsidR="00C260C7"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Type ‘II’</w:t>
                          </w:r>
                        </w:p>
                        <w:p w14:paraId="203BD922" w14:textId="77777777" w:rsidR="00C260C7" w:rsidRPr="004B71CE" w:rsidRDefault="00C260C7" w:rsidP="00C260C7">
                          <w:pPr>
                            <w:jc w:val="center"/>
                            <w:rPr>
                              <w:rFonts w:asciiTheme="majorHAnsi" w:hAnsiTheme="majorHAnsi" w:cstheme="majorHAnsi"/>
                              <w:b/>
                              <w:bCs/>
                              <w:color w:val="7B7B7B" w:themeColor="accent3" w:themeShade="BF"/>
                              <w:sz w:val="16"/>
                              <w:szCs w:val="16"/>
                              <w:lang w:val="en-US"/>
                            </w:rPr>
                          </w:pPr>
                          <w:r w:rsidRPr="004B71CE">
                            <w:rPr>
                              <w:rFonts w:asciiTheme="majorHAnsi" w:hAnsiTheme="majorHAnsi" w:cstheme="majorHAnsi"/>
                              <w:b/>
                              <w:bCs/>
                              <w:color w:val="7B7B7B" w:themeColor="accent3" w:themeShade="BF"/>
                              <w:sz w:val="12"/>
                              <w:szCs w:val="12"/>
                              <w:lang w:val="en-US"/>
                            </w:rPr>
                            <w:t>(</w:t>
                          </w:r>
                          <w:r w:rsidRPr="00EF7800">
                            <w:rPr>
                              <w:rFonts w:asciiTheme="majorHAnsi" w:hAnsiTheme="majorHAnsi" w:cstheme="majorHAnsi"/>
                              <w:b/>
                              <w:bCs/>
                              <w:color w:val="7B7B7B" w:themeColor="accent3" w:themeShade="BF"/>
                              <w:sz w:val="12"/>
                              <w:szCs w:val="12"/>
                              <w:lang w:val="en-US"/>
                            </w:rPr>
                            <w:t>Biomarkers as surrogate endpoints in clinical trials</w:t>
                          </w:r>
                          <w:r w:rsidRPr="004B71CE">
                            <w:rPr>
                              <w:rFonts w:asciiTheme="majorHAnsi" w:hAnsiTheme="majorHAnsi" w:cstheme="majorHAnsi"/>
                              <w:b/>
                              <w:bCs/>
                              <w:color w:val="7B7B7B" w:themeColor="accent3" w:themeShade="BF"/>
                              <w:sz w:val="12"/>
                              <w:szCs w:val="12"/>
                              <w:lang w:val="en-US"/>
                            </w:rPr>
                            <w:t>)</w:t>
                          </w:r>
                        </w:p>
                      </w:txbxContent>
                    </v:textbox>
                  </v:roundrect>
                </v:group>
                <v:group id="Group 37" o:spid="_x0000_s1037" style="position:absolute;left:36437;top:22305;width:11685;height:10880" coordorigin="" coordsize="15760,1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Rectangle: Top Corners Rounded 38" o:spid="_x0000_s1038" style="position:absolute;width:15699;height:16136;visibility:visible;mso-wrap-style:square;v-text-anchor:middle" coordsize="1569938,161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" path="m261662,l1308276,v144512,,261662,117150,261662,261662l1569938,1613607r,l,1613607r,l,261662c,117150,117150,,261662,xe" filled="f" strokecolor="#7c7c7c" strokeweight="1pt">
                    <v:stroke joinstyle="miter"/>
                    <v:path arrowok="t" o:connecttype="custom" o:connectlocs="261662,0;1308276,0;1569938,261662;1569938,1613607;1569938,1613607;0,1613607;0,1613607;0,261662;261662,0" o:connectangles="0,0,0,0,0,0,0,0,0"/>
                  </v:shape>
                  <v:line id="Straight Connector 39" o:spid="_x0000_s1039" style="position:absolute;visibility:visible;mso-wrap-style:square" from="76,2955" to="15760,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" strokecolor="#7c7c7c" strokeweight="1pt">
                    <v:stroke joinstyle="miter"/>
                  </v:line>
                  <v:shapetype id="_x0000_t202" coordsize="21600,21600" o:spt="202" path="m,l,21600r21600,l21600,xe">
                    <v:stroke joinstyle="miter"/>
                    <v:path gradientshapeok="t" o:connecttype="rect"/>
                  </v:shapetype>
                  <v:shape id="Text Box 2" o:spid="_x0000_s1040" type="#_x0000_t202" style="position:absolute;left:4572;top:304;width:7823;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" stroked="f">
                    <v:fill opacity="0"/>
                    <v:textbox inset="0,0,0,0">
                      <w:txbxContent>
                        <w:p w14:paraId="7ADDAC57" w14:textId="77777777" w:rsidR="00C260C7" w:rsidRPr="009E7E60" w:rsidRDefault="00C260C7" w:rsidP="00C260C7">
                          <w:pPr>
                            <w:rPr>
                              <w:b/>
                              <w:bCs/>
                              <w:color w:val="7B7B7B" w:themeColor="accent3" w:themeShade="BF"/>
                              <w:sz w:val="16"/>
                              <w:szCs w:val="16"/>
                              <w:lang w:val="en-US"/>
                            </w:rPr>
                          </w:pPr>
                          <w:r>
                            <w:rPr>
                              <w:b/>
                              <w:bCs/>
                              <w:color w:val="7B7B7B" w:themeColor="accent3" w:themeShade="BF"/>
                              <w:sz w:val="16"/>
                              <w:szCs w:val="16"/>
                              <w:lang w:val="en-US"/>
                            </w:rPr>
                            <w:t>Examples</w:t>
                          </w:r>
                        </w:p>
                      </w:txbxContent>
                    </v:textbox>
                  </v:shape>
                  <v:shape id="Text Box 2" o:spid="_x0000_s1041" type="#_x0000_t202" style="position:absolute;left:836;top:4221;width:14400;height:1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" stroked="f">
                    <v:fill opacity="0"/>
                    <v:textbox inset="0,0,0,0">
                      <w:txbxContent>
                        <w:p w14:paraId="4184100A"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Disease biomarker</w:t>
                          </w:r>
                        </w:p>
                        <w:p w14:paraId="0268152C" w14:textId="77777777" w:rsidR="00C260C7" w:rsidRDefault="00C260C7" w:rsidP="00C260C7">
                          <w:pPr>
                            <w:pStyle w:val="ListParagraph"/>
                            <w:numPr>
                              <w:ilvl w:val="0"/>
                              <w:numId w:val="2"/>
                            </w:numPr>
                            <w:ind w:left="142" w:hanging="142"/>
                            <w:contextualSpacing/>
                            <w:rPr>
                              <w:color w:val="7B7B7B" w:themeColor="accent3" w:themeShade="BF"/>
                              <w:sz w:val="16"/>
                              <w:szCs w:val="16"/>
                            </w:rPr>
                          </w:pPr>
                          <w:r w:rsidRPr="00FA0F6B">
                            <w:rPr>
                              <w:color w:val="7B7B7B" w:themeColor="accent3" w:themeShade="BF"/>
                              <w:sz w:val="16"/>
                              <w:szCs w:val="16"/>
                            </w:rPr>
                            <w:t>Diagnostic biomarker</w:t>
                          </w:r>
                        </w:p>
                        <w:p w14:paraId="6E00DBAC" w14:textId="121EB26F" w:rsidR="00C260C7" w:rsidRDefault="00331491" w:rsidP="00C260C7">
                          <w:pPr>
                            <w:pStyle w:val="ListParagraph"/>
                            <w:numPr>
                              <w:ilvl w:val="0"/>
                              <w:numId w:val="2"/>
                            </w:numPr>
                            <w:ind w:left="142" w:hanging="142"/>
                            <w:contextualSpacing/>
                            <w:rPr>
                              <w:color w:val="7B7B7B" w:themeColor="accent3" w:themeShade="BF"/>
                              <w:sz w:val="16"/>
                              <w:szCs w:val="16"/>
                            </w:rPr>
                          </w:pPr>
                          <w:r w:rsidRPr="00331491">
                            <w:rPr>
                              <w:color w:val="7B7B7B" w:themeColor="accent3" w:themeShade="BF"/>
                              <w:sz w:val="16"/>
                              <w:szCs w:val="16"/>
                            </w:rPr>
                            <w:t xml:space="preserve">Prognostic </w:t>
                          </w:r>
                          <w:r w:rsidR="00C260C7">
                            <w:rPr>
                              <w:color w:val="7B7B7B" w:themeColor="accent3" w:themeShade="BF"/>
                              <w:sz w:val="16"/>
                              <w:szCs w:val="16"/>
                            </w:rPr>
                            <w:t xml:space="preserve">Biomarkers </w:t>
                          </w:r>
                        </w:p>
                        <w:p w14:paraId="1846E4D2" w14:textId="77777777" w:rsidR="00331491" w:rsidRDefault="00331491" w:rsidP="00331491">
                          <w:pPr>
                            <w:pStyle w:val="ListParagraph"/>
                            <w:numPr>
                              <w:ilvl w:val="0"/>
                              <w:numId w:val="2"/>
                            </w:numPr>
                            <w:ind w:left="142" w:hanging="142"/>
                            <w:contextualSpacing/>
                            <w:rPr>
                              <w:color w:val="7B7B7B" w:themeColor="accent3" w:themeShade="BF"/>
                              <w:sz w:val="16"/>
                              <w:szCs w:val="16"/>
                            </w:rPr>
                          </w:pPr>
                          <w:r w:rsidRPr="00331491">
                            <w:rPr>
                              <w:color w:val="7B7B7B" w:themeColor="accent3" w:themeShade="BF"/>
                              <w:sz w:val="16"/>
                              <w:szCs w:val="16"/>
                            </w:rPr>
                            <w:t>Susceptibility/Risk biomarker</w:t>
                          </w:r>
                        </w:p>
                        <w:p w14:paraId="31F85983" w14:textId="5A5E9366" w:rsidR="00C260C7"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Predictive biomarker</w:t>
                          </w:r>
                        </w:p>
                        <w:p w14:paraId="1F8EC318" w14:textId="77777777" w:rsidR="00C260C7" w:rsidRDefault="00C260C7" w:rsidP="00331491">
                          <w:pPr>
                            <w:pStyle w:val="ListParagraph"/>
                            <w:ind w:left="142"/>
                            <w:contextualSpacing/>
                            <w:rPr>
                              <w:color w:val="7B7B7B" w:themeColor="accent3" w:themeShade="BF"/>
                              <w:sz w:val="16"/>
                              <w:szCs w:val="16"/>
                            </w:rPr>
                          </w:pPr>
                        </w:p>
                        <w:p w14:paraId="42DF34A7" w14:textId="77777777" w:rsidR="00C260C7" w:rsidRPr="009E7E60" w:rsidRDefault="00C260C7" w:rsidP="00C260C7">
                          <w:pPr>
                            <w:rPr>
                              <w:b/>
                              <w:bCs/>
                              <w:color w:val="7B7B7B" w:themeColor="accent3" w:themeShade="BF"/>
                              <w:sz w:val="16"/>
                              <w:szCs w:val="16"/>
                            </w:rPr>
                          </w:pPr>
                          <w:r>
                            <w:rPr>
                              <w:color w:val="7B7B7B" w:themeColor="accent3" w:themeShade="BF"/>
                              <w:sz w:val="16"/>
                              <w:szCs w:val="16"/>
                            </w:rPr>
                            <w:t xml:space="preserve"> </w:t>
                          </w:r>
                        </w:p>
                      </w:txbxContent>
                    </v:textbox>
                  </v:shape>
                </v:group>
                <v:shape id="Straight Arrow Connector 42" o:spid="_x0000_s1042" type="#_x0000_t32" style="position:absolute;left:42533;top:19742;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" strokecolor="#7c7c7c" strokeweight="1pt">
                  <v:stroke endarrow="block" joinstyle="miter"/>
                </v:shape>
                <v:group id="Group 43" o:spid="_x0000_s1043" style="position:absolute;left:49252;top:22167;width:11303;height:10668" coordsize="15253,1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Rectangle: Top Corners Rounded 44" o:spid="_x0000_s1044" style="position:absolute;width:15159;height:14080;visibility:visible;mso-wrap-style:square;v-text-anchor:middle" coordsize="1515965,14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" path="m234671,l1281294,v129605,,234671,105066,234671,234671l1515965,1408000r,l,1408000r,l,234671c,105066,105066,,234671,xe" filled="f" strokecolor="#7c7c7c" strokeweight="1pt">
                    <v:stroke joinstyle="miter"/>
                    <v:path arrowok="t" o:connecttype="custom" o:connectlocs="234671,0;1281294,0;1515965,234671;1515965,1408000;1515965,1408000;0,1408000;0,1408000;0,234671;234671,0" o:connectangles="0,0,0,0,0,0,0,0,0"/>
                  </v:shape>
                  <v:line id="Straight Connector 45" o:spid="_x0000_s1045" style="position:absolute;visibility:visible;mso-wrap-style:square" from="76,2283" to="15253,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" strokecolor="#7c7c7c" strokeweight="1pt">
                    <v:stroke joinstyle="miter"/>
                  </v:line>
                  <v:shape id="Text Box 2" o:spid="_x0000_s1046" type="#_x0000_t202" style="position:absolute;left:4572;top:304;width:7823;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" stroked="f">
                    <v:fill opacity="0"/>
                    <v:textbox inset="0,0,0,0">
                      <w:txbxContent>
                        <w:p w14:paraId="2E6779A8" w14:textId="77777777" w:rsidR="00C260C7" w:rsidRPr="009E7E60" w:rsidRDefault="00C260C7" w:rsidP="00C260C7">
                          <w:pPr>
                            <w:rPr>
                              <w:b/>
                              <w:bCs/>
                              <w:color w:val="7B7B7B" w:themeColor="accent3" w:themeShade="BF"/>
                              <w:sz w:val="16"/>
                              <w:szCs w:val="16"/>
                              <w:lang w:val="en-US"/>
                            </w:rPr>
                          </w:pPr>
                          <w:r>
                            <w:rPr>
                              <w:b/>
                              <w:bCs/>
                              <w:color w:val="7B7B7B" w:themeColor="accent3" w:themeShade="BF"/>
                              <w:sz w:val="16"/>
                              <w:szCs w:val="16"/>
                              <w:lang w:val="en-US"/>
                            </w:rPr>
                            <w:t>Examples</w:t>
                          </w:r>
                        </w:p>
                      </w:txbxContent>
                    </v:textbox>
                  </v:shape>
                  <v:shape id="Text Box 2" o:spid="_x0000_s1047" type="#_x0000_t202" style="position:absolute;left:680;top:2545;width:14400;height:9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" stroked="f">
                    <v:fill opacity="0"/>
                    <v:textbox inset="0,0,0,0">
                      <w:txbxContent>
                        <w:p w14:paraId="26D7277F" w14:textId="72C4FB1E" w:rsidR="00C260C7" w:rsidRDefault="00C260C7" w:rsidP="00C260C7">
                          <w:pPr>
                            <w:pStyle w:val="ListParagraph"/>
                            <w:numPr>
                              <w:ilvl w:val="0"/>
                              <w:numId w:val="2"/>
                            </w:numPr>
                            <w:ind w:left="142" w:hanging="142"/>
                            <w:contextualSpacing/>
                            <w:rPr>
                              <w:color w:val="7B7B7B" w:themeColor="accent3" w:themeShade="BF"/>
                              <w:sz w:val="16"/>
                              <w:szCs w:val="16"/>
                            </w:rPr>
                          </w:pPr>
                          <w:r w:rsidRPr="009E7E60">
                            <w:rPr>
                              <w:color w:val="7B7B7B" w:themeColor="accent3" w:themeShade="BF"/>
                              <w:sz w:val="16"/>
                              <w:szCs w:val="16"/>
                            </w:rPr>
                            <w:t>Mechanism biomarker</w:t>
                          </w:r>
                        </w:p>
                        <w:p w14:paraId="57A4AE71" w14:textId="77777777" w:rsidR="00BB4C82" w:rsidRDefault="00BB4C82" w:rsidP="00BB4C82">
                          <w:pPr>
                            <w:pStyle w:val="ListParagraph"/>
                            <w:numPr>
                              <w:ilvl w:val="0"/>
                              <w:numId w:val="2"/>
                            </w:numPr>
                            <w:ind w:left="142" w:hanging="142"/>
                            <w:contextualSpacing/>
                            <w:rPr>
                              <w:color w:val="7B7B7B" w:themeColor="accent3" w:themeShade="BF"/>
                              <w:sz w:val="16"/>
                              <w:szCs w:val="16"/>
                            </w:rPr>
                          </w:pPr>
                          <w:r w:rsidRPr="009E7E60">
                            <w:rPr>
                              <w:color w:val="7B7B7B" w:themeColor="accent3" w:themeShade="BF"/>
                              <w:sz w:val="16"/>
                              <w:szCs w:val="16"/>
                            </w:rPr>
                            <w:t>Pharmacodynamic biomarker</w:t>
                          </w:r>
                        </w:p>
                        <w:p w14:paraId="19651F0D" w14:textId="77777777" w:rsidR="00BB4C82" w:rsidRDefault="00BB4C82" w:rsidP="00BB4C82">
                          <w:pPr>
                            <w:pStyle w:val="ListParagraph"/>
                            <w:numPr>
                              <w:ilvl w:val="0"/>
                              <w:numId w:val="2"/>
                            </w:numPr>
                            <w:ind w:left="142" w:hanging="142"/>
                            <w:contextualSpacing/>
                            <w:rPr>
                              <w:color w:val="7B7B7B" w:themeColor="accent3" w:themeShade="BF"/>
                              <w:sz w:val="16"/>
                              <w:szCs w:val="16"/>
                            </w:rPr>
                          </w:pPr>
                          <w:r w:rsidRPr="009E7E60">
                            <w:rPr>
                              <w:color w:val="7B7B7B" w:themeColor="accent3" w:themeShade="BF"/>
                              <w:sz w:val="16"/>
                              <w:szCs w:val="16"/>
                            </w:rPr>
                            <w:t>Toxicity biomarker</w:t>
                          </w:r>
                        </w:p>
                        <w:p w14:paraId="09E29BE6" w14:textId="1B7E13F2" w:rsidR="00331491" w:rsidRDefault="00331491" w:rsidP="00C260C7">
                          <w:pPr>
                            <w:pStyle w:val="ListParagraph"/>
                            <w:numPr>
                              <w:ilvl w:val="0"/>
                              <w:numId w:val="2"/>
                            </w:numPr>
                            <w:ind w:left="142" w:hanging="142"/>
                            <w:contextualSpacing/>
                            <w:rPr>
                              <w:color w:val="7B7B7B" w:themeColor="accent3" w:themeShade="BF"/>
                              <w:sz w:val="16"/>
                              <w:szCs w:val="16"/>
                            </w:rPr>
                          </w:pPr>
                          <w:r w:rsidRPr="00331491">
                            <w:rPr>
                              <w:color w:val="7B7B7B" w:themeColor="accent3" w:themeShade="BF"/>
                              <w:sz w:val="16"/>
                              <w:szCs w:val="16"/>
                            </w:rPr>
                            <w:t>Monitoring biomarkers</w:t>
                          </w:r>
                        </w:p>
                        <w:p w14:paraId="39013DC4" w14:textId="3E921390" w:rsidR="00C260C7" w:rsidRDefault="00331491"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 xml:space="preserve">Safety </w:t>
                          </w:r>
                          <w:r w:rsidR="00C260C7" w:rsidRPr="009E7E60">
                            <w:rPr>
                              <w:color w:val="7B7B7B" w:themeColor="accent3" w:themeShade="BF"/>
                              <w:sz w:val="16"/>
                              <w:szCs w:val="16"/>
                            </w:rPr>
                            <w:t>biomarker</w:t>
                          </w:r>
                        </w:p>
                        <w:p w14:paraId="7FAB4EDB" w14:textId="77777777" w:rsidR="00C260C7" w:rsidRPr="009E7E60" w:rsidRDefault="00C260C7" w:rsidP="00C260C7">
                          <w:pPr>
                            <w:rPr>
                              <w:b/>
                              <w:bCs/>
                              <w:color w:val="7B7B7B" w:themeColor="accent3" w:themeShade="BF"/>
                              <w:sz w:val="16"/>
                              <w:szCs w:val="16"/>
                            </w:rPr>
                          </w:pPr>
                          <w:r>
                            <w:rPr>
                              <w:color w:val="7B7B7B" w:themeColor="accent3" w:themeShade="BF"/>
                              <w:sz w:val="16"/>
                              <w:szCs w:val="16"/>
                            </w:rPr>
                            <w:t xml:space="preserve"> </w:t>
                          </w:r>
                        </w:p>
                      </w:txbxContent>
                    </v:textbox>
                  </v:shape>
                </v:group>
                <v:group id="Group 48" o:spid="_x0000_s1048" style="position:absolute;left:62137;top:22444;width:10598;height:8318" coordsize="15253,15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Rectangle: Top Corners Rounded 49" o:spid="_x0000_s1049" style="position:absolute;width:15159;height:14080;visibility:visible;mso-wrap-style:square;v-text-anchor:middle" coordsize="1515965,14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" path="m234671,l1281294,v129605,,234671,105066,234671,234671l1515965,1408000r,l,1408000r,l,234671c,105066,105066,,234671,xe" filled="f" strokecolor="#7c7c7c" strokeweight="1pt">
                    <v:stroke joinstyle="miter"/>
                    <v:path arrowok="t" o:connecttype="custom" o:connectlocs="234671,0;1281294,0;1515965,234671;1515965,1408000;1515965,1408000;0,1408000;0,1408000;0,234671;234671,0" o:connectangles="0,0,0,0,0,0,0,0,0"/>
                  </v:shape>
                  <v:line id="Straight Connector 50" o:spid="_x0000_s1050" style="position:absolute;visibility:visible;mso-wrap-style:square" from="76,4360" to="15253,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" strokecolor="#7c7c7c" strokeweight="1pt">
                    <v:stroke joinstyle="miter"/>
                  </v:line>
                  <v:shape id="Text Box 2" o:spid="_x0000_s1051" type="#_x0000_t202" style="position:absolute;left:4572;top:304;width:7823;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" stroked="f">
                    <v:fill opacity="0"/>
                    <v:textbox inset="0,0,0,0">
                      <w:txbxContent>
                        <w:p w14:paraId="3191C2A7" w14:textId="77777777" w:rsidR="00C260C7" w:rsidRPr="009E7E60" w:rsidRDefault="00C260C7" w:rsidP="00C260C7">
                          <w:pPr>
                            <w:rPr>
                              <w:b/>
                              <w:bCs/>
                              <w:color w:val="7B7B7B" w:themeColor="accent3" w:themeShade="BF"/>
                              <w:sz w:val="16"/>
                              <w:szCs w:val="16"/>
                              <w:lang w:val="en-US"/>
                            </w:rPr>
                          </w:pPr>
                          <w:r>
                            <w:rPr>
                              <w:b/>
                              <w:bCs/>
                              <w:color w:val="7B7B7B" w:themeColor="accent3" w:themeShade="BF"/>
                              <w:sz w:val="16"/>
                              <w:szCs w:val="16"/>
                              <w:lang w:val="en-US"/>
                            </w:rPr>
                            <w:t>Examples</w:t>
                          </w:r>
                        </w:p>
                      </w:txbxContent>
                    </v:textbox>
                  </v:shape>
                  <v:shape id="Text Box 2" o:spid="_x0000_s1052" type="#_x0000_t202" style="position:absolute;left:838;top:5947;width:14400;height:9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" stroked="f">
                    <v:fill opacity="0"/>
                    <v:textbox inset="0,0,0,0">
                      <w:txbxContent>
                        <w:p w14:paraId="5A473BFF"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9E7E60">
                            <w:rPr>
                              <w:color w:val="7B7B7B" w:themeColor="accent3" w:themeShade="BF"/>
                              <w:sz w:val="16"/>
                              <w:szCs w:val="16"/>
                            </w:rPr>
                            <w:t>Valid biomarkers</w:t>
                          </w:r>
                        </w:p>
                      </w:txbxContent>
                    </v:textbox>
                  </v:shape>
                </v:group>
                <v:group id="Group 210" o:spid="_x0000_s1053" style="position:absolute;left:12954;width:51201;height:10763" coordsize="51201,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Group 54" o:spid="_x0000_s1054" style="position:absolute;width:51201;height:10763" coordsize="51201,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Rectangle: Rounded Corners 3" o:spid="_x0000_s1055" style="position:absolute;left:11353;width:18000;height:27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" filled="f" strokecolor="#7c7c7c" strokeweight="1pt">
                      <v:stroke joinstyle="miter"/>
                      <v:textbox>
                        <w:txbxContent>
                          <w:p w14:paraId="0F711285" w14:textId="77777777" w:rsidR="00C260C7" w:rsidRPr="000B05B8" w:rsidRDefault="00C260C7" w:rsidP="00C260C7">
                            <w:pPr>
                              <w:jc w:val="center"/>
                              <w:rPr>
                                <w:rFonts w:asciiTheme="majorHAnsi" w:hAnsiTheme="majorHAnsi" w:cstheme="majorHAnsi"/>
                                <w:b/>
                                <w:bCs/>
                                <w:color w:val="7B7B7B" w:themeColor="accent3" w:themeShade="BF"/>
                                <w:sz w:val="18"/>
                                <w:szCs w:val="18"/>
                                <w:lang w:val="en-US"/>
                              </w:rPr>
                            </w:pPr>
                            <w:r w:rsidRPr="000B05B8">
                              <w:rPr>
                                <w:rFonts w:asciiTheme="majorHAnsi" w:hAnsiTheme="majorHAnsi" w:cstheme="majorHAnsi"/>
                                <w:b/>
                                <w:bCs/>
                                <w:color w:val="7B7B7B" w:themeColor="accent3" w:themeShade="BF"/>
                                <w:sz w:val="18"/>
                                <w:szCs w:val="18"/>
                                <w:lang w:val="en-US"/>
                              </w:rPr>
                              <w:t>Biomarker(s)</w:t>
                            </w:r>
                          </w:p>
                        </w:txbxContent>
                      </v:textbox>
                    </v:roundrect>
                    <v:line id="Straight Connector 4" o:spid="_x0000_s1056" style="position:absolute;visibility:visible;mso-wrap-style:square" from="20129,2717" to="20129,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" strokecolor="#7c7c7c" strokeweight="1pt">
                      <v:stroke joinstyle="miter"/>
                    </v:line>
                    <v:line id="Straight Connector 5" o:spid="_x0000_s1057" style="position:absolute;visibility:visible;mso-wrap-style:square" from="0,5422" to="43199,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" strokecolor="#7c7c7c" strokeweight="1pt">
                      <v:stroke joinstyle="miter"/>
                    </v:line>
                    <v:shape id="Straight Arrow Connector 6" o:spid="_x0000_s1058" type="#_x0000_t32" style="position:absolute;left:36;top:5378;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" strokecolor="#7c7c7c" strokeweight="1pt">
                      <v:stroke endarrow="block" joinstyle="miter"/>
                    </v:shape>
                    <v:shape id="Straight Arrow Connector 7" o:spid="_x0000_s1059" type="#_x0000_t32" style="position:absolute;left:43165;top:5370;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" strokecolor="#7c7c7c" strokeweight="1pt">
                      <v:stroke endarrow="block" joinstyle="miter"/>
                    </v:shape>
                    <v:roundrect id="Rectangle: Rounded Corners 10" o:spid="_x0000_s1060" style="position:absolute;left:35901;top:8063;width:15300;height:27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" filled="f" strokecolor="#7c7c7c" strokeweight="1pt">
                      <v:stroke joinstyle="miter"/>
                      <v:textbox>
                        <w:txbxContent>
                          <w:p w14:paraId="57A64947"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 xml:space="preserve">Based on their application </w:t>
                            </w:r>
                          </w:p>
                        </w:txbxContent>
                      </v:textbox>
                    </v:roundrect>
                  </v:group>
                  <v:shape id="Straight Arrow Connector 55" o:spid="_x0000_s1061" type="#_x0000_t32" style="position:absolute;left:20129;top:5275;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" strokecolor="#7c7c7c" strokeweight="1pt">
                    <v:stroke endarrow="block" joinstyle="miter"/>
                  </v:shape>
                </v:group>
                <v:roundrect id="Rectangle: Rounded Corners 56" o:spid="_x0000_s1062" style="position:absolute;left:5472;top:8174;width:1529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" filled="f" strokecolor="#7c7c7c" strokeweight="1pt">
                  <v:stroke joinstyle="miter"/>
                  <v:textbox>
                    <w:txbxContent>
                      <w:p w14:paraId="7C39CC50"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 xml:space="preserve">Based on their </w:t>
                        </w:r>
                        <w:r>
                          <w:rPr>
                            <w:rFonts w:asciiTheme="majorHAnsi" w:hAnsiTheme="majorHAnsi" w:cstheme="majorHAnsi"/>
                            <w:b/>
                            <w:bCs/>
                            <w:color w:val="7B7B7B" w:themeColor="accent3" w:themeShade="BF"/>
                            <w:sz w:val="18"/>
                            <w:szCs w:val="18"/>
                            <w:lang w:val="en-US"/>
                          </w:rPr>
                          <w:t>bio molecule</w:t>
                        </w:r>
                        <w:r w:rsidRPr="00E44613">
                          <w:rPr>
                            <w:rFonts w:asciiTheme="majorHAnsi" w:hAnsiTheme="majorHAnsi" w:cstheme="majorHAnsi"/>
                            <w:b/>
                            <w:bCs/>
                            <w:color w:val="7B7B7B" w:themeColor="accent3" w:themeShade="BF"/>
                            <w:sz w:val="18"/>
                            <w:szCs w:val="18"/>
                            <w:lang w:val="en-US"/>
                          </w:rPr>
                          <w:t xml:space="preserve"> </w:t>
                        </w:r>
                      </w:p>
                    </w:txbxContent>
                  </v:textbox>
                </v:roundrect>
                <v:group id="Group 209" o:spid="_x0000_s1063" style="position:absolute;top:13438;width:25697;height:16611" coordorigin="3492,-2" coordsize="25697,1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line id="Straight Connector 57" o:spid="_x0000_s1064" style="position:absolute;visibility:visible;mso-wrap-style:square" from="9056,63" to="2345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" strokecolor="#7c7c7c" strokeweight="1pt">
                    <v:stroke joinstyle="miter"/>
                  </v:line>
                  <v:shape id="Straight Arrow Connector 58" o:spid="_x0000_s1065" type="#_x0000_t32" style="position:absolute;left:9061;top:-2;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" strokecolor="#7c7c7c" strokeweight="1pt">
                    <v:stroke endarrow="block" joinstyle="miter"/>
                  </v:shape>
                  <v:shape id="Straight Arrow Connector 59" o:spid="_x0000_s1066" type="#_x0000_t32" style="position:absolute;left:23494;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" strokecolor="#7c7c7c" strokeweight="1pt">
                    <v:stroke endarrow="block" joinstyle="miter"/>
                  </v:shape>
                  <v:group id="Group 197" o:spid="_x0000_s1067" style="position:absolute;left:3492;top:2661;width:11716;height:13947" coordorigin="3492,-894" coordsize="11716,1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group id="Group 194" o:spid="_x0000_s1068" style="position:absolute;left:3492;top:4334;width:11118;height:8718" coordorigin="3492,-1952" coordsize="11117,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Rectangle: Top Corners Rounded 62" o:spid="_x0000_s1069" style="position:absolute;left:3492;top:-1952;width:10800;height:7919;visibility:visible;mso-wrap-style:square;v-text-anchor:middle" coordsize="1080000,7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" path="m132003,l947997,v72903,,132003,59100,132003,132003l1080000,792000r,l,792000r,l,132003c,59100,59100,,132003,xe" filled="f" strokecolor="#7c7c7c" strokeweight="1pt">
                        <v:stroke joinstyle="miter"/>
                        <v:path arrowok="t" o:connecttype="custom" o:connectlocs="132003,0;947997,0;1080000,132003;1080000,792000;1080000,792000;0,792000;0,792000;0,132003;132003,0" o:connectangles="0,0,0,0,0,0,0,0,0"/>
                      </v:shape>
                      <v:line id="Straight Connector 63" o:spid="_x0000_s1070" style="position:absolute;visibility:visible;mso-wrap-style:square" from="3492,448" to="1429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" strokecolor="#7c7c7c" strokeweight="1pt">
                        <v:stroke joinstyle="miter"/>
                      </v:line>
                      <v:shape id="Text Box 2" o:spid="_x0000_s1071" type="#_x0000_t202" style="position:absolute;left:3810;top:825;width:10800;height:5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" stroked="f">
                        <v:fill opacity="0"/>
                        <v:textbox inset="0,0,0,0">
                          <w:txbxContent>
                            <w:p w14:paraId="10BEE293" w14:textId="77777777" w:rsidR="00C260C7" w:rsidRDefault="00C260C7" w:rsidP="00C260C7">
                              <w:pPr>
                                <w:pStyle w:val="ListParagraph"/>
                                <w:numPr>
                                  <w:ilvl w:val="0"/>
                                  <w:numId w:val="2"/>
                                </w:numPr>
                                <w:ind w:left="142" w:hanging="142"/>
                                <w:contextualSpacing/>
                                <w:rPr>
                                  <w:color w:val="7B7B7B" w:themeColor="accent3" w:themeShade="BF"/>
                                  <w:sz w:val="16"/>
                                  <w:szCs w:val="16"/>
                                </w:rPr>
                              </w:pPr>
                              <w:r w:rsidRPr="00E2562A">
                                <w:rPr>
                                  <w:color w:val="7B7B7B" w:themeColor="accent3" w:themeShade="BF"/>
                                  <w:sz w:val="16"/>
                                  <w:szCs w:val="16"/>
                                </w:rPr>
                                <w:t>Metabolites</w:t>
                              </w:r>
                            </w:p>
                            <w:p w14:paraId="0606E48B"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C</w:t>
                              </w:r>
                              <w:r w:rsidRPr="00E2562A">
                                <w:rPr>
                                  <w:color w:val="7B7B7B" w:themeColor="accent3" w:themeShade="BF"/>
                                  <w:sz w:val="16"/>
                                  <w:szCs w:val="16"/>
                                </w:rPr>
                                <w:t>arbohydrates</w:t>
                              </w:r>
                            </w:p>
                            <w:p w14:paraId="517A5261" w14:textId="77777777" w:rsidR="00C260C7"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S</w:t>
                              </w:r>
                              <w:r w:rsidRPr="00E2562A">
                                <w:rPr>
                                  <w:color w:val="7B7B7B" w:themeColor="accent3" w:themeShade="BF"/>
                                  <w:sz w:val="16"/>
                                  <w:szCs w:val="16"/>
                                </w:rPr>
                                <w:t>teroids</w:t>
                              </w:r>
                            </w:p>
                            <w:p w14:paraId="5CB741AE"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Lipids</w:t>
                              </w:r>
                            </w:p>
                            <w:p w14:paraId="7D5FA65F" w14:textId="77777777" w:rsidR="00C260C7" w:rsidRPr="004B58FC" w:rsidRDefault="00C260C7" w:rsidP="00C260C7">
                              <w:pPr>
                                <w:rPr>
                                  <w:b/>
                                  <w:bCs/>
                                  <w:color w:val="7B7B7B" w:themeColor="accent3" w:themeShade="BF"/>
                                  <w:sz w:val="16"/>
                                  <w:szCs w:val="16"/>
                                </w:rPr>
                              </w:pPr>
                            </w:p>
                          </w:txbxContent>
                        </v:textbox>
                      </v:shape>
                      <v:shape id="Text Box 2" o:spid="_x0000_s1072" type="#_x0000_t202" style="position:absolute;left:5588;top:-1206;width:758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" stroked="f">
                        <v:fill opacity="0"/>
                        <v:textbox inset="0,0,0,0">
                          <w:txbxContent>
                            <w:p w14:paraId="636EE4C0" w14:textId="77777777" w:rsidR="00C260C7" w:rsidRPr="009E7E60" w:rsidRDefault="00C260C7" w:rsidP="00C260C7">
                              <w:pPr>
                                <w:rPr>
                                  <w:b/>
                                  <w:bCs/>
                                  <w:color w:val="7B7B7B" w:themeColor="accent3" w:themeShade="BF"/>
                                  <w:sz w:val="16"/>
                                  <w:szCs w:val="16"/>
                                </w:rPr>
                              </w:pPr>
                              <w:r w:rsidRPr="009E7E60">
                                <w:rPr>
                                  <w:b/>
                                  <w:bCs/>
                                  <w:color w:val="7B7B7B" w:themeColor="accent3" w:themeShade="BF"/>
                                  <w:sz w:val="16"/>
                                  <w:szCs w:val="16"/>
                                </w:rPr>
                                <w:t>Examples</w:t>
                              </w:r>
                            </w:p>
                          </w:txbxContent>
                        </v:textbox>
                      </v:shape>
                    </v:group>
                    <v:roundrect id="Rectangle: Rounded Corners 195" o:spid="_x0000_s1073" style="position:absolute;left:3688;top:-894;width:11520;height:2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" filled="f" strokecolor="#7c7c7c" strokeweight="1pt">
                      <v:stroke joinstyle="miter"/>
                      <v:textbox>
                        <w:txbxContent>
                          <w:p w14:paraId="357D3FCB"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Simple</w:t>
                            </w:r>
                            <w:r w:rsidRPr="00E44613">
                              <w:rPr>
                                <w:rFonts w:asciiTheme="majorHAnsi" w:hAnsiTheme="majorHAnsi" w:cstheme="majorHAnsi"/>
                                <w:b/>
                                <w:bCs/>
                                <w:color w:val="7B7B7B" w:themeColor="accent3" w:themeShade="BF"/>
                                <w:sz w:val="18"/>
                                <w:szCs w:val="18"/>
                                <w:lang w:val="en-US"/>
                              </w:rPr>
                              <w:t xml:space="preserve"> Biomarker</w:t>
                            </w:r>
                          </w:p>
                        </w:txbxContent>
                      </v:textbox>
                    </v:roundrect>
                    <v:shape id="Straight Arrow Connector 196" o:spid="_x0000_s1074" type="#_x0000_t32" style="position:absolute;left:9036;top:1728;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" strokecolor="#7c7c7c" strokeweight="1pt">
                      <v:stroke endarrow="block" joinstyle="miter"/>
                    </v:shape>
                  </v:group>
                  <v:group id="Group 198" o:spid="_x0000_s1075" style="position:absolute;left:16954;top:2664;width:12235;height:13146" coordorigin="-1143,-1082" coordsize="12235,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Group 199" o:spid="_x0000_s1076" style="position:absolute;left:-1143;top:4143;width:11054;height:7920" coordorigin="-1143,-2142" coordsize="11054,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Rectangle: Top Corners Rounded 200" o:spid="_x0000_s1077" style="position:absolute;left:-952;top:-2142;width:10799;height:7919;visibility:visible;mso-wrap-style:square;v-text-anchor:middle" coordsize="1080000,7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" path="m132003,l947997,v72903,,132003,59100,132003,132003l1080000,792000r,l,792000r,l,132003c,59100,59100,,132003,xe" filled="f" strokecolor="#7c7c7c" strokeweight="1pt">
                        <v:stroke joinstyle="miter"/>
                        <v:path arrowok="t" o:connecttype="custom" o:connectlocs="132003,0;947997,0;1080000,132003;1080000,792000;1080000,792000;0,792000;0,792000;0,132003;132003,0" o:connectangles="0,0,0,0,0,0,0,0,0"/>
                      </v:shape>
                      <v:line id="Straight Connector 201" o:spid="_x0000_s1078" style="position:absolute;visibility:visible;mso-wrap-style:square" from="-1143,190" to="965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" strokecolor="#7c7c7c" strokeweight="1pt">
                        <v:stroke joinstyle="miter"/>
                      </v:line>
                      <v:shape id="Text Box 2" o:spid="_x0000_s1079" type="#_x0000_t202" style="position:absolute;left:-889;top:571;width:1080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" stroked="f">
                        <v:fill opacity="0"/>
                        <v:textbox inset="0,0,0,0">
                          <w:txbxContent>
                            <w:p w14:paraId="5BB6CDE6"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A0494D">
                                <w:rPr>
                                  <w:color w:val="7B7B7B" w:themeColor="accent3" w:themeShade="BF"/>
                                  <w:sz w:val="16"/>
                                  <w:szCs w:val="16"/>
                                </w:rPr>
                                <w:t>C-reactive protein</w:t>
                              </w:r>
                            </w:p>
                            <w:p w14:paraId="0F05D869" w14:textId="77777777" w:rsidR="00C260C7" w:rsidRDefault="00C260C7" w:rsidP="00C260C7">
                              <w:pPr>
                                <w:pStyle w:val="ListParagraph"/>
                                <w:numPr>
                                  <w:ilvl w:val="0"/>
                                  <w:numId w:val="2"/>
                                </w:numPr>
                                <w:ind w:left="142" w:hanging="142"/>
                                <w:contextualSpacing/>
                                <w:rPr>
                                  <w:color w:val="7B7B7B" w:themeColor="accent3" w:themeShade="BF"/>
                                  <w:sz w:val="16"/>
                                  <w:szCs w:val="16"/>
                                </w:rPr>
                              </w:pPr>
                              <w:r w:rsidRPr="00A0494D">
                                <w:rPr>
                                  <w:color w:val="7B7B7B" w:themeColor="accent3" w:themeShade="BF"/>
                                  <w:sz w:val="16"/>
                                  <w:szCs w:val="16"/>
                                </w:rPr>
                                <w:t>T cells</w:t>
                              </w:r>
                            </w:p>
                            <w:p w14:paraId="6E4BDE2D" w14:textId="77777777" w:rsidR="00C260C7" w:rsidRPr="00A0494D"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A</w:t>
                              </w:r>
                              <w:r w:rsidRPr="00A0494D">
                                <w:rPr>
                                  <w:color w:val="7B7B7B" w:themeColor="accent3" w:themeShade="BF"/>
                                  <w:sz w:val="16"/>
                                  <w:szCs w:val="16"/>
                                </w:rPr>
                                <w:t>utoantibodies</w:t>
                              </w:r>
                            </w:p>
                          </w:txbxContent>
                        </v:textbox>
                      </v:shape>
                      <v:shape id="Text Box 2" o:spid="_x0000_s1080" type="#_x0000_t202" style="position:absolute;left:508;top:-1587;width:7588;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" stroked="f">
                        <v:fill opacity="0"/>
                        <v:textbox inset="0,0,0,0">
                          <w:txbxContent>
                            <w:p w14:paraId="1D66AD7E" w14:textId="77777777" w:rsidR="00C260C7" w:rsidRPr="009E7E60" w:rsidRDefault="00C260C7" w:rsidP="00C260C7">
                              <w:pPr>
                                <w:rPr>
                                  <w:b/>
                                  <w:bCs/>
                                  <w:color w:val="7B7B7B" w:themeColor="accent3" w:themeShade="BF"/>
                                  <w:sz w:val="16"/>
                                  <w:szCs w:val="16"/>
                                </w:rPr>
                              </w:pPr>
                              <w:r w:rsidRPr="009E7E60">
                                <w:rPr>
                                  <w:b/>
                                  <w:bCs/>
                                  <w:color w:val="7B7B7B" w:themeColor="accent3" w:themeShade="BF"/>
                                  <w:sz w:val="16"/>
                                  <w:szCs w:val="16"/>
                                </w:rPr>
                                <w:t>Examples</w:t>
                              </w:r>
                            </w:p>
                          </w:txbxContent>
                        </v:textbox>
                      </v:shape>
                    </v:group>
                    <v:roundrect id="Rectangle: Rounded Corners 204" o:spid="_x0000_s1081" style="position:absolute;left:-427;top:-1082;width:11519;height:2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" filled="f" strokecolor="#7c7c7c" strokeweight="1pt">
                      <v:stroke joinstyle="miter"/>
                      <v:textbox>
                        <w:txbxContent>
                          <w:p w14:paraId="1EB63FE3"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Complex</w:t>
                            </w:r>
                            <w:r w:rsidRPr="00E44613">
                              <w:rPr>
                                <w:rFonts w:asciiTheme="majorHAnsi" w:hAnsiTheme="majorHAnsi" w:cstheme="majorHAnsi"/>
                                <w:b/>
                                <w:bCs/>
                                <w:color w:val="7B7B7B" w:themeColor="accent3" w:themeShade="BF"/>
                                <w:sz w:val="18"/>
                                <w:szCs w:val="18"/>
                                <w:lang w:val="en-US"/>
                              </w:rPr>
                              <w:t xml:space="preserve"> Biomarker</w:t>
                            </w:r>
                          </w:p>
                        </w:txbxContent>
                      </v:textbox>
                    </v:roundrect>
                    <v:shape id="Straight Arrow Connector 205" o:spid="_x0000_s1082" type="#_x0000_t32" style="position:absolute;left:5392;top:1562;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" strokecolor="#7c7c7c" strokeweight="1pt">
                      <v:stroke endarrow="block" joinstyle="miter"/>
                    </v:shape>
                  </v:group>
                </v:group>
                <v:line id="Straight Connector 211" o:spid="_x0000_s1083" style="position:absolute;visibility:visible;mso-wrap-style:square" from="12954,10806" to="12954,1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" strokecolor="#7c7c7c" strokeweight="1pt">
                  <v:stroke joinstyle="miter"/>
                </v:line>
                <v:shape id="Straight Arrow Connector 212" o:spid="_x0000_s1084" type="#_x0000_t32" style="position:absolute;left:54794;top:19604;width:0;height:2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" strokecolor="#7c7c7c" strokeweight="1pt">
                  <v:stroke endarrow="block" joinstyle="miter"/>
                </v:shape>
                <v:shape id="Straight Arrow Connector 213" o:spid="_x0000_s1085" type="#_x0000_t32" style="position:absolute;left:67471;top:19812;width:0;height:2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" strokecolor="#7c7c7c" strokeweight="1pt">
                  <v:stroke endarrow="block" joinstyle="miter"/>
                </v:shape>
                <v:group id="Group 220" o:spid="_x0000_s1086" style="position:absolute;left:1316;top:10668;width:34309;height:43020" coordorigin=",1927" coordsize="34309,43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Straight Connector 16" o:spid="_x0000_s1087" style="position:absolute;visibility:visible;mso-wrap-style:square" from="7239,24231" to="25234,2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" strokecolor="#7c7c7c" strokeweight="1pt">
                    <v:stroke joinstyle="miter"/>
                  </v:line>
                  <v:line id="Straight Connector 11" o:spid="_x0000_s1088" style="position:absolute;visibility:visible;mso-wrap-style:square" from="15659,21659" to="15659,2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" strokecolor="#7c7c7c" strokeweight="1pt">
                    <v:stroke joinstyle="miter"/>
                  </v:line>
                  <v:roundrect id="Rectangle: Rounded Corners 12" o:spid="_x0000_s1089" style="position:absolute;left:685;top:26746;width:13572;height:27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" filled="f" strokecolor="#7c7c7c" strokeweight="1pt">
                    <v:stroke joinstyle="miter"/>
                    <v:textbox>
                      <w:txbxContent>
                        <w:p w14:paraId="161E9384"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Imaging Biomarker</w:t>
                          </w:r>
                        </w:p>
                      </w:txbxContent>
                    </v:textbox>
                  </v:roundrect>
                  <v:shape id="Straight Arrow Connector 17" o:spid="_x0000_s1090" type="#_x0000_t32" style="position:absolute;left:7277;top:24155;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" strokecolor="#7c7c7c" strokeweight="1pt">
                    <v:stroke endarrow="block" joinstyle="miter"/>
                  </v:shape>
                  <v:shape id="Straight Arrow Connector 18" o:spid="_x0000_s1091" type="#_x0000_t32" style="position:absolute;left:25184;top:24193;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" strokecolor="#7c7c7c" strokeweight="1pt">
                    <v:stroke endarrow="block" joinstyle="miter"/>
                  </v:shape>
                  <v:shape id="Straight Arrow Connector 19" o:spid="_x0000_s1092" type="#_x0000_t32" style="position:absolute;left:7162;top:29413;width:0;height:2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" strokecolor="#7c7c7c" strokeweight="1pt">
                    <v:stroke endarrow="block" joinstyle="miter"/>
                  </v:shape>
                  <v:group id="Group 1" o:spid="_x0000_s1093" style="position:absolute;top:32004;width:14791;height:8756" coordorigin="-392" coordsize="15253,1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Rectangle: Top Corners Rounded 20" o:spid="_x0000_s1094" style="position:absolute;left:-392;width:15158;height:14080;visibility:visible;mso-wrap-style:square;v-text-anchor:middle" coordsize="1515965,14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" path="m234671,l1281294,v129605,,234671,105066,234671,234671l1515965,1408000r,l,1408000r,l,234671c,105066,105066,,234671,xe" filled="f" strokecolor="#7c7c7c" strokeweight="1pt">
                      <v:stroke joinstyle="miter"/>
                      <v:path arrowok="t" o:connecttype="custom" o:connectlocs="234671,0;1281294,0;1515965,234671;1515965,1408000;1515965,1408000;0,1408000;0,1408000;0,234671;234671,0" o:connectangles="0,0,0,0,0,0,0,0,0"/>
                    </v:shape>
                    <v:line id="Straight Connector 21" o:spid="_x0000_s1095" style="position:absolute;visibility:visible;mso-wrap-style:square" from="-316,2955" to="14860,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" strokecolor="#7c7c7c" strokeweight="1pt">
                      <v:stroke joinstyle="miter"/>
                    </v:line>
                    <v:shape id="Text Box 2" o:spid="_x0000_s1096" type="#_x0000_t202" style="position:absolute;left:4572;top:304;width:7823;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" stroked="f">
                      <v:fill opacity="0"/>
                      <v:textbox inset="0,0,0,0">
                        <w:txbxContent>
                          <w:p w14:paraId="6929BFCC" w14:textId="77777777" w:rsidR="00C260C7" w:rsidRPr="009E7E60" w:rsidRDefault="00C260C7" w:rsidP="00C260C7">
                            <w:pPr>
                              <w:rPr>
                                <w:b/>
                                <w:bCs/>
                                <w:color w:val="7B7B7B" w:themeColor="accent3" w:themeShade="BF"/>
                                <w:sz w:val="16"/>
                                <w:szCs w:val="16"/>
                              </w:rPr>
                            </w:pPr>
                            <w:r w:rsidRPr="009E7E60">
                              <w:rPr>
                                <w:b/>
                                <w:bCs/>
                                <w:color w:val="7B7B7B" w:themeColor="accent3" w:themeShade="BF"/>
                                <w:sz w:val="16"/>
                                <w:szCs w:val="16"/>
                              </w:rPr>
                              <w:t>Examples</w:t>
                            </w:r>
                          </w:p>
                        </w:txbxContent>
                      </v:textbox>
                    </v:shape>
                    <v:shape id="Text Box 2" o:spid="_x0000_s1097" type="#_x0000_t202" style="position:absolute;left:52;top:4226;width:14400;height:9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" stroked="f">
                      <v:fill opacity="0"/>
                      <v:textbox inset="0,0,0,0">
                        <w:txbxContent>
                          <w:p w14:paraId="55D31633"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F24C29">
                              <w:rPr>
                                <w:color w:val="7B7B7B" w:themeColor="accent3" w:themeShade="BF"/>
                                <w:sz w:val="16"/>
                                <w:szCs w:val="16"/>
                              </w:rPr>
                              <w:t>Computed tomography</w:t>
                            </w:r>
                          </w:p>
                          <w:p w14:paraId="1E078A28"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F24C29">
                              <w:rPr>
                                <w:color w:val="7B7B7B" w:themeColor="accent3" w:themeShade="BF"/>
                                <w:sz w:val="16"/>
                                <w:szCs w:val="16"/>
                              </w:rPr>
                              <w:t>Positron emission tomography</w:t>
                            </w:r>
                          </w:p>
                          <w:p w14:paraId="224BF308"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F24C29">
                              <w:rPr>
                                <w:color w:val="7B7B7B" w:themeColor="accent3" w:themeShade="BF"/>
                                <w:sz w:val="16"/>
                                <w:szCs w:val="16"/>
                              </w:rPr>
                              <w:t>Magnetic resonance imaging</w:t>
                            </w:r>
                          </w:p>
                          <w:p w14:paraId="56B72CDB" w14:textId="77777777" w:rsidR="00C260C7" w:rsidRPr="004B58FC" w:rsidRDefault="00C260C7" w:rsidP="00C260C7">
                            <w:pPr>
                              <w:rPr>
                                <w:b/>
                                <w:bCs/>
                                <w:color w:val="7B7B7B" w:themeColor="accent3" w:themeShade="BF"/>
                                <w:sz w:val="16"/>
                                <w:szCs w:val="16"/>
                              </w:rPr>
                            </w:pPr>
                          </w:p>
                        </w:txbxContent>
                      </v:textbox>
                    </v:shape>
                  </v:group>
                  <v:roundrect id="Rectangle: Rounded Corners 14" o:spid="_x0000_s1098" style="position:absolute;left:17221;top:26670;width:15799;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" filled="f" strokecolor="#7c7c7c" strokeweight="1pt">
                    <v:stroke joinstyle="miter"/>
                    <v:textbox>
                      <w:txbxContent>
                        <w:p w14:paraId="6A59A395" w14:textId="77777777" w:rsidR="00C260C7"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Non-Imaging Biomarker</w:t>
                          </w:r>
                          <w:r>
                            <w:rPr>
                              <w:rFonts w:asciiTheme="majorHAnsi" w:hAnsiTheme="majorHAnsi" w:cstheme="majorHAnsi"/>
                              <w:b/>
                              <w:bCs/>
                              <w:color w:val="7B7B7B" w:themeColor="accent3" w:themeShade="BF"/>
                              <w:sz w:val="18"/>
                              <w:szCs w:val="18"/>
                              <w:lang w:val="en-US"/>
                            </w:rPr>
                            <w:t xml:space="preserve"> (Molecular Biomarker)</w:t>
                          </w:r>
                        </w:p>
                        <w:p w14:paraId="0BE57D19"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p>
                      </w:txbxContent>
                    </v:textbox>
                  </v:roundrect>
                  <v:group id="Group 2" o:spid="_x0000_s1099" style="position:absolute;left:15970;top:31992;width:18339;height:12961" coordorigin="-2323,-1962" coordsize="14633,1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Rectangle: Top Corners Rounded 13" o:spid="_x0000_s1100" style="position:absolute;left:-2313;top:-1962;width:14390;height:14415;visibility:visible;mso-wrap-style:square;v-text-anchor:middle" coordsize="1439165,144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" path="m239866,r959433,c1331773,,1439165,107392,1439165,239866r,1201704l1439165,1441570,,1441570r,l,239866c,107392,107392,,239866,xe" filled="f" strokecolor="#7c7c7c" strokeweight="1pt">
                      <v:stroke joinstyle="miter"/>
                      <v:path arrowok="t" o:connecttype="custom" o:connectlocs="239866,0;1199299,0;1439165,239866;1439165,1441570;1439165,1441570;0,1441570;0,1441570;0,239866;239866,0" o:connectangles="0,0,0,0,0,0,0,0,0"/>
                    </v:shape>
                    <v:line id="Straight Connector 15" o:spid="_x0000_s1101" style="position:absolute;visibility:visible;mso-wrap-style:square" from="-2323,514" to="12076,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" strokecolor="#7c7c7c" strokeweight="1pt">
                      <v:stroke joinstyle="miter"/>
                    </v:line>
                    <v:shape id="Text Box 2" o:spid="_x0000_s1102" type="#_x0000_t202" style="position:absolute;left:3347;top:-1672;width:7823;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" stroked="f">
                      <v:fill opacity="0"/>
                      <v:textbox inset="0,0,0,0">
                        <w:txbxContent>
                          <w:p w14:paraId="6A151C62" w14:textId="77777777" w:rsidR="00C260C7" w:rsidRPr="009E7E60" w:rsidRDefault="00C260C7" w:rsidP="00C260C7">
                            <w:pPr>
                              <w:rPr>
                                <w:b/>
                                <w:bCs/>
                                <w:color w:val="7B7B7B" w:themeColor="accent3" w:themeShade="BF"/>
                                <w:sz w:val="16"/>
                                <w:szCs w:val="16"/>
                              </w:rPr>
                            </w:pPr>
                            <w:r w:rsidRPr="009E7E60">
                              <w:rPr>
                                <w:b/>
                                <w:bCs/>
                                <w:color w:val="7B7B7B" w:themeColor="accent3" w:themeShade="BF"/>
                                <w:sz w:val="16"/>
                                <w:szCs w:val="16"/>
                              </w:rPr>
                              <w:t>Examples</w:t>
                            </w:r>
                          </w:p>
                        </w:txbxContent>
                      </v:textbox>
                    </v:shape>
                    <v:shape id="Text Box 2" o:spid="_x0000_s1103" type="#_x0000_t202" style="position:absolute;left:-2090;top:1217;width:14399;height:9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" stroked="f">
                      <v:fill opacity="0"/>
                      <v:textbox inset="0,0,0,0">
                        <w:txbxContent>
                          <w:p w14:paraId="538D49DA"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 xml:space="preserve">Nucleic acid–based biomarker </w:t>
                            </w:r>
                          </w:p>
                          <w:p w14:paraId="6E57205C"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Gene mutations or polymorphisms</w:t>
                            </w:r>
                          </w:p>
                          <w:p w14:paraId="1F816668"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Quantitative gene expression analysis</w:t>
                            </w:r>
                          </w:p>
                          <w:p w14:paraId="4242565C"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Peptides</w:t>
                            </w:r>
                          </w:p>
                          <w:p w14:paraId="05F7D234"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Proteins</w:t>
                            </w:r>
                          </w:p>
                          <w:p w14:paraId="0F47D302"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Pr>
                                <w:color w:val="7B7B7B" w:themeColor="accent3" w:themeShade="BF"/>
                                <w:sz w:val="16"/>
                                <w:szCs w:val="16"/>
                              </w:rPr>
                              <w:t>L</w:t>
                            </w:r>
                            <w:r w:rsidRPr="00F369CE">
                              <w:rPr>
                                <w:color w:val="7B7B7B" w:themeColor="accent3" w:themeShade="BF"/>
                                <w:sz w:val="16"/>
                                <w:szCs w:val="16"/>
                              </w:rPr>
                              <w:t>ipids</w:t>
                            </w:r>
                          </w:p>
                          <w:p w14:paraId="5176BD75"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Pr>
                                <w:color w:val="7B7B7B" w:themeColor="accent3" w:themeShade="BF"/>
                                <w:sz w:val="16"/>
                                <w:szCs w:val="16"/>
                              </w:rPr>
                              <w:t>M</w:t>
                            </w:r>
                            <w:r w:rsidRPr="00F369CE">
                              <w:rPr>
                                <w:color w:val="7B7B7B" w:themeColor="accent3" w:themeShade="BF"/>
                                <w:sz w:val="16"/>
                                <w:szCs w:val="16"/>
                              </w:rPr>
                              <w:t>etabolit</w:t>
                            </w:r>
                            <w:r>
                              <w:rPr>
                                <w:color w:val="7B7B7B" w:themeColor="accent3" w:themeShade="BF"/>
                                <w:sz w:val="16"/>
                                <w:szCs w:val="16"/>
                              </w:rPr>
                              <w:t>es</w:t>
                            </w:r>
                          </w:p>
                        </w:txbxContent>
                      </v:textbox>
                    </v:shape>
                  </v:group>
                  <v:shape id="Straight Arrow Connector 25" o:spid="_x0000_s1104" type="#_x0000_t32" style="position:absolute;left:25146;top:31165;width:0;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" strokecolor="#7c7c7c" strokeweight="1pt">
                    <v:stroke endarrow="block" joinstyle="miter"/>
                  </v:shape>
                  <v:line id="Straight Connector 60" o:spid="_x0000_s1105" style="position:absolute;visibility:visible;mso-wrap-style:square" from="31851,1927" to="31851,21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" strokecolor="#7c7c7c" strokeweight="1pt">
                    <v:stroke joinstyle="miter"/>
                  </v:line>
                  <v:line id="Straight Connector 219" o:spid="_x0000_s1106" style="position:absolute;visibility:visible;mso-wrap-style:square" from="15668,21695" to="31868,2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" strokecolor="#7c7c7c" strokeweight="1pt">
                    <v:stroke joinstyle="miter"/>
                  </v:line>
                </v:group>
              </v:group>
            </w:pict>
          </mc:Fallback>
        </mc:AlternateContent>
      </w:r>
    </w:p>
    <w:p w14:paraId="1EE8655D" w14:textId="77777777" w:rsidR="00A05B06" w:rsidRPr="00384E4F" w:rsidRDefault="00A05B06" w:rsidP="00384E4F">
      <w:pPr>
        <w:jc w:val="both"/>
        <w:rPr>
          <w:sz w:val="24"/>
          <w:szCs w:val="24"/>
        </w:rPr>
      </w:pPr>
    </w:p>
    <w:p w14:paraId="54856365" w14:textId="77777777" w:rsidR="00A05B06" w:rsidRPr="00384E4F" w:rsidRDefault="00A05B06" w:rsidP="00384E4F">
      <w:pPr>
        <w:jc w:val="both"/>
        <w:rPr>
          <w:sz w:val="24"/>
          <w:szCs w:val="24"/>
        </w:rPr>
      </w:pPr>
    </w:p>
    <w:p w14:paraId="1C4305E4" w14:textId="77777777" w:rsidR="00A05B06" w:rsidRPr="00384E4F" w:rsidRDefault="00A05B06" w:rsidP="00384E4F">
      <w:pPr>
        <w:jc w:val="both"/>
        <w:rPr>
          <w:sz w:val="24"/>
          <w:szCs w:val="24"/>
        </w:rPr>
      </w:pPr>
    </w:p>
    <w:p w14:paraId="5245BA64" w14:textId="77777777" w:rsidR="00A05B06" w:rsidRPr="00384E4F" w:rsidRDefault="00A05B06" w:rsidP="00384E4F">
      <w:pPr>
        <w:jc w:val="both"/>
        <w:rPr>
          <w:sz w:val="24"/>
          <w:szCs w:val="24"/>
        </w:rPr>
      </w:pPr>
    </w:p>
    <w:p w14:paraId="580C81DE" w14:textId="77777777" w:rsidR="00A05B06" w:rsidRPr="00384E4F" w:rsidRDefault="00A05B06" w:rsidP="00384E4F">
      <w:pPr>
        <w:jc w:val="both"/>
        <w:rPr>
          <w:sz w:val="24"/>
          <w:szCs w:val="24"/>
        </w:rPr>
      </w:pPr>
    </w:p>
    <w:p w14:paraId="72DEFEEE" w14:textId="77777777" w:rsidR="00A05B06" w:rsidRPr="00384E4F" w:rsidRDefault="00A05B06" w:rsidP="00384E4F">
      <w:pPr>
        <w:jc w:val="both"/>
        <w:rPr>
          <w:sz w:val="24"/>
          <w:szCs w:val="24"/>
        </w:rPr>
      </w:pPr>
    </w:p>
    <w:p w14:paraId="6FE6F621" w14:textId="77777777" w:rsidR="00A05B06" w:rsidRPr="00384E4F" w:rsidRDefault="00A05B06" w:rsidP="00384E4F">
      <w:pPr>
        <w:jc w:val="both"/>
        <w:rPr>
          <w:sz w:val="24"/>
          <w:szCs w:val="24"/>
        </w:rPr>
      </w:pPr>
    </w:p>
    <w:p w14:paraId="0A7D51FE" w14:textId="77777777" w:rsidR="00A05B06" w:rsidRPr="00384E4F" w:rsidRDefault="00A05B06" w:rsidP="00384E4F">
      <w:pPr>
        <w:jc w:val="both"/>
        <w:rPr>
          <w:sz w:val="24"/>
          <w:szCs w:val="24"/>
        </w:rPr>
      </w:pPr>
    </w:p>
    <w:p w14:paraId="04BF3673" w14:textId="77777777" w:rsidR="00A05B06" w:rsidRPr="00384E4F" w:rsidRDefault="00A05B06" w:rsidP="00384E4F">
      <w:pPr>
        <w:jc w:val="both"/>
        <w:rPr>
          <w:sz w:val="24"/>
          <w:szCs w:val="24"/>
        </w:rPr>
      </w:pPr>
    </w:p>
    <w:p w14:paraId="36987D98" w14:textId="77777777" w:rsidR="00A05B06" w:rsidRPr="00384E4F" w:rsidRDefault="00A05B06" w:rsidP="00384E4F">
      <w:pPr>
        <w:jc w:val="both"/>
        <w:rPr>
          <w:sz w:val="24"/>
          <w:szCs w:val="24"/>
        </w:rPr>
      </w:pPr>
    </w:p>
    <w:p w14:paraId="13170351" w14:textId="77777777" w:rsidR="00A05B06" w:rsidRPr="00384E4F" w:rsidRDefault="00A05B06" w:rsidP="00384E4F">
      <w:pPr>
        <w:jc w:val="both"/>
        <w:rPr>
          <w:sz w:val="24"/>
          <w:szCs w:val="24"/>
        </w:rPr>
      </w:pPr>
    </w:p>
    <w:p w14:paraId="74E6FEC2" w14:textId="77777777" w:rsidR="00A05B06" w:rsidRPr="00384E4F" w:rsidRDefault="00A05B06" w:rsidP="00384E4F">
      <w:pPr>
        <w:jc w:val="both"/>
        <w:rPr>
          <w:sz w:val="24"/>
          <w:szCs w:val="24"/>
        </w:rPr>
      </w:pPr>
    </w:p>
    <w:p w14:paraId="5CC84B7D" w14:textId="77777777" w:rsidR="00A05B06" w:rsidRPr="00384E4F" w:rsidRDefault="00A05B06" w:rsidP="00384E4F">
      <w:pPr>
        <w:jc w:val="both"/>
        <w:rPr>
          <w:sz w:val="24"/>
          <w:szCs w:val="24"/>
        </w:rPr>
      </w:pPr>
    </w:p>
    <w:p w14:paraId="0B04F3B9" w14:textId="77777777" w:rsidR="00A05B06" w:rsidRPr="00384E4F" w:rsidRDefault="00A05B06" w:rsidP="00384E4F">
      <w:pPr>
        <w:jc w:val="both"/>
        <w:rPr>
          <w:sz w:val="24"/>
          <w:szCs w:val="24"/>
        </w:rPr>
      </w:pPr>
    </w:p>
    <w:p w14:paraId="5806B69B" w14:textId="77777777" w:rsidR="00A05B06" w:rsidRPr="00384E4F" w:rsidRDefault="00A05B06" w:rsidP="00384E4F">
      <w:pPr>
        <w:jc w:val="both"/>
        <w:rPr>
          <w:sz w:val="24"/>
          <w:szCs w:val="24"/>
        </w:rPr>
      </w:pPr>
    </w:p>
    <w:p w14:paraId="14982D35" w14:textId="77777777" w:rsidR="00A05B06" w:rsidRPr="00384E4F" w:rsidRDefault="00A05B06" w:rsidP="00384E4F">
      <w:pPr>
        <w:jc w:val="both"/>
        <w:rPr>
          <w:sz w:val="24"/>
          <w:szCs w:val="24"/>
        </w:rPr>
      </w:pPr>
    </w:p>
    <w:p w14:paraId="2D0AF603" w14:textId="77777777" w:rsidR="00A05B06" w:rsidRPr="00384E4F" w:rsidRDefault="00A05B06" w:rsidP="00384E4F">
      <w:pPr>
        <w:jc w:val="both"/>
        <w:rPr>
          <w:sz w:val="24"/>
          <w:szCs w:val="24"/>
        </w:rPr>
      </w:pPr>
    </w:p>
    <w:p w14:paraId="188CADEE" w14:textId="77777777" w:rsidR="00A05B06" w:rsidRPr="00384E4F" w:rsidRDefault="00A05B06" w:rsidP="00384E4F">
      <w:pPr>
        <w:jc w:val="both"/>
        <w:rPr>
          <w:sz w:val="24"/>
          <w:szCs w:val="24"/>
        </w:rPr>
      </w:pPr>
    </w:p>
    <w:p w14:paraId="67F938F5" w14:textId="77777777" w:rsidR="00A05B06" w:rsidRPr="00384E4F" w:rsidRDefault="00A05B06" w:rsidP="00384E4F">
      <w:pPr>
        <w:jc w:val="both"/>
        <w:rPr>
          <w:sz w:val="24"/>
          <w:szCs w:val="24"/>
        </w:rPr>
      </w:pPr>
    </w:p>
    <w:p w14:paraId="5F0B035E" w14:textId="77777777" w:rsidR="00A05B06" w:rsidRPr="00384E4F" w:rsidRDefault="00A05B06" w:rsidP="00384E4F">
      <w:pPr>
        <w:jc w:val="both"/>
        <w:rPr>
          <w:sz w:val="24"/>
          <w:szCs w:val="24"/>
        </w:rPr>
      </w:pPr>
    </w:p>
    <w:p w14:paraId="448D0A5C" w14:textId="77777777" w:rsidR="00A05B06" w:rsidRPr="00384E4F" w:rsidRDefault="00A05B06" w:rsidP="00384E4F">
      <w:pPr>
        <w:jc w:val="both"/>
        <w:rPr>
          <w:sz w:val="24"/>
          <w:szCs w:val="24"/>
        </w:rPr>
      </w:pPr>
    </w:p>
    <w:p w14:paraId="71D343C2" w14:textId="77777777" w:rsidR="00A05B06" w:rsidRPr="00384E4F" w:rsidRDefault="00A05B06" w:rsidP="00384E4F">
      <w:pPr>
        <w:jc w:val="both"/>
        <w:rPr>
          <w:sz w:val="24"/>
          <w:szCs w:val="24"/>
        </w:rPr>
      </w:pPr>
    </w:p>
    <w:p w14:paraId="50DB6F99" w14:textId="77777777" w:rsidR="00A05B06" w:rsidRPr="00384E4F" w:rsidRDefault="00A05B06" w:rsidP="00384E4F">
      <w:pPr>
        <w:jc w:val="both"/>
        <w:rPr>
          <w:sz w:val="24"/>
          <w:szCs w:val="24"/>
        </w:rPr>
      </w:pPr>
    </w:p>
    <w:p w14:paraId="0D551FD2" w14:textId="77777777" w:rsidR="00A05B06" w:rsidRPr="00384E4F" w:rsidRDefault="00A05B06" w:rsidP="00384E4F">
      <w:pPr>
        <w:jc w:val="both"/>
        <w:rPr>
          <w:sz w:val="24"/>
          <w:szCs w:val="24"/>
        </w:rPr>
      </w:pPr>
    </w:p>
    <w:p w14:paraId="15B26999" w14:textId="77777777" w:rsidR="00A05B06" w:rsidRPr="00384E4F" w:rsidRDefault="00A05B06" w:rsidP="00384E4F">
      <w:pPr>
        <w:jc w:val="both"/>
        <w:rPr>
          <w:sz w:val="24"/>
          <w:szCs w:val="24"/>
        </w:rPr>
      </w:pPr>
    </w:p>
    <w:p w14:paraId="7889CFCC" w14:textId="77777777" w:rsidR="00A05B06" w:rsidRPr="00384E4F" w:rsidRDefault="00A05B06" w:rsidP="00384E4F">
      <w:pPr>
        <w:jc w:val="both"/>
        <w:rPr>
          <w:sz w:val="24"/>
          <w:szCs w:val="24"/>
        </w:rPr>
      </w:pPr>
    </w:p>
    <w:p w14:paraId="59F5AE4F" w14:textId="77777777" w:rsidR="00A05B06" w:rsidRPr="00384E4F" w:rsidRDefault="00A05B06" w:rsidP="00384E4F">
      <w:pPr>
        <w:jc w:val="both"/>
        <w:rPr>
          <w:sz w:val="24"/>
          <w:szCs w:val="24"/>
        </w:rPr>
      </w:pPr>
    </w:p>
    <w:p w14:paraId="412CE770" w14:textId="77777777" w:rsidR="00A05B06" w:rsidRPr="00384E4F" w:rsidRDefault="00A05B06" w:rsidP="00384E4F">
      <w:pPr>
        <w:jc w:val="both"/>
        <w:rPr>
          <w:sz w:val="24"/>
          <w:szCs w:val="24"/>
        </w:rPr>
      </w:pPr>
    </w:p>
    <w:p w14:paraId="72B78C40" w14:textId="77777777" w:rsidR="00A05B06" w:rsidRPr="00384E4F" w:rsidRDefault="00A05B06" w:rsidP="00384E4F">
      <w:pPr>
        <w:jc w:val="both"/>
        <w:rPr>
          <w:sz w:val="24"/>
          <w:szCs w:val="24"/>
        </w:rPr>
      </w:pPr>
    </w:p>
    <w:p w14:paraId="068C67EB" w14:textId="77777777" w:rsidR="00A05B06" w:rsidRPr="00384E4F" w:rsidRDefault="00000000" w:rsidP="00384E4F">
      <w:pPr>
        <w:jc w:val="both"/>
        <w:rPr>
          <w:sz w:val="24"/>
          <w:szCs w:val="24"/>
        </w:rPr>
      </w:pPr>
      <w:r w:rsidRPr="00384E4F">
        <w:rPr>
          <w:sz w:val="24"/>
          <w:szCs w:val="24"/>
        </w:rPr>
        <w:t>+</w:t>
      </w:r>
    </w:p>
    <w:p w14:paraId="537B4ECD" w14:textId="77777777" w:rsidR="00A05B06" w:rsidRPr="00384E4F" w:rsidRDefault="00A05B06" w:rsidP="00384E4F">
      <w:pPr>
        <w:jc w:val="both"/>
        <w:rPr>
          <w:sz w:val="24"/>
          <w:szCs w:val="24"/>
        </w:rPr>
      </w:pPr>
    </w:p>
    <w:p w14:paraId="4F3518A3" w14:textId="77777777" w:rsidR="00A05B06" w:rsidRPr="00C260C7" w:rsidRDefault="00000000" w:rsidP="00C260C7">
      <w:pPr>
        <w:ind w:left="2160" w:firstLine="720"/>
        <w:jc w:val="both"/>
        <w:rPr>
          <w:b/>
          <w:bCs/>
          <w:sz w:val="24"/>
          <w:szCs w:val="24"/>
        </w:rPr>
      </w:pPr>
      <w:r w:rsidRPr="00C260C7">
        <w:rPr>
          <w:b/>
          <w:bCs/>
          <w:sz w:val="24"/>
          <w:szCs w:val="24"/>
        </w:rPr>
        <w:t>Biomarker classification</w:t>
      </w:r>
    </w:p>
    <w:p w14:paraId="42FEF9BC" w14:textId="77777777" w:rsidR="00A05B06" w:rsidRPr="00384E4F" w:rsidRDefault="00A05B06" w:rsidP="00384E4F">
      <w:pPr>
        <w:jc w:val="both"/>
        <w:rPr>
          <w:sz w:val="24"/>
          <w:szCs w:val="24"/>
        </w:rPr>
      </w:pPr>
    </w:p>
    <w:p w14:paraId="52CAE87A" w14:textId="793F8BF7" w:rsidR="00A05B06" w:rsidRPr="00C260C7" w:rsidRDefault="00C260C7" w:rsidP="00384E4F">
      <w:pPr>
        <w:jc w:val="both"/>
        <w:rPr>
          <w:b/>
          <w:bCs/>
          <w:sz w:val="24"/>
          <w:szCs w:val="24"/>
        </w:rPr>
      </w:pPr>
      <w:r>
        <w:rPr>
          <w:b/>
          <w:bCs/>
          <w:sz w:val="24"/>
          <w:szCs w:val="24"/>
        </w:rPr>
        <w:t>C</w:t>
      </w:r>
      <w:r w:rsidR="00FC0176" w:rsidRPr="00C260C7">
        <w:rPr>
          <w:b/>
          <w:bCs/>
          <w:sz w:val="24"/>
          <w:szCs w:val="24"/>
        </w:rPr>
        <w:t>omplex</w:t>
      </w:r>
      <w:r w:rsidRPr="00C260C7">
        <w:rPr>
          <w:b/>
          <w:bCs/>
          <w:sz w:val="24"/>
          <w:szCs w:val="24"/>
        </w:rPr>
        <w:t xml:space="preserve"> biomarkers</w:t>
      </w:r>
    </w:p>
    <w:p w14:paraId="4D456FEE" w14:textId="77777777" w:rsidR="00A05B06" w:rsidRPr="00384E4F" w:rsidRDefault="00A05B06" w:rsidP="00384E4F">
      <w:pPr>
        <w:jc w:val="both"/>
        <w:rPr>
          <w:sz w:val="24"/>
          <w:szCs w:val="24"/>
        </w:rPr>
      </w:pPr>
    </w:p>
    <w:p w14:paraId="7BE3CE9B" w14:textId="3D775CAB" w:rsidR="00A05B06" w:rsidRPr="00384E4F" w:rsidRDefault="00000000" w:rsidP="00384E4F">
      <w:pPr>
        <w:jc w:val="both"/>
        <w:rPr>
          <w:sz w:val="24"/>
          <w:szCs w:val="24"/>
        </w:rPr>
      </w:pPr>
      <w:r w:rsidRPr="00384E4F">
        <w:rPr>
          <w:sz w:val="24"/>
          <w:szCs w:val="24"/>
        </w:rPr>
        <w:t>The foundation of the area of biomarkers is a set of crucial measurements that have strong correlations with disease and are explicable by a simple paradigm. For instance, higher systolic blood pressure is linked to stroke risk, while lower systolic blood pressure is preferable. Similarly, LDL cholesterol is linked to the risk of cardiovascular disease, and lower LDL cholesterol is better. Biological systems, however, are intricate and multifaceted. Evaluation of one biomarker without knowledge of others can result in incorrect findings as more complex biological models are constructed. Furthermore, because several biomarkers each have a minor impact on the important summative outcome, measuring complex, composite biomarkers may help predict outcomes more accurately.</w:t>
      </w:r>
      <w:r w:rsidR="00243912">
        <w:rPr>
          <w:sz w:val="24"/>
          <w:szCs w:val="24"/>
        </w:rPr>
        <w:t xml:space="preserve"> </w:t>
      </w:r>
      <w:r w:rsidR="00243912" w:rsidRPr="00243912">
        <w:rPr>
          <w:b/>
          <w:bCs/>
          <w:sz w:val="24"/>
          <w:szCs w:val="24"/>
        </w:rPr>
        <w:t>[10,11]</w:t>
      </w:r>
    </w:p>
    <w:p w14:paraId="6D7A05A5" w14:textId="77777777" w:rsidR="00A05B06" w:rsidRPr="00384E4F" w:rsidRDefault="00A05B06" w:rsidP="00384E4F">
      <w:pPr>
        <w:jc w:val="both"/>
        <w:rPr>
          <w:sz w:val="24"/>
          <w:szCs w:val="24"/>
        </w:rPr>
      </w:pPr>
    </w:p>
    <w:p w14:paraId="7D377629" w14:textId="77777777" w:rsidR="00A05B06" w:rsidRPr="00FC0176" w:rsidRDefault="00000000" w:rsidP="00384E4F">
      <w:pPr>
        <w:jc w:val="both"/>
        <w:rPr>
          <w:b/>
          <w:bCs/>
          <w:sz w:val="24"/>
          <w:szCs w:val="24"/>
        </w:rPr>
      </w:pPr>
      <w:r w:rsidRPr="00FC0176">
        <w:rPr>
          <w:b/>
          <w:bCs/>
          <w:sz w:val="24"/>
          <w:szCs w:val="24"/>
        </w:rPr>
        <w:t>Biomarkers for imaging</w:t>
      </w:r>
    </w:p>
    <w:p w14:paraId="53BD0066" w14:textId="77777777" w:rsidR="00A05B06" w:rsidRPr="00384E4F" w:rsidRDefault="00A05B06" w:rsidP="00384E4F">
      <w:pPr>
        <w:jc w:val="both"/>
        <w:rPr>
          <w:sz w:val="24"/>
          <w:szCs w:val="24"/>
        </w:rPr>
      </w:pPr>
    </w:p>
    <w:p w14:paraId="14C52C7D" w14:textId="77777777" w:rsidR="00A05B06" w:rsidRPr="00384E4F" w:rsidRDefault="00000000" w:rsidP="00384E4F">
      <w:pPr>
        <w:jc w:val="both"/>
        <w:rPr>
          <w:sz w:val="24"/>
          <w:szCs w:val="24"/>
        </w:rPr>
      </w:pPr>
      <w:r w:rsidRPr="00384E4F">
        <w:rPr>
          <w:sz w:val="24"/>
          <w:szCs w:val="24"/>
        </w:rPr>
        <w:t>Imaging biomarkers are non-invasive, produce quantitative and qualitative data that aid in illness research, and are generally painless for patients. Pharmacokinetic analysis is aided by these biomarkers, which are also used to identify or track minute amounts of metabolites in animals. These biomarkers identify the metabolite in vivo and generate results that are logical and multidimensional.</w:t>
      </w:r>
    </w:p>
    <w:p w14:paraId="6B486C4F" w14:textId="77777777" w:rsidR="00A05B06" w:rsidRPr="00384E4F" w:rsidRDefault="00A05B06" w:rsidP="00384E4F">
      <w:pPr>
        <w:jc w:val="both"/>
        <w:rPr>
          <w:sz w:val="24"/>
          <w:szCs w:val="24"/>
        </w:rPr>
      </w:pPr>
    </w:p>
    <w:p w14:paraId="546FF5AE" w14:textId="13120171" w:rsidR="00A05B06" w:rsidRPr="00FC0176" w:rsidRDefault="00000000" w:rsidP="00384E4F">
      <w:pPr>
        <w:jc w:val="both"/>
        <w:rPr>
          <w:b/>
          <w:bCs/>
          <w:sz w:val="24"/>
          <w:szCs w:val="24"/>
        </w:rPr>
      </w:pPr>
      <w:r w:rsidRPr="00FC0176">
        <w:rPr>
          <w:b/>
          <w:bCs/>
          <w:sz w:val="24"/>
          <w:szCs w:val="24"/>
        </w:rPr>
        <w:t xml:space="preserve">Biomarkers </w:t>
      </w:r>
      <w:r w:rsidR="00FC0176" w:rsidRPr="00FC0176">
        <w:rPr>
          <w:b/>
          <w:bCs/>
          <w:sz w:val="24"/>
          <w:szCs w:val="24"/>
        </w:rPr>
        <w:t>for non-i</w:t>
      </w:r>
      <w:r w:rsidRPr="00FC0176">
        <w:rPr>
          <w:b/>
          <w:bCs/>
          <w:sz w:val="24"/>
          <w:szCs w:val="24"/>
        </w:rPr>
        <w:t>maging</w:t>
      </w:r>
    </w:p>
    <w:p w14:paraId="6630EC1A" w14:textId="77777777" w:rsidR="00A05B06" w:rsidRPr="00384E4F" w:rsidRDefault="00A05B06" w:rsidP="00384E4F">
      <w:pPr>
        <w:jc w:val="both"/>
        <w:rPr>
          <w:sz w:val="24"/>
          <w:szCs w:val="24"/>
        </w:rPr>
      </w:pPr>
    </w:p>
    <w:p w14:paraId="7DDE7DC1" w14:textId="77777777" w:rsidR="00A05B06" w:rsidRPr="00384E4F" w:rsidRDefault="00000000" w:rsidP="00384E4F">
      <w:pPr>
        <w:jc w:val="both"/>
        <w:rPr>
          <w:sz w:val="24"/>
          <w:szCs w:val="24"/>
        </w:rPr>
      </w:pPr>
      <w:r w:rsidRPr="00384E4F">
        <w:rPr>
          <w:sz w:val="24"/>
          <w:szCs w:val="24"/>
        </w:rPr>
        <w:t>The term "molecular biomarkers" refers to biomarkers that can be found utilising common and acceptable platforms like proteomics and genomics. There are numerous genomes and proteomics methods available for the finding of biomarkers; a few recently applied methods are listed below. The most widely used methods for identifying biomarkers include metabolomics, lipidomics, glycomics, and secretomics in addition to biomarker assay approaches using genomes and proteomics platforms.</w:t>
      </w:r>
    </w:p>
    <w:p w14:paraId="5B8B4CEC" w14:textId="77777777" w:rsidR="00A05B06" w:rsidRPr="00384E4F" w:rsidRDefault="00A05B06" w:rsidP="00384E4F">
      <w:pPr>
        <w:jc w:val="both"/>
        <w:rPr>
          <w:sz w:val="24"/>
          <w:szCs w:val="24"/>
        </w:rPr>
      </w:pPr>
    </w:p>
    <w:p w14:paraId="0A12E4A9" w14:textId="1DA185B0" w:rsidR="00A05B06" w:rsidRPr="00FC0176" w:rsidRDefault="00FC0176" w:rsidP="00384E4F">
      <w:pPr>
        <w:jc w:val="both"/>
        <w:rPr>
          <w:b/>
          <w:bCs/>
          <w:sz w:val="24"/>
          <w:szCs w:val="24"/>
        </w:rPr>
      </w:pPr>
      <w:r w:rsidRPr="00FC0176">
        <w:rPr>
          <w:b/>
          <w:bCs/>
          <w:sz w:val="24"/>
          <w:szCs w:val="24"/>
        </w:rPr>
        <w:t>Genomics strategy</w:t>
      </w:r>
    </w:p>
    <w:p w14:paraId="11DAE297" w14:textId="77777777" w:rsidR="00A05B06" w:rsidRPr="00384E4F" w:rsidRDefault="00A05B06" w:rsidP="00384E4F">
      <w:pPr>
        <w:jc w:val="both"/>
        <w:rPr>
          <w:sz w:val="24"/>
          <w:szCs w:val="24"/>
        </w:rPr>
      </w:pPr>
    </w:p>
    <w:p w14:paraId="1533815E" w14:textId="77777777" w:rsidR="00A05B06" w:rsidRPr="00384E4F" w:rsidRDefault="00000000" w:rsidP="00384E4F">
      <w:pPr>
        <w:jc w:val="both"/>
        <w:rPr>
          <w:sz w:val="24"/>
          <w:szCs w:val="24"/>
        </w:rPr>
      </w:pPr>
      <w:r w:rsidRPr="00384E4F">
        <w:rPr>
          <w:sz w:val="24"/>
          <w:szCs w:val="24"/>
        </w:rPr>
        <w:t>The discovery and identification of biomarkers has made substantial use of genomics. With over 30,000 genes in the human genome, new ways for viewing, evaluating, and exploiting the complicated, large-scale biomarker data are necessary to fully utilise the clinical potential of genome-scale information. With the help of genomics, disease-related genes, abnormal cellular signalling pathways, and expression signatures can all be found. Numerous methods, including Positional cloning, microsatellites, and single nucleotide polymorphism (SNP) genotyping, are used to cut into nucleated cells to map disease loci and identify the disease gene. Other methods, including expression arrays, comparative genomic hybridization arrays, and gene amplification and loss of heterozygosity detection, made use of pathologically compromised cells to identify dysregulated genes and find evidence of gene amplification.</w:t>
      </w:r>
    </w:p>
    <w:p w14:paraId="73F6A3B3" w14:textId="77777777" w:rsidR="00A05B06" w:rsidRPr="00384E4F" w:rsidRDefault="00A05B06" w:rsidP="00384E4F">
      <w:pPr>
        <w:jc w:val="both"/>
        <w:rPr>
          <w:sz w:val="24"/>
          <w:szCs w:val="24"/>
        </w:rPr>
      </w:pPr>
    </w:p>
    <w:p w14:paraId="57F2FED7" w14:textId="4FA2B832" w:rsidR="00A05B06" w:rsidRPr="00FC0176" w:rsidRDefault="00000000" w:rsidP="00384E4F">
      <w:pPr>
        <w:jc w:val="both"/>
        <w:rPr>
          <w:b/>
          <w:bCs/>
          <w:sz w:val="24"/>
          <w:szCs w:val="24"/>
        </w:rPr>
      </w:pPr>
      <w:r w:rsidRPr="00FC0176">
        <w:rPr>
          <w:b/>
          <w:bCs/>
          <w:sz w:val="24"/>
          <w:szCs w:val="24"/>
        </w:rPr>
        <w:lastRenderedPageBreak/>
        <w:t>Proteomics</w:t>
      </w:r>
      <w:r w:rsidR="00FC0176" w:rsidRPr="00FC0176">
        <w:rPr>
          <w:b/>
          <w:bCs/>
          <w:sz w:val="24"/>
          <w:szCs w:val="24"/>
        </w:rPr>
        <w:t xml:space="preserve"> strategy</w:t>
      </w:r>
    </w:p>
    <w:p w14:paraId="20275ED7" w14:textId="77777777" w:rsidR="00A05B06" w:rsidRPr="00384E4F" w:rsidRDefault="00A05B06" w:rsidP="00384E4F">
      <w:pPr>
        <w:jc w:val="both"/>
        <w:rPr>
          <w:sz w:val="24"/>
          <w:szCs w:val="24"/>
        </w:rPr>
      </w:pPr>
    </w:p>
    <w:p w14:paraId="216E24B1" w14:textId="77777777" w:rsidR="00A05B06" w:rsidRPr="00384E4F" w:rsidRDefault="00000000" w:rsidP="00384E4F">
      <w:pPr>
        <w:jc w:val="both"/>
        <w:rPr>
          <w:sz w:val="24"/>
          <w:szCs w:val="24"/>
        </w:rPr>
      </w:pPr>
      <w:r w:rsidRPr="00384E4F">
        <w:rPr>
          <w:sz w:val="24"/>
          <w:szCs w:val="24"/>
        </w:rPr>
        <w:t>Proteomics can be a useful technique for comprehending the intricacies of human physiology and the state of disease, perhaps even more so than gene expression studies. The discovery of new diagnostic and prognostic biomarkers has a lot of potential thanks to proteomics. Western blotting, immunohistochemical staining, enzyme-linked immunosorbent assays, and mass spectrometry are examples of methods. Secretomics, a branch of proteomics that uses proteome methods to study secreted proteins and secretion pathways, has lately gained prominence as a key resource for the identification of biomarkers. Proteomic methods are also applied to enhance gene annotations in what is now known as proteogenomics. Comparative proteoge­nomics, or the simultaneous investigation of the genome and proteome, makes it easier to find post-translational modifications and proteolytic processes.</w:t>
      </w:r>
    </w:p>
    <w:p w14:paraId="4057B871" w14:textId="77777777" w:rsidR="00FC0176" w:rsidRDefault="00FC0176" w:rsidP="00384E4F">
      <w:pPr>
        <w:jc w:val="both"/>
        <w:rPr>
          <w:sz w:val="24"/>
          <w:szCs w:val="24"/>
        </w:rPr>
      </w:pPr>
    </w:p>
    <w:p w14:paraId="3789D5FB" w14:textId="78440577" w:rsidR="00A05B06" w:rsidRPr="00FC0176" w:rsidRDefault="00FC0176" w:rsidP="00384E4F">
      <w:pPr>
        <w:jc w:val="both"/>
        <w:rPr>
          <w:b/>
          <w:bCs/>
          <w:sz w:val="24"/>
          <w:szCs w:val="24"/>
        </w:rPr>
      </w:pPr>
      <w:r w:rsidRPr="00FC0176">
        <w:rPr>
          <w:b/>
          <w:bCs/>
          <w:sz w:val="24"/>
          <w:szCs w:val="24"/>
        </w:rPr>
        <w:t>Metabonomics strategy</w:t>
      </w:r>
    </w:p>
    <w:p w14:paraId="3DE2DF37" w14:textId="77777777" w:rsidR="00A05B06" w:rsidRPr="00384E4F" w:rsidRDefault="00A05B06" w:rsidP="00384E4F">
      <w:pPr>
        <w:jc w:val="both"/>
        <w:rPr>
          <w:sz w:val="24"/>
          <w:szCs w:val="24"/>
        </w:rPr>
      </w:pPr>
    </w:p>
    <w:p w14:paraId="439A2370" w14:textId="62997B54" w:rsidR="00A05B06" w:rsidRPr="00384E4F" w:rsidRDefault="00000000" w:rsidP="00384E4F">
      <w:pPr>
        <w:jc w:val="both"/>
        <w:rPr>
          <w:sz w:val="24"/>
          <w:szCs w:val="24"/>
        </w:rPr>
      </w:pPr>
      <w:r w:rsidRPr="00384E4F">
        <w:rPr>
          <w:sz w:val="24"/>
          <w:szCs w:val="24"/>
        </w:rPr>
        <w:t xml:space="preserve">The comprehensive examination of all metabolites in a biological sample is referred to as metabolomics in modern times. The investigation of metabolic responses to medications or illnesses has been given its own word, </w:t>
      </w:r>
      <w:bookmarkStart w:id="3" w:name="_Hlk111929220"/>
      <w:r w:rsidRPr="00384E4F">
        <w:rPr>
          <w:sz w:val="24"/>
          <w:szCs w:val="24"/>
        </w:rPr>
        <w:t>metabonomics</w:t>
      </w:r>
      <w:bookmarkEnd w:id="3"/>
      <w:r w:rsidRPr="00384E4F">
        <w:rPr>
          <w:sz w:val="24"/>
          <w:szCs w:val="24"/>
        </w:rPr>
        <w:t xml:space="preserve">. </w:t>
      </w:r>
      <w:r w:rsidR="00243912" w:rsidRPr="00384E4F">
        <w:rPr>
          <w:sz w:val="24"/>
          <w:szCs w:val="24"/>
        </w:rPr>
        <w:t>To</w:t>
      </w:r>
      <w:r w:rsidRPr="00384E4F">
        <w:rPr>
          <w:sz w:val="24"/>
          <w:szCs w:val="24"/>
        </w:rPr>
        <w:t xml:space="preserve"> find biomarkers for diverse diseases, complex biological systems are studied in metabonomics, a rapidly growing field of study. It is unclear if this specialisation will also succeed in finding biomarkers for regenerative medicine.</w:t>
      </w:r>
    </w:p>
    <w:p w14:paraId="0B4E4D18" w14:textId="77777777" w:rsidR="00A05B06" w:rsidRPr="00384E4F" w:rsidRDefault="00A05B06" w:rsidP="00384E4F">
      <w:pPr>
        <w:jc w:val="both"/>
        <w:rPr>
          <w:sz w:val="24"/>
          <w:szCs w:val="24"/>
        </w:rPr>
      </w:pPr>
    </w:p>
    <w:p w14:paraId="55F0372F" w14:textId="3E3C9B52" w:rsidR="00A05B06" w:rsidRPr="00FC0176" w:rsidRDefault="00000000" w:rsidP="00384E4F">
      <w:pPr>
        <w:jc w:val="both"/>
        <w:rPr>
          <w:b/>
          <w:bCs/>
          <w:sz w:val="24"/>
          <w:szCs w:val="24"/>
        </w:rPr>
      </w:pPr>
      <w:r w:rsidRPr="00FC0176">
        <w:rPr>
          <w:b/>
          <w:bCs/>
          <w:sz w:val="24"/>
          <w:szCs w:val="24"/>
        </w:rPr>
        <w:t xml:space="preserve">Lipidomics </w:t>
      </w:r>
      <w:r w:rsidR="00FC0176" w:rsidRPr="00FC0176">
        <w:rPr>
          <w:b/>
          <w:bCs/>
          <w:sz w:val="24"/>
          <w:szCs w:val="24"/>
        </w:rPr>
        <w:t>strategy</w:t>
      </w:r>
    </w:p>
    <w:p w14:paraId="7B81D904" w14:textId="77777777" w:rsidR="00A05B06" w:rsidRPr="00384E4F" w:rsidRDefault="00A05B06" w:rsidP="00384E4F">
      <w:pPr>
        <w:jc w:val="both"/>
        <w:rPr>
          <w:sz w:val="24"/>
          <w:szCs w:val="24"/>
        </w:rPr>
      </w:pPr>
    </w:p>
    <w:p w14:paraId="3F6F7194" w14:textId="7C415535" w:rsidR="00A05B06" w:rsidRPr="00384E4F" w:rsidRDefault="00000000" w:rsidP="00384E4F">
      <w:pPr>
        <w:jc w:val="both"/>
        <w:rPr>
          <w:sz w:val="24"/>
          <w:szCs w:val="24"/>
        </w:rPr>
      </w:pPr>
      <w:r w:rsidRPr="00384E4F">
        <w:rPr>
          <w:sz w:val="24"/>
          <w:szCs w:val="24"/>
        </w:rPr>
        <w:t xml:space="preserve">The term "lipidomics" describes the study of lipids. Lipids have historically been challenging to research because they have distinct physical features that are specific to cells and cell-based products. Although it is now possible to identify and quantify </w:t>
      </w:r>
      <w:r w:rsidR="00243912" w:rsidRPr="00384E4F">
        <w:rPr>
          <w:sz w:val="24"/>
          <w:szCs w:val="24"/>
        </w:rPr>
        <w:t>most</w:t>
      </w:r>
      <w:r w:rsidRPr="00384E4F">
        <w:rPr>
          <w:sz w:val="24"/>
          <w:szCs w:val="24"/>
        </w:rPr>
        <w:t xml:space="preserve"> lipid metabolites from a single sample thanks to advancements in modern analytical platforms. Nuclear magnetic resonance, chromatography, and mass spectrometry are the three main platforms for lipid profiling. </w:t>
      </w:r>
      <w:r w:rsidR="00243912" w:rsidRPr="00243912">
        <w:rPr>
          <w:b/>
          <w:bCs/>
          <w:sz w:val="24"/>
          <w:szCs w:val="24"/>
        </w:rPr>
        <w:t>[12]</w:t>
      </w:r>
    </w:p>
    <w:p w14:paraId="31650FCF" w14:textId="77777777" w:rsidR="00A05B06" w:rsidRPr="00384E4F" w:rsidRDefault="00A05B06" w:rsidP="00384E4F">
      <w:pPr>
        <w:jc w:val="both"/>
        <w:rPr>
          <w:sz w:val="24"/>
          <w:szCs w:val="24"/>
        </w:rPr>
      </w:pPr>
    </w:p>
    <w:p w14:paraId="0D1C5843" w14:textId="1C63B7D3" w:rsidR="00A05B06" w:rsidRPr="00FC0176" w:rsidRDefault="00FC0176" w:rsidP="00384E4F">
      <w:pPr>
        <w:jc w:val="both"/>
        <w:rPr>
          <w:b/>
          <w:bCs/>
          <w:sz w:val="24"/>
          <w:szCs w:val="24"/>
        </w:rPr>
      </w:pPr>
      <w:r w:rsidRPr="00FC0176">
        <w:rPr>
          <w:b/>
          <w:bCs/>
          <w:sz w:val="24"/>
          <w:szCs w:val="24"/>
        </w:rPr>
        <w:t>Disease biomarker</w:t>
      </w:r>
    </w:p>
    <w:p w14:paraId="1372B093" w14:textId="77777777" w:rsidR="00A05B06" w:rsidRPr="00384E4F" w:rsidRDefault="00A05B06" w:rsidP="00384E4F">
      <w:pPr>
        <w:jc w:val="both"/>
        <w:rPr>
          <w:sz w:val="24"/>
          <w:szCs w:val="24"/>
        </w:rPr>
      </w:pPr>
    </w:p>
    <w:p w14:paraId="31ECADA7" w14:textId="73DE26FA" w:rsidR="00A05B06" w:rsidRPr="00384E4F" w:rsidRDefault="00000000" w:rsidP="00384E4F">
      <w:pPr>
        <w:jc w:val="both"/>
        <w:rPr>
          <w:sz w:val="24"/>
          <w:szCs w:val="24"/>
        </w:rPr>
      </w:pPr>
      <w:r w:rsidRPr="00384E4F">
        <w:rPr>
          <w:sz w:val="24"/>
          <w:szCs w:val="24"/>
        </w:rPr>
        <w:t>Condition biomarkers are biomarkers that statistically correlate with the phenotype (syndrome) of the disease for which a treatment is being developed. The onset, progression, regression, remission, or recurrence of a disease should be indicated by a correlation of levels (in the bloodstream, other bodily fluids, or tissue) or patterns of expression (gene, protein) in peripheral blood cells or tissues. It becomes clear that our existing methods for clinical testing are ineffective when we apply these criteria to our empirical approach to current attempts to create medications for specific ailments. The way the industry has approached the creation of therapies for schizophrenia is one significant example.</w:t>
      </w:r>
      <w:r w:rsidR="00BD4492">
        <w:rPr>
          <w:sz w:val="24"/>
          <w:szCs w:val="24"/>
        </w:rPr>
        <w:t xml:space="preserve"> </w:t>
      </w:r>
      <w:r w:rsidR="00BD4492" w:rsidRPr="00BD4492">
        <w:rPr>
          <w:b/>
          <w:bCs/>
          <w:sz w:val="24"/>
          <w:szCs w:val="24"/>
        </w:rPr>
        <w:t>[13]</w:t>
      </w:r>
    </w:p>
    <w:p w14:paraId="5FCEA6A0" w14:textId="77777777" w:rsidR="00A05B06" w:rsidRPr="00384E4F" w:rsidRDefault="00A05B06" w:rsidP="00384E4F">
      <w:pPr>
        <w:jc w:val="both"/>
        <w:rPr>
          <w:sz w:val="24"/>
          <w:szCs w:val="24"/>
        </w:rPr>
      </w:pPr>
    </w:p>
    <w:p w14:paraId="15DB227E" w14:textId="74D6801F" w:rsidR="00A05B06" w:rsidRPr="00384E4F" w:rsidRDefault="00000000" w:rsidP="00384E4F">
      <w:pPr>
        <w:jc w:val="both"/>
        <w:rPr>
          <w:sz w:val="24"/>
          <w:szCs w:val="24"/>
        </w:rPr>
      </w:pPr>
      <w:r w:rsidRPr="00384E4F">
        <w:rPr>
          <w:sz w:val="24"/>
          <w:szCs w:val="24"/>
        </w:rPr>
        <w:t>These biomarkers can serve as functional biomarkers for blood flow, platelet aggregation, or cognitive function, which can be used to track the development of diseases. It can offer endpoints relevant to a particular condition. As quantifiable markers of protein/amino acid damage, oxidised lipids, and oxidised DNA bases (</w:t>
      </w:r>
      <w:proofErr w:type="gramStart"/>
      <w:r w:rsidRPr="00384E4F">
        <w:rPr>
          <w:sz w:val="24"/>
          <w:szCs w:val="24"/>
        </w:rPr>
        <w:t>e.g.</w:t>
      </w:r>
      <w:proofErr w:type="gramEnd"/>
      <w:r w:rsidRPr="00384E4F">
        <w:rPr>
          <w:sz w:val="24"/>
          <w:szCs w:val="24"/>
        </w:rPr>
        <w:t xml:space="preserve"> lens opacity). </w:t>
      </w:r>
      <w:r w:rsidR="004A3FF6" w:rsidRPr="004A3FF6">
        <w:rPr>
          <w:b/>
          <w:bCs/>
          <w:sz w:val="24"/>
          <w:szCs w:val="24"/>
        </w:rPr>
        <w:t>[14]</w:t>
      </w:r>
    </w:p>
    <w:p w14:paraId="12C6F180" w14:textId="77777777" w:rsidR="00A05B06" w:rsidRPr="00384E4F" w:rsidRDefault="00A05B06" w:rsidP="00384E4F">
      <w:pPr>
        <w:jc w:val="both"/>
        <w:rPr>
          <w:sz w:val="24"/>
          <w:szCs w:val="24"/>
        </w:rPr>
      </w:pPr>
    </w:p>
    <w:p w14:paraId="752B780A" w14:textId="5B56ADC6" w:rsidR="00A05B06" w:rsidRPr="00FC0176" w:rsidRDefault="00000000" w:rsidP="00384E4F">
      <w:pPr>
        <w:jc w:val="both"/>
        <w:rPr>
          <w:b/>
          <w:bCs/>
          <w:sz w:val="24"/>
          <w:szCs w:val="24"/>
        </w:rPr>
      </w:pPr>
      <w:r w:rsidRPr="00FC0176">
        <w:rPr>
          <w:b/>
          <w:bCs/>
          <w:sz w:val="24"/>
          <w:szCs w:val="24"/>
        </w:rPr>
        <w:t>D</w:t>
      </w:r>
      <w:r w:rsidR="00FC0176">
        <w:rPr>
          <w:b/>
          <w:bCs/>
          <w:sz w:val="24"/>
          <w:szCs w:val="24"/>
        </w:rPr>
        <w:t>iagnostic</w:t>
      </w:r>
      <w:r w:rsidRPr="00FC0176">
        <w:rPr>
          <w:b/>
          <w:bCs/>
          <w:sz w:val="24"/>
          <w:szCs w:val="24"/>
        </w:rPr>
        <w:t xml:space="preserve"> biomarkers</w:t>
      </w:r>
    </w:p>
    <w:p w14:paraId="1FA90ED9" w14:textId="77777777" w:rsidR="00A05B06" w:rsidRPr="00384E4F" w:rsidRDefault="00A05B06" w:rsidP="00384E4F">
      <w:pPr>
        <w:jc w:val="both"/>
        <w:rPr>
          <w:sz w:val="24"/>
          <w:szCs w:val="24"/>
        </w:rPr>
      </w:pPr>
    </w:p>
    <w:p w14:paraId="33AB4E02" w14:textId="77777777" w:rsidR="00A05B06" w:rsidRPr="00384E4F" w:rsidRDefault="00000000" w:rsidP="00384E4F">
      <w:pPr>
        <w:jc w:val="both"/>
        <w:rPr>
          <w:sz w:val="24"/>
          <w:szCs w:val="24"/>
        </w:rPr>
      </w:pPr>
      <w:r w:rsidRPr="00384E4F">
        <w:rPr>
          <w:sz w:val="24"/>
          <w:szCs w:val="24"/>
        </w:rPr>
        <w:lastRenderedPageBreak/>
        <w:t>A diagnostic biomarker identifies a person who has a certain subtype of the disease or detects or verifies the presence of a disease or condition of interest3. These biomarkers may be used to reclassify the disease in addition to identifying those who have it. These biomarkers' major objective is to measure the disease affordably, accurately, and repeatedly. These biomarkers establish the connection between diagnostics and treatment.</w:t>
      </w:r>
    </w:p>
    <w:p w14:paraId="4DDC7EE3" w14:textId="77777777" w:rsidR="00A05B06" w:rsidRPr="00384E4F" w:rsidRDefault="00A05B06" w:rsidP="00384E4F">
      <w:pPr>
        <w:jc w:val="both"/>
        <w:rPr>
          <w:sz w:val="24"/>
          <w:szCs w:val="24"/>
        </w:rPr>
      </w:pPr>
    </w:p>
    <w:p w14:paraId="1EFCB457" w14:textId="5B8EA8C6" w:rsidR="00A05B06" w:rsidRPr="00384E4F" w:rsidRDefault="00000000" w:rsidP="00384E4F">
      <w:pPr>
        <w:jc w:val="both"/>
        <w:rPr>
          <w:sz w:val="24"/>
          <w:szCs w:val="24"/>
        </w:rPr>
      </w:pPr>
      <w:r w:rsidRPr="00384E4F">
        <w:rPr>
          <w:sz w:val="24"/>
          <w:szCs w:val="24"/>
        </w:rPr>
        <w:t>For instance, the molecular diagnostic biomarker CA-125 is used to diagnose ovarian cancer. In situ hybridization (ISH), microarrays, PCR, and LNA are examples of molecular diagnostic methods. have been used to identify many biomolecules, including miRNA. These miRNAs serve as biomarkers, and miRNA measurement can be used to diagnose disorders, including cancer. Use of diagnostic biomarkers as a foundation for drug development, including translational toxicology, the research of illness pathomechanism, and the provision of scoring systems to assess such drugs' predictive potency</w:t>
      </w:r>
      <w:r w:rsidR="00BF7ECD">
        <w:rPr>
          <w:sz w:val="24"/>
          <w:szCs w:val="24"/>
        </w:rPr>
        <w:t xml:space="preserve">. </w:t>
      </w:r>
      <w:r w:rsidR="008F478D" w:rsidRPr="008F478D">
        <w:rPr>
          <w:b/>
          <w:bCs/>
          <w:sz w:val="24"/>
          <w:szCs w:val="24"/>
        </w:rPr>
        <w:t>[1</w:t>
      </w:r>
      <w:r w:rsidR="004A3FF6">
        <w:rPr>
          <w:b/>
          <w:bCs/>
          <w:sz w:val="24"/>
          <w:szCs w:val="24"/>
        </w:rPr>
        <w:t>5</w:t>
      </w:r>
      <w:r w:rsidR="008F478D" w:rsidRPr="008F478D">
        <w:rPr>
          <w:b/>
          <w:bCs/>
          <w:sz w:val="24"/>
          <w:szCs w:val="24"/>
        </w:rPr>
        <w:t>,1</w:t>
      </w:r>
      <w:r w:rsidR="004A3FF6">
        <w:rPr>
          <w:b/>
          <w:bCs/>
          <w:sz w:val="24"/>
          <w:szCs w:val="24"/>
        </w:rPr>
        <w:t>6</w:t>
      </w:r>
      <w:r w:rsidR="008F478D" w:rsidRPr="008F478D">
        <w:rPr>
          <w:b/>
          <w:bCs/>
          <w:sz w:val="24"/>
          <w:szCs w:val="24"/>
        </w:rPr>
        <w:t>,1</w:t>
      </w:r>
      <w:r w:rsidR="004A3FF6">
        <w:rPr>
          <w:b/>
          <w:bCs/>
          <w:sz w:val="24"/>
          <w:szCs w:val="24"/>
        </w:rPr>
        <w:t>7</w:t>
      </w:r>
      <w:r w:rsidR="008F478D" w:rsidRPr="008F478D">
        <w:rPr>
          <w:b/>
          <w:bCs/>
          <w:sz w:val="24"/>
          <w:szCs w:val="24"/>
        </w:rPr>
        <w:t>,1</w:t>
      </w:r>
      <w:r w:rsidR="004A3FF6">
        <w:rPr>
          <w:b/>
          <w:bCs/>
          <w:sz w:val="24"/>
          <w:szCs w:val="24"/>
        </w:rPr>
        <w:t>8</w:t>
      </w:r>
      <w:r w:rsidR="008F478D" w:rsidRPr="008F478D">
        <w:rPr>
          <w:b/>
          <w:bCs/>
          <w:sz w:val="24"/>
          <w:szCs w:val="24"/>
        </w:rPr>
        <w:t>]</w:t>
      </w:r>
    </w:p>
    <w:p w14:paraId="5F9F3A55" w14:textId="77777777" w:rsidR="00A05B06" w:rsidRPr="00384E4F" w:rsidRDefault="00A05B06" w:rsidP="00384E4F">
      <w:pPr>
        <w:jc w:val="both"/>
        <w:rPr>
          <w:sz w:val="24"/>
          <w:szCs w:val="24"/>
        </w:rPr>
      </w:pPr>
    </w:p>
    <w:p w14:paraId="7A8DA8B7" w14:textId="77777777" w:rsidR="00A05B06" w:rsidRPr="00384E4F" w:rsidRDefault="00A05B06" w:rsidP="00384E4F">
      <w:pPr>
        <w:jc w:val="both"/>
        <w:rPr>
          <w:sz w:val="24"/>
          <w:szCs w:val="24"/>
        </w:rPr>
      </w:pPr>
    </w:p>
    <w:p w14:paraId="278E6C84" w14:textId="77777777" w:rsidR="00A05B06" w:rsidRPr="00384E4F" w:rsidRDefault="00A05B06" w:rsidP="00384E4F">
      <w:pPr>
        <w:jc w:val="both"/>
        <w:rPr>
          <w:sz w:val="24"/>
          <w:szCs w:val="24"/>
        </w:rPr>
      </w:pPr>
    </w:p>
    <w:p w14:paraId="1DE5DD7F" w14:textId="77777777" w:rsidR="00A05B06" w:rsidRPr="00384E4F" w:rsidRDefault="00A05B06" w:rsidP="00384E4F">
      <w:pPr>
        <w:jc w:val="both"/>
        <w:rPr>
          <w:sz w:val="24"/>
          <w:szCs w:val="24"/>
        </w:rPr>
      </w:pPr>
    </w:p>
    <w:p w14:paraId="166F06F0" w14:textId="77777777" w:rsidR="00A05B06" w:rsidRPr="00384E4F" w:rsidRDefault="00A05B06" w:rsidP="00384E4F">
      <w:pPr>
        <w:jc w:val="both"/>
        <w:rPr>
          <w:sz w:val="24"/>
          <w:szCs w:val="24"/>
        </w:rPr>
      </w:pPr>
    </w:p>
    <w:p w14:paraId="3C69E8B3" w14:textId="16C59884" w:rsidR="00A05B06" w:rsidRPr="00FC0176" w:rsidRDefault="00FC0176" w:rsidP="00384E4F">
      <w:pPr>
        <w:jc w:val="both"/>
        <w:rPr>
          <w:b/>
          <w:bCs/>
          <w:sz w:val="24"/>
          <w:szCs w:val="24"/>
        </w:rPr>
      </w:pPr>
      <w:r w:rsidRPr="00FC0176">
        <w:rPr>
          <w:b/>
          <w:bCs/>
          <w:sz w:val="24"/>
          <w:szCs w:val="24"/>
        </w:rPr>
        <w:t xml:space="preserve">Prognostic biomarkers </w:t>
      </w:r>
    </w:p>
    <w:p w14:paraId="0F73FD23" w14:textId="77777777" w:rsidR="00125652" w:rsidRDefault="00125652" w:rsidP="00384E4F">
      <w:pPr>
        <w:jc w:val="both"/>
        <w:rPr>
          <w:sz w:val="24"/>
          <w:szCs w:val="24"/>
        </w:rPr>
      </w:pPr>
    </w:p>
    <w:p w14:paraId="1197B0F5" w14:textId="511E38C0" w:rsidR="00A05B06" w:rsidRPr="00384E4F" w:rsidRDefault="00000000" w:rsidP="00384E4F">
      <w:pPr>
        <w:jc w:val="both"/>
        <w:rPr>
          <w:sz w:val="24"/>
          <w:szCs w:val="24"/>
        </w:rPr>
      </w:pPr>
      <w:r w:rsidRPr="00384E4F">
        <w:rPr>
          <w:sz w:val="24"/>
          <w:szCs w:val="24"/>
        </w:rPr>
        <w:t>When a patient has a disease or condition of interest, a prognostic biomarker is used to predict the risk of a clinical event, disease recurrence, or disease progression. handle any connections to the change from a healthy to a diseased state. Prognostic biomarkers are assessed at a predetermined baseline, which may include background therapy. Besides their ability to predict outcomes, prognostic biomarkers may also enhance clinical trials by identifying participants who are more likely to respond to treatment.</w:t>
      </w:r>
    </w:p>
    <w:p w14:paraId="036C5251" w14:textId="77777777" w:rsidR="00A05B06" w:rsidRPr="00384E4F" w:rsidRDefault="00A05B06" w:rsidP="00384E4F">
      <w:pPr>
        <w:jc w:val="both"/>
        <w:rPr>
          <w:sz w:val="24"/>
          <w:szCs w:val="24"/>
        </w:rPr>
      </w:pPr>
    </w:p>
    <w:p w14:paraId="6D9EA073" w14:textId="77777777" w:rsidR="00A05B06" w:rsidRPr="00384E4F" w:rsidRDefault="00000000" w:rsidP="00384E4F">
      <w:pPr>
        <w:jc w:val="both"/>
        <w:rPr>
          <w:sz w:val="24"/>
          <w:szCs w:val="24"/>
        </w:rPr>
      </w:pPr>
      <w:r w:rsidRPr="00384E4F">
        <w:rPr>
          <w:sz w:val="24"/>
          <w:szCs w:val="24"/>
        </w:rPr>
        <w:t>Prognostic biomarkers are frequently utilised in clinical trials to establish trial admission and exclusion criteria to identify higher-risk individuals. The main problem is that, rather than the sample size, the number of occurrences in a trial determines its statistical power. The event rates rise when trials are enhanced in this way.</w:t>
      </w:r>
    </w:p>
    <w:p w14:paraId="797E505D" w14:textId="77777777" w:rsidR="00A05B06" w:rsidRPr="00384E4F" w:rsidRDefault="00A05B06" w:rsidP="00384E4F">
      <w:pPr>
        <w:jc w:val="both"/>
        <w:rPr>
          <w:sz w:val="24"/>
          <w:szCs w:val="24"/>
        </w:rPr>
      </w:pPr>
    </w:p>
    <w:p w14:paraId="7DDDF1E6" w14:textId="14C71F6F" w:rsidR="00A05B06" w:rsidRPr="00384E4F" w:rsidRDefault="00000000" w:rsidP="00384E4F">
      <w:pPr>
        <w:jc w:val="both"/>
        <w:rPr>
          <w:sz w:val="24"/>
          <w:szCs w:val="24"/>
        </w:rPr>
      </w:pPr>
      <w:r w:rsidRPr="00384E4F">
        <w:rPr>
          <w:sz w:val="24"/>
          <w:szCs w:val="24"/>
        </w:rPr>
        <w:t>Prognostic biomarkers are furthermore crucial for estimating an individual's risk of an event or a poor result. The choice of how long to stay in the hospital or in intensive care units depends on this information. Another significant application of prognostic biomarkers is in population health resource allocation. By categorising the risk of unfavourable clinical and financial outcomes, a healthcare organisation can determine which patients would benefit from more thorough evaluation while allowing others to forego needless additional diagnostic procedures or medical interventions. Additionally, they differ from predictive biomarkers, which pinpoint variables linked to the likelihood of a specific outcome. Prostatic specific antigen, for instance, is used to forecast survival in patients with prostatic cancer.</w:t>
      </w:r>
      <w:r w:rsidR="002F76EF" w:rsidRPr="002F76EF">
        <w:rPr>
          <w:sz w:val="24"/>
          <w:szCs w:val="24"/>
        </w:rPr>
        <w:t xml:space="preserve"> </w:t>
      </w:r>
      <w:r w:rsidR="00093B6A" w:rsidRPr="00093B6A">
        <w:rPr>
          <w:b/>
          <w:bCs/>
          <w:sz w:val="24"/>
          <w:szCs w:val="24"/>
        </w:rPr>
        <w:t>[19,20]</w:t>
      </w:r>
    </w:p>
    <w:p w14:paraId="4695F6F8" w14:textId="77777777" w:rsidR="00A05B06" w:rsidRPr="00384E4F" w:rsidRDefault="00A05B06" w:rsidP="00384E4F">
      <w:pPr>
        <w:jc w:val="both"/>
        <w:rPr>
          <w:sz w:val="24"/>
          <w:szCs w:val="24"/>
        </w:rPr>
      </w:pPr>
    </w:p>
    <w:p w14:paraId="02307006" w14:textId="113D3234" w:rsidR="00A05B06" w:rsidRPr="00FC0176" w:rsidRDefault="00FC0176" w:rsidP="00384E4F">
      <w:pPr>
        <w:jc w:val="both"/>
        <w:rPr>
          <w:b/>
          <w:bCs/>
          <w:sz w:val="24"/>
          <w:szCs w:val="24"/>
        </w:rPr>
      </w:pPr>
      <w:r w:rsidRPr="00FC0176">
        <w:rPr>
          <w:b/>
          <w:bCs/>
          <w:sz w:val="24"/>
          <w:szCs w:val="24"/>
        </w:rPr>
        <w:t>Susceptibility/Risk biomarker</w:t>
      </w:r>
    </w:p>
    <w:p w14:paraId="17464730" w14:textId="77777777" w:rsidR="00A05B06" w:rsidRPr="00FC0176" w:rsidRDefault="00A05B06" w:rsidP="00384E4F">
      <w:pPr>
        <w:jc w:val="both"/>
        <w:rPr>
          <w:b/>
          <w:bCs/>
          <w:sz w:val="24"/>
          <w:szCs w:val="24"/>
        </w:rPr>
      </w:pPr>
    </w:p>
    <w:p w14:paraId="7E25A7F8" w14:textId="77777777" w:rsidR="00A05B06" w:rsidRPr="00384E4F" w:rsidRDefault="00000000" w:rsidP="00384E4F">
      <w:pPr>
        <w:jc w:val="both"/>
        <w:rPr>
          <w:sz w:val="24"/>
          <w:szCs w:val="24"/>
        </w:rPr>
      </w:pPr>
      <w:r w:rsidRPr="00384E4F">
        <w:rPr>
          <w:sz w:val="24"/>
          <w:szCs w:val="24"/>
        </w:rPr>
        <w:t>A susceptibility/risk biomarker is one that predicts the likelihood of acquiring a disease or medical condition in a person who does not already have the disease or condition in a clinically apparent form.</w:t>
      </w:r>
    </w:p>
    <w:p w14:paraId="05A9DA65" w14:textId="77777777" w:rsidR="00A05B06" w:rsidRPr="00384E4F" w:rsidRDefault="00A05B06" w:rsidP="00384E4F">
      <w:pPr>
        <w:jc w:val="both"/>
        <w:rPr>
          <w:sz w:val="24"/>
          <w:szCs w:val="24"/>
        </w:rPr>
      </w:pPr>
    </w:p>
    <w:p w14:paraId="602C0D8F" w14:textId="584B0595" w:rsidR="00A05B06" w:rsidRPr="00384E4F" w:rsidRDefault="00000000" w:rsidP="00384E4F">
      <w:pPr>
        <w:jc w:val="both"/>
        <w:rPr>
          <w:sz w:val="24"/>
          <w:szCs w:val="24"/>
        </w:rPr>
      </w:pPr>
      <w:r w:rsidRPr="00384E4F">
        <w:rPr>
          <w:sz w:val="24"/>
          <w:szCs w:val="24"/>
        </w:rPr>
        <w:lastRenderedPageBreak/>
        <w:t xml:space="preserve">Although the major concern is the relationship with the onset of a disease rather than the prognosis after a diagnosis, the approach is </w:t>
      </w:r>
      <w:r w:rsidR="002F76EF" w:rsidRPr="00384E4F">
        <w:rPr>
          <w:sz w:val="24"/>
          <w:szCs w:val="24"/>
        </w:rPr>
        <w:t>like</w:t>
      </w:r>
      <w:r w:rsidRPr="00384E4F">
        <w:rPr>
          <w:sz w:val="24"/>
          <w:szCs w:val="24"/>
        </w:rPr>
        <w:t xml:space="preserve"> prognostic biomarkers. These kinds of biomarkers are essential for carrying out epidemiological investigations on illness risk</w:t>
      </w:r>
      <w:r w:rsidR="00F71E4B">
        <w:rPr>
          <w:sz w:val="24"/>
          <w:szCs w:val="24"/>
        </w:rPr>
        <w:t>…</w:t>
      </w:r>
      <w:r w:rsidR="00EB56B6">
        <w:rPr>
          <w:sz w:val="24"/>
          <w:szCs w:val="24"/>
        </w:rPr>
        <w:t xml:space="preserve"> </w:t>
      </w:r>
      <w:r w:rsidR="00EB56B6" w:rsidRPr="00EB56B6">
        <w:rPr>
          <w:b/>
          <w:bCs/>
          <w:sz w:val="24"/>
          <w:szCs w:val="24"/>
        </w:rPr>
        <w:t>[21]</w:t>
      </w:r>
      <w:r w:rsidR="00F71E4B">
        <w:rPr>
          <w:sz w:val="24"/>
          <w:szCs w:val="24"/>
        </w:rPr>
        <w:t>.</w:t>
      </w:r>
    </w:p>
    <w:p w14:paraId="151121FC" w14:textId="77777777" w:rsidR="00A05B06" w:rsidRPr="00384E4F" w:rsidRDefault="00A05B06" w:rsidP="00384E4F">
      <w:pPr>
        <w:jc w:val="both"/>
        <w:rPr>
          <w:sz w:val="24"/>
          <w:szCs w:val="24"/>
        </w:rPr>
      </w:pPr>
    </w:p>
    <w:p w14:paraId="4D517DC3" w14:textId="563FA383" w:rsidR="00A05B06" w:rsidRPr="0007450E" w:rsidRDefault="0007450E" w:rsidP="00384E4F">
      <w:pPr>
        <w:jc w:val="both"/>
        <w:rPr>
          <w:b/>
          <w:bCs/>
          <w:sz w:val="24"/>
          <w:szCs w:val="24"/>
        </w:rPr>
      </w:pPr>
      <w:r w:rsidRPr="00D91576">
        <w:rPr>
          <w:b/>
          <w:bCs/>
          <w:sz w:val="24"/>
          <w:szCs w:val="24"/>
        </w:rPr>
        <w:t>Predictive</w:t>
      </w:r>
      <w:r w:rsidRPr="00384E4F">
        <w:rPr>
          <w:sz w:val="24"/>
          <w:szCs w:val="24"/>
        </w:rPr>
        <w:t xml:space="preserve"> </w:t>
      </w:r>
      <w:r w:rsidRPr="0007450E">
        <w:rPr>
          <w:b/>
          <w:bCs/>
          <w:sz w:val="24"/>
          <w:szCs w:val="24"/>
        </w:rPr>
        <w:t>biomarkers</w:t>
      </w:r>
    </w:p>
    <w:p w14:paraId="4A528B0A" w14:textId="77777777" w:rsidR="00A05B06" w:rsidRPr="00384E4F" w:rsidRDefault="00A05B06" w:rsidP="00384E4F">
      <w:pPr>
        <w:jc w:val="both"/>
        <w:rPr>
          <w:sz w:val="24"/>
          <w:szCs w:val="24"/>
        </w:rPr>
      </w:pPr>
    </w:p>
    <w:p w14:paraId="54E7298D" w14:textId="42E96E25" w:rsidR="00245B9C" w:rsidRPr="00384E4F" w:rsidRDefault="00000000" w:rsidP="00384E4F">
      <w:pPr>
        <w:jc w:val="both"/>
        <w:rPr>
          <w:sz w:val="24"/>
          <w:szCs w:val="24"/>
        </w:rPr>
      </w:pPr>
      <w:r w:rsidRPr="00384E4F">
        <w:rPr>
          <w:sz w:val="24"/>
          <w:szCs w:val="24"/>
        </w:rPr>
        <w:t xml:space="preserve">to identify those who are more likely to have positive or negative effects from being exposed to a medicinal product or an environmental contaminant. These biomarkers are necessary for the design and execution of clinical studies </w:t>
      </w:r>
      <w:r w:rsidR="00FC0176" w:rsidRPr="00384E4F">
        <w:rPr>
          <w:sz w:val="24"/>
          <w:szCs w:val="24"/>
        </w:rPr>
        <w:t>to</w:t>
      </w:r>
      <w:r w:rsidRPr="00384E4F">
        <w:rPr>
          <w:sz w:val="24"/>
          <w:szCs w:val="24"/>
        </w:rPr>
        <w:t xml:space="preserve"> decrease the sample size and assess the increased efficacy of therapeutic drugs. Examples include giving patients with high blood pressure antihypertensive drugs; giving blood transfusions to persons whose anaemia is indicated by low haemoglobin levels; and telling patients whose electrocardiograms show ST-segment elevation that they need immediate reperfusion. A major growth area in predictive biomarkers is the development of genetic and genomic markers for precision medicine, as in the case of cancer patients with HER2 receptor positive assays who are more likely to respond to treatment with herceptin. Other examples include biomarkers that differentially select patients likely to respond to therapy</w:t>
      </w:r>
      <w:r w:rsidR="00EB56B6">
        <w:rPr>
          <w:sz w:val="24"/>
          <w:szCs w:val="24"/>
        </w:rPr>
        <w:t xml:space="preserve"> </w:t>
      </w:r>
      <w:r w:rsidR="00EB56B6" w:rsidRPr="00B719C3">
        <w:rPr>
          <w:b/>
          <w:bCs/>
          <w:sz w:val="24"/>
          <w:szCs w:val="24"/>
        </w:rPr>
        <w:t xml:space="preserve">[22, 23, 24,25] </w:t>
      </w:r>
      <w:r w:rsidR="00CB55EE" w:rsidRPr="00B719C3">
        <w:rPr>
          <w:b/>
          <w:bCs/>
          <w:sz w:val="24"/>
          <w:szCs w:val="24"/>
        </w:rPr>
        <w:t>[26,27]</w:t>
      </w:r>
    </w:p>
    <w:p w14:paraId="111BEA15" w14:textId="77777777" w:rsidR="00A05B06" w:rsidRPr="00384E4F" w:rsidRDefault="00A05B06" w:rsidP="00384E4F">
      <w:pPr>
        <w:jc w:val="both"/>
        <w:rPr>
          <w:sz w:val="24"/>
          <w:szCs w:val="24"/>
        </w:rPr>
      </w:pPr>
    </w:p>
    <w:p w14:paraId="376C7E11" w14:textId="59573123" w:rsidR="00A05B06" w:rsidRPr="00FC0176" w:rsidRDefault="00000000" w:rsidP="00384E4F">
      <w:pPr>
        <w:jc w:val="both"/>
        <w:rPr>
          <w:b/>
          <w:bCs/>
          <w:sz w:val="24"/>
          <w:szCs w:val="24"/>
        </w:rPr>
      </w:pPr>
      <w:r w:rsidRPr="00FC0176">
        <w:rPr>
          <w:b/>
          <w:bCs/>
          <w:sz w:val="24"/>
          <w:szCs w:val="24"/>
        </w:rPr>
        <w:t>Mechanis</w:t>
      </w:r>
      <w:r w:rsidR="00FC0176" w:rsidRPr="00FC0176">
        <w:rPr>
          <w:b/>
          <w:bCs/>
          <w:sz w:val="24"/>
          <w:szCs w:val="24"/>
        </w:rPr>
        <w:t>tic/Target</w:t>
      </w:r>
      <w:r w:rsidRPr="00FC0176">
        <w:rPr>
          <w:b/>
          <w:bCs/>
          <w:sz w:val="24"/>
          <w:szCs w:val="24"/>
        </w:rPr>
        <w:t xml:space="preserve"> biomarker</w:t>
      </w:r>
    </w:p>
    <w:p w14:paraId="582D2139" w14:textId="77777777" w:rsidR="00A05B06" w:rsidRPr="00384E4F" w:rsidRDefault="00A05B06" w:rsidP="00384E4F">
      <w:pPr>
        <w:jc w:val="both"/>
        <w:rPr>
          <w:sz w:val="24"/>
          <w:szCs w:val="24"/>
        </w:rPr>
      </w:pPr>
    </w:p>
    <w:p w14:paraId="566079BF" w14:textId="56FC3D59" w:rsidR="00A05B06" w:rsidRPr="00384E4F" w:rsidRDefault="00000000" w:rsidP="00384E4F">
      <w:pPr>
        <w:jc w:val="both"/>
        <w:rPr>
          <w:sz w:val="24"/>
          <w:szCs w:val="24"/>
        </w:rPr>
      </w:pPr>
      <w:r w:rsidRPr="00384E4F">
        <w:rPr>
          <w:sz w:val="24"/>
          <w:szCs w:val="24"/>
        </w:rPr>
        <w:t xml:space="preserve">Mechanistic/Target biomarkers can be utilised to inform crucial "go/no go" decisions during the drug development process </w:t>
      </w:r>
      <w:r w:rsidR="008D4C1D" w:rsidRPr="00384E4F">
        <w:rPr>
          <w:sz w:val="24"/>
          <w:szCs w:val="24"/>
        </w:rPr>
        <w:t>to</w:t>
      </w:r>
      <w:r w:rsidRPr="00384E4F">
        <w:rPr>
          <w:sz w:val="24"/>
          <w:szCs w:val="24"/>
        </w:rPr>
        <w:t xml:space="preserve"> assess the pharmacological impact of a given substance.</w:t>
      </w:r>
    </w:p>
    <w:p w14:paraId="4E2B7FC2" w14:textId="77777777" w:rsidR="00A05B06" w:rsidRPr="00384E4F" w:rsidRDefault="00A05B06" w:rsidP="00384E4F">
      <w:pPr>
        <w:jc w:val="both"/>
        <w:rPr>
          <w:sz w:val="24"/>
          <w:szCs w:val="24"/>
        </w:rPr>
      </w:pPr>
    </w:p>
    <w:p w14:paraId="75D11A7A" w14:textId="77777777" w:rsidR="00A05B06" w:rsidRPr="00384E4F" w:rsidRDefault="00000000" w:rsidP="00384E4F">
      <w:pPr>
        <w:jc w:val="both"/>
        <w:rPr>
          <w:sz w:val="24"/>
          <w:szCs w:val="24"/>
        </w:rPr>
      </w:pPr>
      <w:r w:rsidRPr="00384E4F">
        <w:rPr>
          <w:sz w:val="24"/>
          <w:szCs w:val="24"/>
        </w:rPr>
        <w:t>Discover whether the medication interacts with its receptor (protein, enzyme), its distribution at the site of action, and whether there is any downstream pharmacology, or the dose ranges in which the drug is pharmacologically active, in these biomarkers.</w:t>
      </w:r>
    </w:p>
    <w:p w14:paraId="71F1B4D3" w14:textId="77777777" w:rsidR="00A05B06" w:rsidRPr="00384E4F" w:rsidRDefault="00A05B06" w:rsidP="00384E4F">
      <w:pPr>
        <w:jc w:val="both"/>
        <w:rPr>
          <w:sz w:val="24"/>
          <w:szCs w:val="24"/>
        </w:rPr>
      </w:pPr>
    </w:p>
    <w:p w14:paraId="60B30241" w14:textId="4A9B1500" w:rsidR="00A05B06" w:rsidRPr="00384E4F" w:rsidRDefault="00000000" w:rsidP="00384E4F">
      <w:pPr>
        <w:jc w:val="both"/>
        <w:rPr>
          <w:sz w:val="24"/>
          <w:szCs w:val="24"/>
        </w:rPr>
      </w:pPr>
      <w:r w:rsidRPr="00384E4F">
        <w:rPr>
          <w:sz w:val="24"/>
          <w:szCs w:val="24"/>
        </w:rPr>
        <w:t xml:space="preserve">The 5-HT4 receptor agonists </w:t>
      </w:r>
      <w:r w:rsidR="00B719C3" w:rsidRPr="00384E4F">
        <w:rPr>
          <w:sz w:val="24"/>
          <w:szCs w:val="24"/>
        </w:rPr>
        <w:t>drugs</w:t>
      </w:r>
      <w:r w:rsidRPr="00384E4F">
        <w:rPr>
          <w:sz w:val="24"/>
          <w:szCs w:val="24"/>
        </w:rPr>
        <w:t xml:space="preserve"> such as cisapride, mosapride, and aldosterone biomarker can assess whether novel 5-HT4 agonists in development have a pharmacological effect. Aldosterone can also be used to assess at what doses the 5-HT4 agonists have an effect. Aldosterone is an example of a mechanistic biomarker because it retains sodium and water. Imaging methods can be used to assess receptor occupancy or drug distribution</w:t>
      </w:r>
      <w:r w:rsidR="00B719C3">
        <w:rPr>
          <w:sz w:val="24"/>
          <w:szCs w:val="24"/>
        </w:rPr>
        <w:t xml:space="preserve">. </w:t>
      </w:r>
      <w:r w:rsidR="00B719C3" w:rsidRPr="00B719C3">
        <w:rPr>
          <w:b/>
          <w:bCs/>
          <w:sz w:val="24"/>
          <w:szCs w:val="24"/>
        </w:rPr>
        <w:t>[28</w:t>
      </w:r>
      <w:r w:rsidR="00AE5D89">
        <w:rPr>
          <w:b/>
          <w:bCs/>
          <w:sz w:val="24"/>
          <w:szCs w:val="24"/>
        </w:rPr>
        <w:t>,29</w:t>
      </w:r>
      <w:r w:rsidR="00B719C3" w:rsidRPr="00B719C3">
        <w:rPr>
          <w:b/>
          <w:bCs/>
          <w:sz w:val="24"/>
          <w:szCs w:val="24"/>
        </w:rPr>
        <w:t>]</w:t>
      </w:r>
    </w:p>
    <w:p w14:paraId="4E6A5E57" w14:textId="77777777" w:rsidR="00A05B06" w:rsidRPr="00384E4F" w:rsidRDefault="00A05B06" w:rsidP="00384E4F">
      <w:pPr>
        <w:jc w:val="both"/>
        <w:rPr>
          <w:sz w:val="24"/>
          <w:szCs w:val="24"/>
        </w:rPr>
      </w:pPr>
    </w:p>
    <w:p w14:paraId="37C555BE" w14:textId="5AEF6A73" w:rsidR="00A05B06" w:rsidRPr="00FC0176" w:rsidRDefault="00FC0176" w:rsidP="00384E4F">
      <w:pPr>
        <w:jc w:val="both"/>
        <w:rPr>
          <w:b/>
          <w:bCs/>
          <w:sz w:val="24"/>
          <w:szCs w:val="24"/>
        </w:rPr>
      </w:pPr>
      <w:r w:rsidRPr="00FC0176">
        <w:rPr>
          <w:b/>
          <w:bCs/>
          <w:sz w:val="24"/>
          <w:szCs w:val="24"/>
        </w:rPr>
        <w:t>Pharmacodynamic/response biomarkers</w:t>
      </w:r>
    </w:p>
    <w:p w14:paraId="28772DDF" w14:textId="77777777" w:rsidR="00A05B06" w:rsidRPr="00384E4F" w:rsidRDefault="00A05B06" w:rsidP="00384E4F">
      <w:pPr>
        <w:jc w:val="both"/>
        <w:rPr>
          <w:sz w:val="24"/>
          <w:szCs w:val="24"/>
        </w:rPr>
      </w:pPr>
    </w:p>
    <w:p w14:paraId="7F27814D" w14:textId="7B1ABAA0" w:rsidR="00A05B06" w:rsidRPr="00384E4F" w:rsidRDefault="00FC0176" w:rsidP="00384E4F">
      <w:pPr>
        <w:jc w:val="both"/>
        <w:rPr>
          <w:sz w:val="24"/>
          <w:szCs w:val="24"/>
        </w:rPr>
      </w:pPr>
      <w:r>
        <w:rPr>
          <w:sz w:val="24"/>
          <w:szCs w:val="24"/>
        </w:rPr>
        <w:t>T</w:t>
      </w:r>
      <w:r w:rsidRPr="00384E4F">
        <w:rPr>
          <w:sz w:val="24"/>
          <w:szCs w:val="24"/>
        </w:rPr>
        <w:t>o demonstrate that a person who has been exposed to a medication or environmental contaminant has experienced a biological reaction. These biomarkers support medication target identification and dose determination. These biomarkers were employed in phase I trials on healthy volunteers and in clinical practise in both the early stages of therapeutic medicine development. These biomarkers offer the initial information that shows proof that the drug will be safe to use in healthy human bodies with the targeted condition. Since they give a reliable indication for the anticipated therapeutic response, these biomarkers are essentially utilised to validate the measured change in response. Examples are the FEV1 or 6-minute walk test, LDL-C, and blood pressure in hypertension</w:t>
      </w:r>
      <w:r w:rsidR="00253244">
        <w:rPr>
          <w:sz w:val="24"/>
          <w:szCs w:val="24"/>
        </w:rPr>
        <w:t xml:space="preserve">. </w:t>
      </w:r>
      <w:r w:rsidR="00253244" w:rsidRPr="00253244">
        <w:rPr>
          <w:b/>
          <w:bCs/>
          <w:sz w:val="24"/>
          <w:szCs w:val="24"/>
        </w:rPr>
        <w:t>[</w:t>
      </w:r>
      <w:r w:rsidR="00253244">
        <w:rPr>
          <w:b/>
          <w:bCs/>
          <w:sz w:val="24"/>
          <w:szCs w:val="24"/>
        </w:rPr>
        <w:t>13,</w:t>
      </w:r>
      <w:r w:rsidR="00AE5D89">
        <w:rPr>
          <w:b/>
          <w:bCs/>
          <w:sz w:val="24"/>
          <w:szCs w:val="24"/>
        </w:rPr>
        <w:t>30</w:t>
      </w:r>
      <w:r w:rsidR="00253244" w:rsidRPr="00253244">
        <w:rPr>
          <w:b/>
          <w:bCs/>
          <w:sz w:val="24"/>
          <w:szCs w:val="24"/>
        </w:rPr>
        <w:t>]</w:t>
      </w:r>
    </w:p>
    <w:p w14:paraId="29985724" w14:textId="77777777" w:rsidR="00A05B06" w:rsidRPr="00384E4F" w:rsidRDefault="00A05B06" w:rsidP="00384E4F">
      <w:pPr>
        <w:jc w:val="both"/>
        <w:rPr>
          <w:sz w:val="24"/>
          <w:szCs w:val="24"/>
        </w:rPr>
      </w:pPr>
    </w:p>
    <w:p w14:paraId="5453D6C5" w14:textId="7E07FD18" w:rsidR="00A05B06" w:rsidRPr="00FC0176" w:rsidRDefault="00FC0176" w:rsidP="00384E4F">
      <w:pPr>
        <w:jc w:val="both"/>
        <w:rPr>
          <w:b/>
          <w:bCs/>
          <w:sz w:val="24"/>
          <w:szCs w:val="24"/>
        </w:rPr>
      </w:pPr>
      <w:r w:rsidRPr="00FC0176">
        <w:rPr>
          <w:b/>
          <w:bCs/>
          <w:sz w:val="24"/>
          <w:szCs w:val="24"/>
        </w:rPr>
        <w:t>Toxic</w:t>
      </w:r>
      <w:r w:rsidR="00A62FA6">
        <w:rPr>
          <w:b/>
          <w:bCs/>
          <w:sz w:val="24"/>
          <w:szCs w:val="24"/>
        </w:rPr>
        <w:t>ity</w:t>
      </w:r>
      <w:r w:rsidRPr="00FC0176">
        <w:rPr>
          <w:b/>
          <w:bCs/>
          <w:sz w:val="24"/>
          <w:szCs w:val="24"/>
        </w:rPr>
        <w:t xml:space="preserve"> biomarkers</w:t>
      </w:r>
    </w:p>
    <w:p w14:paraId="2F63237A" w14:textId="77777777" w:rsidR="00A05B06" w:rsidRPr="00384E4F" w:rsidRDefault="00A05B06" w:rsidP="00384E4F">
      <w:pPr>
        <w:jc w:val="both"/>
        <w:rPr>
          <w:sz w:val="24"/>
          <w:szCs w:val="24"/>
        </w:rPr>
      </w:pPr>
    </w:p>
    <w:p w14:paraId="0954C5FB" w14:textId="1D0F2E68" w:rsidR="00A05B06" w:rsidRDefault="00000000" w:rsidP="00384E4F">
      <w:pPr>
        <w:jc w:val="both"/>
        <w:rPr>
          <w:sz w:val="24"/>
          <w:szCs w:val="24"/>
        </w:rPr>
      </w:pPr>
      <w:r w:rsidRPr="00384E4F">
        <w:rPr>
          <w:sz w:val="24"/>
          <w:szCs w:val="24"/>
        </w:rPr>
        <w:t xml:space="preserve">These reports discuss a drug's toxicological impact in in vivo or in vitro systems. The toxicity biomarkers aid in predicting safety margins and helping to determine the best dose. However, clinical research and patient care represent the scope of biomarker analysis. To determine </w:t>
      </w:r>
      <w:r w:rsidRPr="00384E4F">
        <w:rPr>
          <w:sz w:val="24"/>
          <w:szCs w:val="24"/>
        </w:rPr>
        <w:lastRenderedPageBreak/>
        <w:t>patient response and create efficient and secure dose regimens, biomarkers may be used. During medication therapy, biomarkers may potentially show on-target versus off-target responses and toxicological effects. The liver, kidneys, brain, and heart are the main organs impacted by drug toxicity. Toxicology biomarkers are used to identify presymptomatic toxicity. The toxicity biomarkers aid in predicting safety margins and helping to determine the best dose. However, clinical research and patient care represent the scope of biomarker analysis. To determine patient response and create efficient and secure dose regimens, biomarkers may be used.</w:t>
      </w:r>
      <w:r w:rsidR="0056159E">
        <w:rPr>
          <w:sz w:val="24"/>
          <w:szCs w:val="24"/>
        </w:rPr>
        <w:t xml:space="preserve"> </w:t>
      </w:r>
      <w:r w:rsidR="0056159E" w:rsidRPr="0056159E">
        <w:rPr>
          <w:b/>
          <w:bCs/>
          <w:sz w:val="24"/>
          <w:szCs w:val="24"/>
        </w:rPr>
        <w:t>[3</w:t>
      </w:r>
      <w:r w:rsidR="00AE5D89">
        <w:rPr>
          <w:b/>
          <w:bCs/>
          <w:sz w:val="24"/>
          <w:szCs w:val="24"/>
        </w:rPr>
        <w:t>1</w:t>
      </w:r>
      <w:r w:rsidR="0056159E" w:rsidRPr="0056159E">
        <w:rPr>
          <w:b/>
          <w:bCs/>
          <w:sz w:val="24"/>
          <w:szCs w:val="24"/>
        </w:rPr>
        <w:t>]</w:t>
      </w:r>
    </w:p>
    <w:p w14:paraId="70315620" w14:textId="77777777" w:rsidR="00A62FA6" w:rsidRPr="00384E4F" w:rsidRDefault="00A62FA6" w:rsidP="00384E4F">
      <w:pPr>
        <w:jc w:val="both"/>
        <w:rPr>
          <w:sz w:val="24"/>
          <w:szCs w:val="24"/>
        </w:rPr>
      </w:pPr>
    </w:p>
    <w:p w14:paraId="59F36F0E" w14:textId="039C1D7F" w:rsidR="00A05B06" w:rsidRPr="00FC0176" w:rsidRDefault="00FC0176" w:rsidP="00384E4F">
      <w:pPr>
        <w:jc w:val="both"/>
        <w:rPr>
          <w:b/>
          <w:bCs/>
          <w:sz w:val="24"/>
          <w:szCs w:val="24"/>
        </w:rPr>
      </w:pPr>
      <w:r w:rsidRPr="00FC0176">
        <w:rPr>
          <w:b/>
          <w:bCs/>
          <w:sz w:val="24"/>
          <w:szCs w:val="24"/>
        </w:rPr>
        <w:t>Monitoring biomarkers</w:t>
      </w:r>
    </w:p>
    <w:p w14:paraId="68EA644F" w14:textId="77777777" w:rsidR="00FC0176" w:rsidRDefault="00FC0176" w:rsidP="00384E4F">
      <w:pPr>
        <w:jc w:val="both"/>
        <w:rPr>
          <w:sz w:val="24"/>
          <w:szCs w:val="24"/>
        </w:rPr>
      </w:pPr>
    </w:p>
    <w:p w14:paraId="52C1B9B5" w14:textId="2286669E" w:rsidR="00A05B06" w:rsidRPr="00384E4F" w:rsidRDefault="00000000" w:rsidP="00384E4F">
      <w:pPr>
        <w:jc w:val="both"/>
        <w:rPr>
          <w:sz w:val="24"/>
          <w:szCs w:val="24"/>
        </w:rPr>
      </w:pPr>
      <w:r w:rsidRPr="00384E4F">
        <w:rPr>
          <w:sz w:val="24"/>
          <w:szCs w:val="24"/>
        </w:rPr>
        <w:t xml:space="preserve">A biomarker </w:t>
      </w:r>
      <w:r w:rsidR="0099496E" w:rsidRPr="00384E4F">
        <w:rPr>
          <w:sz w:val="24"/>
          <w:szCs w:val="24"/>
        </w:rPr>
        <w:t>is</w:t>
      </w:r>
      <w:r w:rsidRPr="00384E4F">
        <w:rPr>
          <w:sz w:val="24"/>
          <w:szCs w:val="24"/>
        </w:rPr>
        <w:t xml:space="preserve"> a monitoring biomarker when it may be evaluated repeatedly to assess the state of a disease or medical condition, look for signs of exposure to a medical product or environmental agent, or look for signs of a medical product's or biological agent's effects. Monitoring biomarkers is beneficial for assessing pharmacodynamic effects, spotting early indications of a therapeutic response, and spotting side effects of a disease or treatment. Clinical care utilises monitoring biomarkers in significant ways. The virtually unwavering conviction of many academics and doctors that changes in biomarker readings are the best indicator of the likely course of events for a patient or community is one of the more intriguing elements of monitoring biomarkers. Even though the change is the strongest indicator of whether the therapy is working, in many cases the actual measure</w:t>
      </w:r>
      <w:r w:rsidR="00FC0176">
        <w:rPr>
          <w:sz w:val="24"/>
          <w:szCs w:val="24"/>
        </w:rPr>
        <w:t xml:space="preserve"> </w:t>
      </w:r>
      <w:r w:rsidRPr="00384E4F">
        <w:rPr>
          <w:sz w:val="24"/>
          <w:szCs w:val="24"/>
        </w:rPr>
        <w:t>rather than the change</w:t>
      </w:r>
      <w:r w:rsidR="00FC0176">
        <w:rPr>
          <w:sz w:val="24"/>
          <w:szCs w:val="24"/>
        </w:rPr>
        <w:t xml:space="preserve"> </w:t>
      </w:r>
      <w:r w:rsidRPr="00384E4F">
        <w:rPr>
          <w:sz w:val="24"/>
          <w:szCs w:val="24"/>
        </w:rPr>
        <w:t>is the best predictor of result.</w:t>
      </w:r>
    </w:p>
    <w:p w14:paraId="6CFE33FC" w14:textId="77777777" w:rsidR="00A05B06" w:rsidRPr="00384E4F" w:rsidRDefault="00A05B06" w:rsidP="00384E4F">
      <w:pPr>
        <w:jc w:val="both"/>
        <w:rPr>
          <w:sz w:val="24"/>
          <w:szCs w:val="24"/>
        </w:rPr>
      </w:pPr>
    </w:p>
    <w:p w14:paraId="6F1D4594" w14:textId="1793B7AC" w:rsidR="00A05B06" w:rsidRPr="00384E4F" w:rsidRDefault="00000000" w:rsidP="00384E4F">
      <w:pPr>
        <w:jc w:val="both"/>
        <w:rPr>
          <w:sz w:val="24"/>
          <w:szCs w:val="24"/>
        </w:rPr>
      </w:pPr>
      <w:r w:rsidRPr="00384E4F">
        <w:rPr>
          <w:sz w:val="24"/>
          <w:szCs w:val="24"/>
        </w:rPr>
        <w:t xml:space="preserve">Examples include monitoring blood pressure or LDL cholesterol levels when low-density lipoprotein (LDL) cholesterol-lowering medications are used. </w:t>
      </w:r>
      <w:r w:rsidR="0099496E" w:rsidRPr="00384E4F">
        <w:rPr>
          <w:sz w:val="24"/>
          <w:szCs w:val="24"/>
        </w:rPr>
        <w:t>Like</w:t>
      </w:r>
      <w:r w:rsidRPr="00384E4F">
        <w:rPr>
          <w:sz w:val="24"/>
          <w:szCs w:val="24"/>
        </w:rPr>
        <w:t xml:space="preserve"> this, CD4 counts are tracked during HIV treatment. Another illustration is how angiotensin-converting enzyme (ACE) inhibitors may increase serum creatinine and/or potassium levels, which serves as a pharmacological impact indicator.</w:t>
      </w:r>
      <w:r w:rsidR="002B7958">
        <w:rPr>
          <w:sz w:val="24"/>
          <w:szCs w:val="24"/>
        </w:rPr>
        <w:t xml:space="preserve"> </w:t>
      </w:r>
      <w:r w:rsidR="0099496E" w:rsidRPr="0099496E">
        <w:rPr>
          <w:b/>
          <w:bCs/>
          <w:sz w:val="24"/>
          <w:szCs w:val="24"/>
        </w:rPr>
        <w:t>[32,33</w:t>
      </w:r>
      <w:r w:rsidR="00AE5D89">
        <w:rPr>
          <w:b/>
          <w:bCs/>
          <w:sz w:val="24"/>
          <w:szCs w:val="24"/>
        </w:rPr>
        <w:t>,34</w:t>
      </w:r>
      <w:r w:rsidR="0099496E" w:rsidRPr="0099496E">
        <w:rPr>
          <w:b/>
          <w:bCs/>
          <w:sz w:val="24"/>
          <w:szCs w:val="24"/>
        </w:rPr>
        <w:t>]</w:t>
      </w:r>
    </w:p>
    <w:p w14:paraId="5103227F" w14:textId="77777777" w:rsidR="00A05B06" w:rsidRPr="00384E4F" w:rsidRDefault="00A05B06" w:rsidP="00384E4F">
      <w:pPr>
        <w:jc w:val="both"/>
        <w:rPr>
          <w:sz w:val="24"/>
          <w:szCs w:val="24"/>
        </w:rPr>
      </w:pPr>
    </w:p>
    <w:p w14:paraId="004F32FD" w14:textId="20112DFB" w:rsidR="00A05B06" w:rsidRPr="00FC0176" w:rsidRDefault="00FC0176" w:rsidP="00384E4F">
      <w:pPr>
        <w:jc w:val="both"/>
        <w:rPr>
          <w:b/>
          <w:bCs/>
          <w:sz w:val="24"/>
          <w:szCs w:val="24"/>
        </w:rPr>
      </w:pPr>
      <w:r w:rsidRPr="00FC0176">
        <w:rPr>
          <w:b/>
          <w:bCs/>
          <w:sz w:val="24"/>
          <w:szCs w:val="24"/>
        </w:rPr>
        <w:t>Safety biomarkers</w:t>
      </w:r>
    </w:p>
    <w:p w14:paraId="7963C702" w14:textId="77777777" w:rsidR="00A05B06" w:rsidRPr="00384E4F" w:rsidRDefault="00A05B06" w:rsidP="00384E4F">
      <w:pPr>
        <w:jc w:val="both"/>
        <w:rPr>
          <w:sz w:val="24"/>
          <w:szCs w:val="24"/>
        </w:rPr>
      </w:pPr>
    </w:p>
    <w:p w14:paraId="03D6934A" w14:textId="653EAB53" w:rsidR="00A05B06" w:rsidRDefault="00000000" w:rsidP="00384E4F">
      <w:pPr>
        <w:jc w:val="both"/>
        <w:rPr>
          <w:sz w:val="24"/>
          <w:szCs w:val="24"/>
        </w:rPr>
      </w:pPr>
      <w:r w:rsidRPr="00384E4F">
        <w:rPr>
          <w:sz w:val="24"/>
          <w:szCs w:val="24"/>
        </w:rPr>
        <w:t xml:space="preserve">to gauge the possibility, existence, or severity of toxicity as a negative outcome before or after exposure to a medical product or environmental contaminant. These biomarkers' evolving balance between safety and the possible therapeutic benefit is an intriguing reality. For effective medication, these biomarkers are utilised to determine the degree of toxicity as an adverse event in several organs, such as the hepatic, renal, and cardiovascular. The Cardiac Safety Research Consortium, which consists of representatives from the FDA, industry, and academia, is working on strategies for establishing an ideal balance between the ability to measure risk through early biomarker detection with the potential for benefit. In short, it provides assurance that a given therapy can be sustained safely. Examples include the use of safety biomarkers such as ALT, eGFR, troponin, creatinine, urinary kidney injury biomarkers, etc. when prescribing antiarrhythmic medications, prolongation of the QT interval on the electrocardiogram, which predicts the risk of developing the lethal arrhythmia </w:t>
      </w:r>
      <w:proofErr w:type="spellStart"/>
      <w:r w:rsidRPr="00384E4F">
        <w:rPr>
          <w:sz w:val="24"/>
          <w:szCs w:val="24"/>
        </w:rPr>
        <w:t>torsades</w:t>
      </w:r>
      <w:proofErr w:type="spellEnd"/>
      <w:r w:rsidRPr="00384E4F">
        <w:rPr>
          <w:sz w:val="24"/>
          <w:szCs w:val="24"/>
        </w:rPr>
        <w:t xml:space="preserve"> de pointes and can be used to identify patients in need of countermeasures for effective therapy.</w:t>
      </w:r>
    </w:p>
    <w:p w14:paraId="25B5ACCE" w14:textId="303DCD74" w:rsidR="00207B07" w:rsidRPr="00AC6580" w:rsidRDefault="00207B07" w:rsidP="00384E4F">
      <w:pPr>
        <w:jc w:val="both"/>
        <w:rPr>
          <w:b/>
          <w:bCs/>
          <w:sz w:val="24"/>
          <w:szCs w:val="24"/>
        </w:rPr>
      </w:pPr>
      <w:r w:rsidRPr="00AC6580">
        <w:rPr>
          <w:b/>
          <w:bCs/>
          <w:sz w:val="24"/>
          <w:szCs w:val="24"/>
        </w:rPr>
        <w:t>[13,</w:t>
      </w:r>
      <w:r w:rsidR="00AE5D89">
        <w:rPr>
          <w:b/>
          <w:bCs/>
          <w:sz w:val="24"/>
          <w:szCs w:val="24"/>
        </w:rPr>
        <w:t>30</w:t>
      </w:r>
      <w:r w:rsidRPr="00AC6580">
        <w:rPr>
          <w:b/>
          <w:bCs/>
          <w:sz w:val="24"/>
          <w:szCs w:val="24"/>
        </w:rPr>
        <w:t>,3</w:t>
      </w:r>
      <w:r w:rsidR="00AE5D89">
        <w:rPr>
          <w:b/>
          <w:bCs/>
          <w:sz w:val="24"/>
          <w:szCs w:val="24"/>
        </w:rPr>
        <w:t>5</w:t>
      </w:r>
      <w:r w:rsidRPr="00AC6580">
        <w:rPr>
          <w:b/>
          <w:bCs/>
          <w:sz w:val="24"/>
          <w:szCs w:val="24"/>
        </w:rPr>
        <w:t>]</w:t>
      </w:r>
    </w:p>
    <w:p w14:paraId="59DD2D9C" w14:textId="77777777" w:rsidR="00A05B06" w:rsidRPr="00384E4F" w:rsidRDefault="00A05B06" w:rsidP="00384E4F">
      <w:pPr>
        <w:jc w:val="both"/>
        <w:rPr>
          <w:sz w:val="24"/>
          <w:szCs w:val="24"/>
        </w:rPr>
      </w:pPr>
    </w:p>
    <w:p w14:paraId="152BAE90" w14:textId="691A4831" w:rsidR="00A05B06" w:rsidRPr="004072F5" w:rsidRDefault="00FC0176" w:rsidP="00384E4F">
      <w:pPr>
        <w:jc w:val="both"/>
        <w:rPr>
          <w:b/>
          <w:bCs/>
          <w:sz w:val="24"/>
          <w:szCs w:val="24"/>
        </w:rPr>
      </w:pPr>
      <w:r w:rsidRPr="004072F5">
        <w:rPr>
          <w:b/>
          <w:bCs/>
          <w:sz w:val="24"/>
          <w:szCs w:val="24"/>
        </w:rPr>
        <w:t>Valid biomarkers</w:t>
      </w:r>
    </w:p>
    <w:p w14:paraId="47D48B93" w14:textId="77777777" w:rsidR="00A05B06" w:rsidRPr="00384E4F" w:rsidRDefault="00A05B06" w:rsidP="00384E4F">
      <w:pPr>
        <w:jc w:val="both"/>
        <w:rPr>
          <w:sz w:val="24"/>
          <w:szCs w:val="24"/>
        </w:rPr>
      </w:pPr>
    </w:p>
    <w:p w14:paraId="3FFB6842" w14:textId="68EA03D8" w:rsidR="00A05B06" w:rsidRPr="00384E4F" w:rsidRDefault="00000000" w:rsidP="00384E4F">
      <w:pPr>
        <w:jc w:val="both"/>
        <w:rPr>
          <w:sz w:val="24"/>
          <w:szCs w:val="24"/>
        </w:rPr>
      </w:pPr>
      <w:r w:rsidRPr="00384E4F">
        <w:rPr>
          <w:sz w:val="24"/>
          <w:szCs w:val="24"/>
        </w:rPr>
        <w:t xml:space="preserve">Physiologic, toxicologic, pharmacologic, or clinical significance of test results are clarified by an established scientific framework or body of evidence for a valid biomarker, which is a </w:t>
      </w:r>
      <w:r w:rsidRPr="00384E4F">
        <w:rPr>
          <w:sz w:val="24"/>
          <w:szCs w:val="24"/>
        </w:rPr>
        <w:lastRenderedPageBreak/>
        <w:t xml:space="preserve">biomarker that is measured in an analytical test system with well-established performance characteristics. The criteria for validating a biomarker will change depending on how the biomarker is going to be used. Approaches that can be used to decide the essential requirements for validation include the clinical utility (e.g., forecast toxicity, effectiveness, or dose) and use of epidemiology/population data (e.g., strength of genotypephenotype relationships). </w:t>
      </w:r>
      <w:r w:rsidR="00AC6580" w:rsidRPr="00384E4F">
        <w:rPr>
          <w:sz w:val="24"/>
          <w:szCs w:val="24"/>
        </w:rPr>
        <w:t>Considering</w:t>
      </w:r>
      <w:r w:rsidRPr="00384E4F">
        <w:rPr>
          <w:sz w:val="24"/>
          <w:szCs w:val="24"/>
        </w:rPr>
        <w:t xml:space="preserve"> the following factors can help with biomarker validation:</w:t>
      </w:r>
    </w:p>
    <w:p w14:paraId="2ADB8E5C" w14:textId="77777777" w:rsidR="00A05B06" w:rsidRPr="00384E4F" w:rsidRDefault="00A05B06" w:rsidP="00384E4F">
      <w:pPr>
        <w:jc w:val="both"/>
        <w:rPr>
          <w:sz w:val="24"/>
          <w:szCs w:val="24"/>
        </w:rPr>
      </w:pPr>
    </w:p>
    <w:p w14:paraId="43F125DB" w14:textId="6252560C" w:rsidR="00A05B06" w:rsidRPr="00384E4F" w:rsidRDefault="00000000" w:rsidP="00384E4F">
      <w:pPr>
        <w:jc w:val="both"/>
        <w:rPr>
          <w:sz w:val="24"/>
          <w:szCs w:val="24"/>
        </w:rPr>
      </w:pPr>
      <w:r w:rsidRPr="00384E4F">
        <w:rPr>
          <w:sz w:val="24"/>
          <w:szCs w:val="24"/>
        </w:rPr>
        <w:t xml:space="preserve">1. </w:t>
      </w:r>
      <w:r w:rsidR="008D4C1D">
        <w:rPr>
          <w:sz w:val="24"/>
          <w:szCs w:val="24"/>
        </w:rPr>
        <w:t>C</w:t>
      </w:r>
      <w:r w:rsidRPr="00384E4F">
        <w:rPr>
          <w:sz w:val="24"/>
          <w:szCs w:val="24"/>
        </w:rPr>
        <w:t>onsistency between the biomarker and the process's known or anticipated physiologic or pathophysiologic consequences</w:t>
      </w:r>
    </w:p>
    <w:p w14:paraId="15461283" w14:textId="77777777" w:rsidR="00A05B06" w:rsidRPr="00384E4F" w:rsidRDefault="00A05B06" w:rsidP="00384E4F">
      <w:pPr>
        <w:jc w:val="both"/>
        <w:rPr>
          <w:sz w:val="24"/>
          <w:szCs w:val="24"/>
        </w:rPr>
      </w:pPr>
    </w:p>
    <w:p w14:paraId="3C40D7CC" w14:textId="43A9B921" w:rsidR="00A05B06" w:rsidRPr="00384E4F" w:rsidRDefault="00000000" w:rsidP="00384E4F">
      <w:pPr>
        <w:jc w:val="both"/>
        <w:rPr>
          <w:sz w:val="24"/>
          <w:szCs w:val="24"/>
        </w:rPr>
      </w:pPr>
      <w:r w:rsidRPr="00384E4F">
        <w:rPr>
          <w:sz w:val="24"/>
          <w:szCs w:val="24"/>
        </w:rPr>
        <w:t xml:space="preserve">2. </w:t>
      </w:r>
      <w:r w:rsidR="008D4C1D">
        <w:rPr>
          <w:sz w:val="24"/>
          <w:szCs w:val="24"/>
        </w:rPr>
        <w:t>A</w:t>
      </w:r>
      <w:r w:rsidRPr="00384E4F">
        <w:rPr>
          <w:sz w:val="24"/>
          <w:szCs w:val="24"/>
        </w:rPr>
        <w:t>cceptance and adoption by subject-matter specialists</w:t>
      </w:r>
    </w:p>
    <w:p w14:paraId="1EA38D65" w14:textId="77777777" w:rsidR="00A05B06" w:rsidRPr="00384E4F" w:rsidRDefault="00A05B06" w:rsidP="00384E4F">
      <w:pPr>
        <w:jc w:val="both"/>
        <w:rPr>
          <w:sz w:val="24"/>
          <w:szCs w:val="24"/>
        </w:rPr>
      </w:pPr>
    </w:p>
    <w:p w14:paraId="03741ED5" w14:textId="4D219EE4" w:rsidR="00A05B06" w:rsidRPr="00384E4F" w:rsidRDefault="00000000" w:rsidP="00384E4F">
      <w:pPr>
        <w:jc w:val="both"/>
        <w:rPr>
          <w:sz w:val="24"/>
          <w:szCs w:val="24"/>
        </w:rPr>
      </w:pPr>
      <w:r w:rsidRPr="00384E4F">
        <w:rPr>
          <w:sz w:val="24"/>
          <w:szCs w:val="24"/>
        </w:rPr>
        <w:t>3. pharmaceutical firms use when deciding whether to advance certain medications into further research.</w:t>
      </w:r>
      <w:r w:rsidR="004C7CF9" w:rsidRPr="004C7CF9">
        <w:rPr>
          <w:b/>
          <w:bCs/>
          <w:sz w:val="24"/>
          <w:szCs w:val="24"/>
        </w:rPr>
        <w:t>[2]</w:t>
      </w:r>
    </w:p>
    <w:p w14:paraId="18CF7B44" w14:textId="77777777" w:rsidR="00A05B06" w:rsidRPr="00384E4F" w:rsidRDefault="00A05B06" w:rsidP="00384E4F">
      <w:pPr>
        <w:jc w:val="both"/>
        <w:rPr>
          <w:sz w:val="24"/>
          <w:szCs w:val="24"/>
        </w:rPr>
      </w:pPr>
    </w:p>
    <w:p w14:paraId="6AB8A7C8" w14:textId="741C5FEE" w:rsidR="00A05B06" w:rsidRPr="004072F5" w:rsidRDefault="004072F5" w:rsidP="00384E4F">
      <w:pPr>
        <w:jc w:val="both"/>
        <w:rPr>
          <w:b/>
          <w:bCs/>
          <w:sz w:val="24"/>
          <w:szCs w:val="24"/>
        </w:rPr>
      </w:pPr>
      <w:r>
        <w:rPr>
          <w:b/>
          <w:bCs/>
          <w:sz w:val="24"/>
          <w:szCs w:val="24"/>
        </w:rPr>
        <w:t>I</w:t>
      </w:r>
      <w:r w:rsidRPr="004072F5">
        <w:rPr>
          <w:b/>
          <w:bCs/>
          <w:sz w:val="24"/>
          <w:szCs w:val="24"/>
        </w:rPr>
        <w:t>deal qualities for biomarkers</w:t>
      </w:r>
    </w:p>
    <w:p w14:paraId="490999D1" w14:textId="77777777" w:rsidR="00A05B06" w:rsidRPr="00384E4F" w:rsidRDefault="00A05B06" w:rsidP="00384E4F">
      <w:pPr>
        <w:jc w:val="both"/>
        <w:rPr>
          <w:sz w:val="24"/>
          <w:szCs w:val="24"/>
        </w:rPr>
      </w:pPr>
    </w:p>
    <w:p w14:paraId="105ED1ED" w14:textId="08687D17" w:rsidR="00A05B06" w:rsidRPr="00384E4F" w:rsidRDefault="00000000" w:rsidP="00384E4F">
      <w:pPr>
        <w:jc w:val="both"/>
        <w:rPr>
          <w:sz w:val="24"/>
          <w:szCs w:val="24"/>
        </w:rPr>
      </w:pPr>
      <w:r w:rsidRPr="00384E4F">
        <w:rPr>
          <w:sz w:val="24"/>
          <w:szCs w:val="24"/>
        </w:rPr>
        <w:t xml:space="preserve">1. The FDA states that the ideal biomarker should be capable of distinguishing between physiological characteristics that are </w:t>
      </w:r>
      <w:r w:rsidR="00245B9C" w:rsidRPr="00384E4F">
        <w:rPr>
          <w:sz w:val="24"/>
          <w:szCs w:val="24"/>
        </w:rPr>
        <w:t>like</w:t>
      </w:r>
      <w:r w:rsidRPr="00384E4F">
        <w:rPr>
          <w:sz w:val="24"/>
          <w:szCs w:val="24"/>
        </w:rPr>
        <w:t xml:space="preserve"> one another and specifically linked to a certain disease or disease state.</w:t>
      </w:r>
    </w:p>
    <w:p w14:paraId="20A83343" w14:textId="77777777" w:rsidR="00A05B06" w:rsidRPr="00384E4F" w:rsidRDefault="00A05B06" w:rsidP="00384E4F">
      <w:pPr>
        <w:jc w:val="both"/>
        <w:rPr>
          <w:sz w:val="24"/>
          <w:szCs w:val="24"/>
        </w:rPr>
      </w:pPr>
    </w:p>
    <w:p w14:paraId="6FC353B9" w14:textId="77777777" w:rsidR="00A05B06" w:rsidRPr="00384E4F" w:rsidRDefault="00000000" w:rsidP="00384E4F">
      <w:pPr>
        <w:jc w:val="both"/>
        <w:rPr>
          <w:sz w:val="24"/>
          <w:szCs w:val="24"/>
        </w:rPr>
      </w:pPr>
      <w:r w:rsidRPr="00384E4F">
        <w:rPr>
          <w:sz w:val="24"/>
          <w:szCs w:val="24"/>
        </w:rPr>
        <w:t>2. It would be ideal if biomarkers could be identified using common biological sources like serum and urine.</w:t>
      </w:r>
    </w:p>
    <w:p w14:paraId="336FDDDD" w14:textId="77777777" w:rsidR="00A05B06" w:rsidRPr="00384E4F" w:rsidRDefault="00A05B06" w:rsidP="00384E4F">
      <w:pPr>
        <w:jc w:val="both"/>
        <w:rPr>
          <w:sz w:val="24"/>
          <w:szCs w:val="24"/>
        </w:rPr>
      </w:pPr>
    </w:p>
    <w:p w14:paraId="659F3249" w14:textId="01B09F80" w:rsidR="00A05B06" w:rsidRPr="00384E4F" w:rsidRDefault="00000000" w:rsidP="00384E4F">
      <w:pPr>
        <w:jc w:val="both"/>
        <w:rPr>
          <w:sz w:val="24"/>
          <w:szCs w:val="24"/>
        </w:rPr>
      </w:pPr>
      <w:r w:rsidRPr="00384E4F">
        <w:rPr>
          <w:sz w:val="24"/>
          <w:szCs w:val="24"/>
        </w:rPr>
        <w:t xml:space="preserve">3. It should be possible to </w:t>
      </w:r>
      <w:r w:rsidR="00245B9C" w:rsidRPr="00384E4F">
        <w:rPr>
          <w:sz w:val="24"/>
          <w:szCs w:val="24"/>
        </w:rPr>
        <w:t>identify the necessary marker quickly, easily, accurately, and affordably</w:t>
      </w:r>
      <w:r w:rsidRPr="00384E4F">
        <w:rPr>
          <w:sz w:val="24"/>
          <w:szCs w:val="24"/>
        </w:rPr>
        <w:t>, and a quantifiable baseline should be given as a point of comparison.</w:t>
      </w:r>
    </w:p>
    <w:p w14:paraId="275913E8" w14:textId="77777777" w:rsidR="00A05B06" w:rsidRPr="00384E4F" w:rsidRDefault="00A05B06" w:rsidP="00384E4F">
      <w:pPr>
        <w:jc w:val="both"/>
        <w:rPr>
          <w:sz w:val="24"/>
          <w:szCs w:val="24"/>
        </w:rPr>
      </w:pPr>
    </w:p>
    <w:p w14:paraId="1F5D68A6" w14:textId="77777777" w:rsidR="00A05B06" w:rsidRPr="00384E4F" w:rsidRDefault="00000000" w:rsidP="00384E4F">
      <w:pPr>
        <w:jc w:val="both"/>
        <w:rPr>
          <w:sz w:val="24"/>
          <w:szCs w:val="24"/>
        </w:rPr>
      </w:pPr>
      <w:r w:rsidRPr="00384E4F">
        <w:rPr>
          <w:sz w:val="24"/>
          <w:szCs w:val="24"/>
        </w:rPr>
        <w:t>4. Expression is noticeably increased, especially when there is an illness present.</w:t>
      </w:r>
    </w:p>
    <w:p w14:paraId="5D847913" w14:textId="77777777" w:rsidR="00A05B06" w:rsidRPr="00384E4F" w:rsidRDefault="00A05B06" w:rsidP="00384E4F">
      <w:pPr>
        <w:jc w:val="both"/>
        <w:rPr>
          <w:sz w:val="24"/>
          <w:szCs w:val="24"/>
        </w:rPr>
      </w:pPr>
    </w:p>
    <w:p w14:paraId="3E25C6C3" w14:textId="77777777" w:rsidR="00A05B06" w:rsidRPr="00384E4F" w:rsidRDefault="00000000" w:rsidP="00384E4F">
      <w:pPr>
        <w:jc w:val="both"/>
        <w:rPr>
          <w:sz w:val="24"/>
          <w:szCs w:val="24"/>
        </w:rPr>
      </w:pPr>
      <w:r w:rsidRPr="00384E4F">
        <w:rPr>
          <w:sz w:val="24"/>
          <w:szCs w:val="24"/>
        </w:rPr>
        <w:t>5. Simple to measure in clinical samples or widely available biological fluids</w:t>
      </w:r>
    </w:p>
    <w:p w14:paraId="4A470027" w14:textId="77777777" w:rsidR="00A05B06" w:rsidRPr="00384E4F" w:rsidRDefault="00A05B06" w:rsidP="00384E4F">
      <w:pPr>
        <w:jc w:val="both"/>
        <w:rPr>
          <w:sz w:val="24"/>
          <w:szCs w:val="24"/>
        </w:rPr>
      </w:pPr>
    </w:p>
    <w:p w14:paraId="20DDC5CA" w14:textId="0882E35D" w:rsidR="00A05B06" w:rsidRPr="00384E4F" w:rsidRDefault="00000000" w:rsidP="00384E4F">
      <w:pPr>
        <w:jc w:val="both"/>
        <w:rPr>
          <w:sz w:val="24"/>
          <w:szCs w:val="24"/>
        </w:rPr>
      </w:pPr>
      <w:r w:rsidRPr="00384E4F">
        <w:rPr>
          <w:sz w:val="24"/>
          <w:szCs w:val="24"/>
        </w:rPr>
        <w:t xml:space="preserve">6. </w:t>
      </w:r>
      <w:r w:rsidR="008D4C1D">
        <w:rPr>
          <w:sz w:val="24"/>
          <w:szCs w:val="24"/>
        </w:rPr>
        <w:t>S</w:t>
      </w:r>
      <w:r w:rsidRPr="00384E4F">
        <w:rPr>
          <w:sz w:val="24"/>
          <w:szCs w:val="24"/>
        </w:rPr>
        <w:t>hown to be consistent with a fascinating result trend.</w:t>
      </w:r>
    </w:p>
    <w:p w14:paraId="76F9A641" w14:textId="77777777" w:rsidR="00A05B06" w:rsidRPr="00384E4F" w:rsidRDefault="00A05B06" w:rsidP="00384E4F">
      <w:pPr>
        <w:jc w:val="both"/>
        <w:rPr>
          <w:sz w:val="24"/>
          <w:szCs w:val="24"/>
        </w:rPr>
      </w:pPr>
    </w:p>
    <w:p w14:paraId="626BFD94" w14:textId="18482BDF" w:rsidR="00A05B06" w:rsidRPr="00384E4F" w:rsidRDefault="00000000" w:rsidP="00384E4F">
      <w:pPr>
        <w:jc w:val="both"/>
        <w:rPr>
          <w:sz w:val="24"/>
          <w:szCs w:val="24"/>
        </w:rPr>
      </w:pPr>
      <w:r w:rsidRPr="00384E4F">
        <w:rPr>
          <w:sz w:val="24"/>
          <w:szCs w:val="24"/>
        </w:rPr>
        <w:t xml:space="preserve">7. </w:t>
      </w:r>
      <w:r w:rsidR="008D4C1D">
        <w:rPr>
          <w:sz w:val="24"/>
          <w:szCs w:val="24"/>
        </w:rPr>
        <w:t>Q</w:t>
      </w:r>
      <w:r w:rsidRPr="00384E4F">
        <w:rPr>
          <w:sz w:val="24"/>
          <w:szCs w:val="24"/>
        </w:rPr>
        <w:t>uick turnaround times, uniformity, and cost-effectiveness.</w:t>
      </w:r>
    </w:p>
    <w:p w14:paraId="63EBFB3E" w14:textId="77777777" w:rsidR="00A05B06" w:rsidRPr="00384E4F" w:rsidRDefault="00A05B06" w:rsidP="00384E4F">
      <w:pPr>
        <w:jc w:val="both"/>
        <w:rPr>
          <w:sz w:val="24"/>
          <w:szCs w:val="24"/>
        </w:rPr>
      </w:pPr>
    </w:p>
    <w:p w14:paraId="6F12699D" w14:textId="6683EAB5" w:rsidR="00A05B06" w:rsidRPr="00384E4F" w:rsidRDefault="00000000" w:rsidP="00384E4F">
      <w:pPr>
        <w:jc w:val="both"/>
        <w:rPr>
          <w:sz w:val="24"/>
          <w:szCs w:val="24"/>
        </w:rPr>
      </w:pPr>
      <w:r w:rsidRPr="00384E4F">
        <w:rPr>
          <w:sz w:val="24"/>
          <w:szCs w:val="24"/>
        </w:rPr>
        <w:t xml:space="preserve">8. The ability to make medical decisions should be aided by knowing the measured level. </w:t>
      </w:r>
      <w:r w:rsidR="008D4C1D" w:rsidRPr="008D4C1D">
        <w:rPr>
          <w:b/>
          <w:bCs/>
          <w:sz w:val="24"/>
          <w:szCs w:val="24"/>
        </w:rPr>
        <w:t>[3</w:t>
      </w:r>
      <w:r w:rsidR="00AE5D89">
        <w:rPr>
          <w:b/>
          <w:bCs/>
          <w:sz w:val="24"/>
          <w:szCs w:val="24"/>
        </w:rPr>
        <w:t>6</w:t>
      </w:r>
      <w:r w:rsidR="008D4C1D" w:rsidRPr="008D4C1D">
        <w:rPr>
          <w:b/>
          <w:bCs/>
          <w:sz w:val="24"/>
          <w:szCs w:val="24"/>
        </w:rPr>
        <w:t>]</w:t>
      </w:r>
    </w:p>
    <w:p w14:paraId="306AA20C" w14:textId="77777777" w:rsidR="00A05B06" w:rsidRPr="00384E4F" w:rsidRDefault="00A05B06" w:rsidP="00384E4F">
      <w:pPr>
        <w:jc w:val="both"/>
        <w:rPr>
          <w:sz w:val="24"/>
          <w:szCs w:val="24"/>
        </w:rPr>
      </w:pPr>
    </w:p>
    <w:p w14:paraId="05D78380" w14:textId="77777777" w:rsidR="00A05B06" w:rsidRPr="004072F5" w:rsidRDefault="00000000" w:rsidP="00384E4F">
      <w:pPr>
        <w:jc w:val="both"/>
        <w:rPr>
          <w:b/>
          <w:bCs/>
          <w:sz w:val="24"/>
          <w:szCs w:val="24"/>
        </w:rPr>
      </w:pPr>
      <w:r w:rsidRPr="004072F5">
        <w:rPr>
          <w:b/>
          <w:bCs/>
          <w:sz w:val="24"/>
          <w:szCs w:val="24"/>
        </w:rPr>
        <w:t>Biomarker Validation</w:t>
      </w:r>
    </w:p>
    <w:p w14:paraId="37DC7082" w14:textId="77777777" w:rsidR="00A05B06" w:rsidRPr="00384E4F" w:rsidRDefault="00A05B06" w:rsidP="00384E4F">
      <w:pPr>
        <w:jc w:val="both"/>
        <w:rPr>
          <w:sz w:val="24"/>
          <w:szCs w:val="24"/>
        </w:rPr>
      </w:pPr>
    </w:p>
    <w:p w14:paraId="1ED50F1C" w14:textId="77777777" w:rsidR="00A05B06" w:rsidRPr="00384E4F" w:rsidRDefault="00000000" w:rsidP="00384E4F">
      <w:pPr>
        <w:jc w:val="both"/>
        <w:rPr>
          <w:sz w:val="24"/>
          <w:szCs w:val="24"/>
        </w:rPr>
      </w:pPr>
      <w:r w:rsidRPr="00384E4F">
        <w:rPr>
          <w:sz w:val="24"/>
          <w:szCs w:val="24"/>
        </w:rPr>
        <w:t>1. Accuracy (according to a reference): Analytical validation to evaluate the precision and dependability of the suggested test to quantify the potential biomarker The number of true positives and true negatives divided by the total number of assessments is how accurate a test is in a particular demographic. Accuracy is influenced by a test's sensitivity, specificity, and prevalence of the target marker in the population under study.</w:t>
      </w:r>
    </w:p>
    <w:p w14:paraId="6EB15D84" w14:textId="77777777" w:rsidR="00A05B06" w:rsidRPr="00384E4F" w:rsidRDefault="00A05B06" w:rsidP="00384E4F">
      <w:pPr>
        <w:jc w:val="both"/>
        <w:rPr>
          <w:sz w:val="24"/>
          <w:szCs w:val="24"/>
        </w:rPr>
      </w:pPr>
    </w:p>
    <w:p w14:paraId="255D8193" w14:textId="77777777" w:rsidR="00A05B06" w:rsidRPr="00384E4F" w:rsidRDefault="00000000" w:rsidP="00384E4F">
      <w:pPr>
        <w:jc w:val="both"/>
        <w:rPr>
          <w:sz w:val="24"/>
          <w:szCs w:val="24"/>
        </w:rPr>
      </w:pPr>
      <w:r w:rsidRPr="00384E4F">
        <w:rPr>
          <w:sz w:val="24"/>
          <w:szCs w:val="24"/>
        </w:rPr>
        <w:t>2. Precision (repeatability, reproducibility)</w:t>
      </w:r>
    </w:p>
    <w:p w14:paraId="0F40982E" w14:textId="77777777" w:rsidR="00A05B06" w:rsidRPr="00384E4F" w:rsidRDefault="00A05B06" w:rsidP="00384E4F">
      <w:pPr>
        <w:jc w:val="both"/>
        <w:rPr>
          <w:sz w:val="24"/>
          <w:szCs w:val="24"/>
        </w:rPr>
      </w:pPr>
    </w:p>
    <w:p w14:paraId="3C1AE3E5" w14:textId="77777777" w:rsidR="00A05B06" w:rsidRPr="00384E4F" w:rsidRDefault="00000000" w:rsidP="00384E4F">
      <w:pPr>
        <w:jc w:val="both"/>
        <w:rPr>
          <w:sz w:val="24"/>
          <w:szCs w:val="24"/>
        </w:rPr>
      </w:pPr>
      <w:r w:rsidRPr="00384E4F">
        <w:rPr>
          <w:sz w:val="24"/>
          <w:szCs w:val="24"/>
        </w:rPr>
        <w:t>3. Limit of Detection (sensitivity): A test's sensitivity, or its inherent capacity to "detect" a true positive when one is present, is calculated by dividing the number of true positives by the sum of true positives and false negatives.</w:t>
      </w:r>
    </w:p>
    <w:p w14:paraId="6EA59118" w14:textId="77777777" w:rsidR="00A05B06" w:rsidRPr="00384E4F" w:rsidRDefault="00A05B06" w:rsidP="00384E4F">
      <w:pPr>
        <w:jc w:val="both"/>
        <w:rPr>
          <w:sz w:val="24"/>
          <w:szCs w:val="24"/>
        </w:rPr>
      </w:pPr>
    </w:p>
    <w:p w14:paraId="60BC3BCE" w14:textId="77777777" w:rsidR="00A05B06" w:rsidRPr="00384E4F" w:rsidRDefault="00000000" w:rsidP="00384E4F">
      <w:pPr>
        <w:jc w:val="both"/>
        <w:rPr>
          <w:sz w:val="24"/>
          <w:szCs w:val="24"/>
        </w:rPr>
      </w:pPr>
      <w:r w:rsidRPr="00384E4F">
        <w:rPr>
          <w:sz w:val="24"/>
          <w:szCs w:val="24"/>
        </w:rPr>
        <w:t>4. Specificity, also known as interference and cross-reactivity, is the ratio of true negatives to true negatives plus false positives, or the test's inherent capacity to discriminate between a true negative.</w:t>
      </w:r>
    </w:p>
    <w:p w14:paraId="304F31DE" w14:textId="77777777" w:rsidR="00A05B06" w:rsidRPr="00384E4F" w:rsidRDefault="00A05B06" w:rsidP="00384E4F">
      <w:pPr>
        <w:jc w:val="both"/>
        <w:rPr>
          <w:sz w:val="24"/>
          <w:szCs w:val="24"/>
        </w:rPr>
      </w:pPr>
    </w:p>
    <w:p w14:paraId="6938D7EE" w14:textId="77777777" w:rsidR="00A05B06" w:rsidRPr="00384E4F" w:rsidRDefault="00000000" w:rsidP="00384E4F">
      <w:pPr>
        <w:jc w:val="both"/>
        <w:rPr>
          <w:sz w:val="24"/>
          <w:szCs w:val="24"/>
        </w:rPr>
      </w:pPr>
      <w:r w:rsidRPr="00384E4F">
        <w:rPr>
          <w:sz w:val="24"/>
          <w:szCs w:val="24"/>
        </w:rPr>
        <w:t>5. Sample setup and environmental factors</w:t>
      </w:r>
    </w:p>
    <w:p w14:paraId="44C0ADD6" w14:textId="77777777" w:rsidR="00A05B06" w:rsidRPr="00384E4F" w:rsidRDefault="00A05B06" w:rsidP="00384E4F">
      <w:pPr>
        <w:jc w:val="both"/>
        <w:rPr>
          <w:sz w:val="24"/>
          <w:szCs w:val="24"/>
        </w:rPr>
      </w:pPr>
    </w:p>
    <w:p w14:paraId="2ED9C58F" w14:textId="77777777" w:rsidR="00A05B06" w:rsidRPr="00384E4F" w:rsidRDefault="00000000" w:rsidP="00384E4F">
      <w:pPr>
        <w:jc w:val="both"/>
        <w:rPr>
          <w:sz w:val="24"/>
          <w:szCs w:val="24"/>
        </w:rPr>
      </w:pPr>
      <w:r w:rsidRPr="00384E4F">
        <w:rPr>
          <w:sz w:val="24"/>
          <w:szCs w:val="24"/>
        </w:rPr>
        <w:t xml:space="preserve">6. Around the </w:t>
      </w:r>
      <w:proofErr w:type="spellStart"/>
      <w:r w:rsidRPr="00384E4F">
        <w:rPr>
          <w:sz w:val="24"/>
          <w:szCs w:val="24"/>
        </w:rPr>
        <w:t>cutoff</w:t>
      </w:r>
      <w:proofErr w:type="spellEnd"/>
      <w:r w:rsidRPr="00384E4F">
        <w:rPr>
          <w:sz w:val="24"/>
          <w:szCs w:val="24"/>
        </w:rPr>
        <w:t>, performance</w:t>
      </w:r>
    </w:p>
    <w:p w14:paraId="737CB81E" w14:textId="77777777" w:rsidR="00A05B06" w:rsidRPr="00384E4F" w:rsidRDefault="00A05B06" w:rsidP="00384E4F">
      <w:pPr>
        <w:jc w:val="both"/>
        <w:rPr>
          <w:sz w:val="24"/>
          <w:szCs w:val="24"/>
        </w:rPr>
      </w:pPr>
    </w:p>
    <w:p w14:paraId="12B04772" w14:textId="10878D55" w:rsidR="00A05B06" w:rsidRPr="00384E4F" w:rsidRDefault="00000000" w:rsidP="00384E4F">
      <w:pPr>
        <w:jc w:val="both"/>
        <w:rPr>
          <w:sz w:val="24"/>
          <w:szCs w:val="24"/>
        </w:rPr>
      </w:pPr>
      <w:r w:rsidRPr="00384E4F">
        <w:rPr>
          <w:sz w:val="24"/>
          <w:szCs w:val="24"/>
        </w:rPr>
        <w:t>7. Possibility of cross-hybridization and carryover.</w:t>
      </w:r>
      <w:r w:rsidR="005B406E">
        <w:rPr>
          <w:sz w:val="24"/>
          <w:szCs w:val="24"/>
        </w:rPr>
        <w:t xml:space="preserve"> </w:t>
      </w:r>
      <w:r w:rsidR="005B406E" w:rsidRPr="00286C35">
        <w:rPr>
          <w:b/>
          <w:bCs/>
          <w:sz w:val="24"/>
          <w:szCs w:val="24"/>
        </w:rPr>
        <w:t>[</w:t>
      </w:r>
      <w:r w:rsidR="00482C14">
        <w:rPr>
          <w:b/>
          <w:bCs/>
          <w:sz w:val="24"/>
          <w:szCs w:val="24"/>
        </w:rPr>
        <w:t>8</w:t>
      </w:r>
      <w:r w:rsidR="005B406E" w:rsidRPr="00286C35">
        <w:rPr>
          <w:b/>
          <w:bCs/>
          <w:sz w:val="24"/>
          <w:szCs w:val="24"/>
        </w:rPr>
        <w:t>]</w:t>
      </w:r>
    </w:p>
    <w:p w14:paraId="0FB18D4D" w14:textId="77777777" w:rsidR="00A05B06" w:rsidRPr="00384E4F" w:rsidRDefault="00A05B06" w:rsidP="00384E4F">
      <w:pPr>
        <w:jc w:val="both"/>
        <w:rPr>
          <w:sz w:val="24"/>
          <w:szCs w:val="24"/>
        </w:rPr>
      </w:pPr>
    </w:p>
    <w:p w14:paraId="29866EE2" w14:textId="77777777" w:rsidR="00A05B06" w:rsidRPr="00384E4F" w:rsidRDefault="00A05B06" w:rsidP="00384E4F">
      <w:pPr>
        <w:jc w:val="both"/>
        <w:rPr>
          <w:sz w:val="24"/>
          <w:szCs w:val="24"/>
        </w:rPr>
      </w:pPr>
    </w:p>
    <w:p w14:paraId="15A5DB56" w14:textId="77777777" w:rsidR="00A05B06" w:rsidRPr="004072F5" w:rsidRDefault="00000000" w:rsidP="00384E4F">
      <w:pPr>
        <w:jc w:val="both"/>
        <w:rPr>
          <w:b/>
          <w:bCs/>
          <w:sz w:val="24"/>
          <w:szCs w:val="24"/>
        </w:rPr>
      </w:pPr>
      <w:r w:rsidRPr="004072F5">
        <w:rPr>
          <w:b/>
          <w:bCs/>
          <w:sz w:val="24"/>
          <w:szCs w:val="24"/>
        </w:rPr>
        <w:t>Biomarker's Function</w:t>
      </w:r>
    </w:p>
    <w:p w14:paraId="16DC3F1F" w14:textId="77777777" w:rsidR="00A05B06" w:rsidRPr="00384E4F" w:rsidRDefault="00A05B06" w:rsidP="00384E4F">
      <w:pPr>
        <w:jc w:val="both"/>
        <w:rPr>
          <w:sz w:val="24"/>
          <w:szCs w:val="24"/>
        </w:rPr>
      </w:pPr>
    </w:p>
    <w:p w14:paraId="1A6E49AD" w14:textId="0573A208" w:rsidR="00A05B06" w:rsidRPr="00C260C7" w:rsidRDefault="00000000" w:rsidP="00384E4F">
      <w:pPr>
        <w:jc w:val="both"/>
        <w:rPr>
          <w:b/>
          <w:bCs/>
          <w:sz w:val="24"/>
          <w:szCs w:val="24"/>
        </w:rPr>
      </w:pPr>
      <w:r w:rsidRPr="00C260C7">
        <w:rPr>
          <w:b/>
          <w:bCs/>
          <w:sz w:val="24"/>
          <w:szCs w:val="24"/>
        </w:rPr>
        <w:t>Biomarkers' function in translational medicine</w:t>
      </w:r>
    </w:p>
    <w:p w14:paraId="401BC27B" w14:textId="0400BDA8" w:rsidR="00C260C7" w:rsidRDefault="00C260C7" w:rsidP="00384E4F">
      <w:pPr>
        <w:jc w:val="both"/>
        <w:rPr>
          <w:sz w:val="24"/>
          <w:szCs w:val="24"/>
        </w:rPr>
      </w:pPr>
    </w:p>
    <w:p w14:paraId="2B7888C2" w14:textId="77777777" w:rsidR="00C260C7" w:rsidRPr="00384E4F" w:rsidRDefault="00C260C7" w:rsidP="00384E4F">
      <w:pPr>
        <w:jc w:val="both"/>
        <w:rPr>
          <w:sz w:val="24"/>
          <w:szCs w:val="24"/>
        </w:rPr>
      </w:pPr>
    </w:p>
    <w:p w14:paraId="5AA7ECEE" w14:textId="6B3FBF1D" w:rsidR="00A05B06" w:rsidRPr="00384E4F" w:rsidRDefault="00C260C7" w:rsidP="00384E4F">
      <w:pPr>
        <w:jc w:val="both"/>
        <w:rPr>
          <w:sz w:val="24"/>
          <w:szCs w:val="24"/>
        </w:rPr>
      </w:pPr>
      <w:r w:rsidRPr="003203BB">
        <w:rPr>
          <w:noProof/>
          <w:sz w:val="24"/>
          <w:szCs w:val="24"/>
        </w:rPr>
        <w:drawing>
          <wp:inline distT="0" distB="0" distL="0" distR="0" wp14:anchorId="0793AD5B" wp14:editId="476E2C3D">
            <wp:extent cx="4564380" cy="29641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4380" cy="2964180"/>
                    </a:xfrm>
                    <a:prstGeom prst="rect">
                      <a:avLst/>
                    </a:prstGeom>
                    <a:noFill/>
                    <a:ln>
                      <a:noFill/>
                    </a:ln>
                  </pic:spPr>
                </pic:pic>
              </a:graphicData>
            </a:graphic>
          </wp:inline>
        </w:drawing>
      </w:r>
    </w:p>
    <w:p w14:paraId="77395401" w14:textId="77777777" w:rsidR="00A05B06" w:rsidRPr="00384E4F" w:rsidRDefault="00A05B06" w:rsidP="00384E4F">
      <w:pPr>
        <w:jc w:val="both"/>
        <w:rPr>
          <w:sz w:val="24"/>
          <w:szCs w:val="24"/>
        </w:rPr>
      </w:pPr>
    </w:p>
    <w:p w14:paraId="6367EA60" w14:textId="0F1EAC67" w:rsidR="00A05B06" w:rsidRPr="00C260C7" w:rsidRDefault="00C260C7" w:rsidP="00384E4F">
      <w:pPr>
        <w:jc w:val="both"/>
        <w:rPr>
          <w:b/>
          <w:bCs/>
          <w:sz w:val="24"/>
          <w:szCs w:val="24"/>
        </w:rPr>
      </w:pPr>
      <w:r w:rsidRPr="00C260C7">
        <w:rPr>
          <w:b/>
          <w:bCs/>
          <w:sz w:val="24"/>
          <w:szCs w:val="24"/>
        </w:rPr>
        <w:t xml:space="preserve">         Biomarkers' relationship to other technologies and healthcare</w:t>
      </w:r>
    </w:p>
    <w:p w14:paraId="24975472" w14:textId="77777777" w:rsidR="00A05B06" w:rsidRPr="00C260C7" w:rsidRDefault="00A05B06" w:rsidP="00384E4F">
      <w:pPr>
        <w:jc w:val="both"/>
        <w:rPr>
          <w:b/>
          <w:bCs/>
          <w:sz w:val="24"/>
          <w:szCs w:val="24"/>
        </w:rPr>
      </w:pPr>
    </w:p>
    <w:p w14:paraId="5C8F5EA5" w14:textId="70B943ED" w:rsidR="00A05B06" w:rsidRPr="00384E4F" w:rsidRDefault="00000000" w:rsidP="00384E4F">
      <w:pPr>
        <w:jc w:val="both"/>
        <w:rPr>
          <w:sz w:val="24"/>
          <w:szCs w:val="24"/>
        </w:rPr>
      </w:pPr>
      <w:r w:rsidRPr="00384E4F">
        <w:rPr>
          <w:sz w:val="24"/>
          <w:szCs w:val="24"/>
        </w:rPr>
        <w:t>On a variety of diagnostic biomarkers, drug research and discovery are based. They aid in anticipating the therapeutic medicine's potency and the negative effects of the medications. Study the pathomechanics and toxicity of illnesses using biomarkers. In the shift from preclinical to clinical trials, biomarkers are also crucial. The research of the transition from preclinical to phase III studies used a diverse consistent set of biomarkers. Using the same imaging biomarker analysis programme for both preclinical and clinical research</w:t>
      </w:r>
      <w:r w:rsidR="006E5048">
        <w:rPr>
          <w:sz w:val="24"/>
          <w:szCs w:val="24"/>
        </w:rPr>
        <w:t xml:space="preserve">. </w:t>
      </w:r>
      <w:r w:rsidR="006E5048" w:rsidRPr="006E5048">
        <w:rPr>
          <w:b/>
          <w:bCs/>
          <w:sz w:val="24"/>
          <w:szCs w:val="24"/>
        </w:rPr>
        <w:t>[2]</w:t>
      </w:r>
    </w:p>
    <w:p w14:paraId="032ED9DB" w14:textId="77777777" w:rsidR="00A05B06" w:rsidRPr="00384E4F" w:rsidRDefault="00A05B06" w:rsidP="00384E4F">
      <w:pPr>
        <w:jc w:val="both"/>
        <w:rPr>
          <w:sz w:val="24"/>
          <w:szCs w:val="24"/>
        </w:rPr>
      </w:pPr>
    </w:p>
    <w:p w14:paraId="369E1C1D" w14:textId="77777777" w:rsidR="00A05B06" w:rsidRPr="00384E4F" w:rsidRDefault="00A05B06" w:rsidP="00384E4F">
      <w:pPr>
        <w:jc w:val="both"/>
        <w:rPr>
          <w:sz w:val="24"/>
          <w:szCs w:val="24"/>
        </w:rPr>
      </w:pPr>
    </w:p>
    <w:p w14:paraId="6AA94A4B" w14:textId="77777777" w:rsidR="00A05B06" w:rsidRPr="004072F5" w:rsidRDefault="00000000" w:rsidP="00384E4F">
      <w:pPr>
        <w:jc w:val="both"/>
        <w:rPr>
          <w:b/>
          <w:bCs/>
          <w:sz w:val="24"/>
          <w:szCs w:val="24"/>
        </w:rPr>
      </w:pPr>
      <w:r w:rsidRPr="004072F5">
        <w:rPr>
          <w:b/>
          <w:bCs/>
          <w:sz w:val="24"/>
          <w:szCs w:val="24"/>
        </w:rPr>
        <w:t>Drug development, regulation, and clinical practise: The role of biomarkers</w:t>
      </w:r>
    </w:p>
    <w:p w14:paraId="7B93FD34" w14:textId="77777777" w:rsidR="00A05B06" w:rsidRPr="00384E4F" w:rsidRDefault="00A05B06" w:rsidP="00384E4F">
      <w:pPr>
        <w:jc w:val="both"/>
        <w:rPr>
          <w:sz w:val="24"/>
          <w:szCs w:val="24"/>
        </w:rPr>
      </w:pPr>
    </w:p>
    <w:p w14:paraId="7765AB8C" w14:textId="77777777" w:rsidR="00A05B06" w:rsidRPr="00384E4F" w:rsidRDefault="00000000" w:rsidP="00384E4F">
      <w:pPr>
        <w:jc w:val="both"/>
        <w:rPr>
          <w:sz w:val="24"/>
          <w:szCs w:val="24"/>
        </w:rPr>
      </w:pPr>
      <w:r w:rsidRPr="00384E4F">
        <w:rPr>
          <w:sz w:val="24"/>
          <w:szCs w:val="24"/>
        </w:rPr>
        <w:t>1. The FDA has devised a voluntary submission method to make it easier to use these biomarkers in drug development and clinical practise. created online teaching resources and works to ensure that information about genetic/genomic biomarkers is included on drug labels.</w:t>
      </w:r>
    </w:p>
    <w:p w14:paraId="12731D36" w14:textId="77777777" w:rsidR="00A05B06" w:rsidRPr="00384E4F" w:rsidRDefault="00A05B06" w:rsidP="00384E4F">
      <w:pPr>
        <w:jc w:val="both"/>
        <w:rPr>
          <w:sz w:val="24"/>
          <w:szCs w:val="24"/>
        </w:rPr>
      </w:pPr>
    </w:p>
    <w:p w14:paraId="65346420" w14:textId="77777777" w:rsidR="00A05B06" w:rsidRPr="00384E4F" w:rsidRDefault="00000000" w:rsidP="00384E4F">
      <w:pPr>
        <w:jc w:val="both"/>
        <w:rPr>
          <w:sz w:val="24"/>
          <w:szCs w:val="24"/>
        </w:rPr>
      </w:pPr>
      <w:r w:rsidRPr="00384E4F">
        <w:rPr>
          <w:sz w:val="24"/>
          <w:szCs w:val="24"/>
        </w:rPr>
        <w:t>2. The set of preclinical safety of biomarkers that will be further assessed for clinical application was identified throughout preclinical development through a lot of work.</w:t>
      </w:r>
    </w:p>
    <w:p w14:paraId="25F212B7" w14:textId="77777777" w:rsidR="00A05B06" w:rsidRPr="00384E4F" w:rsidRDefault="00A05B06" w:rsidP="00384E4F">
      <w:pPr>
        <w:jc w:val="both"/>
        <w:rPr>
          <w:sz w:val="24"/>
          <w:szCs w:val="24"/>
        </w:rPr>
      </w:pPr>
    </w:p>
    <w:p w14:paraId="52C4D052" w14:textId="77777777" w:rsidR="00A05B06" w:rsidRPr="00384E4F" w:rsidRDefault="00000000" w:rsidP="00384E4F">
      <w:pPr>
        <w:jc w:val="both"/>
        <w:rPr>
          <w:sz w:val="24"/>
          <w:szCs w:val="24"/>
        </w:rPr>
      </w:pPr>
      <w:r w:rsidRPr="00384E4F">
        <w:rPr>
          <w:sz w:val="24"/>
          <w:szCs w:val="24"/>
        </w:rPr>
        <w:t>3. Different metabolism biomarkers and other biomarkers are used in clinical development to identify and categorise individuals, for example. CCR5 molecule.</w:t>
      </w:r>
    </w:p>
    <w:p w14:paraId="6378AB76" w14:textId="77777777" w:rsidR="00A05B06" w:rsidRPr="00384E4F" w:rsidRDefault="00A05B06" w:rsidP="00384E4F">
      <w:pPr>
        <w:jc w:val="both"/>
        <w:rPr>
          <w:sz w:val="24"/>
          <w:szCs w:val="24"/>
        </w:rPr>
      </w:pPr>
    </w:p>
    <w:p w14:paraId="2756A742" w14:textId="77777777" w:rsidR="00A05B06" w:rsidRPr="00384E4F" w:rsidRDefault="00000000" w:rsidP="00384E4F">
      <w:pPr>
        <w:jc w:val="both"/>
        <w:rPr>
          <w:sz w:val="24"/>
          <w:szCs w:val="24"/>
        </w:rPr>
      </w:pPr>
      <w:r w:rsidRPr="00384E4F">
        <w:rPr>
          <w:sz w:val="24"/>
          <w:szCs w:val="24"/>
        </w:rPr>
        <w:t>4. During the drug development process, substances can be used as targets for screening; for instance, cyclooxygenase activity can be measured to find prospective anti-inflammatory drugs.</w:t>
      </w:r>
    </w:p>
    <w:p w14:paraId="425B5D34" w14:textId="77777777" w:rsidR="00A05B06" w:rsidRPr="00384E4F" w:rsidRDefault="00A05B06" w:rsidP="00384E4F">
      <w:pPr>
        <w:jc w:val="both"/>
        <w:rPr>
          <w:sz w:val="24"/>
          <w:szCs w:val="24"/>
        </w:rPr>
      </w:pPr>
    </w:p>
    <w:p w14:paraId="46135FA5" w14:textId="38CF6D98" w:rsidR="00A05B06" w:rsidRPr="00384E4F" w:rsidRDefault="00000000" w:rsidP="00384E4F">
      <w:pPr>
        <w:jc w:val="both"/>
        <w:rPr>
          <w:sz w:val="24"/>
          <w:szCs w:val="24"/>
        </w:rPr>
      </w:pPr>
      <w:r w:rsidRPr="00384E4F">
        <w:rPr>
          <w:sz w:val="24"/>
          <w:szCs w:val="24"/>
        </w:rPr>
        <w:t xml:space="preserve">5. </w:t>
      </w:r>
      <w:r w:rsidR="006E5048">
        <w:rPr>
          <w:sz w:val="24"/>
          <w:szCs w:val="24"/>
        </w:rPr>
        <w:t>A</w:t>
      </w:r>
      <w:r w:rsidRPr="00384E4F">
        <w:rPr>
          <w:sz w:val="24"/>
          <w:szCs w:val="24"/>
        </w:rPr>
        <w:t>s well as in pharmacokinetic/pharmacodynamic studies as endpoints, such as serum cholesterol as a marker for the activity of a medicine intended to prevent cardiovascular disease.</w:t>
      </w:r>
    </w:p>
    <w:p w14:paraId="704908EB" w14:textId="77777777" w:rsidR="00A05B06" w:rsidRPr="00384E4F" w:rsidRDefault="00A05B06" w:rsidP="00384E4F">
      <w:pPr>
        <w:jc w:val="both"/>
        <w:rPr>
          <w:sz w:val="24"/>
          <w:szCs w:val="24"/>
        </w:rPr>
      </w:pPr>
    </w:p>
    <w:p w14:paraId="3CE80041" w14:textId="77777777" w:rsidR="00A05B06" w:rsidRPr="00384E4F" w:rsidRDefault="00000000" w:rsidP="00384E4F">
      <w:pPr>
        <w:jc w:val="both"/>
        <w:rPr>
          <w:sz w:val="24"/>
          <w:szCs w:val="24"/>
        </w:rPr>
      </w:pPr>
      <w:r w:rsidRPr="00384E4F">
        <w:rPr>
          <w:sz w:val="24"/>
          <w:szCs w:val="24"/>
        </w:rPr>
        <w:t>6. When examining the connection between a drug's dosage or concentration and its results</w:t>
      </w:r>
    </w:p>
    <w:p w14:paraId="2B5E9235" w14:textId="77777777" w:rsidR="00A05B06" w:rsidRPr="00384E4F" w:rsidRDefault="00A05B06" w:rsidP="00384E4F">
      <w:pPr>
        <w:jc w:val="both"/>
        <w:rPr>
          <w:sz w:val="24"/>
          <w:szCs w:val="24"/>
        </w:rPr>
      </w:pPr>
    </w:p>
    <w:p w14:paraId="661BD7DD" w14:textId="71FE0495" w:rsidR="00A05B06" w:rsidRPr="00384E4F" w:rsidRDefault="00000000" w:rsidP="00384E4F">
      <w:pPr>
        <w:jc w:val="both"/>
        <w:rPr>
          <w:sz w:val="24"/>
          <w:szCs w:val="24"/>
        </w:rPr>
      </w:pPr>
      <w:r w:rsidRPr="00384E4F">
        <w:rPr>
          <w:sz w:val="24"/>
          <w:szCs w:val="24"/>
        </w:rPr>
        <w:t xml:space="preserve">7. </w:t>
      </w:r>
      <w:r w:rsidR="006E5048">
        <w:rPr>
          <w:sz w:val="24"/>
          <w:szCs w:val="24"/>
        </w:rPr>
        <w:t>T</w:t>
      </w:r>
      <w:r w:rsidRPr="00384E4F">
        <w:rPr>
          <w:sz w:val="24"/>
          <w:szCs w:val="24"/>
        </w:rPr>
        <w:t>o assess effectiveness in clinical trials</w:t>
      </w:r>
    </w:p>
    <w:p w14:paraId="5535269B" w14:textId="77777777" w:rsidR="00A05B06" w:rsidRPr="00384E4F" w:rsidRDefault="00A05B06" w:rsidP="00384E4F">
      <w:pPr>
        <w:jc w:val="both"/>
        <w:rPr>
          <w:sz w:val="24"/>
          <w:szCs w:val="24"/>
        </w:rPr>
      </w:pPr>
    </w:p>
    <w:p w14:paraId="7316E2AB" w14:textId="5049B141" w:rsidR="00A05B06" w:rsidRPr="00384E4F" w:rsidRDefault="00000000" w:rsidP="00384E4F">
      <w:pPr>
        <w:jc w:val="both"/>
        <w:rPr>
          <w:sz w:val="24"/>
          <w:szCs w:val="24"/>
        </w:rPr>
      </w:pPr>
      <w:r w:rsidRPr="00384E4F">
        <w:rPr>
          <w:sz w:val="24"/>
          <w:szCs w:val="24"/>
        </w:rPr>
        <w:t>8. To further clarify the potential side effects of medication candidates.</w:t>
      </w:r>
      <w:r w:rsidR="006E5048" w:rsidRPr="006E5048">
        <w:rPr>
          <w:b/>
          <w:bCs/>
          <w:sz w:val="24"/>
          <w:szCs w:val="24"/>
        </w:rPr>
        <w:t>[6]</w:t>
      </w:r>
    </w:p>
    <w:p w14:paraId="5002BC92" w14:textId="77777777" w:rsidR="00A05B06" w:rsidRPr="00384E4F" w:rsidRDefault="00A05B06" w:rsidP="00384E4F">
      <w:pPr>
        <w:jc w:val="both"/>
        <w:rPr>
          <w:sz w:val="24"/>
          <w:szCs w:val="24"/>
        </w:rPr>
      </w:pPr>
    </w:p>
    <w:p w14:paraId="14091006" w14:textId="77777777" w:rsidR="00A05B06" w:rsidRPr="00384E4F" w:rsidRDefault="00000000" w:rsidP="00384E4F">
      <w:pPr>
        <w:jc w:val="both"/>
        <w:rPr>
          <w:sz w:val="24"/>
          <w:szCs w:val="24"/>
        </w:rPr>
      </w:pPr>
      <w:r w:rsidRPr="00384E4F">
        <w:rPr>
          <w:sz w:val="24"/>
          <w:szCs w:val="24"/>
        </w:rPr>
        <w:t>9. The qualifying of biomarkers for use in drug research, regulation, and clinical practise will be made easier by a process that is currently being created.</w:t>
      </w:r>
    </w:p>
    <w:p w14:paraId="3AB867A2" w14:textId="77777777" w:rsidR="00A05B06" w:rsidRPr="00384E4F" w:rsidRDefault="00A05B06" w:rsidP="00384E4F">
      <w:pPr>
        <w:jc w:val="both"/>
        <w:rPr>
          <w:sz w:val="24"/>
          <w:szCs w:val="24"/>
        </w:rPr>
      </w:pPr>
    </w:p>
    <w:p w14:paraId="4F6C8732" w14:textId="4E95ED27" w:rsidR="00A05B06" w:rsidRPr="00384E4F" w:rsidRDefault="00000000" w:rsidP="00384E4F">
      <w:pPr>
        <w:jc w:val="both"/>
        <w:rPr>
          <w:sz w:val="24"/>
          <w:szCs w:val="24"/>
        </w:rPr>
      </w:pPr>
      <w:r w:rsidRPr="00384E4F">
        <w:rPr>
          <w:sz w:val="24"/>
          <w:szCs w:val="24"/>
        </w:rPr>
        <w:t xml:space="preserve">10. To effectively integrate and use biomarkers in drug development, regulation, and clinical practise, it is crucial to </w:t>
      </w:r>
      <w:r w:rsidR="006E5048" w:rsidRPr="00384E4F">
        <w:rPr>
          <w:sz w:val="24"/>
          <w:szCs w:val="24"/>
        </w:rPr>
        <w:t>consider</w:t>
      </w:r>
      <w:r w:rsidRPr="00384E4F">
        <w:rPr>
          <w:sz w:val="24"/>
          <w:szCs w:val="24"/>
        </w:rPr>
        <w:t xml:space="preserve"> key factors including resource and data sharing.</w:t>
      </w:r>
    </w:p>
    <w:p w14:paraId="118B5EBC" w14:textId="77777777" w:rsidR="00A05B06" w:rsidRPr="00384E4F" w:rsidRDefault="00A05B06" w:rsidP="00384E4F">
      <w:pPr>
        <w:jc w:val="both"/>
        <w:rPr>
          <w:sz w:val="24"/>
          <w:szCs w:val="24"/>
        </w:rPr>
      </w:pPr>
    </w:p>
    <w:p w14:paraId="2ABE1669" w14:textId="77777777" w:rsidR="00A05B06" w:rsidRPr="004072F5" w:rsidRDefault="00000000" w:rsidP="00384E4F">
      <w:pPr>
        <w:jc w:val="both"/>
        <w:rPr>
          <w:b/>
          <w:bCs/>
          <w:sz w:val="24"/>
          <w:szCs w:val="24"/>
        </w:rPr>
      </w:pPr>
      <w:r w:rsidRPr="004072F5">
        <w:rPr>
          <w:b/>
          <w:bCs/>
          <w:sz w:val="24"/>
          <w:szCs w:val="24"/>
        </w:rPr>
        <w:t>Nanobiotechnology's Function in Biomarkers</w:t>
      </w:r>
    </w:p>
    <w:p w14:paraId="596E71E4" w14:textId="77777777" w:rsidR="00A05B06" w:rsidRPr="00384E4F" w:rsidRDefault="00A05B06" w:rsidP="00384E4F">
      <w:pPr>
        <w:jc w:val="both"/>
        <w:rPr>
          <w:sz w:val="24"/>
          <w:szCs w:val="24"/>
        </w:rPr>
      </w:pPr>
    </w:p>
    <w:p w14:paraId="7D14170F" w14:textId="765D0CEF" w:rsidR="00A05B06" w:rsidRPr="00384E4F" w:rsidRDefault="00000000" w:rsidP="00384E4F">
      <w:pPr>
        <w:jc w:val="both"/>
        <w:rPr>
          <w:sz w:val="24"/>
          <w:szCs w:val="24"/>
        </w:rPr>
      </w:pPr>
      <w:r w:rsidRPr="00384E4F">
        <w:rPr>
          <w:sz w:val="24"/>
          <w:szCs w:val="24"/>
        </w:rPr>
        <w:t xml:space="preserve">The development of nanobiotechnology will have an impact on the identification of biomarkers. The development of devices that can rapidly screen for illness biomarkers using nanotechnology is a potential. The instruments will be created by locating biomarkers for specific diseases, which can subsequently result in diagnostic testing. One effort in this field combines the knowledge of a group of experts from the Fred Hutchinson Cancer Research </w:t>
      </w:r>
      <w:proofErr w:type="spellStart"/>
      <w:r w:rsidRPr="00384E4F">
        <w:rPr>
          <w:sz w:val="24"/>
          <w:szCs w:val="24"/>
        </w:rPr>
        <w:t>Center</w:t>
      </w:r>
      <w:proofErr w:type="spellEnd"/>
      <w:r w:rsidRPr="00384E4F">
        <w:rPr>
          <w:sz w:val="24"/>
          <w:szCs w:val="24"/>
        </w:rPr>
        <w:t xml:space="preserve"> (Seattle, WA), the Seattle Biomedical Research Institute, and the Australian Institute for Bioengineering and Nanotechnology at The University of Queensland (UQ). The Queensland State Government has donated $2 million to this research as part of the National and International Research Alliances Program. The research will also be supported by the partnering institutes and UQ spin-off company </w:t>
      </w:r>
      <w:proofErr w:type="spellStart"/>
      <w:r w:rsidRPr="00384E4F">
        <w:rPr>
          <w:sz w:val="24"/>
          <w:szCs w:val="24"/>
        </w:rPr>
        <w:t>Nanomics</w:t>
      </w:r>
      <w:proofErr w:type="spellEnd"/>
      <w:r w:rsidRPr="00384E4F">
        <w:rPr>
          <w:sz w:val="24"/>
          <w:szCs w:val="24"/>
        </w:rPr>
        <w:t xml:space="preserve"> Biosystems Pty Ltd. in addition to financing from Alliances. Researchers at the California Institute of Technology (Pasadena, CA) are working on an early cancer detection strategy based on nanoscale transistors in extremely small circuits. An antibody, a biological molecule made specifically to bind to a biomarker, can be added to each transistor. The biomarker's presence is shown by a modest alteration in the transistor's ability to conduct electricity when the antibody binds to it. The long-term objective is to create a circuit like a minuscule computer chip that can identify hundreds or thousands of indicators in a single test, allowing for the early detection of tumours that would otherwise go undiagnosed. </w:t>
      </w:r>
      <w:r w:rsidR="006E5048" w:rsidRPr="00AE5D89">
        <w:rPr>
          <w:b/>
          <w:bCs/>
          <w:sz w:val="24"/>
          <w:szCs w:val="24"/>
        </w:rPr>
        <w:t>[</w:t>
      </w:r>
      <w:r w:rsidR="00AE5D89" w:rsidRPr="00AE5D89">
        <w:rPr>
          <w:b/>
          <w:bCs/>
          <w:sz w:val="24"/>
          <w:szCs w:val="24"/>
        </w:rPr>
        <w:t>2]</w:t>
      </w:r>
    </w:p>
    <w:p w14:paraId="06C5957C" w14:textId="77777777" w:rsidR="00A05B06" w:rsidRPr="00384E4F" w:rsidRDefault="00A05B06" w:rsidP="00384E4F">
      <w:pPr>
        <w:jc w:val="both"/>
        <w:rPr>
          <w:sz w:val="24"/>
          <w:szCs w:val="24"/>
        </w:rPr>
      </w:pPr>
    </w:p>
    <w:p w14:paraId="65047369" w14:textId="0DD45A64" w:rsidR="00A05B06" w:rsidRPr="00384E4F" w:rsidRDefault="00000000" w:rsidP="00384E4F">
      <w:pPr>
        <w:jc w:val="both"/>
        <w:rPr>
          <w:sz w:val="24"/>
          <w:szCs w:val="24"/>
        </w:rPr>
      </w:pPr>
      <w:r w:rsidRPr="00384E4F">
        <w:rPr>
          <w:sz w:val="24"/>
          <w:szCs w:val="24"/>
        </w:rPr>
        <w:t xml:space="preserve">When treatment is initiated relatively early on, cancer is simpler to treat and less prone to develop drug resistance. Early-stage cancer cells are less likely to have mutations that make </w:t>
      </w:r>
      <w:r w:rsidRPr="00384E4F">
        <w:rPr>
          <w:sz w:val="24"/>
          <w:szCs w:val="24"/>
        </w:rPr>
        <w:lastRenderedPageBreak/>
        <w:t>them immune to therapy. Cancer cells may be hard to spot at first, but they leave a fingerprint in the form of a pattern of alteration in blood-circulating biomarker proteins. There could be 20–25 biomarkers, and each assessment could require as much as 500 samples of blood drawn from a pinprick. Nanoscale diagnostics will therefore be crucial to this effort</w:t>
      </w:r>
      <w:r w:rsidR="00AE5D89">
        <w:rPr>
          <w:sz w:val="24"/>
          <w:szCs w:val="24"/>
        </w:rPr>
        <w:t xml:space="preserve"> </w:t>
      </w:r>
      <w:r w:rsidR="00495609" w:rsidRPr="00495609">
        <w:rPr>
          <w:b/>
          <w:bCs/>
          <w:sz w:val="24"/>
          <w:szCs w:val="24"/>
        </w:rPr>
        <w:t>[2]</w:t>
      </w:r>
      <w:r w:rsidR="00AE5D89">
        <w:rPr>
          <w:sz w:val="24"/>
          <w:szCs w:val="24"/>
        </w:rPr>
        <w:t>.</w:t>
      </w:r>
    </w:p>
    <w:p w14:paraId="76CC7A47" w14:textId="77777777" w:rsidR="00A05B06" w:rsidRPr="00384E4F" w:rsidRDefault="00A05B06" w:rsidP="00384E4F">
      <w:pPr>
        <w:jc w:val="both"/>
        <w:rPr>
          <w:sz w:val="24"/>
          <w:szCs w:val="24"/>
        </w:rPr>
      </w:pPr>
    </w:p>
    <w:p w14:paraId="1D7BEEA8" w14:textId="4B87303A" w:rsidR="00A05B06" w:rsidRPr="004072F5" w:rsidRDefault="004072F5" w:rsidP="00384E4F">
      <w:pPr>
        <w:jc w:val="both"/>
        <w:rPr>
          <w:b/>
          <w:bCs/>
          <w:sz w:val="24"/>
          <w:szCs w:val="24"/>
        </w:rPr>
      </w:pPr>
      <w:r w:rsidRPr="004072F5">
        <w:rPr>
          <w:b/>
          <w:bCs/>
          <w:sz w:val="24"/>
          <w:szCs w:val="24"/>
        </w:rPr>
        <w:t>Digital biomarkers' function</w:t>
      </w:r>
    </w:p>
    <w:p w14:paraId="367F560F" w14:textId="77777777" w:rsidR="00A05B06" w:rsidRPr="00384E4F" w:rsidRDefault="00A05B06" w:rsidP="00384E4F">
      <w:pPr>
        <w:jc w:val="both"/>
        <w:rPr>
          <w:sz w:val="24"/>
          <w:szCs w:val="24"/>
        </w:rPr>
      </w:pPr>
    </w:p>
    <w:p w14:paraId="5A1B9997" w14:textId="77777777" w:rsidR="00AE5D89" w:rsidRDefault="00000000" w:rsidP="00384E4F">
      <w:pPr>
        <w:jc w:val="both"/>
        <w:rPr>
          <w:sz w:val="24"/>
          <w:szCs w:val="24"/>
        </w:rPr>
      </w:pPr>
      <w:r w:rsidRPr="00384E4F">
        <w:rPr>
          <w:sz w:val="24"/>
          <w:szCs w:val="24"/>
        </w:rPr>
        <w:t xml:space="preserve">The subject of digital biomarkers is one that is advancing quickly. The ability to </w:t>
      </w:r>
      <w:r w:rsidR="00495609" w:rsidRPr="00384E4F">
        <w:rPr>
          <w:sz w:val="24"/>
          <w:szCs w:val="24"/>
        </w:rPr>
        <w:t>assimilate information quickly and continuously</w:t>
      </w:r>
      <w:r w:rsidRPr="00384E4F">
        <w:rPr>
          <w:sz w:val="24"/>
          <w:szCs w:val="24"/>
        </w:rPr>
        <w:t xml:space="preserve"> about a person that offers insight into complicated metrics including psychological state, exercise level, cognitive capacities, eating patterns, mobility, and tremor has been made possible by sensors and mobile gadgets. Standards for evaluating these biomarkers are just now emerging because this data are largely collected from new sources like </w:t>
      </w:r>
      <w:r w:rsidR="00495609" w:rsidRPr="00384E4F">
        <w:rPr>
          <w:sz w:val="24"/>
          <w:szCs w:val="24"/>
        </w:rPr>
        <w:t>cell phones</w:t>
      </w:r>
      <w:r w:rsidRPr="00384E4F">
        <w:rPr>
          <w:sz w:val="24"/>
          <w:szCs w:val="24"/>
        </w:rPr>
        <w:t xml:space="preserve"> and wearable electronic devices and supported by modern technologies that enable the streaming and storing of complicated data. Although the Clinical Trials Transformation Initiative has just recently released guidelines on industry-wide quality </w:t>
      </w:r>
    </w:p>
    <w:p w14:paraId="045653DB" w14:textId="77777777" w:rsidR="00AE5D89" w:rsidRDefault="00AE5D89" w:rsidP="00384E4F">
      <w:pPr>
        <w:jc w:val="both"/>
        <w:rPr>
          <w:sz w:val="24"/>
          <w:szCs w:val="24"/>
        </w:rPr>
      </w:pPr>
    </w:p>
    <w:p w14:paraId="4E154BAC" w14:textId="59FF2B9C" w:rsidR="00A05B06" w:rsidRPr="00384E4F" w:rsidRDefault="00000000" w:rsidP="00384E4F">
      <w:pPr>
        <w:jc w:val="both"/>
        <w:rPr>
          <w:sz w:val="24"/>
          <w:szCs w:val="24"/>
        </w:rPr>
      </w:pPr>
      <w:r w:rsidRPr="00384E4F">
        <w:rPr>
          <w:sz w:val="24"/>
          <w:szCs w:val="24"/>
        </w:rPr>
        <w:t>standards,</w:t>
      </w:r>
      <w:r w:rsidR="00AE5D89">
        <w:rPr>
          <w:sz w:val="24"/>
          <w:szCs w:val="24"/>
        </w:rPr>
        <w:t xml:space="preserve"> </w:t>
      </w:r>
      <w:r w:rsidRPr="00384E4F">
        <w:rPr>
          <w:sz w:val="24"/>
          <w:szCs w:val="24"/>
        </w:rPr>
        <w:t xml:space="preserve">much more research is still required to establish a connection between digital phenotypes and endpoints and conventional outcome measurements. For instance, the 6-minute walk test and sitting resting systolic blood pressure are now accepted methods for evaluating exercise tolerance and blood pressure, respectively. While sensors and smartphone apps for blood pressure measurement are evolving, the relationship between the patient's activity status and measurements obtained from wearable accelerometers, such as ones embedded in wristwatches or </w:t>
      </w:r>
      <w:r w:rsidR="00184DE3" w:rsidRPr="00384E4F">
        <w:rPr>
          <w:sz w:val="24"/>
          <w:szCs w:val="24"/>
        </w:rPr>
        <w:t>cell phones</w:t>
      </w:r>
      <w:r w:rsidRPr="00384E4F">
        <w:rPr>
          <w:sz w:val="24"/>
          <w:szCs w:val="24"/>
        </w:rPr>
        <w:t>, is still under development. Dealing with missing data, outlier values, and the reduction of enormous volumes of data into measures that can guide decisions will take a lot of work.</w:t>
      </w:r>
    </w:p>
    <w:p w14:paraId="2204F79A" w14:textId="77777777" w:rsidR="00A05B06" w:rsidRPr="00384E4F" w:rsidRDefault="00A05B06" w:rsidP="00384E4F">
      <w:pPr>
        <w:jc w:val="both"/>
        <w:rPr>
          <w:sz w:val="24"/>
          <w:szCs w:val="24"/>
        </w:rPr>
      </w:pPr>
    </w:p>
    <w:p w14:paraId="339B9AEC" w14:textId="3F535140" w:rsidR="00A05B06" w:rsidRPr="00384E4F" w:rsidRDefault="00000000" w:rsidP="00384E4F">
      <w:pPr>
        <w:jc w:val="both"/>
        <w:rPr>
          <w:sz w:val="24"/>
          <w:szCs w:val="24"/>
        </w:rPr>
      </w:pPr>
      <w:r w:rsidRPr="00384E4F">
        <w:rPr>
          <w:sz w:val="24"/>
          <w:szCs w:val="24"/>
        </w:rPr>
        <w:t xml:space="preserve">In the end, it's likely that digital biomarkers will </w:t>
      </w:r>
      <w:r w:rsidR="00184DE3" w:rsidRPr="00384E4F">
        <w:rPr>
          <w:sz w:val="24"/>
          <w:szCs w:val="24"/>
        </w:rPr>
        <w:t>open</w:t>
      </w:r>
      <w:r w:rsidRPr="00384E4F">
        <w:rPr>
          <w:sz w:val="24"/>
          <w:szCs w:val="24"/>
        </w:rPr>
        <w:t xml:space="preserve"> completely new ways to measure already-used phenomena. For instance, it's possible that total activity throughout the day or a composite of peak activity and continuous activity would serve as a better indicator of risk or susceptibility for developing new diseases, prognosis for those who already have a disease, or response to treatment (response biomarker).</w:t>
      </w:r>
    </w:p>
    <w:p w14:paraId="7393309D" w14:textId="77777777" w:rsidR="00A05B06" w:rsidRPr="00384E4F" w:rsidRDefault="00A05B06" w:rsidP="00384E4F">
      <w:pPr>
        <w:jc w:val="both"/>
        <w:rPr>
          <w:sz w:val="24"/>
          <w:szCs w:val="24"/>
        </w:rPr>
      </w:pPr>
    </w:p>
    <w:p w14:paraId="70BCF1EA" w14:textId="2242F71B" w:rsidR="00A05B06" w:rsidRPr="00384E4F" w:rsidRDefault="00184DE3" w:rsidP="00384E4F">
      <w:pPr>
        <w:jc w:val="both"/>
        <w:rPr>
          <w:sz w:val="24"/>
          <w:szCs w:val="24"/>
        </w:rPr>
      </w:pPr>
      <w:r w:rsidRPr="00384E4F">
        <w:rPr>
          <w:sz w:val="24"/>
          <w:szCs w:val="24"/>
        </w:rPr>
        <w:t>Like</w:t>
      </w:r>
      <w:r w:rsidR="00000000" w:rsidRPr="00384E4F">
        <w:rPr>
          <w:sz w:val="24"/>
          <w:szCs w:val="24"/>
        </w:rPr>
        <w:t xml:space="preserve"> this, it is likely that derivative measures from a variety of blood pressures and activities will be a better indicator of response to therapy for hypertension than seated resting blood pressure measurement when very frequent blood pressure measurements are possible. </w:t>
      </w:r>
      <w:r w:rsidR="00C2322B" w:rsidRPr="00C2322B">
        <w:rPr>
          <w:b/>
          <w:bCs/>
          <w:sz w:val="24"/>
          <w:szCs w:val="24"/>
        </w:rPr>
        <w:t>[</w:t>
      </w:r>
      <w:r w:rsidR="00C2322B">
        <w:rPr>
          <w:b/>
          <w:bCs/>
          <w:sz w:val="24"/>
          <w:szCs w:val="24"/>
        </w:rPr>
        <w:t>8</w:t>
      </w:r>
      <w:r w:rsidR="001A39BA">
        <w:rPr>
          <w:b/>
          <w:bCs/>
          <w:sz w:val="24"/>
          <w:szCs w:val="24"/>
        </w:rPr>
        <w:t>,37</w:t>
      </w:r>
      <w:r w:rsidR="00AE5D89">
        <w:rPr>
          <w:b/>
          <w:bCs/>
          <w:sz w:val="24"/>
          <w:szCs w:val="24"/>
        </w:rPr>
        <w:t>,38</w:t>
      </w:r>
      <w:r w:rsidR="00C2322B" w:rsidRPr="00C2322B">
        <w:rPr>
          <w:b/>
          <w:bCs/>
          <w:sz w:val="24"/>
          <w:szCs w:val="24"/>
        </w:rPr>
        <w:t>]</w:t>
      </w:r>
    </w:p>
    <w:p w14:paraId="1B999A04" w14:textId="6219EE0B" w:rsidR="00A05B06" w:rsidRDefault="00A05B06" w:rsidP="00384E4F">
      <w:pPr>
        <w:jc w:val="both"/>
        <w:rPr>
          <w:sz w:val="24"/>
          <w:szCs w:val="24"/>
        </w:rPr>
      </w:pPr>
    </w:p>
    <w:p w14:paraId="57705578" w14:textId="70EA843D" w:rsidR="00313B62" w:rsidRDefault="00313B62" w:rsidP="00313B62">
      <w:pPr>
        <w:jc w:val="both"/>
        <w:rPr>
          <w:b/>
          <w:bCs/>
          <w:sz w:val="24"/>
          <w:szCs w:val="24"/>
        </w:rPr>
      </w:pPr>
      <w:r>
        <w:rPr>
          <w:b/>
          <w:bCs/>
          <w:sz w:val="24"/>
          <w:szCs w:val="24"/>
        </w:rPr>
        <w:t>Summary of various biomarker in different diseases</w:t>
      </w:r>
    </w:p>
    <w:p w14:paraId="6FE0015C" w14:textId="7FA10F8B" w:rsidR="00313B62" w:rsidRDefault="00313B62" w:rsidP="00313B62">
      <w:pPr>
        <w:jc w:val="both"/>
        <w:rPr>
          <w:b/>
          <w:bCs/>
          <w:sz w:val="24"/>
          <w:szCs w:val="24"/>
        </w:rPr>
      </w:pPr>
    </w:p>
    <w:tbl>
      <w:tblPr>
        <w:tblW w:w="10060" w:type="dxa"/>
        <w:tblLook w:val="04A0" w:firstRow="1" w:lastRow="0" w:firstColumn="1" w:lastColumn="0" w:noHBand="0" w:noVBand="1"/>
      </w:tblPr>
      <w:tblGrid>
        <w:gridCol w:w="1768"/>
        <w:gridCol w:w="2480"/>
        <w:gridCol w:w="5812"/>
      </w:tblGrid>
      <w:tr w:rsidR="00461948" w:rsidRPr="00461948" w14:paraId="5686275A" w14:textId="77777777" w:rsidTr="0085004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FDB7C" w14:textId="77777777" w:rsidR="00461948" w:rsidRPr="00461948" w:rsidRDefault="00461948" w:rsidP="00461948">
            <w:pPr>
              <w:rPr>
                <w:rFonts w:ascii="Calibri" w:hAnsi="Calibri" w:cs="Calibri"/>
                <w:b/>
                <w:bCs/>
                <w:color w:val="000000"/>
                <w:sz w:val="22"/>
                <w:szCs w:val="22"/>
              </w:rPr>
            </w:pPr>
            <w:r w:rsidRPr="00461948">
              <w:rPr>
                <w:rFonts w:ascii="Calibri" w:hAnsi="Calibri" w:cs="Calibri"/>
                <w:b/>
                <w:bCs/>
                <w:color w:val="000000"/>
                <w:sz w:val="22"/>
                <w:szCs w:val="22"/>
              </w:rPr>
              <w:t>Disease</w:t>
            </w:r>
          </w:p>
        </w:tc>
        <w:tc>
          <w:tcPr>
            <w:tcW w:w="2480" w:type="dxa"/>
            <w:tcBorders>
              <w:top w:val="single" w:sz="4" w:space="0" w:color="auto"/>
              <w:left w:val="nil"/>
              <w:bottom w:val="single" w:sz="4" w:space="0" w:color="auto"/>
              <w:right w:val="single" w:sz="4" w:space="0" w:color="auto"/>
            </w:tcBorders>
            <w:shd w:val="clear" w:color="auto" w:fill="auto"/>
            <w:hideMark/>
          </w:tcPr>
          <w:p w14:paraId="0213F57F" w14:textId="77777777" w:rsidR="00461948" w:rsidRPr="00461948" w:rsidRDefault="00461948" w:rsidP="00461948">
            <w:pPr>
              <w:rPr>
                <w:rFonts w:ascii="Calibri" w:hAnsi="Calibri" w:cs="Calibri"/>
                <w:b/>
                <w:bCs/>
                <w:color w:val="000000"/>
                <w:sz w:val="22"/>
                <w:szCs w:val="22"/>
              </w:rPr>
            </w:pPr>
            <w:r w:rsidRPr="00461948">
              <w:rPr>
                <w:rFonts w:ascii="Calibri" w:hAnsi="Calibri" w:cs="Calibri"/>
                <w:b/>
                <w:bCs/>
                <w:color w:val="000000"/>
                <w:sz w:val="22"/>
                <w:szCs w:val="22"/>
              </w:rPr>
              <w:t>Biomarkers</w:t>
            </w:r>
          </w:p>
        </w:tc>
        <w:tc>
          <w:tcPr>
            <w:tcW w:w="5812" w:type="dxa"/>
            <w:tcBorders>
              <w:top w:val="single" w:sz="4" w:space="0" w:color="auto"/>
              <w:left w:val="nil"/>
              <w:bottom w:val="single" w:sz="4" w:space="0" w:color="auto"/>
              <w:right w:val="single" w:sz="4" w:space="0" w:color="auto"/>
            </w:tcBorders>
            <w:shd w:val="clear" w:color="auto" w:fill="auto"/>
            <w:noWrap/>
            <w:hideMark/>
          </w:tcPr>
          <w:p w14:paraId="52BDCD9F" w14:textId="77777777" w:rsidR="00461948" w:rsidRPr="00461948" w:rsidRDefault="00461948" w:rsidP="00461948">
            <w:pPr>
              <w:rPr>
                <w:rFonts w:ascii="Calibri" w:hAnsi="Calibri" w:cs="Calibri"/>
                <w:b/>
                <w:bCs/>
                <w:color w:val="000000"/>
                <w:sz w:val="22"/>
                <w:szCs w:val="22"/>
              </w:rPr>
            </w:pPr>
            <w:r w:rsidRPr="00461948">
              <w:rPr>
                <w:rFonts w:ascii="Calibri" w:hAnsi="Calibri" w:cs="Calibri"/>
                <w:b/>
                <w:bCs/>
                <w:color w:val="000000"/>
                <w:sz w:val="22"/>
                <w:szCs w:val="22"/>
              </w:rPr>
              <w:t>Study Of Outcome</w:t>
            </w:r>
          </w:p>
        </w:tc>
      </w:tr>
      <w:tr w:rsidR="00461948" w:rsidRPr="00461948" w14:paraId="0474202F" w14:textId="77777777" w:rsidTr="0085004C">
        <w:trPr>
          <w:trHeight w:val="92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A08953" w14:textId="501C9F9F" w:rsidR="00461948" w:rsidRPr="00461948" w:rsidRDefault="00461948" w:rsidP="00461948">
            <w:pPr>
              <w:jc w:val="center"/>
              <w:rPr>
                <w:rFonts w:ascii="Calibri" w:hAnsi="Calibri" w:cs="Calibri"/>
                <w:color w:val="000000"/>
                <w:sz w:val="22"/>
                <w:szCs w:val="22"/>
              </w:rPr>
            </w:pPr>
            <w:r w:rsidRPr="00461948">
              <w:rPr>
                <w:rFonts w:ascii="Calibri" w:hAnsi="Calibri" w:cs="Calibri"/>
                <w:color w:val="000000"/>
                <w:sz w:val="22"/>
                <w:szCs w:val="22"/>
              </w:rPr>
              <w:t>COVID-19</w:t>
            </w:r>
          </w:p>
        </w:tc>
        <w:tc>
          <w:tcPr>
            <w:tcW w:w="2480" w:type="dxa"/>
            <w:tcBorders>
              <w:top w:val="nil"/>
              <w:left w:val="nil"/>
              <w:bottom w:val="single" w:sz="4" w:space="0" w:color="auto"/>
              <w:right w:val="single" w:sz="4" w:space="0" w:color="auto"/>
            </w:tcBorders>
            <w:shd w:val="clear" w:color="auto" w:fill="auto"/>
            <w:hideMark/>
          </w:tcPr>
          <w:p w14:paraId="70C128FD"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Lymphocytes, IL-6, D-dimer, platelet count</w:t>
            </w:r>
          </w:p>
        </w:tc>
        <w:tc>
          <w:tcPr>
            <w:tcW w:w="5812" w:type="dxa"/>
            <w:tcBorders>
              <w:top w:val="nil"/>
              <w:left w:val="nil"/>
              <w:bottom w:val="single" w:sz="4" w:space="0" w:color="auto"/>
              <w:right w:val="single" w:sz="4" w:space="0" w:color="auto"/>
            </w:tcBorders>
            <w:shd w:val="clear" w:color="auto" w:fill="auto"/>
            <w:hideMark/>
          </w:tcPr>
          <w:p w14:paraId="3D4E6B38" w14:textId="4D72087F"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Compared to non-ICU patients, ICU patients had higher plasma levels of IL-6, D-</w:t>
            </w:r>
            <w:r w:rsidRPr="00461948">
              <w:rPr>
                <w:rFonts w:ascii="Calibri" w:hAnsi="Calibri" w:cs="Calibri"/>
                <w:color w:val="000000"/>
                <w:sz w:val="22"/>
                <w:szCs w:val="22"/>
              </w:rPr>
              <w:t>dimer,</w:t>
            </w:r>
            <w:r w:rsidRPr="00461948">
              <w:rPr>
                <w:rFonts w:ascii="Calibri" w:hAnsi="Calibri" w:cs="Calibri"/>
                <w:color w:val="000000"/>
                <w:sz w:val="22"/>
                <w:szCs w:val="22"/>
              </w:rPr>
              <w:t xml:space="preserve"> and platelets. Lymphopenia was more common in ICU patients than non-ICU patients</w:t>
            </w:r>
            <w:r w:rsidR="0085004C">
              <w:rPr>
                <w:rFonts w:ascii="Calibri" w:hAnsi="Calibri" w:cs="Calibri"/>
                <w:color w:val="000000"/>
                <w:sz w:val="22"/>
                <w:szCs w:val="22"/>
              </w:rPr>
              <w:t xml:space="preserve"> </w:t>
            </w:r>
            <w:r w:rsidR="0085004C" w:rsidRPr="0085004C">
              <w:rPr>
                <w:rFonts w:ascii="Calibri" w:hAnsi="Calibri" w:cs="Calibri"/>
                <w:b/>
                <w:bCs/>
                <w:color w:val="000000"/>
                <w:sz w:val="22"/>
                <w:szCs w:val="22"/>
              </w:rPr>
              <w:t>[39]</w:t>
            </w:r>
          </w:p>
        </w:tc>
      </w:tr>
      <w:tr w:rsidR="00461948" w:rsidRPr="00461948" w14:paraId="296291C7" w14:textId="77777777" w:rsidTr="0085004C">
        <w:trPr>
          <w:trHeight w:val="695"/>
        </w:trPr>
        <w:tc>
          <w:tcPr>
            <w:tcW w:w="0" w:type="auto"/>
            <w:vMerge/>
            <w:tcBorders>
              <w:top w:val="nil"/>
              <w:left w:val="single" w:sz="4" w:space="0" w:color="auto"/>
              <w:bottom w:val="single" w:sz="4" w:space="0" w:color="auto"/>
              <w:right w:val="single" w:sz="4" w:space="0" w:color="auto"/>
            </w:tcBorders>
            <w:vAlign w:val="center"/>
            <w:hideMark/>
          </w:tcPr>
          <w:p w14:paraId="76036092"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7A9CB566"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CRP, WCC</w:t>
            </w:r>
          </w:p>
        </w:tc>
        <w:tc>
          <w:tcPr>
            <w:tcW w:w="5812" w:type="dxa"/>
            <w:tcBorders>
              <w:top w:val="nil"/>
              <w:left w:val="nil"/>
              <w:bottom w:val="single" w:sz="4" w:space="0" w:color="auto"/>
              <w:right w:val="single" w:sz="4" w:space="0" w:color="auto"/>
            </w:tcBorders>
            <w:shd w:val="clear" w:color="auto" w:fill="auto"/>
            <w:hideMark/>
          </w:tcPr>
          <w:p w14:paraId="68E80DB4" w14:textId="3F08B2F2"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 xml:space="preserve">Critically severe patients had significantly higher CRP and WCC than severe or </w:t>
            </w:r>
            <w:r w:rsidRPr="00461948">
              <w:rPr>
                <w:rFonts w:ascii="Calibri" w:hAnsi="Calibri" w:cs="Calibri"/>
                <w:color w:val="000000"/>
                <w:sz w:val="22"/>
                <w:szCs w:val="22"/>
              </w:rPr>
              <w:t>no severe</w:t>
            </w:r>
            <w:r w:rsidRPr="00461948">
              <w:rPr>
                <w:rFonts w:ascii="Calibri" w:hAnsi="Calibri" w:cs="Calibri"/>
                <w:color w:val="000000"/>
                <w:sz w:val="22"/>
                <w:szCs w:val="22"/>
              </w:rPr>
              <w:t xml:space="preserve"> patients</w:t>
            </w:r>
            <w:r w:rsidR="006A2AA2">
              <w:rPr>
                <w:rFonts w:ascii="Calibri" w:hAnsi="Calibri" w:cs="Calibri"/>
                <w:color w:val="000000"/>
                <w:sz w:val="22"/>
                <w:szCs w:val="22"/>
              </w:rPr>
              <w:t xml:space="preserve"> </w:t>
            </w:r>
            <w:r w:rsidR="006A2AA2" w:rsidRPr="006A2AA2">
              <w:rPr>
                <w:rFonts w:ascii="Calibri" w:hAnsi="Calibri" w:cs="Calibri"/>
                <w:b/>
                <w:bCs/>
                <w:color w:val="000000"/>
                <w:sz w:val="22"/>
                <w:szCs w:val="22"/>
              </w:rPr>
              <w:t>[40]</w:t>
            </w:r>
          </w:p>
        </w:tc>
      </w:tr>
      <w:tr w:rsidR="00461948" w:rsidRPr="00461948" w14:paraId="2792C92C" w14:textId="77777777" w:rsidTr="0085004C">
        <w:trPr>
          <w:trHeight w:val="1152"/>
        </w:trPr>
        <w:tc>
          <w:tcPr>
            <w:tcW w:w="0" w:type="auto"/>
            <w:vMerge/>
            <w:tcBorders>
              <w:top w:val="nil"/>
              <w:left w:val="single" w:sz="4" w:space="0" w:color="auto"/>
              <w:bottom w:val="single" w:sz="4" w:space="0" w:color="auto"/>
              <w:right w:val="single" w:sz="4" w:space="0" w:color="auto"/>
            </w:tcBorders>
            <w:vAlign w:val="center"/>
            <w:hideMark/>
          </w:tcPr>
          <w:p w14:paraId="457F3B89"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3D1BD21C"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LDH, NC, CRP, platelet count</w:t>
            </w:r>
          </w:p>
        </w:tc>
        <w:tc>
          <w:tcPr>
            <w:tcW w:w="5812" w:type="dxa"/>
            <w:tcBorders>
              <w:top w:val="nil"/>
              <w:left w:val="nil"/>
              <w:bottom w:val="single" w:sz="4" w:space="0" w:color="auto"/>
              <w:right w:val="single" w:sz="4" w:space="0" w:color="auto"/>
            </w:tcBorders>
            <w:shd w:val="clear" w:color="auto" w:fill="auto"/>
            <w:hideMark/>
          </w:tcPr>
          <w:p w14:paraId="6F583FC1" w14:textId="31B49D2F"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LDH, NC, CRP and platelet count were higher in refractory vs general patients. Refractory patients had more cases of lung abnormalities, suggesting these biomarkers correlate with development of disease</w:t>
            </w:r>
            <w:r w:rsidR="006A2AA2">
              <w:rPr>
                <w:rFonts w:ascii="Calibri" w:hAnsi="Calibri" w:cs="Calibri"/>
                <w:color w:val="000000"/>
                <w:sz w:val="22"/>
                <w:szCs w:val="22"/>
              </w:rPr>
              <w:t xml:space="preserve"> </w:t>
            </w:r>
            <w:r w:rsidR="006A2AA2" w:rsidRPr="006A2AA2">
              <w:rPr>
                <w:rFonts w:ascii="Calibri" w:hAnsi="Calibri" w:cs="Calibri"/>
                <w:b/>
                <w:bCs/>
                <w:color w:val="000000"/>
                <w:sz w:val="22"/>
                <w:szCs w:val="22"/>
              </w:rPr>
              <w:t>[41]</w:t>
            </w:r>
          </w:p>
        </w:tc>
      </w:tr>
      <w:tr w:rsidR="00461948" w:rsidRPr="00461948" w14:paraId="0F007AC6" w14:textId="77777777" w:rsidTr="0085004C">
        <w:trPr>
          <w:trHeight w:val="1440"/>
        </w:trPr>
        <w:tc>
          <w:tcPr>
            <w:tcW w:w="0" w:type="auto"/>
            <w:vMerge/>
            <w:tcBorders>
              <w:top w:val="nil"/>
              <w:left w:val="single" w:sz="4" w:space="0" w:color="auto"/>
              <w:bottom w:val="single" w:sz="4" w:space="0" w:color="auto"/>
              <w:right w:val="single" w:sz="4" w:space="0" w:color="auto"/>
            </w:tcBorders>
            <w:vAlign w:val="center"/>
            <w:hideMark/>
          </w:tcPr>
          <w:p w14:paraId="453C72C7"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3B0C154F"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D-dimer, Platelet count, CRP lymphocytes and LDH</w:t>
            </w:r>
          </w:p>
        </w:tc>
        <w:tc>
          <w:tcPr>
            <w:tcW w:w="5812" w:type="dxa"/>
            <w:tcBorders>
              <w:top w:val="nil"/>
              <w:left w:val="nil"/>
              <w:bottom w:val="single" w:sz="4" w:space="0" w:color="auto"/>
              <w:right w:val="single" w:sz="4" w:space="0" w:color="auto"/>
            </w:tcBorders>
            <w:shd w:val="clear" w:color="auto" w:fill="auto"/>
            <w:hideMark/>
          </w:tcPr>
          <w:p w14:paraId="599A4972" w14:textId="1E96A0BD"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 xml:space="preserve">Although there were evident differences in lymphocytes (lymphocytopenia), platelet count (rose) and D-dimer (rose) in patients who experienced composite endpoints (ICU admission, invasive mechanical </w:t>
            </w:r>
            <w:r w:rsidR="004871E0" w:rsidRPr="00461948">
              <w:rPr>
                <w:rFonts w:ascii="Calibri" w:hAnsi="Calibri" w:cs="Calibri"/>
                <w:color w:val="000000"/>
                <w:sz w:val="22"/>
                <w:szCs w:val="22"/>
              </w:rPr>
              <w:t>ventilation,</w:t>
            </w:r>
            <w:r w:rsidRPr="00461948">
              <w:rPr>
                <w:rFonts w:ascii="Calibri" w:hAnsi="Calibri" w:cs="Calibri"/>
                <w:color w:val="000000"/>
                <w:sz w:val="22"/>
                <w:szCs w:val="22"/>
              </w:rPr>
              <w:t xml:space="preserve"> and death) there was no statistical analysis performed</w:t>
            </w:r>
            <w:r w:rsidR="006A2AA2">
              <w:rPr>
                <w:rFonts w:ascii="Calibri" w:hAnsi="Calibri" w:cs="Calibri"/>
                <w:color w:val="000000"/>
                <w:sz w:val="22"/>
                <w:szCs w:val="22"/>
              </w:rPr>
              <w:t xml:space="preserve"> </w:t>
            </w:r>
            <w:r w:rsidR="006A2AA2" w:rsidRPr="006A2AA2">
              <w:rPr>
                <w:rFonts w:ascii="Calibri" w:hAnsi="Calibri" w:cs="Calibri"/>
                <w:b/>
                <w:bCs/>
                <w:color w:val="000000"/>
                <w:sz w:val="22"/>
                <w:szCs w:val="22"/>
              </w:rPr>
              <w:t>[42]</w:t>
            </w:r>
          </w:p>
        </w:tc>
      </w:tr>
      <w:tr w:rsidR="00461948" w:rsidRPr="00461948" w14:paraId="0FC28FF2" w14:textId="77777777" w:rsidTr="0085004C">
        <w:trPr>
          <w:trHeight w:val="1440"/>
        </w:trPr>
        <w:tc>
          <w:tcPr>
            <w:tcW w:w="0" w:type="auto"/>
            <w:vMerge/>
            <w:tcBorders>
              <w:top w:val="nil"/>
              <w:left w:val="single" w:sz="4" w:space="0" w:color="auto"/>
              <w:bottom w:val="single" w:sz="4" w:space="0" w:color="auto"/>
              <w:right w:val="single" w:sz="4" w:space="0" w:color="auto"/>
            </w:tcBorders>
            <w:vAlign w:val="center"/>
            <w:hideMark/>
          </w:tcPr>
          <w:p w14:paraId="2072C809"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6E70CD65"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Lymphocytes, Albumin, Neutrophils, CRP, PaO2/FiO2, platelet count, creatinine and LDH</w:t>
            </w:r>
          </w:p>
        </w:tc>
        <w:tc>
          <w:tcPr>
            <w:tcW w:w="5812" w:type="dxa"/>
            <w:tcBorders>
              <w:top w:val="nil"/>
              <w:left w:val="nil"/>
              <w:bottom w:val="single" w:sz="4" w:space="0" w:color="auto"/>
              <w:right w:val="single" w:sz="4" w:space="0" w:color="auto"/>
            </w:tcBorders>
            <w:shd w:val="clear" w:color="auto" w:fill="auto"/>
            <w:hideMark/>
          </w:tcPr>
          <w:p w14:paraId="78848A82" w14:textId="1FAD59A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Ct value of virus correlated strongly with CRP, albumin and LDH among others. Murray score for ARDS correlated with the same markers.</w:t>
            </w:r>
            <w:r w:rsidR="006A2AA2">
              <w:rPr>
                <w:rFonts w:ascii="Calibri" w:hAnsi="Calibri" w:cs="Calibri"/>
                <w:color w:val="000000"/>
                <w:sz w:val="22"/>
                <w:szCs w:val="22"/>
              </w:rPr>
              <w:t xml:space="preserve"> </w:t>
            </w:r>
            <w:r w:rsidR="006A2AA2" w:rsidRPr="006A2AA2">
              <w:rPr>
                <w:rFonts w:ascii="Calibri" w:hAnsi="Calibri" w:cs="Calibri"/>
                <w:b/>
                <w:bCs/>
                <w:color w:val="000000"/>
                <w:sz w:val="22"/>
                <w:szCs w:val="22"/>
              </w:rPr>
              <w:t>[43]</w:t>
            </w:r>
          </w:p>
        </w:tc>
      </w:tr>
      <w:tr w:rsidR="00461948" w:rsidRPr="00461948" w14:paraId="5A82F95C" w14:textId="77777777" w:rsidTr="0085004C">
        <w:trPr>
          <w:trHeight w:val="62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18EDFD" w14:textId="7A5B2B5B" w:rsidR="00461948" w:rsidRPr="00461948" w:rsidRDefault="00461948" w:rsidP="00461948">
            <w:pPr>
              <w:jc w:val="center"/>
              <w:rPr>
                <w:rFonts w:ascii="Calibri" w:hAnsi="Calibri" w:cs="Calibri"/>
                <w:color w:val="000000"/>
                <w:sz w:val="22"/>
                <w:szCs w:val="22"/>
              </w:rPr>
            </w:pPr>
            <w:r w:rsidRPr="00461948">
              <w:rPr>
                <w:rFonts w:ascii="Calibri" w:hAnsi="Calibri" w:cs="Calibri"/>
                <w:color w:val="000000"/>
                <w:sz w:val="22"/>
                <w:szCs w:val="22"/>
              </w:rPr>
              <w:t>Sepsis</w:t>
            </w:r>
          </w:p>
        </w:tc>
        <w:tc>
          <w:tcPr>
            <w:tcW w:w="2480" w:type="dxa"/>
            <w:tcBorders>
              <w:top w:val="nil"/>
              <w:left w:val="nil"/>
              <w:bottom w:val="single" w:sz="4" w:space="0" w:color="auto"/>
              <w:right w:val="single" w:sz="4" w:space="0" w:color="auto"/>
            </w:tcBorders>
            <w:shd w:val="clear" w:color="auto" w:fill="auto"/>
            <w:hideMark/>
          </w:tcPr>
          <w:p w14:paraId="35B65EC8" w14:textId="1BE4AE01" w:rsidR="00461948" w:rsidRDefault="00461948" w:rsidP="00461948">
            <w:pPr>
              <w:rPr>
                <w:rFonts w:ascii="Calibri" w:hAnsi="Calibri" w:cs="Calibri"/>
                <w:color w:val="000000"/>
                <w:sz w:val="22"/>
                <w:szCs w:val="22"/>
              </w:rPr>
            </w:pPr>
            <w:r w:rsidRPr="00461948">
              <w:rPr>
                <w:rFonts w:ascii="Calibri" w:hAnsi="Calibri" w:cs="Calibri"/>
                <w:color w:val="000000"/>
                <w:sz w:val="22"/>
                <w:szCs w:val="22"/>
              </w:rPr>
              <w:t xml:space="preserve">High </w:t>
            </w:r>
            <w:r w:rsidR="004871E0" w:rsidRPr="00461948">
              <w:rPr>
                <w:rFonts w:ascii="Calibri" w:hAnsi="Calibri" w:cs="Calibri"/>
                <w:color w:val="000000"/>
                <w:sz w:val="22"/>
                <w:szCs w:val="22"/>
              </w:rPr>
              <w:t>mobility</w:t>
            </w:r>
            <w:r w:rsidRPr="00461948">
              <w:rPr>
                <w:rFonts w:ascii="Calibri" w:hAnsi="Calibri" w:cs="Calibri"/>
                <w:color w:val="000000"/>
                <w:sz w:val="22"/>
                <w:szCs w:val="22"/>
              </w:rPr>
              <w:t xml:space="preserve"> group-box 1 protein (HMGB-1)</w:t>
            </w:r>
          </w:p>
          <w:p w14:paraId="756EC9CA" w14:textId="79E3DD86" w:rsidR="004871E0" w:rsidRPr="00461948" w:rsidRDefault="004871E0" w:rsidP="00461948">
            <w:pPr>
              <w:rPr>
                <w:rFonts w:ascii="Calibri" w:hAnsi="Calibri" w:cs="Calibri"/>
                <w:color w:val="000000"/>
                <w:sz w:val="22"/>
                <w:szCs w:val="22"/>
              </w:rPr>
            </w:pPr>
          </w:p>
        </w:tc>
        <w:tc>
          <w:tcPr>
            <w:tcW w:w="5812" w:type="dxa"/>
            <w:tcBorders>
              <w:top w:val="nil"/>
              <w:left w:val="nil"/>
              <w:bottom w:val="single" w:sz="4" w:space="0" w:color="auto"/>
              <w:right w:val="single" w:sz="4" w:space="0" w:color="auto"/>
            </w:tcBorders>
            <w:shd w:val="clear" w:color="auto" w:fill="auto"/>
            <w:hideMark/>
          </w:tcPr>
          <w:p w14:paraId="36404424" w14:textId="56E3DFF4"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No difference between survivors and non-survivors at 28 days</w:t>
            </w:r>
            <w:r w:rsidR="006A2AA2">
              <w:rPr>
                <w:rFonts w:ascii="Calibri" w:hAnsi="Calibri" w:cs="Calibri"/>
                <w:color w:val="000000"/>
                <w:sz w:val="22"/>
                <w:szCs w:val="22"/>
              </w:rPr>
              <w:t xml:space="preserve"> </w:t>
            </w:r>
            <w:r w:rsidR="006A2AA2" w:rsidRPr="006A2AA2">
              <w:rPr>
                <w:rFonts w:ascii="Calibri" w:hAnsi="Calibri" w:cs="Calibri"/>
                <w:b/>
                <w:bCs/>
                <w:color w:val="000000"/>
                <w:sz w:val="22"/>
                <w:szCs w:val="22"/>
              </w:rPr>
              <w:t>[44,45]</w:t>
            </w:r>
          </w:p>
        </w:tc>
      </w:tr>
      <w:tr w:rsidR="00461948" w:rsidRPr="00461948" w14:paraId="49E4673B" w14:textId="77777777" w:rsidTr="0085004C">
        <w:trPr>
          <w:trHeight w:val="695"/>
        </w:trPr>
        <w:tc>
          <w:tcPr>
            <w:tcW w:w="0" w:type="auto"/>
            <w:vMerge/>
            <w:tcBorders>
              <w:top w:val="nil"/>
              <w:left w:val="single" w:sz="4" w:space="0" w:color="auto"/>
              <w:bottom w:val="single" w:sz="4" w:space="0" w:color="auto"/>
              <w:right w:val="single" w:sz="4" w:space="0" w:color="auto"/>
            </w:tcBorders>
            <w:vAlign w:val="center"/>
            <w:hideMark/>
          </w:tcPr>
          <w:p w14:paraId="6DA527EB"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1DE29D2B" w14:textId="5AB11749" w:rsidR="00461948" w:rsidRDefault="00461948" w:rsidP="00461948">
            <w:pPr>
              <w:rPr>
                <w:rFonts w:ascii="Calibri" w:hAnsi="Calibri" w:cs="Calibri"/>
                <w:color w:val="000000"/>
                <w:sz w:val="22"/>
                <w:szCs w:val="22"/>
              </w:rPr>
            </w:pPr>
            <w:r w:rsidRPr="00461948">
              <w:rPr>
                <w:rFonts w:ascii="Calibri" w:hAnsi="Calibri" w:cs="Calibri"/>
                <w:color w:val="000000"/>
                <w:sz w:val="22"/>
                <w:szCs w:val="22"/>
              </w:rPr>
              <w:t>IL-1β</w:t>
            </w:r>
          </w:p>
          <w:p w14:paraId="327B6E2F" w14:textId="77777777" w:rsidR="00BB660A" w:rsidRDefault="00BB660A" w:rsidP="00BB660A">
            <w:pPr>
              <w:jc w:val="center"/>
              <w:rPr>
                <w:rFonts w:ascii="Calibri" w:hAnsi="Calibri" w:cs="Calibri"/>
                <w:color w:val="000000"/>
                <w:sz w:val="22"/>
                <w:szCs w:val="22"/>
              </w:rPr>
            </w:pPr>
          </w:p>
          <w:p w14:paraId="73F958FB" w14:textId="19B43C56" w:rsidR="00BB660A" w:rsidRPr="00461948" w:rsidRDefault="00BB660A" w:rsidP="00BB660A">
            <w:pPr>
              <w:rPr>
                <w:rFonts w:ascii="Calibri" w:hAnsi="Calibri" w:cs="Calibri"/>
                <w:sz w:val="22"/>
                <w:szCs w:val="22"/>
              </w:rPr>
            </w:pPr>
          </w:p>
        </w:tc>
        <w:tc>
          <w:tcPr>
            <w:tcW w:w="5812" w:type="dxa"/>
            <w:tcBorders>
              <w:top w:val="nil"/>
              <w:left w:val="nil"/>
              <w:bottom w:val="single" w:sz="4" w:space="0" w:color="auto"/>
              <w:right w:val="single" w:sz="4" w:space="0" w:color="auto"/>
            </w:tcBorders>
            <w:shd w:val="clear" w:color="auto" w:fill="auto"/>
            <w:hideMark/>
          </w:tcPr>
          <w:p w14:paraId="3FD783B4" w14:textId="46038D55"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Increased in septic compared with non-septic individuals</w:t>
            </w:r>
            <w:r w:rsidR="006A2AA2">
              <w:rPr>
                <w:rFonts w:ascii="Calibri" w:hAnsi="Calibri" w:cs="Calibri"/>
                <w:color w:val="000000"/>
                <w:sz w:val="22"/>
                <w:szCs w:val="22"/>
              </w:rPr>
              <w:t xml:space="preserve"> </w:t>
            </w:r>
            <w:r w:rsidR="006A2AA2" w:rsidRPr="006A2AA2">
              <w:rPr>
                <w:rFonts w:ascii="Calibri" w:hAnsi="Calibri" w:cs="Calibri"/>
                <w:b/>
                <w:bCs/>
                <w:color w:val="000000"/>
                <w:sz w:val="22"/>
                <w:szCs w:val="22"/>
              </w:rPr>
              <w:t>[46,47]</w:t>
            </w:r>
          </w:p>
        </w:tc>
      </w:tr>
      <w:tr w:rsidR="00461948" w:rsidRPr="00461948" w14:paraId="3E4B1F1B" w14:textId="77777777" w:rsidTr="0085004C">
        <w:trPr>
          <w:trHeight w:val="563"/>
        </w:trPr>
        <w:tc>
          <w:tcPr>
            <w:tcW w:w="0" w:type="auto"/>
            <w:vMerge/>
            <w:tcBorders>
              <w:top w:val="nil"/>
              <w:left w:val="single" w:sz="4" w:space="0" w:color="auto"/>
              <w:bottom w:val="single" w:sz="4" w:space="0" w:color="auto"/>
              <w:right w:val="single" w:sz="4" w:space="0" w:color="auto"/>
            </w:tcBorders>
            <w:vAlign w:val="center"/>
            <w:hideMark/>
          </w:tcPr>
          <w:p w14:paraId="5A593047"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2A9DF893" w14:textId="0C485F35"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IL-2</w:t>
            </w:r>
          </w:p>
        </w:tc>
        <w:tc>
          <w:tcPr>
            <w:tcW w:w="5812" w:type="dxa"/>
            <w:tcBorders>
              <w:top w:val="nil"/>
              <w:left w:val="nil"/>
              <w:bottom w:val="single" w:sz="4" w:space="0" w:color="auto"/>
              <w:right w:val="single" w:sz="4" w:space="0" w:color="auto"/>
            </w:tcBorders>
            <w:shd w:val="clear" w:color="auto" w:fill="auto"/>
            <w:hideMark/>
          </w:tcPr>
          <w:p w14:paraId="0955DEA5" w14:textId="131D4E4A"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Increased in parallel with disease severity</w:t>
            </w:r>
            <w:r w:rsidR="00460614">
              <w:rPr>
                <w:rFonts w:ascii="Calibri" w:hAnsi="Calibri" w:cs="Calibri"/>
                <w:color w:val="000000"/>
                <w:sz w:val="22"/>
                <w:szCs w:val="22"/>
              </w:rPr>
              <w:t xml:space="preserve"> </w:t>
            </w:r>
            <w:r w:rsidR="00460614" w:rsidRPr="00460614">
              <w:rPr>
                <w:rFonts w:ascii="Calibri" w:hAnsi="Calibri" w:cs="Calibri"/>
                <w:b/>
                <w:bCs/>
                <w:color w:val="000000"/>
                <w:sz w:val="22"/>
                <w:szCs w:val="22"/>
              </w:rPr>
              <w:t>[48]</w:t>
            </w:r>
          </w:p>
        </w:tc>
      </w:tr>
      <w:tr w:rsidR="00461948" w:rsidRPr="00461948" w14:paraId="6552739D" w14:textId="77777777" w:rsidTr="0085004C">
        <w:trPr>
          <w:trHeight w:val="699"/>
        </w:trPr>
        <w:tc>
          <w:tcPr>
            <w:tcW w:w="0" w:type="auto"/>
            <w:vMerge/>
            <w:tcBorders>
              <w:top w:val="nil"/>
              <w:left w:val="single" w:sz="4" w:space="0" w:color="auto"/>
              <w:bottom w:val="single" w:sz="4" w:space="0" w:color="auto"/>
              <w:right w:val="single" w:sz="4" w:space="0" w:color="auto"/>
            </w:tcBorders>
            <w:vAlign w:val="center"/>
            <w:hideMark/>
          </w:tcPr>
          <w:p w14:paraId="62F52D5E"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72DA51D4" w14:textId="235D2F6A"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IL-6</w:t>
            </w:r>
          </w:p>
        </w:tc>
        <w:tc>
          <w:tcPr>
            <w:tcW w:w="5812" w:type="dxa"/>
            <w:tcBorders>
              <w:top w:val="nil"/>
              <w:left w:val="nil"/>
              <w:bottom w:val="single" w:sz="4" w:space="0" w:color="auto"/>
              <w:right w:val="single" w:sz="4" w:space="0" w:color="auto"/>
            </w:tcBorders>
            <w:shd w:val="clear" w:color="auto" w:fill="auto"/>
            <w:hideMark/>
          </w:tcPr>
          <w:p w14:paraId="3C821452" w14:textId="22F5682A"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 xml:space="preserve">Distinguished between survivors and non-survivors at 28 days </w:t>
            </w:r>
            <w:r w:rsidR="00460614" w:rsidRPr="00460614">
              <w:rPr>
                <w:rFonts w:ascii="Calibri" w:hAnsi="Calibri" w:cs="Calibri"/>
                <w:b/>
                <w:bCs/>
                <w:color w:val="000000"/>
                <w:sz w:val="22"/>
                <w:szCs w:val="22"/>
              </w:rPr>
              <w:t>[49,50]</w:t>
            </w:r>
          </w:p>
        </w:tc>
      </w:tr>
      <w:tr w:rsidR="00461948" w:rsidRPr="00461948" w14:paraId="01734B2F" w14:textId="77777777" w:rsidTr="0085004C">
        <w:trPr>
          <w:trHeight w:val="69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2A4878" w14:textId="3FDB4D02" w:rsidR="00461948" w:rsidRPr="00461948" w:rsidRDefault="00461948" w:rsidP="00461948">
            <w:pPr>
              <w:jc w:val="center"/>
              <w:rPr>
                <w:rFonts w:ascii="Calibri" w:hAnsi="Calibri" w:cs="Calibri"/>
                <w:color w:val="000000"/>
                <w:sz w:val="22"/>
                <w:szCs w:val="22"/>
              </w:rPr>
            </w:pPr>
            <w:r w:rsidRPr="00461948">
              <w:rPr>
                <w:rFonts w:ascii="Calibri" w:hAnsi="Calibri" w:cs="Calibri"/>
                <w:color w:val="000000"/>
                <w:sz w:val="22"/>
                <w:szCs w:val="22"/>
              </w:rPr>
              <w:t>CKD</w:t>
            </w:r>
          </w:p>
        </w:tc>
        <w:tc>
          <w:tcPr>
            <w:tcW w:w="2480" w:type="dxa"/>
            <w:tcBorders>
              <w:top w:val="nil"/>
              <w:left w:val="nil"/>
              <w:bottom w:val="single" w:sz="4" w:space="0" w:color="auto"/>
              <w:right w:val="single" w:sz="4" w:space="0" w:color="auto"/>
            </w:tcBorders>
            <w:shd w:val="clear" w:color="auto" w:fill="auto"/>
            <w:hideMark/>
          </w:tcPr>
          <w:p w14:paraId="1C2AF5CB"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Tenascin and TIMP-I</w:t>
            </w:r>
          </w:p>
        </w:tc>
        <w:tc>
          <w:tcPr>
            <w:tcW w:w="5812" w:type="dxa"/>
            <w:tcBorders>
              <w:top w:val="nil"/>
              <w:left w:val="nil"/>
              <w:bottom w:val="single" w:sz="4" w:space="0" w:color="auto"/>
              <w:right w:val="single" w:sz="4" w:space="0" w:color="auto"/>
            </w:tcBorders>
            <w:shd w:val="clear" w:color="auto" w:fill="auto"/>
            <w:hideMark/>
          </w:tcPr>
          <w:p w14:paraId="37242A30" w14:textId="6FE5A814"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CKD patients had elevated serum and urinary tenascin and TIMP-I compared with controls</w:t>
            </w:r>
            <w:r w:rsidR="00EF6508">
              <w:rPr>
                <w:rFonts w:ascii="Calibri" w:hAnsi="Calibri" w:cs="Calibri"/>
                <w:color w:val="000000"/>
                <w:sz w:val="22"/>
                <w:szCs w:val="22"/>
              </w:rPr>
              <w:t xml:space="preserve"> </w:t>
            </w:r>
            <w:r w:rsidR="00EF6508" w:rsidRPr="00EF6508">
              <w:rPr>
                <w:rFonts w:ascii="Calibri" w:hAnsi="Calibri" w:cs="Calibri"/>
                <w:b/>
                <w:bCs/>
                <w:color w:val="000000"/>
                <w:sz w:val="22"/>
                <w:szCs w:val="22"/>
              </w:rPr>
              <w:t>[51]</w:t>
            </w:r>
          </w:p>
        </w:tc>
      </w:tr>
      <w:tr w:rsidR="00461948" w:rsidRPr="00461948" w14:paraId="700E348B" w14:textId="77777777" w:rsidTr="0085004C">
        <w:trPr>
          <w:trHeight w:val="988"/>
        </w:trPr>
        <w:tc>
          <w:tcPr>
            <w:tcW w:w="0" w:type="auto"/>
            <w:vMerge/>
            <w:tcBorders>
              <w:top w:val="nil"/>
              <w:left w:val="single" w:sz="4" w:space="0" w:color="auto"/>
              <w:bottom w:val="single" w:sz="4" w:space="0" w:color="auto"/>
              <w:right w:val="single" w:sz="4" w:space="0" w:color="auto"/>
            </w:tcBorders>
            <w:vAlign w:val="center"/>
            <w:hideMark/>
          </w:tcPr>
          <w:p w14:paraId="3F17F216"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14AF0FAF"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u-L-FABP</w:t>
            </w:r>
          </w:p>
        </w:tc>
        <w:tc>
          <w:tcPr>
            <w:tcW w:w="5812" w:type="dxa"/>
            <w:tcBorders>
              <w:top w:val="nil"/>
              <w:left w:val="nil"/>
              <w:bottom w:val="single" w:sz="4" w:space="0" w:color="auto"/>
              <w:right w:val="single" w:sz="4" w:space="0" w:color="auto"/>
            </w:tcBorders>
            <w:shd w:val="clear" w:color="auto" w:fill="auto"/>
            <w:hideMark/>
          </w:tcPr>
          <w:p w14:paraId="1AF97BC7" w14:textId="20726FF4"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u-L-FABP was a more sensitive biomarker of CKD progression than proteinuria. u-L-FABP increased with reduced kidney function</w:t>
            </w:r>
            <w:r w:rsidR="00EF6508">
              <w:rPr>
                <w:rFonts w:ascii="Calibri" w:hAnsi="Calibri" w:cs="Calibri"/>
                <w:color w:val="000000"/>
                <w:sz w:val="22"/>
                <w:szCs w:val="22"/>
              </w:rPr>
              <w:t xml:space="preserve"> </w:t>
            </w:r>
            <w:r w:rsidR="00EF6508" w:rsidRPr="00EF6508">
              <w:rPr>
                <w:rFonts w:ascii="Calibri" w:hAnsi="Calibri" w:cs="Calibri"/>
                <w:b/>
                <w:bCs/>
                <w:color w:val="000000"/>
                <w:sz w:val="22"/>
                <w:szCs w:val="22"/>
              </w:rPr>
              <w:t>[52]</w:t>
            </w:r>
          </w:p>
        </w:tc>
      </w:tr>
      <w:tr w:rsidR="00461948" w:rsidRPr="00461948" w14:paraId="20AF6A30" w14:textId="77777777" w:rsidTr="0085004C">
        <w:trPr>
          <w:trHeight w:val="690"/>
        </w:trPr>
        <w:tc>
          <w:tcPr>
            <w:tcW w:w="0" w:type="auto"/>
            <w:vMerge/>
            <w:tcBorders>
              <w:top w:val="nil"/>
              <w:left w:val="single" w:sz="4" w:space="0" w:color="auto"/>
              <w:bottom w:val="single" w:sz="4" w:space="0" w:color="auto"/>
              <w:right w:val="single" w:sz="4" w:space="0" w:color="auto"/>
            </w:tcBorders>
            <w:vAlign w:val="center"/>
            <w:hideMark/>
          </w:tcPr>
          <w:p w14:paraId="6C029BA0"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3B192EF4"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GGT</w:t>
            </w:r>
          </w:p>
        </w:tc>
        <w:tc>
          <w:tcPr>
            <w:tcW w:w="5812" w:type="dxa"/>
            <w:tcBorders>
              <w:top w:val="nil"/>
              <w:left w:val="nil"/>
              <w:bottom w:val="single" w:sz="4" w:space="0" w:color="auto"/>
              <w:right w:val="single" w:sz="4" w:space="0" w:color="auto"/>
            </w:tcBorders>
            <w:shd w:val="clear" w:color="auto" w:fill="auto"/>
            <w:hideMark/>
          </w:tcPr>
          <w:p w14:paraId="502B1AC9" w14:textId="7149885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Serum GGT predicted microalbuminuria in those with hypertension and diabetes</w:t>
            </w:r>
            <w:r w:rsidR="00EF6508">
              <w:rPr>
                <w:rFonts w:ascii="Calibri" w:hAnsi="Calibri" w:cs="Calibri"/>
                <w:color w:val="000000"/>
                <w:sz w:val="22"/>
                <w:szCs w:val="22"/>
              </w:rPr>
              <w:t xml:space="preserve"> </w:t>
            </w:r>
            <w:r w:rsidR="00EF6508" w:rsidRPr="00EF6508">
              <w:rPr>
                <w:rFonts w:ascii="Calibri" w:hAnsi="Calibri" w:cs="Calibri"/>
                <w:b/>
                <w:bCs/>
                <w:color w:val="000000"/>
                <w:sz w:val="22"/>
                <w:szCs w:val="22"/>
              </w:rPr>
              <w:t>[53]</w:t>
            </w:r>
          </w:p>
        </w:tc>
      </w:tr>
      <w:tr w:rsidR="00461948" w:rsidRPr="00461948" w14:paraId="11617DFD" w14:textId="77777777" w:rsidTr="0085004C">
        <w:trPr>
          <w:trHeight w:val="559"/>
        </w:trPr>
        <w:tc>
          <w:tcPr>
            <w:tcW w:w="0" w:type="auto"/>
            <w:vMerge/>
            <w:tcBorders>
              <w:top w:val="nil"/>
              <w:left w:val="single" w:sz="4" w:space="0" w:color="auto"/>
              <w:bottom w:val="single" w:sz="4" w:space="0" w:color="auto"/>
              <w:right w:val="single" w:sz="4" w:space="0" w:color="auto"/>
            </w:tcBorders>
            <w:vAlign w:val="center"/>
            <w:hideMark/>
          </w:tcPr>
          <w:p w14:paraId="04896CC3"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271E2698"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ADMA</w:t>
            </w:r>
          </w:p>
        </w:tc>
        <w:tc>
          <w:tcPr>
            <w:tcW w:w="5812" w:type="dxa"/>
            <w:tcBorders>
              <w:top w:val="nil"/>
              <w:left w:val="nil"/>
              <w:bottom w:val="single" w:sz="4" w:space="0" w:color="auto"/>
              <w:right w:val="single" w:sz="4" w:space="0" w:color="auto"/>
            </w:tcBorders>
            <w:shd w:val="clear" w:color="auto" w:fill="auto"/>
            <w:hideMark/>
          </w:tcPr>
          <w:p w14:paraId="4B3C0315" w14:textId="77777777" w:rsidR="00461948" w:rsidRDefault="00461948" w:rsidP="00461948">
            <w:pPr>
              <w:rPr>
                <w:rFonts w:ascii="Calibri" w:hAnsi="Calibri" w:cs="Calibri"/>
                <w:b/>
                <w:bCs/>
                <w:color w:val="000000"/>
                <w:sz w:val="22"/>
                <w:szCs w:val="22"/>
              </w:rPr>
            </w:pPr>
            <w:r w:rsidRPr="00461948">
              <w:rPr>
                <w:rFonts w:ascii="Calibri" w:hAnsi="Calibri" w:cs="Calibri"/>
                <w:color w:val="000000"/>
                <w:sz w:val="22"/>
                <w:szCs w:val="22"/>
              </w:rPr>
              <w:t>ADMA levels predicted development of ESRD</w:t>
            </w:r>
            <w:r w:rsidR="00EF6508">
              <w:rPr>
                <w:rFonts w:ascii="Calibri" w:hAnsi="Calibri" w:cs="Calibri"/>
                <w:color w:val="000000"/>
                <w:sz w:val="22"/>
                <w:szCs w:val="22"/>
              </w:rPr>
              <w:t xml:space="preserve"> </w:t>
            </w:r>
            <w:r w:rsidR="00EF6508" w:rsidRPr="00EF6508">
              <w:rPr>
                <w:rFonts w:ascii="Calibri" w:hAnsi="Calibri" w:cs="Calibri"/>
                <w:b/>
                <w:bCs/>
                <w:color w:val="000000"/>
                <w:sz w:val="22"/>
                <w:szCs w:val="22"/>
              </w:rPr>
              <w:t>[54]</w:t>
            </w:r>
          </w:p>
          <w:p w14:paraId="4ABB6012" w14:textId="1C823BC7" w:rsidR="00EF6508" w:rsidRPr="00461948" w:rsidRDefault="00EF6508" w:rsidP="00461948">
            <w:pPr>
              <w:rPr>
                <w:rFonts w:ascii="Calibri" w:hAnsi="Calibri" w:cs="Calibri"/>
                <w:color w:val="000000"/>
                <w:sz w:val="22"/>
                <w:szCs w:val="22"/>
              </w:rPr>
            </w:pPr>
          </w:p>
        </w:tc>
      </w:tr>
      <w:tr w:rsidR="00461948" w:rsidRPr="00461948" w14:paraId="6DBE849A" w14:textId="77777777" w:rsidTr="0085004C">
        <w:trPr>
          <w:trHeight w:val="850"/>
        </w:trPr>
        <w:tc>
          <w:tcPr>
            <w:tcW w:w="0" w:type="auto"/>
            <w:tcBorders>
              <w:top w:val="nil"/>
              <w:left w:val="single" w:sz="4" w:space="0" w:color="auto"/>
              <w:bottom w:val="single" w:sz="4" w:space="0" w:color="auto"/>
              <w:right w:val="single" w:sz="4" w:space="0" w:color="auto"/>
            </w:tcBorders>
            <w:shd w:val="clear" w:color="auto" w:fill="auto"/>
            <w:noWrap/>
            <w:hideMark/>
          </w:tcPr>
          <w:p w14:paraId="642B1884"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Brain Cancer</w:t>
            </w:r>
          </w:p>
        </w:tc>
        <w:tc>
          <w:tcPr>
            <w:tcW w:w="2480" w:type="dxa"/>
            <w:tcBorders>
              <w:top w:val="nil"/>
              <w:left w:val="nil"/>
              <w:bottom w:val="single" w:sz="4" w:space="0" w:color="auto"/>
              <w:right w:val="single" w:sz="4" w:space="0" w:color="auto"/>
            </w:tcBorders>
            <w:shd w:val="clear" w:color="auto" w:fill="auto"/>
            <w:hideMark/>
          </w:tcPr>
          <w:p w14:paraId="64587657" w14:textId="4EFDD0F6" w:rsidR="00461948" w:rsidRPr="00461948" w:rsidRDefault="005F69E3" w:rsidP="00461948">
            <w:pPr>
              <w:rPr>
                <w:rFonts w:ascii="Calibri" w:hAnsi="Calibri" w:cs="Calibri"/>
                <w:color w:val="000000"/>
                <w:sz w:val="22"/>
                <w:szCs w:val="22"/>
              </w:rPr>
            </w:pPr>
            <w:r>
              <w:rPr>
                <w:rFonts w:ascii="Calibri" w:hAnsi="Calibri" w:cs="Calibri"/>
                <w:color w:val="000000"/>
                <w:sz w:val="22"/>
                <w:szCs w:val="22"/>
              </w:rPr>
              <w:t>S</w:t>
            </w:r>
            <w:r w:rsidR="00461948" w:rsidRPr="00461948">
              <w:rPr>
                <w:rFonts w:ascii="Calibri" w:hAnsi="Calibri" w:cs="Calibri"/>
                <w:color w:val="000000"/>
                <w:sz w:val="22"/>
                <w:szCs w:val="22"/>
              </w:rPr>
              <w:t>hort arm chromosome 1 (1p) and the long arm of chromosome 19 (19q)</w:t>
            </w:r>
          </w:p>
        </w:tc>
        <w:tc>
          <w:tcPr>
            <w:tcW w:w="5812" w:type="dxa"/>
            <w:tcBorders>
              <w:top w:val="nil"/>
              <w:left w:val="nil"/>
              <w:bottom w:val="single" w:sz="4" w:space="0" w:color="auto"/>
              <w:right w:val="single" w:sz="4" w:space="0" w:color="auto"/>
            </w:tcBorders>
            <w:shd w:val="clear" w:color="auto" w:fill="auto"/>
            <w:noWrap/>
            <w:hideMark/>
          </w:tcPr>
          <w:p w14:paraId="30C0C125" w14:textId="554764D4"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Deletions of these chromosomes act as diagnostic markers.</w:t>
            </w:r>
            <w:r w:rsidR="00F86564">
              <w:rPr>
                <w:rFonts w:ascii="Calibri" w:hAnsi="Calibri" w:cs="Calibri"/>
                <w:color w:val="000000"/>
                <w:sz w:val="22"/>
                <w:szCs w:val="22"/>
              </w:rPr>
              <w:t xml:space="preserve"> </w:t>
            </w:r>
            <w:r w:rsidR="00F86564" w:rsidRPr="00F86564">
              <w:rPr>
                <w:rFonts w:ascii="Calibri" w:hAnsi="Calibri" w:cs="Calibri"/>
                <w:b/>
                <w:bCs/>
                <w:color w:val="000000"/>
                <w:sz w:val="22"/>
                <w:szCs w:val="22"/>
              </w:rPr>
              <w:t>[55]</w:t>
            </w:r>
          </w:p>
        </w:tc>
      </w:tr>
      <w:tr w:rsidR="00461948" w:rsidRPr="00461948" w14:paraId="480821CF" w14:textId="77777777" w:rsidTr="0085004C">
        <w:trPr>
          <w:trHeight w:hRule="exact" w:val="2081"/>
        </w:trPr>
        <w:tc>
          <w:tcPr>
            <w:tcW w:w="0" w:type="auto"/>
            <w:tcBorders>
              <w:top w:val="nil"/>
              <w:left w:val="single" w:sz="4" w:space="0" w:color="auto"/>
              <w:bottom w:val="single" w:sz="4" w:space="0" w:color="auto"/>
              <w:right w:val="single" w:sz="4" w:space="0" w:color="auto"/>
            </w:tcBorders>
            <w:shd w:val="clear" w:color="auto" w:fill="auto"/>
            <w:noWrap/>
            <w:hideMark/>
          </w:tcPr>
          <w:p w14:paraId="40F1F1D2"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Colorectal cancer</w:t>
            </w:r>
          </w:p>
        </w:tc>
        <w:tc>
          <w:tcPr>
            <w:tcW w:w="2480" w:type="dxa"/>
            <w:tcBorders>
              <w:top w:val="nil"/>
              <w:left w:val="nil"/>
              <w:bottom w:val="single" w:sz="4" w:space="0" w:color="auto"/>
              <w:right w:val="single" w:sz="4" w:space="0" w:color="auto"/>
            </w:tcBorders>
            <w:shd w:val="clear" w:color="auto" w:fill="auto"/>
            <w:hideMark/>
          </w:tcPr>
          <w:p w14:paraId="1CD6D218"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K-</w:t>
            </w:r>
            <w:proofErr w:type="spellStart"/>
            <w:r w:rsidRPr="00461948">
              <w:rPr>
                <w:rFonts w:ascii="Calibri" w:hAnsi="Calibri" w:cs="Calibri"/>
                <w:color w:val="000000"/>
                <w:sz w:val="22"/>
                <w:szCs w:val="22"/>
              </w:rPr>
              <w:t>ras</w:t>
            </w:r>
            <w:proofErr w:type="spellEnd"/>
            <w:r w:rsidRPr="00461948">
              <w:rPr>
                <w:rFonts w:ascii="Calibri" w:hAnsi="Calibri" w:cs="Calibri"/>
                <w:color w:val="000000"/>
                <w:sz w:val="22"/>
                <w:szCs w:val="22"/>
              </w:rPr>
              <w:t>, p53, APC</w:t>
            </w:r>
          </w:p>
        </w:tc>
        <w:tc>
          <w:tcPr>
            <w:tcW w:w="5812" w:type="dxa"/>
            <w:tcBorders>
              <w:top w:val="nil"/>
              <w:left w:val="nil"/>
              <w:bottom w:val="single" w:sz="4" w:space="0" w:color="auto"/>
              <w:right w:val="single" w:sz="4" w:space="0" w:color="auto"/>
            </w:tcBorders>
            <w:shd w:val="clear" w:color="auto" w:fill="auto"/>
            <w:hideMark/>
          </w:tcPr>
          <w:p w14:paraId="3C9FD73D" w14:textId="562FF90B" w:rsidR="0052152A" w:rsidRDefault="00461948" w:rsidP="00914F16">
            <w:pPr>
              <w:pStyle w:val="ListParagraph"/>
              <w:numPr>
                <w:ilvl w:val="0"/>
                <w:numId w:val="6"/>
              </w:numPr>
              <w:jc w:val="both"/>
              <w:rPr>
                <w:rFonts w:ascii="Calibri" w:hAnsi="Calibri" w:cs="Calibri"/>
                <w:color w:val="000000"/>
                <w:sz w:val="22"/>
                <w:szCs w:val="22"/>
              </w:rPr>
            </w:pPr>
            <w:r w:rsidRPr="0052152A">
              <w:rPr>
                <w:rFonts w:ascii="Calibri" w:hAnsi="Calibri" w:cs="Calibri"/>
                <w:color w:val="000000"/>
                <w:sz w:val="22"/>
                <w:szCs w:val="22"/>
              </w:rPr>
              <w:t>K-</w:t>
            </w:r>
            <w:proofErr w:type="spellStart"/>
            <w:r w:rsidRPr="0052152A">
              <w:rPr>
                <w:rFonts w:ascii="Calibri" w:hAnsi="Calibri" w:cs="Calibri"/>
                <w:color w:val="000000"/>
                <w:sz w:val="22"/>
                <w:szCs w:val="22"/>
              </w:rPr>
              <w:t>ras</w:t>
            </w:r>
            <w:proofErr w:type="spellEnd"/>
            <w:r w:rsidRPr="0052152A">
              <w:rPr>
                <w:rFonts w:ascii="Calibri" w:hAnsi="Calibri" w:cs="Calibri"/>
                <w:color w:val="000000"/>
                <w:sz w:val="22"/>
                <w:szCs w:val="22"/>
              </w:rPr>
              <w:t xml:space="preserve"> is involved in signal transduction pathway and stimulate cell proliferation.</w:t>
            </w:r>
          </w:p>
          <w:p w14:paraId="6F82531F" w14:textId="77777777" w:rsidR="0052152A" w:rsidRDefault="00461948" w:rsidP="00914F16">
            <w:pPr>
              <w:pStyle w:val="ListParagraph"/>
              <w:numPr>
                <w:ilvl w:val="0"/>
                <w:numId w:val="6"/>
              </w:numPr>
              <w:jc w:val="both"/>
              <w:rPr>
                <w:rFonts w:ascii="Calibri" w:hAnsi="Calibri" w:cs="Calibri"/>
                <w:color w:val="000000"/>
                <w:sz w:val="22"/>
                <w:szCs w:val="22"/>
              </w:rPr>
            </w:pPr>
            <w:r w:rsidRPr="0052152A">
              <w:rPr>
                <w:rFonts w:ascii="Calibri" w:hAnsi="Calibri" w:cs="Calibri"/>
                <w:color w:val="000000"/>
                <w:sz w:val="22"/>
                <w:szCs w:val="22"/>
              </w:rPr>
              <w:t>p53 is involved in DNA damage, DNA repair and cell death.</w:t>
            </w:r>
          </w:p>
          <w:p w14:paraId="78469D29" w14:textId="1BE7ABEB" w:rsidR="00461948" w:rsidRPr="0052152A" w:rsidRDefault="00461948" w:rsidP="00914F16">
            <w:pPr>
              <w:pStyle w:val="ListParagraph"/>
              <w:numPr>
                <w:ilvl w:val="0"/>
                <w:numId w:val="6"/>
              </w:numPr>
              <w:jc w:val="both"/>
              <w:rPr>
                <w:rFonts w:ascii="Calibri" w:hAnsi="Calibri" w:cs="Calibri"/>
                <w:color w:val="000000"/>
                <w:sz w:val="22"/>
                <w:szCs w:val="22"/>
              </w:rPr>
            </w:pPr>
            <w:r w:rsidRPr="0052152A">
              <w:rPr>
                <w:rFonts w:ascii="Calibri" w:hAnsi="Calibri" w:cs="Calibri"/>
                <w:color w:val="000000"/>
                <w:sz w:val="22"/>
                <w:szCs w:val="22"/>
              </w:rPr>
              <w:t>Mutations in p53 lead to genomic instability and malignant progression. Mutations in APC are considered “gatekeeper” mutations which initiate the carcinogenesis process</w:t>
            </w:r>
            <w:r w:rsidR="00F86564">
              <w:rPr>
                <w:rFonts w:ascii="Calibri" w:hAnsi="Calibri" w:cs="Calibri"/>
                <w:color w:val="000000"/>
                <w:sz w:val="22"/>
                <w:szCs w:val="22"/>
              </w:rPr>
              <w:t xml:space="preserve"> </w:t>
            </w:r>
            <w:r w:rsidR="00F86564" w:rsidRPr="00F86564">
              <w:rPr>
                <w:rFonts w:ascii="Calibri" w:hAnsi="Calibri" w:cs="Calibri"/>
                <w:b/>
                <w:bCs/>
                <w:color w:val="000000"/>
                <w:sz w:val="22"/>
                <w:szCs w:val="22"/>
              </w:rPr>
              <w:t>[56,57]</w:t>
            </w:r>
          </w:p>
        </w:tc>
      </w:tr>
      <w:tr w:rsidR="00461948" w:rsidRPr="00461948" w14:paraId="2576178A" w14:textId="77777777" w:rsidTr="0085004C">
        <w:trPr>
          <w:trHeight w:val="864"/>
        </w:trPr>
        <w:tc>
          <w:tcPr>
            <w:tcW w:w="0" w:type="auto"/>
            <w:tcBorders>
              <w:top w:val="nil"/>
              <w:left w:val="single" w:sz="4" w:space="0" w:color="auto"/>
              <w:bottom w:val="single" w:sz="4" w:space="0" w:color="auto"/>
              <w:right w:val="single" w:sz="4" w:space="0" w:color="auto"/>
            </w:tcBorders>
            <w:shd w:val="clear" w:color="auto" w:fill="auto"/>
            <w:noWrap/>
            <w:hideMark/>
          </w:tcPr>
          <w:p w14:paraId="7B05DC09"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Kidney cancer</w:t>
            </w:r>
          </w:p>
        </w:tc>
        <w:tc>
          <w:tcPr>
            <w:tcW w:w="2480" w:type="dxa"/>
            <w:tcBorders>
              <w:top w:val="nil"/>
              <w:left w:val="nil"/>
              <w:bottom w:val="single" w:sz="4" w:space="0" w:color="auto"/>
              <w:right w:val="single" w:sz="4" w:space="0" w:color="auto"/>
            </w:tcBorders>
            <w:shd w:val="clear" w:color="auto" w:fill="auto"/>
            <w:hideMark/>
          </w:tcPr>
          <w:p w14:paraId="2AD73D4E"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kallikrein 1</w:t>
            </w:r>
          </w:p>
        </w:tc>
        <w:tc>
          <w:tcPr>
            <w:tcW w:w="5812" w:type="dxa"/>
            <w:tcBorders>
              <w:top w:val="nil"/>
              <w:left w:val="nil"/>
              <w:bottom w:val="single" w:sz="4" w:space="0" w:color="auto"/>
              <w:right w:val="single" w:sz="4" w:space="0" w:color="auto"/>
            </w:tcBorders>
            <w:shd w:val="clear" w:color="auto" w:fill="auto"/>
            <w:hideMark/>
          </w:tcPr>
          <w:p w14:paraId="1E57B2E1" w14:textId="1E5710CB"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Kallikreins are present on the</w:t>
            </w:r>
            <w:r w:rsidR="00914F16">
              <w:rPr>
                <w:rFonts w:ascii="Calibri" w:hAnsi="Calibri" w:cs="Calibri"/>
                <w:color w:val="000000"/>
                <w:sz w:val="22"/>
                <w:szCs w:val="22"/>
              </w:rPr>
              <w:t xml:space="preserve"> </w:t>
            </w:r>
            <w:r w:rsidRPr="00461948">
              <w:rPr>
                <w:rFonts w:ascii="Calibri" w:hAnsi="Calibri" w:cs="Calibri"/>
                <w:color w:val="000000"/>
                <w:sz w:val="22"/>
                <w:szCs w:val="22"/>
              </w:rPr>
              <w:t>walls of blood vessels of kidney and abnormal expression</w:t>
            </w:r>
            <w:r w:rsidR="00914F16">
              <w:rPr>
                <w:rFonts w:ascii="Calibri" w:hAnsi="Calibri" w:cs="Calibri"/>
                <w:color w:val="000000"/>
                <w:sz w:val="22"/>
                <w:szCs w:val="22"/>
              </w:rPr>
              <w:t xml:space="preserve"> </w:t>
            </w:r>
            <w:r w:rsidRPr="00461948">
              <w:rPr>
                <w:rFonts w:ascii="Calibri" w:hAnsi="Calibri" w:cs="Calibri"/>
                <w:color w:val="000000"/>
                <w:sz w:val="22"/>
                <w:szCs w:val="22"/>
              </w:rPr>
              <w:t>of the gene results in cancer development.</w:t>
            </w:r>
            <w:r w:rsidR="00F86564">
              <w:rPr>
                <w:rFonts w:ascii="Calibri" w:hAnsi="Calibri" w:cs="Calibri"/>
                <w:color w:val="000000"/>
                <w:sz w:val="22"/>
                <w:szCs w:val="22"/>
              </w:rPr>
              <w:t xml:space="preserve"> </w:t>
            </w:r>
            <w:r w:rsidR="00F86564" w:rsidRPr="00F86564">
              <w:rPr>
                <w:rFonts w:ascii="Calibri" w:hAnsi="Calibri" w:cs="Calibri"/>
                <w:b/>
                <w:bCs/>
                <w:color w:val="000000"/>
                <w:sz w:val="22"/>
                <w:szCs w:val="22"/>
              </w:rPr>
              <w:t>[58,59]</w:t>
            </w:r>
          </w:p>
        </w:tc>
      </w:tr>
      <w:tr w:rsidR="00461948" w:rsidRPr="00461948" w14:paraId="09D9C1A4" w14:textId="77777777" w:rsidTr="0085004C">
        <w:trPr>
          <w:trHeight w:val="395"/>
        </w:trPr>
        <w:tc>
          <w:tcPr>
            <w:tcW w:w="0" w:type="auto"/>
            <w:tcBorders>
              <w:top w:val="nil"/>
              <w:left w:val="single" w:sz="4" w:space="0" w:color="auto"/>
              <w:bottom w:val="single" w:sz="4" w:space="0" w:color="auto"/>
              <w:right w:val="single" w:sz="4" w:space="0" w:color="auto"/>
            </w:tcBorders>
            <w:shd w:val="clear" w:color="auto" w:fill="auto"/>
            <w:noWrap/>
            <w:hideMark/>
          </w:tcPr>
          <w:p w14:paraId="6A061705"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Gastric cancer</w:t>
            </w:r>
          </w:p>
        </w:tc>
        <w:tc>
          <w:tcPr>
            <w:tcW w:w="2480" w:type="dxa"/>
            <w:tcBorders>
              <w:top w:val="nil"/>
              <w:left w:val="nil"/>
              <w:bottom w:val="single" w:sz="4" w:space="0" w:color="auto"/>
              <w:right w:val="single" w:sz="4" w:space="0" w:color="auto"/>
            </w:tcBorders>
            <w:shd w:val="clear" w:color="auto" w:fill="auto"/>
            <w:hideMark/>
          </w:tcPr>
          <w:p w14:paraId="06AE0F7C"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LOH and PTEN</w:t>
            </w:r>
          </w:p>
        </w:tc>
        <w:tc>
          <w:tcPr>
            <w:tcW w:w="5812" w:type="dxa"/>
            <w:tcBorders>
              <w:top w:val="nil"/>
              <w:left w:val="nil"/>
              <w:bottom w:val="single" w:sz="4" w:space="0" w:color="auto"/>
              <w:right w:val="single" w:sz="4" w:space="0" w:color="auto"/>
            </w:tcBorders>
            <w:shd w:val="clear" w:color="auto" w:fill="auto"/>
            <w:hideMark/>
          </w:tcPr>
          <w:p w14:paraId="5E94B467" w14:textId="4E8CA266" w:rsidR="00461948" w:rsidRPr="00461948" w:rsidRDefault="00461948" w:rsidP="0052152A">
            <w:pPr>
              <w:jc w:val="both"/>
              <w:rPr>
                <w:rFonts w:ascii="Calibri" w:hAnsi="Calibri" w:cs="Calibri"/>
                <w:color w:val="000000"/>
                <w:sz w:val="22"/>
                <w:szCs w:val="22"/>
              </w:rPr>
            </w:pPr>
            <w:r w:rsidRPr="00461948">
              <w:rPr>
                <w:rFonts w:ascii="Calibri" w:hAnsi="Calibri" w:cs="Calibri"/>
                <w:color w:val="000000"/>
                <w:sz w:val="22"/>
                <w:szCs w:val="22"/>
              </w:rPr>
              <w:t>LOH and PTEN mutations</w:t>
            </w:r>
            <w:r w:rsidR="0052152A">
              <w:rPr>
                <w:rFonts w:ascii="Calibri" w:hAnsi="Calibri" w:cs="Calibri"/>
                <w:color w:val="000000"/>
                <w:sz w:val="22"/>
                <w:szCs w:val="22"/>
              </w:rPr>
              <w:t xml:space="preserve"> </w:t>
            </w:r>
            <w:r w:rsidRPr="00461948">
              <w:rPr>
                <w:rFonts w:ascii="Calibri" w:hAnsi="Calibri" w:cs="Calibri"/>
                <w:color w:val="000000"/>
                <w:sz w:val="22"/>
                <w:szCs w:val="22"/>
              </w:rPr>
              <w:t>have been detected in gastric cancer</w:t>
            </w:r>
            <w:r w:rsidR="00C27AF7">
              <w:rPr>
                <w:rFonts w:ascii="Calibri" w:hAnsi="Calibri" w:cs="Calibri"/>
                <w:color w:val="000000"/>
                <w:sz w:val="22"/>
                <w:szCs w:val="22"/>
              </w:rPr>
              <w:t xml:space="preserve"> </w:t>
            </w:r>
            <w:r w:rsidR="00C27AF7" w:rsidRPr="00C27AF7">
              <w:rPr>
                <w:rFonts w:ascii="Calibri" w:hAnsi="Calibri" w:cs="Calibri"/>
                <w:b/>
                <w:bCs/>
                <w:color w:val="000000"/>
                <w:sz w:val="22"/>
                <w:szCs w:val="22"/>
              </w:rPr>
              <w:t>[60,61,62]</w:t>
            </w:r>
          </w:p>
        </w:tc>
      </w:tr>
      <w:tr w:rsidR="00461948" w:rsidRPr="00461948" w14:paraId="43E53B07" w14:textId="77777777" w:rsidTr="0085004C">
        <w:trPr>
          <w:trHeight w:hRule="exact" w:val="970"/>
        </w:trPr>
        <w:tc>
          <w:tcPr>
            <w:tcW w:w="0" w:type="auto"/>
            <w:tcBorders>
              <w:top w:val="nil"/>
              <w:left w:val="single" w:sz="4" w:space="0" w:color="auto"/>
              <w:bottom w:val="single" w:sz="4" w:space="0" w:color="auto"/>
              <w:right w:val="single" w:sz="4" w:space="0" w:color="auto"/>
            </w:tcBorders>
            <w:shd w:val="clear" w:color="auto" w:fill="auto"/>
            <w:noWrap/>
            <w:hideMark/>
          </w:tcPr>
          <w:p w14:paraId="01E66B7A"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Thyroid cancer</w:t>
            </w:r>
          </w:p>
        </w:tc>
        <w:tc>
          <w:tcPr>
            <w:tcW w:w="2480" w:type="dxa"/>
            <w:tcBorders>
              <w:top w:val="nil"/>
              <w:left w:val="nil"/>
              <w:bottom w:val="single" w:sz="4" w:space="0" w:color="auto"/>
              <w:right w:val="single" w:sz="4" w:space="0" w:color="auto"/>
            </w:tcBorders>
            <w:shd w:val="clear" w:color="auto" w:fill="auto"/>
            <w:hideMark/>
          </w:tcPr>
          <w:p w14:paraId="7FB5D1F3"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CA125</w:t>
            </w:r>
          </w:p>
        </w:tc>
        <w:tc>
          <w:tcPr>
            <w:tcW w:w="5812" w:type="dxa"/>
            <w:tcBorders>
              <w:top w:val="nil"/>
              <w:left w:val="nil"/>
              <w:bottom w:val="single" w:sz="4" w:space="0" w:color="auto"/>
              <w:right w:val="single" w:sz="4" w:space="0" w:color="auto"/>
            </w:tcBorders>
            <w:shd w:val="clear" w:color="auto" w:fill="auto"/>
            <w:hideMark/>
          </w:tcPr>
          <w:p w14:paraId="7D44650A" w14:textId="2CD0F1B8" w:rsidR="00461948" w:rsidRPr="00461948" w:rsidRDefault="0052152A" w:rsidP="0052152A">
            <w:pPr>
              <w:jc w:val="both"/>
              <w:rPr>
                <w:rFonts w:ascii="Calibri" w:hAnsi="Calibri" w:cs="Calibri"/>
                <w:color w:val="000000"/>
                <w:sz w:val="22"/>
                <w:szCs w:val="22"/>
              </w:rPr>
            </w:pPr>
            <w:r>
              <w:rPr>
                <w:rFonts w:ascii="Calibri" w:hAnsi="Calibri" w:cs="Calibri"/>
                <w:color w:val="000000"/>
                <w:sz w:val="22"/>
                <w:szCs w:val="22"/>
              </w:rPr>
              <w:t>D</w:t>
            </w:r>
            <w:r w:rsidR="00461948" w:rsidRPr="00461948">
              <w:rPr>
                <w:rFonts w:ascii="Calibri" w:hAnsi="Calibri" w:cs="Calibri"/>
                <w:color w:val="000000"/>
                <w:sz w:val="22"/>
                <w:szCs w:val="22"/>
              </w:rPr>
              <w:t>etected</w:t>
            </w:r>
            <w:r>
              <w:rPr>
                <w:rFonts w:ascii="Calibri" w:hAnsi="Calibri" w:cs="Calibri"/>
                <w:color w:val="000000"/>
                <w:sz w:val="22"/>
                <w:szCs w:val="22"/>
              </w:rPr>
              <w:t xml:space="preserve"> </w:t>
            </w:r>
            <w:r w:rsidR="00461948" w:rsidRPr="00461948">
              <w:rPr>
                <w:rFonts w:ascii="Calibri" w:hAnsi="Calibri" w:cs="Calibri"/>
                <w:color w:val="000000"/>
                <w:sz w:val="22"/>
                <w:szCs w:val="22"/>
              </w:rPr>
              <w:t>in cells isolated from circulating</w:t>
            </w:r>
            <w:r w:rsidR="00461948" w:rsidRPr="00461948">
              <w:rPr>
                <w:rFonts w:ascii="Calibri" w:hAnsi="Calibri" w:cs="Calibri"/>
                <w:color w:val="000000"/>
                <w:sz w:val="22"/>
                <w:szCs w:val="22"/>
              </w:rPr>
              <w:br/>
              <w:t>blood can distinguish malignant from benign follicular</w:t>
            </w:r>
            <w:r w:rsidR="00461948" w:rsidRPr="00461948">
              <w:rPr>
                <w:rFonts w:ascii="Calibri" w:hAnsi="Calibri" w:cs="Calibri"/>
                <w:color w:val="000000"/>
                <w:sz w:val="22"/>
                <w:szCs w:val="22"/>
              </w:rPr>
              <w:br/>
              <w:t xml:space="preserve">thyroid </w:t>
            </w:r>
            <w:r w:rsidRPr="00461948">
              <w:rPr>
                <w:rFonts w:ascii="Calibri" w:hAnsi="Calibri" w:cs="Calibri"/>
                <w:color w:val="000000"/>
                <w:sz w:val="22"/>
                <w:szCs w:val="22"/>
              </w:rPr>
              <w:t>tumours</w:t>
            </w:r>
            <w:r w:rsidR="00C27AF7">
              <w:rPr>
                <w:rFonts w:ascii="Calibri" w:hAnsi="Calibri" w:cs="Calibri"/>
                <w:color w:val="000000"/>
                <w:sz w:val="22"/>
                <w:szCs w:val="22"/>
              </w:rPr>
              <w:t xml:space="preserve"> </w:t>
            </w:r>
            <w:r w:rsidR="00C27AF7" w:rsidRPr="00C27AF7">
              <w:rPr>
                <w:rFonts w:ascii="Calibri" w:hAnsi="Calibri" w:cs="Calibri"/>
                <w:b/>
                <w:bCs/>
                <w:color w:val="000000"/>
                <w:sz w:val="22"/>
                <w:szCs w:val="22"/>
              </w:rPr>
              <w:t>[63]</w:t>
            </w:r>
          </w:p>
        </w:tc>
      </w:tr>
    </w:tbl>
    <w:p w14:paraId="60DE41B4" w14:textId="77777777" w:rsidR="00313B62" w:rsidRPr="004072F5" w:rsidRDefault="00313B62" w:rsidP="00313B62">
      <w:pPr>
        <w:jc w:val="both"/>
        <w:rPr>
          <w:b/>
          <w:bCs/>
          <w:sz w:val="24"/>
          <w:szCs w:val="24"/>
        </w:rPr>
      </w:pPr>
    </w:p>
    <w:p w14:paraId="17CE1109" w14:textId="77777777" w:rsidR="00313B62" w:rsidRPr="00384E4F" w:rsidRDefault="00313B62" w:rsidP="00384E4F">
      <w:pPr>
        <w:jc w:val="both"/>
        <w:rPr>
          <w:sz w:val="24"/>
          <w:szCs w:val="24"/>
        </w:rPr>
      </w:pPr>
    </w:p>
    <w:p w14:paraId="6EB6569B" w14:textId="5B262363" w:rsidR="00A05B06" w:rsidRDefault="00000000" w:rsidP="00384E4F">
      <w:pPr>
        <w:jc w:val="both"/>
        <w:rPr>
          <w:b/>
          <w:bCs/>
          <w:sz w:val="24"/>
          <w:szCs w:val="24"/>
        </w:rPr>
      </w:pPr>
      <w:r w:rsidRPr="004072F5">
        <w:rPr>
          <w:b/>
          <w:bCs/>
          <w:sz w:val="24"/>
          <w:szCs w:val="24"/>
        </w:rPr>
        <w:t>Conclusion</w:t>
      </w:r>
    </w:p>
    <w:p w14:paraId="612868C0" w14:textId="77777777" w:rsidR="00DD6E90" w:rsidRPr="004072F5" w:rsidRDefault="00DD6E90" w:rsidP="00384E4F">
      <w:pPr>
        <w:jc w:val="both"/>
        <w:rPr>
          <w:b/>
          <w:bCs/>
          <w:sz w:val="24"/>
          <w:szCs w:val="24"/>
        </w:rPr>
      </w:pPr>
    </w:p>
    <w:p w14:paraId="07DE6158" w14:textId="51118237" w:rsidR="00A05B06" w:rsidRPr="00384E4F" w:rsidRDefault="00000000" w:rsidP="00384E4F">
      <w:pPr>
        <w:jc w:val="both"/>
        <w:rPr>
          <w:sz w:val="24"/>
          <w:szCs w:val="24"/>
        </w:rPr>
      </w:pPr>
      <w:r w:rsidRPr="00384E4F">
        <w:rPr>
          <w:sz w:val="24"/>
          <w:szCs w:val="24"/>
        </w:rPr>
        <w:t xml:space="preserve">There may be advantages to using biomarkers in the greater biomedical research business, in the drug development process, in examining different aspects of disease, and in tracking the positive effects of therapeutic interventions. Expanding our toolbox of treatments for all diseases and improving our comprehension of typical, healthy physiology depend on our ability to relate quantifiable biological processes to clinical outcomes. The necessity of utilising biomarkers as surrogate outcomes in sizable trials of serious diseases, including as cancer and heart disease, has been hotly debated at least since the 1980s. The FDA continues to support research on potential new biomarkers that could be used as surrogates in upcoming trials as well as the use of biomarkers in fundamental and clinical research. It is however easier to identify useful biomarkers for diagnosing an illness, for monitoring the response to a drug, and for studying disease progression the more that is understood about the underlying abnormalities associated with the condition and the mechanism of drug action. This is because the events linking disease pathogenesis to outcome are typically complex. For basic and clinical pharmacologists as well as other people involved in the identification of biomarkers, gathering this information might be difficult. Biomarkers can assist medication development by helping it concentrate more on certain patient subgroups, potentially improving therapeutic efficacy and safety. Strong supporting evidence is provided by various digital biomarkers and nanobiotechnology using biological indicators, which will eventually serve as the main information in some applications. </w:t>
      </w:r>
      <w:r w:rsidR="00184DE3" w:rsidRPr="00384E4F">
        <w:rPr>
          <w:sz w:val="24"/>
          <w:szCs w:val="24"/>
        </w:rPr>
        <w:t>Instead,</w:t>
      </w:r>
      <w:r w:rsidRPr="00384E4F">
        <w:rPr>
          <w:sz w:val="24"/>
          <w:szCs w:val="24"/>
        </w:rPr>
        <w:t xml:space="preserve"> </w:t>
      </w:r>
      <w:r w:rsidR="00184DE3" w:rsidRPr="00384E4F">
        <w:rPr>
          <w:sz w:val="24"/>
          <w:szCs w:val="24"/>
        </w:rPr>
        <w:t>then</w:t>
      </w:r>
      <w:r w:rsidRPr="00384E4F">
        <w:rPr>
          <w:sz w:val="24"/>
          <w:szCs w:val="24"/>
        </w:rPr>
        <w:t xml:space="preserve"> only focusing on whether the patients are feeling better, provide an objective biological indicator. This offers a fresh perspective on treatments, diagnosis, and medication development. Possibility to promote innovation, enhance effectiveness, reduce expenses, and give research organisations a significant advantage. The internal decision-making process we use to decide whether to go to the next stage of clinical development has undoubtedly been impacted by biomarkers. The </w:t>
      </w:r>
      <w:r w:rsidR="00184DE3" w:rsidRPr="00384E4F">
        <w:rPr>
          <w:sz w:val="24"/>
          <w:szCs w:val="24"/>
        </w:rPr>
        <w:t>goal</w:t>
      </w:r>
      <w:r w:rsidRPr="00384E4F">
        <w:rPr>
          <w:sz w:val="24"/>
          <w:szCs w:val="24"/>
        </w:rPr>
        <w:t xml:space="preserve"> of a tailored healthcare future.</w:t>
      </w:r>
    </w:p>
    <w:p w14:paraId="5B85C8DA" w14:textId="77777777" w:rsidR="00A05B06" w:rsidRPr="00384E4F" w:rsidRDefault="00A05B06" w:rsidP="00384E4F">
      <w:pPr>
        <w:jc w:val="both"/>
        <w:rPr>
          <w:sz w:val="24"/>
          <w:szCs w:val="24"/>
        </w:rPr>
      </w:pPr>
    </w:p>
    <w:p w14:paraId="36773919" w14:textId="20714726" w:rsidR="00A05B06" w:rsidRDefault="00A05B06" w:rsidP="00384E4F">
      <w:pPr>
        <w:jc w:val="both"/>
        <w:rPr>
          <w:sz w:val="24"/>
          <w:szCs w:val="24"/>
        </w:rPr>
      </w:pPr>
    </w:p>
    <w:p w14:paraId="34C33C0C" w14:textId="7F1420B5" w:rsidR="00D73DBD" w:rsidRDefault="00D73DBD" w:rsidP="00384E4F">
      <w:pPr>
        <w:jc w:val="both"/>
        <w:rPr>
          <w:sz w:val="24"/>
          <w:szCs w:val="24"/>
        </w:rPr>
      </w:pPr>
      <w:r>
        <w:rPr>
          <w:sz w:val="24"/>
          <w:szCs w:val="24"/>
        </w:rPr>
        <w:t>References</w:t>
      </w:r>
    </w:p>
    <w:p w14:paraId="4237ADC0" w14:textId="6D116B19" w:rsidR="000E239E" w:rsidRDefault="000E239E" w:rsidP="00384E4F">
      <w:pPr>
        <w:jc w:val="both"/>
        <w:rPr>
          <w:sz w:val="24"/>
          <w:szCs w:val="24"/>
        </w:rPr>
      </w:pPr>
    </w:p>
    <w:p w14:paraId="3CE7A50F" w14:textId="7B0069FD" w:rsidR="000E239E" w:rsidRDefault="000E239E" w:rsidP="000E239E">
      <w:pPr>
        <w:pStyle w:val="ListParagraph"/>
        <w:numPr>
          <w:ilvl w:val="0"/>
          <w:numId w:val="4"/>
        </w:numPr>
        <w:jc w:val="both"/>
        <w:rPr>
          <w:sz w:val="24"/>
          <w:szCs w:val="24"/>
        </w:rPr>
      </w:pPr>
      <w:r w:rsidRPr="000E239E">
        <w:rPr>
          <w:sz w:val="24"/>
          <w:szCs w:val="24"/>
        </w:rPr>
        <w:t>Strimbu K, Tavel JA. What are biomarkers? Curr</w:t>
      </w:r>
      <w:r w:rsidR="003F2D0E">
        <w:rPr>
          <w:sz w:val="24"/>
          <w:szCs w:val="24"/>
        </w:rPr>
        <w:t>ent</w:t>
      </w:r>
      <w:r w:rsidRPr="000E239E">
        <w:rPr>
          <w:sz w:val="24"/>
          <w:szCs w:val="24"/>
        </w:rPr>
        <w:t xml:space="preserve"> Opin</w:t>
      </w:r>
      <w:r w:rsidR="003F2D0E">
        <w:rPr>
          <w:sz w:val="24"/>
          <w:szCs w:val="24"/>
        </w:rPr>
        <w:t>ion in</w:t>
      </w:r>
      <w:r w:rsidRPr="000E239E">
        <w:rPr>
          <w:sz w:val="24"/>
          <w:szCs w:val="24"/>
        </w:rPr>
        <w:t xml:space="preserve"> HIV</w:t>
      </w:r>
      <w:r w:rsidR="003F2D0E">
        <w:rPr>
          <w:sz w:val="24"/>
          <w:szCs w:val="24"/>
        </w:rPr>
        <w:t xml:space="preserve"> and </w:t>
      </w:r>
      <w:r w:rsidRPr="000E239E">
        <w:rPr>
          <w:sz w:val="24"/>
          <w:szCs w:val="24"/>
        </w:rPr>
        <w:t>AIDS. 2010;5(6):463</w:t>
      </w:r>
      <w:r w:rsidR="003F2D0E">
        <w:rPr>
          <w:sz w:val="24"/>
          <w:szCs w:val="24"/>
        </w:rPr>
        <w:t>-</w:t>
      </w:r>
      <w:r w:rsidRPr="000E239E">
        <w:rPr>
          <w:sz w:val="24"/>
          <w:szCs w:val="24"/>
        </w:rPr>
        <w:t>6.</w:t>
      </w:r>
    </w:p>
    <w:p w14:paraId="38CE6303" w14:textId="77777777" w:rsidR="000E239E" w:rsidRDefault="000E239E" w:rsidP="000E239E">
      <w:pPr>
        <w:pStyle w:val="ListParagraph"/>
        <w:ind w:left="720"/>
        <w:jc w:val="both"/>
        <w:rPr>
          <w:sz w:val="24"/>
          <w:szCs w:val="24"/>
        </w:rPr>
      </w:pPr>
    </w:p>
    <w:p w14:paraId="1DB402B9" w14:textId="0249B860" w:rsidR="000E239E" w:rsidRPr="000E239E" w:rsidRDefault="000E239E" w:rsidP="000E239E">
      <w:pPr>
        <w:pStyle w:val="ListParagraph"/>
        <w:numPr>
          <w:ilvl w:val="0"/>
          <w:numId w:val="4"/>
        </w:numPr>
        <w:jc w:val="both"/>
        <w:rPr>
          <w:sz w:val="24"/>
          <w:szCs w:val="24"/>
        </w:rPr>
      </w:pPr>
      <w:r w:rsidRPr="000E239E">
        <w:rPr>
          <w:sz w:val="24"/>
          <w:szCs w:val="24"/>
        </w:rPr>
        <w:t xml:space="preserve">Jain KK. The handbook of biomarkers. The Handbook of Biomarkers. 2017. 1–760 </w:t>
      </w:r>
      <w:r w:rsidR="0062731C">
        <w:rPr>
          <w:sz w:val="24"/>
          <w:szCs w:val="24"/>
        </w:rPr>
        <w:t>p;14, 24, 89, 314.</w:t>
      </w:r>
    </w:p>
    <w:p w14:paraId="3FD44319" w14:textId="77777777" w:rsidR="000E239E" w:rsidRDefault="000E239E" w:rsidP="000E239E">
      <w:pPr>
        <w:pStyle w:val="ListParagraph"/>
        <w:ind w:left="720"/>
        <w:jc w:val="both"/>
        <w:rPr>
          <w:sz w:val="24"/>
          <w:szCs w:val="24"/>
        </w:rPr>
      </w:pPr>
    </w:p>
    <w:p w14:paraId="1DD9379E" w14:textId="02150BBF" w:rsidR="000E239E" w:rsidRPr="00D67020" w:rsidRDefault="00D142D2" w:rsidP="000E239E">
      <w:pPr>
        <w:pStyle w:val="ListParagraph"/>
        <w:numPr>
          <w:ilvl w:val="0"/>
          <w:numId w:val="4"/>
        </w:numPr>
        <w:jc w:val="both"/>
        <w:rPr>
          <w:sz w:val="24"/>
          <w:szCs w:val="24"/>
        </w:rPr>
      </w:pPr>
      <w:proofErr w:type="spellStart"/>
      <w:r w:rsidRPr="00D142D2">
        <w:rPr>
          <w:sz w:val="24"/>
          <w:szCs w:val="24"/>
        </w:rPr>
        <w:t>Sobsey</w:t>
      </w:r>
      <w:proofErr w:type="spellEnd"/>
      <w:r w:rsidRPr="00D142D2">
        <w:rPr>
          <w:sz w:val="24"/>
          <w:szCs w:val="24"/>
        </w:rPr>
        <w:t xml:space="preserve"> CA, Ibrahim S, Richard VR, Gaspar V, Mitsa G, Lacasse V</w:t>
      </w:r>
      <w:r w:rsidR="000E239E" w:rsidRPr="00D67020">
        <w:rPr>
          <w:sz w:val="24"/>
          <w:szCs w:val="24"/>
        </w:rPr>
        <w:t xml:space="preserve">, et al. </w:t>
      </w:r>
      <w:r w:rsidRPr="00D142D2">
        <w:rPr>
          <w:sz w:val="24"/>
          <w:szCs w:val="24"/>
        </w:rPr>
        <w:t>Targeted and Untargeted Proteomics Approaches in Biomarker Development</w:t>
      </w:r>
      <w:r w:rsidR="000E239E" w:rsidRPr="00D67020">
        <w:rPr>
          <w:sz w:val="24"/>
          <w:szCs w:val="24"/>
        </w:rPr>
        <w:t>.</w:t>
      </w:r>
      <w:r>
        <w:rPr>
          <w:sz w:val="24"/>
          <w:szCs w:val="24"/>
        </w:rPr>
        <w:t xml:space="preserve"> Analytical Science Journals.</w:t>
      </w:r>
      <w:r w:rsidR="000E239E" w:rsidRPr="00D67020">
        <w:rPr>
          <w:sz w:val="24"/>
          <w:szCs w:val="24"/>
        </w:rPr>
        <w:t xml:space="preserve"> 201</w:t>
      </w:r>
      <w:r>
        <w:rPr>
          <w:sz w:val="24"/>
          <w:szCs w:val="24"/>
        </w:rPr>
        <w:t>9.</w:t>
      </w:r>
    </w:p>
    <w:p w14:paraId="34FE5865" w14:textId="77777777" w:rsidR="000E239E" w:rsidRDefault="000E239E" w:rsidP="000E239E">
      <w:pPr>
        <w:pStyle w:val="ListParagraph"/>
        <w:ind w:left="720"/>
        <w:jc w:val="both"/>
        <w:rPr>
          <w:sz w:val="24"/>
          <w:szCs w:val="24"/>
        </w:rPr>
      </w:pPr>
    </w:p>
    <w:p w14:paraId="65B0F464" w14:textId="6B894CAF" w:rsidR="000E239E" w:rsidRDefault="008D4C00" w:rsidP="00AE2466">
      <w:pPr>
        <w:pStyle w:val="ListParagraph"/>
        <w:numPr>
          <w:ilvl w:val="0"/>
          <w:numId w:val="4"/>
        </w:numPr>
        <w:jc w:val="both"/>
        <w:rPr>
          <w:sz w:val="24"/>
          <w:szCs w:val="24"/>
        </w:rPr>
      </w:pPr>
      <w:r w:rsidRPr="008D4C00">
        <w:rPr>
          <w:sz w:val="24"/>
          <w:szCs w:val="24"/>
        </w:rPr>
        <w:t>Huss R</w:t>
      </w:r>
      <w:r w:rsidR="000E239E" w:rsidRPr="008D4C00">
        <w:rPr>
          <w:sz w:val="24"/>
          <w:szCs w:val="24"/>
        </w:rPr>
        <w:t xml:space="preserve">. </w:t>
      </w:r>
      <w:r w:rsidRPr="008D4C00">
        <w:rPr>
          <w:sz w:val="24"/>
          <w:szCs w:val="24"/>
        </w:rPr>
        <w:t>Biomarkers.</w:t>
      </w:r>
      <w:r w:rsidRPr="008D4C00">
        <w:t xml:space="preserve"> </w:t>
      </w:r>
      <w:r w:rsidRPr="008D4C00">
        <w:rPr>
          <w:sz w:val="24"/>
          <w:szCs w:val="24"/>
        </w:rPr>
        <w:t>Translational Regenerative Medicine</w:t>
      </w:r>
      <w:r w:rsidR="000E239E" w:rsidRPr="008D4C00">
        <w:rPr>
          <w:sz w:val="24"/>
          <w:szCs w:val="24"/>
        </w:rPr>
        <w:t>.</w:t>
      </w:r>
      <w:r w:rsidRPr="008D4C00">
        <w:rPr>
          <w:sz w:val="24"/>
          <w:szCs w:val="24"/>
        </w:rPr>
        <w:t xml:space="preserve"> 2015;</w:t>
      </w:r>
      <w:r w:rsidRPr="008D4C00">
        <w:rPr>
          <w:b/>
          <w:bCs/>
          <w:sz w:val="24"/>
          <w:szCs w:val="24"/>
        </w:rPr>
        <w:t xml:space="preserve"> </w:t>
      </w:r>
      <w:r w:rsidRPr="008D4C00">
        <w:rPr>
          <w:sz w:val="24"/>
          <w:szCs w:val="24"/>
        </w:rPr>
        <w:t>235-241.</w:t>
      </w:r>
    </w:p>
    <w:p w14:paraId="0D4FBBB4" w14:textId="77777777" w:rsidR="008D4C00" w:rsidRPr="008D4C00" w:rsidRDefault="008D4C00" w:rsidP="007E191C">
      <w:pPr>
        <w:pStyle w:val="ListParagraph"/>
        <w:ind w:left="720"/>
        <w:jc w:val="both"/>
        <w:rPr>
          <w:sz w:val="24"/>
          <w:szCs w:val="24"/>
        </w:rPr>
      </w:pPr>
    </w:p>
    <w:p w14:paraId="389D9A91" w14:textId="6584BE83" w:rsidR="000E239E" w:rsidRPr="000E239E" w:rsidRDefault="00930F20" w:rsidP="000E239E">
      <w:pPr>
        <w:pStyle w:val="ListParagraph"/>
        <w:numPr>
          <w:ilvl w:val="0"/>
          <w:numId w:val="4"/>
        </w:numPr>
        <w:jc w:val="both"/>
        <w:rPr>
          <w:sz w:val="24"/>
          <w:szCs w:val="24"/>
        </w:rPr>
      </w:pPr>
      <w:r w:rsidRPr="00930F20">
        <w:rPr>
          <w:sz w:val="24"/>
          <w:szCs w:val="24"/>
        </w:rPr>
        <w:t>Cagney DN, Sul J, Huang RY, Ligon KL, Wen PY, Alexander BM.</w:t>
      </w:r>
      <w:r>
        <w:rPr>
          <w:sz w:val="24"/>
          <w:szCs w:val="24"/>
        </w:rPr>
        <w:t xml:space="preserve"> </w:t>
      </w:r>
      <w:r w:rsidRPr="00930F20">
        <w:rPr>
          <w:sz w:val="24"/>
          <w:szCs w:val="24"/>
        </w:rPr>
        <w:t>The FDA NIH Biomarkers, Endpoint</w:t>
      </w:r>
      <w:r w:rsidR="00FF5223">
        <w:rPr>
          <w:sz w:val="24"/>
          <w:szCs w:val="24"/>
        </w:rPr>
        <w:t>s</w:t>
      </w:r>
      <w:r w:rsidRPr="00930F20">
        <w:rPr>
          <w:sz w:val="24"/>
          <w:szCs w:val="24"/>
        </w:rPr>
        <w:t>, and other Tools (BEST) resource in neuro-oncology</w:t>
      </w:r>
      <w:r w:rsidR="00B15161">
        <w:rPr>
          <w:sz w:val="24"/>
          <w:szCs w:val="24"/>
        </w:rPr>
        <w:t xml:space="preserve">. </w:t>
      </w:r>
      <w:r w:rsidR="00B15161" w:rsidRPr="00B15161">
        <w:rPr>
          <w:sz w:val="24"/>
          <w:szCs w:val="24"/>
        </w:rPr>
        <w:t>Neuro-Oncology</w:t>
      </w:r>
      <w:r>
        <w:rPr>
          <w:sz w:val="24"/>
          <w:szCs w:val="24"/>
        </w:rPr>
        <w:t>; 2018. 20(9):1162-1172.</w:t>
      </w:r>
    </w:p>
    <w:p w14:paraId="231ADAD7" w14:textId="77777777" w:rsidR="000E239E" w:rsidRDefault="000E239E" w:rsidP="000E239E">
      <w:pPr>
        <w:pStyle w:val="ListParagraph"/>
        <w:ind w:left="720"/>
        <w:jc w:val="both"/>
        <w:rPr>
          <w:sz w:val="24"/>
          <w:szCs w:val="24"/>
        </w:rPr>
      </w:pPr>
    </w:p>
    <w:p w14:paraId="113F82D9" w14:textId="593703BF" w:rsidR="000E239E" w:rsidRPr="00C17D4E" w:rsidRDefault="000E239E" w:rsidP="000E239E">
      <w:pPr>
        <w:pStyle w:val="ListParagraph"/>
        <w:numPr>
          <w:ilvl w:val="0"/>
          <w:numId w:val="4"/>
        </w:numPr>
        <w:jc w:val="both"/>
        <w:rPr>
          <w:sz w:val="24"/>
          <w:szCs w:val="24"/>
        </w:rPr>
      </w:pPr>
      <w:r w:rsidRPr="00C17D4E">
        <w:rPr>
          <w:sz w:val="24"/>
          <w:szCs w:val="24"/>
        </w:rPr>
        <w:lastRenderedPageBreak/>
        <w:t xml:space="preserve">Aronson JK, Ferner RE. Biomarkers—a general review. </w:t>
      </w:r>
      <w:proofErr w:type="spellStart"/>
      <w:r w:rsidRPr="00C17D4E">
        <w:rPr>
          <w:sz w:val="24"/>
          <w:szCs w:val="24"/>
        </w:rPr>
        <w:t>Curr</w:t>
      </w:r>
      <w:proofErr w:type="spellEnd"/>
      <w:r w:rsidRPr="00C17D4E">
        <w:rPr>
          <w:sz w:val="24"/>
          <w:szCs w:val="24"/>
        </w:rPr>
        <w:t xml:space="preserve"> </w:t>
      </w:r>
      <w:proofErr w:type="spellStart"/>
      <w:r w:rsidRPr="00C17D4E">
        <w:rPr>
          <w:sz w:val="24"/>
          <w:szCs w:val="24"/>
        </w:rPr>
        <w:t>Protoc</w:t>
      </w:r>
      <w:proofErr w:type="spellEnd"/>
      <w:r w:rsidRPr="00C17D4E">
        <w:rPr>
          <w:sz w:val="24"/>
          <w:szCs w:val="24"/>
        </w:rPr>
        <w:t xml:space="preserve"> </w:t>
      </w:r>
      <w:proofErr w:type="spellStart"/>
      <w:r w:rsidRPr="00C17D4E">
        <w:rPr>
          <w:sz w:val="24"/>
          <w:szCs w:val="24"/>
        </w:rPr>
        <w:t>Pharmacol</w:t>
      </w:r>
      <w:proofErr w:type="spellEnd"/>
      <w:r w:rsidRPr="00C17D4E">
        <w:rPr>
          <w:sz w:val="24"/>
          <w:szCs w:val="24"/>
        </w:rPr>
        <w:t>. 2017;</w:t>
      </w:r>
      <w:r w:rsidR="0019575A">
        <w:rPr>
          <w:sz w:val="24"/>
          <w:szCs w:val="24"/>
        </w:rPr>
        <w:t xml:space="preserve"> </w:t>
      </w:r>
      <w:r w:rsidRPr="00C17D4E">
        <w:rPr>
          <w:sz w:val="24"/>
          <w:szCs w:val="24"/>
        </w:rPr>
        <w:t xml:space="preserve">9.23.1-9.23.17. </w:t>
      </w:r>
    </w:p>
    <w:p w14:paraId="30B8C487" w14:textId="77777777" w:rsidR="000E239E" w:rsidRPr="00FF5223" w:rsidRDefault="000E239E" w:rsidP="000E239E">
      <w:pPr>
        <w:pStyle w:val="ListParagraph"/>
        <w:ind w:left="720"/>
        <w:jc w:val="both"/>
        <w:rPr>
          <w:sz w:val="24"/>
          <w:szCs w:val="24"/>
        </w:rPr>
      </w:pPr>
    </w:p>
    <w:p w14:paraId="4C8B6DF6" w14:textId="2E9796AC" w:rsidR="000E239E" w:rsidRPr="00FF5223" w:rsidRDefault="0019575A" w:rsidP="00937F2A">
      <w:pPr>
        <w:pStyle w:val="ListParagraph"/>
        <w:numPr>
          <w:ilvl w:val="0"/>
          <w:numId w:val="4"/>
        </w:numPr>
        <w:jc w:val="both"/>
        <w:rPr>
          <w:sz w:val="24"/>
          <w:szCs w:val="24"/>
        </w:rPr>
      </w:pPr>
      <w:r w:rsidRPr="00FF5223">
        <w:rPr>
          <w:sz w:val="24"/>
          <w:szCs w:val="24"/>
        </w:rPr>
        <w:t>Allison J, Brooks S. Biomarkers in Drug Development – A CRO Perspective,2004;15-19.</w:t>
      </w:r>
    </w:p>
    <w:p w14:paraId="40AC88EB" w14:textId="77777777" w:rsidR="000E239E" w:rsidRDefault="000E239E" w:rsidP="000E239E">
      <w:pPr>
        <w:pStyle w:val="ListParagraph"/>
        <w:ind w:left="720"/>
        <w:jc w:val="both"/>
        <w:rPr>
          <w:sz w:val="24"/>
          <w:szCs w:val="24"/>
        </w:rPr>
      </w:pPr>
    </w:p>
    <w:p w14:paraId="1C0659E0" w14:textId="6A1E7D4E" w:rsidR="000E239E" w:rsidRPr="00FF5223" w:rsidRDefault="000E239E" w:rsidP="00110714">
      <w:pPr>
        <w:pStyle w:val="ListParagraph"/>
        <w:numPr>
          <w:ilvl w:val="0"/>
          <w:numId w:val="4"/>
        </w:numPr>
        <w:jc w:val="both"/>
        <w:rPr>
          <w:sz w:val="24"/>
          <w:szCs w:val="24"/>
        </w:rPr>
      </w:pPr>
      <w:r w:rsidRPr="00FF5223">
        <w:rPr>
          <w:sz w:val="24"/>
          <w:szCs w:val="24"/>
        </w:rPr>
        <w:t xml:space="preserve">Califf RM. Biomarker definitions and their applications. Exp </w:t>
      </w:r>
      <w:proofErr w:type="spellStart"/>
      <w:r w:rsidRPr="00FF5223">
        <w:rPr>
          <w:sz w:val="24"/>
          <w:szCs w:val="24"/>
        </w:rPr>
        <w:t>Biol</w:t>
      </w:r>
      <w:proofErr w:type="spellEnd"/>
      <w:r w:rsidRPr="00FF5223">
        <w:rPr>
          <w:sz w:val="24"/>
          <w:szCs w:val="24"/>
        </w:rPr>
        <w:t xml:space="preserve"> Med. 2018;243(3):213–21. </w:t>
      </w:r>
    </w:p>
    <w:p w14:paraId="3CD62AF7" w14:textId="176E15C9" w:rsidR="000E239E" w:rsidRPr="00FF5223" w:rsidRDefault="000E239E" w:rsidP="000E239E">
      <w:pPr>
        <w:pStyle w:val="ListParagraph"/>
        <w:ind w:left="720"/>
        <w:jc w:val="both"/>
        <w:rPr>
          <w:sz w:val="24"/>
          <w:szCs w:val="24"/>
        </w:rPr>
      </w:pPr>
    </w:p>
    <w:p w14:paraId="3AB2A23E" w14:textId="2EB9FAE5" w:rsidR="000E239E" w:rsidRPr="00FF5223" w:rsidRDefault="00DE31B5" w:rsidP="00B069D8">
      <w:pPr>
        <w:pStyle w:val="ListParagraph"/>
        <w:numPr>
          <w:ilvl w:val="0"/>
          <w:numId w:val="4"/>
        </w:numPr>
        <w:jc w:val="both"/>
        <w:rPr>
          <w:sz w:val="24"/>
          <w:szCs w:val="24"/>
        </w:rPr>
      </w:pPr>
      <w:r w:rsidRPr="00FF5223">
        <w:rPr>
          <w:sz w:val="24"/>
          <w:szCs w:val="24"/>
        </w:rPr>
        <w:t>Fleming</w:t>
      </w:r>
      <w:r w:rsidRPr="00FF5223">
        <w:rPr>
          <w:sz w:val="24"/>
          <w:szCs w:val="24"/>
        </w:rPr>
        <w:t xml:space="preserve"> TR</w:t>
      </w:r>
      <w:r w:rsidRPr="00FF5223">
        <w:rPr>
          <w:sz w:val="24"/>
          <w:szCs w:val="24"/>
        </w:rPr>
        <w:t xml:space="preserve">, </w:t>
      </w:r>
      <w:proofErr w:type="spellStart"/>
      <w:r w:rsidRPr="00FF5223">
        <w:rPr>
          <w:sz w:val="24"/>
          <w:szCs w:val="24"/>
        </w:rPr>
        <w:t>DeMets</w:t>
      </w:r>
      <w:proofErr w:type="spellEnd"/>
      <w:r w:rsidRPr="00FF5223">
        <w:rPr>
          <w:sz w:val="24"/>
          <w:szCs w:val="24"/>
        </w:rPr>
        <w:t xml:space="preserve"> DL. </w:t>
      </w:r>
      <w:r w:rsidRPr="00FF5223">
        <w:rPr>
          <w:sz w:val="24"/>
          <w:szCs w:val="24"/>
        </w:rPr>
        <w:t>Surrogate End Points in Clinical Trials: Are We Being Misled?</w:t>
      </w:r>
      <w:r w:rsidRPr="00FF5223">
        <w:rPr>
          <w:sz w:val="24"/>
          <w:szCs w:val="24"/>
        </w:rPr>
        <w:t xml:space="preserve"> </w:t>
      </w:r>
      <w:r w:rsidRPr="00FF5223">
        <w:rPr>
          <w:sz w:val="24"/>
          <w:szCs w:val="24"/>
        </w:rPr>
        <w:t>Ann Intern Med</w:t>
      </w:r>
      <w:r w:rsidRPr="00FF5223">
        <w:rPr>
          <w:sz w:val="24"/>
          <w:szCs w:val="24"/>
        </w:rPr>
        <w:t xml:space="preserve">. </w:t>
      </w:r>
      <w:r w:rsidRPr="00FF5223">
        <w:rPr>
          <w:sz w:val="24"/>
          <w:szCs w:val="24"/>
        </w:rPr>
        <w:t>1996;125(7):605-13.</w:t>
      </w:r>
      <w:r w:rsidR="000E239E" w:rsidRPr="00FF5223">
        <w:rPr>
          <w:sz w:val="24"/>
          <w:szCs w:val="24"/>
        </w:rPr>
        <w:t xml:space="preserve"> </w:t>
      </w:r>
    </w:p>
    <w:p w14:paraId="5744A5F3" w14:textId="77777777" w:rsidR="00FC0296" w:rsidRDefault="00FC0296" w:rsidP="00FC0296">
      <w:pPr>
        <w:pStyle w:val="ListParagraph"/>
        <w:ind w:left="720"/>
        <w:jc w:val="both"/>
        <w:rPr>
          <w:b/>
          <w:bCs/>
          <w:color w:val="FF0000"/>
          <w:sz w:val="24"/>
          <w:szCs w:val="24"/>
        </w:rPr>
      </w:pPr>
    </w:p>
    <w:p w14:paraId="6D939ABB" w14:textId="365E9DE2" w:rsidR="00243912" w:rsidRPr="00737EE7" w:rsidRDefault="00737EE7" w:rsidP="00CC24FE">
      <w:pPr>
        <w:pStyle w:val="ListParagraph"/>
        <w:numPr>
          <w:ilvl w:val="0"/>
          <w:numId w:val="4"/>
        </w:numPr>
        <w:jc w:val="both"/>
        <w:rPr>
          <w:sz w:val="24"/>
          <w:szCs w:val="24"/>
        </w:rPr>
      </w:pPr>
      <w:r w:rsidRPr="00737EE7">
        <w:rPr>
          <w:sz w:val="24"/>
          <w:szCs w:val="24"/>
        </w:rPr>
        <w:t>Verily Life Sciences. Project baseline, www.projectbaseline.com/</w:t>
      </w:r>
    </w:p>
    <w:p w14:paraId="27E9EE3E" w14:textId="77777777" w:rsidR="00FC0296" w:rsidRDefault="00FC0296" w:rsidP="00FC0296">
      <w:pPr>
        <w:pStyle w:val="ListParagraph"/>
        <w:ind w:left="720"/>
        <w:jc w:val="both"/>
        <w:rPr>
          <w:b/>
          <w:bCs/>
          <w:color w:val="FF0000"/>
          <w:sz w:val="24"/>
          <w:szCs w:val="24"/>
        </w:rPr>
      </w:pPr>
    </w:p>
    <w:p w14:paraId="15B43B96" w14:textId="66DBAD9B" w:rsidR="00243912" w:rsidRPr="00737EE7" w:rsidRDefault="00737EE7" w:rsidP="002A3638">
      <w:pPr>
        <w:pStyle w:val="ListParagraph"/>
        <w:numPr>
          <w:ilvl w:val="0"/>
          <w:numId w:val="4"/>
        </w:numPr>
        <w:jc w:val="both"/>
        <w:rPr>
          <w:sz w:val="24"/>
          <w:szCs w:val="24"/>
        </w:rPr>
      </w:pPr>
      <w:r w:rsidRPr="00737EE7">
        <w:rPr>
          <w:sz w:val="24"/>
          <w:szCs w:val="24"/>
        </w:rPr>
        <w:t>National Institutes of Health. National Institutes of Health All of Us</w:t>
      </w:r>
      <w:r w:rsidRPr="00737EE7">
        <w:rPr>
          <w:sz w:val="24"/>
          <w:szCs w:val="24"/>
        </w:rPr>
        <w:t xml:space="preserve"> </w:t>
      </w:r>
      <w:r w:rsidRPr="00737EE7">
        <w:rPr>
          <w:sz w:val="24"/>
          <w:szCs w:val="24"/>
        </w:rPr>
        <w:t>Research Project</w:t>
      </w:r>
      <w:r>
        <w:rPr>
          <w:sz w:val="24"/>
          <w:szCs w:val="24"/>
        </w:rPr>
        <w:t>,</w:t>
      </w:r>
      <w:r w:rsidRPr="00737EE7">
        <w:rPr>
          <w:sz w:val="24"/>
          <w:szCs w:val="24"/>
        </w:rPr>
        <w:t xml:space="preserve"> https://allofus.nih.gov/</w:t>
      </w:r>
      <w:r>
        <w:rPr>
          <w:sz w:val="24"/>
          <w:szCs w:val="24"/>
        </w:rPr>
        <w:t>.</w:t>
      </w:r>
    </w:p>
    <w:p w14:paraId="3172FA6B" w14:textId="4CD8EE14" w:rsidR="009E0EA7" w:rsidRPr="00FF5223" w:rsidRDefault="009E0EA7" w:rsidP="009E0EA7">
      <w:pPr>
        <w:pStyle w:val="ListParagraph"/>
        <w:ind w:left="720"/>
        <w:jc w:val="both"/>
        <w:rPr>
          <w:sz w:val="24"/>
          <w:szCs w:val="24"/>
        </w:rPr>
      </w:pPr>
    </w:p>
    <w:p w14:paraId="6411B9B3" w14:textId="14A01097" w:rsidR="009E0EA7" w:rsidRPr="00FF5223" w:rsidRDefault="009E0EA7" w:rsidP="00CC24FE">
      <w:pPr>
        <w:pStyle w:val="ListParagraph"/>
        <w:numPr>
          <w:ilvl w:val="0"/>
          <w:numId w:val="4"/>
        </w:numPr>
        <w:jc w:val="both"/>
        <w:rPr>
          <w:sz w:val="24"/>
          <w:szCs w:val="24"/>
        </w:rPr>
      </w:pPr>
      <w:r w:rsidRPr="00FF5223">
        <w:rPr>
          <w:sz w:val="24"/>
          <w:szCs w:val="24"/>
        </w:rPr>
        <w:t>Sawyers CL. The cancer biomarker problem. Nature. 2008; 452: 548-552.</w:t>
      </w:r>
    </w:p>
    <w:p w14:paraId="78EA5E09" w14:textId="77777777" w:rsidR="00FC0296" w:rsidRPr="00FC0296" w:rsidRDefault="00FC0296" w:rsidP="00FC0296">
      <w:pPr>
        <w:pStyle w:val="ListParagraph"/>
        <w:ind w:left="720"/>
        <w:jc w:val="both"/>
        <w:rPr>
          <w:sz w:val="24"/>
          <w:szCs w:val="24"/>
        </w:rPr>
      </w:pPr>
    </w:p>
    <w:p w14:paraId="38A8415C" w14:textId="4165E2CA" w:rsidR="00BD4492" w:rsidRPr="00FC0296" w:rsidRDefault="00A31B25" w:rsidP="00DC180B">
      <w:pPr>
        <w:pStyle w:val="ListParagraph"/>
        <w:numPr>
          <w:ilvl w:val="0"/>
          <w:numId w:val="4"/>
        </w:numPr>
        <w:jc w:val="both"/>
        <w:rPr>
          <w:sz w:val="24"/>
          <w:szCs w:val="24"/>
        </w:rPr>
      </w:pPr>
      <w:r w:rsidRPr="00FC0296">
        <w:rPr>
          <w:sz w:val="24"/>
          <w:szCs w:val="24"/>
        </w:rPr>
        <w:t>Day M, Rutkowski JL, Feuerstein GZ.</w:t>
      </w:r>
      <w:r w:rsidRPr="00FC0296">
        <w:rPr>
          <w:sz w:val="24"/>
          <w:szCs w:val="24"/>
        </w:rPr>
        <w:t xml:space="preserve"> </w:t>
      </w:r>
      <w:r w:rsidRPr="00FC0296">
        <w:rPr>
          <w:sz w:val="24"/>
          <w:szCs w:val="24"/>
        </w:rPr>
        <w:t>Translational Medicine-A Paradigm</w:t>
      </w:r>
      <w:r w:rsidRPr="00FC0296">
        <w:rPr>
          <w:sz w:val="24"/>
          <w:szCs w:val="24"/>
        </w:rPr>
        <w:t xml:space="preserve"> </w:t>
      </w:r>
      <w:r w:rsidRPr="00FC0296">
        <w:rPr>
          <w:sz w:val="24"/>
          <w:szCs w:val="24"/>
        </w:rPr>
        <w:t>Shift in</w:t>
      </w:r>
      <w:r w:rsidRPr="00FC0296">
        <w:rPr>
          <w:sz w:val="24"/>
          <w:szCs w:val="24"/>
        </w:rPr>
        <w:t xml:space="preserve"> </w:t>
      </w:r>
      <w:r w:rsidRPr="00FC0296">
        <w:rPr>
          <w:sz w:val="24"/>
          <w:szCs w:val="24"/>
        </w:rPr>
        <w:t>Modern Drug Discovery</w:t>
      </w:r>
      <w:r w:rsidRPr="00FC0296">
        <w:rPr>
          <w:sz w:val="24"/>
          <w:szCs w:val="24"/>
        </w:rPr>
        <w:t xml:space="preserve"> </w:t>
      </w:r>
      <w:r w:rsidRPr="00FC0296">
        <w:rPr>
          <w:sz w:val="24"/>
          <w:szCs w:val="24"/>
        </w:rPr>
        <w:t>and Development:</w:t>
      </w:r>
      <w:r w:rsidRPr="00FC0296">
        <w:rPr>
          <w:sz w:val="24"/>
          <w:szCs w:val="24"/>
        </w:rPr>
        <w:t xml:space="preserve"> </w:t>
      </w:r>
      <w:r w:rsidRPr="00FC0296">
        <w:rPr>
          <w:sz w:val="24"/>
          <w:szCs w:val="24"/>
        </w:rPr>
        <w:t>The Role of</w:t>
      </w:r>
      <w:r w:rsidRPr="00FC0296">
        <w:rPr>
          <w:sz w:val="24"/>
          <w:szCs w:val="24"/>
        </w:rPr>
        <w:t xml:space="preserve"> </w:t>
      </w:r>
      <w:r w:rsidRPr="00FC0296">
        <w:rPr>
          <w:sz w:val="24"/>
          <w:szCs w:val="24"/>
        </w:rPr>
        <w:t>Biomarkers</w:t>
      </w:r>
      <w:r w:rsidRPr="00FC0296">
        <w:rPr>
          <w:sz w:val="24"/>
          <w:szCs w:val="24"/>
        </w:rPr>
        <w:t xml:space="preserve">. </w:t>
      </w:r>
      <w:r w:rsidR="00FC0296" w:rsidRPr="00FC0296">
        <w:rPr>
          <w:sz w:val="24"/>
          <w:szCs w:val="24"/>
        </w:rPr>
        <w:t>Pharmaceu</w:t>
      </w:r>
      <w:r w:rsidR="00FC0296" w:rsidRPr="00FC0296">
        <w:rPr>
          <w:sz w:val="24"/>
          <w:szCs w:val="24"/>
        </w:rPr>
        <w:t>t</w:t>
      </w:r>
      <w:r w:rsidR="00FC0296" w:rsidRPr="00FC0296">
        <w:rPr>
          <w:sz w:val="24"/>
          <w:szCs w:val="24"/>
        </w:rPr>
        <w:t>i</w:t>
      </w:r>
      <w:r w:rsidR="00FC0296" w:rsidRPr="00FC0296">
        <w:rPr>
          <w:sz w:val="24"/>
          <w:szCs w:val="24"/>
        </w:rPr>
        <w:t xml:space="preserve">cal </w:t>
      </w:r>
      <w:r w:rsidR="00FC0296" w:rsidRPr="00FC0296">
        <w:rPr>
          <w:sz w:val="24"/>
          <w:szCs w:val="24"/>
        </w:rPr>
        <w:t>Biotechnology</w:t>
      </w:r>
      <w:r w:rsidR="00FC0296" w:rsidRPr="00FC0296">
        <w:rPr>
          <w:sz w:val="24"/>
          <w:szCs w:val="24"/>
        </w:rPr>
        <w:t xml:space="preserve">. </w:t>
      </w:r>
      <w:r w:rsidR="00FC0296" w:rsidRPr="00FC0296">
        <w:rPr>
          <w:sz w:val="24"/>
          <w:szCs w:val="24"/>
        </w:rPr>
        <w:t>Adv Exp Med Biol. 2009;</w:t>
      </w:r>
      <w:r w:rsidR="00FC0296">
        <w:rPr>
          <w:sz w:val="24"/>
          <w:szCs w:val="24"/>
        </w:rPr>
        <w:t xml:space="preserve"> </w:t>
      </w:r>
      <w:r w:rsidR="00FC0296" w:rsidRPr="00FC0296">
        <w:rPr>
          <w:sz w:val="24"/>
          <w:szCs w:val="24"/>
        </w:rPr>
        <w:t>655:1-12.</w:t>
      </w:r>
    </w:p>
    <w:p w14:paraId="21B66E2B" w14:textId="77777777" w:rsidR="00FC0296" w:rsidRDefault="00FC0296" w:rsidP="00FC0296">
      <w:pPr>
        <w:pStyle w:val="ListParagraph"/>
        <w:ind w:left="720"/>
        <w:jc w:val="both"/>
        <w:rPr>
          <w:sz w:val="24"/>
          <w:szCs w:val="24"/>
        </w:rPr>
      </w:pPr>
    </w:p>
    <w:p w14:paraId="291B0A87" w14:textId="04116F80" w:rsidR="004A3FF6" w:rsidRDefault="004D2076" w:rsidP="006F5259">
      <w:pPr>
        <w:pStyle w:val="ListParagraph"/>
        <w:numPr>
          <w:ilvl w:val="0"/>
          <w:numId w:val="4"/>
        </w:numPr>
        <w:jc w:val="both"/>
        <w:rPr>
          <w:sz w:val="24"/>
          <w:szCs w:val="24"/>
        </w:rPr>
      </w:pPr>
      <w:r w:rsidRPr="004D2076">
        <w:rPr>
          <w:sz w:val="24"/>
          <w:szCs w:val="24"/>
        </w:rPr>
        <w:t>Griffiths HR, Møller L, Bartosz G, Bast A, Bertoni-</w:t>
      </w:r>
      <w:proofErr w:type="spellStart"/>
      <w:r w:rsidRPr="004D2076">
        <w:rPr>
          <w:sz w:val="24"/>
          <w:szCs w:val="24"/>
        </w:rPr>
        <w:t>Freddarie</w:t>
      </w:r>
      <w:proofErr w:type="spellEnd"/>
      <w:r w:rsidRPr="004D2076">
        <w:rPr>
          <w:sz w:val="24"/>
          <w:szCs w:val="24"/>
        </w:rPr>
        <w:t xml:space="preserve"> C, Collins A, et al.</w:t>
      </w:r>
      <w:r>
        <w:rPr>
          <w:sz w:val="24"/>
          <w:szCs w:val="24"/>
        </w:rPr>
        <w:t xml:space="preserve"> </w:t>
      </w:r>
      <w:r w:rsidR="00D633E6">
        <w:rPr>
          <w:sz w:val="24"/>
          <w:szCs w:val="24"/>
        </w:rPr>
        <w:t xml:space="preserve"> Biomarkers. </w:t>
      </w:r>
      <w:r w:rsidR="00D633E6" w:rsidRPr="00D633E6">
        <w:rPr>
          <w:sz w:val="24"/>
          <w:szCs w:val="24"/>
        </w:rPr>
        <w:t>Molecular Aspects of Medicine</w:t>
      </w:r>
      <w:r w:rsidR="00D633E6">
        <w:rPr>
          <w:sz w:val="24"/>
          <w:szCs w:val="24"/>
        </w:rPr>
        <w:t>. 2002; 23: 101-208.</w:t>
      </w:r>
    </w:p>
    <w:p w14:paraId="4AE7946E" w14:textId="77777777" w:rsidR="004A3FF6" w:rsidRDefault="004A3FF6" w:rsidP="004A3FF6">
      <w:pPr>
        <w:pStyle w:val="ListParagraph"/>
        <w:ind w:left="720"/>
        <w:jc w:val="both"/>
        <w:rPr>
          <w:sz w:val="24"/>
          <w:szCs w:val="24"/>
        </w:rPr>
      </w:pPr>
    </w:p>
    <w:p w14:paraId="607146B9" w14:textId="23984DF6" w:rsidR="006F5259" w:rsidRPr="00AA3385" w:rsidRDefault="00AA3385" w:rsidP="00EB6098">
      <w:pPr>
        <w:pStyle w:val="ListParagraph"/>
        <w:numPr>
          <w:ilvl w:val="0"/>
          <w:numId w:val="4"/>
        </w:numPr>
        <w:jc w:val="both"/>
        <w:rPr>
          <w:sz w:val="24"/>
          <w:szCs w:val="24"/>
        </w:rPr>
      </w:pPr>
      <w:bookmarkStart w:id="4" w:name="_Hlk111984331"/>
      <w:r w:rsidRPr="00AA3385">
        <w:rPr>
          <w:sz w:val="24"/>
          <w:szCs w:val="24"/>
        </w:rPr>
        <w:t>U.S. Food and Drug Administration</w:t>
      </w:r>
      <w:bookmarkEnd w:id="4"/>
      <w:r w:rsidRPr="00AA3385">
        <w:rPr>
          <w:sz w:val="24"/>
          <w:szCs w:val="24"/>
        </w:rPr>
        <w:t>. Fast track, breakthrough therapy,</w:t>
      </w:r>
      <w:r w:rsidRPr="00AA3385">
        <w:rPr>
          <w:sz w:val="24"/>
          <w:szCs w:val="24"/>
        </w:rPr>
        <w:t xml:space="preserve"> </w:t>
      </w:r>
      <w:r w:rsidRPr="00AA3385">
        <w:rPr>
          <w:sz w:val="24"/>
          <w:szCs w:val="24"/>
        </w:rPr>
        <w:t>accelerated approval, priority review. Updated September 14, 2015,</w:t>
      </w:r>
      <w:r>
        <w:rPr>
          <w:sz w:val="24"/>
          <w:szCs w:val="24"/>
        </w:rPr>
        <w:t xml:space="preserve"> </w:t>
      </w:r>
      <w:r w:rsidRPr="00AA3385">
        <w:rPr>
          <w:sz w:val="24"/>
          <w:szCs w:val="24"/>
        </w:rPr>
        <w:t>www.fda.gov/forpatients/approvals/fast/ucm20041766.htm</w:t>
      </w:r>
    </w:p>
    <w:p w14:paraId="243B6D20" w14:textId="77777777" w:rsidR="00FB64F6" w:rsidRDefault="00FB64F6" w:rsidP="00FB64F6">
      <w:pPr>
        <w:pStyle w:val="ListParagraph"/>
        <w:ind w:left="720"/>
        <w:jc w:val="both"/>
        <w:rPr>
          <w:sz w:val="24"/>
          <w:szCs w:val="24"/>
        </w:rPr>
      </w:pPr>
    </w:p>
    <w:p w14:paraId="70F95E8D" w14:textId="48C6BC17" w:rsidR="00BD4492" w:rsidRPr="00FF5223" w:rsidRDefault="00FB64F6" w:rsidP="004050B7">
      <w:pPr>
        <w:pStyle w:val="ListParagraph"/>
        <w:numPr>
          <w:ilvl w:val="0"/>
          <w:numId w:val="4"/>
        </w:numPr>
        <w:jc w:val="both"/>
        <w:rPr>
          <w:sz w:val="24"/>
          <w:szCs w:val="24"/>
        </w:rPr>
      </w:pPr>
      <w:r w:rsidRPr="00FF5223">
        <w:rPr>
          <w:sz w:val="24"/>
          <w:szCs w:val="24"/>
        </w:rPr>
        <w:t>Cook NR. Use and misuse of the receiver operating characteristic curve</w:t>
      </w:r>
      <w:r w:rsidR="00FF5223" w:rsidRPr="00FF5223">
        <w:rPr>
          <w:sz w:val="24"/>
          <w:szCs w:val="24"/>
        </w:rPr>
        <w:t xml:space="preserve"> </w:t>
      </w:r>
      <w:r w:rsidRPr="00FF5223">
        <w:rPr>
          <w:sz w:val="24"/>
          <w:szCs w:val="24"/>
        </w:rPr>
        <w:t>in risk prediction. Circulation</w:t>
      </w:r>
      <w:r w:rsidRPr="00FF5223">
        <w:rPr>
          <w:sz w:val="24"/>
          <w:szCs w:val="24"/>
        </w:rPr>
        <w:t>. 2007; 115:928-</w:t>
      </w:r>
      <w:r w:rsidRPr="00FF5223">
        <w:rPr>
          <w:sz w:val="24"/>
          <w:szCs w:val="24"/>
        </w:rPr>
        <w:t>35</w:t>
      </w:r>
      <w:r w:rsidRPr="00FF5223">
        <w:rPr>
          <w:sz w:val="24"/>
          <w:szCs w:val="24"/>
        </w:rPr>
        <w:t>.</w:t>
      </w:r>
    </w:p>
    <w:p w14:paraId="314A2DE2" w14:textId="77777777" w:rsidR="00FB64F6" w:rsidRDefault="00FB64F6" w:rsidP="00FB64F6">
      <w:pPr>
        <w:pStyle w:val="ListParagraph"/>
        <w:ind w:left="720"/>
        <w:jc w:val="both"/>
        <w:rPr>
          <w:sz w:val="24"/>
          <w:szCs w:val="24"/>
        </w:rPr>
      </w:pPr>
    </w:p>
    <w:p w14:paraId="014CFA7C" w14:textId="0B2A8B3C" w:rsidR="00BD4492" w:rsidRDefault="003F3497" w:rsidP="002C5AA7">
      <w:pPr>
        <w:pStyle w:val="ListParagraph"/>
        <w:numPr>
          <w:ilvl w:val="0"/>
          <w:numId w:val="4"/>
        </w:numPr>
        <w:jc w:val="both"/>
        <w:rPr>
          <w:sz w:val="24"/>
          <w:szCs w:val="24"/>
        </w:rPr>
      </w:pPr>
      <w:proofErr w:type="spellStart"/>
      <w:r w:rsidRPr="003F3497">
        <w:rPr>
          <w:sz w:val="24"/>
          <w:szCs w:val="24"/>
        </w:rPr>
        <w:t>Pencina</w:t>
      </w:r>
      <w:proofErr w:type="spellEnd"/>
      <w:r w:rsidRPr="003F3497">
        <w:rPr>
          <w:sz w:val="24"/>
          <w:szCs w:val="24"/>
        </w:rPr>
        <w:t xml:space="preserve"> MJ, </w:t>
      </w:r>
      <w:r w:rsidR="00893421" w:rsidRPr="00893421">
        <w:rPr>
          <w:sz w:val="24"/>
          <w:szCs w:val="24"/>
        </w:rPr>
        <w:t>Agostino RBD</w:t>
      </w:r>
      <w:r w:rsidR="00893421">
        <w:rPr>
          <w:sz w:val="24"/>
          <w:szCs w:val="24"/>
        </w:rPr>
        <w:t xml:space="preserve">, </w:t>
      </w:r>
      <w:r w:rsidRPr="003F3497">
        <w:rPr>
          <w:sz w:val="24"/>
          <w:szCs w:val="24"/>
        </w:rPr>
        <w:t>Demler OV. Novel metrics for evaluating improvement in</w:t>
      </w:r>
      <w:r w:rsidRPr="003F3497">
        <w:rPr>
          <w:sz w:val="24"/>
          <w:szCs w:val="24"/>
        </w:rPr>
        <w:t xml:space="preserve"> </w:t>
      </w:r>
      <w:r w:rsidRPr="003F3497">
        <w:rPr>
          <w:sz w:val="24"/>
          <w:szCs w:val="24"/>
        </w:rPr>
        <w:t>discrimination: net reclassification and integrated discrimination</w:t>
      </w:r>
      <w:r w:rsidRPr="003F3497">
        <w:rPr>
          <w:sz w:val="24"/>
          <w:szCs w:val="24"/>
        </w:rPr>
        <w:t xml:space="preserve"> </w:t>
      </w:r>
      <w:r w:rsidRPr="003F3497">
        <w:rPr>
          <w:sz w:val="24"/>
          <w:szCs w:val="24"/>
        </w:rPr>
        <w:t>improvement for normal variables and nested models.</w:t>
      </w:r>
      <w:r w:rsidR="00893421">
        <w:rPr>
          <w:sz w:val="24"/>
          <w:szCs w:val="24"/>
        </w:rPr>
        <w:t xml:space="preserve"> </w:t>
      </w:r>
      <w:r w:rsidR="00893421" w:rsidRPr="00893421">
        <w:rPr>
          <w:sz w:val="24"/>
          <w:szCs w:val="24"/>
        </w:rPr>
        <w:t>Statistics in Medicine</w:t>
      </w:r>
      <w:r w:rsidR="00893421">
        <w:rPr>
          <w:sz w:val="24"/>
          <w:szCs w:val="24"/>
        </w:rPr>
        <w:t>.</w:t>
      </w:r>
      <w:r w:rsidR="00893421" w:rsidRPr="00893421">
        <w:rPr>
          <w:sz w:val="24"/>
          <w:szCs w:val="24"/>
        </w:rPr>
        <w:t xml:space="preserve"> </w:t>
      </w:r>
      <w:r w:rsidRPr="003F3497">
        <w:rPr>
          <w:sz w:val="24"/>
          <w:szCs w:val="24"/>
        </w:rPr>
        <w:t>2012;</w:t>
      </w:r>
      <w:r w:rsidR="00893421">
        <w:rPr>
          <w:sz w:val="24"/>
          <w:szCs w:val="24"/>
        </w:rPr>
        <w:t xml:space="preserve"> </w:t>
      </w:r>
      <w:r w:rsidRPr="003F3497">
        <w:rPr>
          <w:sz w:val="24"/>
          <w:szCs w:val="24"/>
        </w:rPr>
        <w:t>31:101</w:t>
      </w:r>
      <w:r w:rsidR="00893421">
        <w:rPr>
          <w:sz w:val="24"/>
          <w:szCs w:val="24"/>
        </w:rPr>
        <w:t>-1</w:t>
      </w:r>
      <w:r w:rsidRPr="003F3497">
        <w:rPr>
          <w:sz w:val="24"/>
          <w:szCs w:val="24"/>
        </w:rPr>
        <w:t>13</w:t>
      </w:r>
      <w:r w:rsidR="00893421">
        <w:rPr>
          <w:sz w:val="24"/>
          <w:szCs w:val="24"/>
        </w:rPr>
        <w:t>.</w:t>
      </w:r>
    </w:p>
    <w:p w14:paraId="2C4EC328" w14:textId="77777777" w:rsidR="00893421" w:rsidRPr="003F3497" w:rsidRDefault="00893421" w:rsidP="00893421">
      <w:pPr>
        <w:pStyle w:val="ListParagraph"/>
        <w:ind w:left="720"/>
        <w:jc w:val="both"/>
        <w:rPr>
          <w:sz w:val="24"/>
          <w:szCs w:val="24"/>
        </w:rPr>
      </w:pPr>
    </w:p>
    <w:p w14:paraId="2B86C45F" w14:textId="197434B2" w:rsidR="00BD4492" w:rsidRPr="00FF5223" w:rsidRDefault="008A211E" w:rsidP="006F1B98">
      <w:pPr>
        <w:pStyle w:val="ListParagraph"/>
        <w:numPr>
          <w:ilvl w:val="0"/>
          <w:numId w:val="4"/>
        </w:numPr>
        <w:jc w:val="both"/>
        <w:rPr>
          <w:sz w:val="24"/>
          <w:szCs w:val="24"/>
        </w:rPr>
      </w:pPr>
      <w:r w:rsidRPr="00FF5223">
        <w:rPr>
          <w:sz w:val="24"/>
          <w:szCs w:val="24"/>
        </w:rPr>
        <w:t>Coller BS, Califf RM. Traversing the valley of death: a guide to assessing</w:t>
      </w:r>
      <w:r w:rsidR="00FF5223" w:rsidRPr="00FF5223">
        <w:rPr>
          <w:sz w:val="24"/>
          <w:szCs w:val="24"/>
        </w:rPr>
        <w:t xml:space="preserve"> </w:t>
      </w:r>
      <w:r w:rsidRPr="00FF5223">
        <w:rPr>
          <w:sz w:val="24"/>
          <w:szCs w:val="24"/>
        </w:rPr>
        <w:t>prospects for translational success. Sci</w:t>
      </w:r>
      <w:r w:rsidRPr="00FF5223">
        <w:rPr>
          <w:sz w:val="24"/>
          <w:szCs w:val="24"/>
        </w:rPr>
        <w:t>ence</w:t>
      </w:r>
      <w:r w:rsidRPr="00FF5223">
        <w:rPr>
          <w:sz w:val="24"/>
          <w:szCs w:val="24"/>
        </w:rPr>
        <w:t xml:space="preserve"> Transl</w:t>
      </w:r>
      <w:r w:rsidRPr="00FF5223">
        <w:rPr>
          <w:sz w:val="24"/>
          <w:szCs w:val="24"/>
        </w:rPr>
        <w:t>ational</w:t>
      </w:r>
      <w:r w:rsidRPr="00FF5223">
        <w:rPr>
          <w:sz w:val="24"/>
          <w:szCs w:val="24"/>
        </w:rPr>
        <w:t xml:space="preserve"> Med</w:t>
      </w:r>
      <w:r w:rsidRPr="00FF5223">
        <w:rPr>
          <w:sz w:val="24"/>
          <w:szCs w:val="24"/>
        </w:rPr>
        <w:t>icine. 2009; 1:10</w:t>
      </w:r>
      <w:r w:rsidRPr="00FF5223">
        <w:rPr>
          <w:sz w:val="24"/>
          <w:szCs w:val="24"/>
        </w:rPr>
        <w:t>cm9</w:t>
      </w:r>
      <w:r w:rsidRPr="00FF5223">
        <w:rPr>
          <w:sz w:val="24"/>
          <w:szCs w:val="24"/>
        </w:rPr>
        <w:t>.</w:t>
      </w:r>
    </w:p>
    <w:p w14:paraId="33DAB46A" w14:textId="684817E1" w:rsidR="00093B6A" w:rsidRDefault="00093B6A" w:rsidP="008A211E">
      <w:pPr>
        <w:pStyle w:val="ListParagraph"/>
        <w:ind w:left="720"/>
        <w:jc w:val="both"/>
        <w:rPr>
          <w:sz w:val="24"/>
          <w:szCs w:val="24"/>
        </w:rPr>
      </w:pPr>
    </w:p>
    <w:p w14:paraId="4ED3295F" w14:textId="1A164B7C" w:rsidR="00093B6A" w:rsidRPr="00303EAD" w:rsidRDefault="00303EAD" w:rsidP="00A22A4B">
      <w:pPr>
        <w:pStyle w:val="ListParagraph"/>
        <w:numPr>
          <w:ilvl w:val="0"/>
          <w:numId w:val="4"/>
        </w:numPr>
        <w:jc w:val="both"/>
        <w:rPr>
          <w:sz w:val="24"/>
          <w:szCs w:val="24"/>
        </w:rPr>
      </w:pPr>
      <w:r w:rsidRPr="00303EAD">
        <w:rPr>
          <w:sz w:val="24"/>
          <w:szCs w:val="24"/>
        </w:rPr>
        <w:t>Das</w:t>
      </w:r>
      <w:r w:rsidRPr="00303EAD">
        <w:rPr>
          <w:sz w:val="24"/>
          <w:szCs w:val="24"/>
        </w:rPr>
        <w:t xml:space="preserve"> V</w:t>
      </w:r>
      <w:r w:rsidRPr="00303EAD">
        <w:rPr>
          <w:sz w:val="24"/>
          <w:szCs w:val="24"/>
        </w:rPr>
        <w:t>, Kalita</w:t>
      </w:r>
      <w:r w:rsidRPr="00303EAD">
        <w:rPr>
          <w:sz w:val="24"/>
          <w:szCs w:val="24"/>
        </w:rPr>
        <w:t xml:space="preserve"> J</w:t>
      </w:r>
      <w:r w:rsidRPr="00303EAD">
        <w:rPr>
          <w:sz w:val="24"/>
          <w:szCs w:val="24"/>
        </w:rPr>
        <w:t>, Pal</w:t>
      </w:r>
      <w:r w:rsidRPr="00303EAD">
        <w:rPr>
          <w:sz w:val="24"/>
          <w:szCs w:val="24"/>
        </w:rPr>
        <w:t xml:space="preserve"> M. </w:t>
      </w:r>
      <w:r w:rsidRPr="00303EAD">
        <w:rPr>
          <w:sz w:val="24"/>
          <w:szCs w:val="24"/>
        </w:rPr>
        <w:t>Predictive and prognostic biomarkers in colorectal cancer: A systematic</w:t>
      </w:r>
      <w:r w:rsidRPr="00303EAD">
        <w:rPr>
          <w:sz w:val="24"/>
          <w:szCs w:val="24"/>
        </w:rPr>
        <w:t xml:space="preserve"> </w:t>
      </w:r>
      <w:r w:rsidRPr="00303EAD">
        <w:rPr>
          <w:sz w:val="24"/>
          <w:szCs w:val="24"/>
        </w:rPr>
        <w:t>review of recent advances and challenges</w:t>
      </w:r>
      <w:r>
        <w:rPr>
          <w:sz w:val="24"/>
          <w:szCs w:val="24"/>
        </w:rPr>
        <w:t xml:space="preserve">. </w:t>
      </w:r>
      <w:r w:rsidRPr="00303EAD">
        <w:rPr>
          <w:sz w:val="24"/>
          <w:szCs w:val="24"/>
        </w:rPr>
        <w:t>Biomedicine &amp; Pharmacotherapy</w:t>
      </w:r>
      <w:r>
        <w:rPr>
          <w:sz w:val="24"/>
          <w:szCs w:val="24"/>
        </w:rPr>
        <w:t>. 2017; 87: 8-19.</w:t>
      </w:r>
    </w:p>
    <w:p w14:paraId="5A09BF5B" w14:textId="4A4FE4A7" w:rsidR="00093B6A" w:rsidRDefault="00093B6A" w:rsidP="00093B6A">
      <w:pPr>
        <w:pStyle w:val="ListParagraph"/>
        <w:ind w:left="720"/>
        <w:jc w:val="both"/>
        <w:rPr>
          <w:sz w:val="24"/>
          <w:szCs w:val="24"/>
        </w:rPr>
      </w:pPr>
    </w:p>
    <w:p w14:paraId="4C609C46" w14:textId="645A9E13" w:rsidR="00093B6A" w:rsidRPr="008D632B" w:rsidRDefault="008D632B" w:rsidP="00407BC6">
      <w:pPr>
        <w:pStyle w:val="ListParagraph"/>
        <w:numPr>
          <w:ilvl w:val="0"/>
          <w:numId w:val="4"/>
        </w:numPr>
        <w:jc w:val="both"/>
        <w:rPr>
          <w:sz w:val="24"/>
          <w:szCs w:val="24"/>
        </w:rPr>
      </w:pPr>
      <w:r w:rsidRPr="008D632B">
        <w:rPr>
          <w:sz w:val="24"/>
          <w:szCs w:val="24"/>
        </w:rPr>
        <w:t>Kalia</w:t>
      </w:r>
      <w:r w:rsidRPr="008D632B">
        <w:rPr>
          <w:sz w:val="24"/>
          <w:szCs w:val="24"/>
        </w:rPr>
        <w:t xml:space="preserve"> M. </w:t>
      </w:r>
      <w:r w:rsidRPr="008D632B">
        <w:rPr>
          <w:sz w:val="24"/>
          <w:szCs w:val="24"/>
        </w:rPr>
        <w:t>Personalized oncology: Recent advances and</w:t>
      </w:r>
      <w:r>
        <w:rPr>
          <w:sz w:val="24"/>
          <w:szCs w:val="24"/>
        </w:rPr>
        <w:t xml:space="preserve"> </w:t>
      </w:r>
      <w:r w:rsidRPr="008D632B">
        <w:rPr>
          <w:sz w:val="24"/>
          <w:szCs w:val="24"/>
        </w:rPr>
        <w:t>future challenges</w:t>
      </w:r>
      <w:r>
        <w:rPr>
          <w:sz w:val="24"/>
          <w:szCs w:val="24"/>
        </w:rPr>
        <w:t xml:space="preserve">. </w:t>
      </w:r>
      <w:r w:rsidRPr="008D632B">
        <w:rPr>
          <w:sz w:val="24"/>
          <w:szCs w:val="24"/>
        </w:rPr>
        <w:t>Metabolism</w:t>
      </w:r>
      <w:r>
        <w:rPr>
          <w:sz w:val="24"/>
          <w:szCs w:val="24"/>
        </w:rPr>
        <w:t xml:space="preserve">. 2013; </w:t>
      </w:r>
      <w:r w:rsidRPr="008D632B">
        <w:rPr>
          <w:sz w:val="24"/>
          <w:szCs w:val="24"/>
        </w:rPr>
        <w:t>62</w:t>
      </w:r>
      <w:r>
        <w:rPr>
          <w:sz w:val="24"/>
          <w:szCs w:val="24"/>
        </w:rPr>
        <w:t xml:space="preserve">(1): </w:t>
      </w:r>
      <w:r w:rsidRPr="008D632B">
        <w:rPr>
          <w:sz w:val="24"/>
          <w:szCs w:val="24"/>
        </w:rPr>
        <w:t>S11-S14</w:t>
      </w:r>
      <w:r>
        <w:rPr>
          <w:sz w:val="24"/>
          <w:szCs w:val="24"/>
        </w:rPr>
        <w:t>.</w:t>
      </w:r>
    </w:p>
    <w:p w14:paraId="37546256" w14:textId="77777777" w:rsidR="00EB56B6" w:rsidRPr="00093B6A" w:rsidRDefault="00EB56B6" w:rsidP="00EB56B6">
      <w:pPr>
        <w:pStyle w:val="ListParagraph"/>
        <w:ind w:left="720"/>
        <w:jc w:val="both"/>
        <w:rPr>
          <w:sz w:val="24"/>
          <w:szCs w:val="24"/>
        </w:rPr>
      </w:pPr>
    </w:p>
    <w:p w14:paraId="5F86A585" w14:textId="036F2A6E" w:rsidR="00992624" w:rsidRPr="00D1023B" w:rsidRDefault="00D1023B" w:rsidP="00D1023B">
      <w:pPr>
        <w:pStyle w:val="ListParagraph"/>
        <w:numPr>
          <w:ilvl w:val="0"/>
          <w:numId w:val="4"/>
        </w:numPr>
        <w:jc w:val="both"/>
        <w:rPr>
          <w:sz w:val="24"/>
          <w:szCs w:val="24"/>
        </w:rPr>
      </w:pPr>
      <w:r w:rsidRPr="00D1023B">
        <w:rPr>
          <w:sz w:val="24"/>
          <w:szCs w:val="24"/>
        </w:rPr>
        <w:t>U.S. Food and Drug Administration</w:t>
      </w:r>
      <w:r w:rsidRPr="00D1023B">
        <w:rPr>
          <w:sz w:val="24"/>
          <w:szCs w:val="24"/>
        </w:rPr>
        <w:t xml:space="preserve">. </w:t>
      </w:r>
      <w:r w:rsidRPr="00D1023B">
        <w:rPr>
          <w:sz w:val="24"/>
          <w:szCs w:val="24"/>
        </w:rPr>
        <w:t xml:space="preserve">Susceptibility/Risk </w:t>
      </w:r>
      <w:proofErr w:type="spellStart"/>
      <w:r w:rsidRPr="00D1023B">
        <w:rPr>
          <w:sz w:val="24"/>
          <w:szCs w:val="24"/>
        </w:rPr>
        <w:t>Biomarker</w:t>
      </w:r>
      <w:r w:rsidR="00992624" w:rsidRPr="00D1023B">
        <w:rPr>
          <w:sz w:val="24"/>
          <w:szCs w:val="24"/>
        </w:rPr>
        <w:t>.Updated</w:t>
      </w:r>
      <w:proofErr w:type="spellEnd"/>
      <w:r w:rsidRPr="00D1023B">
        <w:rPr>
          <w:sz w:val="24"/>
          <w:szCs w:val="24"/>
        </w:rPr>
        <w:t xml:space="preserve"> August 27</w:t>
      </w:r>
      <w:r w:rsidR="00992624" w:rsidRPr="00D1023B">
        <w:rPr>
          <w:sz w:val="24"/>
          <w:szCs w:val="24"/>
        </w:rPr>
        <w:t xml:space="preserve">, </w:t>
      </w:r>
      <w:r w:rsidRPr="00D1023B">
        <w:rPr>
          <w:sz w:val="24"/>
          <w:szCs w:val="24"/>
        </w:rPr>
        <w:t>2020.</w:t>
      </w:r>
      <w:r>
        <w:rPr>
          <w:sz w:val="24"/>
          <w:szCs w:val="24"/>
        </w:rPr>
        <w:t xml:space="preserve"> </w:t>
      </w:r>
      <w:r w:rsidRPr="00D1023B">
        <w:rPr>
          <w:sz w:val="24"/>
          <w:szCs w:val="24"/>
        </w:rPr>
        <w:t>https://www.ncbi.nlm.nih.gov/books/NBK402288/</w:t>
      </w:r>
      <w:r w:rsidRPr="00D1023B">
        <w:rPr>
          <w:sz w:val="24"/>
          <w:szCs w:val="24"/>
        </w:rPr>
        <w:t xml:space="preserve"> </w:t>
      </w:r>
    </w:p>
    <w:p w14:paraId="5213CD1D" w14:textId="77777777" w:rsidR="00D1023B" w:rsidRPr="00D1023B" w:rsidRDefault="00D1023B" w:rsidP="00D1023B">
      <w:pPr>
        <w:pStyle w:val="ListParagraph"/>
        <w:ind w:left="720"/>
        <w:jc w:val="both"/>
        <w:rPr>
          <w:sz w:val="24"/>
          <w:szCs w:val="24"/>
        </w:rPr>
      </w:pPr>
    </w:p>
    <w:p w14:paraId="7B85A563" w14:textId="5ABB642C" w:rsidR="00EB56B6" w:rsidRDefault="00647A7E" w:rsidP="00647A7E">
      <w:pPr>
        <w:pStyle w:val="ListParagraph"/>
        <w:numPr>
          <w:ilvl w:val="0"/>
          <w:numId w:val="4"/>
        </w:numPr>
        <w:jc w:val="both"/>
        <w:rPr>
          <w:sz w:val="24"/>
          <w:szCs w:val="24"/>
        </w:rPr>
      </w:pPr>
      <w:r w:rsidRPr="00647A7E">
        <w:rPr>
          <w:sz w:val="24"/>
          <w:szCs w:val="24"/>
        </w:rPr>
        <w:lastRenderedPageBreak/>
        <w:t xml:space="preserve">FDA-NIH Biomarker Working Group. BEST (Biomarkers, </w:t>
      </w:r>
      <w:r w:rsidRPr="00647A7E">
        <w:rPr>
          <w:sz w:val="24"/>
          <w:szCs w:val="24"/>
        </w:rPr>
        <w:t>Endpoints</w:t>
      </w:r>
      <w:r w:rsidRPr="00647A7E">
        <w:rPr>
          <w:sz w:val="24"/>
          <w:szCs w:val="24"/>
        </w:rPr>
        <w:t>,</w:t>
      </w:r>
      <w:r w:rsidRPr="00647A7E">
        <w:rPr>
          <w:sz w:val="24"/>
          <w:szCs w:val="24"/>
        </w:rPr>
        <w:t xml:space="preserve"> and other</w:t>
      </w:r>
      <w:r w:rsidRPr="00647A7E">
        <w:rPr>
          <w:sz w:val="24"/>
          <w:szCs w:val="24"/>
        </w:rPr>
        <w:t xml:space="preserve"> Tools) Resource. Silver Spring (MD): Food and Drug</w:t>
      </w:r>
      <w:r w:rsidRPr="00647A7E">
        <w:rPr>
          <w:sz w:val="24"/>
          <w:szCs w:val="24"/>
        </w:rPr>
        <w:t xml:space="preserve"> </w:t>
      </w:r>
      <w:r w:rsidRPr="00647A7E">
        <w:rPr>
          <w:sz w:val="24"/>
          <w:szCs w:val="24"/>
        </w:rPr>
        <w:t>Administration (US); Bethesda (MD): National Institutes of Health</w:t>
      </w:r>
      <w:r w:rsidRPr="00647A7E">
        <w:rPr>
          <w:sz w:val="24"/>
          <w:szCs w:val="24"/>
        </w:rPr>
        <w:t xml:space="preserve"> </w:t>
      </w:r>
      <w:r w:rsidRPr="00647A7E">
        <w:rPr>
          <w:sz w:val="24"/>
          <w:szCs w:val="24"/>
        </w:rPr>
        <w:t>(US)</w:t>
      </w:r>
      <w:r>
        <w:rPr>
          <w:sz w:val="24"/>
          <w:szCs w:val="24"/>
        </w:rPr>
        <w:t>.</w:t>
      </w:r>
      <w:r w:rsidRPr="00647A7E">
        <w:rPr>
          <w:sz w:val="24"/>
          <w:szCs w:val="24"/>
        </w:rPr>
        <w:t>2016</w:t>
      </w:r>
      <w:r>
        <w:rPr>
          <w:sz w:val="24"/>
          <w:szCs w:val="24"/>
        </w:rPr>
        <w:t>.</w:t>
      </w:r>
    </w:p>
    <w:p w14:paraId="7CAF34C5" w14:textId="77777777" w:rsidR="00647A7E" w:rsidRDefault="00647A7E" w:rsidP="00647A7E">
      <w:pPr>
        <w:pStyle w:val="ListParagraph"/>
        <w:ind w:left="720"/>
        <w:jc w:val="both"/>
        <w:rPr>
          <w:sz w:val="24"/>
          <w:szCs w:val="24"/>
        </w:rPr>
      </w:pPr>
    </w:p>
    <w:p w14:paraId="423B35FE" w14:textId="61FEDE40" w:rsidR="00EB56B6" w:rsidRDefault="00413368" w:rsidP="00413368">
      <w:pPr>
        <w:pStyle w:val="ListParagraph"/>
        <w:numPr>
          <w:ilvl w:val="0"/>
          <w:numId w:val="4"/>
        </w:numPr>
        <w:jc w:val="both"/>
        <w:rPr>
          <w:sz w:val="24"/>
          <w:szCs w:val="24"/>
        </w:rPr>
      </w:pPr>
      <w:r w:rsidRPr="00413368">
        <w:rPr>
          <w:sz w:val="24"/>
          <w:szCs w:val="24"/>
        </w:rPr>
        <w:t xml:space="preserve">Sager PT, </w:t>
      </w:r>
      <w:proofErr w:type="spellStart"/>
      <w:r w:rsidRPr="00413368">
        <w:rPr>
          <w:sz w:val="24"/>
          <w:szCs w:val="24"/>
        </w:rPr>
        <w:t>Gintant</w:t>
      </w:r>
      <w:proofErr w:type="spellEnd"/>
      <w:r w:rsidRPr="00413368">
        <w:rPr>
          <w:sz w:val="24"/>
          <w:szCs w:val="24"/>
        </w:rPr>
        <w:t xml:space="preserve"> G, Turner JR, Pettit S, Stockbridge N. Rechanneling the cardiac </w:t>
      </w:r>
      <w:proofErr w:type="spellStart"/>
      <w:r w:rsidRPr="00413368">
        <w:rPr>
          <w:sz w:val="24"/>
          <w:szCs w:val="24"/>
        </w:rPr>
        <w:t>proarrhythmia</w:t>
      </w:r>
      <w:proofErr w:type="spellEnd"/>
      <w:r w:rsidRPr="00413368">
        <w:rPr>
          <w:sz w:val="24"/>
          <w:szCs w:val="24"/>
        </w:rPr>
        <w:t xml:space="preserve"> safety paradigm: a meeting report from the Cardiac Safety Research Consortium. Am Heart J</w:t>
      </w:r>
      <w:r w:rsidR="002B592F">
        <w:rPr>
          <w:sz w:val="24"/>
          <w:szCs w:val="24"/>
        </w:rPr>
        <w:t xml:space="preserve">. </w:t>
      </w:r>
      <w:r w:rsidRPr="00413368">
        <w:rPr>
          <w:sz w:val="24"/>
          <w:szCs w:val="24"/>
        </w:rPr>
        <w:t>2014;</w:t>
      </w:r>
      <w:r w:rsidR="002B592F">
        <w:rPr>
          <w:sz w:val="24"/>
          <w:szCs w:val="24"/>
        </w:rPr>
        <w:t xml:space="preserve"> </w:t>
      </w:r>
      <w:r w:rsidRPr="00413368">
        <w:rPr>
          <w:sz w:val="24"/>
          <w:szCs w:val="24"/>
        </w:rPr>
        <w:t>167</w:t>
      </w:r>
      <w:r w:rsidR="002B592F">
        <w:rPr>
          <w:sz w:val="24"/>
          <w:szCs w:val="24"/>
        </w:rPr>
        <w:t>(3)</w:t>
      </w:r>
      <w:r w:rsidRPr="00413368">
        <w:rPr>
          <w:sz w:val="24"/>
          <w:szCs w:val="24"/>
        </w:rPr>
        <w:t>:292–300</w:t>
      </w:r>
      <w:r w:rsidR="002B592F">
        <w:rPr>
          <w:sz w:val="24"/>
          <w:szCs w:val="24"/>
        </w:rPr>
        <w:t>.</w:t>
      </w:r>
    </w:p>
    <w:p w14:paraId="3E03BD45" w14:textId="77777777" w:rsidR="002B592F" w:rsidRDefault="002B592F" w:rsidP="002B592F">
      <w:pPr>
        <w:pStyle w:val="ListParagraph"/>
        <w:ind w:left="720"/>
        <w:jc w:val="both"/>
        <w:rPr>
          <w:sz w:val="24"/>
          <w:szCs w:val="24"/>
        </w:rPr>
      </w:pPr>
    </w:p>
    <w:p w14:paraId="2167A633" w14:textId="09A1172B" w:rsidR="00EB56B6" w:rsidRDefault="00AD0550" w:rsidP="00E3186D">
      <w:pPr>
        <w:pStyle w:val="ListParagraph"/>
        <w:numPr>
          <w:ilvl w:val="0"/>
          <w:numId w:val="4"/>
        </w:numPr>
        <w:jc w:val="both"/>
        <w:rPr>
          <w:sz w:val="24"/>
          <w:szCs w:val="24"/>
        </w:rPr>
      </w:pPr>
      <w:r w:rsidRPr="00AD0550">
        <w:rPr>
          <w:sz w:val="24"/>
          <w:szCs w:val="24"/>
        </w:rPr>
        <w:t xml:space="preserve">Fleming TR, </w:t>
      </w:r>
      <w:proofErr w:type="spellStart"/>
      <w:r w:rsidRPr="00AD0550">
        <w:rPr>
          <w:sz w:val="24"/>
          <w:szCs w:val="24"/>
        </w:rPr>
        <w:t>DeMets</w:t>
      </w:r>
      <w:proofErr w:type="spellEnd"/>
      <w:r w:rsidRPr="00AD0550">
        <w:rPr>
          <w:sz w:val="24"/>
          <w:szCs w:val="24"/>
        </w:rPr>
        <w:t xml:space="preserve"> DL. Surrogate endpoints in clinical trials: are we</w:t>
      </w:r>
      <w:r w:rsidRPr="00AD0550">
        <w:rPr>
          <w:sz w:val="24"/>
          <w:szCs w:val="24"/>
        </w:rPr>
        <w:t xml:space="preserve"> being </w:t>
      </w:r>
      <w:r>
        <w:rPr>
          <w:sz w:val="24"/>
          <w:szCs w:val="24"/>
        </w:rPr>
        <w:t>misled</w:t>
      </w:r>
      <w:r w:rsidRPr="00AD0550">
        <w:rPr>
          <w:sz w:val="24"/>
          <w:szCs w:val="24"/>
        </w:rPr>
        <w:t>? Ann Intern Med</w:t>
      </w:r>
      <w:r>
        <w:rPr>
          <w:sz w:val="24"/>
          <w:szCs w:val="24"/>
        </w:rPr>
        <w:t>.</w:t>
      </w:r>
      <w:r w:rsidRPr="00AD0550">
        <w:rPr>
          <w:sz w:val="24"/>
          <w:szCs w:val="24"/>
        </w:rPr>
        <w:t xml:space="preserve"> 1996;</w:t>
      </w:r>
      <w:r>
        <w:rPr>
          <w:sz w:val="24"/>
          <w:szCs w:val="24"/>
        </w:rPr>
        <w:t xml:space="preserve"> </w:t>
      </w:r>
      <w:r w:rsidRPr="00AD0550">
        <w:rPr>
          <w:sz w:val="24"/>
          <w:szCs w:val="24"/>
        </w:rPr>
        <w:t>125:605</w:t>
      </w:r>
      <w:r>
        <w:rPr>
          <w:sz w:val="24"/>
          <w:szCs w:val="24"/>
        </w:rPr>
        <w:t>-</w:t>
      </w:r>
      <w:r w:rsidRPr="00AD0550">
        <w:rPr>
          <w:sz w:val="24"/>
          <w:szCs w:val="24"/>
        </w:rPr>
        <w:t>13</w:t>
      </w:r>
      <w:r>
        <w:rPr>
          <w:sz w:val="24"/>
          <w:szCs w:val="24"/>
        </w:rPr>
        <w:t>.</w:t>
      </w:r>
    </w:p>
    <w:p w14:paraId="28896978" w14:textId="77777777" w:rsidR="00AD0550" w:rsidRPr="00AD0550" w:rsidRDefault="00AD0550" w:rsidP="00AD0550">
      <w:pPr>
        <w:pStyle w:val="ListParagraph"/>
        <w:ind w:left="720"/>
        <w:jc w:val="both"/>
        <w:rPr>
          <w:sz w:val="24"/>
          <w:szCs w:val="24"/>
        </w:rPr>
      </w:pPr>
    </w:p>
    <w:p w14:paraId="18651BF4" w14:textId="22086D12" w:rsidR="00EB56B6" w:rsidRPr="00FF5223" w:rsidRDefault="00A27429" w:rsidP="007D3BA1">
      <w:pPr>
        <w:pStyle w:val="ListParagraph"/>
        <w:numPr>
          <w:ilvl w:val="0"/>
          <w:numId w:val="4"/>
        </w:numPr>
        <w:jc w:val="both"/>
        <w:rPr>
          <w:sz w:val="24"/>
          <w:szCs w:val="24"/>
        </w:rPr>
      </w:pPr>
      <w:r w:rsidRPr="00FF5223">
        <w:rPr>
          <w:sz w:val="24"/>
          <w:szCs w:val="24"/>
        </w:rPr>
        <w:t>Prentice RL. Surrogate endpoints in clinical trials: definition and operational</w:t>
      </w:r>
      <w:r w:rsidR="00FF5223" w:rsidRPr="00FF5223">
        <w:rPr>
          <w:sz w:val="24"/>
          <w:szCs w:val="24"/>
        </w:rPr>
        <w:t xml:space="preserve"> </w:t>
      </w:r>
      <w:r w:rsidRPr="00FF5223">
        <w:rPr>
          <w:sz w:val="24"/>
          <w:szCs w:val="24"/>
        </w:rPr>
        <w:t>criteria. Stat Med</w:t>
      </w:r>
      <w:r w:rsidRPr="00FF5223">
        <w:rPr>
          <w:sz w:val="24"/>
          <w:szCs w:val="24"/>
        </w:rPr>
        <w:t xml:space="preserve">. </w:t>
      </w:r>
      <w:r w:rsidRPr="00FF5223">
        <w:rPr>
          <w:sz w:val="24"/>
          <w:szCs w:val="24"/>
        </w:rPr>
        <w:t>1989;</w:t>
      </w:r>
      <w:r w:rsidRPr="00FF5223">
        <w:rPr>
          <w:sz w:val="24"/>
          <w:szCs w:val="24"/>
        </w:rPr>
        <w:t xml:space="preserve"> </w:t>
      </w:r>
      <w:r w:rsidRPr="00FF5223">
        <w:rPr>
          <w:sz w:val="24"/>
          <w:szCs w:val="24"/>
        </w:rPr>
        <w:t>8:431–40</w:t>
      </w:r>
      <w:r w:rsidRPr="00FF5223">
        <w:rPr>
          <w:sz w:val="24"/>
          <w:szCs w:val="24"/>
        </w:rPr>
        <w:t>.</w:t>
      </w:r>
    </w:p>
    <w:p w14:paraId="5F774920" w14:textId="77777777" w:rsidR="00AD0550" w:rsidRDefault="00AD0550" w:rsidP="00AD0550">
      <w:pPr>
        <w:pStyle w:val="ListParagraph"/>
        <w:ind w:left="720"/>
        <w:jc w:val="both"/>
        <w:rPr>
          <w:sz w:val="24"/>
          <w:szCs w:val="24"/>
        </w:rPr>
      </w:pPr>
    </w:p>
    <w:p w14:paraId="44C549F6" w14:textId="384D1F9C" w:rsidR="00093B6A" w:rsidRDefault="00CF213A" w:rsidP="00AB39A8">
      <w:pPr>
        <w:pStyle w:val="ListParagraph"/>
        <w:numPr>
          <w:ilvl w:val="0"/>
          <w:numId w:val="4"/>
        </w:numPr>
        <w:jc w:val="both"/>
        <w:rPr>
          <w:sz w:val="24"/>
          <w:szCs w:val="24"/>
        </w:rPr>
      </w:pPr>
      <w:r w:rsidRPr="00CF213A">
        <w:rPr>
          <w:sz w:val="24"/>
          <w:szCs w:val="24"/>
        </w:rPr>
        <w:t xml:space="preserve">Gerber DE, Grossman SA, </w:t>
      </w:r>
      <w:proofErr w:type="spellStart"/>
      <w:r w:rsidRPr="00CF213A">
        <w:rPr>
          <w:sz w:val="24"/>
          <w:szCs w:val="24"/>
        </w:rPr>
        <w:t>Zeltzman</w:t>
      </w:r>
      <w:proofErr w:type="spellEnd"/>
      <w:r w:rsidRPr="00CF213A">
        <w:rPr>
          <w:sz w:val="24"/>
          <w:szCs w:val="24"/>
        </w:rPr>
        <w:t xml:space="preserve"> M, Parisi MA, Kleinberg L. The impact of thrombocytopenia from temozolomide and radiation in newly diagnosed adults with high-grade gliomas. Neuro Oncol. 2007;9(1):47–52.</w:t>
      </w:r>
    </w:p>
    <w:p w14:paraId="78846DEF" w14:textId="77777777" w:rsidR="00CF213A" w:rsidRDefault="00CF213A" w:rsidP="00CF213A">
      <w:pPr>
        <w:pStyle w:val="ListParagraph"/>
        <w:ind w:left="720"/>
        <w:jc w:val="both"/>
        <w:rPr>
          <w:sz w:val="24"/>
          <w:szCs w:val="24"/>
        </w:rPr>
      </w:pPr>
    </w:p>
    <w:p w14:paraId="41CB2202" w14:textId="01C275DF" w:rsidR="00CB55EE" w:rsidRDefault="00AD770C" w:rsidP="00CB55EE">
      <w:pPr>
        <w:pStyle w:val="ListParagraph"/>
        <w:numPr>
          <w:ilvl w:val="0"/>
          <w:numId w:val="4"/>
        </w:numPr>
        <w:jc w:val="both"/>
        <w:rPr>
          <w:sz w:val="24"/>
          <w:szCs w:val="24"/>
        </w:rPr>
      </w:pPr>
      <w:r w:rsidRPr="00AD770C">
        <w:rPr>
          <w:sz w:val="24"/>
          <w:szCs w:val="24"/>
        </w:rPr>
        <w:t>Armstrong TS, Cao Y, Scheurer ME,</w:t>
      </w:r>
      <w:r>
        <w:rPr>
          <w:sz w:val="24"/>
          <w:szCs w:val="24"/>
        </w:rPr>
        <w:t xml:space="preserve"> </w:t>
      </w:r>
      <w:r w:rsidRPr="00AD770C">
        <w:rPr>
          <w:sz w:val="24"/>
          <w:szCs w:val="24"/>
        </w:rPr>
        <w:t>Vera-Bolaños</w:t>
      </w:r>
      <w:r>
        <w:rPr>
          <w:sz w:val="24"/>
          <w:szCs w:val="24"/>
        </w:rPr>
        <w:t xml:space="preserve"> E</w:t>
      </w:r>
      <w:r w:rsidRPr="00AD770C">
        <w:rPr>
          <w:sz w:val="24"/>
          <w:szCs w:val="24"/>
        </w:rPr>
        <w:t>, Manning</w:t>
      </w:r>
      <w:r>
        <w:rPr>
          <w:sz w:val="24"/>
          <w:szCs w:val="24"/>
        </w:rPr>
        <w:t xml:space="preserve"> R</w:t>
      </w:r>
      <w:r w:rsidRPr="00AD770C">
        <w:rPr>
          <w:sz w:val="24"/>
          <w:szCs w:val="24"/>
        </w:rPr>
        <w:t xml:space="preserve">, </w:t>
      </w:r>
      <w:proofErr w:type="spellStart"/>
      <w:r w:rsidRPr="00AD770C">
        <w:rPr>
          <w:sz w:val="24"/>
          <w:szCs w:val="24"/>
        </w:rPr>
        <w:t>Okcu</w:t>
      </w:r>
      <w:proofErr w:type="spellEnd"/>
      <w:r>
        <w:rPr>
          <w:sz w:val="24"/>
          <w:szCs w:val="24"/>
        </w:rPr>
        <w:t xml:space="preserve"> MF</w:t>
      </w:r>
      <w:r w:rsidRPr="00AD770C">
        <w:rPr>
          <w:sz w:val="24"/>
          <w:szCs w:val="24"/>
        </w:rPr>
        <w:t>, et al. Risk analysis of severe myelotoxicity with temozolomide: the effects of clinical and genetic factors. Neuro Oncol. 2009;11(6):825–832.</w:t>
      </w:r>
    </w:p>
    <w:p w14:paraId="6632D852" w14:textId="77777777" w:rsidR="00AD770C" w:rsidRDefault="00AD770C" w:rsidP="00767255">
      <w:pPr>
        <w:pStyle w:val="ListParagraph"/>
        <w:ind w:left="720"/>
        <w:jc w:val="both"/>
        <w:rPr>
          <w:sz w:val="24"/>
          <w:szCs w:val="24"/>
        </w:rPr>
      </w:pPr>
    </w:p>
    <w:p w14:paraId="2503CFAB" w14:textId="1C30A975" w:rsidR="00CB55EE" w:rsidRPr="006937D9" w:rsidRDefault="006937D9" w:rsidP="001F4F61">
      <w:pPr>
        <w:pStyle w:val="ListParagraph"/>
        <w:numPr>
          <w:ilvl w:val="0"/>
          <w:numId w:val="4"/>
        </w:numPr>
        <w:jc w:val="both"/>
        <w:rPr>
          <w:sz w:val="24"/>
          <w:szCs w:val="24"/>
        </w:rPr>
      </w:pPr>
      <w:r w:rsidRPr="006937D9">
        <w:rPr>
          <w:sz w:val="24"/>
          <w:szCs w:val="24"/>
        </w:rPr>
        <w:t xml:space="preserve">Bailey </w:t>
      </w:r>
      <w:r w:rsidRPr="006937D9">
        <w:rPr>
          <w:sz w:val="24"/>
          <w:szCs w:val="24"/>
        </w:rPr>
        <w:t>WJ</w:t>
      </w:r>
      <w:r w:rsidRPr="006937D9">
        <w:rPr>
          <w:sz w:val="24"/>
          <w:szCs w:val="24"/>
        </w:rPr>
        <w:t>, Ulrich</w:t>
      </w:r>
      <w:r w:rsidRPr="006937D9">
        <w:rPr>
          <w:sz w:val="24"/>
          <w:szCs w:val="24"/>
        </w:rPr>
        <w:t xml:space="preserve"> R. </w:t>
      </w:r>
      <w:r w:rsidRPr="006937D9">
        <w:rPr>
          <w:sz w:val="24"/>
          <w:szCs w:val="24"/>
        </w:rPr>
        <w:t>Molecular profiling approaches for identifying novel biomarkers. E</w:t>
      </w:r>
      <w:r w:rsidRPr="006937D9">
        <w:rPr>
          <w:sz w:val="24"/>
          <w:szCs w:val="24"/>
        </w:rPr>
        <w:t>x</w:t>
      </w:r>
      <w:r w:rsidRPr="006937D9">
        <w:rPr>
          <w:sz w:val="24"/>
          <w:szCs w:val="24"/>
        </w:rPr>
        <w:t>pert</w:t>
      </w:r>
      <w:r w:rsidRPr="006937D9">
        <w:rPr>
          <w:sz w:val="24"/>
          <w:szCs w:val="24"/>
        </w:rPr>
        <w:t xml:space="preserve"> </w:t>
      </w:r>
      <w:r w:rsidRPr="006937D9">
        <w:rPr>
          <w:sz w:val="24"/>
          <w:szCs w:val="24"/>
        </w:rPr>
        <w:t>opinion</w:t>
      </w:r>
      <w:r>
        <w:rPr>
          <w:sz w:val="24"/>
          <w:szCs w:val="24"/>
        </w:rPr>
        <w:t xml:space="preserve"> on </w:t>
      </w:r>
      <w:r w:rsidRPr="006937D9">
        <w:rPr>
          <w:sz w:val="24"/>
          <w:szCs w:val="24"/>
        </w:rPr>
        <w:t>drug saf</w:t>
      </w:r>
      <w:r>
        <w:rPr>
          <w:sz w:val="24"/>
          <w:szCs w:val="24"/>
        </w:rPr>
        <w:t xml:space="preserve">ety. </w:t>
      </w:r>
      <w:r w:rsidRPr="006937D9">
        <w:rPr>
          <w:sz w:val="24"/>
          <w:szCs w:val="24"/>
        </w:rPr>
        <w:t>2004</w:t>
      </w:r>
      <w:r>
        <w:rPr>
          <w:sz w:val="24"/>
          <w:szCs w:val="24"/>
        </w:rPr>
        <w:t xml:space="preserve">; </w:t>
      </w:r>
      <w:r w:rsidRPr="006937D9">
        <w:rPr>
          <w:sz w:val="24"/>
          <w:szCs w:val="24"/>
        </w:rPr>
        <w:t>3(2): 137-15</w:t>
      </w:r>
      <w:r>
        <w:rPr>
          <w:sz w:val="24"/>
          <w:szCs w:val="24"/>
        </w:rPr>
        <w:t>1.</w:t>
      </w:r>
    </w:p>
    <w:p w14:paraId="354FF058" w14:textId="77777777" w:rsidR="00253244" w:rsidRDefault="00253244" w:rsidP="00253244">
      <w:pPr>
        <w:pStyle w:val="ListParagraph"/>
        <w:ind w:left="720"/>
        <w:jc w:val="both"/>
        <w:rPr>
          <w:sz w:val="24"/>
          <w:szCs w:val="24"/>
        </w:rPr>
      </w:pPr>
    </w:p>
    <w:p w14:paraId="504334F7" w14:textId="1761F32E" w:rsidR="00AE5D89" w:rsidRDefault="00AE5D89" w:rsidP="00253244">
      <w:pPr>
        <w:pStyle w:val="ListParagraph"/>
        <w:numPr>
          <w:ilvl w:val="0"/>
          <w:numId w:val="4"/>
        </w:numPr>
        <w:jc w:val="both"/>
        <w:rPr>
          <w:sz w:val="24"/>
          <w:szCs w:val="24"/>
        </w:rPr>
      </w:pPr>
      <w:r w:rsidRPr="00384E4F">
        <w:rPr>
          <w:sz w:val="24"/>
          <w:szCs w:val="24"/>
        </w:rPr>
        <w:t xml:space="preserve">A crucial component of the toolset for drug development. </w:t>
      </w:r>
      <w:r w:rsidR="005506A2">
        <w:rPr>
          <w:sz w:val="24"/>
          <w:szCs w:val="24"/>
        </w:rPr>
        <w:t xml:space="preserve">The Potential of Biomarkers is being examined. </w:t>
      </w:r>
      <w:proofErr w:type="gramStart"/>
      <w:r w:rsidRPr="00384E4F">
        <w:rPr>
          <w:sz w:val="24"/>
          <w:szCs w:val="24"/>
        </w:rPr>
        <w:t>Thomson</w:t>
      </w:r>
      <w:proofErr w:type="gramEnd"/>
      <w:r w:rsidRPr="00384E4F">
        <w:rPr>
          <w:sz w:val="24"/>
          <w:szCs w:val="24"/>
        </w:rPr>
        <w:t xml:space="preserve"> Reuters, 2010</w:t>
      </w:r>
    </w:p>
    <w:p w14:paraId="59238A53" w14:textId="77777777" w:rsidR="00AE5D89" w:rsidRPr="00AE5D89" w:rsidRDefault="00AE5D89" w:rsidP="00AE5D89">
      <w:pPr>
        <w:pStyle w:val="ListParagraph"/>
        <w:ind w:left="720"/>
        <w:jc w:val="both"/>
        <w:rPr>
          <w:sz w:val="24"/>
          <w:szCs w:val="24"/>
        </w:rPr>
      </w:pPr>
    </w:p>
    <w:p w14:paraId="06C2180D" w14:textId="23BADD51" w:rsidR="00253244" w:rsidRDefault="00253244" w:rsidP="00253244">
      <w:pPr>
        <w:pStyle w:val="ListParagraph"/>
        <w:numPr>
          <w:ilvl w:val="0"/>
          <w:numId w:val="4"/>
        </w:numPr>
        <w:jc w:val="both"/>
        <w:rPr>
          <w:sz w:val="24"/>
          <w:szCs w:val="24"/>
        </w:rPr>
      </w:pPr>
      <w:r w:rsidRPr="00253244">
        <w:rPr>
          <w:sz w:val="24"/>
          <w:szCs w:val="24"/>
        </w:rPr>
        <w:t xml:space="preserve">Mendelsohn </w:t>
      </w:r>
      <w:proofErr w:type="spellStart"/>
      <w:proofErr w:type="gramStart"/>
      <w:r w:rsidRPr="00253244">
        <w:rPr>
          <w:sz w:val="24"/>
          <w:szCs w:val="24"/>
        </w:rPr>
        <w:t>J,Ringborg</w:t>
      </w:r>
      <w:proofErr w:type="spellEnd"/>
      <w:proofErr w:type="gramEnd"/>
      <w:r w:rsidRPr="00253244">
        <w:rPr>
          <w:sz w:val="24"/>
          <w:szCs w:val="24"/>
        </w:rPr>
        <w:t xml:space="preserve"> </w:t>
      </w:r>
      <w:proofErr w:type="spellStart"/>
      <w:r w:rsidRPr="00253244">
        <w:rPr>
          <w:sz w:val="24"/>
          <w:szCs w:val="24"/>
        </w:rPr>
        <w:t>U,Schilsky</w:t>
      </w:r>
      <w:proofErr w:type="spellEnd"/>
      <w:r w:rsidRPr="00253244">
        <w:rPr>
          <w:sz w:val="24"/>
          <w:szCs w:val="24"/>
        </w:rPr>
        <w:t xml:space="preserve"> RL</w:t>
      </w:r>
      <w:r>
        <w:rPr>
          <w:sz w:val="24"/>
          <w:szCs w:val="24"/>
        </w:rPr>
        <w:t xml:space="preserve">. </w:t>
      </w:r>
      <w:r w:rsidRPr="00253244">
        <w:rPr>
          <w:sz w:val="24"/>
          <w:szCs w:val="24"/>
        </w:rPr>
        <w:t>Personalized cancer medicine – A strategy to counteract an increasing cancer challenge</w:t>
      </w:r>
      <w:r>
        <w:rPr>
          <w:sz w:val="24"/>
          <w:szCs w:val="24"/>
        </w:rPr>
        <w:t>. Molecular Oncology. 2012; 6(2): 109-110.</w:t>
      </w:r>
    </w:p>
    <w:p w14:paraId="40049638" w14:textId="77777777" w:rsidR="00253244" w:rsidRDefault="00253244" w:rsidP="00253244">
      <w:pPr>
        <w:pStyle w:val="ListParagraph"/>
        <w:ind w:left="720"/>
        <w:jc w:val="both"/>
        <w:rPr>
          <w:sz w:val="24"/>
          <w:szCs w:val="24"/>
        </w:rPr>
      </w:pPr>
    </w:p>
    <w:p w14:paraId="08B3C17E" w14:textId="52C92957" w:rsidR="00253244" w:rsidRDefault="0056159E" w:rsidP="00C86EEA">
      <w:pPr>
        <w:pStyle w:val="ListParagraph"/>
        <w:numPr>
          <w:ilvl w:val="0"/>
          <w:numId w:val="4"/>
        </w:numPr>
        <w:jc w:val="both"/>
        <w:rPr>
          <w:sz w:val="24"/>
          <w:szCs w:val="24"/>
        </w:rPr>
      </w:pPr>
      <w:r w:rsidRPr="0056159E">
        <w:rPr>
          <w:sz w:val="24"/>
          <w:szCs w:val="24"/>
        </w:rPr>
        <w:t>McWhinney</w:t>
      </w:r>
      <w:r w:rsidRPr="0056159E">
        <w:rPr>
          <w:sz w:val="24"/>
          <w:szCs w:val="24"/>
        </w:rPr>
        <w:t xml:space="preserve"> </w:t>
      </w:r>
      <w:r w:rsidRPr="0056159E">
        <w:rPr>
          <w:sz w:val="24"/>
          <w:szCs w:val="24"/>
        </w:rPr>
        <w:t>SR, Goldberg RM, McLeod HL. Platinum neurotoxicity pharmacogenetics. Mol</w:t>
      </w:r>
      <w:r w:rsidRPr="0056159E">
        <w:rPr>
          <w:sz w:val="24"/>
          <w:szCs w:val="24"/>
        </w:rPr>
        <w:t xml:space="preserve"> </w:t>
      </w:r>
      <w:r w:rsidRPr="0056159E">
        <w:rPr>
          <w:sz w:val="24"/>
          <w:szCs w:val="24"/>
        </w:rPr>
        <w:t>Cancer Ther. 2009;</w:t>
      </w:r>
      <w:r>
        <w:rPr>
          <w:sz w:val="24"/>
          <w:szCs w:val="24"/>
        </w:rPr>
        <w:t xml:space="preserve"> </w:t>
      </w:r>
      <w:r w:rsidRPr="0056159E">
        <w:rPr>
          <w:sz w:val="24"/>
          <w:szCs w:val="24"/>
        </w:rPr>
        <w:t>8</w:t>
      </w:r>
      <w:r>
        <w:rPr>
          <w:sz w:val="24"/>
          <w:szCs w:val="24"/>
        </w:rPr>
        <w:t>(1)</w:t>
      </w:r>
      <w:r w:rsidRPr="0056159E">
        <w:rPr>
          <w:sz w:val="24"/>
          <w:szCs w:val="24"/>
        </w:rPr>
        <w:t>:10–6.</w:t>
      </w:r>
    </w:p>
    <w:p w14:paraId="0992EAF5" w14:textId="77777777" w:rsidR="0099496E" w:rsidRDefault="0099496E" w:rsidP="0099496E">
      <w:pPr>
        <w:pStyle w:val="ListParagraph"/>
        <w:ind w:left="720"/>
        <w:jc w:val="both"/>
        <w:rPr>
          <w:sz w:val="24"/>
          <w:szCs w:val="24"/>
        </w:rPr>
      </w:pPr>
    </w:p>
    <w:p w14:paraId="5D5FEF6A" w14:textId="2D531013" w:rsidR="0099496E" w:rsidRPr="008A46A0" w:rsidRDefault="008A46A0" w:rsidP="0098446B">
      <w:pPr>
        <w:pStyle w:val="ListParagraph"/>
        <w:numPr>
          <w:ilvl w:val="0"/>
          <w:numId w:val="4"/>
        </w:numPr>
        <w:jc w:val="both"/>
        <w:rPr>
          <w:sz w:val="24"/>
          <w:szCs w:val="24"/>
        </w:rPr>
      </w:pPr>
      <w:r>
        <w:rPr>
          <w:sz w:val="24"/>
          <w:szCs w:val="24"/>
        </w:rPr>
        <w:t xml:space="preserve">ACCORD </w:t>
      </w:r>
      <w:r w:rsidRPr="008A46A0">
        <w:rPr>
          <w:sz w:val="24"/>
          <w:szCs w:val="24"/>
        </w:rPr>
        <w:t>Study Group,</w:t>
      </w:r>
      <w:r w:rsidRPr="008A46A0">
        <w:rPr>
          <w:sz w:val="24"/>
          <w:szCs w:val="24"/>
        </w:rPr>
        <w:t xml:space="preserve"> </w:t>
      </w:r>
      <w:r w:rsidR="005506A2" w:rsidRPr="008A46A0">
        <w:rPr>
          <w:sz w:val="24"/>
          <w:szCs w:val="24"/>
        </w:rPr>
        <w:t>Gerstein HC</w:t>
      </w:r>
      <w:r w:rsidRPr="008A46A0">
        <w:rPr>
          <w:sz w:val="24"/>
          <w:szCs w:val="24"/>
        </w:rPr>
        <w:t>, Miller ME, Byington RP, Goff DC Jr, Bigger JT, Buse JB</w:t>
      </w:r>
      <w:r>
        <w:rPr>
          <w:sz w:val="24"/>
          <w:szCs w:val="24"/>
        </w:rPr>
        <w:t xml:space="preserve"> et al. </w:t>
      </w:r>
      <w:r w:rsidR="000141C9" w:rsidRPr="000141C9">
        <w:rPr>
          <w:sz w:val="24"/>
          <w:szCs w:val="24"/>
        </w:rPr>
        <w:t>Effects of intensive glucose lowering in type 2 diabetes</w:t>
      </w:r>
      <w:r w:rsidRPr="008A46A0">
        <w:rPr>
          <w:sz w:val="24"/>
          <w:szCs w:val="24"/>
        </w:rPr>
        <w:t>. N Engl J Med</w:t>
      </w:r>
      <w:r>
        <w:rPr>
          <w:sz w:val="24"/>
          <w:szCs w:val="24"/>
        </w:rPr>
        <w:t>.</w:t>
      </w:r>
      <w:r w:rsidRPr="008A46A0">
        <w:rPr>
          <w:sz w:val="24"/>
          <w:szCs w:val="24"/>
        </w:rPr>
        <w:t xml:space="preserve"> </w:t>
      </w:r>
      <w:r w:rsidR="000141C9">
        <w:rPr>
          <w:sz w:val="24"/>
          <w:szCs w:val="24"/>
        </w:rPr>
        <w:t>2008</w:t>
      </w:r>
      <w:r w:rsidRPr="008A46A0">
        <w:rPr>
          <w:sz w:val="24"/>
          <w:szCs w:val="24"/>
        </w:rPr>
        <w:t>;</w:t>
      </w:r>
      <w:r>
        <w:rPr>
          <w:sz w:val="24"/>
          <w:szCs w:val="24"/>
        </w:rPr>
        <w:t xml:space="preserve"> </w:t>
      </w:r>
      <w:r w:rsidR="000141C9">
        <w:rPr>
          <w:sz w:val="24"/>
          <w:szCs w:val="24"/>
        </w:rPr>
        <w:t>358</w:t>
      </w:r>
      <w:r>
        <w:rPr>
          <w:sz w:val="24"/>
          <w:szCs w:val="24"/>
        </w:rPr>
        <w:t>(</w:t>
      </w:r>
      <w:r w:rsidR="000141C9">
        <w:rPr>
          <w:sz w:val="24"/>
          <w:szCs w:val="24"/>
        </w:rPr>
        <w:t>24</w:t>
      </w:r>
      <w:r>
        <w:rPr>
          <w:sz w:val="24"/>
          <w:szCs w:val="24"/>
        </w:rPr>
        <w:t>)</w:t>
      </w:r>
      <w:r w:rsidRPr="008A46A0">
        <w:rPr>
          <w:sz w:val="24"/>
          <w:szCs w:val="24"/>
        </w:rPr>
        <w:t>:2545–59</w:t>
      </w:r>
      <w:r w:rsidR="000141C9">
        <w:rPr>
          <w:sz w:val="24"/>
          <w:szCs w:val="24"/>
        </w:rPr>
        <w:t>.</w:t>
      </w:r>
    </w:p>
    <w:p w14:paraId="62608290" w14:textId="77777777" w:rsidR="0099496E" w:rsidRDefault="0099496E" w:rsidP="0099496E">
      <w:pPr>
        <w:pStyle w:val="ListParagraph"/>
        <w:ind w:left="720"/>
        <w:jc w:val="both"/>
        <w:rPr>
          <w:sz w:val="24"/>
          <w:szCs w:val="24"/>
        </w:rPr>
      </w:pPr>
    </w:p>
    <w:p w14:paraId="65DC04F3" w14:textId="658D0EAD" w:rsidR="0099496E" w:rsidRPr="005506A2" w:rsidRDefault="00603191" w:rsidP="00D73F97">
      <w:pPr>
        <w:pStyle w:val="ListParagraph"/>
        <w:numPr>
          <w:ilvl w:val="0"/>
          <w:numId w:val="4"/>
        </w:numPr>
        <w:jc w:val="both"/>
        <w:rPr>
          <w:sz w:val="24"/>
          <w:szCs w:val="24"/>
        </w:rPr>
      </w:pPr>
      <w:r w:rsidRPr="005506A2">
        <w:rPr>
          <w:sz w:val="24"/>
          <w:szCs w:val="24"/>
        </w:rPr>
        <w:t>The SPRINT Research Group,</w:t>
      </w:r>
      <w:r w:rsidRPr="005506A2">
        <w:rPr>
          <w:sz w:val="24"/>
          <w:szCs w:val="24"/>
        </w:rPr>
        <w:t xml:space="preserve"> </w:t>
      </w:r>
      <w:r w:rsidRPr="005506A2">
        <w:rPr>
          <w:sz w:val="24"/>
          <w:szCs w:val="24"/>
        </w:rPr>
        <w:t>Wright JT Jr,</w:t>
      </w:r>
      <w:r w:rsidRPr="005506A2">
        <w:rPr>
          <w:sz w:val="24"/>
          <w:szCs w:val="24"/>
        </w:rPr>
        <w:t xml:space="preserve"> </w:t>
      </w:r>
      <w:r w:rsidRPr="005506A2">
        <w:rPr>
          <w:sz w:val="24"/>
          <w:szCs w:val="24"/>
        </w:rPr>
        <w:t>Williamson JD, Whelton PK,</w:t>
      </w:r>
      <w:r w:rsidR="005506A2" w:rsidRPr="005506A2">
        <w:rPr>
          <w:sz w:val="24"/>
          <w:szCs w:val="24"/>
        </w:rPr>
        <w:t xml:space="preserve"> </w:t>
      </w:r>
      <w:r w:rsidRPr="005506A2">
        <w:rPr>
          <w:sz w:val="24"/>
          <w:szCs w:val="24"/>
        </w:rPr>
        <w:t xml:space="preserve">Snyder JK, Sink KM, </w:t>
      </w:r>
      <w:r w:rsidRPr="005506A2">
        <w:rPr>
          <w:sz w:val="24"/>
          <w:szCs w:val="24"/>
        </w:rPr>
        <w:t>et. al</w:t>
      </w:r>
      <w:r w:rsidRPr="005506A2">
        <w:rPr>
          <w:sz w:val="24"/>
          <w:szCs w:val="24"/>
        </w:rPr>
        <w:t>. A randomized trial of</w:t>
      </w:r>
      <w:r w:rsidRPr="005506A2">
        <w:rPr>
          <w:sz w:val="24"/>
          <w:szCs w:val="24"/>
        </w:rPr>
        <w:t xml:space="preserve"> </w:t>
      </w:r>
      <w:r w:rsidRPr="005506A2">
        <w:rPr>
          <w:sz w:val="24"/>
          <w:szCs w:val="24"/>
        </w:rPr>
        <w:t>intensive versus standard blood-pressure control. N Engl J Med</w:t>
      </w:r>
      <w:r w:rsidRPr="005506A2">
        <w:rPr>
          <w:sz w:val="24"/>
          <w:szCs w:val="24"/>
        </w:rPr>
        <w:t xml:space="preserve">. </w:t>
      </w:r>
      <w:r w:rsidRPr="005506A2">
        <w:rPr>
          <w:sz w:val="24"/>
          <w:szCs w:val="24"/>
        </w:rPr>
        <w:t>2015;</w:t>
      </w:r>
      <w:r w:rsidRPr="005506A2">
        <w:rPr>
          <w:sz w:val="24"/>
          <w:szCs w:val="24"/>
        </w:rPr>
        <w:t xml:space="preserve"> </w:t>
      </w:r>
      <w:r w:rsidRPr="005506A2">
        <w:rPr>
          <w:sz w:val="24"/>
          <w:szCs w:val="24"/>
        </w:rPr>
        <w:t>373:2103–16</w:t>
      </w:r>
      <w:r w:rsidRPr="005506A2">
        <w:rPr>
          <w:sz w:val="24"/>
          <w:szCs w:val="24"/>
        </w:rPr>
        <w:t>.</w:t>
      </w:r>
    </w:p>
    <w:p w14:paraId="0F7D6846" w14:textId="77777777" w:rsidR="0099496E" w:rsidRDefault="0099496E" w:rsidP="0099496E">
      <w:pPr>
        <w:pStyle w:val="ListParagraph"/>
        <w:ind w:left="720"/>
        <w:jc w:val="both"/>
        <w:rPr>
          <w:sz w:val="24"/>
          <w:szCs w:val="24"/>
        </w:rPr>
      </w:pPr>
    </w:p>
    <w:p w14:paraId="51280E27" w14:textId="6F78F2F0" w:rsidR="00253244" w:rsidRDefault="004C1FE8" w:rsidP="0026673D">
      <w:pPr>
        <w:pStyle w:val="ListParagraph"/>
        <w:numPr>
          <w:ilvl w:val="0"/>
          <w:numId w:val="4"/>
        </w:numPr>
        <w:jc w:val="both"/>
        <w:rPr>
          <w:sz w:val="24"/>
          <w:szCs w:val="24"/>
        </w:rPr>
      </w:pPr>
      <w:r w:rsidRPr="001B1D3F">
        <w:rPr>
          <w:sz w:val="24"/>
          <w:szCs w:val="24"/>
        </w:rPr>
        <w:t>Lloyd-Jones DM, Morris PB, Ballantyne CM, Birtcher KK,</w:t>
      </w:r>
      <w:r w:rsidR="001B1D3F">
        <w:rPr>
          <w:sz w:val="24"/>
          <w:szCs w:val="24"/>
        </w:rPr>
        <w:t xml:space="preserve"> </w:t>
      </w:r>
      <w:r w:rsidRPr="001B1D3F">
        <w:rPr>
          <w:sz w:val="24"/>
          <w:szCs w:val="24"/>
        </w:rPr>
        <w:t xml:space="preserve">Daly DD, </w:t>
      </w:r>
      <w:r w:rsidR="001B1D3F" w:rsidRPr="001B1D3F">
        <w:rPr>
          <w:sz w:val="24"/>
          <w:szCs w:val="24"/>
        </w:rPr>
        <w:t>DePalma</w:t>
      </w:r>
      <w:r w:rsidR="001B1D3F">
        <w:rPr>
          <w:sz w:val="24"/>
          <w:szCs w:val="24"/>
        </w:rPr>
        <w:t xml:space="preserve"> SM</w:t>
      </w:r>
      <w:r w:rsidR="001B1D3F" w:rsidRPr="001B1D3F">
        <w:rPr>
          <w:sz w:val="24"/>
          <w:szCs w:val="24"/>
        </w:rPr>
        <w:t>,</w:t>
      </w:r>
      <w:r w:rsidR="001B1D3F" w:rsidRPr="001B1D3F">
        <w:rPr>
          <w:sz w:val="24"/>
          <w:szCs w:val="24"/>
        </w:rPr>
        <w:t xml:space="preserve"> et al.</w:t>
      </w:r>
      <w:r w:rsidRPr="001B1D3F">
        <w:rPr>
          <w:sz w:val="24"/>
          <w:szCs w:val="24"/>
        </w:rPr>
        <w:t xml:space="preserve"> </w:t>
      </w:r>
      <w:r w:rsidR="001B1D3F" w:rsidRPr="001B1D3F">
        <w:rPr>
          <w:sz w:val="24"/>
          <w:szCs w:val="24"/>
        </w:rPr>
        <w:t>2017 Focused Update of the 2016 ACC Expert Consensus Decision Pathway on the Role of Non-Statin Therapies for LDL-Cholesterol Lowering in the Management of Atherosclerotic Cardiovascular Disease Risk: A Report of the American College of Cardiology Task Force on Expert Consensus Decision Pathways</w:t>
      </w:r>
      <w:r w:rsidRPr="001B1D3F">
        <w:rPr>
          <w:sz w:val="24"/>
          <w:szCs w:val="24"/>
        </w:rPr>
        <w:t xml:space="preserve">. J Am Coll </w:t>
      </w:r>
      <w:proofErr w:type="spellStart"/>
      <w:r w:rsidRPr="001B1D3F">
        <w:rPr>
          <w:sz w:val="24"/>
          <w:szCs w:val="24"/>
        </w:rPr>
        <w:t>Cardiol</w:t>
      </w:r>
      <w:proofErr w:type="spellEnd"/>
      <w:r w:rsidR="001B1D3F" w:rsidRPr="001B1D3F">
        <w:rPr>
          <w:sz w:val="24"/>
          <w:szCs w:val="24"/>
        </w:rPr>
        <w:t xml:space="preserve">. </w:t>
      </w:r>
      <w:r w:rsidRPr="001B1D3F">
        <w:rPr>
          <w:sz w:val="24"/>
          <w:szCs w:val="24"/>
        </w:rPr>
        <w:t>2017;70</w:t>
      </w:r>
      <w:r w:rsidR="001B1D3F" w:rsidRPr="001B1D3F">
        <w:rPr>
          <w:sz w:val="24"/>
          <w:szCs w:val="24"/>
        </w:rPr>
        <w:t>(14)</w:t>
      </w:r>
      <w:r w:rsidRPr="001B1D3F">
        <w:rPr>
          <w:sz w:val="24"/>
          <w:szCs w:val="24"/>
        </w:rPr>
        <w:t>: 1785–1822</w:t>
      </w:r>
      <w:r w:rsidR="00207B07">
        <w:rPr>
          <w:sz w:val="24"/>
          <w:szCs w:val="24"/>
        </w:rPr>
        <w:t>.</w:t>
      </w:r>
    </w:p>
    <w:p w14:paraId="67A619C3" w14:textId="620283FC" w:rsidR="00207B07" w:rsidRPr="00207B07" w:rsidRDefault="00207B07" w:rsidP="00207B07">
      <w:pPr>
        <w:pStyle w:val="ListParagraph"/>
        <w:autoSpaceDE w:val="0"/>
        <w:autoSpaceDN w:val="0"/>
        <w:adjustRightInd w:val="0"/>
        <w:ind w:left="720"/>
        <w:rPr>
          <w:sz w:val="24"/>
          <w:szCs w:val="24"/>
        </w:rPr>
      </w:pPr>
    </w:p>
    <w:p w14:paraId="049E7A52" w14:textId="6A032166" w:rsidR="00207B07" w:rsidRPr="005506A2" w:rsidRDefault="00207B07" w:rsidP="00AC006A">
      <w:pPr>
        <w:pStyle w:val="ListParagraph"/>
        <w:numPr>
          <w:ilvl w:val="0"/>
          <w:numId w:val="4"/>
        </w:numPr>
        <w:autoSpaceDE w:val="0"/>
        <w:autoSpaceDN w:val="0"/>
        <w:adjustRightInd w:val="0"/>
        <w:rPr>
          <w:sz w:val="24"/>
          <w:szCs w:val="24"/>
        </w:rPr>
      </w:pPr>
      <w:r w:rsidRPr="005506A2">
        <w:rPr>
          <w:sz w:val="24"/>
          <w:szCs w:val="24"/>
        </w:rPr>
        <w:lastRenderedPageBreak/>
        <w:t>WHO International Programme on Chemical Safety. Biomarkers in risk</w:t>
      </w:r>
      <w:r w:rsidR="005506A2" w:rsidRPr="005506A2">
        <w:rPr>
          <w:sz w:val="24"/>
          <w:szCs w:val="24"/>
        </w:rPr>
        <w:t xml:space="preserve"> </w:t>
      </w:r>
      <w:r w:rsidRPr="005506A2">
        <w:rPr>
          <w:sz w:val="24"/>
          <w:szCs w:val="24"/>
        </w:rPr>
        <w:t xml:space="preserve">assessment: </w:t>
      </w:r>
      <w:r w:rsidR="005506A2">
        <w:rPr>
          <w:sz w:val="24"/>
          <w:szCs w:val="24"/>
        </w:rPr>
        <w:t xml:space="preserve"> </w:t>
      </w:r>
      <w:r w:rsidRPr="005506A2">
        <w:rPr>
          <w:sz w:val="24"/>
          <w:szCs w:val="24"/>
        </w:rPr>
        <w:t xml:space="preserve">validity and validation; 2001. </w:t>
      </w:r>
      <w:r w:rsidR="005506A2" w:rsidRPr="005506A2">
        <w:rPr>
          <w:sz w:val="24"/>
          <w:szCs w:val="24"/>
        </w:rPr>
        <w:t xml:space="preserve"> </w:t>
      </w:r>
      <w:r w:rsidRPr="005506A2">
        <w:rPr>
          <w:sz w:val="24"/>
          <w:szCs w:val="24"/>
        </w:rPr>
        <w:t>http://www.inchem.org/documents/ehc/ehc/ehc222.htm.</w:t>
      </w:r>
    </w:p>
    <w:p w14:paraId="1F83B01F" w14:textId="1B3F78CC" w:rsidR="00207B07" w:rsidRDefault="00207B07" w:rsidP="00287BED">
      <w:pPr>
        <w:pStyle w:val="ListParagraph"/>
        <w:ind w:left="720"/>
        <w:jc w:val="both"/>
        <w:rPr>
          <w:sz w:val="24"/>
          <w:szCs w:val="24"/>
        </w:rPr>
      </w:pPr>
    </w:p>
    <w:p w14:paraId="61BBECA3" w14:textId="15254297" w:rsidR="002A7021" w:rsidRDefault="002A7021" w:rsidP="002A7021">
      <w:pPr>
        <w:pStyle w:val="ListParagraph"/>
        <w:numPr>
          <w:ilvl w:val="0"/>
          <w:numId w:val="4"/>
        </w:numPr>
        <w:rPr>
          <w:sz w:val="24"/>
          <w:szCs w:val="24"/>
        </w:rPr>
      </w:pPr>
      <w:proofErr w:type="spellStart"/>
      <w:r w:rsidRPr="002A7021">
        <w:rPr>
          <w:sz w:val="24"/>
          <w:szCs w:val="24"/>
        </w:rPr>
        <w:t>Braunwald</w:t>
      </w:r>
      <w:proofErr w:type="spellEnd"/>
      <w:r>
        <w:rPr>
          <w:sz w:val="24"/>
          <w:szCs w:val="24"/>
        </w:rPr>
        <w:t xml:space="preserve"> E</w:t>
      </w:r>
      <w:r w:rsidRPr="002A7021">
        <w:rPr>
          <w:sz w:val="24"/>
          <w:szCs w:val="24"/>
        </w:rPr>
        <w:t>.</w:t>
      </w:r>
      <w:r>
        <w:rPr>
          <w:sz w:val="24"/>
          <w:szCs w:val="24"/>
        </w:rPr>
        <w:t xml:space="preserve"> </w:t>
      </w:r>
      <w:r w:rsidRPr="002A7021">
        <w:rPr>
          <w:sz w:val="24"/>
          <w:szCs w:val="24"/>
        </w:rPr>
        <w:t>Biomarkers in Heart Failure</w:t>
      </w:r>
      <w:r>
        <w:rPr>
          <w:sz w:val="24"/>
          <w:szCs w:val="24"/>
        </w:rPr>
        <w:t xml:space="preserve">. </w:t>
      </w:r>
      <w:r w:rsidRPr="002A7021">
        <w:rPr>
          <w:sz w:val="24"/>
          <w:szCs w:val="24"/>
        </w:rPr>
        <w:t>N Engl J Med</w:t>
      </w:r>
      <w:r>
        <w:rPr>
          <w:sz w:val="24"/>
          <w:szCs w:val="24"/>
        </w:rPr>
        <w:t xml:space="preserve">. </w:t>
      </w:r>
      <w:r w:rsidRPr="002A7021">
        <w:rPr>
          <w:sz w:val="24"/>
          <w:szCs w:val="24"/>
        </w:rPr>
        <w:t>2008;</w:t>
      </w:r>
      <w:r>
        <w:rPr>
          <w:sz w:val="24"/>
          <w:szCs w:val="24"/>
        </w:rPr>
        <w:t xml:space="preserve"> </w:t>
      </w:r>
      <w:r w:rsidRPr="002A7021">
        <w:rPr>
          <w:sz w:val="24"/>
          <w:szCs w:val="24"/>
        </w:rPr>
        <w:t>358:2148-59</w:t>
      </w:r>
      <w:r>
        <w:rPr>
          <w:sz w:val="24"/>
          <w:szCs w:val="24"/>
        </w:rPr>
        <w:t>.</w:t>
      </w:r>
    </w:p>
    <w:p w14:paraId="7BA6BF4E" w14:textId="77777777" w:rsidR="00617A0A" w:rsidRDefault="00617A0A" w:rsidP="00617A0A">
      <w:pPr>
        <w:pStyle w:val="ListParagraph"/>
        <w:ind w:left="720"/>
        <w:rPr>
          <w:sz w:val="24"/>
          <w:szCs w:val="24"/>
        </w:rPr>
      </w:pPr>
    </w:p>
    <w:p w14:paraId="29932722" w14:textId="40A33D8C" w:rsidR="00617A0A" w:rsidRPr="005506A2" w:rsidRDefault="00617A0A" w:rsidP="00196DDF">
      <w:pPr>
        <w:pStyle w:val="ListParagraph"/>
        <w:numPr>
          <w:ilvl w:val="0"/>
          <w:numId w:val="4"/>
        </w:numPr>
        <w:rPr>
          <w:sz w:val="24"/>
          <w:szCs w:val="24"/>
        </w:rPr>
      </w:pPr>
      <w:r w:rsidRPr="005506A2">
        <w:rPr>
          <w:sz w:val="24"/>
          <w:szCs w:val="24"/>
        </w:rPr>
        <w:t>Insel T. Digital phenotyping: technology for a new science of behavior.</w:t>
      </w:r>
      <w:r w:rsidRPr="005506A2">
        <w:rPr>
          <w:sz w:val="24"/>
          <w:szCs w:val="24"/>
        </w:rPr>
        <w:t xml:space="preserve"> </w:t>
      </w:r>
      <w:r w:rsidRPr="005506A2">
        <w:rPr>
          <w:sz w:val="24"/>
          <w:szCs w:val="24"/>
        </w:rPr>
        <w:t xml:space="preserve">JAMA </w:t>
      </w:r>
      <w:r w:rsidRPr="005506A2">
        <w:rPr>
          <w:sz w:val="24"/>
          <w:szCs w:val="24"/>
        </w:rPr>
        <w:t>2017; 318:1215-</w:t>
      </w:r>
      <w:r w:rsidRPr="005506A2">
        <w:rPr>
          <w:sz w:val="24"/>
          <w:szCs w:val="24"/>
        </w:rPr>
        <w:t>6</w:t>
      </w:r>
      <w:r w:rsidRPr="005506A2">
        <w:rPr>
          <w:sz w:val="24"/>
          <w:szCs w:val="24"/>
        </w:rPr>
        <w:t>.</w:t>
      </w:r>
    </w:p>
    <w:p w14:paraId="695E3419" w14:textId="77777777" w:rsidR="00617A0A" w:rsidRDefault="00617A0A" w:rsidP="00617A0A">
      <w:pPr>
        <w:pStyle w:val="ListParagraph"/>
        <w:ind w:left="720"/>
        <w:rPr>
          <w:sz w:val="24"/>
          <w:szCs w:val="24"/>
        </w:rPr>
      </w:pPr>
    </w:p>
    <w:p w14:paraId="6B770311" w14:textId="265C5B68" w:rsidR="00617A0A" w:rsidRPr="005506A2" w:rsidRDefault="00617A0A" w:rsidP="00416364">
      <w:pPr>
        <w:pStyle w:val="ListParagraph"/>
        <w:numPr>
          <w:ilvl w:val="0"/>
          <w:numId w:val="4"/>
        </w:numPr>
        <w:jc w:val="both"/>
        <w:rPr>
          <w:sz w:val="24"/>
          <w:szCs w:val="24"/>
        </w:rPr>
      </w:pPr>
      <w:r w:rsidRPr="005506A2">
        <w:rPr>
          <w:sz w:val="24"/>
          <w:szCs w:val="24"/>
        </w:rPr>
        <w:t>Clinical Trials Transformation Initiative. CTTI Recommendations:</w:t>
      </w:r>
      <w:r w:rsidRPr="005506A2">
        <w:rPr>
          <w:sz w:val="24"/>
          <w:szCs w:val="24"/>
        </w:rPr>
        <w:t xml:space="preserve"> </w:t>
      </w:r>
      <w:r w:rsidRPr="005506A2">
        <w:rPr>
          <w:sz w:val="24"/>
          <w:szCs w:val="24"/>
        </w:rPr>
        <w:t>developing novel endpoints generated by mobile technology for use</w:t>
      </w:r>
      <w:r w:rsidRPr="005506A2">
        <w:rPr>
          <w:sz w:val="24"/>
          <w:szCs w:val="24"/>
        </w:rPr>
        <w:t xml:space="preserve"> </w:t>
      </w:r>
      <w:r w:rsidRPr="005506A2">
        <w:rPr>
          <w:sz w:val="24"/>
          <w:szCs w:val="24"/>
        </w:rPr>
        <w:t>in clinical trials</w:t>
      </w:r>
      <w:r w:rsidRPr="005506A2">
        <w:rPr>
          <w:sz w:val="24"/>
          <w:szCs w:val="24"/>
        </w:rPr>
        <w:t>.</w:t>
      </w:r>
      <w:r w:rsidRPr="005506A2">
        <w:rPr>
          <w:sz w:val="24"/>
          <w:szCs w:val="24"/>
        </w:rPr>
        <w:t xml:space="preserve"> </w:t>
      </w:r>
    </w:p>
    <w:p w14:paraId="575D149F" w14:textId="28ED07A2" w:rsidR="006A2AA2" w:rsidRDefault="006A2AA2" w:rsidP="00617A0A">
      <w:pPr>
        <w:pStyle w:val="ListParagraph"/>
        <w:ind w:left="720"/>
        <w:jc w:val="both"/>
        <w:rPr>
          <w:sz w:val="24"/>
          <w:szCs w:val="24"/>
        </w:rPr>
      </w:pPr>
    </w:p>
    <w:p w14:paraId="25A7A45E" w14:textId="01F8EA34" w:rsidR="006A2AA2" w:rsidRPr="006A2AA2" w:rsidRDefault="006A2AA2" w:rsidP="006A2AA2">
      <w:pPr>
        <w:pStyle w:val="ListParagraph"/>
        <w:numPr>
          <w:ilvl w:val="0"/>
          <w:numId w:val="4"/>
        </w:numPr>
        <w:jc w:val="both"/>
        <w:rPr>
          <w:sz w:val="24"/>
          <w:szCs w:val="24"/>
        </w:rPr>
      </w:pPr>
      <w:r w:rsidRPr="006A2AA2">
        <w:rPr>
          <w:sz w:val="24"/>
          <w:szCs w:val="24"/>
        </w:rPr>
        <w:t>Huang</w:t>
      </w:r>
      <w:r w:rsidR="00590D97">
        <w:rPr>
          <w:sz w:val="24"/>
          <w:szCs w:val="24"/>
        </w:rPr>
        <w:t xml:space="preserve"> C</w:t>
      </w:r>
      <w:r w:rsidRPr="006A2AA2">
        <w:rPr>
          <w:sz w:val="24"/>
          <w:szCs w:val="24"/>
        </w:rPr>
        <w:t>, Wang</w:t>
      </w:r>
      <w:r w:rsidR="00590D97">
        <w:rPr>
          <w:sz w:val="24"/>
          <w:szCs w:val="24"/>
        </w:rPr>
        <w:t xml:space="preserve"> Y</w:t>
      </w:r>
      <w:r w:rsidRPr="006A2AA2">
        <w:rPr>
          <w:sz w:val="24"/>
          <w:szCs w:val="24"/>
        </w:rPr>
        <w:t>, Li</w:t>
      </w:r>
      <w:r w:rsidR="00590D97">
        <w:rPr>
          <w:sz w:val="24"/>
          <w:szCs w:val="24"/>
        </w:rPr>
        <w:t xml:space="preserve"> X</w:t>
      </w:r>
      <w:r w:rsidRPr="006A2AA2">
        <w:rPr>
          <w:sz w:val="24"/>
          <w:szCs w:val="24"/>
        </w:rPr>
        <w:t>, Ren</w:t>
      </w:r>
      <w:r w:rsidR="00590D97">
        <w:rPr>
          <w:sz w:val="24"/>
          <w:szCs w:val="24"/>
        </w:rPr>
        <w:t xml:space="preserve"> L</w:t>
      </w:r>
      <w:r w:rsidRPr="006A2AA2">
        <w:rPr>
          <w:sz w:val="24"/>
          <w:szCs w:val="24"/>
        </w:rPr>
        <w:t>, Zhao</w:t>
      </w:r>
      <w:r w:rsidR="00590D97">
        <w:rPr>
          <w:sz w:val="24"/>
          <w:szCs w:val="24"/>
        </w:rPr>
        <w:t xml:space="preserve"> J</w:t>
      </w:r>
      <w:r w:rsidRPr="006A2AA2">
        <w:rPr>
          <w:sz w:val="24"/>
          <w:szCs w:val="24"/>
        </w:rPr>
        <w:t>, Hu</w:t>
      </w:r>
      <w:r w:rsidR="00590D97">
        <w:rPr>
          <w:sz w:val="24"/>
          <w:szCs w:val="24"/>
        </w:rPr>
        <w:t xml:space="preserve"> Y</w:t>
      </w:r>
      <w:r w:rsidRPr="006A2AA2">
        <w:rPr>
          <w:sz w:val="24"/>
          <w:szCs w:val="24"/>
        </w:rPr>
        <w:t>, et al., Clinical features of patients</w:t>
      </w:r>
    </w:p>
    <w:p w14:paraId="207C6011" w14:textId="0FEDF6DA" w:rsidR="00287BED" w:rsidRDefault="006A2AA2" w:rsidP="006A2AA2">
      <w:pPr>
        <w:pStyle w:val="ListParagraph"/>
        <w:ind w:left="720"/>
        <w:jc w:val="both"/>
        <w:rPr>
          <w:sz w:val="24"/>
          <w:szCs w:val="24"/>
        </w:rPr>
      </w:pPr>
      <w:r w:rsidRPr="006A2AA2">
        <w:rPr>
          <w:sz w:val="24"/>
          <w:szCs w:val="24"/>
        </w:rPr>
        <w:t>infected with 2019 novel coronavirus in Wuhan, China</w:t>
      </w:r>
      <w:r w:rsidR="00590D97">
        <w:rPr>
          <w:sz w:val="24"/>
          <w:szCs w:val="24"/>
        </w:rPr>
        <w:t xml:space="preserve">. 2020; </w:t>
      </w:r>
      <w:r w:rsidRPr="006A2AA2">
        <w:rPr>
          <w:sz w:val="24"/>
          <w:szCs w:val="24"/>
        </w:rPr>
        <w:t>497–506.</w:t>
      </w:r>
    </w:p>
    <w:p w14:paraId="4DF5B428" w14:textId="6A822994" w:rsidR="006A2AA2" w:rsidRDefault="006A2AA2" w:rsidP="006A2AA2">
      <w:pPr>
        <w:pStyle w:val="ListParagraph"/>
        <w:ind w:left="720"/>
        <w:jc w:val="both"/>
        <w:rPr>
          <w:sz w:val="24"/>
          <w:szCs w:val="24"/>
        </w:rPr>
      </w:pPr>
    </w:p>
    <w:p w14:paraId="71BA2621" w14:textId="0A427E64" w:rsidR="006A2AA2" w:rsidRPr="005506A2" w:rsidRDefault="006A2AA2" w:rsidP="00590D97">
      <w:pPr>
        <w:pStyle w:val="ListParagraph"/>
        <w:numPr>
          <w:ilvl w:val="0"/>
          <w:numId w:val="4"/>
        </w:numPr>
        <w:jc w:val="both"/>
        <w:rPr>
          <w:sz w:val="24"/>
          <w:szCs w:val="24"/>
        </w:rPr>
      </w:pPr>
      <w:r w:rsidRPr="005506A2">
        <w:rPr>
          <w:sz w:val="24"/>
          <w:szCs w:val="24"/>
        </w:rPr>
        <w:t>Li</w:t>
      </w:r>
      <w:r w:rsidR="00590D97">
        <w:rPr>
          <w:sz w:val="24"/>
          <w:szCs w:val="24"/>
        </w:rPr>
        <w:t xml:space="preserve"> H</w:t>
      </w:r>
      <w:r w:rsidRPr="005506A2">
        <w:rPr>
          <w:sz w:val="24"/>
          <w:szCs w:val="24"/>
        </w:rPr>
        <w:t>, Xiang</w:t>
      </w:r>
      <w:r w:rsidR="00590D97">
        <w:rPr>
          <w:sz w:val="24"/>
          <w:szCs w:val="24"/>
        </w:rPr>
        <w:t xml:space="preserve"> X</w:t>
      </w:r>
      <w:r w:rsidRPr="005506A2">
        <w:rPr>
          <w:sz w:val="24"/>
          <w:szCs w:val="24"/>
        </w:rPr>
        <w:t>, Ren</w:t>
      </w:r>
      <w:r w:rsidR="00590D97">
        <w:rPr>
          <w:sz w:val="24"/>
          <w:szCs w:val="24"/>
        </w:rPr>
        <w:t xml:space="preserve"> H</w:t>
      </w:r>
      <w:r w:rsidRPr="005506A2">
        <w:rPr>
          <w:sz w:val="24"/>
          <w:szCs w:val="24"/>
        </w:rPr>
        <w:t>, Xu</w:t>
      </w:r>
      <w:r w:rsidR="00590D97">
        <w:rPr>
          <w:sz w:val="24"/>
          <w:szCs w:val="24"/>
        </w:rPr>
        <w:t xml:space="preserve"> L</w:t>
      </w:r>
      <w:r w:rsidRPr="005506A2">
        <w:rPr>
          <w:sz w:val="24"/>
          <w:szCs w:val="24"/>
        </w:rPr>
        <w:t>, Zhao</w:t>
      </w:r>
      <w:r w:rsidR="00590D97">
        <w:rPr>
          <w:sz w:val="24"/>
          <w:szCs w:val="24"/>
        </w:rPr>
        <w:t xml:space="preserve"> L</w:t>
      </w:r>
      <w:r w:rsidRPr="005506A2">
        <w:rPr>
          <w:sz w:val="24"/>
          <w:szCs w:val="24"/>
        </w:rPr>
        <w:t>, Chen</w:t>
      </w:r>
      <w:r w:rsidR="00590D97">
        <w:rPr>
          <w:sz w:val="24"/>
          <w:szCs w:val="24"/>
        </w:rPr>
        <w:t xml:space="preserve"> X</w:t>
      </w:r>
      <w:r w:rsidRPr="005506A2">
        <w:rPr>
          <w:sz w:val="24"/>
          <w:szCs w:val="24"/>
        </w:rPr>
        <w:t>, et al., SAA is a biomarker to</w:t>
      </w:r>
      <w:r w:rsidR="005506A2" w:rsidRPr="005506A2">
        <w:rPr>
          <w:sz w:val="24"/>
          <w:szCs w:val="24"/>
        </w:rPr>
        <w:t xml:space="preserve"> </w:t>
      </w:r>
      <w:r w:rsidRPr="005506A2">
        <w:rPr>
          <w:sz w:val="24"/>
          <w:szCs w:val="24"/>
        </w:rPr>
        <w:t xml:space="preserve">distinguish the severity and prognosis of coronavirus disease 2019 (COVID-19), </w:t>
      </w:r>
      <w:r w:rsidR="00590D97">
        <w:rPr>
          <w:sz w:val="24"/>
          <w:szCs w:val="24"/>
        </w:rPr>
        <w:t xml:space="preserve">The </w:t>
      </w:r>
      <w:r w:rsidRPr="005506A2">
        <w:rPr>
          <w:sz w:val="24"/>
          <w:szCs w:val="24"/>
        </w:rPr>
        <w:t>J</w:t>
      </w:r>
      <w:r w:rsidR="00590D97">
        <w:rPr>
          <w:sz w:val="24"/>
          <w:szCs w:val="24"/>
        </w:rPr>
        <w:t>ournal of infection.</w:t>
      </w:r>
      <w:r w:rsidR="005506A2" w:rsidRPr="005506A2">
        <w:rPr>
          <w:sz w:val="24"/>
          <w:szCs w:val="24"/>
        </w:rPr>
        <w:t xml:space="preserve"> </w:t>
      </w:r>
      <w:r w:rsidR="00590D97">
        <w:rPr>
          <w:sz w:val="24"/>
          <w:szCs w:val="24"/>
        </w:rPr>
        <w:t>2020.</w:t>
      </w:r>
    </w:p>
    <w:p w14:paraId="597A3EF0" w14:textId="41CD5D9F" w:rsidR="006A2AA2" w:rsidRDefault="006A2AA2" w:rsidP="006A2AA2">
      <w:pPr>
        <w:pStyle w:val="ListParagraph"/>
        <w:ind w:left="720"/>
        <w:jc w:val="both"/>
        <w:rPr>
          <w:sz w:val="24"/>
          <w:szCs w:val="24"/>
        </w:rPr>
      </w:pPr>
    </w:p>
    <w:p w14:paraId="52DF0FC9" w14:textId="5692E587" w:rsidR="006A2AA2" w:rsidRPr="006A2AA2" w:rsidRDefault="006A2AA2" w:rsidP="006A2AA2">
      <w:pPr>
        <w:pStyle w:val="ListParagraph"/>
        <w:numPr>
          <w:ilvl w:val="0"/>
          <w:numId w:val="4"/>
        </w:numPr>
        <w:jc w:val="both"/>
        <w:rPr>
          <w:sz w:val="24"/>
          <w:szCs w:val="24"/>
        </w:rPr>
      </w:pPr>
      <w:r w:rsidRPr="006A2AA2">
        <w:rPr>
          <w:sz w:val="24"/>
          <w:szCs w:val="24"/>
        </w:rPr>
        <w:t>Mo</w:t>
      </w:r>
      <w:r w:rsidR="00AA5E9D">
        <w:rPr>
          <w:sz w:val="24"/>
          <w:szCs w:val="24"/>
        </w:rPr>
        <w:t xml:space="preserve"> P</w:t>
      </w:r>
      <w:r w:rsidRPr="006A2AA2">
        <w:rPr>
          <w:sz w:val="24"/>
          <w:szCs w:val="24"/>
        </w:rPr>
        <w:t>, Xing</w:t>
      </w:r>
      <w:r w:rsidR="00AA5E9D">
        <w:rPr>
          <w:sz w:val="24"/>
          <w:szCs w:val="24"/>
        </w:rPr>
        <w:t xml:space="preserve"> Y</w:t>
      </w:r>
      <w:r w:rsidRPr="006A2AA2">
        <w:rPr>
          <w:sz w:val="24"/>
          <w:szCs w:val="24"/>
        </w:rPr>
        <w:t>, Xiao</w:t>
      </w:r>
      <w:r w:rsidR="00AA5E9D">
        <w:rPr>
          <w:sz w:val="24"/>
          <w:szCs w:val="24"/>
        </w:rPr>
        <w:t xml:space="preserve"> Y</w:t>
      </w:r>
      <w:r w:rsidRPr="006A2AA2">
        <w:rPr>
          <w:sz w:val="24"/>
          <w:szCs w:val="24"/>
        </w:rPr>
        <w:t>,</w:t>
      </w:r>
      <w:r w:rsidR="00AA5E9D">
        <w:rPr>
          <w:sz w:val="24"/>
          <w:szCs w:val="24"/>
        </w:rPr>
        <w:t xml:space="preserve"> </w:t>
      </w:r>
      <w:r w:rsidRPr="006A2AA2">
        <w:rPr>
          <w:sz w:val="24"/>
          <w:szCs w:val="24"/>
        </w:rPr>
        <w:t>Deng</w:t>
      </w:r>
      <w:r w:rsidR="00AA5E9D">
        <w:rPr>
          <w:sz w:val="24"/>
          <w:szCs w:val="24"/>
        </w:rPr>
        <w:t xml:space="preserve"> L</w:t>
      </w:r>
      <w:r w:rsidRPr="006A2AA2">
        <w:rPr>
          <w:sz w:val="24"/>
          <w:szCs w:val="24"/>
        </w:rPr>
        <w:t>, Zhao</w:t>
      </w:r>
      <w:r w:rsidR="00AA5E9D">
        <w:rPr>
          <w:sz w:val="24"/>
          <w:szCs w:val="24"/>
        </w:rPr>
        <w:t xml:space="preserve"> Q</w:t>
      </w:r>
      <w:r w:rsidRPr="006A2AA2">
        <w:rPr>
          <w:sz w:val="24"/>
          <w:szCs w:val="24"/>
        </w:rPr>
        <w:t xml:space="preserve">, </w:t>
      </w:r>
      <w:r w:rsidR="00AA5E9D">
        <w:rPr>
          <w:sz w:val="24"/>
          <w:szCs w:val="24"/>
        </w:rPr>
        <w:t>W</w:t>
      </w:r>
      <w:r w:rsidRPr="006A2AA2">
        <w:rPr>
          <w:sz w:val="24"/>
          <w:szCs w:val="24"/>
        </w:rPr>
        <w:t>ang</w:t>
      </w:r>
      <w:r w:rsidR="00AA5E9D">
        <w:rPr>
          <w:sz w:val="24"/>
          <w:szCs w:val="24"/>
        </w:rPr>
        <w:t xml:space="preserve"> H</w:t>
      </w:r>
      <w:r w:rsidRPr="006A2AA2">
        <w:rPr>
          <w:sz w:val="24"/>
          <w:szCs w:val="24"/>
        </w:rPr>
        <w:t>, et al., Clinical characteristics of</w:t>
      </w:r>
    </w:p>
    <w:p w14:paraId="7E8D6DD5" w14:textId="7DF20830" w:rsidR="006A2AA2" w:rsidRDefault="006A2AA2" w:rsidP="006A2AA2">
      <w:pPr>
        <w:pStyle w:val="ListParagraph"/>
        <w:ind w:left="720"/>
        <w:jc w:val="both"/>
        <w:rPr>
          <w:sz w:val="24"/>
          <w:szCs w:val="24"/>
        </w:rPr>
      </w:pPr>
      <w:r w:rsidRPr="006A2AA2">
        <w:rPr>
          <w:sz w:val="24"/>
          <w:szCs w:val="24"/>
        </w:rPr>
        <w:t>refractory COVID-19 pneumonia in Wuhan, China</w:t>
      </w:r>
      <w:r w:rsidR="00AA5E9D">
        <w:rPr>
          <w:sz w:val="24"/>
          <w:szCs w:val="24"/>
        </w:rPr>
        <w:t>.</w:t>
      </w:r>
      <w:r w:rsidRPr="006A2AA2">
        <w:rPr>
          <w:sz w:val="24"/>
          <w:szCs w:val="24"/>
        </w:rPr>
        <w:t xml:space="preserve"> Clin</w:t>
      </w:r>
      <w:r w:rsidR="00AA5E9D">
        <w:rPr>
          <w:sz w:val="24"/>
          <w:szCs w:val="24"/>
        </w:rPr>
        <w:t>ical</w:t>
      </w:r>
      <w:r w:rsidRPr="006A2AA2">
        <w:rPr>
          <w:sz w:val="24"/>
          <w:szCs w:val="24"/>
        </w:rPr>
        <w:t xml:space="preserve"> Infect</w:t>
      </w:r>
      <w:r w:rsidR="00AA5E9D">
        <w:rPr>
          <w:sz w:val="24"/>
          <w:szCs w:val="24"/>
        </w:rPr>
        <w:t>ious</w:t>
      </w:r>
      <w:r w:rsidRPr="006A2AA2">
        <w:rPr>
          <w:sz w:val="24"/>
          <w:szCs w:val="24"/>
        </w:rPr>
        <w:t xml:space="preserve"> Dis</w:t>
      </w:r>
      <w:r w:rsidR="00AA5E9D">
        <w:rPr>
          <w:sz w:val="24"/>
          <w:szCs w:val="24"/>
        </w:rPr>
        <w:t>eases</w:t>
      </w:r>
      <w:r w:rsidRPr="006A2AA2">
        <w:rPr>
          <w:sz w:val="24"/>
          <w:szCs w:val="24"/>
        </w:rPr>
        <w:t>.</w:t>
      </w:r>
      <w:r w:rsidR="00AA5E9D">
        <w:rPr>
          <w:sz w:val="24"/>
          <w:szCs w:val="24"/>
        </w:rPr>
        <w:t xml:space="preserve"> 2020; 73(11):</w:t>
      </w:r>
      <w:r w:rsidR="00AA5E9D" w:rsidRPr="00AA5E9D">
        <w:t xml:space="preserve"> </w:t>
      </w:r>
      <w:r w:rsidR="00AA5E9D" w:rsidRPr="00AA5E9D">
        <w:rPr>
          <w:sz w:val="24"/>
          <w:szCs w:val="24"/>
        </w:rPr>
        <w:t>e4208–e4213</w:t>
      </w:r>
      <w:r w:rsidR="00AA5E9D">
        <w:rPr>
          <w:sz w:val="24"/>
          <w:szCs w:val="24"/>
        </w:rPr>
        <w:t>.</w:t>
      </w:r>
    </w:p>
    <w:p w14:paraId="1B456E66" w14:textId="77777777" w:rsidR="006A2AA2" w:rsidRDefault="006A2AA2" w:rsidP="006A2AA2">
      <w:pPr>
        <w:pStyle w:val="ListParagraph"/>
        <w:ind w:left="720"/>
        <w:jc w:val="both"/>
        <w:rPr>
          <w:sz w:val="24"/>
          <w:szCs w:val="24"/>
        </w:rPr>
      </w:pPr>
    </w:p>
    <w:p w14:paraId="0EE09344" w14:textId="589BD6C4" w:rsidR="006A2AA2" w:rsidRPr="00AA5E9D" w:rsidRDefault="006A2AA2" w:rsidP="003D791C">
      <w:pPr>
        <w:pStyle w:val="ListParagraph"/>
        <w:numPr>
          <w:ilvl w:val="0"/>
          <w:numId w:val="4"/>
        </w:numPr>
        <w:jc w:val="both"/>
        <w:rPr>
          <w:sz w:val="24"/>
          <w:szCs w:val="24"/>
        </w:rPr>
      </w:pPr>
      <w:r w:rsidRPr="00AA5E9D">
        <w:rPr>
          <w:sz w:val="24"/>
          <w:szCs w:val="24"/>
        </w:rPr>
        <w:t>Guan</w:t>
      </w:r>
      <w:r w:rsidR="00AA5E9D" w:rsidRPr="00AA5E9D">
        <w:rPr>
          <w:sz w:val="24"/>
          <w:szCs w:val="24"/>
        </w:rPr>
        <w:t xml:space="preserve"> WJ</w:t>
      </w:r>
      <w:r w:rsidRPr="00AA5E9D">
        <w:rPr>
          <w:sz w:val="24"/>
          <w:szCs w:val="24"/>
        </w:rPr>
        <w:t>, Ni</w:t>
      </w:r>
      <w:r w:rsidR="00AA5E9D" w:rsidRPr="00AA5E9D">
        <w:rPr>
          <w:sz w:val="24"/>
          <w:szCs w:val="24"/>
        </w:rPr>
        <w:t xml:space="preserve"> ZY</w:t>
      </w:r>
      <w:r w:rsidRPr="00AA5E9D">
        <w:rPr>
          <w:sz w:val="24"/>
          <w:szCs w:val="24"/>
        </w:rPr>
        <w:t>, Hu</w:t>
      </w:r>
      <w:r w:rsidR="00AA5E9D" w:rsidRPr="00AA5E9D">
        <w:rPr>
          <w:sz w:val="24"/>
          <w:szCs w:val="24"/>
        </w:rPr>
        <w:t xml:space="preserve"> Y</w:t>
      </w:r>
      <w:r w:rsidRPr="00AA5E9D">
        <w:rPr>
          <w:sz w:val="24"/>
          <w:szCs w:val="24"/>
        </w:rPr>
        <w:t>, Liang</w:t>
      </w:r>
      <w:r w:rsidR="00AA5E9D" w:rsidRPr="00AA5E9D">
        <w:rPr>
          <w:sz w:val="24"/>
          <w:szCs w:val="24"/>
        </w:rPr>
        <w:t xml:space="preserve"> WH</w:t>
      </w:r>
      <w:r w:rsidRPr="00AA5E9D">
        <w:rPr>
          <w:sz w:val="24"/>
          <w:szCs w:val="24"/>
        </w:rPr>
        <w:t xml:space="preserve">, </w:t>
      </w:r>
      <w:proofErr w:type="spellStart"/>
      <w:r w:rsidRPr="00AA5E9D">
        <w:rPr>
          <w:sz w:val="24"/>
          <w:szCs w:val="24"/>
        </w:rPr>
        <w:t>Ou</w:t>
      </w:r>
      <w:proofErr w:type="spellEnd"/>
      <w:r w:rsidR="00AA5E9D" w:rsidRPr="00AA5E9D">
        <w:rPr>
          <w:sz w:val="24"/>
          <w:szCs w:val="24"/>
        </w:rPr>
        <w:t xml:space="preserve"> CQ</w:t>
      </w:r>
      <w:r w:rsidRPr="00AA5E9D">
        <w:rPr>
          <w:sz w:val="24"/>
          <w:szCs w:val="24"/>
        </w:rPr>
        <w:t>, He</w:t>
      </w:r>
      <w:r w:rsidR="00AA5E9D" w:rsidRPr="00AA5E9D">
        <w:rPr>
          <w:sz w:val="24"/>
          <w:szCs w:val="24"/>
        </w:rPr>
        <w:t xml:space="preserve"> JX</w:t>
      </w:r>
      <w:r w:rsidRPr="00AA5E9D">
        <w:rPr>
          <w:sz w:val="24"/>
          <w:szCs w:val="24"/>
        </w:rPr>
        <w:t>, et al., Clinical characteristics</w:t>
      </w:r>
      <w:r w:rsidRPr="00AA5E9D">
        <w:rPr>
          <w:sz w:val="24"/>
          <w:szCs w:val="24"/>
        </w:rPr>
        <w:t xml:space="preserve"> </w:t>
      </w:r>
      <w:r w:rsidRPr="00AA5E9D">
        <w:rPr>
          <w:sz w:val="24"/>
          <w:szCs w:val="24"/>
        </w:rPr>
        <w:t xml:space="preserve">of coronavirus disease 2019 in China, N. Engl. J. Med. </w:t>
      </w:r>
      <w:r w:rsidR="00AA5E9D" w:rsidRPr="00AA5E9D">
        <w:rPr>
          <w:sz w:val="24"/>
          <w:szCs w:val="24"/>
        </w:rPr>
        <w:t xml:space="preserve">2020; </w:t>
      </w:r>
      <w:r w:rsidRPr="00AA5E9D">
        <w:rPr>
          <w:sz w:val="24"/>
          <w:szCs w:val="24"/>
        </w:rPr>
        <w:t>382(18)</w:t>
      </w:r>
      <w:r w:rsidR="00AA5E9D" w:rsidRPr="00AA5E9D">
        <w:rPr>
          <w:sz w:val="24"/>
          <w:szCs w:val="24"/>
        </w:rPr>
        <w:t>:</w:t>
      </w:r>
      <w:r w:rsidRPr="00AA5E9D">
        <w:rPr>
          <w:sz w:val="24"/>
          <w:szCs w:val="24"/>
        </w:rPr>
        <w:t>1708</w:t>
      </w:r>
      <w:r w:rsidR="00AA5E9D">
        <w:rPr>
          <w:sz w:val="24"/>
          <w:szCs w:val="24"/>
        </w:rPr>
        <w:t>-</w:t>
      </w:r>
      <w:r w:rsidRPr="00AA5E9D">
        <w:rPr>
          <w:sz w:val="24"/>
          <w:szCs w:val="24"/>
        </w:rPr>
        <w:t>1720</w:t>
      </w:r>
      <w:r w:rsidR="00AA5E9D">
        <w:rPr>
          <w:sz w:val="24"/>
          <w:szCs w:val="24"/>
        </w:rPr>
        <w:t>.</w:t>
      </w:r>
    </w:p>
    <w:p w14:paraId="388BD83A" w14:textId="77777777" w:rsidR="006A2AA2" w:rsidRDefault="006A2AA2" w:rsidP="006A2AA2">
      <w:pPr>
        <w:pStyle w:val="ListParagraph"/>
        <w:ind w:left="720"/>
        <w:jc w:val="both"/>
        <w:rPr>
          <w:sz w:val="24"/>
          <w:szCs w:val="24"/>
        </w:rPr>
      </w:pPr>
    </w:p>
    <w:p w14:paraId="6C579577" w14:textId="6E4C62AE" w:rsidR="006A2AA2" w:rsidRPr="006A2AA2" w:rsidRDefault="006A2AA2" w:rsidP="006A2AA2">
      <w:pPr>
        <w:pStyle w:val="ListParagraph"/>
        <w:numPr>
          <w:ilvl w:val="0"/>
          <w:numId w:val="4"/>
        </w:numPr>
        <w:jc w:val="both"/>
        <w:rPr>
          <w:sz w:val="24"/>
          <w:szCs w:val="24"/>
        </w:rPr>
      </w:pPr>
      <w:r w:rsidRPr="006A2AA2">
        <w:rPr>
          <w:sz w:val="24"/>
          <w:szCs w:val="24"/>
        </w:rPr>
        <w:t>Liu</w:t>
      </w:r>
      <w:r w:rsidR="00CD21FF">
        <w:rPr>
          <w:sz w:val="24"/>
          <w:szCs w:val="24"/>
        </w:rPr>
        <w:t xml:space="preserve"> Y</w:t>
      </w:r>
      <w:r w:rsidRPr="006A2AA2">
        <w:rPr>
          <w:sz w:val="24"/>
          <w:szCs w:val="24"/>
        </w:rPr>
        <w:t>,</w:t>
      </w:r>
      <w:r w:rsidR="00CD21FF">
        <w:rPr>
          <w:sz w:val="24"/>
          <w:szCs w:val="24"/>
        </w:rPr>
        <w:t xml:space="preserve"> </w:t>
      </w:r>
      <w:r w:rsidRPr="006A2AA2">
        <w:rPr>
          <w:sz w:val="24"/>
          <w:szCs w:val="24"/>
        </w:rPr>
        <w:t>Yang</w:t>
      </w:r>
      <w:r w:rsidR="00CD21FF">
        <w:rPr>
          <w:sz w:val="24"/>
          <w:szCs w:val="24"/>
        </w:rPr>
        <w:t xml:space="preserve"> </w:t>
      </w:r>
      <w:r w:rsidR="00F84B51">
        <w:rPr>
          <w:sz w:val="24"/>
          <w:szCs w:val="24"/>
        </w:rPr>
        <w:t>Y</w:t>
      </w:r>
      <w:r w:rsidR="00F84B51" w:rsidRPr="006A2AA2">
        <w:rPr>
          <w:sz w:val="24"/>
          <w:szCs w:val="24"/>
        </w:rPr>
        <w:t xml:space="preserve">, </w:t>
      </w:r>
      <w:r w:rsidR="00F84B51">
        <w:rPr>
          <w:sz w:val="24"/>
          <w:szCs w:val="24"/>
        </w:rPr>
        <w:t>Zhang</w:t>
      </w:r>
      <w:r w:rsidR="00CD21FF">
        <w:rPr>
          <w:sz w:val="24"/>
          <w:szCs w:val="24"/>
        </w:rPr>
        <w:t xml:space="preserve"> </w:t>
      </w:r>
      <w:proofErr w:type="gramStart"/>
      <w:r w:rsidR="00CD21FF">
        <w:rPr>
          <w:sz w:val="24"/>
          <w:szCs w:val="24"/>
        </w:rPr>
        <w:t>C</w:t>
      </w:r>
      <w:r w:rsidRPr="006A2AA2">
        <w:rPr>
          <w:sz w:val="24"/>
          <w:szCs w:val="24"/>
        </w:rPr>
        <w:t xml:space="preserve">, </w:t>
      </w:r>
      <w:r w:rsidR="00CD21FF">
        <w:rPr>
          <w:sz w:val="24"/>
          <w:szCs w:val="24"/>
        </w:rPr>
        <w:t xml:space="preserve"> </w:t>
      </w:r>
      <w:r w:rsidRPr="006A2AA2">
        <w:rPr>
          <w:sz w:val="24"/>
          <w:szCs w:val="24"/>
        </w:rPr>
        <w:t>Huang</w:t>
      </w:r>
      <w:proofErr w:type="gramEnd"/>
      <w:r w:rsidR="00CD21FF">
        <w:rPr>
          <w:sz w:val="24"/>
          <w:szCs w:val="24"/>
        </w:rPr>
        <w:t xml:space="preserve"> F</w:t>
      </w:r>
      <w:r w:rsidRPr="006A2AA2">
        <w:rPr>
          <w:sz w:val="24"/>
          <w:szCs w:val="24"/>
        </w:rPr>
        <w:t>, Wang</w:t>
      </w:r>
      <w:r w:rsidR="00CD21FF">
        <w:rPr>
          <w:sz w:val="24"/>
          <w:szCs w:val="24"/>
        </w:rPr>
        <w:t xml:space="preserve"> F</w:t>
      </w:r>
      <w:r w:rsidRPr="006A2AA2">
        <w:rPr>
          <w:sz w:val="24"/>
          <w:szCs w:val="24"/>
        </w:rPr>
        <w:t>, Yuan</w:t>
      </w:r>
      <w:r w:rsidR="00CD21FF">
        <w:rPr>
          <w:sz w:val="24"/>
          <w:szCs w:val="24"/>
        </w:rPr>
        <w:t xml:space="preserve"> J</w:t>
      </w:r>
      <w:r w:rsidRPr="006A2AA2">
        <w:rPr>
          <w:sz w:val="24"/>
          <w:szCs w:val="24"/>
        </w:rPr>
        <w:t>, et al. Clinical and biochemical</w:t>
      </w:r>
    </w:p>
    <w:p w14:paraId="7843039A" w14:textId="6B72BB88" w:rsidR="006A2AA2" w:rsidRDefault="006A2AA2" w:rsidP="006A2AA2">
      <w:pPr>
        <w:pStyle w:val="ListParagraph"/>
        <w:ind w:left="720"/>
        <w:jc w:val="both"/>
        <w:rPr>
          <w:sz w:val="24"/>
          <w:szCs w:val="24"/>
        </w:rPr>
      </w:pPr>
      <w:r w:rsidRPr="006A2AA2">
        <w:rPr>
          <w:sz w:val="24"/>
          <w:szCs w:val="24"/>
        </w:rPr>
        <w:t>indexes from 2019-nCoV infected patients linked to viral loads and lung</w:t>
      </w:r>
      <w:r w:rsidR="005506A2">
        <w:rPr>
          <w:sz w:val="24"/>
          <w:szCs w:val="24"/>
        </w:rPr>
        <w:t xml:space="preserve"> </w:t>
      </w:r>
      <w:r w:rsidRPr="006A2AA2">
        <w:rPr>
          <w:sz w:val="24"/>
          <w:szCs w:val="24"/>
        </w:rPr>
        <w:t xml:space="preserve">injury, Sci. China Life Sci. </w:t>
      </w:r>
      <w:r w:rsidR="00F84B51">
        <w:rPr>
          <w:sz w:val="24"/>
          <w:szCs w:val="24"/>
        </w:rPr>
        <w:t xml:space="preserve">2020; </w:t>
      </w:r>
      <w:r w:rsidRPr="006A2AA2">
        <w:rPr>
          <w:sz w:val="24"/>
          <w:szCs w:val="24"/>
        </w:rPr>
        <w:t>63(3)</w:t>
      </w:r>
      <w:r w:rsidR="00F84B51">
        <w:rPr>
          <w:sz w:val="24"/>
          <w:szCs w:val="24"/>
        </w:rPr>
        <w:t>:</w:t>
      </w:r>
      <w:r w:rsidRPr="006A2AA2">
        <w:rPr>
          <w:sz w:val="24"/>
          <w:szCs w:val="24"/>
        </w:rPr>
        <w:t>364</w:t>
      </w:r>
      <w:r w:rsidR="00F84B51">
        <w:rPr>
          <w:sz w:val="24"/>
          <w:szCs w:val="24"/>
        </w:rPr>
        <w:t>-</w:t>
      </w:r>
      <w:r w:rsidRPr="006A2AA2">
        <w:rPr>
          <w:sz w:val="24"/>
          <w:szCs w:val="24"/>
        </w:rPr>
        <w:t>374.</w:t>
      </w:r>
    </w:p>
    <w:p w14:paraId="36700F01" w14:textId="77777777" w:rsidR="005506A2" w:rsidRDefault="005506A2" w:rsidP="006A2AA2">
      <w:pPr>
        <w:pStyle w:val="ListParagraph"/>
        <w:ind w:left="720"/>
        <w:jc w:val="both"/>
        <w:rPr>
          <w:sz w:val="24"/>
          <w:szCs w:val="24"/>
        </w:rPr>
      </w:pPr>
    </w:p>
    <w:p w14:paraId="3EB38792" w14:textId="594BF820" w:rsidR="00E5694E" w:rsidRDefault="00E5694E" w:rsidP="005B7B47">
      <w:pPr>
        <w:pStyle w:val="ListParagraph"/>
        <w:numPr>
          <w:ilvl w:val="0"/>
          <w:numId w:val="4"/>
        </w:numPr>
        <w:jc w:val="both"/>
        <w:rPr>
          <w:sz w:val="24"/>
          <w:szCs w:val="24"/>
        </w:rPr>
      </w:pPr>
      <w:r w:rsidRPr="00EC6087">
        <w:rPr>
          <w:sz w:val="24"/>
          <w:szCs w:val="24"/>
        </w:rPr>
        <w:t xml:space="preserve">Karlsson S, </w:t>
      </w:r>
      <w:proofErr w:type="spellStart"/>
      <w:r w:rsidRPr="00EC6087">
        <w:rPr>
          <w:sz w:val="24"/>
          <w:szCs w:val="24"/>
        </w:rPr>
        <w:t>Pettila</w:t>
      </w:r>
      <w:proofErr w:type="spellEnd"/>
      <w:r w:rsidRPr="00EC6087">
        <w:rPr>
          <w:sz w:val="24"/>
          <w:szCs w:val="24"/>
        </w:rPr>
        <w:t xml:space="preserve"> V, Tenhunen J, </w:t>
      </w:r>
      <w:proofErr w:type="spellStart"/>
      <w:r w:rsidRPr="00EC6087">
        <w:rPr>
          <w:sz w:val="24"/>
          <w:szCs w:val="24"/>
        </w:rPr>
        <w:t>Laru-Sompa</w:t>
      </w:r>
      <w:proofErr w:type="spellEnd"/>
      <w:r w:rsidRPr="00EC6087">
        <w:rPr>
          <w:sz w:val="24"/>
          <w:szCs w:val="24"/>
        </w:rPr>
        <w:t xml:space="preserve"> R, Hynninen M, Ruokonen E. HMGB1 as a predictor of organ dysfunction and outcome in patients with severe sepsis. Intensive Care Med. 2008;</w:t>
      </w:r>
      <w:r w:rsidR="00EC6087" w:rsidRPr="00EC6087">
        <w:rPr>
          <w:sz w:val="24"/>
          <w:szCs w:val="24"/>
        </w:rPr>
        <w:t xml:space="preserve"> </w:t>
      </w:r>
      <w:r w:rsidRPr="00EC6087">
        <w:rPr>
          <w:sz w:val="24"/>
          <w:szCs w:val="24"/>
        </w:rPr>
        <w:t>34</w:t>
      </w:r>
      <w:r w:rsidR="00EC6087" w:rsidRPr="00EC6087">
        <w:rPr>
          <w:sz w:val="24"/>
          <w:szCs w:val="24"/>
        </w:rPr>
        <w:t>(6)</w:t>
      </w:r>
      <w:r w:rsidRPr="00EC6087">
        <w:rPr>
          <w:sz w:val="24"/>
          <w:szCs w:val="24"/>
        </w:rPr>
        <w:t>:1046</w:t>
      </w:r>
      <w:r w:rsidR="00EC6087" w:rsidRPr="00EC6087">
        <w:rPr>
          <w:sz w:val="24"/>
          <w:szCs w:val="24"/>
        </w:rPr>
        <w:t>-</w:t>
      </w:r>
      <w:r w:rsidRPr="00EC6087">
        <w:rPr>
          <w:sz w:val="24"/>
          <w:szCs w:val="24"/>
        </w:rPr>
        <w:t>1053.</w:t>
      </w:r>
    </w:p>
    <w:p w14:paraId="527ACFAC" w14:textId="77777777" w:rsidR="00EC6087" w:rsidRPr="00EC6087" w:rsidRDefault="00EC6087" w:rsidP="00EC6087">
      <w:pPr>
        <w:pStyle w:val="ListParagraph"/>
        <w:ind w:left="720"/>
        <w:jc w:val="both"/>
        <w:rPr>
          <w:sz w:val="24"/>
          <w:szCs w:val="24"/>
        </w:rPr>
      </w:pPr>
    </w:p>
    <w:p w14:paraId="0F8ED7D3" w14:textId="4FFCD00F" w:rsidR="006A2AA2" w:rsidRDefault="00E5694E" w:rsidP="006A2AA2">
      <w:pPr>
        <w:pStyle w:val="ListParagraph"/>
        <w:numPr>
          <w:ilvl w:val="0"/>
          <w:numId w:val="4"/>
        </w:numPr>
        <w:jc w:val="both"/>
        <w:rPr>
          <w:sz w:val="24"/>
          <w:szCs w:val="24"/>
        </w:rPr>
      </w:pPr>
      <w:r w:rsidRPr="00E5694E">
        <w:rPr>
          <w:sz w:val="24"/>
          <w:szCs w:val="24"/>
        </w:rPr>
        <w:t>Shao YM, Yao HG, Liang XZ, Xia YH. [Relation between level of expression of high mobility group protein B1 in hepatic tissue with the severity and prognosis of sepsis in rat]</w:t>
      </w:r>
      <w:r w:rsidR="00EC6087">
        <w:rPr>
          <w:sz w:val="24"/>
          <w:szCs w:val="24"/>
        </w:rPr>
        <w:t xml:space="preserve">. </w:t>
      </w:r>
      <w:proofErr w:type="spellStart"/>
      <w:r w:rsidRPr="00E5694E">
        <w:rPr>
          <w:sz w:val="24"/>
          <w:szCs w:val="24"/>
        </w:rPr>
        <w:t>Zhongguo</w:t>
      </w:r>
      <w:proofErr w:type="spellEnd"/>
      <w:r w:rsidRPr="00E5694E">
        <w:rPr>
          <w:sz w:val="24"/>
          <w:szCs w:val="24"/>
        </w:rPr>
        <w:t xml:space="preserve"> Wei Zhong Bing Ji Jiu Yi Xue. 2006;</w:t>
      </w:r>
      <w:r w:rsidR="00EC6087">
        <w:rPr>
          <w:sz w:val="24"/>
          <w:szCs w:val="24"/>
        </w:rPr>
        <w:t xml:space="preserve"> </w:t>
      </w:r>
      <w:r w:rsidRPr="00E5694E">
        <w:rPr>
          <w:sz w:val="24"/>
          <w:szCs w:val="24"/>
        </w:rPr>
        <w:t>18</w:t>
      </w:r>
      <w:r w:rsidR="00EC6087">
        <w:rPr>
          <w:sz w:val="24"/>
          <w:szCs w:val="24"/>
        </w:rPr>
        <w:t>(11)</w:t>
      </w:r>
      <w:r w:rsidRPr="00E5694E">
        <w:rPr>
          <w:sz w:val="24"/>
          <w:szCs w:val="24"/>
        </w:rPr>
        <w:t>:668</w:t>
      </w:r>
      <w:r w:rsidR="00EC6087">
        <w:rPr>
          <w:sz w:val="24"/>
          <w:szCs w:val="24"/>
        </w:rPr>
        <w:t>-</w:t>
      </w:r>
      <w:r w:rsidRPr="00E5694E">
        <w:rPr>
          <w:sz w:val="24"/>
          <w:szCs w:val="24"/>
        </w:rPr>
        <w:t>672</w:t>
      </w:r>
      <w:r w:rsidR="00EC6087">
        <w:rPr>
          <w:sz w:val="24"/>
          <w:szCs w:val="24"/>
        </w:rPr>
        <w:t>.</w:t>
      </w:r>
    </w:p>
    <w:p w14:paraId="13FEA606" w14:textId="77777777" w:rsidR="00E5694E" w:rsidRDefault="00E5694E" w:rsidP="00E5694E">
      <w:pPr>
        <w:pStyle w:val="ListParagraph"/>
        <w:ind w:left="720"/>
        <w:jc w:val="both"/>
        <w:rPr>
          <w:sz w:val="24"/>
          <w:szCs w:val="24"/>
        </w:rPr>
      </w:pPr>
    </w:p>
    <w:p w14:paraId="082B0751" w14:textId="4EF34629" w:rsidR="006A2AA2" w:rsidRDefault="00E5694E" w:rsidP="006A2AA2">
      <w:pPr>
        <w:pStyle w:val="ListParagraph"/>
        <w:numPr>
          <w:ilvl w:val="0"/>
          <w:numId w:val="4"/>
        </w:numPr>
        <w:jc w:val="both"/>
        <w:rPr>
          <w:sz w:val="24"/>
          <w:szCs w:val="24"/>
        </w:rPr>
      </w:pPr>
      <w:r w:rsidRPr="00E5694E">
        <w:rPr>
          <w:sz w:val="24"/>
          <w:szCs w:val="24"/>
        </w:rPr>
        <w:t xml:space="preserve">Murch O, Collin M, </w:t>
      </w:r>
      <w:proofErr w:type="spellStart"/>
      <w:r w:rsidRPr="00E5694E">
        <w:rPr>
          <w:sz w:val="24"/>
          <w:szCs w:val="24"/>
        </w:rPr>
        <w:t>Sepodes</w:t>
      </w:r>
      <w:proofErr w:type="spellEnd"/>
      <w:r w:rsidRPr="00E5694E">
        <w:rPr>
          <w:sz w:val="24"/>
          <w:szCs w:val="24"/>
        </w:rPr>
        <w:t xml:space="preserve"> B, Foster SJ, Mota-Filipe H, </w:t>
      </w:r>
      <w:proofErr w:type="spellStart"/>
      <w:r w:rsidRPr="00E5694E">
        <w:rPr>
          <w:sz w:val="24"/>
          <w:szCs w:val="24"/>
        </w:rPr>
        <w:t>Thiemermann</w:t>
      </w:r>
      <w:proofErr w:type="spellEnd"/>
      <w:r w:rsidRPr="00E5694E">
        <w:rPr>
          <w:sz w:val="24"/>
          <w:szCs w:val="24"/>
        </w:rPr>
        <w:t xml:space="preserve"> C. </w:t>
      </w:r>
      <w:proofErr w:type="spellStart"/>
      <w:r w:rsidRPr="00E5694E">
        <w:rPr>
          <w:sz w:val="24"/>
          <w:szCs w:val="24"/>
        </w:rPr>
        <w:t>Lysophosphatidylcholine</w:t>
      </w:r>
      <w:proofErr w:type="spellEnd"/>
      <w:r w:rsidRPr="00E5694E">
        <w:rPr>
          <w:sz w:val="24"/>
          <w:szCs w:val="24"/>
        </w:rPr>
        <w:t xml:space="preserve"> reduces the organ injury and dysfunction in rodent models of gram-negative and gram-positive shock. Br J </w:t>
      </w:r>
      <w:proofErr w:type="spellStart"/>
      <w:r w:rsidRPr="00E5694E">
        <w:rPr>
          <w:sz w:val="24"/>
          <w:szCs w:val="24"/>
        </w:rPr>
        <w:t>Pharmacol</w:t>
      </w:r>
      <w:proofErr w:type="spellEnd"/>
      <w:r w:rsidRPr="00E5694E">
        <w:rPr>
          <w:sz w:val="24"/>
          <w:szCs w:val="24"/>
        </w:rPr>
        <w:t>. 2006;</w:t>
      </w:r>
      <w:r w:rsidR="00F50465">
        <w:rPr>
          <w:sz w:val="24"/>
          <w:szCs w:val="24"/>
        </w:rPr>
        <w:t xml:space="preserve"> </w:t>
      </w:r>
      <w:r w:rsidRPr="00E5694E">
        <w:rPr>
          <w:sz w:val="24"/>
          <w:szCs w:val="24"/>
        </w:rPr>
        <w:t>148</w:t>
      </w:r>
      <w:r w:rsidR="00F50465">
        <w:rPr>
          <w:sz w:val="24"/>
          <w:szCs w:val="24"/>
        </w:rPr>
        <w:t>(6)</w:t>
      </w:r>
      <w:r w:rsidRPr="00E5694E">
        <w:rPr>
          <w:sz w:val="24"/>
          <w:szCs w:val="24"/>
        </w:rPr>
        <w:t>:769</w:t>
      </w:r>
      <w:r w:rsidR="00F50465">
        <w:rPr>
          <w:sz w:val="24"/>
          <w:szCs w:val="24"/>
        </w:rPr>
        <w:t>-</w:t>
      </w:r>
      <w:r w:rsidRPr="00E5694E">
        <w:rPr>
          <w:sz w:val="24"/>
          <w:szCs w:val="24"/>
        </w:rPr>
        <w:t>777.</w:t>
      </w:r>
    </w:p>
    <w:p w14:paraId="30F4881E" w14:textId="77777777" w:rsidR="00E5694E" w:rsidRDefault="00E5694E" w:rsidP="00E5694E">
      <w:pPr>
        <w:pStyle w:val="ListParagraph"/>
        <w:ind w:left="720"/>
        <w:jc w:val="both"/>
        <w:rPr>
          <w:sz w:val="24"/>
          <w:szCs w:val="24"/>
        </w:rPr>
      </w:pPr>
    </w:p>
    <w:p w14:paraId="1C69A20D" w14:textId="01EA04CF" w:rsidR="006A2AA2" w:rsidRDefault="00E5694E" w:rsidP="006A2AA2">
      <w:pPr>
        <w:pStyle w:val="ListParagraph"/>
        <w:numPr>
          <w:ilvl w:val="0"/>
          <w:numId w:val="4"/>
        </w:numPr>
        <w:jc w:val="both"/>
        <w:rPr>
          <w:sz w:val="24"/>
          <w:szCs w:val="24"/>
        </w:rPr>
      </w:pPr>
      <w:r w:rsidRPr="00E5694E">
        <w:rPr>
          <w:sz w:val="24"/>
          <w:szCs w:val="24"/>
        </w:rPr>
        <w:t>Kurt AN</w:t>
      </w:r>
      <w:r w:rsidR="00F50465">
        <w:rPr>
          <w:sz w:val="24"/>
          <w:szCs w:val="24"/>
        </w:rPr>
        <w:t>C</w:t>
      </w:r>
      <w:r w:rsidRPr="00E5694E">
        <w:rPr>
          <w:sz w:val="24"/>
          <w:szCs w:val="24"/>
        </w:rPr>
        <w:t xml:space="preserve">, Aygun AD, </w:t>
      </w:r>
      <w:proofErr w:type="spellStart"/>
      <w:r w:rsidRPr="00E5694E">
        <w:rPr>
          <w:sz w:val="24"/>
          <w:szCs w:val="24"/>
        </w:rPr>
        <w:t>Godekmerdan</w:t>
      </w:r>
      <w:proofErr w:type="spellEnd"/>
      <w:r w:rsidRPr="00E5694E">
        <w:rPr>
          <w:sz w:val="24"/>
          <w:szCs w:val="24"/>
        </w:rPr>
        <w:t xml:space="preserve"> A, Kurt A, Dogan Y, Yilmaz E. Serum IL-1beta, IL-6, IL-8, and TNF-alpha levels in early diagnosis and management of neonatal sepsis. Mediators </w:t>
      </w:r>
      <w:proofErr w:type="spellStart"/>
      <w:r w:rsidRPr="00E5694E">
        <w:rPr>
          <w:sz w:val="24"/>
          <w:szCs w:val="24"/>
        </w:rPr>
        <w:t>Inflamm</w:t>
      </w:r>
      <w:proofErr w:type="spellEnd"/>
      <w:r w:rsidRPr="00E5694E">
        <w:rPr>
          <w:sz w:val="24"/>
          <w:szCs w:val="24"/>
        </w:rPr>
        <w:t>. 2007;</w:t>
      </w:r>
      <w:r w:rsidR="00F50465">
        <w:rPr>
          <w:sz w:val="24"/>
          <w:szCs w:val="24"/>
        </w:rPr>
        <w:t xml:space="preserve"> </w:t>
      </w:r>
      <w:r w:rsidRPr="00E5694E">
        <w:rPr>
          <w:sz w:val="24"/>
          <w:szCs w:val="24"/>
        </w:rPr>
        <w:t>31397</w:t>
      </w:r>
      <w:r w:rsidR="00F50465">
        <w:rPr>
          <w:sz w:val="24"/>
          <w:szCs w:val="24"/>
        </w:rPr>
        <w:t>.</w:t>
      </w:r>
    </w:p>
    <w:p w14:paraId="649D1EC0" w14:textId="77777777" w:rsidR="00E5694E" w:rsidRDefault="00E5694E" w:rsidP="00E5694E">
      <w:pPr>
        <w:pStyle w:val="ListParagraph"/>
        <w:ind w:left="720"/>
        <w:jc w:val="both"/>
        <w:rPr>
          <w:sz w:val="24"/>
          <w:szCs w:val="24"/>
        </w:rPr>
      </w:pPr>
    </w:p>
    <w:p w14:paraId="4A017715" w14:textId="31E77A51" w:rsidR="005A7623" w:rsidRDefault="005A7623" w:rsidP="00BA4F7C">
      <w:pPr>
        <w:pStyle w:val="ListParagraph"/>
        <w:numPr>
          <w:ilvl w:val="0"/>
          <w:numId w:val="4"/>
        </w:numPr>
        <w:jc w:val="both"/>
        <w:rPr>
          <w:sz w:val="24"/>
          <w:szCs w:val="24"/>
        </w:rPr>
      </w:pPr>
      <w:r w:rsidRPr="00FF595C">
        <w:rPr>
          <w:sz w:val="24"/>
          <w:szCs w:val="24"/>
        </w:rPr>
        <w:t xml:space="preserve">BalcI C, </w:t>
      </w:r>
      <w:proofErr w:type="spellStart"/>
      <w:r w:rsidRPr="00FF595C">
        <w:rPr>
          <w:sz w:val="24"/>
          <w:szCs w:val="24"/>
        </w:rPr>
        <w:t>Sungurtekin</w:t>
      </w:r>
      <w:proofErr w:type="spellEnd"/>
      <w:r w:rsidRPr="00FF595C">
        <w:rPr>
          <w:sz w:val="24"/>
          <w:szCs w:val="24"/>
        </w:rPr>
        <w:t xml:space="preserve"> H, </w:t>
      </w:r>
      <w:proofErr w:type="spellStart"/>
      <w:r w:rsidRPr="00FF595C">
        <w:rPr>
          <w:sz w:val="24"/>
          <w:szCs w:val="24"/>
        </w:rPr>
        <w:t>Gurses</w:t>
      </w:r>
      <w:proofErr w:type="spellEnd"/>
      <w:r w:rsidRPr="00FF595C">
        <w:rPr>
          <w:sz w:val="24"/>
          <w:szCs w:val="24"/>
        </w:rPr>
        <w:t xml:space="preserve"> E, </w:t>
      </w:r>
      <w:proofErr w:type="spellStart"/>
      <w:r w:rsidRPr="00FF595C">
        <w:rPr>
          <w:sz w:val="24"/>
          <w:szCs w:val="24"/>
        </w:rPr>
        <w:t>Sungurtekin</w:t>
      </w:r>
      <w:proofErr w:type="spellEnd"/>
      <w:r w:rsidRPr="00FF595C">
        <w:rPr>
          <w:sz w:val="24"/>
          <w:szCs w:val="24"/>
        </w:rPr>
        <w:t xml:space="preserve"> U, </w:t>
      </w:r>
      <w:proofErr w:type="spellStart"/>
      <w:r w:rsidRPr="00FF595C">
        <w:rPr>
          <w:sz w:val="24"/>
          <w:szCs w:val="24"/>
        </w:rPr>
        <w:t>Kaptanoglu</w:t>
      </w:r>
      <w:proofErr w:type="spellEnd"/>
      <w:r w:rsidRPr="00FF595C">
        <w:rPr>
          <w:sz w:val="24"/>
          <w:szCs w:val="24"/>
        </w:rPr>
        <w:t xml:space="preserve"> B. Usefulness of procalcitonin for diagnosis of sepsis in the intensive care unit. Crit Care. 2003;</w:t>
      </w:r>
      <w:r w:rsidR="00FF595C" w:rsidRPr="00FF595C">
        <w:rPr>
          <w:sz w:val="24"/>
          <w:szCs w:val="24"/>
        </w:rPr>
        <w:t xml:space="preserve"> </w:t>
      </w:r>
      <w:r w:rsidRPr="00FF595C">
        <w:rPr>
          <w:sz w:val="24"/>
          <w:szCs w:val="24"/>
        </w:rPr>
        <w:t>7</w:t>
      </w:r>
      <w:r w:rsidR="00FF595C" w:rsidRPr="00FF595C">
        <w:rPr>
          <w:sz w:val="24"/>
          <w:szCs w:val="24"/>
        </w:rPr>
        <w:t>(1)</w:t>
      </w:r>
      <w:r w:rsidRPr="00FF595C">
        <w:rPr>
          <w:sz w:val="24"/>
          <w:szCs w:val="24"/>
        </w:rPr>
        <w:t>:85</w:t>
      </w:r>
      <w:r w:rsidR="00FF595C" w:rsidRPr="00FF595C">
        <w:rPr>
          <w:sz w:val="24"/>
          <w:szCs w:val="24"/>
        </w:rPr>
        <w:t>-</w:t>
      </w:r>
      <w:r w:rsidRPr="00FF595C">
        <w:rPr>
          <w:sz w:val="24"/>
          <w:szCs w:val="24"/>
        </w:rPr>
        <w:t>90.</w:t>
      </w:r>
    </w:p>
    <w:p w14:paraId="184C3AE3" w14:textId="77777777" w:rsidR="00FF595C" w:rsidRPr="00FF595C" w:rsidRDefault="00FF595C" w:rsidP="00FF595C">
      <w:pPr>
        <w:pStyle w:val="ListParagraph"/>
        <w:ind w:left="720"/>
        <w:jc w:val="both"/>
        <w:rPr>
          <w:sz w:val="24"/>
          <w:szCs w:val="24"/>
        </w:rPr>
      </w:pPr>
    </w:p>
    <w:p w14:paraId="07386363" w14:textId="5D98A984" w:rsidR="00460614" w:rsidRDefault="00460614" w:rsidP="00EB75AB">
      <w:pPr>
        <w:pStyle w:val="ListParagraph"/>
        <w:numPr>
          <w:ilvl w:val="0"/>
          <w:numId w:val="4"/>
        </w:numPr>
        <w:jc w:val="both"/>
        <w:rPr>
          <w:sz w:val="24"/>
          <w:szCs w:val="24"/>
        </w:rPr>
      </w:pPr>
      <w:proofErr w:type="spellStart"/>
      <w:r w:rsidRPr="0016331A">
        <w:rPr>
          <w:sz w:val="24"/>
          <w:szCs w:val="24"/>
        </w:rPr>
        <w:lastRenderedPageBreak/>
        <w:t>Panacek</w:t>
      </w:r>
      <w:proofErr w:type="spellEnd"/>
      <w:r w:rsidRPr="0016331A">
        <w:rPr>
          <w:sz w:val="24"/>
          <w:szCs w:val="24"/>
        </w:rPr>
        <w:t xml:space="preserve"> EA, Marshall JC, Albertson TE, Johnson DH, Johnson S, MacArthur RD, Miller M, Barchuk WT, </w:t>
      </w:r>
      <w:proofErr w:type="spellStart"/>
      <w:r w:rsidRPr="0016331A">
        <w:rPr>
          <w:sz w:val="24"/>
          <w:szCs w:val="24"/>
        </w:rPr>
        <w:t>Fischkoff</w:t>
      </w:r>
      <w:proofErr w:type="spellEnd"/>
      <w:r w:rsidRPr="0016331A">
        <w:rPr>
          <w:sz w:val="24"/>
          <w:szCs w:val="24"/>
        </w:rPr>
        <w:t xml:space="preserve"> S, Kaul M, Teoh L, Van Meter L, Daum L, </w:t>
      </w:r>
      <w:proofErr w:type="spellStart"/>
      <w:r w:rsidRPr="0016331A">
        <w:rPr>
          <w:sz w:val="24"/>
          <w:szCs w:val="24"/>
        </w:rPr>
        <w:t>Lemeshow</w:t>
      </w:r>
      <w:proofErr w:type="spellEnd"/>
      <w:r w:rsidRPr="0016331A">
        <w:rPr>
          <w:sz w:val="24"/>
          <w:szCs w:val="24"/>
        </w:rPr>
        <w:t xml:space="preserve"> S, Hicklin G, Doig C. </w:t>
      </w:r>
      <w:proofErr w:type="gramStart"/>
      <w:r w:rsidRPr="0016331A">
        <w:rPr>
          <w:sz w:val="24"/>
          <w:szCs w:val="24"/>
        </w:rPr>
        <w:t>Efficacy</w:t>
      </w:r>
      <w:proofErr w:type="gramEnd"/>
      <w:r w:rsidRPr="0016331A">
        <w:rPr>
          <w:sz w:val="24"/>
          <w:szCs w:val="24"/>
        </w:rPr>
        <w:t xml:space="preserve"> and safety of the monoclonal anti-</w:t>
      </w:r>
      <w:proofErr w:type="spellStart"/>
      <w:r w:rsidRPr="0016331A">
        <w:rPr>
          <w:sz w:val="24"/>
          <w:szCs w:val="24"/>
        </w:rPr>
        <w:t>tumor</w:t>
      </w:r>
      <w:proofErr w:type="spellEnd"/>
      <w:r w:rsidRPr="0016331A">
        <w:rPr>
          <w:sz w:val="24"/>
          <w:szCs w:val="24"/>
        </w:rPr>
        <w:t xml:space="preserve"> necrosis factor antibody F(ab')2 fragment afelimomab in patients with severe sepsis and elevated interleukin-6 levels. Crit Care Med. 2004;</w:t>
      </w:r>
      <w:r w:rsidR="0016331A" w:rsidRPr="0016331A">
        <w:rPr>
          <w:sz w:val="24"/>
          <w:szCs w:val="24"/>
        </w:rPr>
        <w:t xml:space="preserve"> </w:t>
      </w:r>
      <w:r w:rsidRPr="0016331A">
        <w:rPr>
          <w:sz w:val="24"/>
          <w:szCs w:val="24"/>
        </w:rPr>
        <w:t>32:2173</w:t>
      </w:r>
      <w:r w:rsidR="0016331A" w:rsidRPr="0016331A">
        <w:rPr>
          <w:sz w:val="24"/>
          <w:szCs w:val="24"/>
        </w:rPr>
        <w:t>-</w:t>
      </w:r>
      <w:r w:rsidRPr="0016331A">
        <w:rPr>
          <w:sz w:val="24"/>
          <w:szCs w:val="24"/>
        </w:rPr>
        <w:t>2182.</w:t>
      </w:r>
    </w:p>
    <w:p w14:paraId="44AC1C4C" w14:textId="6B4F77E1" w:rsidR="0016331A" w:rsidRPr="0016331A" w:rsidRDefault="0016331A" w:rsidP="0016331A">
      <w:pPr>
        <w:pStyle w:val="ListParagraph"/>
        <w:ind w:left="720"/>
        <w:jc w:val="both"/>
        <w:rPr>
          <w:sz w:val="24"/>
          <w:szCs w:val="24"/>
        </w:rPr>
      </w:pPr>
    </w:p>
    <w:p w14:paraId="50F38E32" w14:textId="611CDE2C" w:rsidR="006A2AA2" w:rsidRDefault="00460614" w:rsidP="003D5C24">
      <w:pPr>
        <w:pStyle w:val="ListParagraph"/>
        <w:numPr>
          <w:ilvl w:val="0"/>
          <w:numId w:val="4"/>
        </w:numPr>
        <w:jc w:val="both"/>
        <w:rPr>
          <w:sz w:val="24"/>
          <w:szCs w:val="24"/>
        </w:rPr>
      </w:pPr>
      <w:r w:rsidRPr="0016331A">
        <w:rPr>
          <w:sz w:val="24"/>
          <w:szCs w:val="24"/>
        </w:rPr>
        <w:t xml:space="preserve">Patel RT, </w:t>
      </w:r>
      <w:proofErr w:type="spellStart"/>
      <w:r w:rsidRPr="0016331A">
        <w:rPr>
          <w:sz w:val="24"/>
          <w:szCs w:val="24"/>
        </w:rPr>
        <w:t>Deen</w:t>
      </w:r>
      <w:proofErr w:type="spellEnd"/>
      <w:r w:rsidRPr="0016331A">
        <w:rPr>
          <w:sz w:val="24"/>
          <w:szCs w:val="24"/>
        </w:rPr>
        <w:t xml:space="preserve"> KI, Youngs D, Warwick J, Keighley MR. Interleukin 6 is a prognostic indicator of outcome in severe intra-abdominal sepsis. Br J Surg. 1994;</w:t>
      </w:r>
      <w:r w:rsidR="0016331A">
        <w:rPr>
          <w:sz w:val="24"/>
          <w:szCs w:val="24"/>
        </w:rPr>
        <w:t xml:space="preserve"> </w:t>
      </w:r>
      <w:r w:rsidRPr="0016331A">
        <w:rPr>
          <w:sz w:val="24"/>
          <w:szCs w:val="24"/>
        </w:rPr>
        <w:t>81:1306</w:t>
      </w:r>
      <w:r w:rsidR="0016331A">
        <w:rPr>
          <w:sz w:val="24"/>
          <w:szCs w:val="24"/>
        </w:rPr>
        <w:t>-</w:t>
      </w:r>
      <w:r w:rsidRPr="0016331A">
        <w:rPr>
          <w:sz w:val="24"/>
          <w:szCs w:val="24"/>
        </w:rPr>
        <w:t xml:space="preserve">1308. </w:t>
      </w:r>
    </w:p>
    <w:p w14:paraId="6728E77A" w14:textId="21303762" w:rsidR="0016331A" w:rsidRPr="0016331A" w:rsidRDefault="0016331A" w:rsidP="0016331A">
      <w:pPr>
        <w:pStyle w:val="ListParagraph"/>
        <w:ind w:left="720"/>
        <w:jc w:val="both"/>
        <w:rPr>
          <w:sz w:val="24"/>
          <w:szCs w:val="24"/>
        </w:rPr>
      </w:pPr>
    </w:p>
    <w:p w14:paraId="4741FB83" w14:textId="04B309A8" w:rsidR="001E2AE6" w:rsidRDefault="001E2AE6" w:rsidP="00197643">
      <w:pPr>
        <w:pStyle w:val="ListParagraph"/>
        <w:numPr>
          <w:ilvl w:val="0"/>
          <w:numId w:val="4"/>
        </w:numPr>
        <w:jc w:val="both"/>
        <w:rPr>
          <w:sz w:val="24"/>
          <w:szCs w:val="24"/>
        </w:rPr>
      </w:pPr>
      <w:r w:rsidRPr="001E2AE6">
        <w:rPr>
          <w:sz w:val="24"/>
          <w:szCs w:val="24"/>
        </w:rPr>
        <w:t>Horstrup</w:t>
      </w:r>
      <w:r w:rsidR="0016331A">
        <w:rPr>
          <w:sz w:val="24"/>
          <w:szCs w:val="24"/>
        </w:rPr>
        <w:t xml:space="preserve"> JH</w:t>
      </w:r>
      <w:r w:rsidRPr="001E2AE6">
        <w:rPr>
          <w:sz w:val="24"/>
          <w:szCs w:val="24"/>
        </w:rPr>
        <w:t>, Gehrmann</w:t>
      </w:r>
      <w:r w:rsidR="0016331A">
        <w:rPr>
          <w:sz w:val="24"/>
          <w:szCs w:val="24"/>
        </w:rPr>
        <w:t xml:space="preserve"> M</w:t>
      </w:r>
      <w:r w:rsidRPr="001E2AE6">
        <w:rPr>
          <w:sz w:val="24"/>
          <w:szCs w:val="24"/>
        </w:rPr>
        <w:t>, Schneider</w:t>
      </w:r>
      <w:r w:rsidR="0016331A">
        <w:rPr>
          <w:sz w:val="24"/>
          <w:szCs w:val="24"/>
        </w:rPr>
        <w:t xml:space="preserve"> B, </w:t>
      </w:r>
      <w:proofErr w:type="spellStart"/>
      <w:r w:rsidR="0016331A" w:rsidRPr="0016331A">
        <w:rPr>
          <w:sz w:val="24"/>
          <w:szCs w:val="24"/>
        </w:rPr>
        <w:t>Plöger</w:t>
      </w:r>
      <w:proofErr w:type="spellEnd"/>
      <w:r w:rsidR="0016331A">
        <w:rPr>
          <w:sz w:val="24"/>
          <w:szCs w:val="24"/>
        </w:rPr>
        <w:t xml:space="preserve"> A</w:t>
      </w:r>
      <w:r w:rsidR="0016331A" w:rsidRPr="0016331A">
        <w:rPr>
          <w:sz w:val="24"/>
          <w:szCs w:val="24"/>
        </w:rPr>
        <w:t>, Froese</w:t>
      </w:r>
      <w:r w:rsidR="0016331A">
        <w:rPr>
          <w:sz w:val="24"/>
          <w:szCs w:val="24"/>
        </w:rPr>
        <w:t xml:space="preserve"> P</w:t>
      </w:r>
      <w:r w:rsidR="0016331A" w:rsidRPr="0016331A">
        <w:rPr>
          <w:sz w:val="24"/>
          <w:szCs w:val="24"/>
        </w:rPr>
        <w:t xml:space="preserve">, </w:t>
      </w:r>
      <w:proofErr w:type="spellStart"/>
      <w:r w:rsidR="0016331A" w:rsidRPr="0016331A">
        <w:rPr>
          <w:sz w:val="24"/>
          <w:szCs w:val="24"/>
        </w:rPr>
        <w:t>Schirop</w:t>
      </w:r>
      <w:proofErr w:type="spellEnd"/>
      <w:r w:rsidR="0016331A">
        <w:rPr>
          <w:sz w:val="24"/>
          <w:szCs w:val="24"/>
        </w:rPr>
        <w:t xml:space="preserve"> T</w:t>
      </w:r>
      <w:r w:rsidR="0016331A" w:rsidRPr="0016331A">
        <w:rPr>
          <w:sz w:val="24"/>
          <w:szCs w:val="24"/>
        </w:rPr>
        <w:t>,</w:t>
      </w:r>
      <w:r w:rsidR="0016331A">
        <w:rPr>
          <w:sz w:val="24"/>
          <w:szCs w:val="24"/>
        </w:rPr>
        <w:t xml:space="preserve"> </w:t>
      </w:r>
      <w:r w:rsidRPr="001E2AE6">
        <w:rPr>
          <w:sz w:val="24"/>
          <w:szCs w:val="24"/>
        </w:rPr>
        <w:t>et al.</w:t>
      </w:r>
      <w:r w:rsidRPr="001E2AE6">
        <w:rPr>
          <w:sz w:val="24"/>
          <w:szCs w:val="24"/>
        </w:rPr>
        <w:t xml:space="preserve"> </w:t>
      </w:r>
      <w:r w:rsidRPr="001E2AE6">
        <w:rPr>
          <w:sz w:val="24"/>
          <w:szCs w:val="24"/>
        </w:rPr>
        <w:t>Elevation of serum and urine levels of TIMP-1 and tenascin in patients with renal disease</w:t>
      </w:r>
      <w:r w:rsidR="0016331A">
        <w:rPr>
          <w:sz w:val="24"/>
          <w:szCs w:val="24"/>
        </w:rPr>
        <w:t xml:space="preserve">. </w:t>
      </w:r>
      <w:r w:rsidRPr="001E2AE6">
        <w:rPr>
          <w:sz w:val="24"/>
          <w:szCs w:val="24"/>
        </w:rPr>
        <w:t>Nephrol Dial Transplant</w:t>
      </w:r>
      <w:r w:rsidR="0016331A">
        <w:rPr>
          <w:sz w:val="24"/>
          <w:szCs w:val="24"/>
        </w:rPr>
        <w:t xml:space="preserve">. 2002; </w:t>
      </w:r>
      <w:r w:rsidRPr="001E2AE6">
        <w:rPr>
          <w:sz w:val="24"/>
          <w:szCs w:val="24"/>
        </w:rPr>
        <w:t>17</w:t>
      </w:r>
      <w:r w:rsidR="0016331A">
        <w:rPr>
          <w:sz w:val="24"/>
          <w:szCs w:val="24"/>
        </w:rPr>
        <w:t xml:space="preserve">(6): </w:t>
      </w:r>
      <w:r w:rsidRPr="001E2AE6">
        <w:rPr>
          <w:sz w:val="24"/>
          <w:szCs w:val="24"/>
        </w:rPr>
        <w:t>1005-1013</w:t>
      </w:r>
      <w:r>
        <w:rPr>
          <w:sz w:val="24"/>
          <w:szCs w:val="24"/>
        </w:rPr>
        <w:t>.</w:t>
      </w:r>
    </w:p>
    <w:p w14:paraId="33337063" w14:textId="77777777" w:rsidR="001E2AE6" w:rsidRPr="001E2AE6" w:rsidRDefault="001E2AE6" w:rsidP="001E2AE6">
      <w:pPr>
        <w:pStyle w:val="ListParagraph"/>
        <w:ind w:left="720"/>
        <w:jc w:val="both"/>
        <w:rPr>
          <w:sz w:val="24"/>
          <w:szCs w:val="24"/>
        </w:rPr>
      </w:pPr>
    </w:p>
    <w:p w14:paraId="7769BA58" w14:textId="2EBBBFBC" w:rsidR="001E2AE6" w:rsidRPr="001E2AE6" w:rsidRDefault="001E2AE6" w:rsidP="0063107A">
      <w:pPr>
        <w:pStyle w:val="ListParagraph"/>
        <w:numPr>
          <w:ilvl w:val="0"/>
          <w:numId w:val="4"/>
        </w:numPr>
        <w:jc w:val="both"/>
        <w:rPr>
          <w:sz w:val="24"/>
          <w:szCs w:val="24"/>
        </w:rPr>
      </w:pPr>
      <w:proofErr w:type="spellStart"/>
      <w:r w:rsidRPr="001E2AE6">
        <w:rPr>
          <w:sz w:val="24"/>
          <w:szCs w:val="24"/>
        </w:rPr>
        <w:t>Kamijo</w:t>
      </w:r>
      <w:proofErr w:type="spellEnd"/>
      <w:r w:rsidR="00E3437D">
        <w:rPr>
          <w:sz w:val="24"/>
          <w:szCs w:val="24"/>
        </w:rPr>
        <w:t xml:space="preserve"> A</w:t>
      </w:r>
      <w:r w:rsidRPr="001E2AE6">
        <w:rPr>
          <w:sz w:val="24"/>
          <w:szCs w:val="24"/>
        </w:rPr>
        <w:t>, Sugaya</w:t>
      </w:r>
      <w:r w:rsidR="00E3437D">
        <w:rPr>
          <w:sz w:val="24"/>
          <w:szCs w:val="24"/>
        </w:rPr>
        <w:t xml:space="preserve"> T</w:t>
      </w:r>
      <w:r w:rsidRPr="001E2AE6">
        <w:rPr>
          <w:sz w:val="24"/>
          <w:szCs w:val="24"/>
        </w:rPr>
        <w:t>, Hikawa</w:t>
      </w:r>
      <w:r w:rsidR="00E3437D">
        <w:rPr>
          <w:sz w:val="24"/>
          <w:szCs w:val="24"/>
        </w:rPr>
        <w:t xml:space="preserve"> A, </w:t>
      </w:r>
      <w:r w:rsidR="00E3437D" w:rsidRPr="00E3437D">
        <w:rPr>
          <w:sz w:val="24"/>
          <w:szCs w:val="24"/>
        </w:rPr>
        <w:t>Yamanouchi</w:t>
      </w:r>
      <w:r w:rsidR="00E3437D">
        <w:rPr>
          <w:sz w:val="24"/>
          <w:szCs w:val="24"/>
        </w:rPr>
        <w:t xml:space="preserve"> M</w:t>
      </w:r>
      <w:r w:rsidR="00E3437D" w:rsidRPr="00E3437D">
        <w:rPr>
          <w:sz w:val="24"/>
          <w:szCs w:val="24"/>
        </w:rPr>
        <w:t>, Hirata</w:t>
      </w:r>
      <w:r w:rsidR="00E3437D">
        <w:rPr>
          <w:sz w:val="24"/>
          <w:szCs w:val="24"/>
        </w:rPr>
        <w:t xml:space="preserve"> Y</w:t>
      </w:r>
      <w:r w:rsidR="00E3437D" w:rsidRPr="00E3437D">
        <w:rPr>
          <w:sz w:val="24"/>
          <w:szCs w:val="24"/>
        </w:rPr>
        <w:t xml:space="preserve">, </w:t>
      </w:r>
      <w:proofErr w:type="spellStart"/>
      <w:r w:rsidR="00E3437D" w:rsidRPr="00E3437D">
        <w:rPr>
          <w:sz w:val="24"/>
          <w:szCs w:val="24"/>
        </w:rPr>
        <w:t>Ishimitsu</w:t>
      </w:r>
      <w:proofErr w:type="spellEnd"/>
      <w:r w:rsidR="00E3437D">
        <w:rPr>
          <w:sz w:val="24"/>
          <w:szCs w:val="24"/>
        </w:rPr>
        <w:t xml:space="preserve"> T, </w:t>
      </w:r>
      <w:r w:rsidRPr="001E2AE6">
        <w:rPr>
          <w:sz w:val="24"/>
          <w:szCs w:val="24"/>
        </w:rPr>
        <w:t>et al.</w:t>
      </w:r>
      <w:r w:rsidRPr="001E2AE6">
        <w:rPr>
          <w:sz w:val="24"/>
          <w:szCs w:val="24"/>
        </w:rPr>
        <w:t xml:space="preserve"> </w:t>
      </w:r>
      <w:r w:rsidRPr="001E2AE6">
        <w:rPr>
          <w:sz w:val="24"/>
          <w:szCs w:val="24"/>
        </w:rPr>
        <w:t xml:space="preserve">Clinical evaluation of urinary excretion of liver-type fatty acid-binding protein as a marker for the monitoring of chronic kidney disease: a </w:t>
      </w:r>
      <w:proofErr w:type="spellStart"/>
      <w:r w:rsidRPr="001E2AE6">
        <w:rPr>
          <w:sz w:val="24"/>
          <w:szCs w:val="24"/>
        </w:rPr>
        <w:t>multicenter</w:t>
      </w:r>
      <w:proofErr w:type="spellEnd"/>
      <w:r w:rsidRPr="001E2AE6">
        <w:rPr>
          <w:sz w:val="24"/>
          <w:szCs w:val="24"/>
        </w:rPr>
        <w:t xml:space="preserve"> trial</w:t>
      </w:r>
      <w:r w:rsidRPr="001E2AE6">
        <w:rPr>
          <w:sz w:val="24"/>
          <w:szCs w:val="24"/>
        </w:rPr>
        <w:t>.</w:t>
      </w:r>
      <w:r>
        <w:rPr>
          <w:sz w:val="24"/>
          <w:szCs w:val="24"/>
        </w:rPr>
        <w:t xml:space="preserve"> </w:t>
      </w:r>
      <w:r w:rsidRPr="001E2AE6">
        <w:rPr>
          <w:sz w:val="24"/>
          <w:szCs w:val="24"/>
        </w:rPr>
        <w:t>J Lab Clin Med</w:t>
      </w:r>
      <w:r w:rsidR="00E3437D">
        <w:rPr>
          <w:sz w:val="24"/>
          <w:szCs w:val="24"/>
        </w:rPr>
        <w:t>. 2005;</w:t>
      </w:r>
      <w:r w:rsidRPr="001E2AE6">
        <w:rPr>
          <w:sz w:val="24"/>
          <w:szCs w:val="24"/>
        </w:rPr>
        <w:t xml:space="preserve"> 145</w:t>
      </w:r>
      <w:r w:rsidR="00E3437D">
        <w:rPr>
          <w:sz w:val="24"/>
          <w:szCs w:val="24"/>
        </w:rPr>
        <w:t>(3):</w:t>
      </w:r>
      <w:r w:rsidRPr="001E2AE6">
        <w:rPr>
          <w:sz w:val="24"/>
          <w:szCs w:val="24"/>
        </w:rPr>
        <w:t>125-133</w:t>
      </w:r>
      <w:r w:rsidR="00E3437D">
        <w:rPr>
          <w:sz w:val="24"/>
          <w:szCs w:val="24"/>
        </w:rPr>
        <w:t>.</w:t>
      </w:r>
    </w:p>
    <w:p w14:paraId="118B0084" w14:textId="77777777" w:rsidR="001E2AE6" w:rsidRDefault="001E2AE6" w:rsidP="001E2AE6">
      <w:pPr>
        <w:pStyle w:val="ListParagraph"/>
        <w:ind w:left="720"/>
        <w:jc w:val="both"/>
        <w:rPr>
          <w:sz w:val="24"/>
          <w:szCs w:val="24"/>
        </w:rPr>
      </w:pPr>
    </w:p>
    <w:p w14:paraId="0BFC0DD8" w14:textId="66078EB4" w:rsidR="001E2AE6" w:rsidRPr="001E2AE6" w:rsidRDefault="001E2AE6" w:rsidP="00CD2E26">
      <w:pPr>
        <w:pStyle w:val="ListParagraph"/>
        <w:numPr>
          <w:ilvl w:val="0"/>
          <w:numId w:val="4"/>
        </w:numPr>
        <w:jc w:val="both"/>
        <w:rPr>
          <w:sz w:val="24"/>
          <w:szCs w:val="24"/>
        </w:rPr>
      </w:pPr>
      <w:r w:rsidRPr="001E2AE6">
        <w:rPr>
          <w:sz w:val="24"/>
          <w:szCs w:val="24"/>
        </w:rPr>
        <w:t>Lee</w:t>
      </w:r>
      <w:r w:rsidR="00D53D4F">
        <w:rPr>
          <w:sz w:val="24"/>
          <w:szCs w:val="24"/>
        </w:rPr>
        <w:t xml:space="preserve"> DH</w:t>
      </w:r>
      <w:r w:rsidRPr="001E2AE6">
        <w:rPr>
          <w:sz w:val="24"/>
          <w:szCs w:val="24"/>
        </w:rPr>
        <w:t xml:space="preserve">, Jacobs </w:t>
      </w:r>
      <w:r w:rsidR="00D53D4F">
        <w:rPr>
          <w:sz w:val="24"/>
          <w:szCs w:val="24"/>
        </w:rPr>
        <w:t xml:space="preserve">DR, </w:t>
      </w:r>
      <w:r w:rsidRPr="001E2AE6">
        <w:rPr>
          <w:sz w:val="24"/>
          <w:szCs w:val="24"/>
        </w:rPr>
        <w:t>Gross</w:t>
      </w:r>
      <w:r w:rsidR="00D53D4F">
        <w:rPr>
          <w:sz w:val="24"/>
          <w:szCs w:val="24"/>
        </w:rPr>
        <w:t xml:space="preserve"> M</w:t>
      </w:r>
      <w:r w:rsidRPr="001E2AE6">
        <w:rPr>
          <w:sz w:val="24"/>
          <w:szCs w:val="24"/>
        </w:rPr>
        <w:t>,</w:t>
      </w:r>
      <w:r w:rsidR="00D53D4F">
        <w:rPr>
          <w:sz w:val="24"/>
          <w:szCs w:val="24"/>
        </w:rPr>
        <w:t xml:space="preserve"> </w:t>
      </w:r>
      <w:r w:rsidR="00D53D4F" w:rsidRPr="00D53D4F">
        <w:rPr>
          <w:sz w:val="24"/>
          <w:szCs w:val="24"/>
        </w:rPr>
        <w:t>Steffes</w:t>
      </w:r>
      <w:r w:rsidRPr="001E2AE6">
        <w:rPr>
          <w:sz w:val="24"/>
          <w:szCs w:val="24"/>
        </w:rPr>
        <w:t xml:space="preserve"> </w:t>
      </w:r>
      <w:r w:rsidR="00D53D4F">
        <w:rPr>
          <w:sz w:val="24"/>
          <w:szCs w:val="24"/>
        </w:rPr>
        <w:t>M</w:t>
      </w:r>
      <w:r w:rsidRPr="001E2AE6">
        <w:rPr>
          <w:sz w:val="24"/>
          <w:szCs w:val="24"/>
        </w:rPr>
        <w:t>.</w:t>
      </w:r>
      <w:r w:rsidRPr="001E2AE6">
        <w:rPr>
          <w:sz w:val="24"/>
          <w:szCs w:val="24"/>
        </w:rPr>
        <w:t xml:space="preserve"> </w:t>
      </w:r>
      <w:r w:rsidRPr="001E2AE6">
        <w:rPr>
          <w:sz w:val="24"/>
          <w:szCs w:val="24"/>
        </w:rPr>
        <w:t>Serum gamma-</w:t>
      </w:r>
      <w:proofErr w:type="spellStart"/>
      <w:r w:rsidRPr="001E2AE6">
        <w:rPr>
          <w:sz w:val="24"/>
          <w:szCs w:val="24"/>
        </w:rPr>
        <w:t>glutamyltransferase</w:t>
      </w:r>
      <w:proofErr w:type="spellEnd"/>
      <w:r w:rsidRPr="001E2AE6">
        <w:rPr>
          <w:sz w:val="24"/>
          <w:szCs w:val="24"/>
        </w:rPr>
        <w:t xml:space="preserve"> was differently associated with microalbuminuria by status of hypertension or diabetes: the Coronary Artery Risk Development in Young Adults (CARDIA) Study</w:t>
      </w:r>
      <w:r w:rsidRPr="001E2AE6">
        <w:rPr>
          <w:sz w:val="24"/>
          <w:szCs w:val="24"/>
        </w:rPr>
        <w:t xml:space="preserve">. </w:t>
      </w:r>
      <w:r w:rsidRPr="001E2AE6">
        <w:rPr>
          <w:sz w:val="24"/>
          <w:szCs w:val="24"/>
        </w:rPr>
        <w:t>Clin Chem</w:t>
      </w:r>
      <w:r w:rsidR="00D53D4F">
        <w:rPr>
          <w:sz w:val="24"/>
          <w:szCs w:val="24"/>
        </w:rPr>
        <w:t xml:space="preserve">. 2005; 51(7): </w:t>
      </w:r>
      <w:r w:rsidRPr="001E2AE6">
        <w:rPr>
          <w:sz w:val="24"/>
          <w:szCs w:val="24"/>
        </w:rPr>
        <w:t>1185-1191</w:t>
      </w:r>
      <w:r>
        <w:rPr>
          <w:sz w:val="24"/>
          <w:szCs w:val="24"/>
        </w:rPr>
        <w:t>.</w:t>
      </w:r>
    </w:p>
    <w:p w14:paraId="3D017098" w14:textId="77777777" w:rsidR="001E2AE6" w:rsidRDefault="001E2AE6" w:rsidP="001E2AE6">
      <w:pPr>
        <w:pStyle w:val="ListParagraph"/>
        <w:ind w:left="720"/>
        <w:jc w:val="both"/>
        <w:rPr>
          <w:sz w:val="24"/>
          <w:szCs w:val="24"/>
        </w:rPr>
      </w:pPr>
    </w:p>
    <w:p w14:paraId="674BE345" w14:textId="25C68D82" w:rsidR="001E2AE6" w:rsidRPr="001E2AE6" w:rsidRDefault="001E2AE6" w:rsidP="002B4E73">
      <w:pPr>
        <w:pStyle w:val="ListParagraph"/>
        <w:numPr>
          <w:ilvl w:val="0"/>
          <w:numId w:val="4"/>
        </w:numPr>
        <w:jc w:val="both"/>
        <w:rPr>
          <w:sz w:val="24"/>
          <w:szCs w:val="24"/>
        </w:rPr>
      </w:pPr>
      <w:r w:rsidRPr="001E2AE6">
        <w:rPr>
          <w:sz w:val="24"/>
          <w:szCs w:val="24"/>
        </w:rPr>
        <w:t>Ravani</w:t>
      </w:r>
      <w:r w:rsidR="005160A0">
        <w:rPr>
          <w:sz w:val="24"/>
          <w:szCs w:val="24"/>
        </w:rPr>
        <w:t xml:space="preserve"> P</w:t>
      </w:r>
      <w:r w:rsidRPr="001E2AE6">
        <w:rPr>
          <w:sz w:val="24"/>
          <w:szCs w:val="24"/>
        </w:rPr>
        <w:t xml:space="preserve">, </w:t>
      </w:r>
      <w:proofErr w:type="spellStart"/>
      <w:r w:rsidRPr="001E2AE6">
        <w:rPr>
          <w:sz w:val="24"/>
          <w:szCs w:val="24"/>
        </w:rPr>
        <w:t>Tripepi</w:t>
      </w:r>
      <w:proofErr w:type="spellEnd"/>
      <w:r w:rsidR="005160A0">
        <w:rPr>
          <w:sz w:val="24"/>
          <w:szCs w:val="24"/>
        </w:rPr>
        <w:t xml:space="preserve"> G</w:t>
      </w:r>
      <w:r w:rsidRPr="001E2AE6">
        <w:rPr>
          <w:sz w:val="24"/>
          <w:szCs w:val="24"/>
        </w:rPr>
        <w:t xml:space="preserve">, </w:t>
      </w:r>
      <w:proofErr w:type="spellStart"/>
      <w:r w:rsidRPr="001E2AE6">
        <w:rPr>
          <w:sz w:val="24"/>
          <w:szCs w:val="24"/>
        </w:rPr>
        <w:t>Malberti</w:t>
      </w:r>
      <w:proofErr w:type="spellEnd"/>
      <w:r w:rsidR="005160A0">
        <w:rPr>
          <w:sz w:val="24"/>
          <w:szCs w:val="24"/>
        </w:rPr>
        <w:t xml:space="preserve"> F. </w:t>
      </w:r>
      <w:r w:rsidR="005160A0" w:rsidRPr="005160A0">
        <w:rPr>
          <w:sz w:val="24"/>
          <w:szCs w:val="24"/>
        </w:rPr>
        <w:t>Testa</w:t>
      </w:r>
      <w:r w:rsidR="005160A0">
        <w:rPr>
          <w:sz w:val="24"/>
          <w:szCs w:val="24"/>
        </w:rPr>
        <w:t xml:space="preserve"> S</w:t>
      </w:r>
      <w:r w:rsidR="005160A0" w:rsidRPr="005160A0">
        <w:rPr>
          <w:sz w:val="24"/>
          <w:szCs w:val="24"/>
        </w:rPr>
        <w:t xml:space="preserve">, </w:t>
      </w:r>
      <w:proofErr w:type="spellStart"/>
      <w:r w:rsidR="005160A0" w:rsidRPr="005160A0">
        <w:rPr>
          <w:sz w:val="24"/>
          <w:szCs w:val="24"/>
        </w:rPr>
        <w:t>Mallamaci</w:t>
      </w:r>
      <w:proofErr w:type="spellEnd"/>
      <w:r w:rsidR="005160A0">
        <w:rPr>
          <w:sz w:val="24"/>
          <w:szCs w:val="24"/>
        </w:rPr>
        <w:t xml:space="preserve"> F</w:t>
      </w:r>
      <w:r w:rsidR="005160A0" w:rsidRPr="005160A0">
        <w:rPr>
          <w:sz w:val="24"/>
          <w:szCs w:val="24"/>
        </w:rPr>
        <w:t>, Zoccali</w:t>
      </w:r>
      <w:r w:rsidR="005160A0">
        <w:rPr>
          <w:sz w:val="24"/>
          <w:szCs w:val="24"/>
        </w:rPr>
        <w:t xml:space="preserve"> C</w:t>
      </w:r>
      <w:r w:rsidRPr="001E2AE6">
        <w:rPr>
          <w:sz w:val="24"/>
          <w:szCs w:val="24"/>
        </w:rPr>
        <w:t>.</w:t>
      </w:r>
      <w:r w:rsidRPr="001E2AE6">
        <w:rPr>
          <w:sz w:val="24"/>
          <w:szCs w:val="24"/>
        </w:rPr>
        <w:t xml:space="preserve"> </w:t>
      </w:r>
      <w:r w:rsidRPr="001E2AE6">
        <w:rPr>
          <w:sz w:val="24"/>
          <w:szCs w:val="24"/>
        </w:rPr>
        <w:t xml:space="preserve">Asymmetrical dimethylarginine predicts progression to dialysis and death in patients with chronic kidney disease: a competing risks </w:t>
      </w:r>
      <w:proofErr w:type="spellStart"/>
      <w:r w:rsidRPr="001E2AE6">
        <w:rPr>
          <w:sz w:val="24"/>
          <w:szCs w:val="24"/>
        </w:rPr>
        <w:t>modeling</w:t>
      </w:r>
      <w:proofErr w:type="spellEnd"/>
      <w:r w:rsidRPr="001E2AE6">
        <w:rPr>
          <w:sz w:val="24"/>
          <w:szCs w:val="24"/>
        </w:rPr>
        <w:t xml:space="preserve"> approach</w:t>
      </w:r>
      <w:r>
        <w:rPr>
          <w:sz w:val="24"/>
          <w:szCs w:val="24"/>
        </w:rPr>
        <w:t xml:space="preserve">. </w:t>
      </w:r>
      <w:r w:rsidRPr="001E2AE6">
        <w:rPr>
          <w:sz w:val="24"/>
          <w:szCs w:val="24"/>
        </w:rPr>
        <w:t>J Am Soc Nephrol</w:t>
      </w:r>
      <w:r w:rsidR="003C298C">
        <w:rPr>
          <w:sz w:val="24"/>
          <w:szCs w:val="24"/>
        </w:rPr>
        <w:t xml:space="preserve">. 2005; </w:t>
      </w:r>
      <w:r w:rsidRPr="001E2AE6">
        <w:rPr>
          <w:sz w:val="24"/>
          <w:szCs w:val="24"/>
        </w:rPr>
        <w:t xml:space="preserve">16 </w:t>
      </w:r>
      <w:r w:rsidR="003C298C">
        <w:rPr>
          <w:sz w:val="24"/>
          <w:szCs w:val="24"/>
        </w:rPr>
        <w:t xml:space="preserve">(8): </w:t>
      </w:r>
      <w:r w:rsidRPr="001E2AE6">
        <w:rPr>
          <w:sz w:val="24"/>
          <w:szCs w:val="24"/>
        </w:rPr>
        <w:t>2449-2455</w:t>
      </w:r>
      <w:r>
        <w:rPr>
          <w:sz w:val="24"/>
          <w:szCs w:val="24"/>
        </w:rPr>
        <w:t>.</w:t>
      </w:r>
    </w:p>
    <w:p w14:paraId="2E5CEF10" w14:textId="77777777" w:rsidR="001E2AE6" w:rsidRDefault="001E2AE6" w:rsidP="001E2AE6">
      <w:pPr>
        <w:pStyle w:val="ListParagraph"/>
        <w:ind w:left="720"/>
        <w:jc w:val="both"/>
        <w:rPr>
          <w:sz w:val="24"/>
          <w:szCs w:val="24"/>
        </w:rPr>
      </w:pPr>
    </w:p>
    <w:p w14:paraId="5F17F182" w14:textId="6729AAF5" w:rsidR="001E2AE6" w:rsidRPr="001E375B" w:rsidRDefault="001E375B" w:rsidP="00DB68F6">
      <w:pPr>
        <w:pStyle w:val="ListParagraph"/>
        <w:numPr>
          <w:ilvl w:val="0"/>
          <w:numId w:val="4"/>
        </w:numPr>
        <w:jc w:val="both"/>
        <w:rPr>
          <w:sz w:val="24"/>
          <w:szCs w:val="24"/>
        </w:rPr>
      </w:pPr>
      <w:r w:rsidRPr="001E375B">
        <w:rPr>
          <w:sz w:val="24"/>
          <w:szCs w:val="24"/>
        </w:rPr>
        <w:t>Hartmann C, Mueller W, Lass U, Kamel-Reid S, von Deimling A.</w:t>
      </w:r>
      <w:r w:rsidRPr="001E375B">
        <w:rPr>
          <w:sz w:val="24"/>
          <w:szCs w:val="24"/>
        </w:rPr>
        <w:t xml:space="preserve"> </w:t>
      </w:r>
      <w:r w:rsidRPr="001E375B">
        <w:rPr>
          <w:sz w:val="24"/>
          <w:szCs w:val="24"/>
        </w:rPr>
        <w:t xml:space="preserve">Molecular genetic analysis of </w:t>
      </w:r>
      <w:proofErr w:type="spellStart"/>
      <w:r w:rsidRPr="001E375B">
        <w:rPr>
          <w:sz w:val="24"/>
          <w:szCs w:val="24"/>
        </w:rPr>
        <w:t>oligodendroglial</w:t>
      </w:r>
      <w:proofErr w:type="spellEnd"/>
      <w:r w:rsidRPr="001E375B">
        <w:rPr>
          <w:sz w:val="24"/>
          <w:szCs w:val="24"/>
        </w:rPr>
        <w:t xml:space="preserve"> </w:t>
      </w:r>
      <w:proofErr w:type="spellStart"/>
      <w:r w:rsidRPr="001E375B">
        <w:rPr>
          <w:sz w:val="24"/>
          <w:szCs w:val="24"/>
        </w:rPr>
        <w:t>tumors</w:t>
      </w:r>
      <w:proofErr w:type="spellEnd"/>
      <w:r w:rsidRPr="001E375B">
        <w:rPr>
          <w:sz w:val="24"/>
          <w:szCs w:val="24"/>
        </w:rPr>
        <w:t xml:space="preserve">. J </w:t>
      </w:r>
      <w:proofErr w:type="spellStart"/>
      <w:r w:rsidRPr="001E375B">
        <w:rPr>
          <w:sz w:val="24"/>
          <w:szCs w:val="24"/>
        </w:rPr>
        <w:t>Neuropathol</w:t>
      </w:r>
      <w:proofErr w:type="spellEnd"/>
      <w:r>
        <w:rPr>
          <w:sz w:val="24"/>
          <w:szCs w:val="24"/>
        </w:rPr>
        <w:t xml:space="preserve">. </w:t>
      </w:r>
      <w:r w:rsidRPr="001E375B">
        <w:rPr>
          <w:sz w:val="24"/>
          <w:szCs w:val="24"/>
        </w:rPr>
        <w:t>Exp Neurol</w:t>
      </w:r>
      <w:r w:rsidR="00180A44">
        <w:rPr>
          <w:sz w:val="24"/>
          <w:szCs w:val="24"/>
        </w:rPr>
        <w:t xml:space="preserve">. </w:t>
      </w:r>
      <w:r w:rsidRPr="001E375B">
        <w:rPr>
          <w:sz w:val="24"/>
          <w:szCs w:val="24"/>
        </w:rPr>
        <w:t>2005;64(1):4</w:t>
      </w:r>
      <w:r w:rsidR="00180A44">
        <w:rPr>
          <w:sz w:val="24"/>
          <w:szCs w:val="24"/>
        </w:rPr>
        <w:t>-</w:t>
      </w:r>
      <w:r w:rsidRPr="001E375B">
        <w:rPr>
          <w:sz w:val="24"/>
          <w:szCs w:val="24"/>
        </w:rPr>
        <w:t>10.</w:t>
      </w:r>
    </w:p>
    <w:p w14:paraId="30CBCB18" w14:textId="77777777" w:rsidR="001E375B" w:rsidRDefault="001E375B" w:rsidP="001E375B">
      <w:pPr>
        <w:pStyle w:val="ListParagraph"/>
        <w:ind w:left="720"/>
        <w:jc w:val="both"/>
        <w:rPr>
          <w:sz w:val="24"/>
          <w:szCs w:val="24"/>
        </w:rPr>
      </w:pPr>
    </w:p>
    <w:p w14:paraId="53DBE93F" w14:textId="2A36D9D0" w:rsidR="001E2AE6" w:rsidRPr="00E178BD" w:rsidRDefault="00E178BD" w:rsidP="00F42A40">
      <w:pPr>
        <w:pStyle w:val="ListParagraph"/>
        <w:numPr>
          <w:ilvl w:val="0"/>
          <w:numId w:val="4"/>
        </w:numPr>
        <w:jc w:val="both"/>
        <w:rPr>
          <w:sz w:val="24"/>
          <w:szCs w:val="24"/>
        </w:rPr>
      </w:pPr>
      <w:r w:rsidRPr="00E178BD">
        <w:rPr>
          <w:sz w:val="24"/>
          <w:szCs w:val="24"/>
        </w:rPr>
        <w:t>Wang Z, Cummins JM, Shen D, et al. Three classes of genes</w:t>
      </w:r>
      <w:r w:rsidRPr="00E178BD">
        <w:rPr>
          <w:sz w:val="24"/>
          <w:szCs w:val="24"/>
        </w:rPr>
        <w:t xml:space="preserve"> </w:t>
      </w:r>
      <w:r w:rsidRPr="00E178BD">
        <w:rPr>
          <w:sz w:val="24"/>
          <w:szCs w:val="24"/>
        </w:rPr>
        <w:t>mutated in colorectal cancers with chromosomal instability. Cancer</w:t>
      </w:r>
      <w:r>
        <w:rPr>
          <w:sz w:val="24"/>
          <w:szCs w:val="24"/>
        </w:rPr>
        <w:t xml:space="preserve"> </w:t>
      </w:r>
      <w:r w:rsidRPr="00E178BD">
        <w:rPr>
          <w:sz w:val="24"/>
          <w:szCs w:val="24"/>
        </w:rPr>
        <w:t>Res 2004;</w:t>
      </w:r>
      <w:r w:rsidR="00D122B1">
        <w:rPr>
          <w:sz w:val="24"/>
          <w:szCs w:val="24"/>
        </w:rPr>
        <w:t xml:space="preserve"> </w:t>
      </w:r>
      <w:r w:rsidRPr="00E178BD">
        <w:rPr>
          <w:sz w:val="24"/>
          <w:szCs w:val="24"/>
        </w:rPr>
        <w:t>64(9):2998–3001.</w:t>
      </w:r>
    </w:p>
    <w:p w14:paraId="2D96FC6D" w14:textId="77777777" w:rsidR="00E178BD" w:rsidRDefault="00E178BD" w:rsidP="00E178BD">
      <w:pPr>
        <w:pStyle w:val="ListParagraph"/>
        <w:ind w:left="720"/>
        <w:jc w:val="both"/>
        <w:rPr>
          <w:sz w:val="24"/>
          <w:szCs w:val="24"/>
        </w:rPr>
      </w:pPr>
    </w:p>
    <w:p w14:paraId="623BB6E8" w14:textId="269EA842" w:rsidR="001E2AE6" w:rsidRPr="00E178BD" w:rsidRDefault="00E178BD" w:rsidP="00E012AE">
      <w:pPr>
        <w:pStyle w:val="ListParagraph"/>
        <w:numPr>
          <w:ilvl w:val="0"/>
          <w:numId w:val="4"/>
        </w:numPr>
        <w:jc w:val="both"/>
        <w:rPr>
          <w:sz w:val="24"/>
          <w:szCs w:val="24"/>
        </w:rPr>
      </w:pPr>
      <w:proofErr w:type="spellStart"/>
      <w:r w:rsidRPr="00E178BD">
        <w:rPr>
          <w:sz w:val="24"/>
          <w:szCs w:val="24"/>
        </w:rPr>
        <w:t>ArendsJ</w:t>
      </w:r>
      <w:proofErr w:type="spellEnd"/>
      <w:r w:rsidR="000B07E4">
        <w:rPr>
          <w:sz w:val="24"/>
          <w:szCs w:val="24"/>
        </w:rPr>
        <w:t xml:space="preserve">, </w:t>
      </w:r>
      <w:proofErr w:type="spellStart"/>
      <w:proofErr w:type="gramStart"/>
      <w:r w:rsidRPr="00E178BD">
        <w:rPr>
          <w:sz w:val="24"/>
          <w:szCs w:val="24"/>
        </w:rPr>
        <w:t>W.Molecular</w:t>
      </w:r>
      <w:proofErr w:type="spellEnd"/>
      <w:proofErr w:type="gramEnd"/>
      <w:r w:rsidRPr="00E178BD">
        <w:rPr>
          <w:sz w:val="24"/>
          <w:szCs w:val="24"/>
        </w:rPr>
        <w:t xml:space="preserve"> interactions in </w:t>
      </w:r>
      <w:proofErr w:type="spellStart"/>
      <w:r w:rsidRPr="00E178BD">
        <w:rPr>
          <w:sz w:val="24"/>
          <w:szCs w:val="24"/>
        </w:rPr>
        <w:t>theVogelstein</w:t>
      </w:r>
      <w:proofErr w:type="spellEnd"/>
      <w:r w:rsidRPr="00E178BD">
        <w:rPr>
          <w:sz w:val="24"/>
          <w:szCs w:val="24"/>
        </w:rPr>
        <w:t xml:space="preserve"> model of colorectal</w:t>
      </w:r>
      <w:r>
        <w:rPr>
          <w:sz w:val="24"/>
          <w:szCs w:val="24"/>
        </w:rPr>
        <w:t xml:space="preserve"> </w:t>
      </w:r>
      <w:r w:rsidRPr="00E178BD">
        <w:rPr>
          <w:sz w:val="24"/>
          <w:szCs w:val="24"/>
        </w:rPr>
        <w:t xml:space="preserve">carcinoma. J </w:t>
      </w:r>
      <w:proofErr w:type="spellStart"/>
      <w:r w:rsidRPr="00E178BD">
        <w:rPr>
          <w:sz w:val="24"/>
          <w:szCs w:val="24"/>
        </w:rPr>
        <w:t>Pathol</w:t>
      </w:r>
      <w:proofErr w:type="spellEnd"/>
      <w:r w:rsidRPr="00E178BD">
        <w:rPr>
          <w:sz w:val="24"/>
          <w:szCs w:val="24"/>
        </w:rPr>
        <w:t xml:space="preserve"> 2000;190(4):412–6.</w:t>
      </w:r>
    </w:p>
    <w:p w14:paraId="7B90CCE6" w14:textId="77777777" w:rsidR="00E178BD" w:rsidRDefault="00E178BD" w:rsidP="00E178BD">
      <w:pPr>
        <w:pStyle w:val="ListParagraph"/>
        <w:ind w:left="720"/>
        <w:jc w:val="both"/>
        <w:rPr>
          <w:sz w:val="24"/>
          <w:szCs w:val="24"/>
        </w:rPr>
      </w:pPr>
    </w:p>
    <w:p w14:paraId="31742CEC" w14:textId="2338AB46" w:rsidR="001E2AE6" w:rsidRPr="00F86564" w:rsidRDefault="00F86564" w:rsidP="00A956EF">
      <w:pPr>
        <w:pStyle w:val="ListParagraph"/>
        <w:numPr>
          <w:ilvl w:val="0"/>
          <w:numId w:val="4"/>
        </w:numPr>
        <w:jc w:val="both"/>
        <w:rPr>
          <w:sz w:val="24"/>
          <w:szCs w:val="24"/>
        </w:rPr>
      </w:pPr>
      <w:r w:rsidRPr="00F86564">
        <w:rPr>
          <w:sz w:val="24"/>
          <w:szCs w:val="24"/>
        </w:rPr>
        <w:t xml:space="preserve">Yousef GM, </w:t>
      </w:r>
      <w:proofErr w:type="spellStart"/>
      <w:r w:rsidRPr="00F86564">
        <w:rPr>
          <w:sz w:val="24"/>
          <w:szCs w:val="24"/>
        </w:rPr>
        <w:t>Obiezu</w:t>
      </w:r>
      <w:proofErr w:type="spellEnd"/>
      <w:r w:rsidRPr="00F86564">
        <w:rPr>
          <w:sz w:val="24"/>
          <w:szCs w:val="24"/>
        </w:rPr>
        <w:t xml:space="preserve"> CV, Luo LY,</w:t>
      </w:r>
      <w:r w:rsidR="00D122B1">
        <w:rPr>
          <w:sz w:val="24"/>
          <w:szCs w:val="24"/>
        </w:rPr>
        <w:t xml:space="preserve"> </w:t>
      </w:r>
      <w:proofErr w:type="spellStart"/>
      <w:r w:rsidR="00D122B1" w:rsidRPr="00D122B1">
        <w:rPr>
          <w:sz w:val="24"/>
          <w:szCs w:val="24"/>
        </w:rPr>
        <w:t>Magklara</w:t>
      </w:r>
      <w:proofErr w:type="spellEnd"/>
      <w:r w:rsidR="00D122B1">
        <w:rPr>
          <w:sz w:val="24"/>
          <w:szCs w:val="24"/>
        </w:rPr>
        <w:t xml:space="preserve"> A</w:t>
      </w:r>
      <w:r w:rsidR="00D122B1" w:rsidRPr="00D122B1">
        <w:rPr>
          <w:sz w:val="24"/>
          <w:szCs w:val="24"/>
        </w:rPr>
        <w:t xml:space="preserve">, </w:t>
      </w:r>
      <w:proofErr w:type="spellStart"/>
      <w:r w:rsidR="00D122B1" w:rsidRPr="00D122B1">
        <w:rPr>
          <w:sz w:val="24"/>
          <w:szCs w:val="24"/>
        </w:rPr>
        <w:t>Borgoño</w:t>
      </w:r>
      <w:proofErr w:type="spellEnd"/>
      <w:r w:rsidR="00D122B1">
        <w:rPr>
          <w:sz w:val="24"/>
          <w:szCs w:val="24"/>
        </w:rPr>
        <w:t xml:space="preserve"> CA</w:t>
      </w:r>
      <w:r w:rsidR="00D122B1" w:rsidRPr="00D122B1">
        <w:rPr>
          <w:sz w:val="24"/>
          <w:szCs w:val="24"/>
        </w:rPr>
        <w:t>, Kishi</w:t>
      </w:r>
      <w:r w:rsidRPr="00F86564">
        <w:rPr>
          <w:sz w:val="24"/>
          <w:szCs w:val="24"/>
        </w:rPr>
        <w:t xml:space="preserve"> </w:t>
      </w:r>
      <w:r w:rsidR="00D122B1">
        <w:rPr>
          <w:sz w:val="24"/>
          <w:szCs w:val="24"/>
        </w:rPr>
        <w:t xml:space="preserve">T, </w:t>
      </w:r>
      <w:r w:rsidRPr="00F86564">
        <w:rPr>
          <w:sz w:val="24"/>
          <w:szCs w:val="24"/>
        </w:rPr>
        <w:t>et al. Human tissue kallikreins: from</w:t>
      </w:r>
      <w:r w:rsidRPr="00F86564">
        <w:rPr>
          <w:sz w:val="24"/>
          <w:szCs w:val="24"/>
        </w:rPr>
        <w:t xml:space="preserve"> </w:t>
      </w:r>
      <w:r w:rsidRPr="00F86564">
        <w:rPr>
          <w:sz w:val="24"/>
          <w:szCs w:val="24"/>
        </w:rPr>
        <w:t>gene structure to function and clinical applications. Adv Clin Chem</w:t>
      </w:r>
      <w:r>
        <w:rPr>
          <w:sz w:val="24"/>
          <w:szCs w:val="24"/>
        </w:rPr>
        <w:t xml:space="preserve">. </w:t>
      </w:r>
      <w:r w:rsidRPr="00F86564">
        <w:rPr>
          <w:sz w:val="24"/>
          <w:szCs w:val="24"/>
        </w:rPr>
        <w:t>2005;</w:t>
      </w:r>
      <w:r w:rsidR="00D122B1">
        <w:rPr>
          <w:sz w:val="24"/>
          <w:szCs w:val="24"/>
        </w:rPr>
        <w:t xml:space="preserve"> </w:t>
      </w:r>
      <w:r w:rsidRPr="00F86564">
        <w:rPr>
          <w:sz w:val="24"/>
          <w:szCs w:val="24"/>
        </w:rPr>
        <w:t>39:11</w:t>
      </w:r>
      <w:r w:rsidR="00D122B1">
        <w:rPr>
          <w:sz w:val="24"/>
          <w:szCs w:val="24"/>
        </w:rPr>
        <w:t>-</w:t>
      </w:r>
      <w:r w:rsidRPr="00F86564">
        <w:rPr>
          <w:sz w:val="24"/>
          <w:szCs w:val="24"/>
        </w:rPr>
        <w:t>79.</w:t>
      </w:r>
    </w:p>
    <w:p w14:paraId="03F5B5B8" w14:textId="77777777" w:rsidR="00F86564" w:rsidRDefault="00F86564" w:rsidP="00F86564">
      <w:pPr>
        <w:pStyle w:val="ListParagraph"/>
        <w:ind w:left="720"/>
        <w:jc w:val="both"/>
        <w:rPr>
          <w:sz w:val="24"/>
          <w:szCs w:val="24"/>
        </w:rPr>
      </w:pPr>
    </w:p>
    <w:p w14:paraId="25F98738" w14:textId="42D06515" w:rsidR="006A2AA2" w:rsidRPr="00F86564" w:rsidRDefault="00F86564" w:rsidP="00E95E67">
      <w:pPr>
        <w:pStyle w:val="ListParagraph"/>
        <w:numPr>
          <w:ilvl w:val="0"/>
          <w:numId w:val="4"/>
        </w:numPr>
        <w:jc w:val="both"/>
        <w:rPr>
          <w:sz w:val="24"/>
          <w:szCs w:val="24"/>
        </w:rPr>
      </w:pPr>
      <w:proofErr w:type="spellStart"/>
      <w:r w:rsidRPr="00F86564">
        <w:rPr>
          <w:sz w:val="24"/>
          <w:szCs w:val="24"/>
        </w:rPr>
        <w:t>Obiezu</w:t>
      </w:r>
      <w:proofErr w:type="spellEnd"/>
      <w:r w:rsidRPr="00F86564">
        <w:rPr>
          <w:sz w:val="24"/>
          <w:szCs w:val="24"/>
        </w:rPr>
        <w:t xml:space="preserve"> CV, Diamandis EP. Human tissue kallikrein gene family: applications</w:t>
      </w:r>
      <w:r w:rsidRPr="00F86564">
        <w:rPr>
          <w:sz w:val="24"/>
          <w:szCs w:val="24"/>
        </w:rPr>
        <w:t xml:space="preserve"> </w:t>
      </w:r>
      <w:r w:rsidRPr="00F86564">
        <w:rPr>
          <w:sz w:val="24"/>
          <w:szCs w:val="24"/>
        </w:rPr>
        <w:t>in cancer. Cancer Lett 2005;</w:t>
      </w:r>
      <w:r w:rsidR="0024065E">
        <w:rPr>
          <w:sz w:val="24"/>
          <w:szCs w:val="24"/>
        </w:rPr>
        <w:t xml:space="preserve"> </w:t>
      </w:r>
      <w:r w:rsidRPr="00F86564">
        <w:rPr>
          <w:sz w:val="24"/>
          <w:szCs w:val="24"/>
        </w:rPr>
        <w:t>224(1):1</w:t>
      </w:r>
      <w:r w:rsidR="0024065E">
        <w:rPr>
          <w:sz w:val="24"/>
          <w:szCs w:val="24"/>
        </w:rPr>
        <w:t>-</w:t>
      </w:r>
      <w:r w:rsidRPr="00F86564">
        <w:rPr>
          <w:sz w:val="24"/>
          <w:szCs w:val="24"/>
        </w:rPr>
        <w:t>22</w:t>
      </w:r>
      <w:r w:rsidR="0024065E">
        <w:rPr>
          <w:sz w:val="24"/>
          <w:szCs w:val="24"/>
        </w:rPr>
        <w:t>.</w:t>
      </w:r>
    </w:p>
    <w:p w14:paraId="67E3E044" w14:textId="77777777" w:rsidR="00F86564" w:rsidRDefault="00F86564" w:rsidP="00F86564">
      <w:pPr>
        <w:pStyle w:val="ListParagraph"/>
        <w:ind w:left="720"/>
        <w:jc w:val="both"/>
        <w:rPr>
          <w:sz w:val="24"/>
          <w:szCs w:val="24"/>
        </w:rPr>
      </w:pPr>
    </w:p>
    <w:p w14:paraId="67DD5DAD" w14:textId="54887597" w:rsidR="007D092D" w:rsidRPr="007D092D" w:rsidRDefault="007D092D" w:rsidP="007B044A">
      <w:pPr>
        <w:pStyle w:val="ListParagraph"/>
        <w:numPr>
          <w:ilvl w:val="0"/>
          <w:numId w:val="4"/>
        </w:numPr>
        <w:jc w:val="both"/>
        <w:rPr>
          <w:sz w:val="24"/>
          <w:szCs w:val="24"/>
        </w:rPr>
      </w:pPr>
      <w:r w:rsidRPr="007D092D">
        <w:rPr>
          <w:sz w:val="24"/>
          <w:szCs w:val="24"/>
        </w:rPr>
        <w:t xml:space="preserve">Li YL, Tian </w:t>
      </w:r>
      <w:proofErr w:type="spellStart"/>
      <w:proofErr w:type="gramStart"/>
      <w:r w:rsidRPr="007D092D">
        <w:rPr>
          <w:sz w:val="24"/>
          <w:szCs w:val="24"/>
        </w:rPr>
        <w:t>Z,Wu</w:t>
      </w:r>
      <w:proofErr w:type="spellEnd"/>
      <w:proofErr w:type="gramEnd"/>
      <w:r w:rsidRPr="007D092D">
        <w:rPr>
          <w:sz w:val="24"/>
          <w:szCs w:val="24"/>
        </w:rPr>
        <w:t xml:space="preserve"> DY, Fu BY, Xin Y. Loss of heterozygosity on 10q233 and mutation of </w:t>
      </w:r>
      <w:proofErr w:type="spellStart"/>
      <w:r w:rsidRPr="007D092D">
        <w:rPr>
          <w:sz w:val="24"/>
          <w:szCs w:val="24"/>
        </w:rPr>
        <w:t>tumor</w:t>
      </w:r>
      <w:proofErr w:type="spellEnd"/>
      <w:r w:rsidRPr="007D092D">
        <w:rPr>
          <w:sz w:val="24"/>
          <w:szCs w:val="24"/>
        </w:rPr>
        <w:t xml:space="preserve"> suppressor gene PTEN in gastric cancer and</w:t>
      </w:r>
      <w:r w:rsidRPr="007D092D">
        <w:rPr>
          <w:sz w:val="24"/>
          <w:szCs w:val="24"/>
        </w:rPr>
        <w:t xml:space="preserve"> </w:t>
      </w:r>
      <w:r w:rsidRPr="007D092D">
        <w:rPr>
          <w:sz w:val="24"/>
          <w:szCs w:val="24"/>
        </w:rPr>
        <w:t>precancerous lesions. World J Gastroenterol 2005;11(2):285–</w:t>
      </w:r>
      <w:r w:rsidR="00EF7A01">
        <w:rPr>
          <w:sz w:val="24"/>
          <w:szCs w:val="24"/>
        </w:rPr>
        <w:t>28</w:t>
      </w:r>
      <w:r w:rsidRPr="007D092D">
        <w:rPr>
          <w:sz w:val="24"/>
          <w:szCs w:val="24"/>
        </w:rPr>
        <w:t>8.</w:t>
      </w:r>
    </w:p>
    <w:p w14:paraId="1893938B" w14:textId="77777777" w:rsidR="007D092D" w:rsidRDefault="007D092D" w:rsidP="007D092D">
      <w:pPr>
        <w:pStyle w:val="ListParagraph"/>
        <w:ind w:left="720"/>
        <w:jc w:val="both"/>
        <w:rPr>
          <w:sz w:val="24"/>
          <w:szCs w:val="24"/>
        </w:rPr>
      </w:pPr>
    </w:p>
    <w:p w14:paraId="2CCBAA87" w14:textId="4D02F9C9" w:rsidR="00F86564" w:rsidRPr="007D092D" w:rsidRDefault="007D092D" w:rsidP="007B5B74">
      <w:pPr>
        <w:pStyle w:val="ListParagraph"/>
        <w:numPr>
          <w:ilvl w:val="0"/>
          <w:numId w:val="4"/>
        </w:numPr>
        <w:jc w:val="both"/>
        <w:rPr>
          <w:sz w:val="24"/>
          <w:szCs w:val="24"/>
        </w:rPr>
      </w:pPr>
      <w:r w:rsidRPr="007D092D">
        <w:rPr>
          <w:sz w:val="24"/>
          <w:szCs w:val="24"/>
        </w:rPr>
        <w:lastRenderedPageBreak/>
        <w:t>Garza-Gonzalez E, Bosques-Padilla FJ, El-Omar E,</w:t>
      </w:r>
      <w:r w:rsidR="00EF7A01">
        <w:rPr>
          <w:sz w:val="24"/>
          <w:szCs w:val="24"/>
        </w:rPr>
        <w:t xml:space="preserve"> </w:t>
      </w:r>
      <w:r w:rsidR="00EF7A01" w:rsidRPr="00EF7A01">
        <w:rPr>
          <w:sz w:val="24"/>
          <w:szCs w:val="24"/>
        </w:rPr>
        <w:t>Hold</w:t>
      </w:r>
      <w:r w:rsidR="00EF7A01">
        <w:rPr>
          <w:sz w:val="24"/>
          <w:szCs w:val="24"/>
        </w:rPr>
        <w:t xml:space="preserve"> G</w:t>
      </w:r>
      <w:r w:rsidR="00EF7A01" w:rsidRPr="00EF7A01">
        <w:rPr>
          <w:sz w:val="24"/>
          <w:szCs w:val="24"/>
        </w:rPr>
        <w:t>, Tijerina-Menchaca</w:t>
      </w:r>
      <w:r w:rsidR="00EF7A01">
        <w:rPr>
          <w:sz w:val="24"/>
          <w:szCs w:val="24"/>
        </w:rPr>
        <w:t xml:space="preserve"> R</w:t>
      </w:r>
      <w:r w:rsidR="00EF7A01" w:rsidRPr="00EF7A01">
        <w:rPr>
          <w:sz w:val="24"/>
          <w:szCs w:val="24"/>
        </w:rPr>
        <w:t>, Maldonado-Garza</w:t>
      </w:r>
      <w:r w:rsidR="00EF7A01">
        <w:rPr>
          <w:sz w:val="24"/>
          <w:szCs w:val="24"/>
        </w:rPr>
        <w:t xml:space="preserve"> HJ</w:t>
      </w:r>
      <w:r w:rsidR="00EF7A01" w:rsidRPr="00EF7A01">
        <w:rPr>
          <w:sz w:val="24"/>
          <w:szCs w:val="24"/>
        </w:rPr>
        <w:t>,</w:t>
      </w:r>
      <w:r w:rsidRPr="007D092D">
        <w:rPr>
          <w:sz w:val="24"/>
          <w:szCs w:val="24"/>
        </w:rPr>
        <w:t xml:space="preserve"> et al. Role of the</w:t>
      </w:r>
      <w:r w:rsidRPr="007D092D">
        <w:rPr>
          <w:sz w:val="24"/>
          <w:szCs w:val="24"/>
        </w:rPr>
        <w:t xml:space="preserve"> </w:t>
      </w:r>
      <w:r w:rsidRPr="007D092D">
        <w:rPr>
          <w:sz w:val="24"/>
          <w:szCs w:val="24"/>
        </w:rPr>
        <w:t>polymorphic IL-1B IL-1RN and TNF-A genes in distal gastric cancer</w:t>
      </w:r>
      <w:r w:rsidRPr="007D092D">
        <w:rPr>
          <w:sz w:val="24"/>
          <w:szCs w:val="24"/>
        </w:rPr>
        <w:t xml:space="preserve"> </w:t>
      </w:r>
      <w:r w:rsidRPr="007D092D">
        <w:rPr>
          <w:sz w:val="24"/>
          <w:szCs w:val="24"/>
        </w:rPr>
        <w:t>in Mexico. Int J Cancer</w:t>
      </w:r>
      <w:r w:rsidR="00EF7A01">
        <w:rPr>
          <w:sz w:val="24"/>
          <w:szCs w:val="24"/>
        </w:rPr>
        <w:t xml:space="preserve">. </w:t>
      </w:r>
      <w:r w:rsidRPr="007D092D">
        <w:rPr>
          <w:sz w:val="24"/>
          <w:szCs w:val="24"/>
        </w:rPr>
        <w:t>2005;114(2):237</w:t>
      </w:r>
      <w:r w:rsidR="00EF7A01">
        <w:rPr>
          <w:sz w:val="24"/>
          <w:szCs w:val="24"/>
        </w:rPr>
        <w:t>-2</w:t>
      </w:r>
      <w:r w:rsidRPr="007D092D">
        <w:rPr>
          <w:sz w:val="24"/>
          <w:szCs w:val="24"/>
        </w:rPr>
        <w:t>41.</w:t>
      </w:r>
    </w:p>
    <w:p w14:paraId="167C86C2" w14:textId="77777777" w:rsidR="007D092D" w:rsidRDefault="007D092D" w:rsidP="007D092D">
      <w:pPr>
        <w:pStyle w:val="ListParagraph"/>
        <w:ind w:left="720"/>
        <w:jc w:val="both"/>
        <w:rPr>
          <w:sz w:val="24"/>
          <w:szCs w:val="24"/>
        </w:rPr>
      </w:pPr>
    </w:p>
    <w:p w14:paraId="1A57AC8F" w14:textId="659B395F" w:rsidR="00F86564" w:rsidRPr="007D092D" w:rsidRDefault="007D092D" w:rsidP="00AA69F4">
      <w:pPr>
        <w:pStyle w:val="ListParagraph"/>
        <w:numPr>
          <w:ilvl w:val="0"/>
          <w:numId w:val="4"/>
        </w:numPr>
        <w:jc w:val="both"/>
        <w:rPr>
          <w:sz w:val="24"/>
          <w:szCs w:val="24"/>
        </w:rPr>
      </w:pPr>
      <w:r w:rsidRPr="007D092D">
        <w:rPr>
          <w:sz w:val="24"/>
          <w:szCs w:val="24"/>
        </w:rPr>
        <w:t>Dai YC, Ho CL, Tsai YC,</w:t>
      </w:r>
      <w:r w:rsidR="0084111E" w:rsidRPr="0084111E">
        <w:t xml:space="preserve"> </w:t>
      </w:r>
      <w:r w:rsidR="0084111E" w:rsidRPr="0084111E">
        <w:rPr>
          <w:sz w:val="24"/>
          <w:szCs w:val="24"/>
        </w:rPr>
        <w:t>Hsu</w:t>
      </w:r>
      <w:r w:rsidR="0084111E">
        <w:rPr>
          <w:sz w:val="24"/>
          <w:szCs w:val="24"/>
        </w:rPr>
        <w:t xml:space="preserve"> YH</w:t>
      </w:r>
      <w:r w:rsidR="0084111E" w:rsidRPr="0084111E">
        <w:rPr>
          <w:sz w:val="24"/>
          <w:szCs w:val="24"/>
        </w:rPr>
        <w:t>, Chang</w:t>
      </w:r>
      <w:r w:rsidR="0084111E">
        <w:rPr>
          <w:sz w:val="24"/>
          <w:szCs w:val="24"/>
        </w:rPr>
        <w:t xml:space="preserve"> YC</w:t>
      </w:r>
      <w:r w:rsidR="0084111E" w:rsidRPr="0084111E">
        <w:rPr>
          <w:sz w:val="24"/>
          <w:szCs w:val="24"/>
        </w:rPr>
        <w:t>, Liu</w:t>
      </w:r>
      <w:r w:rsidRPr="007D092D">
        <w:rPr>
          <w:sz w:val="24"/>
          <w:szCs w:val="24"/>
        </w:rPr>
        <w:t xml:space="preserve"> </w:t>
      </w:r>
      <w:r w:rsidR="0084111E">
        <w:rPr>
          <w:sz w:val="24"/>
          <w:szCs w:val="24"/>
        </w:rPr>
        <w:t xml:space="preserve">HS, </w:t>
      </w:r>
      <w:r w:rsidRPr="007D092D">
        <w:rPr>
          <w:sz w:val="24"/>
          <w:szCs w:val="24"/>
        </w:rPr>
        <w:t>et al. Allelic loss of 14q32 in the pathogenesis</w:t>
      </w:r>
      <w:r w:rsidRPr="007D092D">
        <w:rPr>
          <w:sz w:val="24"/>
          <w:szCs w:val="24"/>
        </w:rPr>
        <w:t xml:space="preserve"> </w:t>
      </w:r>
      <w:r w:rsidRPr="007D092D">
        <w:rPr>
          <w:sz w:val="24"/>
          <w:szCs w:val="24"/>
        </w:rPr>
        <w:t>of gastrointestinal and ampullary malignancies: mapping of</w:t>
      </w:r>
      <w:r w:rsidRPr="007D092D">
        <w:rPr>
          <w:sz w:val="24"/>
          <w:szCs w:val="24"/>
        </w:rPr>
        <w:t xml:space="preserve"> </w:t>
      </w:r>
      <w:r w:rsidRPr="007D092D">
        <w:rPr>
          <w:sz w:val="24"/>
          <w:szCs w:val="24"/>
        </w:rPr>
        <w:t xml:space="preserve">the target region to a 17 </w:t>
      </w:r>
      <w:proofErr w:type="spellStart"/>
      <w:r w:rsidRPr="007D092D">
        <w:rPr>
          <w:sz w:val="24"/>
          <w:szCs w:val="24"/>
        </w:rPr>
        <w:t>cM</w:t>
      </w:r>
      <w:proofErr w:type="spellEnd"/>
      <w:r w:rsidRPr="007D092D">
        <w:rPr>
          <w:sz w:val="24"/>
          <w:szCs w:val="24"/>
        </w:rPr>
        <w:t xml:space="preserve"> interval. J Cancer Res Clin Oncol</w:t>
      </w:r>
      <w:r>
        <w:rPr>
          <w:sz w:val="24"/>
          <w:szCs w:val="24"/>
        </w:rPr>
        <w:t xml:space="preserve">. </w:t>
      </w:r>
      <w:r w:rsidRPr="007D092D">
        <w:rPr>
          <w:sz w:val="24"/>
          <w:szCs w:val="24"/>
        </w:rPr>
        <w:t>2005;</w:t>
      </w:r>
      <w:r w:rsidR="0084111E">
        <w:rPr>
          <w:sz w:val="24"/>
          <w:szCs w:val="24"/>
        </w:rPr>
        <w:t xml:space="preserve"> </w:t>
      </w:r>
      <w:r w:rsidRPr="007D092D">
        <w:rPr>
          <w:sz w:val="24"/>
          <w:szCs w:val="24"/>
        </w:rPr>
        <w:t>131(2):94</w:t>
      </w:r>
      <w:r w:rsidR="0084111E">
        <w:rPr>
          <w:sz w:val="24"/>
          <w:szCs w:val="24"/>
        </w:rPr>
        <w:t>-</w:t>
      </w:r>
      <w:r w:rsidRPr="007D092D">
        <w:rPr>
          <w:sz w:val="24"/>
          <w:szCs w:val="24"/>
        </w:rPr>
        <w:t>100.</w:t>
      </w:r>
    </w:p>
    <w:p w14:paraId="5F310905" w14:textId="77777777" w:rsidR="007D092D" w:rsidRDefault="007D092D" w:rsidP="007D092D">
      <w:pPr>
        <w:pStyle w:val="ListParagraph"/>
        <w:ind w:left="720"/>
        <w:jc w:val="both"/>
        <w:rPr>
          <w:sz w:val="24"/>
          <w:szCs w:val="24"/>
        </w:rPr>
      </w:pPr>
    </w:p>
    <w:p w14:paraId="6D58F857" w14:textId="1267D8A2" w:rsidR="00F86564" w:rsidRPr="00C27AF7" w:rsidRDefault="00C27AF7" w:rsidP="00196C65">
      <w:pPr>
        <w:pStyle w:val="ListParagraph"/>
        <w:numPr>
          <w:ilvl w:val="0"/>
          <w:numId w:val="4"/>
        </w:numPr>
        <w:jc w:val="both"/>
        <w:rPr>
          <w:sz w:val="24"/>
          <w:szCs w:val="24"/>
        </w:rPr>
      </w:pPr>
      <w:r w:rsidRPr="00C27AF7">
        <w:rPr>
          <w:sz w:val="24"/>
          <w:szCs w:val="24"/>
        </w:rPr>
        <w:t xml:space="preserve">Sato T, Harao M, Nakano S, </w:t>
      </w:r>
      <w:proofErr w:type="spellStart"/>
      <w:r w:rsidRPr="00C27AF7">
        <w:rPr>
          <w:sz w:val="24"/>
          <w:szCs w:val="24"/>
        </w:rPr>
        <w:t>Jotsuka</w:t>
      </w:r>
      <w:proofErr w:type="spellEnd"/>
      <w:r w:rsidRPr="00C27AF7">
        <w:rPr>
          <w:sz w:val="24"/>
          <w:szCs w:val="24"/>
        </w:rPr>
        <w:t xml:space="preserve"> T, Suda </w:t>
      </w:r>
      <w:proofErr w:type="spellStart"/>
      <w:proofErr w:type="gramStart"/>
      <w:r w:rsidRPr="00C27AF7">
        <w:rPr>
          <w:sz w:val="24"/>
          <w:szCs w:val="24"/>
        </w:rPr>
        <w:t>N,Yamashita</w:t>
      </w:r>
      <w:proofErr w:type="spellEnd"/>
      <w:proofErr w:type="gramEnd"/>
      <w:r w:rsidRPr="00C27AF7">
        <w:rPr>
          <w:sz w:val="24"/>
          <w:szCs w:val="24"/>
        </w:rPr>
        <w:t xml:space="preserve"> J. Circulating</w:t>
      </w:r>
      <w:r w:rsidRPr="00C27AF7">
        <w:rPr>
          <w:sz w:val="24"/>
          <w:szCs w:val="24"/>
        </w:rPr>
        <w:t xml:space="preserve"> </w:t>
      </w:r>
      <w:proofErr w:type="spellStart"/>
      <w:r w:rsidRPr="00C27AF7">
        <w:rPr>
          <w:sz w:val="24"/>
          <w:szCs w:val="24"/>
        </w:rPr>
        <w:t>tumor</w:t>
      </w:r>
      <w:proofErr w:type="spellEnd"/>
      <w:r w:rsidRPr="00C27AF7">
        <w:rPr>
          <w:sz w:val="24"/>
          <w:szCs w:val="24"/>
        </w:rPr>
        <w:t xml:space="preserve"> cells detected by reverse transcription-polymerase chain reaction</w:t>
      </w:r>
      <w:r w:rsidRPr="00C27AF7">
        <w:rPr>
          <w:sz w:val="24"/>
          <w:szCs w:val="24"/>
        </w:rPr>
        <w:t xml:space="preserve"> </w:t>
      </w:r>
      <w:r w:rsidRPr="00C27AF7">
        <w:rPr>
          <w:sz w:val="24"/>
          <w:szCs w:val="24"/>
        </w:rPr>
        <w:t>for carcinoembryonic antigen mRNA: distinguishing follicular thyroid</w:t>
      </w:r>
      <w:r w:rsidRPr="00C27AF7">
        <w:rPr>
          <w:sz w:val="24"/>
          <w:szCs w:val="24"/>
        </w:rPr>
        <w:t xml:space="preserve"> </w:t>
      </w:r>
      <w:r w:rsidRPr="00C27AF7">
        <w:rPr>
          <w:sz w:val="24"/>
          <w:szCs w:val="24"/>
        </w:rPr>
        <w:t>carcinoma from adenoma. Surgery 2005;</w:t>
      </w:r>
      <w:r w:rsidR="00262DA2">
        <w:rPr>
          <w:sz w:val="24"/>
          <w:szCs w:val="24"/>
        </w:rPr>
        <w:t xml:space="preserve"> </w:t>
      </w:r>
      <w:r w:rsidRPr="00C27AF7">
        <w:rPr>
          <w:sz w:val="24"/>
          <w:szCs w:val="24"/>
        </w:rPr>
        <w:t>137(5):552–</w:t>
      </w:r>
      <w:r w:rsidR="00262DA2">
        <w:rPr>
          <w:sz w:val="24"/>
          <w:szCs w:val="24"/>
        </w:rPr>
        <w:t>55</w:t>
      </w:r>
      <w:r w:rsidRPr="00C27AF7">
        <w:rPr>
          <w:sz w:val="24"/>
          <w:szCs w:val="24"/>
        </w:rPr>
        <w:t>8.</w:t>
      </w:r>
    </w:p>
    <w:sectPr w:rsidR="00F86564" w:rsidRPr="00C27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CDFC" w14:textId="77777777" w:rsidR="006B7218" w:rsidRDefault="006B7218" w:rsidP="005E3A06">
      <w:r>
        <w:separator/>
      </w:r>
    </w:p>
  </w:endnote>
  <w:endnote w:type="continuationSeparator" w:id="0">
    <w:p w14:paraId="2E0C8BA9" w14:textId="77777777" w:rsidR="006B7218" w:rsidRDefault="006B7218" w:rsidP="005E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22643" w14:textId="77777777" w:rsidR="006B7218" w:rsidRDefault="006B7218" w:rsidP="005E3A06">
      <w:r>
        <w:separator/>
      </w:r>
    </w:p>
  </w:footnote>
  <w:footnote w:type="continuationSeparator" w:id="0">
    <w:p w14:paraId="42DDC709" w14:textId="77777777" w:rsidR="006B7218" w:rsidRDefault="006B7218" w:rsidP="005E3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591D"/>
    <w:multiLevelType w:val="hybridMultilevel"/>
    <w:tmpl w:val="F80ECA8E"/>
    <w:lvl w:ilvl="0" w:tplc="8428865C">
      <w:start w:val="11"/>
      <w:numFmt w:val="bullet"/>
      <w:lvlText w:val=""/>
      <w:lvlJc w:val="left"/>
      <w:pPr>
        <w:ind w:left="720" w:hanging="360"/>
      </w:pPr>
      <w:rPr>
        <w:rFonts w:ascii="Wingdings" w:eastAsia="Times New Roman" w:hAnsi="Wingdings"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6F3A36"/>
    <w:multiLevelType w:val="hybridMultilevel"/>
    <w:tmpl w:val="F410AD32"/>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A0E7A0C"/>
    <w:multiLevelType w:val="hybridMultilevel"/>
    <w:tmpl w:val="F14EC15A"/>
    <w:lvl w:ilvl="0" w:tplc="4C304D76">
      <w:start w:val="1"/>
      <w:numFmt w:val="bullet"/>
      <w:lvlText w:val="●"/>
      <w:lvlJc w:val="left"/>
      <w:pPr>
        <w:ind w:left="720" w:hanging="360"/>
      </w:pPr>
    </w:lvl>
    <w:lvl w:ilvl="1" w:tplc="1006255E">
      <w:start w:val="1"/>
      <w:numFmt w:val="bullet"/>
      <w:lvlText w:val="○"/>
      <w:lvlJc w:val="left"/>
      <w:pPr>
        <w:ind w:left="1440" w:hanging="360"/>
      </w:pPr>
    </w:lvl>
    <w:lvl w:ilvl="2" w:tplc="ED52EA1A">
      <w:start w:val="1"/>
      <w:numFmt w:val="bullet"/>
      <w:lvlText w:val="■"/>
      <w:lvlJc w:val="left"/>
      <w:pPr>
        <w:ind w:left="2160" w:hanging="360"/>
      </w:pPr>
    </w:lvl>
    <w:lvl w:ilvl="3" w:tplc="7C6CB50E">
      <w:start w:val="1"/>
      <w:numFmt w:val="bullet"/>
      <w:lvlText w:val="●"/>
      <w:lvlJc w:val="left"/>
      <w:pPr>
        <w:ind w:left="2880" w:hanging="360"/>
      </w:pPr>
    </w:lvl>
    <w:lvl w:ilvl="4" w:tplc="8B20EDA6">
      <w:start w:val="1"/>
      <w:numFmt w:val="bullet"/>
      <w:lvlText w:val="○"/>
      <w:lvlJc w:val="left"/>
      <w:pPr>
        <w:ind w:left="3600" w:hanging="360"/>
      </w:pPr>
    </w:lvl>
    <w:lvl w:ilvl="5" w:tplc="7E0E7660">
      <w:start w:val="1"/>
      <w:numFmt w:val="bullet"/>
      <w:lvlText w:val="■"/>
      <w:lvlJc w:val="left"/>
      <w:pPr>
        <w:ind w:left="4320" w:hanging="360"/>
      </w:pPr>
    </w:lvl>
    <w:lvl w:ilvl="6" w:tplc="AD308E24">
      <w:start w:val="1"/>
      <w:numFmt w:val="bullet"/>
      <w:lvlText w:val="●"/>
      <w:lvlJc w:val="left"/>
      <w:pPr>
        <w:ind w:left="5040" w:hanging="360"/>
      </w:pPr>
    </w:lvl>
    <w:lvl w:ilvl="7" w:tplc="6F5ED14C">
      <w:start w:val="1"/>
      <w:numFmt w:val="bullet"/>
      <w:lvlText w:val="●"/>
      <w:lvlJc w:val="left"/>
      <w:pPr>
        <w:ind w:left="5760" w:hanging="360"/>
      </w:pPr>
    </w:lvl>
    <w:lvl w:ilvl="8" w:tplc="CEC2A60E">
      <w:start w:val="1"/>
      <w:numFmt w:val="bullet"/>
      <w:lvlText w:val="●"/>
      <w:lvlJc w:val="left"/>
      <w:pPr>
        <w:ind w:left="6480" w:hanging="360"/>
      </w:pPr>
    </w:lvl>
  </w:abstractNum>
  <w:abstractNum w:abstractNumId="3" w15:restartNumberingAfterBreak="0">
    <w:nsid w:val="70B07152"/>
    <w:multiLevelType w:val="hybridMultilevel"/>
    <w:tmpl w:val="1174F07C"/>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3846125"/>
    <w:multiLevelType w:val="hybridMultilevel"/>
    <w:tmpl w:val="E6CE1F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6945EB6"/>
    <w:multiLevelType w:val="hybridMultilevel"/>
    <w:tmpl w:val="FB92ACD4"/>
    <w:lvl w:ilvl="0" w:tplc="0854DCCC">
      <w:start w:val="1"/>
      <w:numFmt w:val="decimal"/>
      <w:lvlText w:val="%1."/>
      <w:lvlJc w:val="left"/>
      <w:pPr>
        <w:ind w:left="720" w:hanging="360"/>
      </w:pPr>
      <w:rPr>
        <w:rFonts w:ascii="Times New Roman" w:hAnsi="Times New Roman" w:cs="Times New Roman" w:hint="default"/>
        <w:b/>
        <w:color w:val="auto"/>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93A7810"/>
    <w:multiLevelType w:val="hybridMultilevel"/>
    <w:tmpl w:val="A8C87E92"/>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31362844">
    <w:abstractNumId w:val="2"/>
    <w:lvlOverride w:ilvl="0">
      <w:startOverride w:val="1"/>
    </w:lvlOverride>
  </w:num>
  <w:num w:numId="2" w16cid:durableId="2104522502">
    <w:abstractNumId w:val="3"/>
  </w:num>
  <w:num w:numId="3" w16cid:durableId="1766925343">
    <w:abstractNumId w:val="6"/>
  </w:num>
  <w:num w:numId="4" w16cid:durableId="2030251947">
    <w:abstractNumId w:val="4"/>
  </w:num>
  <w:num w:numId="5" w16cid:durableId="266277643">
    <w:abstractNumId w:val="0"/>
  </w:num>
  <w:num w:numId="6" w16cid:durableId="1193104667">
    <w:abstractNumId w:val="1"/>
  </w:num>
  <w:num w:numId="7" w16cid:durableId="1598708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B06"/>
    <w:rsid w:val="000141C9"/>
    <w:rsid w:val="0007450E"/>
    <w:rsid w:val="00093B6A"/>
    <w:rsid w:val="000B07E4"/>
    <w:rsid w:val="000E239E"/>
    <w:rsid w:val="00110714"/>
    <w:rsid w:val="00125652"/>
    <w:rsid w:val="0016331A"/>
    <w:rsid w:val="00164A6A"/>
    <w:rsid w:val="00180A44"/>
    <w:rsid w:val="00184DE3"/>
    <w:rsid w:val="0019575A"/>
    <w:rsid w:val="001A39BA"/>
    <w:rsid w:val="001B1D3F"/>
    <w:rsid w:val="001E2AE6"/>
    <w:rsid w:val="001E375B"/>
    <w:rsid w:val="00207B07"/>
    <w:rsid w:val="0024065E"/>
    <w:rsid w:val="00243912"/>
    <w:rsid w:val="00245B9C"/>
    <w:rsid w:val="00253244"/>
    <w:rsid w:val="00262DA2"/>
    <w:rsid w:val="00271C85"/>
    <w:rsid w:val="00286C35"/>
    <w:rsid w:val="00287BED"/>
    <w:rsid w:val="0029305A"/>
    <w:rsid w:val="002A7021"/>
    <w:rsid w:val="002B592F"/>
    <w:rsid w:val="002B7958"/>
    <w:rsid w:val="002F76EF"/>
    <w:rsid w:val="00303EAD"/>
    <w:rsid w:val="00313B62"/>
    <w:rsid w:val="00331491"/>
    <w:rsid w:val="00384E4F"/>
    <w:rsid w:val="003C298C"/>
    <w:rsid w:val="003F2D0E"/>
    <w:rsid w:val="003F3497"/>
    <w:rsid w:val="004072F5"/>
    <w:rsid w:val="00413368"/>
    <w:rsid w:val="00450893"/>
    <w:rsid w:val="00460614"/>
    <w:rsid w:val="00461948"/>
    <w:rsid w:val="00482C14"/>
    <w:rsid w:val="004871E0"/>
    <w:rsid w:val="00495609"/>
    <w:rsid w:val="004A3FF6"/>
    <w:rsid w:val="004C1FE8"/>
    <w:rsid w:val="004C7CF9"/>
    <w:rsid w:val="004D2076"/>
    <w:rsid w:val="004E1495"/>
    <w:rsid w:val="00511F06"/>
    <w:rsid w:val="005160A0"/>
    <w:rsid w:val="0052152A"/>
    <w:rsid w:val="00543B64"/>
    <w:rsid w:val="005506A2"/>
    <w:rsid w:val="0056159E"/>
    <w:rsid w:val="00576F31"/>
    <w:rsid w:val="005856DE"/>
    <w:rsid w:val="00590D97"/>
    <w:rsid w:val="005A7623"/>
    <w:rsid w:val="005B406E"/>
    <w:rsid w:val="005E3A06"/>
    <w:rsid w:val="005E79E9"/>
    <w:rsid w:val="005F69E3"/>
    <w:rsid w:val="00603191"/>
    <w:rsid w:val="006062CF"/>
    <w:rsid w:val="00617A0A"/>
    <w:rsid w:val="0062731C"/>
    <w:rsid w:val="00631EAB"/>
    <w:rsid w:val="00647A7E"/>
    <w:rsid w:val="00690B4A"/>
    <w:rsid w:val="006937D9"/>
    <w:rsid w:val="006A2AA2"/>
    <w:rsid w:val="006B7218"/>
    <w:rsid w:val="006C42BF"/>
    <w:rsid w:val="006E5048"/>
    <w:rsid w:val="006F12FA"/>
    <w:rsid w:val="006F5259"/>
    <w:rsid w:val="006F758F"/>
    <w:rsid w:val="007317E2"/>
    <w:rsid w:val="00737EE7"/>
    <w:rsid w:val="00767255"/>
    <w:rsid w:val="0078753A"/>
    <w:rsid w:val="007D092D"/>
    <w:rsid w:val="007E191C"/>
    <w:rsid w:val="007F43D9"/>
    <w:rsid w:val="0081455C"/>
    <w:rsid w:val="00822FA5"/>
    <w:rsid w:val="0084111E"/>
    <w:rsid w:val="0084382E"/>
    <w:rsid w:val="0085004C"/>
    <w:rsid w:val="00893421"/>
    <w:rsid w:val="008A211E"/>
    <w:rsid w:val="008A46A0"/>
    <w:rsid w:val="008D4C00"/>
    <w:rsid w:val="008D4C1D"/>
    <w:rsid w:val="008D632B"/>
    <w:rsid w:val="008F478D"/>
    <w:rsid w:val="00914F16"/>
    <w:rsid w:val="00930F20"/>
    <w:rsid w:val="00937F2A"/>
    <w:rsid w:val="0094293F"/>
    <w:rsid w:val="00956616"/>
    <w:rsid w:val="0097200B"/>
    <w:rsid w:val="00974A07"/>
    <w:rsid w:val="00992624"/>
    <w:rsid w:val="0099496E"/>
    <w:rsid w:val="009E0EA7"/>
    <w:rsid w:val="00A05B06"/>
    <w:rsid w:val="00A27429"/>
    <w:rsid w:val="00A27A80"/>
    <w:rsid w:val="00A31B25"/>
    <w:rsid w:val="00A62FA6"/>
    <w:rsid w:val="00AA3385"/>
    <w:rsid w:val="00AA5E9D"/>
    <w:rsid w:val="00AC6580"/>
    <w:rsid w:val="00AC7C9C"/>
    <w:rsid w:val="00AD0550"/>
    <w:rsid w:val="00AD770C"/>
    <w:rsid w:val="00AE5D89"/>
    <w:rsid w:val="00AE7647"/>
    <w:rsid w:val="00B10FCB"/>
    <w:rsid w:val="00B15161"/>
    <w:rsid w:val="00B719C3"/>
    <w:rsid w:val="00BB4C82"/>
    <w:rsid w:val="00BB660A"/>
    <w:rsid w:val="00BC3CBC"/>
    <w:rsid w:val="00BD4492"/>
    <w:rsid w:val="00BF4717"/>
    <w:rsid w:val="00BF7ECD"/>
    <w:rsid w:val="00C17D4E"/>
    <w:rsid w:val="00C2322B"/>
    <w:rsid w:val="00C260C7"/>
    <w:rsid w:val="00C27AF7"/>
    <w:rsid w:val="00C42F75"/>
    <w:rsid w:val="00C932A1"/>
    <w:rsid w:val="00CB55EE"/>
    <w:rsid w:val="00CC24FE"/>
    <w:rsid w:val="00CD21FF"/>
    <w:rsid w:val="00CD7213"/>
    <w:rsid w:val="00CF213A"/>
    <w:rsid w:val="00D1023B"/>
    <w:rsid w:val="00D122B1"/>
    <w:rsid w:val="00D142D2"/>
    <w:rsid w:val="00D152DD"/>
    <w:rsid w:val="00D53D4F"/>
    <w:rsid w:val="00D633E6"/>
    <w:rsid w:val="00D67020"/>
    <w:rsid w:val="00D670E7"/>
    <w:rsid w:val="00D73DBD"/>
    <w:rsid w:val="00D760FE"/>
    <w:rsid w:val="00DA4CE5"/>
    <w:rsid w:val="00DD6E90"/>
    <w:rsid w:val="00DE31B5"/>
    <w:rsid w:val="00E05A5A"/>
    <w:rsid w:val="00E1702E"/>
    <w:rsid w:val="00E178BD"/>
    <w:rsid w:val="00E3437D"/>
    <w:rsid w:val="00E5694E"/>
    <w:rsid w:val="00E80BE5"/>
    <w:rsid w:val="00EB56B6"/>
    <w:rsid w:val="00EC6087"/>
    <w:rsid w:val="00EF6508"/>
    <w:rsid w:val="00EF7A01"/>
    <w:rsid w:val="00F50465"/>
    <w:rsid w:val="00F52AB5"/>
    <w:rsid w:val="00F71E4B"/>
    <w:rsid w:val="00F84B51"/>
    <w:rsid w:val="00F86564"/>
    <w:rsid w:val="00FB64F6"/>
    <w:rsid w:val="00FC0176"/>
    <w:rsid w:val="00FC0296"/>
    <w:rsid w:val="00FF5223"/>
    <w:rsid w:val="00FF59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4885"/>
  <w15:docId w15:val="{E201E9FB-4D2A-45DE-81C5-57CC07C3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58"/>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TOCHeading">
    <w:name w:val="TOC Heading"/>
    <w:basedOn w:val="Heading1"/>
    <w:next w:val="Normal"/>
    <w:uiPriority w:val="39"/>
    <w:unhideWhenUsed/>
    <w:qFormat/>
    <w:rsid w:val="005E3A06"/>
    <w:pPr>
      <w:keepNext/>
      <w:keepLines/>
      <w:spacing w:before="240" w:line="259" w:lineRule="auto"/>
      <w:outlineLvl w:val="9"/>
    </w:pPr>
    <w:rPr>
      <w:rFonts w:asciiTheme="majorHAnsi" w:eastAsiaTheme="majorEastAsia" w:hAnsiTheme="majorHAnsi" w:cstheme="majorBidi"/>
      <w:color w:val="2F5496" w:themeColor="accent1" w:themeShade="BF"/>
      <w:lang w:val="en-US" w:eastAsia="en-US"/>
    </w:rPr>
  </w:style>
  <w:style w:type="paragraph" w:styleId="Revision">
    <w:name w:val="Revision"/>
    <w:hidden/>
    <w:uiPriority w:val="99"/>
    <w:semiHidden/>
    <w:rsid w:val="006062CF"/>
  </w:style>
  <w:style w:type="character" w:styleId="UnresolvedMention">
    <w:name w:val="Unresolved Mention"/>
    <w:basedOn w:val="DefaultParagraphFont"/>
    <w:uiPriority w:val="99"/>
    <w:semiHidden/>
    <w:unhideWhenUsed/>
    <w:rsid w:val="00184DE3"/>
    <w:rPr>
      <w:color w:val="605E5C"/>
      <w:shd w:val="clear" w:color="auto" w:fill="E1DFDD"/>
    </w:rPr>
  </w:style>
  <w:style w:type="character" w:styleId="FollowedHyperlink">
    <w:name w:val="FollowedHyperlink"/>
    <w:basedOn w:val="DefaultParagraphFont"/>
    <w:uiPriority w:val="99"/>
    <w:semiHidden/>
    <w:unhideWhenUsed/>
    <w:rsid w:val="00184DE3"/>
    <w:rPr>
      <w:color w:val="954F72" w:themeColor="followedHyperlink"/>
      <w:u w:val="single"/>
    </w:rPr>
  </w:style>
  <w:style w:type="paragraph" w:styleId="NormalWeb">
    <w:name w:val="Normal (Web)"/>
    <w:basedOn w:val="Normal"/>
    <w:uiPriority w:val="99"/>
    <w:semiHidden/>
    <w:unhideWhenUsed/>
    <w:rsid w:val="0081455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039">
      <w:bodyDiv w:val="1"/>
      <w:marLeft w:val="0"/>
      <w:marRight w:val="0"/>
      <w:marTop w:val="0"/>
      <w:marBottom w:val="0"/>
      <w:divBdr>
        <w:top w:val="none" w:sz="0" w:space="0" w:color="auto"/>
        <w:left w:val="none" w:sz="0" w:space="0" w:color="auto"/>
        <w:bottom w:val="none" w:sz="0" w:space="0" w:color="auto"/>
        <w:right w:val="none" w:sz="0" w:space="0" w:color="auto"/>
      </w:divBdr>
    </w:div>
    <w:div w:id="45571015">
      <w:bodyDiv w:val="1"/>
      <w:marLeft w:val="0"/>
      <w:marRight w:val="0"/>
      <w:marTop w:val="0"/>
      <w:marBottom w:val="0"/>
      <w:divBdr>
        <w:top w:val="none" w:sz="0" w:space="0" w:color="auto"/>
        <w:left w:val="none" w:sz="0" w:space="0" w:color="auto"/>
        <w:bottom w:val="none" w:sz="0" w:space="0" w:color="auto"/>
        <w:right w:val="none" w:sz="0" w:space="0" w:color="auto"/>
      </w:divBdr>
    </w:div>
    <w:div w:id="270861241">
      <w:bodyDiv w:val="1"/>
      <w:marLeft w:val="0"/>
      <w:marRight w:val="0"/>
      <w:marTop w:val="0"/>
      <w:marBottom w:val="0"/>
      <w:divBdr>
        <w:top w:val="none" w:sz="0" w:space="0" w:color="auto"/>
        <w:left w:val="none" w:sz="0" w:space="0" w:color="auto"/>
        <w:bottom w:val="none" w:sz="0" w:space="0" w:color="auto"/>
        <w:right w:val="none" w:sz="0" w:space="0" w:color="auto"/>
      </w:divBdr>
    </w:div>
    <w:div w:id="314532725">
      <w:bodyDiv w:val="1"/>
      <w:marLeft w:val="0"/>
      <w:marRight w:val="0"/>
      <w:marTop w:val="0"/>
      <w:marBottom w:val="0"/>
      <w:divBdr>
        <w:top w:val="none" w:sz="0" w:space="0" w:color="auto"/>
        <w:left w:val="none" w:sz="0" w:space="0" w:color="auto"/>
        <w:bottom w:val="none" w:sz="0" w:space="0" w:color="auto"/>
        <w:right w:val="none" w:sz="0" w:space="0" w:color="auto"/>
      </w:divBdr>
      <w:divsChild>
        <w:div w:id="1206215599">
          <w:marLeft w:val="0"/>
          <w:marRight w:val="0"/>
          <w:marTop w:val="0"/>
          <w:marBottom w:val="0"/>
          <w:divBdr>
            <w:top w:val="none" w:sz="0" w:space="0" w:color="auto"/>
            <w:left w:val="none" w:sz="0" w:space="0" w:color="auto"/>
            <w:bottom w:val="none" w:sz="0" w:space="0" w:color="auto"/>
            <w:right w:val="none" w:sz="0" w:space="0" w:color="auto"/>
          </w:divBdr>
        </w:div>
        <w:div w:id="1639148823">
          <w:marLeft w:val="0"/>
          <w:marRight w:val="0"/>
          <w:marTop w:val="0"/>
          <w:marBottom w:val="0"/>
          <w:divBdr>
            <w:top w:val="none" w:sz="0" w:space="0" w:color="auto"/>
            <w:left w:val="none" w:sz="0" w:space="0" w:color="auto"/>
            <w:bottom w:val="none" w:sz="0" w:space="0" w:color="auto"/>
            <w:right w:val="none" w:sz="0" w:space="0" w:color="auto"/>
          </w:divBdr>
        </w:div>
        <w:div w:id="913586618">
          <w:marLeft w:val="0"/>
          <w:marRight w:val="0"/>
          <w:marTop w:val="0"/>
          <w:marBottom w:val="0"/>
          <w:divBdr>
            <w:top w:val="none" w:sz="0" w:space="0" w:color="auto"/>
            <w:left w:val="none" w:sz="0" w:space="0" w:color="auto"/>
            <w:bottom w:val="none" w:sz="0" w:space="0" w:color="auto"/>
            <w:right w:val="none" w:sz="0" w:space="0" w:color="auto"/>
          </w:divBdr>
        </w:div>
        <w:div w:id="783422152">
          <w:marLeft w:val="0"/>
          <w:marRight w:val="0"/>
          <w:marTop w:val="0"/>
          <w:marBottom w:val="0"/>
          <w:divBdr>
            <w:top w:val="none" w:sz="0" w:space="0" w:color="auto"/>
            <w:left w:val="none" w:sz="0" w:space="0" w:color="auto"/>
            <w:bottom w:val="none" w:sz="0" w:space="0" w:color="auto"/>
            <w:right w:val="none" w:sz="0" w:space="0" w:color="auto"/>
          </w:divBdr>
        </w:div>
        <w:div w:id="80757224">
          <w:marLeft w:val="0"/>
          <w:marRight w:val="0"/>
          <w:marTop w:val="0"/>
          <w:marBottom w:val="0"/>
          <w:divBdr>
            <w:top w:val="none" w:sz="0" w:space="0" w:color="auto"/>
            <w:left w:val="none" w:sz="0" w:space="0" w:color="auto"/>
            <w:bottom w:val="none" w:sz="0" w:space="0" w:color="auto"/>
            <w:right w:val="none" w:sz="0" w:space="0" w:color="auto"/>
          </w:divBdr>
        </w:div>
        <w:div w:id="213783599">
          <w:marLeft w:val="0"/>
          <w:marRight w:val="0"/>
          <w:marTop w:val="0"/>
          <w:marBottom w:val="0"/>
          <w:divBdr>
            <w:top w:val="none" w:sz="0" w:space="0" w:color="auto"/>
            <w:left w:val="none" w:sz="0" w:space="0" w:color="auto"/>
            <w:bottom w:val="none" w:sz="0" w:space="0" w:color="auto"/>
            <w:right w:val="none" w:sz="0" w:space="0" w:color="auto"/>
          </w:divBdr>
        </w:div>
        <w:div w:id="1270120145">
          <w:marLeft w:val="0"/>
          <w:marRight w:val="0"/>
          <w:marTop w:val="0"/>
          <w:marBottom w:val="0"/>
          <w:divBdr>
            <w:top w:val="none" w:sz="0" w:space="0" w:color="auto"/>
            <w:left w:val="none" w:sz="0" w:space="0" w:color="auto"/>
            <w:bottom w:val="none" w:sz="0" w:space="0" w:color="auto"/>
            <w:right w:val="none" w:sz="0" w:space="0" w:color="auto"/>
          </w:divBdr>
        </w:div>
        <w:div w:id="1233543349">
          <w:marLeft w:val="0"/>
          <w:marRight w:val="0"/>
          <w:marTop w:val="0"/>
          <w:marBottom w:val="0"/>
          <w:divBdr>
            <w:top w:val="none" w:sz="0" w:space="0" w:color="auto"/>
            <w:left w:val="none" w:sz="0" w:space="0" w:color="auto"/>
            <w:bottom w:val="none" w:sz="0" w:space="0" w:color="auto"/>
            <w:right w:val="none" w:sz="0" w:space="0" w:color="auto"/>
          </w:divBdr>
        </w:div>
        <w:div w:id="330639512">
          <w:marLeft w:val="0"/>
          <w:marRight w:val="0"/>
          <w:marTop w:val="0"/>
          <w:marBottom w:val="0"/>
          <w:divBdr>
            <w:top w:val="none" w:sz="0" w:space="0" w:color="auto"/>
            <w:left w:val="none" w:sz="0" w:space="0" w:color="auto"/>
            <w:bottom w:val="none" w:sz="0" w:space="0" w:color="auto"/>
            <w:right w:val="none" w:sz="0" w:space="0" w:color="auto"/>
          </w:divBdr>
        </w:div>
        <w:div w:id="1503542623">
          <w:marLeft w:val="0"/>
          <w:marRight w:val="0"/>
          <w:marTop w:val="0"/>
          <w:marBottom w:val="0"/>
          <w:divBdr>
            <w:top w:val="none" w:sz="0" w:space="0" w:color="auto"/>
            <w:left w:val="none" w:sz="0" w:space="0" w:color="auto"/>
            <w:bottom w:val="none" w:sz="0" w:space="0" w:color="auto"/>
            <w:right w:val="none" w:sz="0" w:space="0" w:color="auto"/>
          </w:divBdr>
        </w:div>
        <w:div w:id="2137335552">
          <w:marLeft w:val="0"/>
          <w:marRight w:val="0"/>
          <w:marTop w:val="0"/>
          <w:marBottom w:val="0"/>
          <w:divBdr>
            <w:top w:val="none" w:sz="0" w:space="0" w:color="auto"/>
            <w:left w:val="none" w:sz="0" w:space="0" w:color="auto"/>
            <w:bottom w:val="none" w:sz="0" w:space="0" w:color="auto"/>
            <w:right w:val="none" w:sz="0" w:space="0" w:color="auto"/>
          </w:divBdr>
        </w:div>
        <w:div w:id="1271400097">
          <w:marLeft w:val="0"/>
          <w:marRight w:val="0"/>
          <w:marTop w:val="0"/>
          <w:marBottom w:val="0"/>
          <w:divBdr>
            <w:top w:val="none" w:sz="0" w:space="0" w:color="auto"/>
            <w:left w:val="none" w:sz="0" w:space="0" w:color="auto"/>
            <w:bottom w:val="none" w:sz="0" w:space="0" w:color="auto"/>
            <w:right w:val="none" w:sz="0" w:space="0" w:color="auto"/>
          </w:divBdr>
        </w:div>
        <w:div w:id="1443499967">
          <w:marLeft w:val="0"/>
          <w:marRight w:val="0"/>
          <w:marTop w:val="0"/>
          <w:marBottom w:val="0"/>
          <w:divBdr>
            <w:top w:val="none" w:sz="0" w:space="0" w:color="auto"/>
            <w:left w:val="none" w:sz="0" w:space="0" w:color="auto"/>
            <w:bottom w:val="none" w:sz="0" w:space="0" w:color="auto"/>
            <w:right w:val="none" w:sz="0" w:space="0" w:color="auto"/>
          </w:divBdr>
        </w:div>
      </w:divsChild>
    </w:div>
    <w:div w:id="455829181">
      <w:bodyDiv w:val="1"/>
      <w:marLeft w:val="0"/>
      <w:marRight w:val="0"/>
      <w:marTop w:val="0"/>
      <w:marBottom w:val="0"/>
      <w:divBdr>
        <w:top w:val="none" w:sz="0" w:space="0" w:color="auto"/>
        <w:left w:val="none" w:sz="0" w:space="0" w:color="auto"/>
        <w:bottom w:val="none" w:sz="0" w:space="0" w:color="auto"/>
        <w:right w:val="none" w:sz="0" w:space="0" w:color="auto"/>
      </w:divBdr>
    </w:div>
    <w:div w:id="523401256">
      <w:bodyDiv w:val="1"/>
      <w:marLeft w:val="0"/>
      <w:marRight w:val="0"/>
      <w:marTop w:val="0"/>
      <w:marBottom w:val="0"/>
      <w:divBdr>
        <w:top w:val="none" w:sz="0" w:space="0" w:color="auto"/>
        <w:left w:val="none" w:sz="0" w:space="0" w:color="auto"/>
        <w:bottom w:val="none" w:sz="0" w:space="0" w:color="auto"/>
        <w:right w:val="none" w:sz="0" w:space="0" w:color="auto"/>
      </w:divBdr>
    </w:div>
    <w:div w:id="583030369">
      <w:bodyDiv w:val="1"/>
      <w:marLeft w:val="0"/>
      <w:marRight w:val="0"/>
      <w:marTop w:val="0"/>
      <w:marBottom w:val="0"/>
      <w:divBdr>
        <w:top w:val="none" w:sz="0" w:space="0" w:color="auto"/>
        <w:left w:val="none" w:sz="0" w:space="0" w:color="auto"/>
        <w:bottom w:val="none" w:sz="0" w:space="0" w:color="auto"/>
        <w:right w:val="none" w:sz="0" w:space="0" w:color="auto"/>
      </w:divBdr>
    </w:div>
    <w:div w:id="1017468699">
      <w:bodyDiv w:val="1"/>
      <w:marLeft w:val="0"/>
      <w:marRight w:val="0"/>
      <w:marTop w:val="0"/>
      <w:marBottom w:val="0"/>
      <w:divBdr>
        <w:top w:val="none" w:sz="0" w:space="0" w:color="auto"/>
        <w:left w:val="none" w:sz="0" w:space="0" w:color="auto"/>
        <w:bottom w:val="none" w:sz="0" w:space="0" w:color="auto"/>
        <w:right w:val="none" w:sz="0" w:space="0" w:color="auto"/>
      </w:divBdr>
    </w:div>
    <w:div w:id="1105342209">
      <w:bodyDiv w:val="1"/>
      <w:marLeft w:val="0"/>
      <w:marRight w:val="0"/>
      <w:marTop w:val="0"/>
      <w:marBottom w:val="0"/>
      <w:divBdr>
        <w:top w:val="none" w:sz="0" w:space="0" w:color="auto"/>
        <w:left w:val="none" w:sz="0" w:space="0" w:color="auto"/>
        <w:bottom w:val="none" w:sz="0" w:space="0" w:color="auto"/>
        <w:right w:val="none" w:sz="0" w:space="0" w:color="auto"/>
      </w:divBdr>
      <w:divsChild>
        <w:div w:id="1214734504">
          <w:marLeft w:val="0"/>
          <w:marRight w:val="0"/>
          <w:marTop w:val="0"/>
          <w:marBottom w:val="0"/>
          <w:divBdr>
            <w:top w:val="none" w:sz="0" w:space="0" w:color="auto"/>
            <w:left w:val="none" w:sz="0" w:space="0" w:color="auto"/>
            <w:bottom w:val="none" w:sz="0" w:space="0" w:color="auto"/>
            <w:right w:val="none" w:sz="0" w:space="0" w:color="auto"/>
          </w:divBdr>
        </w:div>
        <w:div w:id="918098020">
          <w:marLeft w:val="0"/>
          <w:marRight w:val="0"/>
          <w:marTop w:val="0"/>
          <w:marBottom w:val="0"/>
          <w:divBdr>
            <w:top w:val="none" w:sz="0" w:space="0" w:color="auto"/>
            <w:left w:val="none" w:sz="0" w:space="0" w:color="auto"/>
            <w:bottom w:val="none" w:sz="0" w:space="0" w:color="auto"/>
            <w:right w:val="none" w:sz="0" w:space="0" w:color="auto"/>
          </w:divBdr>
        </w:div>
        <w:div w:id="1638951298">
          <w:marLeft w:val="0"/>
          <w:marRight w:val="0"/>
          <w:marTop w:val="0"/>
          <w:marBottom w:val="0"/>
          <w:divBdr>
            <w:top w:val="none" w:sz="0" w:space="0" w:color="auto"/>
            <w:left w:val="none" w:sz="0" w:space="0" w:color="auto"/>
            <w:bottom w:val="none" w:sz="0" w:space="0" w:color="auto"/>
            <w:right w:val="none" w:sz="0" w:space="0" w:color="auto"/>
          </w:divBdr>
        </w:div>
        <w:div w:id="1338843948">
          <w:marLeft w:val="0"/>
          <w:marRight w:val="0"/>
          <w:marTop w:val="0"/>
          <w:marBottom w:val="0"/>
          <w:divBdr>
            <w:top w:val="none" w:sz="0" w:space="0" w:color="auto"/>
            <w:left w:val="none" w:sz="0" w:space="0" w:color="auto"/>
            <w:bottom w:val="none" w:sz="0" w:space="0" w:color="auto"/>
            <w:right w:val="none" w:sz="0" w:space="0" w:color="auto"/>
          </w:divBdr>
        </w:div>
        <w:div w:id="1823693744">
          <w:marLeft w:val="0"/>
          <w:marRight w:val="0"/>
          <w:marTop w:val="0"/>
          <w:marBottom w:val="0"/>
          <w:divBdr>
            <w:top w:val="none" w:sz="0" w:space="0" w:color="auto"/>
            <w:left w:val="none" w:sz="0" w:space="0" w:color="auto"/>
            <w:bottom w:val="none" w:sz="0" w:space="0" w:color="auto"/>
            <w:right w:val="none" w:sz="0" w:space="0" w:color="auto"/>
          </w:divBdr>
        </w:div>
        <w:div w:id="249387277">
          <w:marLeft w:val="0"/>
          <w:marRight w:val="0"/>
          <w:marTop w:val="0"/>
          <w:marBottom w:val="0"/>
          <w:divBdr>
            <w:top w:val="none" w:sz="0" w:space="0" w:color="auto"/>
            <w:left w:val="none" w:sz="0" w:space="0" w:color="auto"/>
            <w:bottom w:val="none" w:sz="0" w:space="0" w:color="auto"/>
            <w:right w:val="none" w:sz="0" w:space="0" w:color="auto"/>
          </w:divBdr>
        </w:div>
        <w:div w:id="2064862444">
          <w:marLeft w:val="0"/>
          <w:marRight w:val="0"/>
          <w:marTop w:val="0"/>
          <w:marBottom w:val="0"/>
          <w:divBdr>
            <w:top w:val="none" w:sz="0" w:space="0" w:color="auto"/>
            <w:left w:val="none" w:sz="0" w:space="0" w:color="auto"/>
            <w:bottom w:val="none" w:sz="0" w:space="0" w:color="auto"/>
            <w:right w:val="none" w:sz="0" w:space="0" w:color="auto"/>
          </w:divBdr>
        </w:div>
        <w:div w:id="707678801">
          <w:marLeft w:val="0"/>
          <w:marRight w:val="0"/>
          <w:marTop w:val="0"/>
          <w:marBottom w:val="0"/>
          <w:divBdr>
            <w:top w:val="none" w:sz="0" w:space="0" w:color="auto"/>
            <w:left w:val="none" w:sz="0" w:space="0" w:color="auto"/>
            <w:bottom w:val="none" w:sz="0" w:space="0" w:color="auto"/>
            <w:right w:val="none" w:sz="0" w:space="0" w:color="auto"/>
          </w:divBdr>
        </w:div>
        <w:div w:id="522979135">
          <w:marLeft w:val="0"/>
          <w:marRight w:val="0"/>
          <w:marTop w:val="0"/>
          <w:marBottom w:val="0"/>
          <w:divBdr>
            <w:top w:val="none" w:sz="0" w:space="0" w:color="auto"/>
            <w:left w:val="none" w:sz="0" w:space="0" w:color="auto"/>
            <w:bottom w:val="none" w:sz="0" w:space="0" w:color="auto"/>
            <w:right w:val="none" w:sz="0" w:space="0" w:color="auto"/>
          </w:divBdr>
        </w:div>
        <w:div w:id="98919511">
          <w:marLeft w:val="0"/>
          <w:marRight w:val="0"/>
          <w:marTop w:val="0"/>
          <w:marBottom w:val="0"/>
          <w:divBdr>
            <w:top w:val="none" w:sz="0" w:space="0" w:color="auto"/>
            <w:left w:val="none" w:sz="0" w:space="0" w:color="auto"/>
            <w:bottom w:val="none" w:sz="0" w:space="0" w:color="auto"/>
            <w:right w:val="none" w:sz="0" w:space="0" w:color="auto"/>
          </w:divBdr>
        </w:div>
        <w:div w:id="1941450084">
          <w:marLeft w:val="0"/>
          <w:marRight w:val="0"/>
          <w:marTop w:val="0"/>
          <w:marBottom w:val="0"/>
          <w:divBdr>
            <w:top w:val="none" w:sz="0" w:space="0" w:color="auto"/>
            <w:left w:val="none" w:sz="0" w:space="0" w:color="auto"/>
            <w:bottom w:val="none" w:sz="0" w:space="0" w:color="auto"/>
            <w:right w:val="none" w:sz="0" w:space="0" w:color="auto"/>
          </w:divBdr>
        </w:div>
        <w:div w:id="1871916344">
          <w:marLeft w:val="0"/>
          <w:marRight w:val="0"/>
          <w:marTop w:val="0"/>
          <w:marBottom w:val="0"/>
          <w:divBdr>
            <w:top w:val="none" w:sz="0" w:space="0" w:color="auto"/>
            <w:left w:val="none" w:sz="0" w:space="0" w:color="auto"/>
            <w:bottom w:val="none" w:sz="0" w:space="0" w:color="auto"/>
            <w:right w:val="none" w:sz="0" w:space="0" w:color="auto"/>
          </w:divBdr>
        </w:div>
        <w:div w:id="1263495930">
          <w:marLeft w:val="0"/>
          <w:marRight w:val="0"/>
          <w:marTop w:val="0"/>
          <w:marBottom w:val="0"/>
          <w:divBdr>
            <w:top w:val="none" w:sz="0" w:space="0" w:color="auto"/>
            <w:left w:val="none" w:sz="0" w:space="0" w:color="auto"/>
            <w:bottom w:val="none" w:sz="0" w:space="0" w:color="auto"/>
            <w:right w:val="none" w:sz="0" w:space="0" w:color="auto"/>
          </w:divBdr>
        </w:div>
        <w:div w:id="704988504">
          <w:marLeft w:val="0"/>
          <w:marRight w:val="0"/>
          <w:marTop w:val="0"/>
          <w:marBottom w:val="0"/>
          <w:divBdr>
            <w:top w:val="none" w:sz="0" w:space="0" w:color="auto"/>
            <w:left w:val="none" w:sz="0" w:space="0" w:color="auto"/>
            <w:bottom w:val="none" w:sz="0" w:space="0" w:color="auto"/>
            <w:right w:val="none" w:sz="0" w:space="0" w:color="auto"/>
          </w:divBdr>
        </w:div>
        <w:div w:id="1317686640">
          <w:marLeft w:val="0"/>
          <w:marRight w:val="0"/>
          <w:marTop w:val="0"/>
          <w:marBottom w:val="0"/>
          <w:divBdr>
            <w:top w:val="none" w:sz="0" w:space="0" w:color="auto"/>
            <w:left w:val="none" w:sz="0" w:space="0" w:color="auto"/>
            <w:bottom w:val="none" w:sz="0" w:space="0" w:color="auto"/>
            <w:right w:val="none" w:sz="0" w:space="0" w:color="auto"/>
          </w:divBdr>
        </w:div>
        <w:div w:id="1759668647">
          <w:marLeft w:val="0"/>
          <w:marRight w:val="0"/>
          <w:marTop w:val="0"/>
          <w:marBottom w:val="0"/>
          <w:divBdr>
            <w:top w:val="none" w:sz="0" w:space="0" w:color="auto"/>
            <w:left w:val="none" w:sz="0" w:space="0" w:color="auto"/>
            <w:bottom w:val="none" w:sz="0" w:space="0" w:color="auto"/>
            <w:right w:val="none" w:sz="0" w:space="0" w:color="auto"/>
          </w:divBdr>
        </w:div>
        <w:div w:id="1698849934">
          <w:marLeft w:val="0"/>
          <w:marRight w:val="0"/>
          <w:marTop w:val="0"/>
          <w:marBottom w:val="0"/>
          <w:divBdr>
            <w:top w:val="none" w:sz="0" w:space="0" w:color="auto"/>
            <w:left w:val="none" w:sz="0" w:space="0" w:color="auto"/>
            <w:bottom w:val="none" w:sz="0" w:space="0" w:color="auto"/>
            <w:right w:val="none" w:sz="0" w:space="0" w:color="auto"/>
          </w:divBdr>
        </w:div>
      </w:divsChild>
    </w:div>
    <w:div w:id="1377662762">
      <w:bodyDiv w:val="1"/>
      <w:marLeft w:val="0"/>
      <w:marRight w:val="0"/>
      <w:marTop w:val="0"/>
      <w:marBottom w:val="0"/>
      <w:divBdr>
        <w:top w:val="none" w:sz="0" w:space="0" w:color="auto"/>
        <w:left w:val="none" w:sz="0" w:space="0" w:color="auto"/>
        <w:bottom w:val="none" w:sz="0" w:space="0" w:color="auto"/>
        <w:right w:val="none" w:sz="0" w:space="0" w:color="auto"/>
      </w:divBdr>
      <w:divsChild>
        <w:div w:id="841362354">
          <w:marLeft w:val="0"/>
          <w:marRight w:val="0"/>
          <w:marTop w:val="0"/>
          <w:marBottom w:val="0"/>
          <w:divBdr>
            <w:top w:val="none" w:sz="0" w:space="0" w:color="auto"/>
            <w:left w:val="none" w:sz="0" w:space="0" w:color="auto"/>
            <w:bottom w:val="none" w:sz="0" w:space="0" w:color="auto"/>
            <w:right w:val="none" w:sz="0" w:space="0" w:color="auto"/>
          </w:divBdr>
          <w:divsChild>
            <w:div w:id="16653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89996">
      <w:bodyDiv w:val="1"/>
      <w:marLeft w:val="0"/>
      <w:marRight w:val="0"/>
      <w:marTop w:val="0"/>
      <w:marBottom w:val="0"/>
      <w:divBdr>
        <w:top w:val="none" w:sz="0" w:space="0" w:color="auto"/>
        <w:left w:val="none" w:sz="0" w:space="0" w:color="auto"/>
        <w:bottom w:val="none" w:sz="0" w:space="0" w:color="auto"/>
        <w:right w:val="none" w:sz="0" w:space="0" w:color="auto"/>
      </w:divBdr>
    </w:div>
    <w:div w:id="1625621815">
      <w:bodyDiv w:val="1"/>
      <w:marLeft w:val="0"/>
      <w:marRight w:val="0"/>
      <w:marTop w:val="0"/>
      <w:marBottom w:val="0"/>
      <w:divBdr>
        <w:top w:val="none" w:sz="0" w:space="0" w:color="auto"/>
        <w:left w:val="none" w:sz="0" w:space="0" w:color="auto"/>
        <w:bottom w:val="none" w:sz="0" w:space="0" w:color="auto"/>
        <w:right w:val="none" w:sz="0" w:space="0" w:color="auto"/>
      </w:divBdr>
    </w:div>
    <w:div w:id="1715502899">
      <w:bodyDiv w:val="1"/>
      <w:marLeft w:val="0"/>
      <w:marRight w:val="0"/>
      <w:marTop w:val="0"/>
      <w:marBottom w:val="0"/>
      <w:divBdr>
        <w:top w:val="none" w:sz="0" w:space="0" w:color="auto"/>
        <w:left w:val="none" w:sz="0" w:space="0" w:color="auto"/>
        <w:bottom w:val="none" w:sz="0" w:space="0" w:color="auto"/>
        <w:right w:val="none" w:sz="0" w:space="0" w:color="auto"/>
      </w:divBdr>
      <w:divsChild>
        <w:div w:id="974025038">
          <w:marLeft w:val="0"/>
          <w:marRight w:val="0"/>
          <w:marTop w:val="0"/>
          <w:marBottom w:val="0"/>
          <w:divBdr>
            <w:top w:val="none" w:sz="0" w:space="0" w:color="auto"/>
            <w:left w:val="none" w:sz="0" w:space="0" w:color="auto"/>
            <w:bottom w:val="none" w:sz="0" w:space="0" w:color="auto"/>
            <w:right w:val="none" w:sz="0" w:space="0" w:color="auto"/>
          </w:divBdr>
          <w:divsChild>
            <w:div w:id="18866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6335">
      <w:bodyDiv w:val="1"/>
      <w:marLeft w:val="0"/>
      <w:marRight w:val="0"/>
      <w:marTop w:val="0"/>
      <w:marBottom w:val="0"/>
      <w:divBdr>
        <w:top w:val="none" w:sz="0" w:space="0" w:color="auto"/>
        <w:left w:val="none" w:sz="0" w:space="0" w:color="auto"/>
        <w:bottom w:val="none" w:sz="0" w:space="0" w:color="auto"/>
        <w:right w:val="none" w:sz="0" w:space="0" w:color="auto"/>
      </w:divBdr>
    </w:div>
    <w:div w:id="2004818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E5CBF-B3F2-452A-BE09-2468E778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21</Pages>
  <Words>8073</Words>
  <Characters>46020</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YASHOMITA MEHTA</cp:lastModifiedBy>
  <cp:revision>46</cp:revision>
  <dcterms:created xsi:type="dcterms:W3CDTF">2022-08-21T09:03:00Z</dcterms:created>
  <dcterms:modified xsi:type="dcterms:W3CDTF">2022-08-21T11:36:00Z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e899ecb8-558f-3090-95e7-0852bdc9104d</vt:lpwstr>
  </property>
</Properties>
</file>