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9086D" w14:textId="7A2875F9" w:rsidR="003931EF" w:rsidRDefault="00AE799E" w:rsidP="00AD0E87">
      <w:pPr>
        <w:spacing w:line="240" w:lineRule="auto"/>
        <w:jc w:val="center"/>
        <w:rPr>
          <w:rFonts w:ascii="Times New Roman" w:hAnsi="Times New Roman" w:cs="Times New Roman"/>
          <w:b/>
          <w:sz w:val="48"/>
          <w:szCs w:val="48"/>
        </w:rPr>
      </w:pPr>
      <w:r>
        <w:rPr>
          <w:rFonts w:ascii="Times New Roman" w:hAnsi="Times New Roman" w:cs="Times New Roman"/>
          <w:b/>
          <w:sz w:val="48"/>
          <w:szCs w:val="48"/>
        </w:rPr>
        <w:t xml:space="preserve">A Study on </w:t>
      </w:r>
      <w:r w:rsidR="000E111A" w:rsidRPr="001C2F3D">
        <w:rPr>
          <w:rFonts w:ascii="Times New Roman" w:hAnsi="Times New Roman" w:cs="Times New Roman"/>
          <w:b/>
          <w:sz w:val="48"/>
          <w:szCs w:val="48"/>
        </w:rPr>
        <w:t>Mother and Child Health</w:t>
      </w:r>
      <w:r w:rsidR="003D7CC5" w:rsidRPr="001C2F3D">
        <w:rPr>
          <w:rFonts w:ascii="Times New Roman" w:hAnsi="Times New Roman" w:cs="Times New Roman"/>
          <w:b/>
          <w:sz w:val="48"/>
          <w:szCs w:val="48"/>
        </w:rPr>
        <w:t>care</w:t>
      </w:r>
      <w:r w:rsidR="001C2724" w:rsidRPr="001C2F3D">
        <w:rPr>
          <w:rFonts w:ascii="Times New Roman" w:hAnsi="Times New Roman" w:cs="Times New Roman"/>
          <w:b/>
          <w:sz w:val="48"/>
          <w:szCs w:val="48"/>
        </w:rPr>
        <w:t xml:space="preserve"> </w:t>
      </w:r>
      <w:r w:rsidR="00660D47">
        <w:rPr>
          <w:rFonts w:ascii="Times New Roman" w:hAnsi="Times New Roman" w:cs="Times New Roman"/>
          <w:b/>
          <w:sz w:val="48"/>
          <w:szCs w:val="48"/>
        </w:rPr>
        <w:t xml:space="preserve">Utilization </w:t>
      </w:r>
      <w:r w:rsidR="00175708" w:rsidRPr="001C2F3D">
        <w:rPr>
          <w:rFonts w:ascii="Times New Roman" w:hAnsi="Times New Roman" w:cs="Times New Roman"/>
          <w:b/>
          <w:sz w:val="48"/>
          <w:szCs w:val="48"/>
        </w:rPr>
        <w:t xml:space="preserve">Status </w:t>
      </w:r>
      <w:r w:rsidR="00E525FA" w:rsidRPr="001C2F3D">
        <w:rPr>
          <w:rFonts w:ascii="Times New Roman" w:hAnsi="Times New Roman" w:cs="Times New Roman"/>
          <w:b/>
          <w:sz w:val="48"/>
          <w:szCs w:val="48"/>
        </w:rPr>
        <w:t>in India</w:t>
      </w:r>
    </w:p>
    <w:p w14:paraId="35853556" w14:textId="4525AC70" w:rsidR="00AD0E87" w:rsidRDefault="00AD0E87" w:rsidP="00AD0E87">
      <w:pPr>
        <w:spacing w:line="240" w:lineRule="auto"/>
        <w:jc w:val="center"/>
        <w:rPr>
          <w:rFonts w:ascii="Times New Roman" w:hAnsi="Times New Roman" w:cs="Times New Roman"/>
          <w:sz w:val="20"/>
          <w:szCs w:val="20"/>
        </w:rPr>
      </w:pPr>
      <w:r>
        <w:rPr>
          <w:rFonts w:ascii="Times New Roman" w:hAnsi="Times New Roman" w:cs="Times New Roman"/>
          <w:b/>
          <w:sz w:val="20"/>
          <w:szCs w:val="20"/>
        </w:rPr>
        <w:t xml:space="preserve">K. PRABHU, </w:t>
      </w:r>
      <w:r w:rsidR="00D33780">
        <w:rPr>
          <w:rFonts w:ascii="Times New Roman" w:hAnsi="Times New Roman" w:cs="Times New Roman"/>
          <w:sz w:val="20"/>
          <w:szCs w:val="20"/>
        </w:rPr>
        <w:t>PhD</w:t>
      </w:r>
      <w:r>
        <w:rPr>
          <w:rFonts w:ascii="Times New Roman" w:hAnsi="Times New Roman" w:cs="Times New Roman"/>
          <w:sz w:val="20"/>
          <w:szCs w:val="20"/>
        </w:rPr>
        <w:t xml:space="preserve"> Research Scholar, Department of Economics, Thiruvalluvar University, Vellore, India – 632102</w:t>
      </w:r>
    </w:p>
    <w:p w14:paraId="525BE1C2" w14:textId="77777777" w:rsidR="00AD0E87" w:rsidRDefault="00AD0E87" w:rsidP="00AD0E87">
      <w:pPr>
        <w:spacing w:line="240" w:lineRule="auto"/>
        <w:jc w:val="center"/>
        <w:rPr>
          <w:rFonts w:ascii="Times New Roman" w:hAnsi="Times New Roman" w:cs="Times New Roman"/>
          <w:sz w:val="20"/>
          <w:szCs w:val="20"/>
        </w:rPr>
      </w:pPr>
      <w:r w:rsidRPr="00AD0E87">
        <w:rPr>
          <w:rFonts w:ascii="Times New Roman" w:hAnsi="Times New Roman" w:cs="Times New Roman"/>
          <w:b/>
          <w:sz w:val="20"/>
          <w:szCs w:val="20"/>
        </w:rPr>
        <w:t>Dr. C. DHANDAPANI</w:t>
      </w:r>
      <w:r>
        <w:rPr>
          <w:rFonts w:ascii="Times New Roman" w:hAnsi="Times New Roman" w:cs="Times New Roman"/>
          <w:b/>
          <w:sz w:val="20"/>
          <w:szCs w:val="20"/>
        </w:rPr>
        <w:t xml:space="preserve">, </w:t>
      </w:r>
      <w:r>
        <w:rPr>
          <w:rFonts w:ascii="Times New Roman" w:hAnsi="Times New Roman" w:cs="Times New Roman"/>
          <w:sz w:val="20"/>
          <w:szCs w:val="20"/>
        </w:rPr>
        <w:t>Professor, Department of Economics, Thiruvalluvar University, Vellore, India – 632102</w:t>
      </w:r>
    </w:p>
    <w:p w14:paraId="29F0AE30" w14:textId="77777777" w:rsidR="00AD0E87" w:rsidRDefault="00AD0E87" w:rsidP="00AD0E87">
      <w:pPr>
        <w:spacing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115731B2" w14:textId="6241C963" w:rsidR="00AD0E87" w:rsidRPr="006654CA" w:rsidRDefault="007C29DD" w:rsidP="00954387">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A2521A">
        <w:rPr>
          <w:rFonts w:ascii="Times New Roman" w:hAnsi="Times New Roman" w:cs="Times New Roman"/>
          <w:bCs/>
          <w:sz w:val="20"/>
          <w:szCs w:val="20"/>
        </w:rPr>
        <w:t xml:space="preserve">The National Family Health Survey 4 &amp; 5 served as the sole source of information for this article. Describe the availability of maternal and child healthcare in India's rural and urban locations. India has already fallen short of millennium development targets pertaining to the health of disadvantaged populations. These objectives are currently being continued with sustainable targets. Through various schemes and programmes, India offers healthcare services. such as the universal immunisation programme, the </w:t>
      </w:r>
      <w:proofErr w:type="spellStart"/>
      <w:r w:rsidR="00A2521A">
        <w:rPr>
          <w:rFonts w:ascii="Times New Roman" w:hAnsi="Times New Roman" w:cs="Times New Roman"/>
          <w:bCs/>
          <w:sz w:val="20"/>
          <w:szCs w:val="20"/>
        </w:rPr>
        <w:t>janani</w:t>
      </w:r>
      <w:proofErr w:type="spellEnd"/>
      <w:r w:rsidR="00A2521A">
        <w:rPr>
          <w:rFonts w:ascii="Times New Roman" w:hAnsi="Times New Roman" w:cs="Times New Roman"/>
          <w:bCs/>
          <w:sz w:val="20"/>
          <w:szCs w:val="20"/>
        </w:rPr>
        <w:t xml:space="preserve"> </w:t>
      </w:r>
      <w:proofErr w:type="spellStart"/>
      <w:r w:rsidR="00A2521A">
        <w:rPr>
          <w:rFonts w:ascii="Times New Roman" w:hAnsi="Times New Roman" w:cs="Times New Roman"/>
          <w:bCs/>
          <w:sz w:val="20"/>
          <w:szCs w:val="20"/>
        </w:rPr>
        <w:t>suraksha</w:t>
      </w:r>
      <w:proofErr w:type="spellEnd"/>
      <w:r w:rsidR="00A2521A">
        <w:rPr>
          <w:rFonts w:ascii="Times New Roman" w:hAnsi="Times New Roman" w:cs="Times New Roman"/>
          <w:bCs/>
          <w:sz w:val="20"/>
          <w:szCs w:val="20"/>
        </w:rPr>
        <w:t xml:space="preserve"> yojana, the </w:t>
      </w:r>
      <w:proofErr w:type="spellStart"/>
      <w:r w:rsidR="00A2521A">
        <w:rPr>
          <w:rFonts w:ascii="Times New Roman" w:hAnsi="Times New Roman" w:cs="Times New Roman"/>
          <w:bCs/>
          <w:sz w:val="20"/>
          <w:szCs w:val="20"/>
        </w:rPr>
        <w:t>janani</w:t>
      </w:r>
      <w:proofErr w:type="spellEnd"/>
      <w:r w:rsidR="00A2521A">
        <w:rPr>
          <w:rFonts w:ascii="Times New Roman" w:hAnsi="Times New Roman" w:cs="Times New Roman"/>
          <w:bCs/>
          <w:sz w:val="20"/>
          <w:szCs w:val="20"/>
        </w:rPr>
        <w:t xml:space="preserve"> </w:t>
      </w:r>
      <w:proofErr w:type="spellStart"/>
      <w:r w:rsidR="00A2521A">
        <w:rPr>
          <w:rFonts w:ascii="Times New Roman" w:hAnsi="Times New Roman" w:cs="Times New Roman"/>
          <w:bCs/>
          <w:sz w:val="20"/>
          <w:szCs w:val="20"/>
        </w:rPr>
        <w:t>shishu</w:t>
      </w:r>
      <w:proofErr w:type="spellEnd"/>
      <w:r w:rsidR="00A2521A">
        <w:rPr>
          <w:rFonts w:ascii="Times New Roman" w:hAnsi="Times New Roman" w:cs="Times New Roman"/>
          <w:bCs/>
          <w:sz w:val="20"/>
          <w:szCs w:val="20"/>
        </w:rPr>
        <w:t xml:space="preserve"> </w:t>
      </w:r>
      <w:proofErr w:type="spellStart"/>
      <w:r w:rsidR="00A2521A">
        <w:rPr>
          <w:rFonts w:ascii="Times New Roman" w:hAnsi="Times New Roman" w:cs="Times New Roman"/>
          <w:bCs/>
          <w:sz w:val="20"/>
          <w:szCs w:val="20"/>
        </w:rPr>
        <w:t>suraksha</w:t>
      </w:r>
      <w:proofErr w:type="spellEnd"/>
      <w:r w:rsidR="00A2521A">
        <w:rPr>
          <w:rFonts w:ascii="Times New Roman" w:hAnsi="Times New Roman" w:cs="Times New Roman"/>
          <w:bCs/>
          <w:sz w:val="20"/>
          <w:szCs w:val="20"/>
        </w:rPr>
        <w:t xml:space="preserve"> </w:t>
      </w:r>
      <w:proofErr w:type="spellStart"/>
      <w:r w:rsidR="00A2521A">
        <w:rPr>
          <w:rFonts w:ascii="Times New Roman" w:hAnsi="Times New Roman" w:cs="Times New Roman"/>
          <w:bCs/>
          <w:sz w:val="20"/>
          <w:szCs w:val="20"/>
        </w:rPr>
        <w:t>karyakaram</w:t>
      </w:r>
      <w:proofErr w:type="spellEnd"/>
      <w:r w:rsidR="00A2521A">
        <w:rPr>
          <w:rFonts w:ascii="Times New Roman" w:hAnsi="Times New Roman" w:cs="Times New Roman"/>
          <w:bCs/>
          <w:sz w:val="20"/>
          <w:szCs w:val="20"/>
        </w:rPr>
        <w:t xml:space="preserve">, the Pradhan Mantri </w:t>
      </w:r>
      <w:proofErr w:type="spellStart"/>
      <w:r w:rsidR="00A2521A">
        <w:rPr>
          <w:rFonts w:ascii="Times New Roman" w:hAnsi="Times New Roman" w:cs="Times New Roman"/>
          <w:bCs/>
          <w:sz w:val="20"/>
          <w:szCs w:val="20"/>
        </w:rPr>
        <w:t>Surakshit</w:t>
      </w:r>
      <w:proofErr w:type="spellEnd"/>
      <w:r w:rsidR="00A2521A">
        <w:rPr>
          <w:rFonts w:ascii="Times New Roman" w:hAnsi="Times New Roman" w:cs="Times New Roman"/>
          <w:bCs/>
          <w:sz w:val="20"/>
          <w:szCs w:val="20"/>
        </w:rPr>
        <w:t xml:space="preserve"> </w:t>
      </w:r>
      <w:proofErr w:type="spellStart"/>
      <w:r w:rsidR="00A2521A">
        <w:rPr>
          <w:rFonts w:ascii="Times New Roman" w:hAnsi="Times New Roman" w:cs="Times New Roman"/>
          <w:bCs/>
          <w:sz w:val="20"/>
          <w:szCs w:val="20"/>
        </w:rPr>
        <w:t>Matritva</w:t>
      </w:r>
      <w:proofErr w:type="spellEnd"/>
      <w:r w:rsidR="00A2521A">
        <w:rPr>
          <w:rFonts w:ascii="Times New Roman" w:hAnsi="Times New Roman" w:cs="Times New Roman"/>
          <w:bCs/>
          <w:sz w:val="20"/>
          <w:szCs w:val="20"/>
        </w:rPr>
        <w:t xml:space="preserve"> Abhiyan, and the integrated child development service programme </w:t>
      </w:r>
      <w:proofErr w:type="gramStart"/>
      <w:r w:rsidR="00A2521A">
        <w:rPr>
          <w:rFonts w:ascii="Times New Roman" w:hAnsi="Times New Roman" w:cs="Times New Roman"/>
          <w:bCs/>
          <w:sz w:val="20"/>
          <w:szCs w:val="20"/>
        </w:rPr>
        <w:t>The</w:t>
      </w:r>
      <w:proofErr w:type="gramEnd"/>
      <w:r w:rsidR="00A2521A">
        <w:rPr>
          <w:rFonts w:ascii="Times New Roman" w:hAnsi="Times New Roman" w:cs="Times New Roman"/>
          <w:bCs/>
          <w:sz w:val="20"/>
          <w:szCs w:val="20"/>
        </w:rPr>
        <w:t xml:space="preserve"> availability of maternal and child healthcare has generally increased, and both rural and urban child death rates have declined. In India, the majority of mothers and children seek out public health facilities. Additionally, the level of child immunization was raised, and further vaccines were obtained from a public health centre. Women and children can get nutritional support from the Anganwadi centres. This kind of data is not included in the national family health survey. Therefore, in the future, data on nutritional supplements from Anganwadi should be added in the national family health survey. </w:t>
      </w:r>
    </w:p>
    <w:p w14:paraId="591A2D5D" w14:textId="77777777" w:rsidR="000F7950" w:rsidRPr="001C2F3D" w:rsidRDefault="004125A4" w:rsidP="00AD0E87">
      <w:pPr>
        <w:spacing w:line="240" w:lineRule="auto"/>
        <w:jc w:val="center"/>
        <w:rPr>
          <w:rFonts w:ascii="Times New Roman" w:hAnsi="Times New Roman" w:cs="Times New Roman"/>
          <w:sz w:val="20"/>
          <w:szCs w:val="20"/>
        </w:rPr>
      </w:pPr>
      <w:r w:rsidRPr="001C2F3D">
        <w:rPr>
          <w:rFonts w:ascii="Times New Roman" w:hAnsi="Times New Roman" w:cs="Times New Roman"/>
          <w:b/>
          <w:sz w:val="20"/>
          <w:szCs w:val="20"/>
        </w:rPr>
        <w:t xml:space="preserve">Keywords: </w:t>
      </w:r>
      <w:r w:rsidRPr="001C2F3D">
        <w:rPr>
          <w:rFonts w:ascii="Times New Roman" w:hAnsi="Times New Roman" w:cs="Times New Roman"/>
          <w:sz w:val="20"/>
          <w:szCs w:val="20"/>
        </w:rPr>
        <w:t xml:space="preserve">Mother health, child health, antenatal care, postnatal care, Delivery care, child vaccination, </w:t>
      </w:r>
      <w:r w:rsidR="008C7692" w:rsidRPr="001C2F3D">
        <w:rPr>
          <w:rFonts w:ascii="Times New Roman" w:hAnsi="Times New Roman" w:cs="Times New Roman"/>
          <w:sz w:val="20"/>
          <w:szCs w:val="20"/>
        </w:rPr>
        <w:t>Child mortalit</w:t>
      </w:r>
      <w:r w:rsidR="00DD0D46" w:rsidRPr="001C2F3D">
        <w:rPr>
          <w:rFonts w:ascii="Times New Roman" w:hAnsi="Times New Roman" w:cs="Times New Roman"/>
          <w:sz w:val="20"/>
          <w:szCs w:val="20"/>
        </w:rPr>
        <w:t>y</w:t>
      </w:r>
      <w:r w:rsidR="008C7692" w:rsidRPr="001C2F3D">
        <w:rPr>
          <w:rFonts w:ascii="Times New Roman" w:hAnsi="Times New Roman" w:cs="Times New Roman"/>
          <w:sz w:val="20"/>
          <w:szCs w:val="20"/>
        </w:rPr>
        <w:t xml:space="preserve">, Infant mortality </w:t>
      </w:r>
      <w:r w:rsidRPr="001C2F3D">
        <w:rPr>
          <w:rFonts w:ascii="Times New Roman" w:hAnsi="Times New Roman" w:cs="Times New Roman"/>
          <w:sz w:val="20"/>
          <w:szCs w:val="20"/>
        </w:rPr>
        <w:t>and India</w:t>
      </w:r>
    </w:p>
    <w:p w14:paraId="5C4B2F5C" w14:textId="77777777" w:rsidR="000F7950" w:rsidRPr="001C2F3D" w:rsidRDefault="006654CA" w:rsidP="006654C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Pr="001C2F3D">
        <w:rPr>
          <w:rFonts w:ascii="Times New Roman" w:hAnsi="Times New Roman" w:cs="Times New Roman"/>
          <w:b/>
          <w:sz w:val="20"/>
          <w:szCs w:val="20"/>
        </w:rPr>
        <w:t>. INTRODUCTION</w:t>
      </w:r>
    </w:p>
    <w:p w14:paraId="1B65E2BA" w14:textId="1C17FEB9" w:rsidR="003A3332" w:rsidRDefault="00FD7973" w:rsidP="0040221C">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terms of maternal and child health, India has already fallen short of millennium development targets. While the enhanced maternal health aim was not met, the target for the child mortality rate was marginally met. The Millennium Development Goals are currently being replaced by Sustainable Development Goals. </w:t>
      </w:r>
    </w:p>
    <w:p w14:paraId="4B64CFD0" w14:textId="38D668AF" w:rsidR="00F56AFB" w:rsidRPr="003B7487" w:rsidRDefault="00BE6DAC" w:rsidP="003A3332">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Healthcare services have always been excellent in India. Health is significant, particularly for those who are vulnerable, such as mothers and children. Through health programmes and plans, India has continued to improve maternal and child health. such as the National Health Mission, the Integrated Child Development Program, the Pradhan Mantri </w:t>
      </w:r>
      <w:proofErr w:type="spellStart"/>
      <w:r>
        <w:rPr>
          <w:rFonts w:ascii="Times New Roman" w:hAnsi="Times New Roman" w:cs="Times New Roman"/>
          <w:sz w:val="20"/>
          <w:szCs w:val="20"/>
        </w:rPr>
        <w:t>Surakshit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Matritva</w:t>
      </w:r>
      <w:proofErr w:type="spellEnd"/>
      <w:r>
        <w:rPr>
          <w:rFonts w:ascii="Times New Roman" w:hAnsi="Times New Roman" w:cs="Times New Roman"/>
          <w:sz w:val="20"/>
          <w:szCs w:val="20"/>
        </w:rPr>
        <w:t xml:space="preserve"> Abhiyan, the Janani </w:t>
      </w:r>
      <w:proofErr w:type="spellStart"/>
      <w:r>
        <w:rPr>
          <w:rFonts w:ascii="Times New Roman" w:hAnsi="Times New Roman" w:cs="Times New Roman"/>
          <w:sz w:val="20"/>
          <w:szCs w:val="20"/>
        </w:rPr>
        <w:t>Shishu</w:t>
      </w:r>
      <w:proofErr w:type="spellEnd"/>
      <w:r>
        <w:rPr>
          <w:rFonts w:ascii="Times New Roman" w:hAnsi="Times New Roman" w:cs="Times New Roman"/>
          <w:sz w:val="20"/>
          <w:szCs w:val="20"/>
        </w:rPr>
        <w:t xml:space="preserve"> Suraksha </w:t>
      </w:r>
      <w:proofErr w:type="spellStart"/>
      <w:r>
        <w:rPr>
          <w:rFonts w:ascii="Times New Roman" w:hAnsi="Times New Roman" w:cs="Times New Roman"/>
          <w:sz w:val="20"/>
          <w:szCs w:val="20"/>
        </w:rPr>
        <w:t>Karyakaram</w:t>
      </w:r>
      <w:proofErr w:type="spellEnd"/>
      <w:r>
        <w:rPr>
          <w:rFonts w:ascii="Times New Roman" w:hAnsi="Times New Roman" w:cs="Times New Roman"/>
          <w:sz w:val="20"/>
          <w:szCs w:val="20"/>
        </w:rPr>
        <w:t xml:space="preserve">, the Janani Suraksha Yojana, the Universal Immunization Programme, and the Pradhan Mantri </w:t>
      </w:r>
      <w:proofErr w:type="spellStart"/>
      <w:r>
        <w:rPr>
          <w:rFonts w:ascii="Times New Roman" w:hAnsi="Times New Roman" w:cs="Times New Roman"/>
          <w:sz w:val="20"/>
          <w:szCs w:val="20"/>
        </w:rPr>
        <w:t>Matru</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Vandhana</w:t>
      </w:r>
      <w:proofErr w:type="spellEnd"/>
      <w:r>
        <w:rPr>
          <w:rFonts w:ascii="Times New Roman" w:hAnsi="Times New Roman" w:cs="Times New Roman"/>
          <w:sz w:val="20"/>
          <w:szCs w:val="20"/>
        </w:rPr>
        <w:t xml:space="preserve"> Yojana. The health services offered by each programme </w:t>
      </w:r>
      <w:proofErr w:type="gramStart"/>
      <w:r>
        <w:rPr>
          <w:rFonts w:ascii="Times New Roman" w:hAnsi="Times New Roman" w:cs="Times New Roman"/>
          <w:sz w:val="20"/>
          <w:szCs w:val="20"/>
        </w:rPr>
        <w:t>have</w:t>
      </w:r>
      <w:proofErr w:type="gramEnd"/>
      <w:r>
        <w:rPr>
          <w:rFonts w:ascii="Times New Roman" w:hAnsi="Times New Roman" w:cs="Times New Roman"/>
          <w:sz w:val="20"/>
          <w:szCs w:val="20"/>
        </w:rPr>
        <w:t xml:space="preserve"> specific goals. </w:t>
      </w:r>
    </w:p>
    <w:p w14:paraId="75852DE9" w14:textId="338E2731" w:rsidR="00E2482C" w:rsidRPr="003B7487" w:rsidRDefault="003567E9" w:rsidP="003567E9">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Janani Suraksha Yojana (JSY) is a demand-promotion programme that offers pregnant women who deliver in a hospital a conditional cash transfer of incentive. It makes sure that institutional deliveries, postpartum care, and antenatal care (ANC) are done on time (PNC). However, the beneficiaries had to pay for things like transportation, diagnostic tests, and medications, which made it difficult for them to receive high-quality medical care. </w:t>
      </w:r>
    </w:p>
    <w:p w14:paraId="113F2B33" w14:textId="689B2DB8" w:rsidR="00D05525" w:rsidRPr="003B7487" w:rsidRDefault="00A73EEA" w:rsidP="005571A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In order to increase access to care during ANC, PNC, and institutional delivery, Janani </w:t>
      </w:r>
      <w:proofErr w:type="spellStart"/>
      <w:r>
        <w:rPr>
          <w:rFonts w:ascii="Times New Roman" w:hAnsi="Times New Roman" w:cs="Times New Roman"/>
          <w:sz w:val="20"/>
          <w:szCs w:val="20"/>
        </w:rPr>
        <w:t>Sshishu</w:t>
      </w:r>
      <w:proofErr w:type="spellEnd"/>
      <w:r>
        <w:rPr>
          <w:rFonts w:ascii="Times New Roman" w:hAnsi="Times New Roman" w:cs="Times New Roman"/>
          <w:sz w:val="20"/>
          <w:szCs w:val="20"/>
        </w:rPr>
        <w:t xml:space="preserve"> Suraksha </w:t>
      </w:r>
      <w:proofErr w:type="spellStart"/>
      <w:r>
        <w:rPr>
          <w:rFonts w:ascii="Times New Roman" w:hAnsi="Times New Roman" w:cs="Times New Roman"/>
          <w:sz w:val="20"/>
          <w:szCs w:val="20"/>
        </w:rPr>
        <w:t>Karyakaram</w:t>
      </w:r>
      <w:proofErr w:type="spellEnd"/>
      <w:r>
        <w:rPr>
          <w:rFonts w:ascii="Times New Roman" w:hAnsi="Times New Roman" w:cs="Times New Roman"/>
          <w:sz w:val="20"/>
          <w:szCs w:val="20"/>
        </w:rPr>
        <w:t xml:space="preserve">—which guarantees all pregnant women free treatment, medication, diagnostics, nutrition, and transportation—was then introduced as part of the NRHM platform. </w:t>
      </w:r>
    </w:p>
    <w:p w14:paraId="3F68F834" w14:textId="3AA187F7" w:rsidR="00D05525" w:rsidRPr="003B7487" w:rsidRDefault="00A73EEA" w:rsidP="005571AF">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As part of the Reproductive Maternal Neonatal Child and Adolescent Health (RMNCH+A) Strategy, the Pradhan Mantri </w:t>
      </w:r>
      <w:proofErr w:type="spellStart"/>
      <w:r>
        <w:rPr>
          <w:rFonts w:ascii="Times New Roman" w:hAnsi="Times New Roman" w:cs="Times New Roman"/>
          <w:sz w:val="20"/>
          <w:szCs w:val="20"/>
        </w:rPr>
        <w:t>Surakshit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Matritva</w:t>
      </w:r>
      <w:proofErr w:type="spellEnd"/>
      <w:r>
        <w:rPr>
          <w:rFonts w:ascii="Times New Roman" w:hAnsi="Times New Roman" w:cs="Times New Roman"/>
          <w:sz w:val="20"/>
          <w:szCs w:val="20"/>
        </w:rPr>
        <w:t xml:space="preserve"> Abhiyan aims to increase the quality and accessibility of prenatal care, diagnostics, and counselling services. It has been proposed that PMSMA be held on the ninth of every month, when all necessary maternal health services will be provided at designated public health facilities as well as accredited private clinics and institutions donating their services to the Pradhan Mantri </w:t>
      </w:r>
      <w:proofErr w:type="spellStart"/>
      <w:r>
        <w:rPr>
          <w:rFonts w:ascii="Times New Roman" w:hAnsi="Times New Roman" w:cs="Times New Roman"/>
          <w:sz w:val="20"/>
          <w:szCs w:val="20"/>
        </w:rPr>
        <w:t>Surakshit</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Matritva</w:t>
      </w:r>
      <w:proofErr w:type="spellEnd"/>
      <w:r>
        <w:rPr>
          <w:rFonts w:ascii="Times New Roman" w:hAnsi="Times New Roman" w:cs="Times New Roman"/>
          <w:sz w:val="20"/>
          <w:szCs w:val="20"/>
        </w:rPr>
        <w:t xml:space="preserve"> Abhiyan. This is the result of extensive discussion with national experts. </w:t>
      </w:r>
    </w:p>
    <w:p w14:paraId="3906B0F7" w14:textId="04B05170" w:rsidR="00B916FF" w:rsidRPr="003B7487" w:rsidRDefault="00E92E25" w:rsidP="00AD0E87">
      <w:pPr>
        <w:spacing w:line="240" w:lineRule="auto"/>
        <w:jc w:val="both"/>
        <w:rPr>
          <w:rFonts w:ascii="Times New Roman" w:hAnsi="Times New Roman" w:cs="Times New Roman"/>
          <w:sz w:val="20"/>
          <w:szCs w:val="20"/>
        </w:rPr>
      </w:pPr>
      <w:r w:rsidRPr="003B7487">
        <w:rPr>
          <w:rFonts w:ascii="Times New Roman" w:hAnsi="Times New Roman" w:cs="Times New Roman"/>
          <w:sz w:val="20"/>
          <w:szCs w:val="20"/>
        </w:rPr>
        <w:tab/>
      </w:r>
      <w:r w:rsidR="00377F5E">
        <w:rPr>
          <w:rFonts w:ascii="Times New Roman" w:hAnsi="Times New Roman" w:cs="Times New Roman"/>
          <w:sz w:val="20"/>
          <w:szCs w:val="20"/>
        </w:rPr>
        <w:t xml:space="preserve">India has made a number of vaccines available without charge to protect against diseases like diphtheria. Measles, severe types of child TB, pertussis, tetanus, polio, hepatitis B, etc. According to the National Immunization Schedule, the recommended vaccines have been shown to be safe for </w:t>
      </w:r>
      <w:proofErr w:type="spellStart"/>
      <w:r w:rsidR="00377F5E">
        <w:rPr>
          <w:rFonts w:ascii="Times New Roman" w:hAnsi="Times New Roman" w:cs="Times New Roman"/>
          <w:sz w:val="20"/>
          <w:szCs w:val="20"/>
        </w:rPr>
        <w:t>newborns</w:t>
      </w:r>
      <w:proofErr w:type="spellEnd"/>
      <w:r w:rsidR="00377F5E">
        <w:rPr>
          <w:rFonts w:ascii="Times New Roman" w:hAnsi="Times New Roman" w:cs="Times New Roman"/>
          <w:sz w:val="20"/>
          <w:szCs w:val="20"/>
        </w:rPr>
        <w:t xml:space="preserve">, children, and expectant mothers under the Universal Immunization Programme. </w:t>
      </w:r>
    </w:p>
    <w:p w14:paraId="50BFD7E9" w14:textId="233DB625" w:rsidR="00914320" w:rsidRPr="00B36A12" w:rsidRDefault="00B916FF" w:rsidP="00AD0E87">
      <w:pPr>
        <w:spacing w:line="240" w:lineRule="auto"/>
        <w:jc w:val="both"/>
        <w:rPr>
          <w:rFonts w:ascii="Times New Roman" w:hAnsi="Times New Roman" w:cs="Times New Roman"/>
          <w:sz w:val="24"/>
          <w:szCs w:val="20"/>
        </w:rPr>
      </w:pPr>
      <w:r w:rsidRPr="003B7487">
        <w:rPr>
          <w:rFonts w:ascii="Times New Roman" w:hAnsi="Times New Roman" w:cs="Times New Roman"/>
          <w:sz w:val="20"/>
          <w:szCs w:val="20"/>
        </w:rPr>
        <w:tab/>
      </w:r>
      <w:r w:rsidR="005571AF">
        <w:rPr>
          <w:rFonts w:ascii="Times New Roman" w:hAnsi="Times New Roman" w:cs="Times New Roman"/>
          <w:sz w:val="20"/>
          <w:szCs w:val="20"/>
        </w:rPr>
        <w:t>The Integrated Child Development Services (ICDS) Scheme is one of the flagship programmes and represents one of the world’s largest and most unique programmes for young children and nursing mothers, as a response to the challenge of providing pre-school non-formal education on one hand and breaking the vicious cycle of malnutrition, morbidity, reduced learning capacity, and mortality on the other. The beneficiaries under the scheme are children in the age group of 6 months - 6 years, pregnant women and lactating mothers.</w:t>
      </w:r>
    </w:p>
    <w:p w14:paraId="6ACAD9DD" w14:textId="77777777" w:rsidR="000F7950" w:rsidRPr="001C2F3D" w:rsidRDefault="006654CA" w:rsidP="006654CA">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II</w:t>
      </w:r>
      <w:r w:rsidRPr="001C2F3D">
        <w:rPr>
          <w:rFonts w:ascii="Times New Roman" w:hAnsi="Times New Roman" w:cs="Times New Roman"/>
          <w:b/>
          <w:sz w:val="20"/>
          <w:szCs w:val="20"/>
        </w:rPr>
        <w:t>. OBJECTIVE OF THE STUDY</w:t>
      </w:r>
    </w:p>
    <w:p w14:paraId="4BFCFB97" w14:textId="0C85AE7D" w:rsidR="00EE0B07" w:rsidRDefault="00D25633" w:rsidP="008B4541">
      <w:pPr>
        <w:spacing w:line="240" w:lineRule="auto"/>
        <w:jc w:val="both"/>
        <w:rPr>
          <w:rFonts w:ascii="Times New Roman" w:hAnsi="Times New Roman" w:cs="Times New Roman"/>
          <w:b/>
          <w:sz w:val="20"/>
          <w:szCs w:val="20"/>
        </w:rPr>
      </w:pPr>
      <w:r w:rsidRPr="008B4541">
        <w:rPr>
          <w:rFonts w:ascii="Times New Roman" w:hAnsi="Times New Roman" w:cs="Times New Roman"/>
          <w:sz w:val="20"/>
          <w:szCs w:val="20"/>
        </w:rPr>
        <w:tab/>
      </w:r>
      <w:r w:rsidR="00094844">
        <w:rPr>
          <w:rFonts w:ascii="Times New Roman" w:hAnsi="Times New Roman" w:cs="Times New Roman"/>
          <w:sz w:val="20"/>
          <w:szCs w:val="20"/>
        </w:rPr>
        <w:t xml:space="preserve">The study analysed the mother and child health accessibility of antenatal, postnatal, and delivery care, immunisation services, and child mortality status in rural and urban India. All mother and child health related information </w:t>
      </w:r>
      <w:proofErr w:type="gramStart"/>
      <w:r w:rsidR="00094844">
        <w:rPr>
          <w:rFonts w:ascii="Times New Roman" w:hAnsi="Times New Roman" w:cs="Times New Roman"/>
          <w:sz w:val="20"/>
          <w:szCs w:val="20"/>
        </w:rPr>
        <w:t>was</w:t>
      </w:r>
      <w:proofErr w:type="gramEnd"/>
      <w:r w:rsidR="00094844">
        <w:rPr>
          <w:rFonts w:ascii="Times New Roman" w:hAnsi="Times New Roman" w:cs="Times New Roman"/>
          <w:sz w:val="20"/>
          <w:szCs w:val="20"/>
        </w:rPr>
        <w:t xml:space="preserve"> compared between the NFHS-4 and NFHS-5 surveys. What kind of health accessibility was increasing in rural and urban areas analysed. The rural and urban areas' mother and child health accessibility determines the national mother and child health accessibility status.</w:t>
      </w:r>
    </w:p>
    <w:p w14:paraId="5C889A39" w14:textId="77777777" w:rsidR="00447A09" w:rsidRDefault="00447A09" w:rsidP="006654CA">
      <w:pPr>
        <w:spacing w:line="240" w:lineRule="auto"/>
        <w:jc w:val="center"/>
        <w:rPr>
          <w:rFonts w:ascii="Times New Roman" w:hAnsi="Times New Roman" w:cs="Times New Roman"/>
          <w:b/>
          <w:sz w:val="20"/>
          <w:szCs w:val="20"/>
        </w:rPr>
      </w:pPr>
    </w:p>
    <w:p w14:paraId="062AC51A" w14:textId="77777777" w:rsidR="00447A09" w:rsidRDefault="00447A09" w:rsidP="006654CA">
      <w:pPr>
        <w:spacing w:line="240" w:lineRule="auto"/>
        <w:jc w:val="center"/>
        <w:rPr>
          <w:rFonts w:ascii="Times New Roman" w:hAnsi="Times New Roman" w:cs="Times New Roman"/>
          <w:b/>
          <w:sz w:val="20"/>
          <w:szCs w:val="20"/>
        </w:rPr>
      </w:pPr>
    </w:p>
    <w:p w14:paraId="50FF8B82" w14:textId="7F9159B1" w:rsidR="0042471A" w:rsidRPr="001C2F3D" w:rsidRDefault="006654CA" w:rsidP="006654CA">
      <w:pPr>
        <w:spacing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III</w:t>
      </w:r>
      <w:r w:rsidRPr="001C2F3D">
        <w:rPr>
          <w:rFonts w:ascii="Times New Roman" w:hAnsi="Times New Roman" w:cs="Times New Roman"/>
          <w:b/>
          <w:sz w:val="20"/>
          <w:szCs w:val="20"/>
        </w:rPr>
        <w:t>. METHODS AND MATERIALS</w:t>
      </w:r>
    </w:p>
    <w:p w14:paraId="4D66BD86" w14:textId="0DB1A07F" w:rsidR="008B4541" w:rsidRPr="008B4541" w:rsidRDefault="000174FE" w:rsidP="00447A09">
      <w:pPr>
        <w:spacing w:line="240" w:lineRule="auto"/>
        <w:ind w:firstLine="720"/>
        <w:jc w:val="both"/>
        <w:rPr>
          <w:rFonts w:ascii="Times New Roman" w:hAnsi="Times New Roman" w:cs="Times New Roman"/>
          <w:sz w:val="20"/>
          <w:szCs w:val="20"/>
        </w:rPr>
      </w:pPr>
      <w:r w:rsidRPr="00334D9C">
        <w:rPr>
          <w:rFonts w:ascii="Times New Roman" w:hAnsi="Times New Roman" w:cs="Times New Roman"/>
          <w:bCs/>
          <w:sz w:val="20"/>
          <w:szCs w:val="20"/>
        </w:rPr>
        <w:t xml:space="preserve">In 1991, India made efforts to implement the national family health survey. From 1992–93, 1 survey was conducted in India. This survey has been conducted five times in India. The United States Agency for International Development (USAID) provided financial support for conducting the survey. The National Family Health Survey is mostly related to demographic characteristics and maternal and child health-related indicators. This study is based on the National Family Health Survey - 4 &amp; 5 and other related </w:t>
      </w:r>
      <w:r w:rsidR="007E4284">
        <w:rPr>
          <w:rFonts w:ascii="Times New Roman" w:hAnsi="Times New Roman" w:cs="Times New Roman"/>
          <w:bCs/>
          <w:sz w:val="20"/>
          <w:szCs w:val="20"/>
        </w:rPr>
        <w:t>sources</w:t>
      </w:r>
      <w:r w:rsidRPr="00334D9C">
        <w:rPr>
          <w:rFonts w:ascii="Times New Roman" w:hAnsi="Times New Roman" w:cs="Times New Roman"/>
          <w:bCs/>
          <w:sz w:val="20"/>
          <w:szCs w:val="20"/>
        </w:rPr>
        <w:t>.</w:t>
      </w:r>
      <w:r w:rsidR="007E4284">
        <w:rPr>
          <w:rFonts w:ascii="Times New Roman" w:hAnsi="Times New Roman" w:cs="Times New Roman"/>
          <w:bCs/>
          <w:sz w:val="20"/>
          <w:szCs w:val="20"/>
        </w:rPr>
        <w:t xml:space="preserve"> </w:t>
      </w:r>
      <w:r w:rsidRPr="00334D9C">
        <w:rPr>
          <w:rFonts w:ascii="Times New Roman" w:hAnsi="Times New Roman" w:cs="Times New Roman"/>
          <w:bCs/>
          <w:sz w:val="20"/>
          <w:szCs w:val="20"/>
        </w:rPr>
        <w:t>At the same time, this research article adopts a comparative method to describe rural and urban regions’ mother and child health indicators in India.</w:t>
      </w:r>
    </w:p>
    <w:p w14:paraId="3A870F27" w14:textId="48F99C02" w:rsidR="0042471A" w:rsidRDefault="005C0F01" w:rsidP="005C0F01">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IV</w:t>
      </w:r>
      <w:r w:rsidR="00135C0C" w:rsidRPr="001C2F3D">
        <w:rPr>
          <w:rFonts w:ascii="Times New Roman" w:hAnsi="Times New Roman" w:cs="Times New Roman"/>
          <w:b/>
          <w:sz w:val="20"/>
          <w:szCs w:val="20"/>
        </w:rPr>
        <w:t xml:space="preserve">. </w:t>
      </w:r>
      <w:r w:rsidRPr="001C2F3D">
        <w:rPr>
          <w:rFonts w:ascii="Times New Roman" w:hAnsi="Times New Roman" w:cs="Times New Roman"/>
          <w:b/>
          <w:sz w:val="20"/>
          <w:szCs w:val="20"/>
        </w:rPr>
        <w:t>RESULTS AND DISCUSSION</w:t>
      </w:r>
    </w:p>
    <w:p w14:paraId="67C3538C" w14:textId="597924EB" w:rsidR="00D262F6" w:rsidRDefault="00413708" w:rsidP="00D262F6">
      <w:pPr>
        <w:spacing w:line="240" w:lineRule="auto"/>
        <w:jc w:val="both"/>
        <w:rPr>
          <w:rFonts w:ascii="Times New Roman" w:hAnsi="Times New Roman" w:cs="Times New Roman"/>
        </w:rPr>
      </w:pPr>
      <w:r w:rsidRPr="00D262F6">
        <w:rPr>
          <w:rFonts w:ascii="Times New Roman" w:hAnsi="Times New Roman" w:cs="Times New Roman"/>
          <w:b/>
          <w:sz w:val="20"/>
          <w:szCs w:val="20"/>
        </w:rPr>
        <w:tab/>
      </w:r>
      <w:r w:rsidR="00D262F6" w:rsidRPr="00D262F6">
        <w:rPr>
          <w:rFonts w:ascii="Times New Roman" w:hAnsi="Times New Roman" w:cs="Times New Roman"/>
        </w:rPr>
        <w:t>This section discussed the accessibility of antenatal, postnatal, and delivery care</w:t>
      </w:r>
      <w:r w:rsidR="00D262F6" w:rsidRPr="00D262F6">
        <w:rPr>
          <w:rStyle w:val="red-underline"/>
          <w:rFonts w:ascii="Times New Roman" w:hAnsi="Times New Roman" w:cs="Times New Roman"/>
        </w:rPr>
        <w:t>,</w:t>
      </w:r>
      <w:r w:rsidR="00D262F6" w:rsidRPr="00D262F6">
        <w:rPr>
          <w:rFonts w:ascii="Times New Roman" w:hAnsi="Times New Roman" w:cs="Times New Roman"/>
        </w:rPr>
        <w:t xml:space="preserve"> immunization</w:t>
      </w:r>
      <w:r w:rsidR="00D262F6" w:rsidRPr="00D262F6">
        <w:rPr>
          <w:rStyle w:val="red-underline"/>
          <w:rFonts w:ascii="Times New Roman" w:hAnsi="Times New Roman" w:cs="Times New Roman"/>
        </w:rPr>
        <w:t>,</w:t>
      </w:r>
      <w:r w:rsidR="00D262F6" w:rsidRPr="00D262F6">
        <w:rPr>
          <w:rFonts w:ascii="Times New Roman" w:hAnsi="Times New Roman" w:cs="Times New Roman"/>
        </w:rPr>
        <w:t xml:space="preserve"> child feeding practices</w:t>
      </w:r>
      <w:r w:rsidR="00D262F6" w:rsidRPr="00D262F6">
        <w:rPr>
          <w:rStyle w:val="red-underline"/>
          <w:rFonts w:ascii="Times New Roman" w:hAnsi="Times New Roman" w:cs="Times New Roman"/>
        </w:rPr>
        <w:t>,</w:t>
      </w:r>
      <w:r w:rsidR="00D262F6" w:rsidRPr="00D262F6">
        <w:rPr>
          <w:rFonts w:ascii="Times New Roman" w:hAnsi="Times New Roman" w:cs="Times New Roman"/>
        </w:rPr>
        <w:t xml:space="preserve"> and child mortality details. Table</w:t>
      </w:r>
      <w:r w:rsidR="00D262F6" w:rsidRPr="00D262F6">
        <w:rPr>
          <w:rStyle w:val="red-underline"/>
          <w:rFonts w:ascii="Times New Roman" w:hAnsi="Times New Roman" w:cs="Times New Roman"/>
        </w:rPr>
        <w:t>-</w:t>
      </w:r>
      <w:r w:rsidR="00D262F6" w:rsidRPr="00D262F6">
        <w:rPr>
          <w:rFonts w:ascii="Times New Roman" w:hAnsi="Times New Roman" w:cs="Times New Roman"/>
        </w:rPr>
        <w:t>1 shows the antenatal and postnatal usage status among women in both regions. Every pregnant</w:t>
      </w:r>
      <w:r w:rsidR="00CC6265">
        <w:rPr>
          <w:rFonts w:ascii="Times New Roman" w:hAnsi="Times New Roman" w:cs="Times New Roman"/>
        </w:rPr>
        <w:t xml:space="preserve"> </w:t>
      </w:r>
      <w:r w:rsidR="00CC6265" w:rsidRPr="00D262F6">
        <w:rPr>
          <w:rFonts w:ascii="Times New Roman" w:hAnsi="Times New Roman" w:cs="Times New Roman"/>
        </w:rPr>
        <w:t>woman</w:t>
      </w:r>
      <w:r w:rsidR="00D262F6" w:rsidRPr="00D262F6">
        <w:rPr>
          <w:rFonts w:ascii="Times New Roman" w:hAnsi="Times New Roman" w:cs="Times New Roman"/>
        </w:rPr>
        <w:t xml:space="preserve"> </w:t>
      </w:r>
      <w:r w:rsidR="00D262F6" w:rsidRPr="00D262F6">
        <w:rPr>
          <w:rStyle w:val="red-underline"/>
          <w:rFonts w:ascii="Times New Roman" w:hAnsi="Times New Roman" w:cs="Times New Roman"/>
        </w:rPr>
        <w:t xml:space="preserve">they </w:t>
      </w:r>
      <w:r w:rsidR="00D262F6" w:rsidRPr="00D262F6">
        <w:rPr>
          <w:rFonts w:ascii="Times New Roman" w:hAnsi="Times New Roman" w:cs="Times New Roman"/>
        </w:rPr>
        <w:t xml:space="preserve">will get a mother-child </w:t>
      </w:r>
      <w:proofErr w:type="spellStart"/>
      <w:r w:rsidR="00D262F6" w:rsidRPr="00D262F6">
        <w:rPr>
          <w:rFonts w:ascii="Times New Roman" w:hAnsi="Times New Roman" w:cs="Times New Roman"/>
        </w:rPr>
        <w:t>proction</w:t>
      </w:r>
      <w:proofErr w:type="spellEnd"/>
      <w:r w:rsidR="00D262F6" w:rsidRPr="00D262F6">
        <w:rPr>
          <w:rFonts w:ascii="Times New Roman" w:hAnsi="Times New Roman" w:cs="Times New Roman"/>
        </w:rPr>
        <w:t xml:space="preserve"> card. Almost all pregnant women receive the MCP card in rural and urban areas, as per NFHS–4 &amp; 5 surveys. The first trimester ANC visit is it </w:t>
      </w:r>
      <w:proofErr w:type="spellStart"/>
      <w:r w:rsidR="00D262F6" w:rsidRPr="00D262F6">
        <w:rPr>
          <w:rFonts w:ascii="Times New Roman" w:hAnsi="Times New Roman" w:cs="Times New Roman"/>
        </w:rPr>
        <w:t>inticate</w:t>
      </w:r>
      <w:proofErr w:type="spellEnd"/>
      <w:r w:rsidR="00D262F6" w:rsidRPr="00D262F6">
        <w:rPr>
          <w:rFonts w:ascii="Times New Roman" w:hAnsi="Times New Roman" w:cs="Times New Roman"/>
        </w:rPr>
        <w:t xml:space="preserve"> women's health seeking behaviour and awareness. In both survey periods, above 10 percent creased in rural women's ANC accessibility, as well as urban and urban areas' accessibility also increased. The government </w:t>
      </w:r>
      <w:proofErr w:type="spellStart"/>
      <w:r w:rsidR="00D262F6" w:rsidRPr="00D262F6">
        <w:rPr>
          <w:rFonts w:ascii="Times New Roman" w:hAnsi="Times New Roman" w:cs="Times New Roman"/>
        </w:rPr>
        <w:t>maternatal</w:t>
      </w:r>
      <w:proofErr w:type="spellEnd"/>
      <w:r w:rsidR="00D262F6" w:rsidRPr="00D262F6">
        <w:rPr>
          <w:rFonts w:ascii="Times New Roman" w:hAnsi="Times New Roman" w:cs="Times New Roman"/>
        </w:rPr>
        <w:t xml:space="preserve"> benefit schemes required minimum four ANC </w:t>
      </w:r>
      <w:proofErr w:type="spellStart"/>
      <w:r w:rsidR="00D262F6" w:rsidRPr="00D262F6">
        <w:rPr>
          <w:rFonts w:ascii="Times New Roman" w:hAnsi="Times New Roman" w:cs="Times New Roman"/>
        </w:rPr>
        <w:t>vists</w:t>
      </w:r>
      <w:proofErr w:type="spellEnd"/>
      <w:r w:rsidR="00D262F6" w:rsidRPr="00D262F6">
        <w:rPr>
          <w:rFonts w:ascii="Times New Roman" w:hAnsi="Times New Roman" w:cs="Times New Roman"/>
        </w:rPr>
        <w:t xml:space="preserve"> among the pregnant women, at least four ANC visits increased in rural areas and small percent increased urban areas. Tetanus </w:t>
      </w:r>
      <w:proofErr w:type="spellStart"/>
      <w:r w:rsidR="00D262F6" w:rsidRPr="00D262F6">
        <w:rPr>
          <w:rFonts w:ascii="Times New Roman" w:hAnsi="Times New Roman" w:cs="Times New Roman"/>
        </w:rPr>
        <w:t>Toxcite</w:t>
      </w:r>
      <w:proofErr w:type="spellEnd"/>
      <w:r w:rsidR="00D262F6" w:rsidRPr="00D262F6">
        <w:rPr>
          <w:rFonts w:ascii="Times New Roman" w:hAnsi="Times New Roman" w:cs="Times New Roman"/>
        </w:rPr>
        <w:t xml:space="preserve"> injection administration level increased in both areas during both survey periods. The consumption of iron folic acid </w:t>
      </w:r>
      <w:proofErr w:type="spellStart"/>
      <w:r w:rsidR="00D262F6" w:rsidRPr="00D262F6">
        <w:rPr>
          <w:rFonts w:ascii="Times New Roman" w:hAnsi="Times New Roman" w:cs="Times New Roman"/>
        </w:rPr>
        <w:t>tavlets</w:t>
      </w:r>
      <w:proofErr w:type="spellEnd"/>
      <w:r w:rsidR="00D262F6" w:rsidRPr="00D262F6">
        <w:rPr>
          <w:rFonts w:ascii="Times New Roman" w:hAnsi="Times New Roman" w:cs="Times New Roman"/>
        </w:rPr>
        <w:t xml:space="preserve"> has increased, but rural women's IFA consumption has not reached 50% in NFHS-5.</w:t>
      </w:r>
      <w:r w:rsidR="00B573E2">
        <w:rPr>
          <w:rFonts w:ascii="Times New Roman" w:hAnsi="Times New Roman" w:cs="Times New Roman"/>
        </w:rPr>
        <w:t xml:space="preserve"> </w:t>
      </w:r>
      <w:r w:rsidR="00D262F6" w:rsidRPr="00D262F6">
        <w:rPr>
          <w:rFonts w:ascii="Times New Roman" w:hAnsi="Times New Roman" w:cs="Times New Roman"/>
        </w:rPr>
        <w:t xml:space="preserve">After delivery or child birth, there is a need for PNC care services among the mothers and </w:t>
      </w:r>
      <w:proofErr w:type="spellStart"/>
      <w:r w:rsidR="00D262F6" w:rsidRPr="00D262F6">
        <w:rPr>
          <w:rFonts w:ascii="Times New Roman" w:hAnsi="Times New Roman" w:cs="Times New Roman"/>
        </w:rPr>
        <w:t>newborn</w:t>
      </w:r>
      <w:proofErr w:type="spellEnd"/>
      <w:r w:rsidR="00D262F6" w:rsidRPr="00D262F6">
        <w:rPr>
          <w:rFonts w:ascii="Times New Roman" w:hAnsi="Times New Roman" w:cs="Times New Roman"/>
        </w:rPr>
        <w:t xml:space="preserve"> babies. Its PNC care services reduce neonatal/infant and maternal mortality. The postnatal care service utilisation of mothers and </w:t>
      </w:r>
      <w:r w:rsidR="00D262F6" w:rsidRPr="00D262F6">
        <w:rPr>
          <w:rStyle w:val="red-underline"/>
          <w:rFonts w:ascii="Times New Roman" w:hAnsi="Times New Roman" w:cs="Times New Roman"/>
        </w:rPr>
        <w:t>child</w:t>
      </w:r>
      <w:r w:rsidR="00D262F6" w:rsidRPr="00D262F6">
        <w:rPr>
          <w:rFonts w:ascii="Times New Roman" w:hAnsi="Times New Roman" w:cs="Times New Roman"/>
        </w:rPr>
        <w:t xml:space="preserve"> status </w:t>
      </w:r>
      <w:r w:rsidR="00CC6265">
        <w:rPr>
          <w:rFonts w:ascii="Times New Roman" w:hAnsi="Times New Roman" w:cs="Times New Roman"/>
        </w:rPr>
        <w:t>increased</w:t>
      </w:r>
      <w:r w:rsidR="00D262F6" w:rsidRPr="00D262F6">
        <w:rPr>
          <w:rFonts w:ascii="Times New Roman" w:hAnsi="Times New Roman" w:cs="Times New Roman"/>
        </w:rPr>
        <w:t xml:space="preserve"> in bot</w:t>
      </w:r>
      <w:r w:rsidR="00CC6265">
        <w:rPr>
          <w:rFonts w:ascii="Times New Roman" w:hAnsi="Times New Roman" w:cs="Times New Roman"/>
        </w:rPr>
        <w:t>h</w:t>
      </w:r>
      <w:r w:rsidR="00D262F6" w:rsidRPr="00D262F6">
        <w:rPr>
          <w:rFonts w:ascii="Times New Roman" w:hAnsi="Times New Roman" w:cs="Times New Roman"/>
        </w:rPr>
        <w:t xml:space="preserve"> areas at </w:t>
      </w:r>
      <w:r w:rsidR="00CC6265">
        <w:rPr>
          <w:rFonts w:ascii="Times New Roman" w:hAnsi="Times New Roman" w:cs="Times New Roman"/>
        </w:rPr>
        <w:t>NFHS – 5 only.</w:t>
      </w:r>
      <w:r w:rsidR="00D262F6" w:rsidRPr="00D262F6">
        <w:rPr>
          <w:rFonts w:ascii="Times New Roman" w:hAnsi="Times New Roman" w:cs="Times New Roman"/>
        </w:rPr>
        <w:t xml:space="preserve"> Currently, India is providing healthcare services free of cost through the Janani </w:t>
      </w:r>
      <w:proofErr w:type="spellStart"/>
      <w:r w:rsidR="00D262F6" w:rsidRPr="00D262F6">
        <w:rPr>
          <w:rFonts w:ascii="Times New Roman" w:hAnsi="Times New Roman" w:cs="Times New Roman"/>
        </w:rPr>
        <w:t>Shishu</w:t>
      </w:r>
      <w:proofErr w:type="spellEnd"/>
      <w:r w:rsidR="00D262F6" w:rsidRPr="00D262F6">
        <w:rPr>
          <w:rFonts w:ascii="Times New Roman" w:hAnsi="Times New Roman" w:cs="Times New Roman"/>
        </w:rPr>
        <w:t xml:space="preserve"> Suraksha </w:t>
      </w:r>
      <w:proofErr w:type="spellStart"/>
      <w:r w:rsidR="00D262F6" w:rsidRPr="00D262F6">
        <w:rPr>
          <w:rFonts w:ascii="Times New Roman" w:hAnsi="Times New Roman" w:cs="Times New Roman"/>
        </w:rPr>
        <w:t>Karyakaram</w:t>
      </w:r>
      <w:proofErr w:type="spellEnd"/>
      <w:r w:rsidR="00D262F6" w:rsidRPr="00D262F6">
        <w:rPr>
          <w:rFonts w:ascii="Times New Roman" w:hAnsi="Times New Roman" w:cs="Times New Roman"/>
        </w:rPr>
        <w:t xml:space="preserve"> programme.</w:t>
      </w:r>
    </w:p>
    <w:p w14:paraId="450DA502" w14:textId="4710BA2E" w:rsidR="00D14720" w:rsidRPr="00D262F6" w:rsidRDefault="00E54AD4" w:rsidP="00D262F6">
      <w:pPr>
        <w:spacing w:line="240" w:lineRule="auto"/>
        <w:jc w:val="center"/>
        <w:rPr>
          <w:rFonts w:ascii="Times New Roman" w:hAnsi="Times New Roman" w:cs="Times New Roman"/>
          <w:b/>
          <w:sz w:val="20"/>
          <w:szCs w:val="20"/>
        </w:rPr>
      </w:pPr>
      <w:r w:rsidRPr="00D262F6">
        <w:rPr>
          <w:rFonts w:ascii="Times New Roman" w:hAnsi="Times New Roman" w:cs="Times New Roman"/>
          <w:b/>
          <w:sz w:val="20"/>
          <w:szCs w:val="20"/>
        </w:rPr>
        <w:t xml:space="preserve">Table – 1: </w:t>
      </w:r>
      <w:r w:rsidR="00A5310E" w:rsidRPr="00D262F6">
        <w:rPr>
          <w:rFonts w:ascii="Times New Roman" w:hAnsi="Times New Roman" w:cs="Times New Roman"/>
          <w:b/>
          <w:sz w:val="20"/>
          <w:szCs w:val="20"/>
        </w:rPr>
        <w:t>Antenatal and Postnatal care</w:t>
      </w:r>
      <w:r w:rsidR="0029742D" w:rsidRPr="00D262F6">
        <w:rPr>
          <w:rFonts w:ascii="Times New Roman" w:hAnsi="Times New Roman" w:cs="Times New Roman"/>
          <w:b/>
          <w:sz w:val="20"/>
          <w:szCs w:val="20"/>
        </w:rPr>
        <w:t xml:space="preserve"> Usage</w:t>
      </w:r>
    </w:p>
    <w:tbl>
      <w:tblPr>
        <w:tblStyle w:val="TableGrid"/>
        <w:tblpPr w:leftFromText="180" w:rightFromText="180" w:vertAnchor="text" w:horzAnchor="margin" w:tblpXSpec="center" w:tblpY="116"/>
        <w:tblOverlap w:val="never"/>
        <w:tblW w:w="7366" w:type="dxa"/>
        <w:tblLook w:val="04A0" w:firstRow="1" w:lastRow="0" w:firstColumn="1" w:lastColumn="0" w:noHBand="0" w:noVBand="1"/>
      </w:tblPr>
      <w:tblGrid>
        <w:gridCol w:w="817"/>
        <w:gridCol w:w="2106"/>
        <w:gridCol w:w="1041"/>
        <w:gridCol w:w="1134"/>
        <w:gridCol w:w="1134"/>
        <w:gridCol w:w="1134"/>
      </w:tblGrid>
      <w:tr w:rsidR="00080A98" w:rsidRPr="001C2F3D" w14:paraId="6ADE21B2" w14:textId="77777777" w:rsidTr="00AD6B34">
        <w:trPr>
          <w:trHeight w:val="401"/>
        </w:trPr>
        <w:tc>
          <w:tcPr>
            <w:tcW w:w="817" w:type="dxa"/>
            <w:vMerge w:val="restart"/>
            <w:shd w:val="clear" w:color="auto" w:fill="DEEAF6" w:themeFill="accent1" w:themeFillTint="33"/>
          </w:tcPr>
          <w:p w14:paraId="378015C5" w14:textId="77777777" w:rsidR="00080A98" w:rsidRPr="001C2F3D" w:rsidRDefault="00080A98" w:rsidP="00AD0E87">
            <w:pPr>
              <w:jc w:val="both"/>
              <w:rPr>
                <w:rFonts w:ascii="Times New Roman" w:hAnsi="Times New Roman" w:cs="Times New Roman"/>
                <w:b/>
                <w:sz w:val="20"/>
                <w:szCs w:val="20"/>
              </w:rPr>
            </w:pPr>
          </w:p>
          <w:p w14:paraId="47CFEA74" w14:textId="77777777" w:rsidR="00080A98" w:rsidRPr="001C2F3D" w:rsidRDefault="00080A98" w:rsidP="00AD0E87">
            <w:pPr>
              <w:jc w:val="both"/>
              <w:rPr>
                <w:rFonts w:ascii="Times New Roman" w:hAnsi="Times New Roman" w:cs="Times New Roman"/>
                <w:b/>
                <w:sz w:val="20"/>
                <w:szCs w:val="20"/>
              </w:rPr>
            </w:pPr>
            <w:r w:rsidRPr="001C2F3D">
              <w:rPr>
                <w:rFonts w:ascii="Times New Roman" w:hAnsi="Times New Roman" w:cs="Times New Roman"/>
                <w:b/>
                <w:sz w:val="20"/>
                <w:szCs w:val="20"/>
              </w:rPr>
              <w:t>S. No</w:t>
            </w:r>
          </w:p>
        </w:tc>
        <w:tc>
          <w:tcPr>
            <w:tcW w:w="2106" w:type="dxa"/>
            <w:vMerge w:val="restart"/>
            <w:shd w:val="clear" w:color="auto" w:fill="DEEAF6" w:themeFill="accent1" w:themeFillTint="33"/>
          </w:tcPr>
          <w:p w14:paraId="0E622D59" w14:textId="77777777" w:rsidR="00080A98" w:rsidRPr="001C2F3D" w:rsidRDefault="00080A98" w:rsidP="00AD0E87">
            <w:pPr>
              <w:jc w:val="both"/>
              <w:rPr>
                <w:rFonts w:ascii="Times New Roman" w:hAnsi="Times New Roman" w:cs="Times New Roman"/>
                <w:b/>
                <w:sz w:val="20"/>
                <w:szCs w:val="20"/>
              </w:rPr>
            </w:pPr>
          </w:p>
          <w:p w14:paraId="67727490" w14:textId="77777777" w:rsidR="00080A98" w:rsidRPr="001C2F3D" w:rsidRDefault="00080A98" w:rsidP="00AD0E87">
            <w:pPr>
              <w:jc w:val="both"/>
              <w:rPr>
                <w:rFonts w:ascii="Times New Roman" w:hAnsi="Times New Roman" w:cs="Times New Roman"/>
                <w:b/>
                <w:sz w:val="20"/>
                <w:szCs w:val="20"/>
              </w:rPr>
            </w:pPr>
            <w:r w:rsidRPr="001C2F3D">
              <w:rPr>
                <w:rFonts w:ascii="Times New Roman" w:hAnsi="Times New Roman" w:cs="Times New Roman"/>
                <w:b/>
                <w:sz w:val="20"/>
                <w:szCs w:val="20"/>
              </w:rPr>
              <w:t>Indicators</w:t>
            </w:r>
          </w:p>
        </w:tc>
        <w:tc>
          <w:tcPr>
            <w:tcW w:w="2175" w:type="dxa"/>
            <w:gridSpan w:val="2"/>
            <w:shd w:val="clear" w:color="auto" w:fill="D5DCE4" w:themeFill="text2" w:themeFillTint="33"/>
          </w:tcPr>
          <w:p w14:paraId="2CEEB239" w14:textId="77777777" w:rsidR="00080A98" w:rsidRPr="001C2F3D" w:rsidRDefault="00080A9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4 </w:t>
            </w:r>
            <w:r w:rsidRPr="001C2F3D">
              <w:rPr>
                <w:rFonts w:ascii="Times New Roman" w:hAnsi="Times New Roman" w:cs="Times New Roman"/>
                <w:sz w:val="20"/>
                <w:szCs w:val="20"/>
              </w:rPr>
              <w:t>(2015 – 16)</w:t>
            </w:r>
          </w:p>
        </w:tc>
        <w:tc>
          <w:tcPr>
            <w:tcW w:w="2268" w:type="dxa"/>
            <w:gridSpan w:val="2"/>
            <w:shd w:val="clear" w:color="auto" w:fill="FBE4D5" w:themeFill="accent2" w:themeFillTint="33"/>
          </w:tcPr>
          <w:p w14:paraId="5C37FC7D" w14:textId="77777777" w:rsidR="00080A98" w:rsidRPr="001C2F3D" w:rsidRDefault="00080A9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5 </w:t>
            </w:r>
            <w:r w:rsidRPr="001C2F3D">
              <w:rPr>
                <w:rFonts w:ascii="Times New Roman" w:hAnsi="Times New Roman" w:cs="Times New Roman"/>
                <w:sz w:val="20"/>
                <w:szCs w:val="20"/>
              </w:rPr>
              <w:t>(2019 – 21)</w:t>
            </w:r>
          </w:p>
        </w:tc>
      </w:tr>
      <w:tr w:rsidR="00670798" w:rsidRPr="001C2F3D" w14:paraId="3B101F16" w14:textId="77777777" w:rsidTr="00AD6B34">
        <w:trPr>
          <w:trHeight w:val="431"/>
        </w:trPr>
        <w:tc>
          <w:tcPr>
            <w:tcW w:w="817" w:type="dxa"/>
            <w:vMerge/>
            <w:shd w:val="clear" w:color="auto" w:fill="DEEAF6" w:themeFill="accent1" w:themeFillTint="33"/>
          </w:tcPr>
          <w:p w14:paraId="66BFA525" w14:textId="77777777" w:rsidR="00670798" w:rsidRPr="001C2F3D" w:rsidRDefault="00670798" w:rsidP="00AD0E87">
            <w:pPr>
              <w:jc w:val="both"/>
              <w:rPr>
                <w:rFonts w:ascii="Times New Roman" w:hAnsi="Times New Roman" w:cs="Times New Roman"/>
                <w:b/>
                <w:sz w:val="20"/>
                <w:szCs w:val="20"/>
              </w:rPr>
            </w:pPr>
          </w:p>
        </w:tc>
        <w:tc>
          <w:tcPr>
            <w:tcW w:w="2106" w:type="dxa"/>
            <w:vMerge/>
            <w:shd w:val="clear" w:color="auto" w:fill="DEEAF6" w:themeFill="accent1" w:themeFillTint="33"/>
          </w:tcPr>
          <w:p w14:paraId="612F6377" w14:textId="77777777" w:rsidR="00670798" w:rsidRPr="001C2F3D" w:rsidRDefault="00670798" w:rsidP="00AD0E87">
            <w:pPr>
              <w:jc w:val="both"/>
              <w:rPr>
                <w:rFonts w:ascii="Times New Roman" w:hAnsi="Times New Roman" w:cs="Times New Roman"/>
                <w:b/>
                <w:sz w:val="20"/>
                <w:szCs w:val="20"/>
              </w:rPr>
            </w:pPr>
          </w:p>
        </w:tc>
        <w:tc>
          <w:tcPr>
            <w:tcW w:w="1041" w:type="dxa"/>
            <w:shd w:val="clear" w:color="auto" w:fill="D5DCE4" w:themeFill="text2" w:themeFillTint="33"/>
          </w:tcPr>
          <w:p w14:paraId="7207C310" w14:textId="77777777" w:rsidR="00670798" w:rsidRPr="001C2F3D" w:rsidRDefault="00670798"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Rural </w:t>
            </w:r>
          </w:p>
        </w:tc>
        <w:tc>
          <w:tcPr>
            <w:tcW w:w="1134" w:type="dxa"/>
            <w:shd w:val="clear" w:color="auto" w:fill="D5DCE4" w:themeFill="text2" w:themeFillTint="33"/>
          </w:tcPr>
          <w:p w14:paraId="2ED3402A" w14:textId="77777777" w:rsidR="00670798" w:rsidRPr="001C2F3D" w:rsidRDefault="00670798"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c>
          <w:tcPr>
            <w:tcW w:w="1134" w:type="dxa"/>
            <w:shd w:val="clear" w:color="auto" w:fill="FBE4D5" w:themeFill="accent2" w:themeFillTint="33"/>
          </w:tcPr>
          <w:p w14:paraId="79514EC4" w14:textId="77777777" w:rsidR="00670798" w:rsidRPr="001C2F3D" w:rsidRDefault="00670798" w:rsidP="00AD0E87">
            <w:pPr>
              <w:jc w:val="both"/>
              <w:rPr>
                <w:rFonts w:ascii="Times New Roman" w:hAnsi="Times New Roman" w:cs="Times New Roman"/>
                <w:b/>
                <w:sz w:val="20"/>
                <w:szCs w:val="20"/>
              </w:rPr>
            </w:pPr>
            <w:r w:rsidRPr="001C2F3D">
              <w:rPr>
                <w:rFonts w:ascii="Times New Roman" w:hAnsi="Times New Roman" w:cs="Times New Roman"/>
                <w:b/>
                <w:sz w:val="20"/>
                <w:szCs w:val="20"/>
              </w:rPr>
              <w:t>Rural</w:t>
            </w:r>
          </w:p>
        </w:tc>
        <w:tc>
          <w:tcPr>
            <w:tcW w:w="1134" w:type="dxa"/>
            <w:shd w:val="clear" w:color="auto" w:fill="FBE4D5" w:themeFill="accent2" w:themeFillTint="33"/>
          </w:tcPr>
          <w:p w14:paraId="3F47A84B" w14:textId="77777777" w:rsidR="00670798" w:rsidRPr="001C2F3D" w:rsidRDefault="00670798"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r>
      <w:tr w:rsidR="00670798" w:rsidRPr="001C2F3D" w14:paraId="437B5B94" w14:textId="77777777" w:rsidTr="00AD6B34">
        <w:trPr>
          <w:trHeight w:val="401"/>
        </w:trPr>
        <w:tc>
          <w:tcPr>
            <w:tcW w:w="817" w:type="dxa"/>
            <w:shd w:val="clear" w:color="auto" w:fill="DEEAF6" w:themeFill="accent1" w:themeFillTint="33"/>
          </w:tcPr>
          <w:p w14:paraId="748560A9"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1</w:t>
            </w:r>
          </w:p>
        </w:tc>
        <w:tc>
          <w:tcPr>
            <w:tcW w:w="2106" w:type="dxa"/>
            <w:shd w:val="clear" w:color="auto" w:fill="DEEAF6" w:themeFill="accent1" w:themeFillTint="33"/>
          </w:tcPr>
          <w:p w14:paraId="3BDA3326"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Received MCP card</w:t>
            </w:r>
          </w:p>
        </w:tc>
        <w:tc>
          <w:tcPr>
            <w:tcW w:w="1041" w:type="dxa"/>
            <w:shd w:val="clear" w:color="auto" w:fill="D5DCE4" w:themeFill="text2" w:themeFillTint="33"/>
          </w:tcPr>
          <w:p w14:paraId="3CE9071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90.0</w:t>
            </w:r>
          </w:p>
        </w:tc>
        <w:tc>
          <w:tcPr>
            <w:tcW w:w="1134" w:type="dxa"/>
            <w:shd w:val="clear" w:color="auto" w:fill="D5DCE4" w:themeFill="text2" w:themeFillTint="33"/>
          </w:tcPr>
          <w:p w14:paraId="52C26987"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87.8</w:t>
            </w:r>
          </w:p>
        </w:tc>
        <w:tc>
          <w:tcPr>
            <w:tcW w:w="1134" w:type="dxa"/>
            <w:shd w:val="clear" w:color="auto" w:fill="FBE4D5" w:themeFill="accent2" w:themeFillTint="33"/>
          </w:tcPr>
          <w:p w14:paraId="07574E44"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96.3</w:t>
            </w:r>
          </w:p>
        </w:tc>
        <w:tc>
          <w:tcPr>
            <w:tcW w:w="1134" w:type="dxa"/>
            <w:shd w:val="clear" w:color="auto" w:fill="FBE4D5" w:themeFill="accent2" w:themeFillTint="33"/>
          </w:tcPr>
          <w:p w14:paraId="3B624199"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94.9</w:t>
            </w:r>
          </w:p>
        </w:tc>
      </w:tr>
      <w:tr w:rsidR="00670798" w:rsidRPr="001C2F3D" w14:paraId="6673E0B5" w14:textId="77777777" w:rsidTr="00AD6B34">
        <w:trPr>
          <w:trHeight w:val="401"/>
        </w:trPr>
        <w:tc>
          <w:tcPr>
            <w:tcW w:w="817" w:type="dxa"/>
            <w:shd w:val="clear" w:color="auto" w:fill="DEEAF6" w:themeFill="accent1" w:themeFillTint="33"/>
          </w:tcPr>
          <w:p w14:paraId="6E75242A"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2</w:t>
            </w:r>
          </w:p>
        </w:tc>
        <w:tc>
          <w:tcPr>
            <w:tcW w:w="2106" w:type="dxa"/>
            <w:shd w:val="clear" w:color="auto" w:fill="DEEAF6" w:themeFill="accent1" w:themeFillTint="33"/>
          </w:tcPr>
          <w:p w14:paraId="1EF95293"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1</w:t>
            </w:r>
            <w:r w:rsidRPr="001C2F3D">
              <w:rPr>
                <w:rFonts w:ascii="Times New Roman" w:hAnsi="Times New Roman" w:cs="Times New Roman"/>
                <w:sz w:val="20"/>
                <w:szCs w:val="20"/>
                <w:vertAlign w:val="superscript"/>
              </w:rPr>
              <w:t>st</w:t>
            </w:r>
            <w:r w:rsidRPr="001C2F3D">
              <w:rPr>
                <w:rFonts w:ascii="Times New Roman" w:hAnsi="Times New Roman" w:cs="Times New Roman"/>
                <w:sz w:val="20"/>
                <w:szCs w:val="20"/>
              </w:rPr>
              <w:t xml:space="preserve"> trimester ANC</w:t>
            </w:r>
          </w:p>
        </w:tc>
        <w:tc>
          <w:tcPr>
            <w:tcW w:w="1041" w:type="dxa"/>
            <w:shd w:val="clear" w:color="auto" w:fill="D5DCE4" w:themeFill="text2" w:themeFillTint="33"/>
          </w:tcPr>
          <w:p w14:paraId="5DE199D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54.2</w:t>
            </w:r>
          </w:p>
        </w:tc>
        <w:tc>
          <w:tcPr>
            <w:tcW w:w="1134" w:type="dxa"/>
            <w:shd w:val="clear" w:color="auto" w:fill="D5DCE4" w:themeFill="text2" w:themeFillTint="33"/>
          </w:tcPr>
          <w:p w14:paraId="32D85933"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69.1</w:t>
            </w:r>
          </w:p>
        </w:tc>
        <w:tc>
          <w:tcPr>
            <w:tcW w:w="1134" w:type="dxa"/>
            <w:shd w:val="clear" w:color="auto" w:fill="FBE4D5" w:themeFill="accent2" w:themeFillTint="33"/>
          </w:tcPr>
          <w:p w14:paraId="30E2CFEC"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67.9</w:t>
            </w:r>
          </w:p>
        </w:tc>
        <w:tc>
          <w:tcPr>
            <w:tcW w:w="1134" w:type="dxa"/>
            <w:shd w:val="clear" w:color="auto" w:fill="FBE4D5" w:themeFill="accent2" w:themeFillTint="33"/>
          </w:tcPr>
          <w:p w14:paraId="084F54C6"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75.5</w:t>
            </w:r>
          </w:p>
        </w:tc>
      </w:tr>
      <w:tr w:rsidR="00670798" w:rsidRPr="001C2F3D" w14:paraId="526A9BB4" w14:textId="77777777" w:rsidTr="00AD6B34">
        <w:trPr>
          <w:trHeight w:val="401"/>
        </w:trPr>
        <w:tc>
          <w:tcPr>
            <w:tcW w:w="817" w:type="dxa"/>
            <w:shd w:val="clear" w:color="auto" w:fill="DEEAF6" w:themeFill="accent1" w:themeFillTint="33"/>
          </w:tcPr>
          <w:p w14:paraId="0680631D"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3</w:t>
            </w:r>
          </w:p>
        </w:tc>
        <w:tc>
          <w:tcPr>
            <w:tcW w:w="2106" w:type="dxa"/>
            <w:shd w:val="clear" w:color="auto" w:fill="DEEAF6" w:themeFill="accent1" w:themeFillTint="33"/>
          </w:tcPr>
          <w:p w14:paraId="0666FD78"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At least 4 ANC visits</w:t>
            </w:r>
          </w:p>
        </w:tc>
        <w:tc>
          <w:tcPr>
            <w:tcW w:w="1041" w:type="dxa"/>
            <w:shd w:val="clear" w:color="auto" w:fill="D5DCE4" w:themeFill="text2" w:themeFillTint="33"/>
          </w:tcPr>
          <w:p w14:paraId="3816A555"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44.8</w:t>
            </w:r>
          </w:p>
        </w:tc>
        <w:tc>
          <w:tcPr>
            <w:tcW w:w="1134" w:type="dxa"/>
            <w:shd w:val="clear" w:color="auto" w:fill="D5DCE4" w:themeFill="text2" w:themeFillTint="33"/>
          </w:tcPr>
          <w:p w14:paraId="57D18552"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66.4</w:t>
            </w:r>
          </w:p>
        </w:tc>
        <w:tc>
          <w:tcPr>
            <w:tcW w:w="1134" w:type="dxa"/>
            <w:shd w:val="clear" w:color="auto" w:fill="FBE4D5" w:themeFill="accent2" w:themeFillTint="33"/>
          </w:tcPr>
          <w:p w14:paraId="1BF473A8"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54.2</w:t>
            </w:r>
          </w:p>
        </w:tc>
        <w:tc>
          <w:tcPr>
            <w:tcW w:w="1134" w:type="dxa"/>
            <w:shd w:val="clear" w:color="auto" w:fill="FBE4D5" w:themeFill="accent2" w:themeFillTint="33"/>
          </w:tcPr>
          <w:p w14:paraId="0C05B7D8"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68.1</w:t>
            </w:r>
          </w:p>
        </w:tc>
      </w:tr>
      <w:tr w:rsidR="00670798" w:rsidRPr="001C2F3D" w14:paraId="7F88CD4F" w14:textId="77777777" w:rsidTr="00AD6B34">
        <w:trPr>
          <w:trHeight w:val="401"/>
        </w:trPr>
        <w:tc>
          <w:tcPr>
            <w:tcW w:w="817" w:type="dxa"/>
            <w:shd w:val="clear" w:color="auto" w:fill="DEEAF6" w:themeFill="accent1" w:themeFillTint="33"/>
          </w:tcPr>
          <w:p w14:paraId="5EE4381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4</w:t>
            </w:r>
          </w:p>
        </w:tc>
        <w:tc>
          <w:tcPr>
            <w:tcW w:w="2106" w:type="dxa"/>
            <w:shd w:val="clear" w:color="auto" w:fill="DEEAF6" w:themeFill="accent1" w:themeFillTint="33"/>
          </w:tcPr>
          <w:p w14:paraId="74495D57"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TT injection</w:t>
            </w:r>
          </w:p>
        </w:tc>
        <w:tc>
          <w:tcPr>
            <w:tcW w:w="1041" w:type="dxa"/>
            <w:shd w:val="clear" w:color="auto" w:fill="D5DCE4" w:themeFill="text2" w:themeFillTint="33"/>
          </w:tcPr>
          <w:p w14:paraId="3D8EC446"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88.6</w:t>
            </w:r>
          </w:p>
        </w:tc>
        <w:tc>
          <w:tcPr>
            <w:tcW w:w="1134" w:type="dxa"/>
            <w:shd w:val="clear" w:color="auto" w:fill="D5DCE4" w:themeFill="text2" w:themeFillTint="33"/>
          </w:tcPr>
          <w:p w14:paraId="290C7A09"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89.9</w:t>
            </w:r>
          </w:p>
        </w:tc>
        <w:tc>
          <w:tcPr>
            <w:tcW w:w="1134" w:type="dxa"/>
            <w:shd w:val="clear" w:color="auto" w:fill="FBE4D5" w:themeFill="accent2" w:themeFillTint="33"/>
          </w:tcPr>
          <w:p w14:paraId="5EB2857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91.7</w:t>
            </w:r>
          </w:p>
        </w:tc>
        <w:tc>
          <w:tcPr>
            <w:tcW w:w="1134" w:type="dxa"/>
            <w:shd w:val="clear" w:color="auto" w:fill="FBE4D5" w:themeFill="accent2" w:themeFillTint="33"/>
          </w:tcPr>
          <w:p w14:paraId="01B7B434"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92.7</w:t>
            </w:r>
          </w:p>
        </w:tc>
      </w:tr>
      <w:tr w:rsidR="00670798" w:rsidRPr="001C2F3D" w14:paraId="39732E01" w14:textId="77777777" w:rsidTr="00AD6B34">
        <w:trPr>
          <w:trHeight w:val="416"/>
        </w:trPr>
        <w:tc>
          <w:tcPr>
            <w:tcW w:w="817" w:type="dxa"/>
            <w:shd w:val="clear" w:color="auto" w:fill="DEEAF6" w:themeFill="accent1" w:themeFillTint="33"/>
          </w:tcPr>
          <w:p w14:paraId="3E39462A"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5</w:t>
            </w:r>
          </w:p>
        </w:tc>
        <w:tc>
          <w:tcPr>
            <w:tcW w:w="2106" w:type="dxa"/>
            <w:shd w:val="clear" w:color="auto" w:fill="DEEAF6" w:themeFill="accent1" w:themeFillTint="33"/>
          </w:tcPr>
          <w:p w14:paraId="36458A68"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IFA tablets</w:t>
            </w:r>
          </w:p>
        </w:tc>
        <w:tc>
          <w:tcPr>
            <w:tcW w:w="1041" w:type="dxa"/>
            <w:shd w:val="clear" w:color="auto" w:fill="D5DCE4" w:themeFill="text2" w:themeFillTint="33"/>
          </w:tcPr>
          <w:p w14:paraId="24DB86C2"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25.9                                         </w:t>
            </w:r>
          </w:p>
        </w:tc>
        <w:tc>
          <w:tcPr>
            <w:tcW w:w="1134" w:type="dxa"/>
            <w:shd w:val="clear" w:color="auto" w:fill="D5DCE4" w:themeFill="text2" w:themeFillTint="33"/>
          </w:tcPr>
          <w:p w14:paraId="14CD8530"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40.8</w:t>
            </w:r>
          </w:p>
        </w:tc>
        <w:tc>
          <w:tcPr>
            <w:tcW w:w="1134" w:type="dxa"/>
            <w:shd w:val="clear" w:color="auto" w:fill="FBE4D5" w:themeFill="accent2" w:themeFillTint="33"/>
          </w:tcPr>
          <w:p w14:paraId="2B7B4B92"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40.2</w:t>
            </w:r>
          </w:p>
        </w:tc>
        <w:tc>
          <w:tcPr>
            <w:tcW w:w="1134" w:type="dxa"/>
            <w:shd w:val="clear" w:color="auto" w:fill="FBE4D5" w:themeFill="accent2" w:themeFillTint="33"/>
          </w:tcPr>
          <w:p w14:paraId="340EDE4E"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54.0</w:t>
            </w:r>
          </w:p>
        </w:tc>
      </w:tr>
      <w:tr w:rsidR="00670798" w:rsidRPr="001C2F3D" w14:paraId="66FD4D32" w14:textId="77777777" w:rsidTr="00AD6B34">
        <w:trPr>
          <w:trHeight w:val="401"/>
        </w:trPr>
        <w:tc>
          <w:tcPr>
            <w:tcW w:w="817" w:type="dxa"/>
            <w:shd w:val="clear" w:color="auto" w:fill="DEEAF6" w:themeFill="accent1" w:themeFillTint="33"/>
          </w:tcPr>
          <w:p w14:paraId="12B8A3C6"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6</w:t>
            </w:r>
          </w:p>
        </w:tc>
        <w:tc>
          <w:tcPr>
            <w:tcW w:w="2106" w:type="dxa"/>
            <w:shd w:val="clear" w:color="auto" w:fill="DEEAF6" w:themeFill="accent1" w:themeFillTint="33"/>
          </w:tcPr>
          <w:p w14:paraId="506F9A60"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Mother received PNC</w:t>
            </w:r>
          </w:p>
        </w:tc>
        <w:tc>
          <w:tcPr>
            <w:tcW w:w="1041" w:type="dxa"/>
            <w:shd w:val="clear" w:color="auto" w:fill="D5DCE4" w:themeFill="text2" w:themeFillTint="33"/>
          </w:tcPr>
          <w:p w14:paraId="64823E99"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58.5</w:t>
            </w:r>
          </w:p>
        </w:tc>
        <w:tc>
          <w:tcPr>
            <w:tcW w:w="1134" w:type="dxa"/>
            <w:shd w:val="clear" w:color="auto" w:fill="D5DCE4" w:themeFill="text2" w:themeFillTint="33"/>
          </w:tcPr>
          <w:p w14:paraId="73A858B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71.7</w:t>
            </w:r>
          </w:p>
        </w:tc>
        <w:tc>
          <w:tcPr>
            <w:tcW w:w="1134" w:type="dxa"/>
            <w:shd w:val="clear" w:color="auto" w:fill="FBE4D5" w:themeFill="accent2" w:themeFillTint="33"/>
          </w:tcPr>
          <w:p w14:paraId="1C610661"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75.4</w:t>
            </w:r>
          </w:p>
        </w:tc>
        <w:tc>
          <w:tcPr>
            <w:tcW w:w="1134" w:type="dxa"/>
            <w:shd w:val="clear" w:color="auto" w:fill="FBE4D5" w:themeFill="accent2" w:themeFillTint="33"/>
          </w:tcPr>
          <w:p w14:paraId="513E883C"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84.6</w:t>
            </w:r>
          </w:p>
        </w:tc>
      </w:tr>
      <w:tr w:rsidR="00670798" w:rsidRPr="001C2F3D" w14:paraId="71EEF5DB" w14:textId="77777777" w:rsidTr="00AD6B34">
        <w:trPr>
          <w:trHeight w:val="401"/>
        </w:trPr>
        <w:tc>
          <w:tcPr>
            <w:tcW w:w="817" w:type="dxa"/>
            <w:shd w:val="clear" w:color="auto" w:fill="DEEAF6" w:themeFill="accent1" w:themeFillTint="33"/>
          </w:tcPr>
          <w:p w14:paraId="1E876A7B"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7</w:t>
            </w:r>
          </w:p>
        </w:tc>
        <w:tc>
          <w:tcPr>
            <w:tcW w:w="2106" w:type="dxa"/>
            <w:shd w:val="clear" w:color="auto" w:fill="DEEAF6" w:themeFill="accent1" w:themeFillTint="33"/>
          </w:tcPr>
          <w:p w14:paraId="4C0CB910" w14:textId="77777777" w:rsidR="00670798" w:rsidRPr="001C2F3D" w:rsidRDefault="00670798" w:rsidP="00AD0E87">
            <w:pPr>
              <w:jc w:val="both"/>
              <w:rPr>
                <w:rFonts w:ascii="Times New Roman" w:hAnsi="Times New Roman" w:cs="Times New Roman"/>
                <w:sz w:val="20"/>
                <w:szCs w:val="20"/>
              </w:rPr>
            </w:pPr>
            <w:proofErr w:type="gramStart"/>
            <w:r w:rsidRPr="001C2F3D">
              <w:rPr>
                <w:rFonts w:ascii="Times New Roman" w:hAnsi="Times New Roman" w:cs="Times New Roman"/>
                <w:sz w:val="20"/>
                <w:szCs w:val="20"/>
              </w:rPr>
              <w:t>Child  received</w:t>
            </w:r>
            <w:proofErr w:type="gramEnd"/>
            <w:r w:rsidRPr="001C2F3D">
              <w:rPr>
                <w:rFonts w:ascii="Times New Roman" w:hAnsi="Times New Roman" w:cs="Times New Roman"/>
                <w:sz w:val="20"/>
                <w:szCs w:val="20"/>
              </w:rPr>
              <w:t xml:space="preserve"> PNC</w:t>
            </w:r>
          </w:p>
        </w:tc>
        <w:tc>
          <w:tcPr>
            <w:tcW w:w="1041" w:type="dxa"/>
            <w:shd w:val="clear" w:color="auto" w:fill="D5DCE4" w:themeFill="text2" w:themeFillTint="33"/>
          </w:tcPr>
          <w:p w14:paraId="1F24867D"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23.0</w:t>
            </w:r>
          </w:p>
        </w:tc>
        <w:tc>
          <w:tcPr>
            <w:tcW w:w="1134" w:type="dxa"/>
            <w:shd w:val="clear" w:color="auto" w:fill="D5DCE4" w:themeFill="text2" w:themeFillTint="33"/>
          </w:tcPr>
          <w:p w14:paraId="57481D8F"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27.2</w:t>
            </w:r>
          </w:p>
        </w:tc>
        <w:tc>
          <w:tcPr>
            <w:tcW w:w="1134" w:type="dxa"/>
            <w:shd w:val="clear" w:color="auto" w:fill="FBE4D5" w:themeFill="accent2" w:themeFillTint="33"/>
          </w:tcPr>
          <w:p w14:paraId="04A2E0FA"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76.5</w:t>
            </w:r>
          </w:p>
        </w:tc>
        <w:tc>
          <w:tcPr>
            <w:tcW w:w="1134" w:type="dxa"/>
            <w:shd w:val="clear" w:color="auto" w:fill="FBE4D5" w:themeFill="accent2" w:themeFillTint="33"/>
          </w:tcPr>
          <w:p w14:paraId="779D8B1E" w14:textId="77777777" w:rsidR="00670798" w:rsidRPr="001C2F3D" w:rsidRDefault="00670798" w:rsidP="00AD0E87">
            <w:pPr>
              <w:jc w:val="both"/>
              <w:rPr>
                <w:rFonts w:ascii="Times New Roman" w:hAnsi="Times New Roman" w:cs="Times New Roman"/>
                <w:sz w:val="20"/>
                <w:szCs w:val="20"/>
              </w:rPr>
            </w:pPr>
            <w:r w:rsidRPr="001C2F3D">
              <w:rPr>
                <w:rFonts w:ascii="Times New Roman" w:hAnsi="Times New Roman" w:cs="Times New Roman"/>
                <w:sz w:val="20"/>
                <w:szCs w:val="20"/>
              </w:rPr>
              <w:t>85.7</w:t>
            </w:r>
          </w:p>
        </w:tc>
      </w:tr>
    </w:tbl>
    <w:p w14:paraId="775ACB6A" w14:textId="77777777" w:rsidR="006F179D" w:rsidRPr="001C2F3D" w:rsidRDefault="006F179D" w:rsidP="00AD0E87">
      <w:pPr>
        <w:spacing w:line="240" w:lineRule="auto"/>
        <w:jc w:val="both"/>
        <w:rPr>
          <w:rFonts w:ascii="Times New Roman" w:hAnsi="Times New Roman" w:cs="Times New Roman"/>
          <w:sz w:val="20"/>
          <w:szCs w:val="20"/>
        </w:rPr>
      </w:pPr>
    </w:p>
    <w:p w14:paraId="713AA142" w14:textId="77777777" w:rsidR="00670798" w:rsidRPr="001C2F3D" w:rsidRDefault="00670798" w:rsidP="00AD0E87">
      <w:pPr>
        <w:spacing w:line="240" w:lineRule="auto"/>
        <w:jc w:val="both"/>
        <w:rPr>
          <w:rFonts w:ascii="Times New Roman" w:hAnsi="Times New Roman" w:cs="Times New Roman"/>
          <w:sz w:val="20"/>
          <w:szCs w:val="20"/>
        </w:rPr>
      </w:pPr>
    </w:p>
    <w:p w14:paraId="714955A3" w14:textId="77777777" w:rsidR="00670798" w:rsidRPr="001C2F3D" w:rsidRDefault="00670798" w:rsidP="00AD0E87">
      <w:pPr>
        <w:spacing w:line="240" w:lineRule="auto"/>
        <w:jc w:val="both"/>
        <w:rPr>
          <w:rFonts w:ascii="Times New Roman" w:hAnsi="Times New Roman" w:cs="Times New Roman"/>
          <w:sz w:val="20"/>
          <w:szCs w:val="20"/>
        </w:rPr>
      </w:pPr>
    </w:p>
    <w:p w14:paraId="25674760" w14:textId="77777777" w:rsidR="00670798" w:rsidRPr="001C2F3D" w:rsidRDefault="00670798" w:rsidP="00AD0E87">
      <w:pPr>
        <w:spacing w:line="240" w:lineRule="auto"/>
        <w:jc w:val="both"/>
        <w:rPr>
          <w:rFonts w:ascii="Times New Roman" w:hAnsi="Times New Roman" w:cs="Times New Roman"/>
          <w:sz w:val="20"/>
          <w:szCs w:val="20"/>
        </w:rPr>
      </w:pPr>
    </w:p>
    <w:p w14:paraId="0629FCC7" w14:textId="77777777" w:rsidR="00670798" w:rsidRPr="001C2F3D" w:rsidRDefault="00670798" w:rsidP="00AD0E87">
      <w:pPr>
        <w:spacing w:line="240" w:lineRule="auto"/>
        <w:jc w:val="both"/>
        <w:rPr>
          <w:rFonts w:ascii="Times New Roman" w:hAnsi="Times New Roman" w:cs="Times New Roman"/>
          <w:sz w:val="20"/>
          <w:szCs w:val="20"/>
        </w:rPr>
      </w:pPr>
    </w:p>
    <w:p w14:paraId="13D31C09" w14:textId="77777777" w:rsidR="00670798" w:rsidRPr="001C2F3D" w:rsidRDefault="00670798" w:rsidP="00AD0E87">
      <w:pPr>
        <w:spacing w:line="240" w:lineRule="auto"/>
        <w:jc w:val="both"/>
        <w:rPr>
          <w:rFonts w:ascii="Times New Roman" w:hAnsi="Times New Roman" w:cs="Times New Roman"/>
          <w:sz w:val="20"/>
          <w:szCs w:val="20"/>
        </w:rPr>
      </w:pPr>
    </w:p>
    <w:p w14:paraId="24E75286" w14:textId="77777777" w:rsidR="00670798" w:rsidRPr="001C2F3D" w:rsidRDefault="00670798" w:rsidP="00AD0E87">
      <w:pPr>
        <w:spacing w:line="240" w:lineRule="auto"/>
        <w:jc w:val="both"/>
        <w:rPr>
          <w:rFonts w:ascii="Times New Roman" w:hAnsi="Times New Roman" w:cs="Times New Roman"/>
          <w:sz w:val="20"/>
          <w:szCs w:val="20"/>
        </w:rPr>
      </w:pPr>
    </w:p>
    <w:p w14:paraId="59559C92" w14:textId="77777777" w:rsidR="00670798" w:rsidRPr="001C2F3D" w:rsidRDefault="00670798" w:rsidP="00AD0E87">
      <w:pPr>
        <w:spacing w:line="240" w:lineRule="auto"/>
        <w:jc w:val="both"/>
        <w:rPr>
          <w:rFonts w:ascii="Times New Roman" w:hAnsi="Times New Roman" w:cs="Times New Roman"/>
          <w:sz w:val="20"/>
          <w:szCs w:val="20"/>
        </w:rPr>
      </w:pPr>
    </w:p>
    <w:p w14:paraId="4464683A" w14:textId="77777777" w:rsidR="0029742D" w:rsidRDefault="00D34C89" w:rsidP="00AD0E87">
      <w:pPr>
        <w:spacing w:line="240" w:lineRule="auto"/>
        <w:jc w:val="both"/>
        <w:rPr>
          <w:rFonts w:ascii="Times New Roman" w:hAnsi="Times New Roman" w:cs="Times New Roman"/>
          <w:sz w:val="20"/>
          <w:szCs w:val="20"/>
        </w:rPr>
      </w:pPr>
      <w:r w:rsidRPr="001C2F3D">
        <w:rPr>
          <w:rFonts w:ascii="Times New Roman" w:hAnsi="Times New Roman" w:cs="Times New Roman"/>
          <w:sz w:val="20"/>
          <w:szCs w:val="20"/>
        </w:rPr>
        <w:tab/>
      </w:r>
    </w:p>
    <w:p w14:paraId="5AFF5515" w14:textId="77777777" w:rsidR="0029742D" w:rsidRDefault="0029742D" w:rsidP="00AD0E87">
      <w:pPr>
        <w:spacing w:line="240" w:lineRule="auto"/>
        <w:jc w:val="both"/>
        <w:rPr>
          <w:rFonts w:ascii="Times New Roman" w:hAnsi="Times New Roman" w:cs="Times New Roman"/>
          <w:sz w:val="20"/>
          <w:szCs w:val="20"/>
        </w:rPr>
      </w:pPr>
    </w:p>
    <w:p w14:paraId="106FE292" w14:textId="77777777" w:rsidR="00E54AD4" w:rsidRPr="001C2F3D" w:rsidRDefault="00E54AD4" w:rsidP="0029742D">
      <w:pPr>
        <w:spacing w:line="240" w:lineRule="auto"/>
        <w:ind w:left="1440" w:firstLine="720"/>
        <w:jc w:val="both"/>
        <w:rPr>
          <w:rFonts w:ascii="Times New Roman" w:hAnsi="Times New Roman" w:cs="Times New Roman"/>
          <w:sz w:val="20"/>
          <w:szCs w:val="20"/>
        </w:rPr>
      </w:pPr>
      <w:r w:rsidRPr="001C2F3D">
        <w:rPr>
          <w:rFonts w:ascii="Times New Roman" w:hAnsi="Times New Roman" w:cs="Times New Roman"/>
          <w:b/>
          <w:sz w:val="20"/>
          <w:szCs w:val="20"/>
        </w:rPr>
        <w:t>Source:</w:t>
      </w:r>
      <w:r w:rsidRPr="001C2F3D">
        <w:rPr>
          <w:rFonts w:ascii="Times New Roman" w:hAnsi="Times New Roman" w:cs="Times New Roman"/>
          <w:sz w:val="20"/>
          <w:szCs w:val="20"/>
        </w:rPr>
        <w:t xml:space="preserve"> National Family Health Survey – 4 &amp; 5</w:t>
      </w:r>
    </w:p>
    <w:p w14:paraId="72842B9D" w14:textId="72A5A50B" w:rsidR="00401E4B" w:rsidRDefault="00930544" w:rsidP="00401E4B">
      <w:pPr>
        <w:spacing w:line="240" w:lineRule="auto"/>
        <w:jc w:val="both"/>
        <w:rPr>
          <w:rFonts w:ascii="Times New Roman" w:hAnsi="Times New Roman" w:cs="Times New Roman"/>
          <w:sz w:val="20"/>
          <w:szCs w:val="20"/>
        </w:rPr>
      </w:pPr>
      <w:r>
        <w:rPr>
          <w:rFonts w:ascii="Times New Roman" w:hAnsi="Times New Roman" w:cs="Times New Roman"/>
          <w:sz w:val="20"/>
          <w:szCs w:val="20"/>
        </w:rPr>
        <w:tab/>
      </w:r>
      <w:r w:rsidR="00C4661B">
        <w:rPr>
          <w:rFonts w:ascii="Times New Roman" w:hAnsi="Times New Roman" w:cs="Times New Roman"/>
          <w:sz w:val="20"/>
          <w:szCs w:val="20"/>
        </w:rPr>
        <w:t xml:space="preserve">Table 2 shows delivery care related information. The Janani Suraksha Yojana scheme provides financial assistance for </w:t>
      </w:r>
      <w:proofErr w:type="spellStart"/>
      <w:r w:rsidR="00C4661B">
        <w:rPr>
          <w:rFonts w:ascii="Times New Roman" w:hAnsi="Times New Roman" w:cs="Times New Roman"/>
          <w:sz w:val="20"/>
          <w:szCs w:val="20"/>
        </w:rPr>
        <w:t>instutitionatal</w:t>
      </w:r>
      <w:proofErr w:type="spellEnd"/>
      <w:r w:rsidR="00C4661B">
        <w:rPr>
          <w:rFonts w:ascii="Times New Roman" w:hAnsi="Times New Roman" w:cs="Times New Roman"/>
          <w:sz w:val="20"/>
          <w:szCs w:val="20"/>
        </w:rPr>
        <w:t xml:space="preserve"> delivery. It aims to promote institutional delivery, reducing delivery complications and preventing mortalities. As a result, institutional delivery has significantly increased in both areas and </w:t>
      </w:r>
      <w:proofErr w:type="spellStart"/>
      <w:proofErr w:type="gramStart"/>
      <w:r w:rsidR="00C4661B">
        <w:rPr>
          <w:rFonts w:ascii="Times New Roman" w:hAnsi="Times New Roman" w:cs="Times New Roman"/>
          <w:sz w:val="20"/>
          <w:szCs w:val="20"/>
        </w:rPr>
        <w:t>surveys.The</w:t>
      </w:r>
      <w:proofErr w:type="spellEnd"/>
      <w:proofErr w:type="gramEnd"/>
      <w:r w:rsidR="00C4661B">
        <w:rPr>
          <w:rFonts w:ascii="Times New Roman" w:hAnsi="Times New Roman" w:cs="Times New Roman"/>
          <w:sz w:val="20"/>
          <w:szCs w:val="20"/>
        </w:rPr>
        <w:t xml:space="preserve"> public health facility or hospital birth level also improved, but not the </w:t>
      </w:r>
      <w:proofErr w:type="spellStart"/>
      <w:r w:rsidR="00C4661B">
        <w:rPr>
          <w:rFonts w:ascii="Times New Roman" w:hAnsi="Times New Roman" w:cs="Times New Roman"/>
          <w:sz w:val="20"/>
          <w:szCs w:val="20"/>
        </w:rPr>
        <w:t>miximum</w:t>
      </w:r>
      <w:proofErr w:type="spellEnd"/>
      <w:r w:rsidR="00C4661B">
        <w:rPr>
          <w:rFonts w:ascii="Times New Roman" w:hAnsi="Times New Roman" w:cs="Times New Roman"/>
          <w:sz w:val="20"/>
          <w:szCs w:val="20"/>
        </w:rPr>
        <w:t xml:space="preserve"> level. At the same time, the caesarean delivery system is higher at the urban level than at the rural level. Most of the private hospitals conducting delivery were adopting the caesarean method. The private hospitals mostly promoted caesarean methods, but public health facility caesarean methods are low but slightly increasing in urban regions. At the time of delivery, there is a need for money for delivery expenses. The rural level average out of pocket expenditure is 2946 and the urban level is 3913 rupees at NFHS–4. This expenditure level is declining in the NFHS–5 period. It means government maternity schemes to reduce the out-of-pocket expenditure level.</w:t>
      </w:r>
    </w:p>
    <w:p w14:paraId="0EFB23A0" w14:textId="4D9872CC" w:rsidR="00A5310E" w:rsidRPr="001C2F3D" w:rsidRDefault="00E54AD4" w:rsidP="0078764B">
      <w:pPr>
        <w:spacing w:line="240" w:lineRule="auto"/>
        <w:jc w:val="center"/>
        <w:rPr>
          <w:rFonts w:ascii="Times New Roman" w:hAnsi="Times New Roman" w:cs="Times New Roman"/>
          <w:b/>
          <w:sz w:val="20"/>
          <w:szCs w:val="20"/>
        </w:rPr>
      </w:pPr>
      <w:r w:rsidRPr="001C2F3D">
        <w:rPr>
          <w:rFonts w:ascii="Times New Roman" w:hAnsi="Times New Roman" w:cs="Times New Roman"/>
          <w:b/>
          <w:sz w:val="20"/>
          <w:szCs w:val="20"/>
        </w:rPr>
        <w:t xml:space="preserve">Table – 2: </w:t>
      </w:r>
      <w:r w:rsidR="00A5310E" w:rsidRPr="001C2F3D">
        <w:rPr>
          <w:rFonts w:ascii="Times New Roman" w:hAnsi="Times New Roman" w:cs="Times New Roman"/>
          <w:b/>
          <w:sz w:val="20"/>
          <w:szCs w:val="20"/>
        </w:rPr>
        <w:t>Delivery care</w:t>
      </w:r>
    </w:p>
    <w:tbl>
      <w:tblPr>
        <w:tblStyle w:val="TableGrid"/>
        <w:tblpPr w:leftFromText="180" w:rightFromText="180" w:vertAnchor="text" w:horzAnchor="margin" w:tblpXSpec="center" w:tblpY="116"/>
        <w:tblOverlap w:val="never"/>
        <w:tblW w:w="8642" w:type="dxa"/>
        <w:tblLook w:val="04A0" w:firstRow="1" w:lastRow="0" w:firstColumn="1" w:lastColumn="0" w:noHBand="0" w:noVBand="1"/>
      </w:tblPr>
      <w:tblGrid>
        <w:gridCol w:w="793"/>
        <w:gridCol w:w="3313"/>
        <w:gridCol w:w="1134"/>
        <w:gridCol w:w="1134"/>
        <w:gridCol w:w="1134"/>
        <w:gridCol w:w="1134"/>
      </w:tblGrid>
      <w:tr w:rsidR="0035180C" w:rsidRPr="001C2F3D" w14:paraId="2576003B" w14:textId="77777777" w:rsidTr="0097423F">
        <w:trPr>
          <w:trHeight w:val="401"/>
        </w:trPr>
        <w:tc>
          <w:tcPr>
            <w:tcW w:w="793" w:type="dxa"/>
            <w:vMerge w:val="restart"/>
            <w:shd w:val="clear" w:color="auto" w:fill="DEEAF6" w:themeFill="accent1" w:themeFillTint="33"/>
          </w:tcPr>
          <w:p w14:paraId="539266FF" w14:textId="77777777" w:rsidR="003467C6" w:rsidRPr="001C2F3D" w:rsidRDefault="003467C6" w:rsidP="00AD0E87">
            <w:pPr>
              <w:jc w:val="both"/>
              <w:rPr>
                <w:rFonts w:ascii="Times New Roman" w:hAnsi="Times New Roman" w:cs="Times New Roman"/>
                <w:b/>
                <w:sz w:val="20"/>
                <w:szCs w:val="20"/>
              </w:rPr>
            </w:pPr>
          </w:p>
          <w:p w14:paraId="3286357B" w14:textId="77777777" w:rsidR="0035180C" w:rsidRPr="001C2F3D" w:rsidRDefault="0035180C" w:rsidP="00AD0E87">
            <w:pPr>
              <w:jc w:val="both"/>
              <w:rPr>
                <w:rFonts w:ascii="Times New Roman" w:hAnsi="Times New Roman" w:cs="Times New Roman"/>
                <w:b/>
                <w:sz w:val="20"/>
                <w:szCs w:val="20"/>
              </w:rPr>
            </w:pPr>
            <w:proofErr w:type="gramStart"/>
            <w:r w:rsidRPr="001C2F3D">
              <w:rPr>
                <w:rFonts w:ascii="Times New Roman" w:hAnsi="Times New Roman" w:cs="Times New Roman"/>
                <w:b/>
                <w:sz w:val="20"/>
                <w:szCs w:val="20"/>
              </w:rPr>
              <w:t>S</w:t>
            </w:r>
            <w:r w:rsidR="003467C6" w:rsidRPr="001C2F3D">
              <w:rPr>
                <w:rFonts w:ascii="Times New Roman" w:hAnsi="Times New Roman" w:cs="Times New Roman"/>
                <w:b/>
                <w:sz w:val="20"/>
                <w:szCs w:val="20"/>
              </w:rPr>
              <w:t xml:space="preserve"> </w:t>
            </w:r>
            <w:r w:rsidRPr="001C2F3D">
              <w:rPr>
                <w:rFonts w:ascii="Times New Roman" w:hAnsi="Times New Roman" w:cs="Times New Roman"/>
                <w:b/>
                <w:sz w:val="20"/>
                <w:szCs w:val="20"/>
              </w:rPr>
              <w:t>.No</w:t>
            </w:r>
            <w:proofErr w:type="gramEnd"/>
          </w:p>
        </w:tc>
        <w:tc>
          <w:tcPr>
            <w:tcW w:w="3313" w:type="dxa"/>
            <w:vMerge w:val="restart"/>
            <w:shd w:val="clear" w:color="auto" w:fill="DEEAF6" w:themeFill="accent1" w:themeFillTint="33"/>
          </w:tcPr>
          <w:p w14:paraId="61BE784A" w14:textId="77777777" w:rsidR="0035180C" w:rsidRPr="001C2F3D" w:rsidRDefault="0035180C" w:rsidP="00AD0E87">
            <w:pPr>
              <w:jc w:val="both"/>
              <w:rPr>
                <w:rFonts w:ascii="Times New Roman" w:hAnsi="Times New Roman" w:cs="Times New Roman"/>
                <w:b/>
                <w:sz w:val="20"/>
                <w:szCs w:val="20"/>
              </w:rPr>
            </w:pPr>
          </w:p>
          <w:p w14:paraId="63198918" w14:textId="77777777" w:rsidR="0035180C" w:rsidRPr="001C2F3D" w:rsidRDefault="0035180C" w:rsidP="00AD0E87">
            <w:pPr>
              <w:jc w:val="both"/>
              <w:rPr>
                <w:rFonts w:ascii="Times New Roman" w:hAnsi="Times New Roman" w:cs="Times New Roman"/>
                <w:b/>
                <w:sz w:val="20"/>
                <w:szCs w:val="20"/>
              </w:rPr>
            </w:pPr>
            <w:r w:rsidRPr="001C2F3D">
              <w:rPr>
                <w:rFonts w:ascii="Times New Roman" w:hAnsi="Times New Roman" w:cs="Times New Roman"/>
                <w:b/>
                <w:sz w:val="20"/>
                <w:szCs w:val="20"/>
              </w:rPr>
              <w:t>Indicators</w:t>
            </w:r>
          </w:p>
        </w:tc>
        <w:tc>
          <w:tcPr>
            <w:tcW w:w="2268" w:type="dxa"/>
            <w:gridSpan w:val="2"/>
            <w:shd w:val="clear" w:color="auto" w:fill="D5DCE4" w:themeFill="text2" w:themeFillTint="33"/>
          </w:tcPr>
          <w:p w14:paraId="65AD523B" w14:textId="77777777" w:rsidR="0035180C" w:rsidRPr="001C2F3D" w:rsidRDefault="0035180C"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4 </w:t>
            </w:r>
            <w:r w:rsidRPr="001C2F3D">
              <w:rPr>
                <w:rFonts w:ascii="Times New Roman" w:hAnsi="Times New Roman" w:cs="Times New Roman"/>
                <w:sz w:val="20"/>
                <w:szCs w:val="20"/>
              </w:rPr>
              <w:t>(2015 – 16)</w:t>
            </w:r>
          </w:p>
        </w:tc>
        <w:tc>
          <w:tcPr>
            <w:tcW w:w="2268" w:type="dxa"/>
            <w:gridSpan w:val="2"/>
            <w:shd w:val="clear" w:color="auto" w:fill="FBE4D5" w:themeFill="accent2" w:themeFillTint="33"/>
          </w:tcPr>
          <w:p w14:paraId="45388C95" w14:textId="77777777" w:rsidR="0035180C" w:rsidRPr="001C2F3D" w:rsidRDefault="0035180C"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5 </w:t>
            </w:r>
            <w:r w:rsidRPr="001C2F3D">
              <w:rPr>
                <w:rFonts w:ascii="Times New Roman" w:hAnsi="Times New Roman" w:cs="Times New Roman"/>
                <w:sz w:val="20"/>
                <w:szCs w:val="20"/>
              </w:rPr>
              <w:t>(2019 – 21)</w:t>
            </w:r>
          </w:p>
        </w:tc>
      </w:tr>
      <w:tr w:rsidR="003E1DA2" w:rsidRPr="001C2F3D" w14:paraId="5E0320A3" w14:textId="77777777" w:rsidTr="0097423F">
        <w:trPr>
          <w:trHeight w:val="431"/>
        </w:trPr>
        <w:tc>
          <w:tcPr>
            <w:tcW w:w="793" w:type="dxa"/>
            <w:vMerge/>
            <w:shd w:val="clear" w:color="auto" w:fill="DEEAF6" w:themeFill="accent1" w:themeFillTint="33"/>
          </w:tcPr>
          <w:p w14:paraId="3AF39194" w14:textId="77777777" w:rsidR="003E1DA2" w:rsidRPr="001C2F3D" w:rsidRDefault="003E1DA2" w:rsidP="00AD0E87">
            <w:pPr>
              <w:jc w:val="both"/>
              <w:rPr>
                <w:rFonts w:ascii="Times New Roman" w:hAnsi="Times New Roman" w:cs="Times New Roman"/>
                <w:b/>
                <w:sz w:val="20"/>
                <w:szCs w:val="20"/>
              </w:rPr>
            </w:pPr>
          </w:p>
        </w:tc>
        <w:tc>
          <w:tcPr>
            <w:tcW w:w="3313" w:type="dxa"/>
            <w:vMerge/>
            <w:shd w:val="clear" w:color="auto" w:fill="DEEAF6" w:themeFill="accent1" w:themeFillTint="33"/>
          </w:tcPr>
          <w:p w14:paraId="2D24B2CF" w14:textId="77777777" w:rsidR="003E1DA2" w:rsidRPr="001C2F3D" w:rsidRDefault="003E1DA2" w:rsidP="00AD0E87">
            <w:pPr>
              <w:jc w:val="both"/>
              <w:rPr>
                <w:rFonts w:ascii="Times New Roman" w:hAnsi="Times New Roman" w:cs="Times New Roman"/>
                <w:b/>
                <w:sz w:val="20"/>
                <w:szCs w:val="20"/>
              </w:rPr>
            </w:pPr>
          </w:p>
        </w:tc>
        <w:tc>
          <w:tcPr>
            <w:tcW w:w="1134" w:type="dxa"/>
            <w:shd w:val="clear" w:color="auto" w:fill="D5DCE4" w:themeFill="text2" w:themeFillTint="33"/>
          </w:tcPr>
          <w:p w14:paraId="73EC7315"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Rural </w:t>
            </w:r>
          </w:p>
        </w:tc>
        <w:tc>
          <w:tcPr>
            <w:tcW w:w="1134" w:type="dxa"/>
            <w:shd w:val="clear" w:color="auto" w:fill="D5DCE4" w:themeFill="text2" w:themeFillTint="33"/>
          </w:tcPr>
          <w:p w14:paraId="5107DC32"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c>
          <w:tcPr>
            <w:tcW w:w="1134" w:type="dxa"/>
            <w:shd w:val="clear" w:color="auto" w:fill="FBE4D5" w:themeFill="accent2" w:themeFillTint="33"/>
          </w:tcPr>
          <w:p w14:paraId="359755D6"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Rural</w:t>
            </w:r>
          </w:p>
        </w:tc>
        <w:tc>
          <w:tcPr>
            <w:tcW w:w="1134" w:type="dxa"/>
            <w:shd w:val="clear" w:color="auto" w:fill="FBE4D5" w:themeFill="accent2" w:themeFillTint="33"/>
          </w:tcPr>
          <w:p w14:paraId="09C4CD42"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r>
      <w:tr w:rsidR="003E1DA2" w:rsidRPr="001C2F3D" w14:paraId="257E3A50" w14:textId="77777777" w:rsidTr="0097423F">
        <w:trPr>
          <w:trHeight w:val="401"/>
        </w:trPr>
        <w:tc>
          <w:tcPr>
            <w:tcW w:w="793" w:type="dxa"/>
            <w:shd w:val="clear" w:color="auto" w:fill="DEEAF6" w:themeFill="accent1" w:themeFillTint="33"/>
          </w:tcPr>
          <w:p w14:paraId="3907E7E1"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w:t>
            </w:r>
          </w:p>
        </w:tc>
        <w:tc>
          <w:tcPr>
            <w:tcW w:w="3313" w:type="dxa"/>
            <w:shd w:val="clear" w:color="auto" w:fill="DEEAF6" w:themeFill="accent1" w:themeFillTint="33"/>
          </w:tcPr>
          <w:p w14:paraId="7F57745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Institutional Births</w:t>
            </w:r>
          </w:p>
        </w:tc>
        <w:tc>
          <w:tcPr>
            <w:tcW w:w="1134" w:type="dxa"/>
            <w:shd w:val="clear" w:color="auto" w:fill="D5DCE4" w:themeFill="text2" w:themeFillTint="33"/>
          </w:tcPr>
          <w:p w14:paraId="5916D9A9"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75.1</w:t>
            </w:r>
          </w:p>
        </w:tc>
        <w:tc>
          <w:tcPr>
            <w:tcW w:w="1134" w:type="dxa"/>
            <w:shd w:val="clear" w:color="auto" w:fill="D5DCE4" w:themeFill="text2" w:themeFillTint="33"/>
          </w:tcPr>
          <w:p w14:paraId="5CA9211A"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88.7</w:t>
            </w:r>
          </w:p>
        </w:tc>
        <w:tc>
          <w:tcPr>
            <w:tcW w:w="1134" w:type="dxa"/>
            <w:shd w:val="clear" w:color="auto" w:fill="FBE4D5" w:themeFill="accent2" w:themeFillTint="33"/>
          </w:tcPr>
          <w:p w14:paraId="5F67D42F"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86.7</w:t>
            </w:r>
          </w:p>
        </w:tc>
        <w:tc>
          <w:tcPr>
            <w:tcW w:w="1134" w:type="dxa"/>
            <w:shd w:val="clear" w:color="auto" w:fill="FBE4D5" w:themeFill="accent2" w:themeFillTint="33"/>
          </w:tcPr>
          <w:p w14:paraId="2D4404F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93.8</w:t>
            </w:r>
          </w:p>
        </w:tc>
      </w:tr>
      <w:tr w:rsidR="003E1DA2" w:rsidRPr="001C2F3D" w14:paraId="269916B7" w14:textId="77777777" w:rsidTr="0097423F">
        <w:trPr>
          <w:trHeight w:val="401"/>
        </w:trPr>
        <w:tc>
          <w:tcPr>
            <w:tcW w:w="793" w:type="dxa"/>
            <w:shd w:val="clear" w:color="auto" w:fill="DEEAF6" w:themeFill="accent1" w:themeFillTint="33"/>
          </w:tcPr>
          <w:p w14:paraId="768FE1B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w:t>
            </w:r>
          </w:p>
        </w:tc>
        <w:tc>
          <w:tcPr>
            <w:tcW w:w="3313" w:type="dxa"/>
            <w:shd w:val="clear" w:color="auto" w:fill="DEEAF6" w:themeFill="accent1" w:themeFillTint="33"/>
          </w:tcPr>
          <w:p w14:paraId="08D2C402" w14:textId="344D4F7E"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Institutional Birth in Public </w:t>
            </w:r>
            <w:r w:rsidR="00F91FA9">
              <w:rPr>
                <w:rFonts w:ascii="Times New Roman" w:hAnsi="Times New Roman" w:cs="Times New Roman"/>
                <w:sz w:val="20"/>
                <w:szCs w:val="20"/>
              </w:rPr>
              <w:t xml:space="preserve">Health </w:t>
            </w:r>
            <w:r w:rsidRPr="001C2F3D">
              <w:rPr>
                <w:rFonts w:ascii="Times New Roman" w:hAnsi="Times New Roman" w:cs="Times New Roman"/>
                <w:sz w:val="20"/>
                <w:szCs w:val="20"/>
              </w:rPr>
              <w:t>Facility</w:t>
            </w:r>
          </w:p>
        </w:tc>
        <w:tc>
          <w:tcPr>
            <w:tcW w:w="1134" w:type="dxa"/>
            <w:shd w:val="clear" w:color="auto" w:fill="D5DCE4" w:themeFill="text2" w:themeFillTint="33"/>
          </w:tcPr>
          <w:p w14:paraId="18B63FE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54.4</w:t>
            </w:r>
          </w:p>
        </w:tc>
        <w:tc>
          <w:tcPr>
            <w:tcW w:w="1134" w:type="dxa"/>
            <w:shd w:val="clear" w:color="auto" w:fill="D5DCE4" w:themeFill="text2" w:themeFillTint="33"/>
          </w:tcPr>
          <w:p w14:paraId="22BDEC64"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46.2</w:t>
            </w:r>
          </w:p>
        </w:tc>
        <w:tc>
          <w:tcPr>
            <w:tcW w:w="1134" w:type="dxa"/>
            <w:shd w:val="clear" w:color="auto" w:fill="FBE4D5" w:themeFill="accent2" w:themeFillTint="33"/>
          </w:tcPr>
          <w:p w14:paraId="6B2274A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65.3</w:t>
            </w:r>
          </w:p>
        </w:tc>
        <w:tc>
          <w:tcPr>
            <w:tcW w:w="1134" w:type="dxa"/>
            <w:shd w:val="clear" w:color="auto" w:fill="FBE4D5" w:themeFill="accent2" w:themeFillTint="33"/>
          </w:tcPr>
          <w:p w14:paraId="23E1C04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52.6</w:t>
            </w:r>
          </w:p>
        </w:tc>
      </w:tr>
      <w:tr w:rsidR="003E1DA2" w:rsidRPr="001C2F3D" w14:paraId="4F9F481A" w14:textId="77777777" w:rsidTr="0097423F">
        <w:trPr>
          <w:trHeight w:val="401"/>
        </w:trPr>
        <w:tc>
          <w:tcPr>
            <w:tcW w:w="793" w:type="dxa"/>
            <w:shd w:val="clear" w:color="auto" w:fill="DEEAF6" w:themeFill="accent1" w:themeFillTint="33"/>
          </w:tcPr>
          <w:p w14:paraId="5A093E8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w:t>
            </w:r>
          </w:p>
        </w:tc>
        <w:tc>
          <w:tcPr>
            <w:tcW w:w="3313" w:type="dxa"/>
            <w:shd w:val="clear" w:color="auto" w:fill="DEEAF6" w:themeFill="accent1" w:themeFillTint="33"/>
          </w:tcPr>
          <w:p w14:paraId="2FB1796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Births attended by SBA or HP </w:t>
            </w:r>
          </w:p>
        </w:tc>
        <w:tc>
          <w:tcPr>
            <w:tcW w:w="1134" w:type="dxa"/>
            <w:shd w:val="clear" w:color="auto" w:fill="D5DCE4" w:themeFill="text2" w:themeFillTint="33"/>
          </w:tcPr>
          <w:p w14:paraId="468BE1AD"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78.0</w:t>
            </w:r>
          </w:p>
        </w:tc>
        <w:tc>
          <w:tcPr>
            <w:tcW w:w="1134" w:type="dxa"/>
            <w:shd w:val="clear" w:color="auto" w:fill="D5DCE4" w:themeFill="text2" w:themeFillTint="33"/>
          </w:tcPr>
          <w:p w14:paraId="7F5D819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90.0</w:t>
            </w:r>
          </w:p>
        </w:tc>
        <w:tc>
          <w:tcPr>
            <w:tcW w:w="1134" w:type="dxa"/>
            <w:shd w:val="clear" w:color="auto" w:fill="FBE4D5" w:themeFill="accent2" w:themeFillTint="33"/>
          </w:tcPr>
          <w:p w14:paraId="41414C3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87.8</w:t>
            </w:r>
          </w:p>
        </w:tc>
        <w:tc>
          <w:tcPr>
            <w:tcW w:w="1134" w:type="dxa"/>
            <w:shd w:val="clear" w:color="auto" w:fill="FBE4D5" w:themeFill="accent2" w:themeFillTint="33"/>
          </w:tcPr>
          <w:p w14:paraId="01164D47"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94.0</w:t>
            </w:r>
          </w:p>
        </w:tc>
      </w:tr>
      <w:tr w:rsidR="003E1DA2" w:rsidRPr="001C2F3D" w14:paraId="0ABE29E1" w14:textId="77777777" w:rsidTr="0097423F">
        <w:trPr>
          <w:trHeight w:val="416"/>
        </w:trPr>
        <w:tc>
          <w:tcPr>
            <w:tcW w:w="793" w:type="dxa"/>
            <w:shd w:val="clear" w:color="auto" w:fill="DEEAF6" w:themeFill="accent1" w:themeFillTint="33"/>
          </w:tcPr>
          <w:p w14:paraId="2C9DE6D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w:t>
            </w:r>
          </w:p>
        </w:tc>
        <w:tc>
          <w:tcPr>
            <w:tcW w:w="3313" w:type="dxa"/>
            <w:shd w:val="clear" w:color="auto" w:fill="DEEAF6" w:themeFill="accent1" w:themeFillTint="33"/>
          </w:tcPr>
          <w:p w14:paraId="40AD796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Births delivered by Caesarean Section</w:t>
            </w:r>
          </w:p>
        </w:tc>
        <w:tc>
          <w:tcPr>
            <w:tcW w:w="1134" w:type="dxa"/>
            <w:shd w:val="clear" w:color="auto" w:fill="D5DCE4" w:themeFill="text2" w:themeFillTint="33"/>
          </w:tcPr>
          <w:p w14:paraId="5A185B0F"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12.8</w:t>
            </w:r>
          </w:p>
        </w:tc>
        <w:tc>
          <w:tcPr>
            <w:tcW w:w="1134" w:type="dxa"/>
            <w:shd w:val="clear" w:color="auto" w:fill="D5DCE4" w:themeFill="text2" w:themeFillTint="33"/>
          </w:tcPr>
          <w:p w14:paraId="736A3014"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28.2</w:t>
            </w:r>
          </w:p>
        </w:tc>
        <w:tc>
          <w:tcPr>
            <w:tcW w:w="1134" w:type="dxa"/>
            <w:shd w:val="clear" w:color="auto" w:fill="FBE4D5" w:themeFill="accent2" w:themeFillTint="33"/>
          </w:tcPr>
          <w:p w14:paraId="4BC3631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17.6</w:t>
            </w:r>
          </w:p>
        </w:tc>
        <w:tc>
          <w:tcPr>
            <w:tcW w:w="1134" w:type="dxa"/>
            <w:shd w:val="clear" w:color="auto" w:fill="FBE4D5" w:themeFill="accent2" w:themeFillTint="33"/>
          </w:tcPr>
          <w:p w14:paraId="21BDD5C2"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32.3</w:t>
            </w:r>
          </w:p>
        </w:tc>
      </w:tr>
      <w:tr w:rsidR="003E1DA2" w:rsidRPr="001C2F3D" w14:paraId="66F2036C" w14:textId="77777777" w:rsidTr="0097423F">
        <w:trPr>
          <w:trHeight w:val="401"/>
        </w:trPr>
        <w:tc>
          <w:tcPr>
            <w:tcW w:w="793" w:type="dxa"/>
            <w:shd w:val="clear" w:color="auto" w:fill="DEEAF6" w:themeFill="accent1" w:themeFillTint="33"/>
          </w:tcPr>
          <w:p w14:paraId="3C594B4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lastRenderedPageBreak/>
              <w:t>5</w:t>
            </w:r>
          </w:p>
        </w:tc>
        <w:tc>
          <w:tcPr>
            <w:tcW w:w="3313" w:type="dxa"/>
            <w:shd w:val="clear" w:color="auto" w:fill="DEEAF6" w:themeFill="accent1" w:themeFillTint="33"/>
          </w:tcPr>
          <w:p w14:paraId="48A9683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Caesarean delivery in Private Hospital</w:t>
            </w:r>
          </w:p>
        </w:tc>
        <w:tc>
          <w:tcPr>
            <w:tcW w:w="1134" w:type="dxa"/>
            <w:shd w:val="clear" w:color="auto" w:fill="D5DCE4" w:themeFill="text2" w:themeFillTint="33"/>
          </w:tcPr>
          <w:p w14:paraId="260ED647"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37.7</w:t>
            </w:r>
          </w:p>
        </w:tc>
        <w:tc>
          <w:tcPr>
            <w:tcW w:w="1134" w:type="dxa"/>
            <w:shd w:val="clear" w:color="auto" w:fill="D5DCE4" w:themeFill="text2" w:themeFillTint="33"/>
          </w:tcPr>
          <w:p w14:paraId="223F174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44.9</w:t>
            </w:r>
          </w:p>
        </w:tc>
        <w:tc>
          <w:tcPr>
            <w:tcW w:w="1134" w:type="dxa"/>
            <w:shd w:val="clear" w:color="auto" w:fill="FBE4D5" w:themeFill="accent2" w:themeFillTint="33"/>
          </w:tcPr>
          <w:p w14:paraId="696D663F"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46.0</w:t>
            </w:r>
          </w:p>
        </w:tc>
        <w:tc>
          <w:tcPr>
            <w:tcW w:w="1134" w:type="dxa"/>
            <w:shd w:val="clear" w:color="auto" w:fill="FBE4D5" w:themeFill="accent2" w:themeFillTint="33"/>
          </w:tcPr>
          <w:p w14:paraId="24F85C19"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49.3</w:t>
            </w:r>
          </w:p>
        </w:tc>
      </w:tr>
      <w:tr w:rsidR="003E1DA2" w:rsidRPr="001C2F3D" w14:paraId="2527BA2F" w14:textId="77777777" w:rsidTr="0097423F">
        <w:trPr>
          <w:trHeight w:val="401"/>
        </w:trPr>
        <w:tc>
          <w:tcPr>
            <w:tcW w:w="793" w:type="dxa"/>
            <w:shd w:val="clear" w:color="auto" w:fill="DEEAF6" w:themeFill="accent1" w:themeFillTint="33"/>
          </w:tcPr>
          <w:p w14:paraId="6D7A25F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w:t>
            </w:r>
          </w:p>
        </w:tc>
        <w:tc>
          <w:tcPr>
            <w:tcW w:w="3313" w:type="dxa"/>
            <w:shd w:val="clear" w:color="auto" w:fill="DEEAF6" w:themeFill="accent1" w:themeFillTint="33"/>
          </w:tcPr>
          <w:p w14:paraId="0210605D" w14:textId="1857171D"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Caesarean delivery in Public</w:t>
            </w:r>
            <w:r w:rsidR="00F91FA9">
              <w:rPr>
                <w:rFonts w:ascii="Times New Roman" w:hAnsi="Times New Roman" w:cs="Times New Roman"/>
                <w:sz w:val="20"/>
                <w:szCs w:val="20"/>
              </w:rPr>
              <w:t xml:space="preserve"> Health</w:t>
            </w:r>
            <w:r w:rsidRPr="001C2F3D">
              <w:rPr>
                <w:rFonts w:ascii="Times New Roman" w:hAnsi="Times New Roman" w:cs="Times New Roman"/>
                <w:sz w:val="20"/>
                <w:szCs w:val="20"/>
              </w:rPr>
              <w:t xml:space="preserve"> Facility</w:t>
            </w:r>
          </w:p>
        </w:tc>
        <w:tc>
          <w:tcPr>
            <w:tcW w:w="1134" w:type="dxa"/>
            <w:shd w:val="clear" w:color="auto" w:fill="D5DCE4" w:themeFill="text2" w:themeFillTint="33"/>
          </w:tcPr>
          <w:p w14:paraId="494D703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9.3</w:t>
            </w:r>
          </w:p>
        </w:tc>
        <w:tc>
          <w:tcPr>
            <w:tcW w:w="1134" w:type="dxa"/>
            <w:shd w:val="clear" w:color="auto" w:fill="D5DCE4" w:themeFill="text2" w:themeFillTint="33"/>
          </w:tcPr>
          <w:p w14:paraId="3AD753DD"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19.9</w:t>
            </w:r>
          </w:p>
        </w:tc>
        <w:tc>
          <w:tcPr>
            <w:tcW w:w="1134" w:type="dxa"/>
            <w:shd w:val="clear" w:color="auto" w:fill="FBE4D5" w:themeFill="accent2" w:themeFillTint="33"/>
          </w:tcPr>
          <w:p w14:paraId="71B91A4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11.9</w:t>
            </w:r>
          </w:p>
        </w:tc>
        <w:tc>
          <w:tcPr>
            <w:tcW w:w="1134" w:type="dxa"/>
            <w:shd w:val="clear" w:color="auto" w:fill="FBE4D5" w:themeFill="accent2" w:themeFillTint="33"/>
          </w:tcPr>
          <w:p w14:paraId="653108B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22.7</w:t>
            </w:r>
          </w:p>
        </w:tc>
      </w:tr>
      <w:tr w:rsidR="003E1DA2" w:rsidRPr="001C2F3D" w14:paraId="1B4CE88E" w14:textId="77777777" w:rsidTr="0097423F">
        <w:trPr>
          <w:trHeight w:val="401"/>
        </w:trPr>
        <w:tc>
          <w:tcPr>
            <w:tcW w:w="793" w:type="dxa"/>
            <w:shd w:val="clear" w:color="auto" w:fill="DEEAF6" w:themeFill="accent1" w:themeFillTint="33"/>
          </w:tcPr>
          <w:p w14:paraId="001E59E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w:t>
            </w:r>
          </w:p>
        </w:tc>
        <w:tc>
          <w:tcPr>
            <w:tcW w:w="3313" w:type="dxa"/>
            <w:shd w:val="clear" w:color="auto" w:fill="DEEAF6" w:themeFill="accent1" w:themeFillTint="33"/>
          </w:tcPr>
          <w:p w14:paraId="276C52B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Average OPE per delivery in </w:t>
            </w:r>
            <w:proofErr w:type="gramStart"/>
            <w:r w:rsidRPr="001C2F3D">
              <w:rPr>
                <w:rFonts w:ascii="Times New Roman" w:hAnsi="Times New Roman" w:cs="Times New Roman"/>
                <w:sz w:val="20"/>
                <w:szCs w:val="20"/>
              </w:rPr>
              <w:t>Public</w:t>
            </w:r>
            <w:proofErr w:type="gramEnd"/>
            <w:r w:rsidRPr="001C2F3D">
              <w:rPr>
                <w:rFonts w:ascii="Times New Roman" w:hAnsi="Times New Roman" w:cs="Times New Roman"/>
                <w:sz w:val="20"/>
                <w:szCs w:val="20"/>
              </w:rPr>
              <w:t xml:space="preserve"> health Facility (in Rs.)</w:t>
            </w:r>
          </w:p>
        </w:tc>
        <w:tc>
          <w:tcPr>
            <w:tcW w:w="1134" w:type="dxa"/>
            <w:shd w:val="clear" w:color="auto" w:fill="D5DCE4" w:themeFill="text2" w:themeFillTint="33"/>
          </w:tcPr>
          <w:p w14:paraId="01AE98E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2946</w:t>
            </w:r>
          </w:p>
        </w:tc>
        <w:tc>
          <w:tcPr>
            <w:tcW w:w="1134" w:type="dxa"/>
            <w:shd w:val="clear" w:color="auto" w:fill="D5DCE4" w:themeFill="text2" w:themeFillTint="33"/>
          </w:tcPr>
          <w:p w14:paraId="222D2E17"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3913</w:t>
            </w:r>
          </w:p>
        </w:tc>
        <w:tc>
          <w:tcPr>
            <w:tcW w:w="1134" w:type="dxa"/>
            <w:shd w:val="clear" w:color="auto" w:fill="FBE4D5" w:themeFill="accent2" w:themeFillTint="33"/>
          </w:tcPr>
          <w:p w14:paraId="3A4DDD1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2770</w:t>
            </w:r>
          </w:p>
        </w:tc>
        <w:tc>
          <w:tcPr>
            <w:tcW w:w="1134" w:type="dxa"/>
            <w:shd w:val="clear" w:color="auto" w:fill="FBE4D5" w:themeFill="accent2" w:themeFillTint="33"/>
          </w:tcPr>
          <w:p w14:paraId="582840D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3385</w:t>
            </w:r>
          </w:p>
        </w:tc>
      </w:tr>
    </w:tbl>
    <w:p w14:paraId="70823EA3" w14:textId="77777777" w:rsidR="001B6540" w:rsidRDefault="001B6540" w:rsidP="00AD0E87">
      <w:pPr>
        <w:spacing w:line="240" w:lineRule="auto"/>
        <w:jc w:val="both"/>
        <w:rPr>
          <w:rFonts w:ascii="Times New Roman" w:hAnsi="Times New Roman" w:cs="Times New Roman"/>
          <w:b/>
          <w:sz w:val="20"/>
          <w:szCs w:val="20"/>
        </w:rPr>
      </w:pPr>
    </w:p>
    <w:p w14:paraId="4FA9F61D" w14:textId="77777777" w:rsidR="001B6540" w:rsidRDefault="001B6540" w:rsidP="00AD0E87">
      <w:pPr>
        <w:spacing w:line="240" w:lineRule="auto"/>
        <w:jc w:val="both"/>
        <w:rPr>
          <w:rFonts w:ascii="Times New Roman" w:hAnsi="Times New Roman" w:cs="Times New Roman"/>
          <w:b/>
          <w:sz w:val="20"/>
          <w:szCs w:val="20"/>
        </w:rPr>
      </w:pPr>
    </w:p>
    <w:p w14:paraId="46539CF6" w14:textId="77777777" w:rsidR="001B6540" w:rsidRDefault="001B6540" w:rsidP="00AD0E87">
      <w:pPr>
        <w:spacing w:line="240" w:lineRule="auto"/>
        <w:jc w:val="both"/>
        <w:rPr>
          <w:rFonts w:ascii="Times New Roman" w:hAnsi="Times New Roman" w:cs="Times New Roman"/>
          <w:b/>
          <w:sz w:val="20"/>
          <w:szCs w:val="20"/>
        </w:rPr>
      </w:pPr>
    </w:p>
    <w:p w14:paraId="10B96ED3" w14:textId="77777777" w:rsidR="001B6540" w:rsidRDefault="001B6540" w:rsidP="00AD0E87">
      <w:pPr>
        <w:spacing w:line="240" w:lineRule="auto"/>
        <w:jc w:val="both"/>
        <w:rPr>
          <w:rFonts w:ascii="Times New Roman" w:hAnsi="Times New Roman" w:cs="Times New Roman"/>
          <w:b/>
          <w:sz w:val="20"/>
          <w:szCs w:val="20"/>
        </w:rPr>
      </w:pPr>
    </w:p>
    <w:p w14:paraId="0703036C" w14:textId="77777777" w:rsidR="00E54AD4" w:rsidRPr="001C2F3D" w:rsidRDefault="00E54AD4" w:rsidP="001B6540">
      <w:pPr>
        <w:spacing w:line="240" w:lineRule="auto"/>
        <w:ind w:left="720" w:firstLine="720"/>
        <w:jc w:val="both"/>
        <w:rPr>
          <w:rFonts w:ascii="Times New Roman" w:hAnsi="Times New Roman" w:cs="Times New Roman"/>
          <w:sz w:val="20"/>
          <w:szCs w:val="20"/>
        </w:rPr>
      </w:pPr>
      <w:r w:rsidRPr="001C2F3D">
        <w:rPr>
          <w:rFonts w:ascii="Times New Roman" w:hAnsi="Times New Roman" w:cs="Times New Roman"/>
          <w:b/>
          <w:sz w:val="20"/>
          <w:szCs w:val="20"/>
        </w:rPr>
        <w:t>Source</w:t>
      </w:r>
      <w:r w:rsidRPr="001C2F3D">
        <w:rPr>
          <w:rFonts w:ascii="Times New Roman" w:hAnsi="Times New Roman" w:cs="Times New Roman"/>
          <w:sz w:val="20"/>
          <w:szCs w:val="20"/>
        </w:rPr>
        <w:t>: National Family Health Survey – 4 &amp; 5</w:t>
      </w:r>
      <w:r w:rsidR="00F36A13" w:rsidRPr="001C2F3D">
        <w:rPr>
          <w:rFonts w:ascii="Times New Roman" w:hAnsi="Times New Roman" w:cs="Times New Roman"/>
          <w:sz w:val="20"/>
          <w:szCs w:val="20"/>
        </w:rPr>
        <w:tab/>
      </w:r>
      <w:r w:rsidR="00D36EDF" w:rsidRPr="001C2F3D">
        <w:rPr>
          <w:rFonts w:ascii="Times New Roman" w:hAnsi="Times New Roman" w:cs="Times New Roman"/>
          <w:sz w:val="20"/>
          <w:szCs w:val="20"/>
        </w:rPr>
        <w:t>*</w:t>
      </w:r>
      <w:r w:rsidR="00F36A13" w:rsidRPr="001C2F3D">
        <w:rPr>
          <w:rFonts w:ascii="Times New Roman" w:hAnsi="Times New Roman" w:cs="Times New Roman"/>
          <w:sz w:val="20"/>
          <w:szCs w:val="20"/>
        </w:rPr>
        <w:t>OPE – Out-of</w:t>
      </w:r>
      <w:r w:rsidR="003A6D0A" w:rsidRPr="001C2F3D">
        <w:rPr>
          <w:rFonts w:ascii="Times New Roman" w:hAnsi="Times New Roman" w:cs="Times New Roman"/>
          <w:sz w:val="20"/>
          <w:szCs w:val="20"/>
        </w:rPr>
        <w:t>-</w:t>
      </w:r>
      <w:r w:rsidR="00F36A13" w:rsidRPr="001C2F3D">
        <w:rPr>
          <w:rFonts w:ascii="Times New Roman" w:hAnsi="Times New Roman" w:cs="Times New Roman"/>
          <w:sz w:val="20"/>
          <w:szCs w:val="20"/>
        </w:rPr>
        <w:t xml:space="preserve">Pocket Expenditure </w:t>
      </w:r>
    </w:p>
    <w:p w14:paraId="2F2AFCEE" w14:textId="7266DEAF" w:rsidR="0035180C" w:rsidRPr="001C2F3D" w:rsidRDefault="00D36EDF" w:rsidP="00447A09">
      <w:pPr>
        <w:spacing w:line="240" w:lineRule="auto"/>
        <w:ind w:left="720" w:firstLine="720"/>
        <w:jc w:val="both"/>
        <w:rPr>
          <w:rFonts w:ascii="Times New Roman" w:hAnsi="Times New Roman" w:cs="Times New Roman"/>
          <w:b/>
          <w:sz w:val="20"/>
          <w:szCs w:val="20"/>
        </w:rPr>
      </w:pPr>
      <w:r w:rsidRPr="001C2F3D">
        <w:rPr>
          <w:rFonts w:ascii="Times New Roman" w:hAnsi="Times New Roman" w:cs="Times New Roman"/>
          <w:sz w:val="20"/>
          <w:szCs w:val="20"/>
        </w:rPr>
        <w:t>*SBA – Skilled Birth Attendant</w:t>
      </w:r>
      <w:r w:rsidRPr="001C2F3D">
        <w:rPr>
          <w:rFonts w:ascii="Times New Roman" w:hAnsi="Times New Roman" w:cs="Times New Roman"/>
          <w:sz w:val="20"/>
          <w:szCs w:val="20"/>
        </w:rPr>
        <w:tab/>
      </w:r>
      <w:r w:rsidRPr="001C2F3D">
        <w:rPr>
          <w:rFonts w:ascii="Times New Roman" w:hAnsi="Times New Roman" w:cs="Times New Roman"/>
          <w:sz w:val="20"/>
          <w:szCs w:val="20"/>
        </w:rPr>
        <w:tab/>
        <w:t xml:space="preserve">*HP – Health Personnel </w:t>
      </w:r>
    </w:p>
    <w:p w14:paraId="62964105" w14:textId="6F79C267" w:rsidR="00F806D4" w:rsidRDefault="008A026B" w:rsidP="008A026B">
      <w:pPr>
        <w:spacing w:line="240" w:lineRule="auto"/>
        <w:rPr>
          <w:rFonts w:ascii="Times New Roman" w:hAnsi="Times New Roman" w:cs="Times New Roman"/>
          <w:b/>
          <w:sz w:val="20"/>
          <w:szCs w:val="20"/>
        </w:rPr>
      </w:pPr>
      <w:r>
        <w:rPr>
          <w:rFonts w:ascii="Times New Roman" w:hAnsi="Times New Roman" w:cs="Times New Roman"/>
          <w:b/>
          <w:sz w:val="20"/>
          <w:szCs w:val="20"/>
        </w:rPr>
        <w:tab/>
      </w:r>
      <w:r>
        <w:rPr>
          <w:rFonts w:ascii="Times New Roman" w:hAnsi="Times New Roman" w:cs="Times New Roman"/>
          <w:bCs/>
          <w:sz w:val="20"/>
          <w:szCs w:val="20"/>
        </w:rPr>
        <w:t xml:space="preserve">Table – 3 shows child immunization status (age 12 – 23 months). After child birth there is need adequate vaccines for infants. The immunization level is increased in </w:t>
      </w:r>
      <w:proofErr w:type="spellStart"/>
      <w:r>
        <w:rPr>
          <w:rFonts w:ascii="Times New Roman" w:hAnsi="Times New Roman" w:cs="Times New Roman"/>
          <w:bCs/>
          <w:sz w:val="20"/>
          <w:szCs w:val="20"/>
        </w:rPr>
        <w:t>bothe</w:t>
      </w:r>
      <w:proofErr w:type="spellEnd"/>
      <w:r>
        <w:rPr>
          <w:rFonts w:ascii="Times New Roman" w:hAnsi="Times New Roman" w:cs="Times New Roman"/>
          <w:bCs/>
          <w:sz w:val="20"/>
          <w:szCs w:val="20"/>
        </w:rPr>
        <w:t xml:space="preserve"> region and both surveys period. The rotavirus vaccine </w:t>
      </w:r>
      <w:proofErr w:type="spellStart"/>
      <w:r>
        <w:rPr>
          <w:rFonts w:ascii="Times New Roman" w:hAnsi="Times New Roman" w:cs="Times New Roman"/>
          <w:bCs/>
          <w:sz w:val="20"/>
          <w:szCs w:val="20"/>
        </w:rPr>
        <w:t>adminiration</w:t>
      </w:r>
      <w:proofErr w:type="spellEnd"/>
      <w:r>
        <w:rPr>
          <w:rFonts w:ascii="Times New Roman" w:hAnsi="Times New Roman" w:cs="Times New Roman"/>
          <w:bCs/>
          <w:sz w:val="20"/>
          <w:szCs w:val="20"/>
        </w:rPr>
        <w:t xml:space="preserve"> level was 37 in rural and 34.9 in urban region. Both region </w:t>
      </w:r>
      <w:proofErr w:type="spellStart"/>
      <w:r>
        <w:rPr>
          <w:rFonts w:ascii="Times New Roman" w:hAnsi="Times New Roman" w:cs="Times New Roman"/>
          <w:bCs/>
          <w:sz w:val="20"/>
          <w:szCs w:val="20"/>
        </w:rPr>
        <w:t>resinding</w:t>
      </w:r>
      <w:proofErr w:type="spellEnd"/>
      <w:r>
        <w:rPr>
          <w:rFonts w:ascii="Times New Roman" w:hAnsi="Times New Roman" w:cs="Times New Roman"/>
          <w:bCs/>
          <w:sz w:val="20"/>
          <w:szCs w:val="20"/>
        </w:rPr>
        <w:t xml:space="preserve"> child mostly received vaccines from public health facility in free of cost, the private hospital contribution is </w:t>
      </w:r>
      <w:r w:rsidR="002D4FEF">
        <w:rPr>
          <w:rFonts w:ascii="Times New Roman" w:hAnsi="Times New Roman" w:cs="Times New Roman"/>
          <w:bCs/>
          <w:sz w:val="20"/>
          <w:szCs w:val="20"/>
        </w:rPr>
        <w:t xml:space="preserve">very </w:t>
      </w:r>
      <w:r>
        <w:rPr>
          <w:rFonts w:ascii="Times New Roman" w:hAnsi="Times New Roman" w:cs="Times New Roman"/>
          <w:bCs/>
          <w:sz w:val="20"/>
          <w:szCs w:val="20"/>
        </w:rPr>
        <w:t>low in both regions.</w:t>
      </w:r>
    </w:p>
    <w:p w14:paraId="1F360BF5" w14:textId="76A6335C" w:rsidR="00A5310E" w:rsidRPr="001C2F3D" w:rsidRDefault="000376C0" w:rsidP="000A7BAC">
      <w:pPr>
        <w:spacing w:line="240" w:lineRule="auto"/>
        <w:jc w:val="center"/>
        <w:rPr>
          <w:rFonts w:ascii="Times New Roman" w:hAnsi="Times New Roman" w:cs="Times New Roman"/>
          <w:b/>
          <w:sz w:val="20"/>
          <w:szCs w:val="20"/>
        </w:rPr>
      </w:pPr>
      <w:r w:rsidRPr="001C2F3D">
        <w:rPr>
          <w:rFonts w:ascii="Times New Roman" w:hAnsi="Times New Roman" w:cs="Times New Roman"/>
          <w:b/>
          <w:sz w:val="20"/>
          <w:szCs w:val="20"/>
        </w:rPr>
        <w:t xml:space="preserve">Table – 3: </w:t>
      </w:r>
      <w:r w:rsidR="00A5310E" w:rsidRPr="001C2F3D">
        <w:rPr>
          <w:rFonts w:ascii="Times New Roman" w:hAnsi="Times New Roman" w:cs="Times New Roman"/>
          <w:b/>
          <w:sz w:val="20"/>
          <w:szCs w:val="20"/>
        </w:rPr>
        <w:t xml:space="preserve">Child </w:t>
      </w:r>
      <w:r w:rsidR="003B4369" w:rsidRPr="001C2F3D">
        <w:rPr>
          <w:rFonts w:ascii="Times New Roman" w:hAnsi="Times New Roman" w:cs="Times New Roman"/>
          <w:b/>
          <w:sz w:val="20"/>
          <w:szCs w:val="20"/>
        </w:rPr>
        <w:t>Immunization</w:t>
      </w:r>
      <w:r w:rsidR="00A7080B" w:rsidRPr="001C2F3D">
        <w:rPr>
          <w:rFonts w:ascii="Times New Roman" w:hAnsi="Times New Roman" w:cs="Times New Roman"/>
          <w:b/>
          <w:sz w:val="20"/>
          <w:szCs w:val="20"/>
        </w:rPr>
        <w:t xml:space="preserve"> (age </w:t>
      </w:r>
      <w:r w:rsidR="00A369C1">
        <w:rPr>
          <w:rFonts w:ascii="Times New Roman" w:hAnsi="Times New Roman" w:cs="Times New Roman"/>
          <w:b/>
          <w:sz w:val="20"/>
          <w:szCs w:val="20"/>
        </w:rPr>
        <w:t>12</w:t>
      </w:r>
      <w:r w:rsidR="00A7080B" w:rsidRPr="001C2F3D">
        <w:rPr>
          <w:rFonts w:ascii="Times New Roman" w:hAnsi="Times New Roman" w:cs="Times New Roman"/>
          <w:b/>
          <w:sz w:val="20"/>
          <w:szCs w:val="20"/>
        </w:rPr>
        <w:t>-23 months)</w:t>
      </w:r>
    </w:p>
    <w:tbl>
      <w:tblPr>
        <w:tblStyle w:val="TableGrid"/>
        <w:tblpPr w:leftFromText="180" w:rightFromText="180" w:vertAnchor="text" w:horzAnchor="margin" w:tblpXSpec="center" w:tblpY="116"/>
        <w:tblOverlap w:val="never"/>
        <w:tblW w:w="8359" w:type="dxa"/>
        <w:tblLayout w:type="fixed"/>
        <w:tblLook w:val="04A0" w:firstRow="1" w:lastRow="0" w:firstColumn="1" w:lastColumn="0" w:noHBand="0" w:noVBand="1"/>
      </w:tblPr>
      <w:tblGrid>
        <w:gridCol w:w="846"/>
        <w:gridCol w:w="3296"/>
        <w:gridCol w:w="956"/>
        <w:gridCol w:w="1134"/>
        <w:gridCol w:w="1134"/>
        <w:gridCol w:w="993"/>
      </w:tblGrid>
      <w:tr w:rsidR="00F32DF8" w:rsidRPr="001C2F3D" w14:paraId="0A8DAAA6" w14:textId="77777777" w:rsidTr="000A6B8C">
        <w:trPr>
          <w:trHeight w:val="354"/>
        </w:trPr>
        <w:tc>
          <w:tcPr>
            <w:tcW w:w="846" w:type="dxa"/>
            <w:vMerge w:val="restart"/>
            <w:shd w:val="clear" w:color="auto" w:fill="DEEAF6" w:themeFill="accent1" w:themeFillTint="33"/>
          </w:tcPr>
          <w:p w14:paraId="77757324" w14:textId="77777777" w:rsidR="003467C6" w:rsidRPr="001C2F3D" w:rsidRDefault="003467C6" w:rsidP="00AD0E87">
            <w:pPr>
              <w:jc w:val="both"/>
              <w:rPr>
                <w:rFonts w:ascii="Times New Roman" w:hAnsi="Times New Roman" w:cs="Times New Roman"/>
                <w:b/>
                <w:sz w:val="20"/>
                <w:szCs w:val="20"/>
              </w:rPr>
            </w:pPr>
          </w:p>
          <w:p w14:paraId="6FCF34AB" w14:textId="77777777" w:rsidR="00F32DF8" w:rsidRPr="001C2F3D" w:rsidRDefault="00F32DF8" w:rsidP="00AD0E87">
            <w:pPr>
              <w:jc w:val="both"/>
              <w:rPr>
                <w:rFonts w:ascii="Times New Roman" w:hAnsi="Times New Roman" w:cs="Times New Roman"/>
                <w:b/>
                <w:sz w:val="20"/>
                <w:szCs w:val="20"/>
              </w:rPr>
            </w:pPr>
            <w:r w:rsidRPr="001C2F3D">
              <w:rPr>
                <w:rFonts w:ascii="Times New Roman" w:hAnsi="Times New Roman" w:cs="Times New Roman"/>
                <w:b/>
                <w:sz w:val="20"/>
                <w:szCs w:val="20"/>
              </w:rPr>
              <w:t>S.</w:t>
            </w:r>
            <w:r w:rsidR="003467C6" w:rsidRPr="001C2F3D">
              <w:rPr>
                <w:rFonts w:ascii="Times New Roman" w:hAnsi="Times New Roman" w:cs="Times New Roman"/>
                <w:b/>
                <w:sz w:val="20"/>
                <w:szCs w:val="20"/>
              </w:rPr>
              <w:t xml:space="preserve"> </w:t>
            </w:r>
            <w:r w:rsidRPr="001C2F3D">
              <w:rPr>
                <w:rFonts w:ascii="Times New Roman" w:hAnsi="Times New Roman" w:cs="Times New Roman"/>
                <w:b/>
                <w:sz w:val="20"/>
                <w:szCs w:val="20"/>
              </w:rPr>
              <w:t>No</w:t>
            </w:r>
          </w:p>
        </w:tc>
        <w:tc>
          <w:tcPr>
            <w:tcW w:w="3296" w:type="dxa"/>
            <w:vMerge w:val="restart"/>
            <w:shd w:val="clear" w:color="auto" w:fill="DEEAF6" w:themeFill="accent1" w:themeFillTint="33"/>
          </w:tcPr>
          <w:p w14:paraId="7B24896A" w14:textId="77777777" w:rsidR="00AB56CB" w:rsidRPr="001C2F3D" w:rsidRDefault="00AB56CB" w:rsidP="00AD0E87">
            <w:pPr>
              <w:jc w:val="center"/>
              <w:rPr>
                <w:rFonts w:ascii="Times New Roman" w:hAnsi="Times New Roman" w:cs="Times New Roman"/>
                <w:b/>
                <w:sz w:val="20"/>
                <w:szCs w:val="20"/>
              </w:rPr>
            </w:pPr>
          </w:p>
          <w:p w14:paraId="43B8AD1B"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Indicators</w:t>
            </w:r>
          </w:p>
        </w:tc>
        <w:tc>
          <w:tcPr>
            <w:tcW w:w="2090" w:type="dxa"/>
            <w:gridSpan w:val="2"/>
            <w:shd w:val="clear" w:color="auto" w:fill="D5DCE4" w:themeFill="text2" w:themeFillTint="33"/>
          </w:tcPr>
          <w:p w14:paraId="1ED5B98E"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4 </w:t>
            </w:r>
            <w:r w:rsidRPr="001C2F3D">
              <w:rPr>
                <w:rFonts w:ascii="Times New Roman" w:hAnsi="Times New Roman" w:cs="Times New Roman"/>
                <w:sz w:val="20"/>
                <w:szCs w:val="20"/>
              </w:rPr>
              <w:t>(2015 – 16)</w:t>
            </w:r>
          </w:p>
        </w:tc>
        <w:tc>
          <w:tcPr>
            <w:tcW w:w="2127" w:type="dxa"/>
            <w:gridSpan w:val="2"/>
            <w:shd w:val="clear" w:color="auto" w:fill="FBE4D5" w:themeFill="accent2" w:themeFillTint="33"/>
          </w:tcPr>
          <w:p w14:paraId="083C40C6"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5 </w:t>
            </w:r>
            <w:r w:rsidRPr="001C2F3D">
              <w:rPr>
                <w:rFonts w:ascii="Times New Roman" w:hAnsi="Times New Roman" w:cs="Times New Roman"/>
                <w:sz w:val="20"/>
                <w:szCs w:val="20"/>
              </w:rPr>
              <w:t>(2019 – 21)</w:t>
            </w:r>
          </w:p>
        </w:tc>
      </w:tr>
      <w:tr w:rsidR="003E1DA2" w:rsidRPr="001C2F3D" w14:paraId="499262A4" w14:textId="77777777" w:rsidTr="000A6B8C">
        <w:trPr>
          <w:trHeight w:val="381"/>
        </w:trPr>
        <w:tc>
          <w:tcPr>
            <w:tcW w:w="846" w:type="dxa"/>
            <w:vMerge/>
            <w:shd w:val="clear" w:color="auto" w:fill="DEEAF6" w:themeFill="accent1" w:themeFillTint="33"/>
          </w:tcPr>
          <w:p w14:paraId="77D8570D" w14:textId="77777777" w:rsidR="003E1DA2" w:rsidRPr="001C2F3D" w:rsidRDefault="003E1DA2" w:rsidP="00AD0E87">
            <w:pPr>
              <w:jc w:val="both"/>
              <w:rPr>
                <w:rFonts w:ascii="Times New Roman" w:hAnsi="Times New Roman" w:cs="Times New Roman"/>
                <w:b/>
                <w:sz w:val="20"/>
                <w:szCs w:val="20"/>
              </w:rPr>
            </w:pPr>
          </w:p>
        </w:tc>
        <w:tc>
          <w:tcPr>
            <w:tcW w:w="3296" w:type="dxa"/>
            <w:vMerge/>
            <w:shd w:val="clear" w:color="auto" w:fill="DEEAF6" w:themeFill="accent1" w:themeFillTint="33"/>
          </w:tcPr>
          <w:p w14:paraId="41908921" w14:textId="77777777" w:rsidR="003E1DA2" w:rsidRPr="001C2F3D" w:rsidRDefault="003E1DA2" w:rsidP="00AD0E87">
            <w:pPr>
              <w:jc w:val="both"/>
              <w:rPr>
                <w:rFonts w:ascii="Times New Roman" w:hAnsi="Times New Roman" w:cs="Times New Roman"/>
                <w:b/>
                <w:sz w:val="20"/>
                <w:szCs w:val="20"/>
              </w:rPr>
            </w:pPr>
          </w:p>
        </w:tc>
        <w:tc>
          <w:tcPr>
            <w:tcW w:w="956" w:type="dxa"/>
            <w:shd w:val="clear" w:color="auto" w:fill="D5DCE4" w:themeFill="text2" w:themeFillTint="33"/>
          </w:tcPr>
          <w:p w14:paraId="60E9971F"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Rural </w:t>
            </w:r>
          </w:p>
        </w:tc>
        <w:tc>
          <w:tcPr>
            <w:tcW w:w="1134" w:type="dxa"/>
            <w:shd w:val="clear" w:color="auto" w:fill="D5DCE4" w:themeFill="text2" w:themeFillTint="33"/>
          </w:tcPr>
          <w:p w14:paraId="7C575BD2"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c>
          <w:tcPr>
            <w:tcW w:w="1134" w:type="dxa"/>
            <w:shd w:val="clear" w:color="auto" w:fill="FBE4D5" w:themeFill="accent2" w:themeFillTint="33"/>
          </w:tcPr>
          <w:p w14:paraId="3E6A8625"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Rural</w:t>
            </w:r>
          </w:p>
        </w:tc>
        <w:tc>
          <w:tcPr>
            <w:tcW w:w="993" w:type="dxa"/>
            <w:shd w:val="clear" w:color="auto" w:fill="FBE4D5" w:themeFill="accent2" w:themeFillTint="33"/>
          </w:tcPr>
          <w:p w14:paraId="17A900DA" w14:textId="77777777" w:rsidR="003E1DA2" w:rsidRPr="001C2F3D" w:rsidRDefault="003E1DA2"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r>
      <w:tr w:rsidR="003E1DA2" w:rsidRPr="001C2F3D" w14:paraId="7DB422B7" w14:textId="77777777" w:rsidTr="000A6B8C">
        <w:trPr>
          <w:trHeight w:val="354"/>
        </w:trPr>
        <w:tc>
          <w:tcPr>
            <w:tcW w:w="846" w:type="dxa"/>
            <w:shd w:val="clear" w:color="auto" w:fill="DEEAF6" w:themeFill="accent1" w:themeFillTint="33"/>
          </w:tcPr>
          <w:p w14:paraId="0FDF174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w:t>
            </w:r>
          </w:p>
        </w:tc>
        <w:tc>
          <w:tcPr>
            <w:tcW w:w="3296" w:type="dxa"/>
            <w:shd w:val="clear" w:color="auto" w:fill="DEEAF6" w:themeFill="accent1" w:themeFillTint="33"/>
          </w:tcPr>
          <w:p w14:paraId="7C8DCA1F"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Child age 12 -23 months full immunized</w:t>
            </w:r>
          </w:p>
        </w:tc>
        <w:tc>
          <w:tcPr>
            <w:tcW w:w="956" w:type="dxa"/>
            <w:shd w:val="clear" w:color="auto" w:fill="D5DCE4" w:themeFill="text2" w:themeFillTint="33"/>
          </w:tcPr>
          <w:p w14:paraId="66900FB4"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61.3</w:t>
            </w:r>
          </w:p>
        </w:tc>
        <w:tc>
          <w:tcPr>
            <w:tcW w:w="1134" w:type="dxa"/>
            <w:shd w:val="clear" w:color="auto" w:fill="D5DCE4" w:themeFill="text2" w:themeFillTint="33"/>
          </w:tcPr>
          <w:p w14:paraId="3FB763C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63.9</w:t>
            </w:r>
          </w:p>
        </w:tc>
        <w:tc>
          <w:tcPr>
            <w:tcW w:w="1134" w:type="dxa"/>
            <w:shd w:val="clear" w:color="auto" w:fill="FBE4D5" w:themeFill="accent2" w:themeFillTint="33"/>
          </w:tcPr>
          <w:p w14:paraId="797AA42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76.8</w:t>
            </w:r>
          </w:p>
        </w:tc>
        <w:tc>
          <w:tcPr>
            <w:tcW w:w="993" w:type="dxa"/>
            <w:shd w:val="clear" w:color="auto" w:fill="FBE4D5" w:themeFill="accent2" w:themeFillTint="33"/>
          </w:tcPr>
          <w:p w14:paraId="70F8391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75.5</w:t>
            </w:r>
          </w:p>
        </w:tc>
      </w:tr>
      <w:tr w:rsidR="003E1DA2" w:rsidRPr="001C2F3D" w14:paraId="6BF637E6" w14:textId="77777777" w:rsidTr="000A6B8C">
        <w:trPr>
          <w:trHeight w:val="354"/>
        </w:trPr>
        <w:tc>
          <w:tcPr>
            <w:tcW w:w="846" w:type="dxa"/>
            <w:shd w:val="clear" w:color="auto" w:fill="DEEAF6" w:themeFill="accent1" w:themeFillTint="33"/>
          </w:tcPr>
          <w:p w14:paraId="02A4B93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2</w:t>
            </w:r>
          </w:p>
        </w:tc>
        <w:tc>
          <w:tcPr>
            <w:tcW w:w="3296" w:type="dxa"/>
            <w:shd w:val="clear" w:color="auto" w:fill="DEEAF6" w:themeFill="accent1" w:themeFillTint="33"/>
          </w:tcPr>
          <w:p w14:paraId="0461909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BCG</w:t>
            </w:r>
          </w:p>
        </w:tc>
        <w:tc>
          <w:tcPr>
            <w:tcW w:w="956" w:type="dxa"/>
            <w:shd w:val="clear" w:color="auto" w:fill="D5DCE4" w:themeFill="text2" w:themeFillTint="33"/>
          </w:tcPr>
          <w:p w14:paraId="2DF52AD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91.4</w:t>
            </w:r>
          </w:p>
        </w:tc>
        <w:tc>
          <w:tcPr>
            <w:tcW w:w="1134" w:type="dxa"/>
            <w:shd w:val="clear" w:color="auto" w:fill="D5DCE4" w:themeFill="text2" w:themeFillTint="33"/>
          </w:tcPr>
          <w:p w14:paraId="3178F168"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93.2</w:t>
            </w:r>
          </w:p>
        </w:tc>
        <w:tc>
          <w:tcPr>
            <w:tcW w:w="1134" w:type="dxa"/>
            <w:shd w:val="clear" w:color="auto" w:fill="FBE4D5" w:themeFill="accent2" w:themeFillTint="33"/>
          </w:tcPr>
          <w:p w14:paraId="07D1EAA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95.4</w:t>
            </w:r>
          </w:p>
        </w:tc>
        <w:tc>
          <w:tcPr>
            <w:tcW w:w="993" w:type="dxa"/>
            <w:shd w:val="clear" w:color="auto" w:fill="FBE4D5" w:themeFill="accent2" w:themeFillTint="33"/>
          </w:tcPr>
          <w:p w14:paraId="1B24C069"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94.7</w:t>
            </w:r>
          </w:p>
        </w:tc>
      </w:tr>
      <w:tr w:rsidR="003E1DA2" w:rsidRPr="001C2F3D" w14:paraId="07376E8E" w14:textId="77777777" w:rsidTr="000A6B8C">
        <w:trPr>
          <w:trHeight w:val="354"/>
        </w:trPr>
        <w:tc>
          <w:tcPr>
            <w:tcW w:w="846" w:type="dxa"/>
            <w:shd w:val="clear" w:color="auto" w:fill="DEEAF6" w:themeFill="accent1" w:themeFillTint="33"/>
          </w:tcPr>
          <w:p w14:paraId="5FCB5A24"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w:t>
            </w:r>
          </w:p>
        </w:tc>
        <w:tc>
          <w:tcPr>
            <w:tcW w:w="3296" w:type="dxa"/>
            <w:shd w:val="clear" w:color="auto" w:fill="DEEAF6" w:themeFill="accent1" w:themeFillTint="33"/>
          </w:tcPr>
          <w:p w14:paraId="174E08BF"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3 doses of Polio </w:t>
            </w:r>
          </w:p>
        </w:tc>
        <w:tc>
          <w:tcPr>
            <w:tcW w:w="956" w:type="dxa"/>
            <w:shd w:val="clear" w:color="auto" w:fill="D5DCE4" w:themeFill="text2" w:themeFillTint="33"/>
          </w:tcPr>
          <w:p w14:paraId="27B24FE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72.6</w:t>
            </w:r>
          </w:p>
        </w:tc>
        <w:tc>
          <w:tcPr>
            <w:tcW w:w="1134" w:type="dxa"/>
            <w:shd w:val="clear" w:color="auto" w:fill="D5DCE4" w:themeFill="text2" w:themeFillTint="33"/>
          </w:tcPr>
          <w:p w14:paraId="7EB0BD9D"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73.4</w:t>
            </w:r>
          </w:p>
        </w:tc>
        <w:tc>
          <w:tcPr>
            <w:tcW w:w="1134" w:type="dxa"/>
            <w:shd w:val="clear" w:color="auto" w:fill="FBE4D5" w:themeFill="accent2" w:themeFillTint="33"/>
          </w:tcPr>
          <w:p w14:paraId="5D6728A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80.9</w:t>
            </w:r>
          </w:p>
        </w:tc>
        <w:tc>
          <w:tcPr>
            <w:tcW w:w="993" w:type="dxa"/>
            <w:shd w:val="clear" w:color="auto" w:fill="FBE4D5" w:themeFill="accent2" w:themeFillTint="33"/>
          </w:tcPr>
          <w:p w14:paraId="5990130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79.2</w:t>
            </w:r>
          </w:p>
        </w:tc>
      </w:tr>
      <w:tr w:rsidR="003E1DA2" w:rsidRPr="001C2F3D" w14:paraId="6E863A0A" w14:textId="77777777" w:rsidTr="000A6B8C">
        <w:trPr>
          <w:trHeight w:val="354"/>
        </w:trPr>
        <w:tc>
          <w:tcPr>
            <w:tcW w:w="846" w:type="dxa"/>
            <w:shd w:val="clear" w:color="auto" w:fill="DEEAF6" w:themeFill="accent1" w:themeFillTint="33"/>
          </w:tcPr>
          <w:p w14:paraId="74990417"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4</w:t>
            </w:r>
          </w:p>
        </w:tc>
        <w:tc>
          <w:tcPr>
            <w:tcW w:w="3296" w:type="dxa"/>
            <w:shd w:val="clear" w:color="auto" w:fill="DEEAF6" w:themeFill="accent1" w:themeFillTint="33"/>
          </w:tcPr>
          <w:p w14:paraId="2D3EE3A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3 doses of </w:t>
            </w:r>
            <w:proofErr w:type="spellStart"/>
            <w:r w:rsidRPr="001C2F3D">
              <w:rPr>
                <w:rFonts w:ascii="Times New Roman" w:hAnsi="Times New Roman" w:cs="Times New Roman"/>
                <w:sz w:val="20"/>
                <w:szCs w:val="20"/>
              </w:rPr>
              <w:t>penta</w:t>
            </w:r>
            <w:proofErr w:type="spellEnd"/>
            <w:r w:rsidRPr="001C2F3D">
              <w:rPr>
                <w:rFonts w:ascii="Times New Roman" w:hAnsi="Times New Roman" w:cs="Times New Roman"/>
                <w:sz w:val="20"/>
                <w:szCs w:val="20"/>
              </w:rPr>
              <w:t xml:space="preserve"> or DPT vaccine</w:t>
            </w:r>
          </w:p>
        </w:tc>
        <w:tc>
          <w:tcPr>
            <w:tcW w:w="956" w:type="dxa"/>
            <w:shd w:val="clear" w:color="auto" w:fill="D5DCE4" w:themeFill="text2" w:themeFillTint="33"/>
          </w:tcPr>
          <w:p w14:paraId="60AFB2AA"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77.7</w:t>
            </w:r>
          </w:p>
        </w:tc>
        <w:tc>
          <w:tcPr>
            <w:tcW w:w="1134" w:type="dxa"/>
            <w:shd w:val="clear" w:color="auto" w:fill="D5DCE4" w:themeFill="text2" w:themeFillTint="33"/>
          </w:tcPr>
          <w:p w14:paraId="4F66046A"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80.2</w:t>
            </w:r>
          </w:p>
        </w:tc>
        <w:tc>
          <w:tcPr>
            <w:tcW w:w="1134" w:type="dxa"/>
            <w:shd w:val="clear" w:color="auto" w:fill="FBE4D5" w:themeFill="accent2" w:themeFillTint="33"/>
          </w:tcPr>
          <w:p w14:paraId="17C43C7D" w14:textId="011A641E"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87.</w:t>
            </w:r>
            <w:r w:rsidR="00E50767">
              <w:rPr>
                <w:rFonts w:ascii="Times New Roman" w:hAnsi="Times New Roman" w:cs="Times New Roman"/>
                <w:sz w:val="20"/>
                <w:szCs w:val="20"/>
              </w:rPr>
              <w:t>0</w:t>
            </w:r>
          </w:p>
        </w:tc>
        <w:tc>
          <w:tcPr>
            <w:tcW w:w="993" w:type="dxa"/>
            <w:shd w:val="clear" w:color="auto" w:fill="FBE4D5" w:themeFill="accent2" w:themeFillTint="33"/>
          </w:tcPr>
          <w:p w14:paraId="5E51430D"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86.0</w:t>
            </w:r>
          </w:p>
        </w:tc>
      </w:tr>
      <w:tr w:rsidR="003E1DA2" w:rsidRPr="001C2F3D" w14:paraId="2F15B2F7" w14:textId="77777777" w:rsidTr="000A6B8C">
        <w:trPr>
          <w:trHeight w:val="367"/>
        </w:trPr>
        <w:tc>
          <w:tcPr>
            <w:tcW w:w="846" w:type="dxa"/>
            <w:shd w:val="clear" w:color="auto" w:fill="DEEAF6" w:themeFill="accent1" w:themeFillTint="33"/>
          </w:tcPr>
          <w:p w14:paraId="2E6D763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5</w:t>
            </w:r>
          </w:p>
        </w:tc>
        <w:tc>
          <w:tcPr>
            <w:tcW w:w="3296" w:type="dxa"/>
            <w:shd w:val="clear" w:color="auto" w:fill="DEEAF6" w:themeFill="accent1" w:themeFillTint="33"/>
          </w:tcPr>
          <w:p w14:paraId="385BE049"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Measles vaccine</w:t>
            </w:r>
          </w:p>
        </w:tc>
        <w:tc>
          <w:tcPr>
            <w:tcW w:w="956" w:type="dxa"/>
            <w:shd w:val="clear" w:color="auto" w:fill="D5DCE4" w:themeFill="text2" w:themeFillTint="33"/>
          </w:tcPr>
          <w:p w14:paraId="37B829F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80.3</w:t>
            </w:r>
          </w:p>
        </w:tc>
        <w:tc>
          <w:tcPr>
            <w:tcW w:w="1134" w:type="dxa"/>
            <w:shd w:val="clear" w:color="auto" w:fill="D5DCE4" w:themeFill="text2" w:themeFillTint="33"/>
          </w:tcPr>
          <w:p w14:paraId="2F2F7DB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83.2</w:t>
            </w:r>
          </w:p>
        </w:tc>
        <w:tc>
          <w:tcPr>
            <w:tcW w:w="1134" w:type="dxa"/>
            <w:shd w:val="clear" w:color="auto" w:fill="FBE4D5" w:themeFill="accent2" w:themeFillTint="33"/>
          </w:tcPr>
          <w:p w14:paraId="4BF7A9A8"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88.1.</w:t>
            </w:r>
          </w:p>
        </w:tc>
        <w:tc>
          <w:tcPr>
            <w:tcW w:w="993" w:type="dxa"/>
            <w:shd w:val="clear" w:color="auto" w:fill="FBE4D5" w:themeFill="accent2" w:themeFillTint="33"/>
          </w:tcPr>
          <w:p w14:paraId="77345E61"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87.1</w:t>
            </w:r>
          </w:p>
        </w:tc>
      </w:tr>
      <w:tr w:rsidR="003E1DA2" w:rsidRPr="001C2F3D" w14:paraId="04A75F1D" w14:textId="77777777" w:rsidTr="000A6B8C">
        <w:trPr>
          <w:trHeight w:val="354"/>
        </w:trPr>
        <w:tc>
          <w:tcPr>
            <w:tcW w:w="846" w:type="dxa"/>
            <w:shd w:val="clear" w:color="auto" w:fill="DEEAF6" w:themeFill="accent1" w:themeFillTint="33"/>
          </w:tcPr>
          <w:p w14:paraId="6E7F6DC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w:t>
            </w:r>
          </w:p>
        </w:tc>
        <w:tc>
          <w:tcPr>
            <w:tcW w:w="3296" w:type="dxa"/>
            <w:shd w:val="clear" w:color="auto" w:fill="DEEAF6" w:themeFill="accent1" w:themeFillTint="33"/>
          </w:tcPr>
          <w:p w14:paraId="29A3EA3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 doses of Rotavirus vaccine</w:t>
            </w:r>
          </w:p>
        </w:tc>
        <w:tc>
          <w:tcPr>
            <w:tcW w:w="956" w:type="dxa"/>
            <w:shd w:val="clear" w:color="auto" w:fill="D5DCE4" w:themeFill="text2" w:themeFillTint="33"/>
          </w:tcPr>
          <w:p w14:paraId="105C7E4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NA</w:t>
            </w:r>
          </w:p>
        </w:tc>
        <w:tc>
          <w:tcPr>
            <w:tcW w:w="1134" w:type="dxa"/>
            <w:shd w:val="clear" w:color="auto" w:fill="D5DCE4" w:themeFill="text2" w:themeFillTint="33"/>
          </w:tcPr>
          <w:p w14:paraId="4764EB71"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NA</w:t>
            </w:r>
          </w:p>
        </w:tc>
        <w:tc>
          <w:tcPr>
            <w:tcW w:w="1134" w:type="dxa"/>
            <w:shd w:val="clear" w:color="auto" w:fill="FBE4D5" w:themeFill="accent2" w:themeFillTint="33"/>
          </w:tcPr>
          <w:p w14:paraId="05A927BE"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37.0</w:t>
            </w:r>
          </w:p>
        </w:tc>
        <w:tc>
          <w:tcPr>
            <w:tcW w:w="993" w:type="dxa"/>
            <w:shd w:val="clear" w:color="auto" w:fill="FBE4D5" w:themeFill="accent2" w:themeFillTint="33"/>
          </w:tcPr>
          <w:p w14:paraId="456667C2"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34.9</w:t>
            </w:r>
          </w:p>
        </w:tc>
      </w:tr>
      <w:tr w:rsidR="003E1DA2" w:rsidRPr="001C2F3D" w14:paraId="7F7A960D" w14:textId="77777777" w:rsidTr="000A6B8C">
        <w:trPr>
          <w:trHeight w:val="354"/>
        </w:trPr>
        <w:tc>
          <w:tcPr>
            <w:tcW w:w="846" w:type="dxa"/>
            <w:shd w:val="clear" w:color="auto" w:fill="DEEAF6" w:themeFill="accent1" w:themeFillTint="33"/>
          </w:tcPr>
          <w:p w14:paraId="23F882A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7</w:t>
            </w:r>
          </w:p>
        </w:tc>
        <w:tc>
          <w:tcPr>
            <w:tcW w:w="3296" w:type="dxa"/>
            <w:shd w:val="clear" w:color="auto" w:fill="DEEAF6" w:themeFill="accent1" w:themeFillTint="33"/>
          </w:tcPr>
          <w:p w14:paraId="0FB8ED1B"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 doses of hepatitis B vaccine</w:t>
            </w:r>
          </w:p>
        </w:tc>
        <w:tc>
          <w:tcPr>
            <w:tcW w:w="956" w:type="dxa"/>
            <w:shd w:val="clear" w:color="auto" w:fill="D5DCE4" w:themeFill="text2" w:themeFillTint="33"/>
          </w:tcPr>
          <w:p w14:paraId="446CCD45"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62.5</w:t>
            </w:r>
          </w:p>
        </w:tc>
        <w:tc>
          <w:tcPr>
            <w:tcW w:w="1134" w:type="dxa"/>
            <w:shd w:val="clear" w:color="auto" w:fill="D5DCE4" w:themeFill="text2" w:themeFillTint="33"/>
          </w:tcPr>
          <w:p w14:paraId="1D0BAD34"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63.3</w:t>
            </w:r>
          </w:p>
        </w:tc>
        <w:tc>
          <w:tcPr>
            <w:tcW w:w="1134" w:type="dxa"/>
            <w:shd w:val="clear" w:color="auto" w:fill="FBE4D5" w:themeFill="accent2" w:themeFillTint="33"/>
          </w:tcPr>
          <w:p w14:paraId="6400754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84.2</w:t>
            </w:r>
          </w:p>
        </w:tc>
        <w:tc>
          <w:tcPr>
            <w:tcW w:w="993" w:type="dxa"/>
            <w:shd w:val="clear" w:color="auto" w:fill="FBE4D5" w:themeFill="accent2" w:themeFillTint="33"/>
          </w:tcPr>
          <w:p w14:paraId="009F6F39"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83.0</w:t>
            </w:r>
          </w:p>
        </w:tc>
      </w:tr>
      <w:tr w:rsidR="003E1DA2" w:rsidRPr="001C2F3D" w14:paraId="57BCBE9B" w14:textId="77777777" w:rsidTr="000A6B8C">
        <w:trPr>
          <w:trHeight w:val="354"/>
        </w:trPr>
        <w:tc>
          <w:tcPr>
            <w:tcW w:w="846" w:type="dxa"/>
            <w:shd w:val="clear" w:color="auto" w:fill="DEEAF6" w:themeFill="accent1" w:themeFillTint="33"/>
          </w:tcPr>
          <w:p w14:paraId="1CDB6158"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w:t>
            </w:r>
          </w:p>
        </w:tc>
        <w:tc>
          <w:tcPr>
            <w:tcW w:w="3296" w:type="dxa"/>
            <w:shd w:val="clear" w:color="auto" w:fill="DEEAF6" w:themeFill="accent1" w:themeFillTint="33"/>
          </w:tcPr>
          <w:p w14:paraId="27322C49" w14:textId="77777777" w:rsidR="003E1DA2" w:rsidRPr="001C2F3D" w:rsidRDefault="003E1DA2" w:rsidP="00AD0E87">
            <w:pPr>
              <w:jc w:val="both"/>
              <w:rPr>
                <w:rFonts w:ascii="Times New Roman" w:hAnsi="Times New Roman" w:cs="Times New Roman"/>
                <w:sz w:val="20"/>
                <w:szCs w:val="20"/>
              </w:rPr>
            </w:pPr>
            <w:proofErr w:type="gramStart"/>
            <w:r w:rsidRPr="001C2F3D">
              <w:rPr>
                <w:rFonts w:ascii="Times New Roman" w:hAnsi="Times New Roman" w:cs="Times New Roman"/>
                <w:sz w:val="20"/>
                <w:szCs w:val="20"/>
              </w:rPr>
              <w:t>Most  of</w:t>
            </w:r>
            <w:proofErr w:type="gramEnd"/>
            <w:r w:rsidRPr="001C2F3D">
              <w:rPr>
                <w:rFonts w:ascii="Times New Roman" w:hAnsi="Times New Roman" w:cs="Times New Roman"/>
                <w:sz w:val="20"/>
                <w:szCs w:val="20"/>
              </w:rPr>
              <w:t xml:space="preserve"> the vaccines received from Public health facility</w:t>
            </w:r>
          </w:p>
        </w:tc>
        <w:tc>
          <w:tcPr>
            <w:tcW w:w="956" w:type="dxa"/>
            <w:shd w:val="clear" w:color="auto" w:fill="D5DCE4" w:themeFill="text2" w:themeFillTint="33"/>
          </w:tcPr>
          <w:p w14:paraId="4AD9B2A7"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94.2</w:t>
            </w:r>
          </w:p>
        </w:tc>
        <w:tc>
          <w:tcPr>
            <w:tcW w:w="1134" w:type="dxa"/>
            <w:shd w:val="clear" w:color="auto" w:fill="D5DCE4" w:themeFill="text2" w:themeFillTint="33"/>
          </w:tcPr>
          <w:p w14:paraId="62906DDD" w14:textId="6B0F8D54" w:rsidR="003E1DA2" w:rsidRPr="001C2F3D" w:rsidRDefault="003E1DA2" w:rsidP="00263243">
            <w:pPr>
              <w:jc w:val="both"/>
              <w:rPr>
                <w:rFonts w:ascii="Times New Roman" w:hAnsi="Times New Roman" w:cs="Times New Roman"/>
                <w:sz w:val="20"/>
                <w:szCs w:val="20"/>
              </w:rPr>
            </w:pPr>
            <w:r w:rsidRPr="001C2F3D">
              <w:rPr>
                <w:rFonts w:ascii="Times New Roman" w:hAnsi="Times New Roman" w:cs="Times New Roman"/>
                <w:sz w:val="20"/>
                <w:szCs w:val="20"/>
              </w:rPr>
              <w:t>82.1</w:t>
            </w:r>
          </w:p>
          <w:p w14:paraId="59D39611" w14:textId="77777777" w:rsidR="003E1DA2" w:rsidRPr="001C2F3D" w:rsidRDefault="003E1DA2" w:rsidP="00AD0E87">
            <w:pPr>
              <w:rPr>
                <w:rFonts w:ascii="Times New Roman" w:hAnsi="Times New Roman" w:cs="Times New Roman"/>
                <w:sz w:val="20"/>
                <w:szCs w:val="20"/>
              </w:rPr>
            </w:pPr>
          </w:p>
        </w:tc>
        <w:tc>
          <w:tcPr>
            <w:tcW w:w="1134" w:type="dxa"/>
            <w:shd w:val="clear" w:color="auto" w:fill="FBE4D5" w:themeFill="accent2" w:themeFillTint="33"/>
          </w:tcPr>
          <w:p w14:paraId="253101C3"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97.0</w:t>
            </w:r>
          </w:p>
        </w:tc>
        <w:tc>
          <w:tcPr>
            <w:tcW w:w="993" w:type="dxa"/>
            <w:shd w:val="clear" w:color="auto" w:fill="FBE4D5" w:themeFill="accent2" w:themeFillTint="33"/>
          </w:tcPr>
          <w:p w14:paraId="641D6BC8"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87.7</w:t>
            </w:r>
          </w:p>
        </w:tc>
      </w:tr>
      <w:tr w:rsidR="003E1DA2" w:rsidRPr="001C2F3D" w14:paraId="09F4F727" w14:textId="77777777" w:rsidTr="000A6B8C">
        <w:trPr>
          <w:trHeight w:val="354"/>
        </w:trPr>
        <w:tc>
          <w:tcPr>
            <w:tcW w:w="846" w:type="dxa"/>
            <w:shd w:val="clear" w:color="auto" w:fill="DEEAF6" w:themeFill="accent1" w:themeFillTint="33"/>
          </w:tcPr>
          <w:p w14:paraId="7EE9302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9</w:t>
            </w:r>
          </w:p>
        </w:tc>
        <w:tc>
          <w:tcPr>
            <w:tcW w:w="3296" w:type="dxa"/>
            <w:shd w:val="clear" w:color="auto" w:fill="DEEAF6" w:themeFill="accent1" w:themeFillTint="33"/>
          </w:tcPr>
          <w:p w14:paraId="52EA0F74" w14:textId="77777777" w:rsidR="003E1DA2" w:rsidRPr="001C2F3D" w:rsidRDefault="003E1DA2" w:rsidP="00AD0E87">
            <w:pPr>
              <w:jc w:val="both"/>
              <w:rPr>
                <w:rFonts w:ascii="Times New Roman" w:hAnsi="Times New Roman" w:cs="Times New Roman"/>
                <w:sz w:val="20"/>
                <w:szCs w:val="20"/>
              </w:rPr>
            </w:pPr>
            <w:proofErr w:type="gramStart"/>
            <w:r w:rsidRPr="001C2F3D">
              <w:rPr>
                <w:rFonts w:ascii="Times New Roman" w:hAnsi="Times New Roman" w:cs="Times New Roman"/>
                <w:sz w:val="20"/>
                <w:szCs w:val="20"/>
              </w:rPr>
              <w:t>Most  of</w:t>
            </w:r>
            <w:proofErr w:type="gramEnd"/>
            <w:r w:rsidRPr="001C2F3D">
              <w:rPr>
                <w:rFonts w:ascii="Times New Roman" w:hAnsi="Times New Roman" w:cs="Times New Roman"/>
                <w:sz w:val="20"/>
                <w:szCs w:val="20"/>
              </w:rPr>
              <w:t xml:space="preserve"> the vaccines received from Private health facility</w:t>
            </w:r>
          </w:p>
        </w:tc>
        <w:tc>
          <w:tcPr>
            <w:tcW w:w="956" w:type="dxa"/>
            <w:shd w:val="clear" w:color="auto" w:fill="D5DCE4" w:themeFill="text2" w:themeFillTint="33"/>
          </w:tcPr>
          <w:p w14:paraId="785FBE90"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3.4</w:t>
            </w:r>
          </w:p>
        </w:tc>
        <w:tc>
          <w:tcPr>
            <w:tcW w:w="1134" w:type="dxa"/>
            <w:shd w:val="clear" w:color="auto" w:fill="D5DCE4" w:themeFill="text2" w:themeFillTint="33"/>
          </w:tcPr>
          <w:p w14:paraId="0C1E89F6"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16.7</w:t>
            </w:r>
          </w:p>
        </w:tc>
        <w:tc>
          <w:tcPr>
            <w:tcW w:w="1134" w:type="dxa"/>
            <w:shd w:val="clear" w:color="auto" w:fill="FBE4D5" w:themeFill="accent2" w:themeFillTint="33"/>
          </w:tcPr>
          <w:p w14:paraId="0A9F485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1.6</w:t>
            </w:r>
          </w:p>
        </w:tc>
        <w:tc>
          <w:tcPr>
            <w:tcW w:w="993" w:type="dxa"/>
            <w:shd w:val="clear" w:color="auto" w:fill="FBE4D5" w:themeFill="accent2" w:themeFillTint="33"/>
          </w:tcPr>
          <w:p w14:paraId="1BA7A86C" w14:textId="77777777" w:rsidR="003E1DA2" w:rsidRPr="001C2F3D" w:rsidRDefault="003E1DA2" w:rsidP="00AD0E87">
            <w:pPr>
              <w:jc w:val="both"/>
              <w:rPr>
                <w:rFonts w:ascii="Times New Roman" w:hAnsi="Times New Roman" w:cs="Times New Roman"/>
                <w:sz w:val="20"/>
                <w:szCs w:val="20"/>
              </w:rPr>
            </w:pPr>
            <w:r w:rsidRPr="001C2F3D">
              <w:rPr>
                <w:rFonts w:ascii="Times New Roman" w:hAnsi="Times New Roman" w:cs="Times New Roman"/>
                <w:sz w:val="20"/>
                <w:szCs w:val="20"/>
              </w:rPr>
              <w:t>11.1</w:t>
            </w:r>
          </w:p>
        </w:tc>
      </w:tr>
    </w:tbl>
    <w:p w14:paraId="15BA4453" w14:textId="77777777" w:rsidR="00B61600" w:rsidRDefault="00B61600" w:rsidP="00AD0E87">
      <w:pPr>
        <w:spacing w:line="240" w:lineRule="auto"/>
        <w:jc w:val="both"/>
        <w:rPr>
          <w:rFonts w:ascii="Times New Roman" w:hAnsi="Times New Roman" w:cs="Times New Roman"/>
          <w:b/>
          <w:sz w:val="20"/>
          <w:szCs w:val="20"/>
        </w:rPr>
      </w:pPr>
    </w:p>
    <w:p w14:paraId="25DBDDA0" w14:textId="77777777" w:rsidR="00B61600" w:rsidRDefault="00B61600" w:rsidP="00AD0E87">
      <w:pPr>
        <w:spacing w:line="240" w:lineRule="auto"/>
        <w:jc w:val="both"/>
        <w:rPr>
          <w:rFonts w:ascii="Times New Roman" w:hAnsi="Times New Roman" w:cs="Times New Roman"/>
          <w:b/>
          <w:sz w:val="20"/>
          <w:szCs w:val="20"/>
        </w:rPr>
      </w:pPr>
    </w:p>
    <w:p w14:paraId="7ED202CF" w14:textId="77777777" w:rsidR="00B61600" w:rsidRDefault="00B61600" w:rsidP="00AD0E87">
      <w:pPr>
        <w:spacing w:line="240" w:lineRule="auto"/>
        <w:jc w:val="both"/>
        <w:rPr>
          <w:rFonts w:ascii="Times New Roman" w:hAnsi="Times New Roman" w:cs="Times New Roman"/>
          <w:b/>
          <w:sz w:val="20"/>
          <w:szCs w:val="20"/>
        </w:rPr>
      </w:pPr>
    </w:p>
    <w:p w14:paraId="59C2CE89" w14:textId="77777777" w:rsidR="00B61600" w:rsidRDefault="00B61600" w:rsidP="00AD0E87">
      <w:pPr>
        <w:spacing w:line="240" w:lineRule="auto"/>
        <w:jc w:val="both"/>
        <w:rPr>
          <w:rFonts w:ascii="Times New Roman" w:hAnsi="Times New Roman" w:cs="Times New Roman"/>
          <w:b/>
          <w:sz w:val="20"/>
          <w:szCs w:val="20"/>
        </w:rPr>
      </w:pPr>
    </w:p>
    <w:p w14:paraId="217A4A0B" w14:textId="77777777" w:rsidR="00B61600" w:rsidRDefault="00B61600" w:rsidP="00AD0E87">
      <w:pPr>
        <w:spacing w:line="240" w:lineRule="auto"/>
        <w:jc w:val="both"/>
        <w:rPr>
          <w:rFonts w:ascii="Times New Roman" w:hAnsi="Times New Roman" w:cs="Times New Roman"/>
          <w:b/>
          <w:sz w:val="20"/>
          <w:szCs w:val="20"/>
        </w:rPr>
      </w:pPr>
    </w:p>
    <w:p w14:paraId="6B774D87" w14:textId="77777777" w:rsidR="00B61600" w:rsidRDefault="00B61600" w:rsidP="00AD0E87">
      <w:pPr>
        <w:spacing w:line="240" w:lineRule="auto"/>
        <w:jc w:val="both"/>
        <w:rPr>
          <w:rFonts w:ascii="Times New Roman" w:hAnsi="Times New Roman" w:cs="Times New Roman"/>
          <w:b/>
          <w:sz w:val="20"/>
          <w:szCs w:val="20"/>
        </w:rPr>
      </w:pPr>
    </w:p>
    <w:p w14:paraId="5AE62376" w14:textId="77777777" w:rsidR="00B61600" w:rsidRDefault="00B61600" w:rsidP="00AD0E87">
      <w:pPr>
        <w:spacing w:line="240" w:lineRule="auto"/>
        <w:jc w:val="both"/>
        <w:rPr>
          <w:rFonts w:ascii="Times New Roman" w:hAnsi="Times New Roman" w:cs="Times New Roman"/>
          <w:b/>
          <w:sz w:val="20"/>
          <w:szCs w:val="20"/>
        </w:rPr>
      </w:pPr>
    </w:p>
    <w:p w14:paraId="49EB439A" w14:textId="77777777" w:rsidR="00B61600" w:rsidRDefault="00B61600" w:rsidP="00AD0E87">
      <w:pPr>
        <w:spacing w:line="240" w:lineRule="auto"/>
        <w:jc w:val="both"/>
        <w:rPr>
          <w:rFonts w:ascii="Times New Roman" w:hAnsi="Times New Roman" w:cs="Times New Roman"/>
          <w:b/>
          <w:sz w:val="20"/>
          <w:szCs w:val="20"/>
        </w:rPr>
      </w:pPr>
    </w:p>
    <w:p w14:paraId="618D4DB3" w14:textId="77777777" w:rsidR="00B61600" w:rsidRDefault="00B61600" w:rsidP="00AD0E87">
      <w:pPr>
        <w:spacing w:line="240" w:lineRule="auto"/>
        <w:jc w:val="both"/>
        <w:rPr>
          <w:rFonts w:ascii="Times New Roman" w:hAnsi="Times New Roman" w:cs="Times New Roman"/>
          <w:b/>
          <w:sz w:val="20"/>
          <w:szCs w:val="20"/>
        </w:rPr>
      </w:pPr>
    </w:p>
    <w:p w14:paraId="04EAB54E" w14:textId="77777777" w:rsidR="00B61600" w:rsidRDefault="00B61600" w:rsidP="00AD0E87">
      <w:pPr>
        <w:spacing w:line="240" w:lineRule="auto"/>
        <w:jc w:val="both"/>
        <w:rPr>
          <w:rFonts w:ascii="Times New Roman" w:hAnsi="Times New Roman" w:cs="Times New Roman"/>
          <w:b/>
          <w:sz w:val="20"/>
          <w:szCs w:val="20"/>
        </w:rPr>
      </w:pPr>
    </w:p>
    <w:p w14:paraId="19946242" w14:textId="11FFC353" w:rsidR="006F179D" w:rsidRDefault="00E54AD4" w:rsidP="00F806D4">
      <w:pPr>
        <w:spacing w:line="240" w:lineRule="auto"/>
        <w:ind w:left="720" w:firstLine="720"/>
        <w:jc w:val="both"/>
        <w:rPr>
          <w:rFonts w:ascii="Times New Roman" w:hAnsi="Times New Roman" w:cs="Times New Roman"/>
          <w:b/>
          <w:sz w:val="20"/>
          <w:szCs w:val="20"/>
        </w:rPr>
      </w:pPr>
      <w:r w:rsidRPr="001C2F3D">
        <w:rPr>
          <w:rFonts w:ascii="Times New Roman" w:hAnsi="Times New Roman" w:cs="Times New Roman"/>
          <w:b/>
          <w:sz w:val="20"/>
          <w:szCs w:val="20"/>
        </w:rPr>
        <w:t>Source:</w:t>
      </w:r>
      <w:r w:rsidRPr="001C2F3D">
        <w:rPr>
          <w:rFonts w:ascii="Times New Roman" w:hAnsi="Times New Roman" w:cs="Times New Roman"/>
          <w:sz w:val="20"/>
          <w:szCs w:val="20"/>
        </w:rPr>
        <w:t xml:space="preserve"> National Family Health Survey – 4 &amp; 5</w:t>
      </w:r>
      <w:r w:rsidR="008629B1" w:rsidRPr="001C2F3D">
        <w:rPr>
          <w:rFonts w:ascii="Times New Roman" w:hAnsi="Times New Roman" w:cs="Times New Roman"/>
          <w:sz w:val="20"/>
          <w:szCs w:val="20"/>
        </w:rPr>
        <w:t>.</w:t>
      </w:r>
      <w:r w:rsidR="008629B1" w:rsidRPr="001C2F3D">
        <w:rPr>
          <w:rFonts w:ascii="Times New Roman" w:hAnsi="Times New Roman" w:cs="Times New Roman"/>
          <w:sz w:val="20"/>
          <w:szCs w:val="20"/>
        </w:rPr>
        <w:tab/>
        <w:t>NA</w:t>
      </w:r>
      <w:r w:rsidR="00B509CD" w:rsidRPr="001C2F3D">
        <w:rPr>
          <w:rFonts w:ascii="Times New Roman" w:hAnsi="Times New Roman" w:cs="Times New Roman"/>
          <w:sz w:val="20"/>
          <w:szCs w:val="20"/>
        </w:rPr>
        <w:t xml:space="preserve"> – not available</w:t>
      </w:r>
    </w:p>
    <w:p w14:paraId="5D5002ED" w14:textId="1BF4F1DD" w:rsidR="00A25E22" w:rsidRDefault="000569B2" w:rsidP="00A25E22">
      <w:pPr>
        <w:spacing w:line="240" w:lineRule="auto"/>
        <w:jc w:val="both"/>
        <w:rPr>
          <w:rFonts w:ascii="Times New Roman" w:hAnsi="Times New Roman" w:cs="Times New Roman"/>
          <w:bCs/>
          <w:sz w:val="20"/>
          <w:szCs w:val="20"/>
        </w:rPr>
      </w:pPr>
      <w:r>
        <w:rPr>
          <w:rFonts w:ascii="Times New Roman" w:hAnsi="Times New Roman" w:cs="Times New Roman"/>
          <w:b/>
          <w:sz w:val="20"/>
          <w:szCs w:val="20"/>
        </w:rPr>
        <w:tab/>
      </w:r>
      <w:r>
        <w:rPr>
          <w:rFonts w:ascii="Times New Roman" w:hAnsi="Times New Roman" w:cs="Times New Roman"/>
          <w:bCs/>
          <w:sz w:val="20"/>
          <w:szCs w:val="20"/>
        </w:rPr>
        <w:t xml:space="preserve">The feeding practice is necessary for every child, this practice is inducing child </w:t>
      </w:r>
      <w:proofErr w:type="spellStart"/>
      <w:r>
        <w:rPr>
          <w:rFonts w:ascii="Times New Roman" w:hAnsi="Times New Roman" w:cs="Times New Roman"/>
          <w:bCs/>
          <w:sz w:val="20"/>
          <w:szCs w:val="20"/>
        </w:rPr>
        <w:t>well being</w:t>
      </w:r>
      <w:proofErr w:type="spellEnd"/>
      <w:r>
        <w:rPr>
          <w:rFonts w:ascii="Times New Roman" w:hAnsi="Times New Roman" w:cs="Times New Roman"/>
          <w:bCs/>
          <w:sz w:val="20"/>
          <w:szCs w:val="20"/>
        </w:rPr>
        <w:t xml:space="preserve"> and reducing </w:t>
      </w:r>
      <w:proofErr w:type="spellStart"/>
      <w:r>
        <w:rPr>
          <w:rFonts w:ascii="Times New Roman" w:hAnsi="Times New Roman" w:cs="Times New Roman"/>
          <w:bCs/>
          <w:sz w:val="20"/>
          <w:szCs w:val="20"/>
        </w:rPr>
        <w:t>morbotity</w:t>
      </w:r>
      <w:proofErr w:type="spellEnd"/>
      <w:r>
        <w:rPr>
          <w:rFonts w:ascii="Times New Roman" w:hAnsi="Times New Roman" w:cs="Times New Roman"/>
          <w:bCs/>
          <w:sz w:val="20"/>
          <w:szCs w:val="20"/>
        </w:rPr>
        <w:t xml:space="preserve"> and mortality. After child birth there is need the first </w:t>
      </w:r>
      <w:proofErr w:type="spellStart"/>
      <w:r>
        <w:rPr>
          <w:rFonts w:ascii="Times New Roman" w:hAnsi="Times New Roman" w:cs="Times New Roman"/>
          <w:bCs/>
          <w:sz w:val="20"/>
          <w:szCs w:val="20"/>
        </w:rPr>
        <w:t>nurtrituitional</w:t>
      </w:r>
      <w:proofErr w:type="spellEnd"/>
      <w:r>
        <w:rPr>
          <w:rFonts w:ascii="Times New Roman" w:hAnsi="Times New Roman" w:cs="Times New Roman"/>
          <w:bCs/>
          <w:sz w:val="20"/>
          <w:szCs w:val="20"/>
        </w:rPr>
        <w:t xml:space="preserve"> food of </w:t>
      </w:r>
      <w:r w:rsidR="00256A73">
        <w:rPr>
          <w:rFonts w:ascii="Times New Roman" w:hAnsi="Times New Roman" w:cs="Times New Roman"/>
          <w:bCs/>
          <w:sz w:val="20"/>
          <w:szCs w:val="20"/>
        </w:rPr>
        <w:t>colostrum</w:t>
      </w:r>
      <w:r>
        <w:rPr>
          <w:rFonts w:ascii="Times New Roman" w:hAnsi="Times New Roman" w:cs="Times New Roman"/>
          <w:bCs/>
          <w:sz w:val="20"/>
          <w:szCs w:val="20"/>
        </w:rPr>
        <w:t xml:space="preserve"> breastmilk for </w:t>
      </w:r>
      <w:proofErr w:type="spellStart"/>
      <w:r>
        <w:rPr>
          <w:rFonts w:ascii="Times New Roman" w:hAnsi="Times New Roman" w:cs="Times New Roman"/>
          <w:bCs/>
          <w:sz w:val="20"/>
          <w:szCs w:val="20"/>
        </w:rPr>
        <w:t>newborn</w:t>
      </w:r>
      <w:proofErr w:type="spellEnd"/>
      <w:r>
        <w:rPr>
          <w:rFonts w:ascii="Times New Roman" w:hAnsi="Times New Roman" w:cs="Times New Roman"/>
          <w:bCs/>
          <w:sz w:val="20"/>
          <w:szCs w:val="20"/>
        </w:rPr>
        <w:t xml:space="preserve"> babies. The breastmilk practices </w:t>
      </w:r>
      <w:proofErr w:type="gramStart"/>
      <w:r>
        <w:rPr>
          <w:rFonts w:ascii="Times New Roman" w:hAnsi="Times New Roman" w:cs="Times New Roman"/>
          <w:bCs/>
          <w:sz w:val="20"/>
          <w:szCs w:val="20"/>
        </w:rPr>
        <w:t>is</w:t>
      </w:r>
      <w:proofErr w:type="gramEnd"/>
      <w:r>
        <w:rPr>
          <w:rFonts w:ascii="Times New Roman" w:hAnsi="Times New Roman" w:cs="Times New Roman"/>
          <w:bCs/>
          <w:sz w:val="20"/>
          <w:szCs w:val="20"/>
        </w:rPr>
        <w:t xml:space="preserve"> inducing </w:t>
      </w:r>
      <w:r w:rsidR="00CC4334">
        <w:rPr>
          <w:rFonts w:ascii="Times New Roman" w:hAnsi="Times New Roman" w:cs="Times New Roman"/>
          <w:bCs/>
          <w:sz w:val="20"/>
          <w:szCs w:val="20"/>
        </w:rPr>
        <w:t xml:space="preserve">the child health improvement and increasing </w:t>
      </w:r>
      <w:r w:rsidR="00256A73">
        <w:rPr>
          <w:rFonts w:ascii="Times New Roman" w:hAnsi="Times New Roman" w:cs="Times New Roman"/>
          <w:bCs/>
          <w:sz w:val="20"/>
          <w:szCs w:val="20"/>
        </w:rPr>
        <w:t>women’s</w:t>
      </w:r>
      <w:r w:rsidR="00CC4334">
        <w:rPr>
          <w:rFonts w:ascii="Times New Roman" w:hAnsi="Times New Roman" w:cs="Times New Roman"/>
          <w:bCs/>
          <w:sz w:val="20"/>
          <w:szCs w:val="20"/>
        </w:rPr>
        <w:t xml:space="preserve"> pregnancy gap. The below 50 percent of mothers gave the </w:t>
      </w:r>
      <w:r w:rsidR="00256A73">
        <w:rPr>
          <w:rFonts w:ascii="Times New Roman" w:hAnsi="Times New Roman" w:cs="Times New Roman"/>
          <w:bCs/>
          <w:sz w:val="20"/>
          <w:szCs w:val="20"/>
        </w:rPr>
        <w:t>colostrum</w:t>
      </w:r>
      <w:r w:rsidR="00CC4334">
        <w:rPr>
          <w:rFonts w:ascii="Times New Roman" w:hAnsi="Times New Roman" w:cs="Times New Roman"/>
          <w:bCs/>
          <w:sz w:val="20"/>
          <w:szCs w:val="20"/>
        </w:rPr>
        <w:t xml:space="preserve"> breast milk after </w:t>
      </w:r>
      <w:r w:rsidR="00256A73">
        <w:rPr>
          <w:rFonts w:ascii="Times New Roman" w:hAnsi="Times New Roman" w:cs="Times New Roman"/>
          <w:bCs/>
          <w:sz w:val="20"/>
          <w:szCs w:val="20"/>
        </w:rPr>
        <w:t>childbirth</w:t>
      </w:r>
      <w:r w:rsidR="00CC4334">
        <w:rPr>
          <w:rFonts w:ascii="Times New Roman" w:hAnsi="Times New Roman" w:cs="Times New Roman"/>
          <w:bCs/>
          <w:sz w:val="20"/>
          <w:szCs w:val="20"/>
        </w:rPr>
        <w:t xml:space="preserve"> in both </w:t>
      </w:r>
      <w:r w:rsidR="00256A73">
        <w:rPr>
          <w:rFonts w:ascii="Times New Roman" w:hAnsi="Times New Roman" w:cs="Times New Roman"/>
          <w:bCs/>
          <w:sz w:val="20"/>
          <w:szCs w:val="20"/>
        </w:rPr>
        <w:t>regions</w:t>
      </w:r>
      <w:r w:rsidR="00CC4334">
        <w:rPr>
          <w:rFonts w:ascii="Times New Roman" w:hAnsi="Times New Roman" w:cs="Times New Roman"/>
          <w:bCs/>
          <w:sz w:val="20"/>
          <w:szCs w:val="20"/>
        </w:rPr>
        <w:t xml:space="preserve"> and surveys. </w:t>
      </w:r>
      <w:r w:rsidR="00CE5DDD">
        <w:rPr>
          <w:rFonts w:ascii="Times New Roman" w:hAnsi="Times New Roman" w:cs="Times New Roman"/>
          <w:bCs/>
          <w:sz w:val="20"/>
          <w:szCs w:val="20"/>
        </w:rPr>
        <w:t xml:space="preserve">Most of the mothers gave exclusive </w:t>
      </w:r>
      <w:proofErr w:type="spellStart"/>
      <w:r w:rsidR="00CE5DDD">
        <w:rPr>
          <w:rFonts w:ascii="Times New Roman" w:hAnsi="Times New Roman" w:cs="Times New Roman"/>
          <w:bCs/>
          <w:sz w:val="20"/>
          <w:szCs w:val="20"/>
        </w:rPr>
        <w:t>breasmilk</w:t>
      </w:r>
      <w:proofErr w:type="spellEnd"/>
      <w:r w:rsidR="00CE5DDD">
        <w:rPr>
          <w:rFonts w:ascii="Times New Roman" w:hAnsi="Times New Roman" w:cs="Times New Roman"/>
          <w:bCs/>
          <w:sz w:val="20"/>
          <w:szCs w:val="20"/>
        </w:rPr>
        <w:t xml:space="preserve"> </w:t>
      </w:r>
      <w:proofErr w:type="spellStart"/>
      <w:r w:rsidR="00CE5DDD">
        <w:rPr>
          <w:rFonts w:ascii="Times New Roman" w:hAnsi="Times New Roman" w:cs="Times New Roman"/>
          <w:bCs/>
          <w:sz w:val="20"/>
          <w:szCs w:val="20"/>
        </w:rPr>
        <w:t>upto</w:t>
      </w:r>
      <w:proofErr w:type="spellEnd"/>
      <w:r w:rsidR="00CE5DDD">
        <w:rPr>
          <w:rFonts w:ascii="Times New Roman" w:hAnsi="Times New Roman" w:cs="Times New Roman"/>
          <w:bCs/>
          <w:sz w:val="20"/>
          <w:szCs w:val="20"/>
        </w:rPr>
        <w:t xml:space="preserve"> 6 months after birth and after 6 months there is </w:t>
      </w:r>
      <w:r w:rsidR="00C262ED">
        <w:rPr>
          <w:rFonts w:ascii="Times New Roman" w:hAnsi="Times New Roman" w:cs="Times New Roman"/>
          <w:bCs/>
          <w:sz w:val="20"/>
          <w:szCs w:val="20"/>
        </w:rPr>
        <w:t xml:space="preserve">a </w:t>
      </w:r>
      <w:r w:rsidR="00CE5DDD">
        <w:rPr>
          <w:rFonts w:ascii="Times New Roman" w:hAnsi="Times New Roman" w:cs="Times New Roman"/>
          <w:bCs/>
          <w:sz w:val="20"/>
          <w:szCs w:val="20"/>
        </w:rPr>
        <w:t xml:space="preserve">need </w:t>
      </w:r>
      <w:r w:rsidR="00C262ED">
        <w:rPr>
          <w:rFonts w:ascii="Times New Roman" w:hAnsi="Times New Roman" w:cs="Times New Roman"/>
          <w:bCs/>
          <w:sz w:val="20"/>
          <w:szCs w:val="20"/>
        </w:rPr>
        <w:t xml:space="preserve">for </w:t>
      </w:r>
      <w:r w:rsidR="00CE5DDD">
        <w:rPr>
          <w:rFonts w:ascii="Times New Roman" w:hAnsi="Times New Roman" w:cs="Times New Roman"/>
          <w:bCs/>
          <w:sz w:val="20"/>
          <w:szCs w:val="20"/>
        </w:rPr>
        <w:t>adequate breastmilk plus solid food</w:t>
      </w:r>
      <w:r w:rsidR="006D32D1">
        <w:rPr>
          <w:rFonts w:ascii="Times New Roman" w:hAnsi="Times New Roman" w:cs="Times New Roman"/>
          <w:bCs/>
          <w:sz w:val="20"/>
          <w:szCs w:val="20"/>
        </w:rPr>
        <w:t>,</w:t>
      </w:r>
      <w:r w:rsidR="00CE5DDD">
        <w:rPr>
          <w:rFonts w:ascii="Times New Roman" w:hAnsi="Times New Roman" w:cs="Times New Roman"/>
          <w:bCs/>
          <w:sz w:val="20"/>
          <w:szCs w:val="20"/>
        </w:rPr>
        <w:t xml:space="preserve"> this feeding practice level </w:t>
      </w:r>
      <w:r w:rsidR="00C262ED">
        <w:rPr>
          <w:rFonts w:ascii="Times New Roman" w:hAnsi="Times New Roman" w:cs="Times New Roman"/>
          <w:bCs/>
          <w:sz w:val="20"/>
          <w:szCs w:val="20"/>
        </w:rPr>
        <w:t>is small perc</w:t>
      </w:r>
      <w:r w:rsidR="006D32D1">
        <w:rPr>
          <w:rFonts w:ascii="Times New Roman" w:hAnsi="Times New Roman" w:cs="Times New Roman"/>
          <w:bCs/>
          <w:sz w:val="20"/>
          <w:szCs w:val="20"/>
        </w:rPr>
        <w:t>e</w:t>
      </w:r>
      <w:r w:rsidR="00C262ED">
        <w:rPr>
          <w:rFonts w:ascii="Times New Roman" w:hAnsi="Times New Roman" w:cs="Times New Roman"/>
          <w:bCs/>
          <w:sz w:val="20"/>
          <w:szCs w:val="20"/>
        </w:rPr>
        <w:t xml:space="preserve">nt </w:t>
      </w:r>
      <w:proofErr w:type="spellStart"/>
      <w:r w:rsidR="00C262ED">
        <w:rPr>
          <w:rFonts w:ascii="Times New Roman" w:hAnsi="Times New Roman" w:cs="Times New Roman"/>
          <w:bCs/>
          <w:sz w:val="20"/>
          <w:szCs w:val="20"/>
        </w:rPr>
        <w:t>increased</w:t>
      </w:r>
      <w:proofErr w:type="spellEnd"/>
      <w:r w:rsidR="00C262ED">
        <w:rPr>
          <w:rFonts w:ascii="Times New Roman" w:hAnsi="Times New Roman" w:cs="Times New Roman"/>
          <w:bCs/>
          <w:sz w:val="20"/>
          <w:szCs w:val="20"/>
        </w:rPr>
        <w:t xml:space="preserve"> in both regions and surveys</w:t>
      </w:r>
      <w:r w:rsidR="006D32D1">
        <w:rPr>
          <w:rFonts w:ascii="Times New Roman" w:hAnsi="Times New Roman" w:cs="Times New Roman"/>
          <w:bCs/>
          <w:sz w:val="20"/>
          <w:szCs w:val="20"/>
        </w:rPr>
        <w:t xml:space="preserve"> (Table – 4)</w:t>
      </w:r>
      <w:r w:rsidR="00C262ED">
        <w:rPr>
          <w:rFonts w:ascii="Times New Roman" w:hAnsi="Times New Roman" w:cs="Times New Roman"/>
          <w:bCs/>
          <w:sz w:val="20"/>
          <w:szCs w:val="20"/>
        </w:rPr>
        <w:t>. The ICDS centre providing nutritional supplementation for child, pregnancy women and lactating mothers</w:t>
      </w:r>
      <w:r w:rsidR="006D32D1">
        <w:rPr>
          <w:rFonts w:ascii="Times New Roman" w:hAnsi="Times New Roman" w:cs="Times New Roman"/>
          <w:bCs/>
          <w:sz w:val="20"/>
          <w:szCs w:val="20"/>
        </w:rPr>
        <w:t xml:space="preserve"> and</w:t>
      </w:r>
      <w:r w:rsidR="00C262ED">
        <w:rPr>
          <w:rFonts w:ascii="Times New Roman" w:hAnsi="Times New Roman" w:cs="Times New Roman"/>
          <w:bCs/>
          <w:sz w:val="20"/>
          <w:szCs w:val="20"/>
        </w:rPr>
        <w:t xml:space="preserve"> </w:t>
      </w:r>
      <w:r w:rsidR="00D83FE0">
        <w:rPr>
          <w:rFonts w:ascii="Times New Roman" w:hAnsi="Times New Roman" w:cs="Times New Roman"/>
          <w:bCs/>
          <w:sz w:val="20"/>
          <w:szCs w:val="20"/>
        </w:rPr>
        <w:t>these</w:t>
      </w:r>
      <w:r w:rsidR="006D32D1">
        <w:rPr>
          <w:rFonts w:ascii="Times New Roman" w:hAnsi="Times New Roman" w:cs="Times New Roman"/>
          <w:bCs/>
          <w:sz w:val="20"/>
          <w:szCs w:val="20"/>
        </w:rPr>
        <w:t xml:space="preserve"> </w:t>
      </w:r>
      <w:r w:rsidR="00A82247">
        <w:rPr>
          <w:rFonts w:ascii="Times New Roman" w:hAnsi="Times New Roman" w:cs="Times New Roman"/>
          <w:bCs/>
          <w:sz w:val="20"/>
          <w:szCs w:val="20"/>
        </w:rPr>
        <w:t>service-related</w:t>
      </w:r>
      <w:r w:rsidR="00A61859">
        <w:rPr>
          <w:rFonts w:ascii="Times New Roman" w:hAnsi="Times New Roman" w:cs="Times New Roman"/>
          <w:bCs/>
          <w:sz w:val="20"/>
          <w:szCs w:val="20"/>
        </w:rPr>
        <w:t xml:space="preserve"> details</w:t>
      </w:r>
      <w:r w:rsidR="006D32D1">
        <w:rPr>
          <w:rFonts w:ascii="Times New Roman" w:hAnsi="Times New Roman" w:cs="Times New Roman"/>
          <w:bCs/>
          <w:sz w:val="20"/>
          <w:szCs w:val="20"/>
        </w:rPr>
        <w:t xml:space="preserve"> has</w:t>
      </w:r>
      <w:r w:rsidR="00A61859">
        <w:rPr>
          <w:rFonts w:ascii="Times New Roman" w:hAnsi="Times New Roman" w:cs="Times New Roman"/>
          <w:bCs/>
          <w:sz w:val="20"/>
          <w:szCs w:val="20"/>
        </w:rPr>
        <w:t xml:space="preserve"> not available in NFHS surveys.</w:t>
      </w:r>
    </w:p>
    <w:p w14:paraId="1EEF734B" w14:textId="77777777" w:rsidR="00F806D4" w:rsidRDefault="00F806D4" w:rsidP="00A25E22">
      <w:pPr>
        <w:spacing w:line="240" w:lineRule="auto"/>
        <w:jc w:val="both"/>
        <w:rPr>
          <w:rFonts w:ascii="Times New Roman" w:hAnsi="Times New Roman" w:cs="Times New Roman"/>
          <w:b/>
          <w:bCs/>
          <w:sz w:val="20"/>
          <w:szCs w:val="20"/>
        </w:rPr>
      </w:pPr>
    </w:p>
    <w:p w14:paraId="6C8A3ABE" w14:textId="369A6CE3" w:rsidR="00A5310E" w:rsidRPr="001C2F3D" w:rsidRDefault="002E5014" w:rsidP="00A25E22">
      <w:pPr>
        <w:spacing w:line="240" w:lineRule="auto"/>
        <w:jc w:val="center"/>
        <w:rPr>
          <w:rFonts w:ascii="Times New Roman" w:hAnsi="Times New Roman" w:cs="Times New Roman"/>
          <w:b/>
          <w:sz w:val="20"/>
          <w:szCs w:val="20"/>
        </w:rPr>
      </w:pPr>
      <w:r w:rsidRPr="001C2F3D">
        <w:rPr>
          <w:rFonts w:ascii="Times New Roman" w:hAnsi="Times New Roman" w:cs="Times New Roman"/>
          <w:b/>
          <w:sz w:val="20"/>
          <w:szCs w:val="20"/>
        </w:rPr>
        <w:t xml:space="preserve">Table – 4: </w:t>
      </w:r>
      <w:r w:rsidR="00A5310E" w:rsidRPr="001C2F3D">
        <w:rPr>
          <w:rFonts w:ascii="Times New Roman" w:hAnsi="Times New Roman" w:cs="Times New Roman"/>
          <w:b/>
          <w:sz w:val="20"/>
          <w:szCs w:val="20"/>
        </w:rPr>
        <w:t xml:space="preserve">Child Feeding </w:t>
      </w:r>
      <w:r w:rsidR="00A76EDC" w:rsidRPr="001C2F3D">
        <w:rPr>
          <w:rFonts w:ascii="Times New Roman" w:hAnsi="Times New Roman" w:cs="Times New Roman"/>
          <w:b/>
          <w:sz w:val="20"/>
          <w:szCs w:val="20"/>
        </w:rPr>
        <w:t>Practice</w:t>
      </w:r>
    </w:p>
    <w:tbl>
      <w:tblPr>
        <w:tblStyle w:val="TableGrid"/>
        <w:tblpPr w:leftFromText="180" w:rightFromText="180" w:vertAnchor="text" w:horzAnchor="margin" w:tblpXSpec="center" w:tblpY="116"/>
        <w:tblOverlap w:val="never"/>
        <w:tblW w:w="8217" w:type="dxa"/>
        <w:tblLook w:val="04A0" w:firstRow="1" w:lastRow="0" w:firstColumn="1" w:lastColumn="0" w:noHBand="0" w:noVBand="1"/>
      </w:tblPr>
      <w:tblGrid>
        <w:gridCol w:w="898"/>
        <w:gridCol w:w="3131"/>
        <w:gridCol w:w="1069"/>
        <w:gridCol w:w="993"/>
        <w:gridCol w:w="1134"/>
        <w:gridCol w:w="992"/>
      </w:tblGrid>
      <w:tr w:rsidR="00F32DF8" w:rsidRPr="001C2F3D" w14:paraId="20ED5047" w14:textId="77777777" w:rsidTr="00095F17">
        <w:trPr>
          <w:trHeight w:val="413"/>
        </w:trPr>
        <w:tc>
          <w:tcPr>
            <w:tcW w:w="898" w:type="dxa"/>
            <w:vMerge w:val="restart"/>
            <w:shd w:val="clear" w:color="auto" w:fill="DEEAF6" w:themeFill="accent1" w:themeFillTint="33"/>
          </w:tcPr>
          <w:p w14:paraId="0DFC70C8" w14:textId="77777777" w:rsidR="003467C6" w:rsidRPr="001C2F3D" w:rsidRDefault="003467C6"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 </w:t>
            </w:r>
          </w:p>
          <w:p w14:paraId="287F4F8C" w14:textId="77777777" w:rsidR="00F32DF8" w:rsidRPr="001C2F3D" w:rsidRDefault="00F32DF8" w:rsidP="00AD0E87">
            <w:pPr>
              <w:jc w:val="both"/>
              <w:rPr>
                <w:rFonts w:ascii="Times New Roman" w:hAnsi="Times New Roman" w:cs="Times New Roman"/>
                <w:b/>
                <w:sz w:val="20"/>
                <w:szCs w:val="20"/>
              </w:rPr>
            </w:pPr>
            <w:r w:rsidRPr="001C2F3D">
              <w:rPr>
                <w:rFonts w:ascii="Times New Roman" w:hAnsi="Times New Roman" w:cs="Times New Roman"/>
                <w:b/>
                <w:sz w:val="20"/>
                <w:szCs w:val="20"/>
              </w:rPr>
              <w:t>S.</w:t>
            </w:r>
            <w:r w:rsidR="003467C6" w:rsidRPr="001C2F3D">
              <w:rPr>
                <w:rFonts w:ascii="Times New Roman" w:hAnsi="Times New Roman" w:cs="Times New Roman"/>
                <w:b/>
                <w:sz w:val="20"/>
                <w:szCs w:val="20"/>
              </w:rPr>
              <w:t xml:space="preserve"> </w:t>
            </w:r>
            <w:r w:rsidRPr="001C2F3D">
              <w:rPr>
                <w:rFonts w:ascii="Times New Roman" w:hAnsi="Times New Roman" w:cs="Times New Roman"/>
                <w:b/>
                <w:sz w:val="20"/>
                <w:szCs w:val="20"/>
              </w:rPr>
              <w:t>No</w:t>
            </w:r>
          </w:p>
        </w:tc>
        <w:tc>
          <w:tcPr>
            <w:tcW w:w="3131" w:type="dxa"/>
            <w:vMerge w:val="restart"/>
            <w:shd w:val="clear" w:color="auto" w:fill="DEEAF6" w:themeFill="accent1" w:themeFillTint="33"/>
          </w:tcPr>
          <w:p w14:paraId="371B6BC0" w14:textId="77777777" w:rsidR="00F32DF8" w:rsidRPr="001C2F3D" w:rsidRDefault="00F32DF8" w:rsidP="00AD0E87">
            <w:pPr>
              <w:jc w:val="both"/>
              <w:rPr>
                <w:rFonts w:ascii="Times New Roman" w:hAnsi="Times New Roman" w:cs="Times New Roman"/>
                <w:b/>
                <w:sz w:val="20"/>
                <w:szCs w:val="20"/>
              </w:rPr>
            </w:pPr>
          </w:p>
          <w:p w14:paraId="32017FF0" w14:textId="77777777" w:rsidR="00F32DF8" w:rsidRPr="001C2F3D" w:rsidRDefault="00F32DF8" w:rsidP="00B948B9">
            <w:pPr>
              <w:jc w:val="center"/>
              <w:rPr>
                <w:rFonts w:ascii="Times New Roman" w:hAnsi="Times New Roman" w:cs="Times New Roman"/>
                <w:b/>
                <w:sz w:val="20"/>
                <w:szCs w:val="20"/>
              </w:rPr>
            </w:pPr>
            <w:r w:rsidRPr="001C2F3D">
              <w:rPr>
                <w:rFonts w:ascii="Times New Roman" w:hAnsi="Times New Roman" w:cs="Times New Roman"/>
                <w:b/>
                <w:sz w:val="20"/>
                <w:szCs w:val="20"/>
              </w:rPr>
              <w:t>Indicators</w:t>
            </w:r>
          </w:p>
        </w:tc>
        <w:tc>
          <w:tcPr>
            <w:tcW w:w="2062" w:type="dxa"/>
            <w:gridSpan w:val="2"/>
            <w:shd w:val="clear" w:color="auto" w:fill="D5DCE4" w:themeFill="text2" w:themeFillTint="33"/>
          </w:tcPr>
          <w:p w14:paraId="7E95F632"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4 </w:t>
            </w:r>
            <w:r w:rsidRPr="001C2F3D">
              <w:rPr>
                <w:rFonts w:ascii="Times New Roman" w:hAnsi="Times New Roman" w:cs="Times New Roman"/>
                <w:sz w:val="20"/>
                <w:szCs w:val="20"/>
              </w:rPr>
              <w:t>(2015 – 16)</w:t>
            </w:r>
          </w:p>
        </w:tc>
        <w:tc>
          <w:tcPr>
            <w:tcW w:w="2126" w:type="dxa"/>
            <w:gridSpan w:val="2"/>
            <w:shd w:val="clear" w:color="auto" w:fill="FBE4D5" w:themeFill="accent2" w:themeFillTint="33"/>
          </w:tcPr>
          <w:p w14:paraId="5A12DE77"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5 </w:t>
            </w:r>
            <w:r w:rsidRPr="001C2F3D">
              <w:rPr>
                <w:rFonts w:ascii="Times New Roman" w:hAnsi="Times New Roman" w:cs="Times New Roman"/>
                <w:sz w:val="20"/>
                <w:szCs w:val="20"/>
              </w:rPr>
              <w:t>(2019 – 21)</w:t>
            </w:r>
          </w:p>
        </w:tc>
      </w:tr>
      <w:tr w:rsidR="005D4F00" w:rsidRPr="001C2F3D" w14:paraId="71BD7AE0" w14:textId="77777777" w:rsidTr="00095F17">
        <w:trPr>
          <w:trHeight w:val="444"/>
        </w:trPr>
        <w:tc>
          <w:tcPr>
            <w:tcW w:w="898" w:type="dxa"/>
            <w:vMerge/>
            <w:shd w:val="clear" w:color="auto" w:fill="DEEAF6" w:themeFill="accent1" w:themeFillTint="33"/>
          </w:tcPr>
          <w:p w14:paraId="4B2D6D7D" w14:textId="77777777" w:rsidR="005D4F00" w:rsidRPr="001C2F3D" w:rsidRDefault="005D4F00" w:rsidP="00AD0E87">
            <w:pPr>
              <w:jc w:val="both"/>
              <w:rPr>
                <w:rFonts w:ascii="Times New Roman" w:hAnsi="Times New Roman" w:cs="Times New Roman"/>
                <w:b/>
                <w:sz w:val="20"/>
                <w:szCs w:val="20"/>
              </w:rPr>
            </w:pPr>
          </w:p>
        </w:tc>
        <w:tc>
          <w:tcPr>
            <w:tcW w:w="3131" w:type="dxa"/>
            <w:vMerge/>
            <w:shd w:val="clear" w:color="auto" w:fill="DEEAF6" w:themeFill="accent1" w:themeFillTint="33"/>
          </w:tcPr>
          <w:p w14:paraId="28CE2902" w14:textId="77777777" w:rsidR="005D4F00" w:rsidRPr="001C2F3D" w:rsidRDefault="005D4F00" w:rsidP="00AD0E87">
            <w:pPr>
              <w:jc w:val="both"/>
              <w:rPr>
                <w:rFonts w:ascii="Times New Roman" w:hAnsi="Times New Roman" w:cs="Times New Roman"/>
                <w:b/>
                <w:sz w:val="20"/>
                <w:szCs w:val="20"/>
              </w:rPr>
            </w:pPr>
          </w:p>
        </w:tc>
        <w:tc>
          <w:tcPr>
            <w:tcW w:w="1069" w:type="dxa"/>
            <w:shd w:val="clear" w:color="auto" w:fill="D5DCE4" w:themeFill="text2" w:themeFillTint="33"/>
          </w:tcPr>
          <w:p w14:paraId="0807E7FA" w14:textId="77777777" w:rsidR="005D4F00" w:rsidRPr="001C2F3D" w:rsidRDefault="005D4F00"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Rural </w:t>
            </w:r>
          </w:p>
        </w:tc>
        <w:tc>
          <w:tcPr>
            <w:tcW w:w="993" w:type="dxa"/>
            <w:shd w:val="clear" w:color="auto" w:fill="D5DCE4" w:themeFill="text2" w:themeFillTint="33"/>
          </w:tcPr>
          <w:p w14:paraId="325B28C7" w14:textId="77777777" w:rsidR="005D4F00" w:rsidRPr="001C2F3D" w:rsidRDefault="005D4F00"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c>
          <w:tcPr>
            <w:tcW w:w="1134" w:type="dxa"/>
            <w:shd w:val="clear" w:color="auto" w:fill="FBE4D5" w:themeFill="accent2" w:themeFillTint="33"/>
          </w:tcPr>
          <w:p w14:paraId="6E3834A7" w14:textId="77777777" w:rsidR="005D4F00" w:rsidRPr="001C2F3D" w:rsidRDefault="005D4F00" w:rsidP="00AD0E87">
            <w:pPr>
              <w:jc w:val="both"/>
              <w:rPr>
                <w:rFonts w:ascii="Times New Roman" w:hAnsi="Times New Roman" w:cs="Times New Roman"/>
                <w:b/>
                <w:sz w:val="20"/>
                <w:szCs w:val="20"/>
              </w:rPr>
            </w:pPr>
            <w:r w:rsidRPr="001C2F3D">
              <w:rPr>
                <w:rFonts w:ascii="Times New Roman" w:hAnsi="Times New Roman" w:cs="Times New Roman"/>
                <w:b/>
                <w:sz w:val="20"/>
                <w:szCs w:val="20"/>
              </w:rPr>
              <w:t>Rural</w:t>
            </w:r>
          </w:p>
        </w:tc>
        <w:tc>
          <w:tcPr>
            <w:tcW w:w="992" w:type="dxa"/>
            <w:shd w:val="clear" w:color="auto" w:fill="FBE4D5" w:themeFill="accent2" w:themeFillTint="33"/>
          </w:tcPr>
          <w:p w14:paraId="7D48ED1D" w14:textId="77777777" w:rsidR="005D4F00" w:rsidRPr="001C2F3D" w:rsidRDefault="005D4F00"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r>
      <w:tr w:rsidR="005D4F00" w:rsidRPr="001C2F3D" w14:paraId="51074097" w14:textId="77777777" w:rsidTr="00095F17">
        <w:trPr>
          <w:trHeight w:val="413"/>
        </w:trPr>
        <w:tc>
          <w:tcPr>
            <w:tcW w:w="898" w:type="dxa"/>
            <w:shd w:val="clear" w:color="auto" w:fill="DEEAF6" w:themeFill="accent1" w:themeFillTint="33"/>
          </w:tcPr>
          <w:p w14:paraId="0D1FE1A2"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1</w:t>
            </w:r>
          </w:p>
        </w:tc>
        <w:tc>
          <w:tcPr>
            <w:tcW w:w="3131" w:type="dxa"/>
            <w:shd w:val="clear" w:color="auto" w:fill="DEEAF6" w:themeFill="accent1" w:themeFillTint="33"/>
          </w:tcPr>
          <w:p w14:paraId="1B1FB9E1"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Breastfed within one hour of birth</w:t>
            </w:r>
          </w:p>
        </w:tc>
        <w:tc>
          <w:tcPr>
            <w:tcW w:w="1069" w:type="dxa"/>
            <w:shd w:val="clear" w:color="auto" w:fill="D5DCE4" w:themeFill="text2" w:themeFillTint="33"/>
          </w:tcPr>
          <w:p w14:paraId="2B2A9ECB"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41.1</w:t>
            </w:r>
          </w:p>
        </w:tc>
        <w:tc>
          <w:tcPr>
            <w:tcW w:w="993" w:type="dxa"/>
            <w:shd w:val="clear" w:color="auto" w:fill="D5DCE4" w:themeFill="text2" w:themeFillTint="33"/>
          </w:tcPr>
          <w:p w14:paraId="1D1A921D"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42.8</w:t>
            </w:r>
          </w:p>
        </w:tc>
        <w:tc>
          <w:tcPr>
            <w:tcW w:w="1134" w:type="dxa"/>
            <w:shd w:val="clear" w:color="auto" w:fill="FBE4D5" w:themeFill="accent2" w:themeFillTint="33"/>
          </w:tcPr>
          <w:p w14:paraId="1F641723"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40.7</w:t>
            </w:r>
          </w:p>
        </w:tc>
        <w:tc>
          <w:tcPr>
            <w:tcW w:w="992" w:type="dxa"/>
            <w:shd w:val="clear" w:color="auto" w:fill="FBE4D5" w:themeFill="accent2" w:themeFillTint="33"/>
          </w:tcPr>
          <w:p w14:paraId="5DD860D2"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44.7</w:t>
            </w:r>
          </w:p>
        </w:tc>
      </w:tr>
      <w:tr w:rsidR="005D4F00" w:rsidRPr="001C2F3D" w14:paraId="2B9D277A" w14:textId="77777777" w:rsidTr="00095F17">
        <w:trPr>
          <w:trHeight w:val="413"/>
        </w:trPr>
        <w:tc>
          <w:tcPr>
            <w:tcW w:w="898" w:type="dxa"/>
            <w:shd w:val="clear" w:color="auto" w:fill="DEEAF6" w:themeFill="accent1" w:themeFillTint="33"/>
          </w:tcPr>
          <w:p w14:paraId="1E45B4B4"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2</w:t>
            </w:r>
          </w:p>
        </w:tc>
        <w:tc>
          <w:tcPr>
            <w:tcW w:w="3131" w:type="dxa"/>
            <w:shd w:val="clear" w:color="auto" w:fill="DEEAF6" w:themeFill="accent1" w:themeFillTint="33"/>
          </w:tcPr>
          <w:p w14:paraId="73321AAE" w14:textId="12C612B3"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Child under age </w:t>
            </w:r>
            <w:r w:rsidR="00256A73">
              <w:rPr>
                <w:rFonts w:ascii="Times New Roman" w:hAnsi="Times New Roman" w:cs="Times New Roman"/>
                <w:sz w:val="20"/>
                <w:szCs w:val="20"/>
              </w:rPr>
              <w:t xml:space="preserve">of </w:t>
            </w:r>
            <w:r w:rsidRPr="001C2F3D">
              <w:rPr>
                <w:rFonts w:ascii="Times New Roman" w:hAnsi="Times New Roman" w:cs="Times New Roman"/>
                <w:sz w:val="20"/>
                <w:szCs w:val="20"/>
              </w:rPr>
              <w:t>6 months exclusive Breastfed</w:t>
            </w:r>
          </w:p>
        </w:tc>
        <w:tc>
          <w:tcPr>
            <w:tcW w:w="1069" w:type="dxa"/>
            <w:shd w:val="clear" w:color="auto" w:fill="D5DCE4" w:themeFill="text2" w:themeFillTint="33"/>
          </w:tcPr>
          <w:p w14:paraId="64367560"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55.9</w:t>
            </w:r>
          </w:p>
        </w:tc>
        <w:tc>
          <w:tcPr>
            <w:tcW w:w="993" w:type="dxa"/>
            <w:shd w:val="clear" w:color="auto" w:fill="D5DCE4" w:themeFill="text2" w:themeFillTint="33"/>
          </w:tcPr>
          <w:p w14:paraId="1841E0EF"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52.1</w:t>
            </w:r>
          </w:p>
        </w:tc>
        <w:tc>
          <w:tcPr>
            <w:tcW w:w="1134" w:type="dxa"/>
            <w:shd w:val="clear" w:color="auto" w:fill="FBE4D5" w:themeFill="accent2" w:themeFillTint="33"/>
          </w:tcPr>
          <w:p w14:paraId="325EEA5F"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65.1</w:t>
            </w:r>
          </w:p>
        </w:tc>
        <w:tc>
          <w:tcPr>
            <w:tcW w:w="992" w:type="dxa"/>
            <w:shd w:val="clear" w:color="auto" w:fill="FBE4D5" w:themeFill="accent2" w:themeFillTint="33"/>
          </w:tcPr>
          <w:p w14:paraId="7E52052A"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59.6</w:t>
            </w:r>
          </w:p>
        </w:tc>
      </w:tr>
      <w:tr w:rsidR="005D4F00" w:rsidRPr="001C2F3D" w14:paraId="1E12094C" w14:textId="77777777" w:rsidTr="00095F17">
        <w:trPr>
          <w:trHeight w:val="413"/>
        </w:trPr>
        <w:tc>
          <w:tcPr>
            <w:tcW w:w="898" w:type="dxa"/>
            <w:shd w:val="clear" w:color="auto" w:fill="DEEAF6" w:themeFill="accent1" w:themeFillTint="33"/>
          </w:tcPr>
          <w:p w14:paraId="470039AE"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3</w:t>
            </w:r>
          </w:p>
        </w:tc>
        <w:tc>
          <w:tcPr>
            <w:tcW w:w="3131" w:type="dxa"/>
            <w:shd w:val="clear" w:color="auto" w:fill="DEEAF6" w:themeFill="accent1" w:themeFillTint="33"/>
          </w:tcPr>
          <w:p w14:paraId="6EB19130"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Child age 6 - 8 months received solid food + breasted</w:t>
            </w:r>
          </w:p>
        </w:tc>
        <w:tc>
          <w:tcPr>
            <w:tcW w:w="1069" w:type="dxa"/>
            <w:shd w:val="clear" w:color="auto" w:fill="D5DCE4" w:themeFill="text2" w:themeFillTint="33"/>
          </w:tcPr>
          <w:p w14:paraId="2D1BDB7F"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39.9</w:t>
            </w:r>
          </w:p>
        </w:tc>
        <w:tc>
          <w:tcPr>
            <w:tcW w:w="993" w:type="dxa"/>
            <w:shd w:val="clear" w:color="auto" w:fill="D5DCE4" w:themeFill="text2" w:themeFillTint="33"/>
          </w:tcPr>
          <w:p w14:paraId="20C050C2"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50.1</w:t>
            </w:r>
          </w:p>
        </w:tc>
        <w:tc>
          <w:tcPr>
            <w:tcW w:w="1134" w:type="dxa"/>
            <w:shd w:val="clear" w:color="auto" w:fill="FBE4D5" w:themeFill="accent2" w:themeFillTint="33"/>
          </w:tcPr>
          <w:p w14:paraId="0CE6F01B"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43.9</w:t>
            </w:r>
          </w:p>
        </w:tc>
        <w:tc>
          <w:tcPr>
            <w:tcW w:w="992" w:type="dxa"/>
            <w:shd w:val="clear" w:color="auto" w:fill="FBE4D5" w:themeFill="accent2" w:themeFillTint="33"/>
          </w:tcPr>
          <w:p w14:paraId="1295F62E" w14:textId="77777777" w:rsidR="005D4F00" w:rsidRPr="001C2F3D" w:rsidRDefault="005D4F00" w:rsidP="00AD0E87">
            <w:pPr>
              <w:jc w:val="both"/>
              <w:rPr>
                <w:rFonts w:ascii="Times New Roman" w:hAnsi="Times New Roman" w:cs="Times New Roman"/>
                <w:sz w:val="20"/>
                <w:szCs w:val="20"/>
              </w:rPr>
            </w:pPr>
            <w:r w:rsidRPr="001C2F3D">
              <w:rPr>
                <w:rFonts w:ascii="Times New Roman" w:hAnsi="Times New Roman" w:cs="Times New Roman"/>
                <w:sz w:val="20"/>
                <w:szCs w:val="20"/>
              </w:rPr>
              <w:t>52.0</w:t>
            </w:r>
          </w:p>
        </w:tc>
      </w:tr>
    </w:tbl>
    <w:p w14:paraId="34FB6022" w14:textId="77777777" w:rsidR="005D4F00" w:rsidRPr="001C2F3D" w:rsidRDefault="005D4F00" w:rsidP="00AD0E87">
      <w:pPr>
        <w:spacing w:line="240" w:lineRule="auto"/>
        <w:jc w:val="both"/>
        <w:rPr>
          <w:rFonts w:ascii="Times New Roman" w:hAnsi="Times New Roman" w:cs="Times New Roman"/>
          <w:b/>
          <w:sz w:val="20"/>
          <w:szCs w:val="20"/>
        </w:rPr>
      </w:pPr>
    </w:p>
    <w:p w14:paraId="2AA3C2AF" w14:textId="77777777" w:rsidR="00E54AD4" w:rsidRPr="001C2F3D" w:rsidRDefault="00E54AD4" w:rsidP="008F613E">
      <w:pPr>
        <w:spacing w:line="240" w:lineRule="auto"/>
        <w:ind w:left="720" w:firstLine="720"/>
        <w:jc w:val="both"/>
        <w:rPr>
          <w:rFonts w:ascii="Times New Roman" w:hAnsi="Times New Roman" w:cs="Times New Roman"/>
          <w:sz w:val="20"/>
          <w:szCs w:val="20"/>
        </w:rPr>
      </w:pPr>
      <w:r w:rsidRPr="001C2F3D">
        <w:rPr>
          <w:rFonts w:ascii="Times New Roman" w:hAnsi="Times New Roman" w:cs="Times New Roman"/>
          <w:b/>
          <w:sz w:val="20"/>
          <w:szCs w:val="20"/>
        </w:rPr>
        <w:t>Source:</w:t>
      </w:r>
      <w:r w:rsidRPr="001C2F3D">
        <w:rPr>
          <w:rFonts w:ascii="Times New Roman" w:hAnsi="Times New Roman" w:cs="Times New Roman"/>
          <w:sz w:val="20"/>
          <w:szCs w:val="20"/>
        </w:rPr>
        <w:t xml:space="preserve"> National Family Health Survey – 4 &amp; 5</w:t>
      </w:r>
    </w:p>
    <w:p w14:paraId="7818B5F9" w14:textId="77777777" w:rsidR="0011208A" w:rsidRDefault="0011208A" w:rsidP="0011208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Table -5 describes child mortality rates. India’s child mortality rate was falling down from last few decades. Always the rural child mortality rate is higher than the urban </w:t>
      </w:r>
      <w:proofErr w:type="spellStart"/>
      <w:r>
        <w:rPr>
          <w:rFonts w:ascii="Times New Roman" w:hAnsi="Times New Roman" w:cs="Times New Roman"/>
          <w:sz w:val="20"/>
          <w:szCs w:val="20"/>
        </w:rPr>
        <w:t>moratality</w:t>
      </w:r>
      <w:proofErr w:type="spellEnd"/>
      <w:r>
        <w:rPr>
          <w:rFonts w:ascii="Times New Roman" w:hAnsi="Times New Roman" w:cs="Times New Roman"/>
          <w:sz w:val="20"/>
          <w:szCs w:val="20"/>
        </w:rPr>
        <w:t xml:space="preserve">. The rural neonatal mortality rate was declined from 33.1 to 27.5 and urban mortality was declined from 20.1 to 18.0 per 1000 live births in both surveys. This neonatal is dying </w:t>
      </w:r>
      <w:proofErr w:type="spellStart"/>
      <w:r>
        <w:rPr>
          <w:rFonts w:ascii="Times New Roman" w:hAnsi="Times New Roman" w:cs="Times New Roman"/>
          <w:sz w:val="20"/>
          <w:szCs w:val="20"/>
        </w:rPr>
        <w:t>befor</w:t>
      </w:r>
      <w:proofErr w:type="spellEnd"/>
      <w:r>
        <w:rPr>
          <w:rFonts w:ascii="Times New Roman" w:hAnsi="Times New Roman" w:cs="Times New Roman"/>
          <w:sz w:val="20"/>
          <w:szCs w:val="20"/>
        </w:rPr>
        <w:t xml:space="preserve"> the reaching their 28 days of life. The rural infant mortality rate was declined from 45.5 to 38.4 and urbanely declined from 28.5 to 26.6 per thousand live births in surveys, this infant dying below one year age of life. The rural under five mortality rate was declined from 55.8 to 45.7, urbanely declined from 34.4 to 31.5 per thousand live births in surveys, </w:t>
      </w:r>
      <w:proofErr w:type="gramStart"/>
      <w:r>
        <w:rPr>
          <w:rFonts w:ascii="Times New Roman" w:hAnsi="Times New Roman" w:cs="Times New Roman"/>
          <w:sz w:val="20"/>
          <w:szCs w:val="20"/>
        </w:rPr>
        <w:t>this children</w:t>
      </w:r>
      <w:proofErr w:type="gramEnd"/>
      <w:r>
        <w:rPr>
          <w:rFonts w:ascii="Times New Roman" w:hAnsi="Times New Roman" w:cs="Times New Roman"/>
          <w:sz w:val="20"/>
          <w:szCs w:val="20"/>
        </w:rPr>
        <w:t xml:space="preserve"> dying under the five year age of life. Overall child mortality is slightly step by step declining in India. </w:t>
      </w:r>
    </w:p>
    <w:p w14:paraId="0743DC6B" w14:textId="516B9FA8" w:rsidR="0011208A" w:rsidRDefault="0011208A" w:rsidP="00AD0E87">
      <w:pPr>
        <w:spacing w:line="240" w:lineRule="auto"/>
        <w:jc w:val="both"/>
        <w:rPr>
          <w:rFonts w:ascii="Times New Roman" w:hAnsi="Times New Roman" w:cs="Times New Roman"/>
          <w:b/>
          <w:sz w:val="20"/>
          <w:szCs w:val="20"/>
        </w:rPr>
      </w:pPr>
    </w:p>
    <w:p w14:paraId="5F4222FA" w14:textId="77777777" w:rsidR="006C7A46" w:rsidRPr="001C2F3D" w:rsidRDefault="00660F28" w:rsidP="00726A0A">
      <w:pPr>
        <w:spacing w:line="240" w:lineRule="auto"/>
        <w:jc w:val="center"/>
        <w:rPr>
          <w:rFonts w:ascii="Times New Roman" w:hAnsi="Times New Roman" w:cs="Times New Roman"/>
          <w:b/>
          <w:sz w:val="20"/>
          <w:szCs w:val="20"/>
        </w:rPr>
      </w:pPr>
      <w:r w:rsidRPr="001C2F3D">
        <w:rPr>
          <w:rFonts w:ascii="Times New Roman" w:hAnsi="Times New Roman" w:cs="Times New Roman"/>
          <w:b/>
          <w:sz w:val="20"/>
          <w:szCs w:val="20"/>
        </w:rPr>
        <w:t xml:space="preserve">Table – 5: </w:t>
      </w:r>
      <w:r w:rsidR="006C7A46" w:rsidRPr="001C2F3D">
        <w:rPr>
          <w:rFonts w:ascii="Times New Roman" w:hAnsi="Times New Roman" w:cs="Times New Roman"/>
          <w:b/>
          <w:sz w:val="20"/>
          <w:szCs w:val="20"/>
        </w:rPr>
        <w:t>Child Mortality</w:t>
      </w:r>
      <w:r w:rsidR="00A42C57" w:rsidRPr="001C2F3D">
        <w:rPr>
          <w:rFonts w:ascii="Times New Roman" w:hAnsi="Times New Roman" w:cs="Times New Roman"/>
          <w:b/>
          <w:sz w:val="20"/>
          <w:szCs w:val="20"/>
        </w:rPr>
        <w:t xml:space="preserve"> (per 1000 live births)</w:t>
      </w:r>
    </w:p>
    <w:tbl>
      <w:tblPr>
        <w:tblStyle w:val="TableGrid"/>
        <w:tblpPr w:leftFromText="180" w:rightFromText="180" w:vertAnchor="text" w:horzAnchor="margin" w:tblpXSpec="center" w:tblpY="116"/>
        <w:tblOverlap w:val="never"/>
        <w:tblW w:w="7933" w:type="dxa"/>
        <w:tblLook w:val="04A0" w:firstRow="1" w:lastRow="0" w:firstColumn="1" w:lastColumn="0" w:noHBand="0" w:noVBand="1"/>
      </w:tblPr>
      <w:tblGrid>
        <w:gridCol w:w="806"/>
        <w:gridCol w:w="2865"/>
        <w:gridCol w:w="1002"/>
        <w:gridCol w:w="1093"/>
        <w:gridCol w:w="1033"/>
        <w:gridCol w:w="1134"/>
      </w:tblGrid>
      <w:tr w:rsidR="00F32DF8" w:rsidRPr="001C2F3D" w14:paraId="5F560865" w14:textId="77777777" w:rsidTr="00085529">
        <w:trPr>
          <w:trHeight w:val="408"/>
        </w:trPr>
        <w:tc>
          <w:tcPr>
            <w:tcW w:w="806" w:type="dxa"/>
            <w:vMerge w:val="restart"/>
            <w:shd w:val="clear" w:color="auto" w:fill="DEEAF6" w:themeFill="accent1" w:themeFillTint="33"/>
          </w:tcPr>
          <w:p w14:paraId="0744C497" w14:textId="77777777" w:rsidR="003467C6" w:rsidRPr="001C2F3D" w:rsidRDefault="003467C6" w:rsidP="00AD0E87">
            <w:pPr>
              <w:jc w:val="both"/>
              <w:rPr>
                <w:rFonts w:ascii="Times New Roman" w:hAnsi="Times New Roman" w:cs="Times New Roman"/>
                <w:b/>
                <w:sz w:val="20"/>
                <w:szCs w:val="20"/>
              </w:rPr>
            </w:pPr>
          </w:p>
          <w:p w14:paraId="74367A51" w14:textId="77777777" w:rsidR="00F32DF8" w:rsidRPr="001C2F3D" w:rsidRDefault="00F32DF8" w:rsidP="00AD0E87">
            <w:pPr>
              <w:jc w:val="both"/>
              <w:rPr>
                <w:rFonts w:ascii="Times New Roman" w:hAnsi="Times New Roman" w:cs="Times New Roman"/>
                <w:b/>
                <w:sz w:val="20"/>
                <w:szCs w:val="20"/>
              </w:rPr>
            </w:pPr>
            <w:r w:rsidRPr="001C2F3D">
              <w:rPr>
                <w:rFonts w:ascii="Times New Roman" w:hAnsi="Times New Roman" w:cs="Times New Roman"/>
                <w:b/>
                <w:sz w:val="20"/>
                <w:szCs w:val="20"/>
              </w:rPr>
              <w:t>S.</w:t>
            </w:r>
            <w:r w:rsidR="003467C6" w:rsidRPr="001C2F3D">
              <w:rPr>
                <w:rFonts w:ascii="Times New Roman" w:hAnsi="Times New Roman" w:cs="Times New Roman"/>
                <w:b/>
                <w:sz w:val="20"/>
                <w:szCs w:val="20"/>
              </w:rPr>
              <w:t xml:space="preserve"> </w:t>
            </w:r>
            <w:r w:rsidRPr="001C2F3D">
              <w:rPr>
                <w:rFonts w:ascii="Times New Roman" w:hAnsi="Times New Roman" w:cs="Times New Roman"/>
                <w:b/>
                <w:sz w:val="20"/>
                <w:szCs w:val="20"/>
              </w:rPr>
              <w:t>No</w:t>
            </w:r>
          </w:p>
        </w:tc>
        <w:tc>
          <w:tcPr>
            <w:tcW w:w="2865" w:type="dxa"/>
            <w:vMerge w:val="restart"/>
            <w:shd w:val="clear" w:color="auto" w:fill="DEEAF6" w:themeFill="accent1" w:themeFillTint="33"/>
          </w:tcPr>
          <w:p w14:paraId="68FF6EBC" w14:textId="77777777" w:rsidR="00F32DF8" w:rsidRPr="001C2F3D" w:rsidRDefault="00F32DF8" w:rsidP="00AD0E87">
            <w:pPr>
              <w:jc w:val="both"/>
              <w:rPr>
                <w:rFonts w:ascii="Times New Roman" w:hAnsi="Times New Roman" w:cs="Times New Roman"/>
                <w:b/>
                <w:sz w:val="20"/>
                <w:szCs w:val="20"/>
              </w:rPr>
            </w:pPr>
          </w:p>
          <w:p w14:paraId="2A47FF22"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Indicators</w:t>
            </w:r>
          </w:p>
        </w:tc>
        <w:tc>
          <w:tcPr>
            <w:tcW w:w="2095" w:type="dxa"/>
            <w:gridSpan w:val="2"/>
            <w:shd w:val="clear" w:color="auto" w:fill="DEEAF6" w:themeFill="accent1" w:themeFillTint="33"/>
          </w:tcPr>
          <w:p w14:paraId="27139737"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4 </w:t>
            </w:r>
            <w:r w:rsidRPr="001C2F3D">
              <w:rPr>
                <w:rFonts w:ascii="Times New Roman" w:hAnsi="Times New Roman" w:cs="Times New Roman"/>
                <w:sz w:val="20"/>
                <w:szCs w:val="20"/>
              </w:rPr>
              <w:t>(2015 – 16)</w:t>
            </w:r>
          </w:p>
        </w:tc>
        <w:tc>
          <w:tcPr>
            <w:tcW w:w="2167" w:type="dxa"/>
            <w:gridSpan w:val="2"/>
            <w:shd w:val="clear" w:color="auto" w:fill="FBE4D5" w:themeFill="accent2" w:themeFillTint="33"/>
          </w:tcPr>
          <w:p w14:paraId="359CE6FB" w14:textId="77777777" w:rsidR="00F32DF8" w:rsidRPr="001C2F3D" w:rsidRDefault="00F32DF8" w:rsidP="00AD0E87">
            <w:pPr>
              <w:jc w:val="center"/>
              <w:rPr>
                <w:rFonts w:ascii="Times New Roman" w:hAnsi="Times New Roman" w:cs="Times New Roman"/>
                <w:b/>
                <w:sz w:val="20"/>
                <w:szCs w:val="20"/>
              </w:rPr>
            </w:pPr>
            <w:r w:rsidRPr="001C2F3D">
              <w:rPr>
                <w:rFonts w:ascii="Times New Roman" w:hAnsi="Times New Roman" w:cs="Times New Roman"/>
                <w:b/>
                <w:sz w:val="20"/>
                <w:szCs w:val="20"/>
              </w:rPr>
              <w:t xml:space="preserve">NFHS – 5 </w:t>
            </w:r>
            <w:r w:rsidRPr="001C2F3D">
              <w:rPr>
                <w:rFonts w:ascii="Times New Roman" w:hAnsi="Times New Roman" w:cs="Times New Roman"/>
                <w:sz w:val="20"/>
                <w:szCs w:val="20"/>
              </w:rPr>
              <w:t>(2019 – 21)</w:t>
            </w:r>
          </w:p>
        </w:tc>
      </w:tr>
      <w:tr w:rsidR="00085529" w:rsidRPr="001C2F3D" w14:paraId="35009093" w14:textId="77777777" w:rsidTr="00085529">
        <w:trPr>
          <w:trHeight w:val="438"/>
        </w:trPr>
        <w:tc>
          <w:tcPr>
            <w:tcW w:w="806" w:type="dxa"/>
            <w:vMerge/>
            <w:shd w:val="clear" w:color="auto" w:fill="DEEAF6" w:themeFill="accent1" w:themeFillTint="33"/>
          </w:tcPr>
          <w:p w14:paraId="028CE309" w14:textId="77777777" w:rsidR="00085529" w:rsidRPr="001C2F3D" w:rsidRDefault="00085529" w:rsidP="00AD0E87">
            <w:pPr>
              <w:jc w:val="both"/>
              <w:rPr>
                <w:rFonts w:ascii="Times New Roman" w:hAnsi="Times New Roman" w:cs="Times New Roman"/>
                <w:b/>
                <w:sz w:val="20"/>
                <w:szCs w:val="20"/>
              </w:rPr>
            </w:pPr>
          </w:p>
        </w:tc>
        <w:tc>
          <w:tcPr>
            <w:tcW w:w="2865" w:type="dxa"/>
            <w:vMerge/>
            <w:shd w:val="clear" w:color="auto" w:fill="DEEAF6" w:themeFill="accent1" w:themeFillTint="33"/>
          </w:tcPr>
          <w:p w14:paraId="71EE89A9" w14:textId="77777777" w:rsidR="00085529" w:rsidRPr="001C2F3D" w:rsidRDefault="00085529" w:rsidP="00AD0E87">
            <w:pPr>
              <w:jc w:val="both"/>
              <w:rPr>
                <w:rFonts w:ascii="Times New Roman" w:hAnsi="Times New Roman" w:cs="Times New Roman"/>
                <w:b/>
                <w:sz w:val="20"/>
                <w:szCs w:val="20"/>
              </w:rPr>
            </w:pPr>
          </w:p>
        </w:tc>
        <w:tc>
          <w:tcPr>
            <w:tcW w:w="1002" w:type="dxa"/>
            <w:shd w:val="clear" w:color="auto" w:fill="DEEAF6" w:themeFill="accent1" w:themeFillTint="33"/>
          </w:tcPr>
          <w:p w14:paraId="67241DD8" w14:textId="77777777" w:rsidR="00085529" w:rsidRPr="001C2F3D" w:rsidRDefault="00085529" w:rsidP="00AD0E87">
            <w:pPr>
              <w:jc w:val="both"/>
              <w:rPr>
                <w:rFonts w:ascii="Times New Roman" w:hAnsi="Times New Roman" w:cs="Times New Roman"/>
                <w:b/>
                <w:sz w:val="20"/>
                <w:szCs w:val="20"/>
              </w:rPr>
            </w:pPr>
            <w:r w:rsidRPr="001C2F3D">
              <w:rPr>
                <w:rFonts w:ascii="Times New Roman" w:hAnsi="Times New Roman" w:cs="Times New Roman"/>
                <w:b/>
                <w:sz w:val="20"/>
                <w:szCs w:val="20"/>
              </w:rPr>
              <w:t xml:space="preserve">Rural </w:t>
            </w:r>
          </w:p>
        </w:tc>
        <w:tc>
          <w:tcPr>
            <w:tcW w:w="1093" w:type="dxa"/>
            <w:shd w:val="clear" w:color="auto" w:fill="DEEAF6" w:themeFill="accent1" w:themeFillTint="33"/>
          </w:tcPr>
          <w:p w14:paraId="6F99C534" w14:textId="77777777" w:rsidR="00085529" w:rsidRPr="001C2F3D" w:rsidRDefault="00085529"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c>
          <w:tcPr>
            <w:tcW w:w="1033" w:type="dxa"/>
            <w:shd w:val="clear" w:color="auto" w:fill="FBE4D5" w:themeFill="accent2" w:themeFillTint="33"/>
          </w:tcPr>
          <w:p w14:paraId="2483295E" w14:textId="77777777" w:rsidR="00085529" w:rsidRPr="001C2F3D" w:rsidRDefault="00085529" w:rsidP="00AD0E87">
            <w:pPr>
              <w:jc w:val="both"/>
              <w:rPr>
                <w:rFonts w:ascii="Times New Roman" w:hAnsi="Times New Roman" w:cs="Times New Roman"/>
                <w:b/>
                <w:sz w:val="20"/>
                <w:szCs w:val="20"/>
              </w:rPr>
            </w:pPr>
            <w:r w:rsidRPr="001C2F3D">
              <w:rPr>
                <w:rFonts w:ascii="Times New Roman" w:hAnsi="Times New Roman" w:cs="Times New Roman"/>
                <w:b/>
                <w:sz w:val="20"/>
                <w:szCs w:val="20"/>
              </w:rPr>
              <w:t>Rural</w:t>
            </w:r>
          </w:p>
        </w:tc>
        <w:tc>
          <w:tcPr>
            <w:tcW w:w="1134" w:type="dxa"/>
            <w:shd w:val="clear" w:color="auto" w:fill="FBE4D5" w:themeFill="accent2" w:themeFillTint="33"/>
          </w:tcPr>
          <w:p w14:paraId="56D6C481" w14:textId="77777777" w:rsidR="00085529" w:rsidRPr="001C2F3D" w:rsidRDefault="00085529" w:rsidP="00AD0E87">
            <w:pPr>
              <w:jc w:val="both"/>
              <w:rPr>
                <w:rFonts w:ascii="Times New Roman" w:hAnsi="Times New Roman" w:cs="Times New Roman"/>
                <w:b/>
                <w:sz w:val="20"/>
                <w:szCs w:val="20"/>
              </w:rPr>
            </w:pPr>
            <w:r w:rsidRPr="001C2F3D">
              <w:rPr>
                <w:rFonts w:ascii="Times New Roman" w:hAnsi="Times New Roman" w:cs="Times New Roman"/>
                <w:b/>
                <w:sz w:val="20"/>
                <w:szCs w:val="20"/>
              </w:rPr>
              <w:t>Urban</w:t>
            </w:r>
          </w:p>
        </w:tc>
      </w:tr>
      <w:tr w:rsidR="00085529" w:rsidRPr="001C2F3D" w14:paraId="239C7146" w14:textId="77777777" w:rsidTr="00085529">
        <w:trPr>
          <w:trHeight w:val="408"/>
        </w:trPr>
        <w:tc>
          <w:tcPr>
            <w:tcW w:w="806" w:type="dxa"/>
            <w:shd w:val="clear" w:color="auto" w:fill="DEEAF6" w:themeFill="accent1" w:themeFillTint="33"/>
          </w:tcPr>
          <w:p w14:paraId="71B71FEE"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1</w:t>
            </w:r>
          </w:p>
        </w:tc>
        <w:tc>
          <w:tcPr>
            <w:tcW w:w="2865" w:type="dxa"/>
            <w:shd w:val="clear" w:color="auto" w:fill="DEEAF6" w:themeFill="accent1" w:themeFillTint="33"/>
          </w:tcPr>
          <w:p w14:paraId="1950E712"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Neonatal mortality rate (NNMR)</w:t>
            </w:r>
          </w:p>
        </w:tc>
        <w:tc>
          <w:tcPr>
            <w:tcW w:w="1002" w:type="dxa"/>
            <w:shd w:val="clear" w:color="auto" w:fill="DEEAF6" w:themeFill="accent1" w:themeFillTint="33"/>
          </w:tcPr>
          <w:p w14:paraId="4FBD6FE2"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33.1</w:t>
            </w:r>
          </w:p>
        </w:tc>
        <w:tc>
          <w:tcPr>
            <w:tcW w:w="1093" w:type="dxa"/>
            <w:shd w:val="clear" w:color="auto" w:fill="DEEAF6" w:themeFill="accent1" w:themeFillTint="33"/>
          </w:tcPr>
          <w:p w14:paraId="317A22D8"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20.1</w:t>
            </w:r>
          </w:p>
        </w:tc>
        <w:tc>
          <w:tcPr>
            <w:tcW w:w="1033" w:type="dxa"/>
            <w:shd w:val="clear" w:color="auto" w:fill="FBE4D5" w:themeFill="accent2" w:themeFillTint="33"/>
          </w:tcPr>
          <w:p w14:paraId="11480439"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27.5</w:t>
            </w:r>
          </w:p>
        </w:tc>
        <w:tc>
          <w:tcPr>
            <w:tcW w:w="1134" w:type="dxa"/>
            <w:shd w:val="clear" w:color="auto" w:fill="FBE4D5" w:themeFill="accent2" w:themeFillTint="33"/>
          </w:tcPr>
          <w:p w14:paraId="12D6AAFE"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18.0</w:t>
            </w:r>
          </w:p>
        </w:tc>
      </w:tr>
      <w:tr w:rsidR="00085529" w:rsidRPr="001C2F3D" w14:paraId="0836626E" w14:textId="77777777" w:rsidTr="00085529">
        <w:trPr>
          <w:trHeight w:val="408"/>
        </w:trPr>
        <w:tc>
          <w:tcPr>
            <w:tcW w:w="806" w:type="dxa"/>
            <w:shd w:val="clear" w:color="auto" w:fill="DEEAF6" w:themeFill="accent1" w:themeFillTint="33"/>
          </w:tcPr>
          <w:p w14:paraId="43B25B0D"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2</w:t>
            </w:r>
          </w:p>
        </w:tc>
        <w:tc>
          <w:tcPr>
            <w:tcW w:w="2865" w:type="dxa"/>
            <w:shd w:val="clear" w:color="auto" w:fill="DEEAF6" w:themeFill="accent1" w:themeFillTint="33"/>
          </w:tcPr>
          <w:p w14:paraId="2C5BECA6"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Infant mortality rate (IMR)</w:t>
            </w:r>
          </w:p>
        </w:tc>
        <w:tc>
          <w:tcPr>
            <w:tcW w:w="1002" w:type="dxa"/>
            <w:shd w:val="clear" w:color="auto" w:fill="DEEAF6" w:themeFill="accent1" w:themeFillTint="33"/>
          </w:tcPr>
          <w:p w14:paraId="5D92577F"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45.5</w:t>
            </w:r>
          </w:p>
        </w:tc>
        <w:tc>
          <w:tcPr>
            <w:tcW w:w="1093" w:type="dxa"/>
            <w:shd w:val="clear" w:color="auto" w:fill="DEEAF6" w:themeFill="accent1" w:themeFillTint="33"/>
          </w:tcPr>
          <w:p w14:paraId="52339002"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28.5</w:t>
            </w:r>
          </w:p>
        </w:tc>
        <w:tc>
          <w:tcPr>
            <w:tcW w:w="1033" w:type="dxa"/>
            <w:shd w:val="clear" w:color="auto" w:fill="FBE4D5" w:themeFill="accent2" w:themeFillTint="33"/>
          </w:tcPr>
          <w:p w14:paraId="6DE94F64"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38.4</w:t>
            </w:r>
          </w:p>
        </w:tc>
        <w:tc>
          <w:tcPr>
            <w:tcW w:w="1134" w:type="dxa"/>
            <w:shd w:val="clear" w:color="auto" w:fill="FBE4D5" w:themeFill="accent2" w:themeFillTint="33"/>
          </w:tcPr>
          <w:p w14:paraId="2A978FFD"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26.6</w:t>
            </w:r>
          </w:p>
        </w:tc>
      </w:tr>
      <w:tr w:rsidR="00085529" w:rsidRPr="001C2F3D" w14:paraId="61DE0ECF" w14:textId="77777777" w:rsidTr="00085529">
        <w:trPr>
          <w:trHeight w:val="408"/>
        </w:trPr>
        <w:tc>
          <w:tcPr>
            <w:tcW w:w="806" w:type="dxa"/>
            <w:shd w:val="clear" w:color="auto" w:fill="DEEAF6" w:themeFill="accent1" w:themeFillTint="33"/>
          </w:tcPr>
          <w:p w14:paraId="296AD7AD"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3</w:t>
            </w:r>
          </w:p>
        </w:tc>
        <w:tc>
          <w:tcPr>
            <w:tcW w:w="2865" w:type="dxa"/>
            <w:shd w:val="clear" w:color="auto" w:fill="DEEAF6" w:themeFill="accent1" w:themeFillTint="33"/>
          </w:tcPr>
          <w:p w14:paraId="02E0C6CB"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 xml:space="preserve">Under – five mortality </w:t>
            </w:r>
            <w:proofErr w:type="gramStart"/>
            <w:r w:rsidRPr="001C2F3D">
              <w:rPr>
                <w:rFonts w:ascii="Times New Roman" w:hAnsi="Times New Roman" w:cs="Times New Roman"/>
                <w:sz w:val="20"/>
                <w:szCs w:val="20"/>
              </w:rPr>
              <w:t>rate</w:t>
            </w:r>
            <w:proofErr w:type="gramEnd"/>
            <w:r w:rsidRPr="001C2F3D">
              <w:rPr>
                <w:rFonts w:ascii="Times New Roman" w:hAnsi="Times New Roman" w:cs="Times New Roman"/>
                <w:sz w:val="20"/>
                <w:szCs w:val="20"/>
              </w:rPr>
              <w:t xml:space="preserve"> (U5MR)</w:t>
            </w:r>
          </w:p>
        </w:tc>
        <w:tc>
          <w:tcPr>
            <w:tcW w:w="1002" w:type="dxa"/>
            <w:shd w:val="clear" w:color="auto" w:fill="DEEAF6" w:themeFill="accent1" w:themeFillTint="33"/>
          </w:tcPr>
          <w:p w14:paraId="0436FD0B"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55.8</w:t>
            </w:r>
          </w:p>
        </w:tc>
        <w:tc>
          <w:tcPr>
            <w:tcW w:w="1093" w:type="dxa"/>
            <w:shd w:val="clear" w:color="auto" w:fill="DEEAF6" w:themeFill="accent1" w:themeFillTint="33"/>
          </w:tcPr>
          <w:p w14:paraId="4C963151" w14:textId="77777777" w:rsidR="00085529" w:rsidRPr="001C2F3D" w:rsidRDefault="00085529" w:rsidP="00AD0E87">
            <w:pPr>
              <w:pStyle w:val="NoSpacing"/>
              <w:rPr>
                <w:sz w:val="20"/>
                <w:szCs w:val="20"/>
              </w:rPr>
            </w:pPr>
            <w:r w:rsidRPr="001C2F3D">
              <w:rPr>
                <w:sz w:val="20"/>
                <w:szCs w:val="20"/>
              </w:rPr>
              <w:t>34.4</w:t>
            </w:r>
          </w:p>
        </w:tc>
        <w:tc>
          <w:tcPr>
            <w:tcW w:w="1033" w:type="dxa"/>
            <w:shd w:val="clear" w:color="auto" w:fill="FBE4D5" w:themeFill="accent2" w:themeFillTint="33"/>
          </w:tcPr>
          <w:p w14:paraId="3A9E7634"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45.7</w:t>
            </w:r>
          </w:p>
        </w:tc>
        <w:tc>
          <w:tcPr>
            <w:tcW w:w="1134" w:type="dxa"/>
            <w:shd w:val="clear" w:color="auto" w:fill="FBE4D5" w:themeFill="accent2" w:themeFillTint="33"/>
          </w:tcPr>
          <w:p w14:paraId="6C296CC6" w14:textId="77777777" w:rsidR="00085529" w:rsidRPr="001C2F3D" w:rsidRDefault="00085529" w:rsidP="00AD0E87">
            <w:pPr>
              <w:jc w:val="both"/>
              <w:rPr>
                <w:rFonts w:ascii="Times New Roman" w:hAnsi="Times New Roman" w:cs="Times New Roman"/>
                <w:sz w:val="20"/>
                <w:szCs w:val="20"/>
              </w:rPr>
            </w:pPr>
            <w:r w:rsidRPr="001C2F3D">
              <w:rPr>
                <w:rFonts w:ascii="Times New Roman" w:hAnsi="Times New Roman" w:cs="Times New Roman"/>
                <w:sz w:val="20"/>
                <w:szCs w:val="20"/>
              </w:rPr>
              <w:t>31.5</w:t>
            </w:r>
          </w:p>
        </w:tc>
      </w:tr>
    </w:tbl>
    <w:p w14:paraId="1EEAF5B7" w14:textId="77777777" w:rsidR="0060003E" w:rsidRDefault="0060003E" w:rsidP="00AD0E87">
      <w:pPr>
        <w:spacing w:line="240" w:lineRule="auto"/>
        <w:jc w:val="both"/>
        <w:rPr>
          <w:rFonts w:ascii="Times New Roman" w:hAnsi="Times New Roman" w:cs="Times New Roman"/>
          <w:b/>
          <w:sz w:val="20"/>
          <w:szCs w:val="20"/>
        </w:rPr>
      </w:pPr>
    </w:p>
    <w:p w14:paraId="36E13124" w14:textId="77777777" w:rsidR="0060003E" w:rsidRDefault="0060003E" w:rsidP="00AD0E87">
      <w:pPr>
        <w:spacing w:line="240" w:lineRule="auto"/>
        <w:jc w:val="both"/>
        <w:rPr>
          <w:rFonts w:ascii="Times New Roman" w:hAnsi="Times New Roman" w:cs="Times New Roman"/>
          <w:b/>
          <w:sz w:val="20"/>
          <w:szCs w:val="20"/>
        </w:rPr>
      </w:pPr>
    </w:p>
    <w:p w14:paraId="78270CBD" w14:textId="77777777" w:rsidR="0060003E" w:rsidRDefault="0060003E" w:rsidP="00AD0E87">
      <w:pPr>
        <w:spacing w:line="240" w:lineRule="auto"/>
        <w:jc w:val="both"/>
        <w:rPr>
          <w:rFonts w:ascii="Times New Roman" w:hAnsi="Times New Roman" w:cs="Times New Roman"/>
          <w:b/>
          <w:sz w:val="20"/>
          <w:szCs w:val="20"/>
        </w:rPr>
      </w:pPr>
    </w:p>
    <w:p w14:paraId="0D20A6A0" w14:textId="77777777" w:rsidR="0060003E" w:rsidRDefault="0060003E" w:rsidP="00AD0E87">
      <w:pPr>
        <w:spacing w:line="240" w:lineRule="auto"/>
        <w:jc w:val="both"/>
        <w:rPr>
          <w:rFonts w:ascii="Times New Roman" w:hAnsi="Times New Roman" w:cs="Times New Roman"/>
          <w:b/>
          <w:sz w:val="20"/>
          <w:szCs w:val="20"/>
        </w:rPr>
      </w:pPr>
    </w:p>
    <w:p w14:paraId="38A4F442" w14:textId="77777777" w:rsidR="0060003E" w:rsidRDefault="0060003E" w:rsidP="00AD0E87">
      <w:pPr>
        <w:spacing w:line="240" w:lineRule="auto"/>
        <w:jc w:val="both"/>
        <w:rPr>
          <w:rFonts w:ascii="Times New Roman" w:hAnsi="Times New Roman" w:cs="Times New Roman"/>
          <w:b/>
          <w:sz w:val="20"/>
          <w:szCs w:val="20"/>
        </w:rPr>
      </w:pPr>
    </w:p>
    <w:p w14:paraId="2B3B614B" w14:textId="77777777" w:rsidR="0060003E" w:rsidRDefault="0060003E" w:rsidP="00AD0E87">
      <w:pPr>
        <w:spacing w:line="240" w:lineRule="auto"/>
        <w:jc w:val="both"/>
        <w:rPr>
          <w:rFonts w:ascii="Times New Roman" w:hAnsi="Times New Roman" w:cs="Times New Roman"/>
          <w:b/>
          <w:sz w:val="20"/>
          <w:szCs w:val="20"/>
        </w:rPr>
      </w:pPr>
    </w:p>
    <w:p w14:paraId="20104181" w14:textId="160FFEDC" w:rsidR="00A42C57" w:rsidRDefault="00A22F0D" w:rsidP="0060003E">
      <w:pPr>
        <w:spacing w:line="240" w:lineRule="auto"/>
        <w:ind w:left="720" w:firstLine="720"/>
        <w:jc w:val="both"/>
        <w:rPr>
          <w:rFonts w:ascii="Times New Roman" w:hAnsi="Times New Roman" w:cs="Times New Roman"/>
          <w:sz w:val="20"/>
          <w:szCs w:val="20"/>
        </w:rPr>
      </w:pPr>
      <w:r w:rsidRPr="001C2F3D">
        <w:rPr>
          <w:rFonts w:ascii="Times New Roman" w:hAnsi="Times New Roman" w:cs="Times New Roman"/>
          <w:b/>
          <w:sz w:val="20"/>
          <w:szCs w:val="20"/>
        </w:rPr>
        <w:t>Source:</w:t>
      </w:r>
      <w:r w:rsidRPr="001C2F3D">
        <w:rPr>
          <w:rFonts w:ascii="Times New Roman" w:hAnsi="Times New Roman" w:cs="Times New Roman"/>
          <w:sz w:val="20"/>
          <w:szCs w:val="20"/>
        </w:rPr>
        <w:t xml:space="preserve"> National Family Health Survey – 4 &amp; 5</w:t>
      </w:r>
    </w:p>
    <w:p w14:paraId="5144AA57" w14:textId="77777777" w:rsidR="00DD54EA" w:rsidRPr="001C2F3D" w:rsidRDefault="004A2CA3" w:rsidP="00DD54EA">
      <w:pPr>
        <w:spacing w:line="240" w:lineRule="auto"/>
        <w:jc w:val="center"/>
        <w:rPr>
          <w:rFonts w:ascii="Times New Roman" w:hAnsi="Times New Roman" w:cs="Times New Roman"/>
          <w:sz w:val="20"/>
          <w:szCs w:val="20"/>
        </w:rPr>
      </w:pPr>
      <w:r>
        <w:rPr>
          <w:rFonts w:ascii="Times New Roman" w:hAnsi="Times New Roman" w:cs="Times New Roman"/>
          <w:b/>
          <w:sz w:val="20"/>
          <w:szCs w:val="20"/>
        </w:rPr>
        <w:t>V</w:t>
      </w:r>
      <w:r w:rsidR="00135C0C" w:rsidRPr="001C2F3D">
        <w:rPr>
          <w:rFonts w:ascii="Times New Roman" w:hAnsi="Times New Roman" w:cs="Times New Roman"/>
          <w:b/>
          <w:sz w:val="20"/>
          <w:szCs w:val="20"/>
        </w:rPr>
        <w:t>.</w:t>
      </w:r>
      <w:r w:rsidRPr="001C2F3D">
        <w:rPr>
          <w:rFonts w:ascii="Times New Roman" w:hAnsi="Times New Roman" w:cs="Times New Roman"/>
          <w:b/>
          <w:sz w:val="20"/>
          <w:szCs w:val="20"/>
        </w:rPr>
        <w:t xml:space="preserve"> </w:t>
      </w:r>
      <w:r w:rsidR="00DD54EA" w:rsidRPr="001C2F3D">
        <w:rPr>
          <w:rFonts w:ascii="Times New Roman" w:hAnsi="Times New Roman" w:cs="Times New Roman"/>
          <w:b/>
          <w:sz w:val="20"/>
          <w:szCs w:val="20"/>
        </w:rPr>
        <w:t>CONCLUSION</w:t>
      </w:r>
    </w:p>
    <w:p w14:paraId="6D3DDE42" w14:textId="5F8BBB53" w:rsidR="00361BA1" w:rsidRPr="003854B8" w:rsidRDefault="00892719" w:rsidP="003854B8">
      <w:pPr>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India is implementing various welfare programmes for mother and child health promotion. to provide free medical treatment through the Janani </w:t>
      </w:r>
      <w:proofErr w:type="spellStart"/>
      <w:r>
        <w:rPr>
          <w:rFonts w:ascii="Times New Roman" w:hAnsi="Times New Roman" w:cs="Times New Roman"/>
          <w:bCs/>
          <w:sz w:val="20"/>
          <w:szCs w:val="20"/>
        </w:rPr>
        <w:t>Shishu</w:t>
      </w:r>
      <w:proofErr w:type="spellEnd"/>
      <w:r>
        <w:rPr>
          <w:rFonts w:ascii="Times New Roman" w:hAnsi="Times New Roman" w:cs="Times New Roman"/>
          <w:bCs/>
          <w:sz w:val="20"/>
          <w:szCs w:val="20"/>
        </w:rPr>
        <w:t xml:space="preserve"> Suraksha </w:t>
      </w:r>
      <w:proofErr w:type="spellStart"/>
      <w:r>
        <w:rPr>
          <w:rFonts w:ascii="Times New Roman" w:hAnsi="Times New Roman" w:cs="Times New Roman"/>
          <w:bCs/>
          <w:sz w:val="20"/>
          <w:szCs w:val="20"/>
        </w:rPr>
        <w:t>Karyakaram</w:t>
      </w:r>
      <w:proofErr w:type="spellEnd"/>
      <w:r>
        <w:rPr>
          <w:rFonts w:ascii="Times New Roman" w:hAnsi="Times New Roman" w:cs="Times New Roman"/>
          <w:bCs/>
          <w:sz w:val="20"/>
          <w:szCs w:val="20"/>
        </w:rPr>
        <w:t xml:space="preserve">, to administer free immunization/vaccination through the universal </w:t>
      </w:r>
      <w:proofErr w:type="spellStart"/>
      <w:r>
        <w:rPr>
          <w:rFonts w:ascii="Times New Roman" w:hAnsi="Times New Roman" w:cs="Times New Roman"/>
          <w:bCs/>
          <w:sz w:val="20"/>
          <w:szCs w:val="20"/>
        </w:rPr>
        <w:t>immumanization</w:t>
      </w:r>
      <w:proofErr w:type="spellEnd"/>
      <w:r>
        <w:rPr>
          <w:rFonts w:ascii="Times New Roman" w:hAnsi="Times New Roman" w:cs="Times New Roman"/>
          <w:bCs/>
          <w:sz w:val="20"/>
          <w:szCs w:val="20"/>
        </w:rPr>
        <w:t xml:space="preserve"> programme, and to provide financial assistance through the Janani Suraksha Yojana and Pradhan Mantri </w:t>
      </w:r>
      <w:proofErr w:type="spellStart"/>
      <w:r>
        <w:rPr>
          <w:rFonts w:ascii="Times New Roman" w:hAnsi="Times New Roman" w:cs="Times New Roman"/>
          <w:bCs/>
          <w:sz w:val="20"/>
          <w:szCs w:val="20"/>
        </w:rPr>
        <w:t>Surakshit</w:t>
      </w:r>
      <w:proofErr w:type="spellEnd"/>
      <w:r>
        <w:rPr>
          <w:rFonts w:ascii="Times New Roman" w:hAnsi="Times New Roman" w:cs="Times New Roman"/>
          <w:bCs/>
          <w:sz w:val="20"/>
          <w:szCs w:val="20"/>
        </w:rPr>
        <w:t xml:space="preserve"> </w:t>
      </w:r>
      <w:proofErr w:type="spellStart"/>
      <w:r>
        <w:rPr>
          <w:rFonts w:ascii="Times New Roman" w:hAnsi="Times New Roman" w:cs="Times New Roman"/>
          <w:bCs/>
          <w:sz w:val="20"/>
          <w:szCs w:val="20"/>
        </w:rPr>
        <w:t>Matrivat</w:t>
      </w:r>
      <w:proofErr w:type="spellEnd"/>
      <w:r>
        <w:rPr>
          <w:rFonts w:ascii="Times New Roman" w:hAnsi="Times New Roman" w:cs="Times New Roman"/>
          <w:bCs/>
          <w:sz w:val="20"/>
          <w:szCs w:val="20"/>
        </w:rPr>
        <w:t xml:space="preserve"> Abhiyan. This is due to increasing </w:t>
      </w:r>
      <w:proofErr w:type="spellStart"/>
      <w:r>
        <w:rPr>
          <w:rFonts w:ascii="Times New Roman" w:hAnsi="Times New Roman" w:cs="Times New Roman"/>
          <w:bCs/>
          <w:sz w:val="20"/>
          <w:szCs w:val="20"/>
        </w:rPr>
        <w:t>accessibilty</w:t>
      </w:r>
      <w:proofErr w:type="spellEnd"/>
      <w:r>
        <w:rPr>
          <w:rFonts w:ascii="Times New Roman" w:hAnsi="Times New Roman" w:cs="Times New Roman"/>
          <w:bCs/>
          <w:sz w:val="20"/>
          <w:szCs w:val="20"/>
        </w:rPr>
        <w:t xml:space="preserve"> of mother and child healthcare services</w:t>
      </w:r>
      <w:r w:rsidR="009B6EFD">
        <w:rPr>
          <w:rFonts w:ascii="Times New Roman" w:hAnsi="Times New Roman" w:cs="Times New Roman"/>
          <w:bCs/>
          <w:sz w:val="20"/>
          <w:szCs w:val="20"/>
        </w:rPr>
        <w:t xml:space="preserve"> in both areas</w:t>
      </w:r>
      <w:r>
        <w:rPr>
          <w:rFonts w:ascii="Times New Roman" w:hAnsi="Times New Roman" w:cs="Times New Roman"/>
          <w:bCs/>
          <w:sz w:val="20"/>
          <w:szCs w:val="20"/>
        </w:rPr>
        <w:t xml:space="preserve">. </w:t>
      </w:r>
      <w:r w:rsidR="009B6EFD">
        <w:rPr>
          <w:rFonts w:ascii="Times New Roman" w:hAnsi="Times New Roman" w:cs="Times New Roman"/>
          <w:bCs/>
          <w:sz w:val="20"/>
          <w:szCs w:val="20"/>
        </w:rPr>
        <w:t xml:space="preserve">But accessibility is different between rural and urban areas </w:t>
      </w:r>
      <w:r>
        <w:rPr>
          <w:rFonts w:ascii="Times New Roman" w:hAnsi="Times New Roman" w:cs="Times New Roman"/>
          <w:bCs/>
          <w:sz w:val="20"/>
          <w:szCs w:val="20"/>
        </w:rPr>
        <w:t xml:space="preserve">At the same time, the child mortality rate is decreasing in both </w:t>
      </w:r>
      <w:proofErr w:type="gramStart"/>
      <w:r>
        <w:rPr>
          <w:rFonts w:ascii="Times New Roman" w:hAnsi="Times New Roman" w:cs="Times New Roman"/>
          <w:bCs/>
          <w:sz w:val="20"/>
          <w:szCs w:val="20"/>
        </w:rPr>
        <w:t>areas..</w:t>
      </w:r>
      <w:proofErr w:type="gramEnd"/>
      <w:r>
        <w:rPr>
          <w:rFonts w:ascii="Times New Roman" w:hAnsi="Times New Roman" w:cs="Times New Roman"/>
          <w:bCs/>
          <w:sz w:val="20"/>
          <w:szCs w:val="20"/>
        </w:rPr>
        <w:t xml:space="preserve"> The women </w:t>
      </w:r>
      <w:r w:rsidR="009B6EFD">
        <w:rPr>
          <w:rFonts w:ascii="Times New Roman" w:hAnsi="Times New Roman" w:cs="Times New Roman"/>
          <w:bCs/>
          <w:sz w:val="20"/>
          <w:szCs w:val="20"/>
        </w:rPr>
        <w:t xml:space="preserve">seeking is </w:t>
      </w:r>
      <w:r>
        <w:rPr>
          <w:rFonts w:ascii="Times New Roman" w:hAnsi="Times New Roman" w:cs="Times New Roman"/>
          <w:bCs/>
          <w:sz w:val="20"/>
          <w:szCs w:val="20"/>
        </w:rPr>
        <w:t xml:space="preserve">increasing to </w:t>
      </w:r>
      <w:r w:rsidR="009B6EFD">
        <w:rPr>
          <w:rFonts w:ascii="Times New Roman" w:hAnsi="Times New Roman" w:cs="Times New Roman"/>
          <w:bCs/>
          <w:sz w:val="20"/>
          <w:szCs w:val="20"/>
        </w:rPr>
        <w:t xml:space="preserve">access </w:t>
      </w:r>
      <w:r>
        <w:rPr>
          <w:rFonts w:ascii="Times New Roman" w:hAnsi="Times New Roman" w:cs="Times New Roman"/>
          <w:bCs/>
          <w:sz w:val="20"/>
          <w:szCs w:val="20"/>
        </w:rPr>
        <w:t>public health centres to get health services themselves.</w:t>
      </w:r>
    </w:p>
    <w:p w14:paraId="2EFBEF3B" w14:textId="50FD6D5D" w:rsidR="001F5D8F" w:rsidRPr="003854B8" w:rsidRDefault="00892719" w:rsidP="00892719">
      <w:pPr>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 xml:space="preserve">The </w:t>
      </w:r>
      <w:proofErr w:type="spellStart"/>
      <w:r>
        <w:rPr>
          <w:rFonts w:ascii="Times New Roman" w:hAnsi="Times New Roman" w:cs="Times New Roman"/>
          <w:bCs/>
          <w:sz w:val="20"/>
          <w:szCs w:val="20"/>
        </w:rPr>
        <w:t>anganvadi</w:t>
      </w:r>
      <w:proofErr w:type="spellEnd"/>
      <w:r>
        <w:rPr>
          <w:rFonts w:ascii="Times New Roman" w:hAnsi="Times New Roman" w:cs="Times New Roman"/>
          <w:bCs/>
          <w:sz w:val="20"/>
          <w:szCs w:val="20"/>
        </w:rPr>
        <w:t xml:space="preserve"> centres (ICDS) provide nutritional supplementation for women and children during pregnancy and after childbirth. This kind of information is not available in the national family health survey. So, in the future, information about nutritional supplements from </w:t>
      </w:r>
      <w:proofErr w:type="spellStart"/>
      <w:r>
        <w:rPr>
          <w:rFonts w:ascii="Times New Roman" w:hAnsi="Times New Roman" w:cs="Times New Roman"/>
          <w:bCs/>
          <w:sz w:val="20"/>
          <w:szCs w:val="20"/>
        </w:rPr>
        <w:t>anganvadi</w:t>
      </w:r>
      <w:proofErr w:type="spellEnd"/>
      <w:r>
        <w:rPr>
          <w:rFonts w:ascii="Times New Roman" w:hAnsi="Times New Roman" w:cs="Times New Roman"/>
          <w:bCs/>
          <w:sz w:val="20"/>
          <w:szCs w:val="20"/>
        </w:rPr>
        <w:t xml:space="preserve"> should be added to the national family health survey.</w:t>
      </w:r>
    </w:p>
    <w:p w14:paraId="086F4414" w14:textId="5A4F2BA3" w:rsidR="00712FE9" w:rsidRPr="00E6465F" w:rsidRDefault="00712FE9" w:rsidP="00AD0E87">
      <w:pPr>
        <w:spacing w:line="240" w:lineRule="auto"/>
        <w:rPr>
          <w:rFonts w:ascii="Times New Roman" w:hAnsi="Times New Roman" w:cs="Times New Roman"/>
          <w:sz w:val="24"/>
          <w:szCs w:val="20"/>
        </w:rPr>
      </w:pPr>
    </w:p>
    <w:p w14:paraId="241D2494" w14:textId="13D5AB85" w:rsidR="0042471A" w:rsidRDefault="008D500E" w:rsidP="008D500E">
      <w:pPr>
        <w:spacing w:line="240" w:lineRule="auto"/>
        <w:jc w:val="center"/>
        <w:rPr>
          <w:rFonts w:ascii="Times New Roman" w:hAnsi="Times New Roman" w:cs="Times New Roman"/>
          <w:b/>
          <w:sz w:val="16"/>
          <w:szCs w:val="16"/>
        </w:rPr>
      </w:pPr>
      <w:r w:rsidRPr="008D500E">
        <w:rPr>
          <w:rFonts w:ascii="Times New Roman" w:hAnsi="Times New Roman" w:cs="Times New Roman"/>
          <w:b/>
          <w:sz w:val="16"/>
          <w:szCs w:val="16"/>
        </w:rPr>
        <w:t>REFERENCE</w:t>
      </w:r>
      <w:r>
        <w:rPr>
          <w:rFonts w:ascii="Times New Roman" w:hAnsi="Times New Roman" w:cs="Times New Roman"/>
          <w:b/>
          <w:sz w:val="16"/>
          <w:szCs w:val="16"/>
        </w:rPr>
        <w:t>S</w:t>
      </w:r>
    </w:p>
    <w:p w14:paraId="27C302D2" w14:textId="77777777" w:rsidR="00D90ED9" w:rsidRPr="00D90ED9" w:rsidRDefault="00093DD3" w:rsidP="00230C0F">
      <w:pPr>
        <w:spacing w:line="240" w:lineRule="auto"/>
        <w:jc w:val="both"/>
        <w:rPr>
          <w:rFonts w:ascii="Times New Roman" w:hAnsi="Times New Roman" w:cs="Times New Roman"/>
          <w:sz w:val="16"/>
          <w:szCs w:val="16"/>
          <w:lang w:val="en-US"/>
        </w:rPr>
      </w:pPr>
      <w:r w:rsidRPr="00D90ED9">
        <w:rPr>
          <w:rFonts w:ascii="Times New Roman" w:hAnsi="Times New Roman" w:cs="Times New Roman"/>
          <w:bCs/>
          <w:sz w:val="16"/>
          <w:szCs w:val="16"/>
        </w:rPr>
        <w:t xml:space="preserve">[1] </w:t>
      </w:r>
      <w:r w:rsidR="00D90ED9" w:rsidRPr="00D90ED9">
        <w:rPr>
          <w:rFonts w:ascii="Times New Roman" w:hAnsi="Times New Roman" w:cs="Times New Roman"/>
          <w:sz w:val="16"/>
          <w:szCs w:val="16"/>
          <w:lang w:val="en-US"/>
        </w:rPr>
        <w:t xml:space="preserve">Ministry of Health and Family Welfare. (2021). National Family Health Survey – 5 (2019 – 2021) in India. Retrieved from International Institute for Population Sciences Website: www.rchiips.org/nfhs. </w:t>
      </w:r>
    </w:p>
    <w:p w14:paraId="7D244834" w14:textId="645AF491" w:rsidR="00D90ED9" w:rsidRDefault="00D90ED9" w:rsidP="00230C0F">
      <w:pPr>
        <w:spacing w:line="240" w:lineRule="auto"/>
        <w:jc w:val="both"/>
        <w:rPr>
          <w:rFonts w:ascii="Times New Roman" w:hAnsi="Times New Roman" w:cs="Times New Roman"/>
          <w:sz w:val="16"/>
          <w:szCs w:val="16"/>
          <w:lang w:val="en-US"/>
        </w:rPr>
      </w:pPr>
      <w:r>
        <w:rPr>
          <w:rFonts w:ascii="Times New Roman" w:hAnsi="Times New Roman" w:cs="Times New Roman"/>
          <w:sz w:val="16"/>
          <w:szCs w:val="16"/>
          <w:lang w:val="en-US"/>
        </w:rPr>
        <w:t>[</w:t>
      </w:r>
      <w:proofErr w:type="gramStart"/>
      <w:r>
        <w:rPr>
          <w:rFonts w:ascii="Times New Roman" w:hAnsi="Times New Roman" w:cs="Times New Roman"/>
          <w:sz w:val="16"/>
          <w:szCs w:val="16"/>
          <w:lang w:val="en-US"/>
        </w:rPr>
        <w:t>2]</w:t>
      </w:r>
      <w:r w:rsidRPr="00D90ED9">
        <w:rPr>
          <w:rFonts w:ascii="Times New Roman" w:hAnsi="Times New Roman" w:cs="Times New Roman"/>
          <w:sz w:val="16"/>
          <w:szCs w:val="16"/>
          <w:lang w:val="en-US"/>
        </w:rPr>
        <w:t>Ministry</w:t>
      </w:r>
      <w:proofErr w:type="gramEnd"/>
      <w:r w:rsidRPr="00D90ED9">
        <w:rPr>
          <w:rFonts w:ascii="Times New Roman" w:hAnsi="Times New Roman" w:cs="Times New Roman"/>
          <w:sz w:val="16"/>
          <w:szCs w:val="16"/>
          <w:lang w:val="en-US"/>
        </w:rPr>
        <w:t xml:space="preserve"> of Health and Family Welfare. (2016). National Family Health Survey – 4 (2015 – 2016) in India. Retrieved from International Institute for Population Sciences Website: </w:t>
      </w:r>
      <w:hyperlink r:id="rId7" w:history="1">
        <w:r w:rsidRPr="001906E2">
          <w:rPr>
            <w:rStyle w:val="Hyperlink"/>
            <w:rFonts w:ascii="Times New Roman" w:hAnsi="Times New Roman" w:cs="Times New Roman"/>
            <w:sz w:val="16"/>
            <w:szCs w:val="16"/>
            <w:lang w:val="en-US"/>
          </w:rPr>
          <w:t>www.rchiips.org/nfhs</w:t>
        </w:r>
      </w:hyperlink>
      <w:r w:rsidRPr="00D90ED9">
        <w:rPr>
          <w:rFonts w:ascii="Times New Roman" w:hAnsi="Times New Roman" w:cs="Times New Roman"/>
          <w:sz w:val="16"/>
          <w:szCs w:val="16"/>
          <w:lang w:val="en-US"/>
        </w:rPr>
        <w:t>.</w:t>
      </w:r>
    </w:p>
    <w:p w14:paraId="007756A2" w14:textId="3921E938" w:rsidR="00E84A96" w:rsidRPr="00D90ED9" w:rsidRDefault="00D90ED9" w:rsidP="00230C0F">
      <w:pPr>
        <w:spacing w:line="240" w:lineRule="auto"/>
        <w:jc w:val="both"/>
        <w:rPr>
          <w:rFonts w:ascii="Times New Roman" w:hAnsi="Times New Roman" w:cs="Times New Roman"/>
          <w:noProof/>
          <w:sz w:val="16"/>
          <w:szCs w:val="16"/>
          <w:lang w:val="en-US"/>
        </w:rPr>
      </w:pPr>
      <w:r>
        <w:rPr>
          <w:rFonts w:ascii="Times New Roman" w:hAnsi="Times New Roman" w:cs="Times New Roman"/>
          <w:sz w:val="16"/>
          <w:szCs w:val="16"/>
          <w:lang w:val="en-US"/>
        </w:rPr>
        <w:t xml:space="preserve">[3] </w:t>
      </w:r>
      <w:r w:rsidR="00E84A96" w:rsidRPr="00D90ED9">
        <w:rPr>
          <w:rFonts w:ascii="Times New Roman" w:hAnsi="Times New Roman" w:cs="Times New Roman"/>
          <w:noProof/>
          <w:sz w:val="16"/>
          <w:szCs w:val="16"/>
          <w:lang w:val="en-US"/>
        </w:rPr>
        <w:t xml:space="preserve">Department of Health &amp; Family Welfare. (2022). </w:t>
      </w:r>
      <w:r w:rsidR="00E84A96" w:rsidRPr="00D90ED9">
        <w:rPr>
          <w:rFonts w:ascii="Times New Roman" w:hAnsi="Times New Roman" w:cs="Times New Roman"/>
          <w:iCs/>
          <w:noProof/>
          <w:sz w:val="16"/>
          <w:szCs w:val="16"/>
          <w:lang w:val="en-US"/>
        </w:rPr>
        <w:t>Janani Shishu Suraksha Karyakram</w:t>
      </w:r>
      <w:r w:rsidR="00E84A96" w:rsidRPr="00D90ED9">
        <w:rPr>
          <w:rFonts w:ascii="Times New Roman" w:hAnsi="Times New Roman" w:cs="Times New Roman"/>
          <w:noProof/>
          <w:sz w:val="16"/>
          <w:szCs w:val="16"/>
          <w:lang w:val="en-US"/>
        </w:rPr>
        <w:t xml:space="preserve">. Retrieved from National Health Mission Tamil Nadu: </w:t>
      </w:r>
      <w:hyperlink r:id="rId8" w:history="1">
        <w:r w:rsidR="00E84A96" w:rsidRPr="00D90ED9">
          <w:rPr>
            <w:rStyle w:val="Hyperlink"/>
            <w:rFonts w:ascii="Times New Roman" w:hAnsi="Times New Roman" w:cs="Times New Roman"/>
            <w:noProof/>
            <w:sz w:val="16"/>
            <w:szCs w:val="16"/>
            <w:lang w:val="en-US"/>
          </w:rPr>
          <w:t>www.nhm.tn.gov.in</w:t>
        </w:r>
      </w:hyperlink>
    </w:p>
    <w:p w14:paraId="5DE7EB33" w14:textId="52348FCF" w:rsidR="00E84A96" w:rsidRPr="00D90ED9" w:rsidRDefault="00E84A96" w:rsidP="00230C0F">
      <w:pPr>
        <w:spacing w:line="240" w:lineRule="auto"/>
        <w:jc w:val="both"/>
        <w:rPr>
          <w:rFonts w:ascii="Times New Roman" w:hAnsi="Times New Roman" w:cs="Times New Roman"/>
          <w:noProof/>
          <w:sz w:val="16"/>
          <w:szCs w:val="16"/>
          <w:lang w:val="en-US"/>
        </w:rPr>
      </w:pPr>
      <w:r w:rsidRPr="00D90ED9">
        <w:rPr>
          <w:rFonts w:ascii="Times New Roman" w:hAnsi="Times New Roman" w:cs="Times New Roman"/>
          <w:bCs/>
          <w:sz w:val="16"/>
          <w:szCs w:val="16"/>
        </w:rPr>
        <w:t>[</w:t>
      </w:r>
      <w:r w:rsidR="00D90ED9">
        <w:rPr>
          <w:rFonts w:ascii="Times New Roman" w:hAnsi="Times New Roman" w:cs="Times New Roman"/>
          <w:bCs/>
          <w:sz w:val="16"/>
          <w:szCs w:val="16"/>
        </w:rPr>
        <w:t>4</w:t>
      </w:r>
      <w:r w:rsidRPr="00D90ED9">
        <w:rPr>
          <w:rFonts w:ascii="Times New Roman" w:hAnsi="Times New Roman" w:cs="Times New Roman"/>
          <w:bCs/>
          <w:sz w:val="16"/>
          <w:szCs w:val="16"/>
        </w:rPr>
        <w:t xml:space="preserve">] </w:t>
      </w:r>
      <w:r w:rsidRPr="00D90ED9">
        <w:rPr>
          <w:rFonts w:ascii="Times New Roman" w:hAnsi="Times New Roman" w:cs="Times New Roman"/>
          <w:noProof/>
          <w:sz w:val="16"/>
          <w:szCs w:val="16"/>
          <w:lang w:val="en-US"/>
        </w:rPr>
        <w:t xml:space="preserve">Ministry of Health and Family Welfare. (2015). </w:t>
      </w:r>
      <w:r w:rsidRPr="00D90ED9">
        <w:rPr>
          <w:rFonts w:ascii="Times New Roman" w:hAnsi="Times New Roman" w:cs="Times New Roman"/>
          <w:iCs/>
          <w:noProof/>
          <w:sz w:val="16"/>
          <w:szCs w:val="16"/>
          <w:lang w:val="en-US"/>
        </w:rPr>
        <w:t>Janani Shishu Suraksha Karyakram</w:t>
      </w:r>
      <w:r w:rsidRPr="00D90ED9">
        <w:rPr>
          <w:rFonts w:ascii="Times New Roman" w:hAnsi="Times New Roman" w:cs="Times New Roman"/>
          <w:noProof/>
          <w:sz w:val="16"/>
          <w:szCs w:val="16"/>
          <w:lang w:val="en-US"/>
        </w:rPr>
        <w:t xml:space="preserve">. Retrieved from National Health Portal: </w:t>
      </w:r>
      <w:hyperlink r:id="rId9" w:history="1">
        <w:r w:rsidR="00A422AF" w:rsidRPr="00D90ED9">
          <w:rPr>
            <w:rStyle w:val="Hyperlink"/>
            <w:rFonts w:ascii="Times New Roman" w:hAnsi="Times New Roman" w:cs="Times New Roman"/>
            <w:noProof/>
            <w:sz w:val="16"/>
            <w:szCs w:val="16"/>
            <w:lang w:val="en-US"/>
          </w:rPr>
          <w:t>www.hnhp.gov.in</w:t>
        </w:r>
      </w:hyperlink>
    </w:p>
    <w:p w14:paraId="55EBA4B2" w14:textId="0C9414D2" w:rsidR="00E84A96" w:rsidRPr="00D90ED9" w:rsidRDefault="00D90ED9" w:rsidP="00230C0F">
      <w:pPr>
        <w:spacing w:line="240" w:lineRule="auto"/>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[5] </w:t>
      </w:r>
      <w:r w:rsidR="00E84A96" w:rsidRPr="00D90ED9">
        <w:rPr>
          <w:rFonts w:ascii="Times New Roman" w:hAnsi="Times New Roman" w:cs="Times New Roman"/>
          <w:noProof/>
          <w:sz w:val="16"/>
          <w:szCs w:val="16"/>
          <w:lang w:val="en-US"/>
        </w:rPr>
        <w:t xml:space="preserve">Ministry of Health and Family Welfare, Govt. of India. (2005). </w:t>
      </w:r>
      <w:r w:rsidR="00E84A96" w:rsidRPr="00D90ED9">
        <w:rPr>
          <w:rFonts w:ascii="Times New Roman" w:hAnsi="Times New Roman" w:cs="Times New Roman"/>
          <w:iCs/>
          <w:noProof/>
          <w:sz w:val="16"/>
          <w:szCs w:val="16"/>
          <w:lang w:val="en-US"/>
        </w:rPr>
        <w:t>Janani Suraksha Yojana.</w:t>
      </w:r>
      <w:r w:rsidR="00E84A96" w:rsidRPr="00D90ED9">
        <w:rPr>
          <w:rFonts w:ascii="Times New Roman" w:hAnsi="Times New Roman" w:cs="Times New Roman"/>
          <w:noProof/>
          <w:sz w:val="16"/>
          <w:szCs w:val="16"/>
          <w:lang w:val="en-US"/>
        </w:rPr>
        <w:t xml:space="preserve"> New Delhi: Maternal Health Division, Ministry of Health and Family Welfare.</w:t>
      </w:r>
    </w:p>
    <w:p w14:paraId="4EE38CDC" w14:textId="5C71D776" w:rsidR="00A422AF" w:rsidRPr="00D90ED9" w:rsidRDefault="00D90ED9" w:rsidP="00230C0F">
      <w:pPr>
        <w:spacing w:line="240" w:lineRule="auto"/>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[6] </w:t>
      </w:r>
      <w:r w:rsidR="00A422AF" w:rsidRPr="00D90ED9">
        <w:rPr>
          <w:rFonts w:ascii="Times New Roman" w:hAnsi="Times New Roman" w:cs="Times New Roman"/>
          <w:noProof/>
          <w:sz w:val="16"/>
          <w:szCs w:val="16"/>
          <w:lang w:val="en-US"/>
        </w:rPr>
        <w:t xml:space="preserve">Maternal health Division. (2016). </w:t>
      </w:r>
      <w:r w:rsidR="00A422AF" w:rsidRPr="00D90ED9">
        <w:rPr>
          <w:rFonts w:ascii="Times New Roman" w:hAnsi="Times New Roman" w:cs="Times New Roman"/>
          <w:iCs/>
          <w:noProof/>
          <w:sz w:val="16"/>
          <w:szCs w:val="16"/>
          <w:lang w:val="en-US"/>
        </w:rPr>
        <w:t>Pradhan Mantri Surakshit Matrtva Abhiyan.</w:t>
      </w:r>
      <w:r w:rsidR="00A422AF" w:rsidRPr="00D90ED9">
        <w:rPr>
          <w:rFonts w:ascii="Times New Roman" w:hAnsi="Times New Roman" w:cs="Times New Roman"/>
          <w:noProof/>
          <w:sz w:val="16"/>
          <w:szCs w:val="16"/>
          <w:lang w:val="en-US"/>
        </w:rPr>
        <w:t xml:space="preserve"> Ministry of Health and Fa,mily Welfare, Government of India.</w:t>
      </w:r>
    </w:p>
    <w:p w14:paraId="1DCF5725" w14:textId="0B802657" w:rsidR="00A422AF" w:rsidRPr="00D90ED9" w:rsidRDefault="00D90ED9" w:rsidP="00230C0F">
      <w:pPr>
        <w:spacing w:line="240" w:lineRule="auto"/>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[7] </w:t>
      </w:r>
      <w:r w:rsidR="00A422AF" w:rsidRPr="00D90ED9">
        <w:rPr>
          <w:rFonts w:ascii="Times New Roman" w:hAnsi="Times New Roman" w:cs="Times New Roman"/>
          <w:noProof/>
          <w:sz w:val="16"/>
          <w:szCs w:val="16"/>
          <w:lang w:val="en-US"/>
        </w:rPr>
        <w:t xml:space="preserve">Ministry of Health and Family Welafre. (2018). </w:t>
      </w:r>
      <w:r w:rsidR="00A422AF" w:rsidRPr="00D90ED9">
        <w:rPr>
          <w:rFonts w:ascii="Times New Roman" w:hAnsi="Times New Roman" w:cs="Times New Roman"/>
          <w:iCs/>
          <w:noProof/>
          <w:sz w:val="16"/>
          <w:szCs w:val="16"/>
          <w:lang w:val="en-US"/>
        </w:rPr>
        <w:t>Universal Immunisation Programme</w:t>
      </w:r>
      <w:r w:rsidR="00A422AF" w:rsidRPr="00D90ED9">
        <w:rPr>
          <w:rFonts w:ascii="Times New Roman" w:hAnsi="Times New Roman" w:cs="Times New Roman"/>
          <w:noProof/>
          <w:sz w:val="16"/>
          <w:szCs w:val="16"/>
          <w:lang w:val="en-US"/>
        </w:rPr>
        <w:t xml:space="preserve">. Retrieved from National Health Portal: </w:t>
      </w:r>
      <w:hyperlink r:id="rId10" w:history="1">
        <w:r w:rsidRPr="00D90ED9">
          <w:rPr>
            <w:rStyle w:val="Hyperlink"/>
            <w:rFonts w:ascii="Times New Roman" w:hAnsi="Times New Roman" w:cs="Times New Roman"/>
            <w:noProof/>
            <w:sz w:val="16"/>
            <w:szCs w:val="16"/>
            <w:lang w:val="en-US"/>
          </w:rPr>
          <w:t>https://www.nhp.gov.in/universal-immunisation-programme_pg</w:t>
        </w:r>
      </w:hyperlink>
    </w:p>
    <w:p w14:paraId="2D278F06" w14:textId="1231232E" w:rsidR="00D90ED9" w:rsidRPr="00D90ED9" w:rsidRDefault="00D90ED9" w:rsidP="00230C0F">
      <w:pPr>
        <w:spacing w:line="240" w:lineRule="auto"/>
        <w:jc w:val="both"/>
        <w:rPr>
          <w:rFonts w:ascii="Times New Roman" w:hAnsi="Times New Roman" w:cs="Times New Roman"/>
          <w:noProof/>
          <w:sz w:val="16"/>
          <w:szCs w:val="16"/>
          <w:lang w:val="en-US"/>
        </w:rPr>
      </w:pPr>
      <w:r>
        <w:rPr>
          <w:rFonts w:ascii="Times New Roman" w:hAnsi="Times New Roman" w:cs="Times New Roman"/>
          <w:noProof/>
          <w:sz w:val="16"/>
          <w:szCs w:val="16"/>
          <w:lang w:val="en-US"/>
        </w:rPr>
        <w:t xml:space="preserve">[8] </w:t>
      </w:r>
      <w:r w:rsidRPr="00D90ED9">
        <w:rPr>
          <w:rFonts w:ascii="Times New Roman" w:hAnsi="Times New Roman" w:cs="Times New Roman"/>
          <w:noProof/>
          <w:sz w:val="16"/>
          <w:szCs w:val="16"/>
          <w:lang w:val="en-US"/>
        </w:rPr>
        <w:t xml:space="preserve">Minstry of women and Child Development. (n.d.). </w:t>
      </w:r>
      <w:r w:rsidRPr="00D90ED9">
        <w:rPr>
          <w:rFonts w:ascii="Times New Roman" w:hAnsi="Times New Roman" w:cs="Times New Roman"/>
          <w:iCs/>
          <w:noProof/>
          <w:sz w:val="16"/>
          <w:szCs w:val="16"/>
          <w:lang w:val="en-US"/>
        </w:rPr>
        <w:t>Integrated child development services (icds) scheme</w:t>
      </w:r>
      <w:r w:rsidRPr="00D90ED9">
        <w:rPr>
          <w:rFonts w:ascii="Times New Roman" w:hAnsi="Times New Roman" w:cs="Times New Roman"/>
          <w:noProof/>
          <w:sz w:val="16"/>
          <w:szCs w:val="16"/>
          <w:lang w:val="en-US"/>
        </w:rPr>
        <w:t xml:space="preserve">. Retrieved from Ministry of Women and Child Development: </w:t>
      </w:r>
      <w:hyperlink r:id="rId11" w:history="1">
        <w:r w:rsidRPr="00D90ED9">
          <w:rPr>
            <w:rStyle w:val="Hyperlink"/>
            <w:rFonts w:ascii="Times New Roman" w:hAnsi="Times New Roman" w:cs="Times New Roman"/>
            <w:noProof/>
            <w:sz w:val="16"/>
            <w:szCs w:val="16"/>
            <w:lang w:val="en-US"/>
          </w:rPr>
          <w:t>www.wcd.gov.in</w:t>
        </w:r>
      </w:hyperlink>
    </w:p>
    <w:p w14:paraId="66EEEF9D" w14:textId="77777777" w:rsidR="00D90ED9" w:rsidRPr="00D90ED9" w:rsidRDefault="00D90ED9" w:rsidP="00230C0F">
      <w:pPr>
        <w:spacing w:line="240" w:lineRule="auto"/>
        <w:jc w:val="both"/>
        <w:rPr>
          <w:rFonts w:ascii="Times New Roman" w:hAnsi="Times New Roman" w:cs="Times New Roman"/>
          <w:sz w:val="16"/>
          <w:szCs w:val="16"/>
        </w:rPr>
      </w:pPr>
      <w:r w:rsidRPr="00D90ED9">
        <w:rPr>
          <w:rFonts w:ascii="Times New Roman" w:hAnsi="Times New Roman" w:cs="Times New Roman"/>
          <w:sz w:val="16"/>
          <w:szCs w:val="16"/>
        </w:rPr>
        <w:t>Ministry of Women and Child Development. (2019). Restructuring of ICDS. Retrieved from Press Information Bureau, Government of India.</w:t>
      </w:r>
    </w:p>
    <w:p w14:paraId="027C7F27" w14:textId="77777777" w:rsidR="00D90ED9" w:rsidRPr="00D90ED9" w:rsidRDefault="00D90ED9" w:rsidP="00D90ED9">
      <w:pPr>
        <w:spacing w:line="480" w:lineRule="auto"/>
        <w:jc w:val="both"/>
        <w:rPr>
          <w:rFonts w:ascii="Times New Roman" w:hAnsi="Times New Roman" w:cs="Times New Roman"/>
          <w:noProof/>
          <w:sz w:val="16"/>
          <w:szCs w:val="16"/>
          <w:lang w:val="en-US"/>
        </w:rPr>
      </w:pPr>
    </w:p>
    <w:p w14:paraId="2EE7DAA4" w14:textId="77777777" w:rsidR="00D90ED9" w:rsidRPr="00D90ED9" w:rsidRDefault="00D90ED9" w:rsidP="00A422AF">
      <w:pPr>
        <w:spacing w:line="480" w:lineRule="auto"/>
        <w:jc w:val="both"/>
        <w:rPr>
          <w:rFonts w:ascii="Times New Roman" w:hAnsi="Times New Roman" w:cs="Times New Roman"/>
          <w:noProof/>
          <w:sz w:val="16"/>
          <w:szCs w:val="16"/>
          <w:lang w:val="en-US"/>
        </w:rPr>
      </w:pPr>
    </w:p>
    <w:p w14:paraId="7E5BAB80" w14:textId="77777777" w:rsidR="00A422AF" w:rsidRPr="00D90ED9" w:rsidRDefault="00A422AF" w:rsidP="00A422AF">
      <w:pPr>
        <w:spacing w:line="480" w:lineRule="auto"/>
        <w:jc w:val="both"/>
        <w:rPr>
          <w:rFonts w:ascii="Times New Roman" w:hAnsi="Times New Roman" w:cs="Times New Roman"/>
          <w:noProof/>
          <w:sz w:val="16"/>
          <w:szCs w:val="16"/>
          <w:lang w:val="en-US"/>
        </w:rPr>
      </w:pPr>
    </w:p>
    <w:p w14:paraId="579D76CD" w14:textId="77777777" w:rsidR="00A422AF" w:rsidRPr="00D90ED9" w:rsidRDefault="00A422AF" w:rsidP="00E84A96">
      <w:pPr>
        <w:spacing w:line="480" w:lineRule="auto"/>
        <w:jc w:val="both"/>
        <w:rPr>
          <w:rFonts w:ascii="Times New Roman" w:hAnsi="Times New Roman" w:cs="Times New Roman"/>
          <w:noProof/>
          <w:sz w:val="16"/>
          <w:szCs w:val="16"/>
          <w:lang w:val="en-US"/>
        </w:rPr>
      </w:pPr>
    </w:p>
    <w:p w14:paraId="7ADC0787" w14:textId="77777777" w:rsidR="00E84A96" w:rsidRPr="00D90ED9" w:rsidRDefault="00E84A96" w:rsidP="00E84A96">
      <w:pPr>
        <w:spacing w:line="480" w:lineRule="auto"/>
        <w:jc w:val="both"/>
        <w:rPr>
          <w:rFonts w:ascii="Times New Roman" w:hAnsi="Times New Roman" w:cs="Times New Roman"/>
          <w:noProof/>
          <w:sz w:val="16"/>
          <w:szCs w:val="16"/>
          <w:lang w:val="en-US"/>
        </w:rPr>
      </w:pPr>
    </w:p>
    <w:p w14:paraId="0721C6B7" w14:textId="2536FEF0" w:rsidR="00AC553C" w:rsidRPr="00D90ED9" w:rsidRDefault="00AC553C" w:rsidP="00AC553C">
      <w:pPr>
        <w:spacing w:line="240" w:lineRule="auto"/>
        <w:rPr>
          <w:rFonts w:ascii="Times New Roman" w:hAnsi="Times New Roman" w:cs="Times New Roman"/>
          <w:bCs/>
          <w:sz w:val="16"/>
          <w:szCs w:val="16"/>
        </w:rPr>
      </w:pPr>
    </w:p>
    <w:sectPr w:rsidR="00AC553C" w:rsidRPr="00D90ED9" w:rsidSect="001C2F3D">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97A619" w14:textId="77777777" w:rsidR="00F73B93" w:rsidRDefault="00F73B93" w:rsidP="00F56AFB">
      <w:pPr>
        <w:spacing w:after="0" w:line="240" w:lineRule="auto"/>
      </w:pPr>
      <w:r>
        <w:separator/>
      </w:r>
    </w:p>
  </w:endnote>
  <w:endnote w:type="continuationSeparator" w:id="0">
    <w:p w14:paraId="32D75AE5" w14:textId="77777777" w:rsidR="00F73B93" w:rsidRDefault="00F73B93" w:rsidP="00F56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73934" w14:textId="77777777" w:rsidR="00F73B93" w:rsidRDefault="00F73B93" w:rsidP="00F56AFB">
      <w:pPr>
        <w:spacing w:after="0" w:line="240" w:lineRule="auto"/>
      </w:pPr>
      <w:r>
        <w:separator/>
      </w:r>
    </w:p>
  </w:footnote>
  <w:footnote w:type="continuationSeparator" w:id="0">
    <w:p w14:paraId="03DE213B" w14:textId="77777777" w:rsidR="00F73B93" w:rsidRDefault="00F73B93" w:rsidP="00F56A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D4BB1"/>
    <w:multiLevelType w:val="hybridMultilevel"/>
    <w:tmpl w:val="AA90E6C6"/>
    <w:lvl w:ilvl="0" w:tplc="DA56BFD4">
      <w:start w:val="1"/>
      <w:numFmt w:val="decimal"/>
      <w:lvlText w:val="%1."/>
      <w:lvlJc w:val="left"/>
      <w:pPr>
        <w:ind w:left="1080" w:hanging="360"/>
      </w:pPr>
      <w:rPr>
        <w:rFonts w:hint="default"/>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16cid:durableId="1713920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QwMTe1MDM0tzAyNDVV0lEKTi0uzszPAykwrAUA3TpkVSwAAAA="/>
  </w:docVars>
  <w:rsids>
    <w:rsidRoot w:val="001A6067"/>
    <w:rsid w:val="00001B5C"/>
    <w:rsid w:val="000174FE"/>
    <w:rsid w:val="000271F8"/>
    <w:rsid w:val="000376C0"/>
    <w:rsid w:val="000401D2"/>
    <w:rsid w:val="0004069E"/>
    <w:rsid w:val="0004311F"/>
    <w:rsid w:val="00054AF0"/>
    <w:rsid w:val="000569B2"/>
    <w:rsid w:val="00065F88"/>
    <w:rsid w:val="00074429"/>
    <w:rsid w:val="00077E5A"/>
    <w:rsid w:val="00080A98"/>
    <w:rsid w:val="00085529"/>
    <w:rsid w:val="00090D66"/>
    <w:rsid w:val="00091912"/>
    <w:rsid w:val="00093DD3"/>
    <w:rsid w:val="00094844"/>
    <w:rsid w:val="00095F17"/>
    <w:rsid w:val="00096494"/>
    <w:rsid w:val="000A6406"/>
    <w:rsid w:val="000A6B8C"/>
    <w:rsid w:val="000A7BAC"/>
    <w:rsid w:val="000E0A03"/>
    <w:rsid w:val="000E111A"/>
    <w:rsid w:val="000F7950"/>
    <w:rsid w:val="000F7ABF"/>
    <w:rsid w:val="00101D4A"/>
    <w:rsid w:val="0011208A"/>
    <w:rsid w:val="001276F9"/>
    <w:rsid w:val="0013434C"/>
    <w:rsid w:val="00135C0C"/>
    <w:rsid w:val="0014499E"/>
    <w:rsid w:val="00152FA7"/>
    <w:rsid w:val="00156855"/>
    <w:rsid w:val="001633F9"/>
    <w:rsid w:val="00165FC0"/>
    <w:rsid w:val="001726E5"/>
    <w:rsid w:val="00175708"/>
    <w:rsid w:val="001A6067"/>
    <w:rsid w:val="001B6540"/>
    <w:rsid w:val="001C2724"/>
    <w:rsid w:val="001C2F3D"/>
    <w:rsid w:val="001D7324"/>
    <w:rsid w:val="001E1A63"/>
    <w:rsid w:val="001E292E"/>
    <w:rsid w:val="001F33F1"/>
    <w:rsid w:val="001F3B3B"/>
    <w:rsid w:val="001F5D8F"/>
    <w:rsid w:val="001F6AE0"/>
    <w:rsid w:val="00200651"/>
    <w:rsid w:val="00216BAC"/>
    <w:rsid w:val="00230C0F"/>
    <w:rsid w:val="00233605"/>
    <w:rsid w:val="00245E6B"/>
    <w:rsid w:val="00251FFA"/>
    <w:rsid w:val="00256A73"/>
    <w:rsid w:val="00257CE8"/>
    <w:rsid w:val="00260EF1"/>
    <w:rsid w:val="00263243"/>
    <w:rsid w:val="0029742D"/>
    <w:rsid w:val="002A4335"/>
    <w:rsid w:val="002B10F0"/>
    <w:rsid w:val="002C0533"/>
    <w:rsid w:val="002C4687"/>
    <w:rsid w:val="002D4FEF"/>
    <w:rsid w:val="002D5654"/>
    <w:rsid w:val="002E5014"/>
    <w:rsid w:val="003007B5"/>
    <w:rsid w:val="003058C3"/>
    <w:rsid w:val="00326202"/>
    <w:rsid w:val="00333844"/>
    <w:rsid w:val="00334D9C"/>
    <w:rsid w:val="003467C6"/>
    <w:rsid w:val="0035180C"/>
    <w:rsid w:val="003567E9"/>
    <w:rsid w:val="00361BA1"/>
    <w:rsid w:val="00374F1A"/>
    <w:rsid w:val="00377F5E"/>
    <w:rsid w:val="00384C63"/>
    <w:rsid w:val="003854B8"/>
    <w:rsid w:val="00391E57"/>
    <w:rsid w:val="00392AD6"/>
    <w:rsid w:val="003931EF"/>
    <w:rsid w:val="003A3332"/>
    <w:rsid w:val="003A6B7C"/>
    <w:rsid w:val="003A6D0A"/>
    <w:rsid w:val="003B4369"/>
    <w:rsid w:val="003B7487"/>
    <w:rsid w:val="003C11A7"/>
    <w:rsid w:val="003C2D2F"/>
    <w:rsid w:val="003C721C"/>
    <w:rsid w:val="003D092C"/>
    <w:rsid w:val="003D1D71"/>
    <w:rsid w:val="003D1F08"/>
    <w:rsid w:val="003D7CC5"/>
    <w:rsid w:val="003E1DA2"/>
    <w:rsid w:val="003E5FCC"/>
    <w:rsid w:val="003F176A"/>
    <w:rsid w:val="003F6A49"/>
    <w:rsid w:val="00400621"/>
    <w:rsid w:val="00400CCB"/>
    <w:rsid w:val="00401E4B"/>
    <w:rsid w:val="0040221C"/>
    <w:rsid w:val="004125A4"/>
    <w:rsid w:val="00413708"/>
    <w:rsid w:val="004232EE"/>
    <w:rsid w:val="0042471A"/>
    <w:rsid w:val="00447A09"/>
    <w:rsid w:val="00447D7B"/>
    <w:rsid w:val="0046765B"/>
    <w:rsid w:val="00470356"/>
    <w:rsid w:val="00480937"/>
    <w:rsid w:val="00496C3A"/>
    <w:rsid w:val="004A20BE"/>
    <w:rsid w:val="004A2CA3"/>
    <w:rsid w:val="004A68D5"/>
    <w:rsid w:val="004B5F8C"/>
    <w:rsid w:val="004C4283"/>
    <w:rsid w:val="004E49EB"/>
    <w:rsid w:val="0050733A"/>
    <w:rsid w:val="00514090"/>
    <w:rsid w:val="00514544"/>
    <w:rsid w:val="005163F5"/>
    <w:rsid w:val="005205CA"/>
    <w:rsid w:val="0052793D"/>
    <w:rsid w:val="00534096"/>
    <w:rsid w:val="005434F3"/>
    <w:rsid w:val="0055259E"/>
    <w:rsid w:val="005529EB"/>
    <w:rsid w:val="005571AF"/>
    <w:rsid w:val="005601BB"/>
    <w:rsid w:val="00573850"/>
    <w:rsid w:val="005776C7"/>
    <w:rsid w:val="00581088"/>
    <w:rsid w:val="005C0F01"/>
    <w:rsid w:val="005D3F6B"/>
    <w:rsid w:val="005D4F00"/>
    <w:rsid w:val="0060003E"/>
    <w:rsid w:val="006040A9"/>
    <w:rsid w:val="00604C60"/>
    <w:rsid w:val="00606096"/>
    <w:rsid w:val="00610215"/>
    <w:rsid w:val="006135A5"/>
    <w:rsid w:val="006154C4"/>
    <w:rsid w:val="00632EE3"/>
    <w:rsid w:val="00644F27"/>
    <w:rsid w:val="0066080E"/>
    <w:rsid w:val="00660D42"/>
    <w:rsid w:val="00660D47"/>
    <w:rsid w:val="00660F28"/>
    <w:rsid w:val="006654CA"/>
    <w:rsid w:val="00665EA0"/>
    <w:rsid w:val="006671E2"/>
    <w:rsid w:val="00670798"/>
    <w:rsid w:val="0067453C"/>
    <w:rsid w:val="00692C6E"/>
    <w:rsid w:val="006A3344"/>
    <w:rsid w:val="006B321B"/>
    <w:rsid w:val="006C7A46"/>
    <w:rsid w:val="006D0BC5"/>
    <w:rsid w:val="006D32D1"/>
    <w:rsid w:val="006D3E2D"/>
    <w:rsid w:val="006D672B"/>
    <w:rsid w:val="006E4B71"/>
    <w:rsid w:val="006F179D"/>
    <w:rsid w:val="006F31A1"/>
    <w:rsid w:val="006F736F"/>
    <w:rsid w:val="007048E0"/>
    <w:rsid w:val="00712FE9"/>
    <w:rsid w:val="00717A1A"/>
    <w:rsid w:val="00726A0A"/>
    <w:rsid w:val="00727B32"/>
    <w:rsid w:val="0073252A"/>
    <w:rsid w:val="00765107"/>
    <w:rsid w:val="00780B29"/>
    <w:rsid w:val="0078764B"/>
    <w:rsid w:val="007925A0"/>
    <w:rsid w:val="007B3422"/>
    <w:rsid w:val="007B56C6"/>
    <w:rsid w:val="007C29DD"/>
    <w:rsid w:val="007C5DA6"/>
    <w:rsid w:val="007E4284"/>
    <w:rsid w:val="007F1243"/>
    <w:rsid w:val="007F5E20"/>
    <w:rsid w:val="007F7CC8"/>
    <w:rsid w:val="00806D33"/>
    <w:rsid w:val="00810FF4"/>
    <w:rsid w:val="008236E5"/>
    <w:rsid w:val="00824EAC"/>
    <w:rsid w:val="008333EE"/>
    <w:rsid w:val="008413A8"/>
    <w:rsid w:val="008471BD"/>
    <w:rsid w:val="008513AD"/>
    <w:rsid w:val="00851E4A"/>
    <w:rsid w:val="008629B1"/>
    <w:rsid w:val="008729C7"/>
    <w:rsid w:val="00880B51"/>
    <w:rsid w:val="00881FB6"/>
    <w:rsid w:val="00886F86"/>
    <w:rsid w:val="00892719"/>
    <w:rsid w:val="00896E97"/>
    <w:rsid w:val="008A026B"/>
    <w:rsid w:val="008A50DA"/>
    <w:rsid w:val="008B33E9"/>
    <w:rsid w:val="008B4541"/>
    <w:rsid w:val="008C7692"/>
    <w:rsid w:val="008D3C86"/>
    <w:rsid w:val="008D500E"/>
    <w:rsid w:val="008E22C3"/>
    <w:rsid w:val="008F1821"/>
    <w:rsid w:val="008F31F1"/>
    <w:rsid w:val="008F6039"/>
    <w:rsid w:val="008F613E"/>
    <w:rsid w:val="00903BAC"/>
    <w:rsid w:val="00910D39"/>
    <w:rsid w:val="00914320"/>
    <w:rsid w:val="009204B4"/>
    <w:rsid w:val="00926D51"/>
    <w:rsid w:val="00930544"/>
    <w:rsid w:val="00940440"/>
    <w:rsid w:val="009438A2"/>
    <w:rsid w:val="00953C6D"/>
    <w:rsid w:val="00954387"/>
    <w:rsid w:val="00960411"/>
    <w:rsid w:val="00967C75"/>
    <w:rsid w:val="0097423F"/>
    <w:rsid w:val="009933C8"/>
    <w:rsid w:val="0099688D"/>
    <w:rsid w:val="009B2F0C"/>
    <w:rsid w:val="009B47AF"/>
    <w:rsid w:val="009B49BA"/>
    <w:rsid w:val="009B6EFD"/>
    <w:rsid w:val="009D126F"/>
    <w:rsid w:val="009D270A"/>
    <w:rsid w:val="009E1887"/>
    <w:rsid w:val="009E1F9C"/>
    <w:rsid w:val="009E585E"/>
    <w:rsid w:val="00A076BB"/>
    <w:rsid w:val="00A203F9"/>
    <w:rsid w:val="00A21D4B"/>
    <w:rsid w:val="00A22180"/>
    <w:rsid w:val="00A22B8E"/>
    <w:rsid w:val="00A22EF3"/>
    <w:rsid w:val="00A22F0D"/>
    <w:rsid w:val="00A22FE8"/>
    <w:rsid w:val="00A2521A"/>
    <w:rsid w:val="00A25E22"/>
    <w:rsid w:val="00A369C1"/>
    <w:rsid w:val="00A422AF"/>
    <w:rsid w:val="00A42C57"/>
    <w:rsid w:val="00A5310E"/>
    <w:rsid w:val="00A533D7"/>
    <w:rsid w:val="00A600FA"/>
    <w:rsid w:val="00A6085F"/>
    <w:rsid w:val="00A611BD"/>
    <w:rsid w:val="00A61859"/>
    <w:rsid w:val="00A62079"/>
    <w:rsid w:val="00A7080B"/>
    <w:rsid w:val="00A716B4"/>
    <w:rsid w:val="00A73EEA"/>
    <w:rsid w:val="00A76EDC"/>
    <w:rsid w:val="00A82247"/>
    <w:rsid w:val="00A823DF"/>
    <w:rsid w:val="00A82D58"/>
    <w:rsid w:val="00A84382"/>
    <w:rsid w:val="00AB5234"/>
    <w:rsid w:val="00AB56CB"/>
    <w:rsid w:val="00AC553C"/>
    <w:rsid w:val="00AD0E87"/>
    <w:rsid w:val="00AD54F9"/>
    <w:rsid w:val="00AD6B34"/>
    <w:rsid w:val="00AD6DE2"/>
    <w:rsid w:val="00AE7849"/>
    <w:rsid w:val="00AE799E"/>
    <w:rsid w:val="00AF23B8"/>
    <w:rsid w:val="00B01850"/>
    <w:rsid w:val="00B17F3E"/>
    <w:rsid w:val="00B223D2"/>
    <w:rsid w:val="00B25A2C"/>
    <w:rsid w:val="00B30BAE"/>
    <w:rsid w:val="00B36A12"/>
    <w:rsid w:val="00B509CD"/>
    <w:rsid w:val="00B53646"/>
    <w:rsid w:val="00B573E2"/>
    <w:rsid w:val="00B60147"/>
    <w:rsid w:val="00B61600"/>
    <w:rsid w:val="00B6535E"/>
    <w:rsid w:val="00B67783"/>
    <w:rsid w:val="00B727EB"/>
    <w:rsid w:val="00B74F1F"/>
    <w:rsid w:val="00B75D07"/>
    <w:rsid w:val="00B848CA"/>
    <w:rsid w:val="00B916FF"/>
    <w:rsid w:val="00B948B9"/>
    <w:rsid w:val="00B96D54"/>
    <w:rsid w:val="00BA7B19"/>
    <w:rsid w:val="00BB7D01"/>
    <w:rsid w:val="00BC1D39"/>
    <w:rsid w:val="00BC73AB"/>
    <w:rsid w:val="00BD7E4F"/>
    <w:rsid w:val="00BE6DAC"/>
    <w:rsid w:val="00BF0CC2"/>
    <w:rsid w:val="00BF3986"/>
    <w:rsid w:val="00BF5478"/>
    <w:rsid w:val="00BF7BA0"/>
    <w:rsid w:val="00C00C3A"/>
    <w:rsid w:val="00C02A6B"/>
    <w:rsid w:val="00C12A8B"/>
    <w:rsid w:val="00C12F3B"/>
    <w:rsid w:val="00C140C0"/>
    <w:rsid w:val="00C17C80"/>
    <w:rsid w:val="00C259EE"/>
    <w:rsid w:val="00C262ED"/>
    <w:rsid w:val="00C314ED"/>
    <w:rsid w:val="00C43E14"/>
    <w:rsid w:val="00C45894"/>
    <w:rsid w:val="00C4661B"/>
    <w:rsid w:val="00C55BF8"/>
    <w:rsid w:val="00C61301"/>
    <w:rsid w:val="00C63FC1"/>
    <w:rsid w:val="00C76832"/>
    <w:rsid w:val="00C76C4F"/>
    <w:rsid w:val="00C80C9B"/>
    <w:rsid w:val="00C8620F"/>
    <w:rsid w:val="00C96557"/>
    <w:rsid w:val="00C9774E"/>
    <w:rsid w:val="00CC1903"/>
    <w:rsid w:val="00CC4334"/>
    <w:rsid w:val="00CC6265"/>
    <w:rsid w:val="00CD07E3"/>
    <w:rsid w:val="00CD5B3B"/>
    <w:rsid w:val="00CD5B67"/>
    <w:rsid w:val="00CE5DDD"/>
    <w:rsid w:val="00CF0BA2"/>
    <w:rsid w:val="00CF6DE4"/>
    <w:rsid w:val="00D05525"/>
    <w:rsid w:val="00D069EE"/>
    <w:rsid w:val="00D1156C"/>
    <w:rsid w:val="00D14720"/>
    <w:rsid w:val="00D222AC"/>
    <w:rsid w:val="00D25633"/>
    <w:rsid w:val="00D262F6"/>
    <w:rsid w:val="00D26E7C"/>
    <w:rsid w:val="00D33780"/>
    <w:rsid w:val="00D34C89"/>
    <w:rsid w:val="00D36EDF"/>
    <w:rsid w:val="00D378DA"/>
    <w:rsid w:val="00D419CD"/>
    <w:rsid w:val="00D7702D"/>
    <w:rsid w:val="00D83C13"/>
    <w:rsid w:val="00D83FE0"/>
    <w:rsid w:val="00D85A86"/>
    <w:rsid w:val="00D907FD"/>
    <w:rsid w:val="00D90ED9"/>
    <w:rsid w:val="00D970E8"/>
    <w:rsid w:val="00D97EE0"/>
    <w:rsid w:val="00DC0696"/>
    <w:rsid w:val="00DC490A"/>
    <w:rsid w:val="00DD0D46"/>
    <w:rsid w:val="00DD1AB7"/>
    <w:rsid w:val="00DD4579"/>
    <w:rsid w:val="00DD54EA"/>
    <w:rsid w:val="00DF3B78"/>
    <w:rsid w:val="00DF5E2F"/>
    <w:rsid w:val="00E16575"/>
    <w:rsid w:val="00E2482C"/>
    <w:rsid w:val="00E3012C"/>
    <w:rsid w:val="00E50767"/>
    <w:rsid w:val="00E512EB"/>
    <w:rsid w:val="00E525FA"/>
    <w:rsid w:val="00E54AD4"/>
    <w:rsid w:val="00E6465F"/>
    <w:rsid w:val="00E64D22"/>
    <w:rsid w:val="00E71382"/>
    <w:rsid w:val="00E819E6"/>
    <w:rsid w:val="00E84A96"/>
    <w:rsid w:val="00E92E25"/>
    <w:rsid w:val="00EB5F6E"/>
    <w:rsid w:val="00EC2097"/>
    <w:rsid w:val="00EE0B07"/>
    <w:rsid w:val="00EE13DB"/>
    <w:rsid w:val="00F02057"/>
    <w:rsid w:val="00F12979"/>
    <w:rsid w:val="00F21DC0"/>
    <w:rsid w:val="00F32DF8"/>
    <w:rsid w:val="00F35B3B"/>
    <w:rsid w:val="00F36A13"/>
    <w:rsid w:val="00F5036D"/>
    <w:rsid w:val="00F56AFB"/>
    <w:rsid w:val="00F73B93"/>
    <w:rsid w:val="00F773C3"/>
    <w:rsid w:val="00F80033"/>
    <w:rsid w:val="00F806D4"/>
    <w:rsid w:val="00F81EB0"/>
    <w:rsid w:val="00F84AFE"/>
    <w:rsid w:val="00F86B35"/>
    <w:rsid w:val="00F91FA9"/>
    <w:rsid w:val="00FC046F"/>
    <w:rsid w:val="00FC79E5"/>
    <w:rsid w:val="00FD1E6B"/>
    <w:rsid w:val="00FD7973"/>
    <w:rsid w:val="00FE5128"/>
    <w:rsid w:val="00FF5C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0F181"/>
  <w15:chartTrackingRefBased/>
  <w15:docId w15:val="{7E27D6D8-A191-40C6-9CF4-E627B08B6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IN"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49"/>
  </w:style>
  <w:style w:type="paragraph" w:styleId="Heading1">
    <w:name w:val="heading 1"/>
    <w:basedOn w:val="Normal"/>
    <w:next w:val="Normal"/>
    <w:link w:val="Heading1Char"/>
    <w:uiPriority w:val="9"/>
    <w:qFormat/>
    <w:rsid w:val="00AE7849"/>
    <w:pPr>
      <w:keepNext/>
      <w:keepLines/>
      <w:pBdr>
        <w:bottom w:val="single" w:sz="4" w:space="2" w:color="ED7D31"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E7849"/>
    <w:pPr>
      <w:keepNext/>
      <w:keepLines/>
      <w:spacing w:before="120" w:after="0" w:line="240" w:lineRule="auto"/>
      <w:outlineLvl w:val="1"/>
    </w:pPr>
    <w:rPr>
      <w:rFonts w:asciiTheme="majorHAnsi" w:eastAsiaTheme="majorEastAsia" w:hAnsiTheme="majorHAnsi" w:cstheme="majorBidi"/>
      <w:color w:val="ED7D31" w:themeColor="accent2"/>
      <w:sz w:val="36"/>
      <w:szCs w:val="36"/>
    </w:rPr>
  </w:style>
  <w:style w:type="paragraph" w:styleId="Heading3">
    <w:name w:val="heading 3"/>
    <w:basedOn w:val="Normal"/>
    <w:next w:val="Normal"/>
    <w:link w:val="Heading3Char"/>
    <w:uiPriority w:val="9"/>
    <w:semiHidden/>
    <w:unhideWhenUsed/>
    <w:qFormat/>
    <w:rsid w:val="00AE7849"/>
    <w:pPr>
      <w:keepNext/>
      <w:keepLines/>
      <w:spacing w:before="80" w:after="0" w:line="240" w:lineRule="auto"/>
      <w:outlineLvl w:val="2"/>
    </w:pPr>
    <w:rPr>
      <w:rFonts w:asciiTheme="majorHAnsi" w:eastAsiaTheme="majorEastAsia" w:hAnsiTheme="majorHAnsi" w:cstheme="majorBidi"/>
      <w:color w:val="C45911" w:themeColor="accent2" w:themeShade="BF"/>
      <w:sz w:val="32"/>
      <w:szCs w:val="32"/>
    </w:rPr>
  </w:style>
  <w:style w:type="paragraph" w:styleId="Heading4">
    <w:name w:val="heading 4"/>
    <w:basedOn w:val="Normal"/>
    <w:next w:val="Normal"/>
    <w:link w:val="Heading4Char"/>
    <w:uiPriority w:val="9"/>
    <w:semiHidden/>
    <w:unhideWhenUsed/>
    <w:qFormat/>
    <w:rsid w:val="00AE7849"/>
    <w:pPr>
      <w:keepNext/>
      <w:keepLines/>
      <w:spacing w:before="80" w:after="0" w:line="240" w:lineRule="auto"/>
      <w:outlineLvl w:val="3"/>
    </w:pPr>
    <w:rPr>
      <w:rFonts w:asciiTheme="majorHAnsi" w:eastAsiaTheme="majorEastAsia" w:hAnsiTheme="majorHAnsi" w:cstheme="majorBidi"/>
      <w:i/>
      <w:iCs/>
      <w:color w:val="833C0B" w:themeColor="accent2" w:themeShade="80"/>
      <w:sz w:val="28"/>
      <w:szCs w:val="28"/>
    </w:rPr>
  </w:style>
  <w:style w:type="paragraph" w:styleId="Heading5">
    <w:name w:val="heading 5"/>
    <w:basedOn w:val="Normal"/>
    <w:next w:val="Normal"/>
    <w:link w:val="Heading5Char"/>
    <w:uiPriority w:val="9"/>
    <w:semiHidden/>
    <w:unhideWhenUsed/>
    <w:qFormat/>
    <w:rsid w:val="00AE7849"/>
    <w:pPr>
      <w:keepNext/>
      <w:keepLines/>
      <w:spacing w:before="80" w:after="0" w:line="240" w:lineRule="auto"/>
      <w:outlineLvl w:val="4"/>
    </w:pPr>
    <w:rPr>
      <w:rFonts w:asciiTheme="majorHAnsi" w:eastAsiaTheme="majorEastAsia" w:hAnsiTheme="majorHAnsi" w:cstheme="majorBidi"/>
      <w:color w:val="C45911" w:themeColor="accent2" w:themeShade="BF"/>
      <w:sz w:val="24"/>
      <w:szCs w:val="24"/>
    </w:rPr>
  </w:style>
  <w:style w:type="paragraph" w:styleId="Heading6">
    <w:name w:val="heading 6"/>
    <w:basedOn w:val="Normal"/>
    <w:next w:val="Normal"/>
    <w:link w:val="Heading6Char"/>
    <w:uiPriority w:val="9"/>
    <w:semiHidden/>
    <w:unhideWhenUsed/>
    <w:qFormat/>
    <w:rsid w:val="00AE7849"/>
    <w:pPr>
      <w:keepNext/>
      <w:keepLines/>
      <w:spacing w:before="80" w:after="0" w:line="240" w:lineRule="auto"/>
      <w:outlineLvl w:val="5"/>
    </w:pPr>
    <w:rPr>
      <w:rFonts w:asciiTheme="majorHAnsi" w:eastAsiaTheme="majorEastAsia" w:hAnsiTheme="majorHAnsi" w:cstheme="majorBidi"/>
      <w:i/>
      <w:iCs/>
      <w:color w:val="833C0B" w:themeColor="accent2" w:themeShade="80"/>
      <w:sz w:val="24"/>
      <w:szCs w:val="24"/>
    </w:rPr>
  </w:style>
  <w:style w:type="paragraph" w:styleId="Heading7">
    <w:name w:val="heading 7"/>
    <w:basedOn w:val="Normal"/>
    <w:next w:val="Normal"/>
    <w:link w:val="Heading7Char"/>
    <w:uiPriority w:val="9"/>
    <w:semiHidden/>
    <w:unhideWhenUsed/>
    <w:qFormat/>
    <w:rsid w:val="00AE7849"/>
    <w:pPr>
      <w:keepNext/>
      <w:keepLines/>
      <w:spacing w:before="80" w:after="0" w:line="240" w:lineRule="auto"/>
      <w:outlineLvl w:val="6"/>
    </w:pPr>
    <w:rPr>
      <w:rFonts w:asciiTheme="majorHAnsi" w:eastAsiaTheme="majorEastAsia" w:hAnsiTheme="majorHAnsi" w:cstheme="majorBidi"/>
      <w:b/>
      <w:bCs/>
      <w:color w:val="833C0B" w:themeColor="accent2" w:themeShade="80"/>
      <w:sz w:val="22"/>
      <w:szCs w:val="22"/>
    </w:rPr>
  </w:style>
  <w:style w:type="paragraph" w:styleId="Heading8">
    <w:name w:val="heading 8"/>
    <w:basedOn w:val="Normal"/>
    <w:next w:val="Normal"/>
    <w:link w:val="Heading8Char"/>
    <w:uiPriority w:val="9"/>
    <w:semiHidden/>
    <w:unhideWhenUsed/>
    <w:qFormat/>
    <w:rsid w:val="00AE7849"/>
    <w:pPr>
      <w:keepNext/>
      <w:keepLines/>
      <w:spacing w:before="80" w:after="0" w:line="240" w:lineRule="auto"/>
      <w:outlineLvl w:val="7"/>
    </w:pPr>
    <w:rPr>
      <w:rFonts w:asciiTheme="majorHAnsi" w:eastAsiaTheme="majorEastAsia" w:hAnsiTheme="majorHAnsi" w:cstheme="majorBidi"/>
      <w:color w:val="833C0B" w:themeColor="accent2" w:themeShade="80"/>
      <w:sz w:val="22"/>
      <w:szCs w:val="22"/>
    </w:rPr>
  </w:style>
  <w:style w:type="paragraph" w:styleId="Heading9">
    <w:name w:val="heading 9"/>
    <w:basedOn w:val="Normal"/>
    <w:next w:val="Normal"/>
    <w:link w:val="Heading9Char"/>
    <w:uiPriority w:val="9"/>
    <w:semiHidden/>
    <w:unhideWhenUsed/>
    <w:qFormat/>
    <w:rsid w:val="00AE7849"/>
    <w:pPr>
      <w:keepNext/>
      <w:keepLines/>
      <w:spacing w:before="80" w:after="0" w:line="240" w:lineRule="auto"/>
      <w:outlineLvl w:val="8"/>
    </w:pPr>
    <w:rPr>
      <w:rFonts w:asciiTheme="majorHAnsi" w:eastAsiaTheme="majorEastAsia" w:hAnsiTheme="majorHAnsi" w:cstheme="majorBidi"/>
      <w:i/>
      <w:iCs/>
      <w:color w:val="833C0B"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A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AFB"/>
  </w:style>
  <w:style w:type="paragraph" w:styleId="Footer">
    <w:name w:val="footer"/>
    <w:basedOn w:val="Normal"/>
    <w:link w:val="FooterChar"/>
    <w:uiPriority w:val="99"/>
    <w:unhideWhenUsed/>
    <w:rsid w:val="00F56A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AFB"/>
  </w:style>
  <w:style w:type="table" w:styleId="TableGrid">
    <w:name w:val="Table Grid"/>
    <w:basedOn w:val="TableNormal"/>
    <w:uiPriority w:val="39"/>
    <w:rsid w:val="003A6B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E7849"/>
    <w:pPr>
      <w:spacing w:after="0" w:line="240" w:lineRule="auto"/>
    </w:pPr>
  </w:style>
  <w:style w:type="character" w:customStyle="1" w:styleId="Heading1Char">
    <w:name w:val="Heading 1 Char"/>
    <w:basedOn w:val="DefaultParagraphFont"/>
    <w:link w:val="Heading1"/>
    <w:uiPriority w:val="9"/>
    <w:rsid w:val="00AE7849"/>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E7849"/>
    <w:rPr>
      <w:rFonts w:asciiTheme="majorHAnsi" w:eastAsiaTheme="majorEastAsia" w:hAnsiTheme="majorHAnsi" w:cstheme="majorBidi"/>
      <w:color w:val="ED7D31" w:themeColor="accent2"/>
      <w:sz w:val="36"/>
      <w:szCs w:val="36"/>
    </w:rPr>
  </w:style>
  <w:style w:type="character" w:customStyle="1" w:styleId="Heading3Char">
    <w:name w:val="Heading 3 Char"/>
    <w:basedOn w:val="DefaultParagraphFont"/>
    <w:link w:val="Heading3"/>
    <w:uiPriority w:val="9"/>
    <w:semiHidden/>
    <w:rsid w:val="00AE7849"/>
    <w:rPr>
      <w:rFonts w:asciiTheme="majorHAnsi" w:eastAsiaTheme="majorEastAsia" w:hAnsiTheme="majorHAnsi" w:cstheme="majorBidi"/>
      <w:color w:val="C45911" w:themeColor="accent2" w:themeShade="BF"/>
      <w:sz w:val="32"/>
      <w:szCs w:val="32"/>
    </w:rPr>
  </w:style>
  <w:style w:type="character" w:customStyle="1" w:styleId="Heading4Char">
    <w:name w:val="Heading 4 Char"/>
    <w:basedOn w:val="DefaultParagraphFont"/>
    <w:link w:val="Heading4"/>
    <w:uiPriority w:val="9"/>
    <w:semiHidden/>
    <w:rsid w:val="00AE7849"/>
    <w:rPr>
      <w:rFonts w:asciiTheme="majorHAnsi" w:eastAsiaTheme="majorEastAsia" w:hAnsiTheme="majorHAnsi" w:cstheme="majorBidi"/>
      <w:i/>
      <w:iCs/>
      <w:color w:val="833C0B" w:themeColor="accent2" w:themeShade="80"/>
      <w:sz w:val="28"/>
      <w:szCs w:val="28"/>
    </w:rPr>
  </w:style>
  <w:style w:type="character" w:customStyle="1" w:styleId="Heading5Char">
    <w:name w:val="Heading 5 Char"/>
    <w:basedOn w:val="DefaultParagraphFont"/>
    <w:link w:val="Heading5"/>
    <w:uiPriority w:val="9"/>
    <w:semiHidden/>
    <w:rsid w:val="00AE7849"/>
    <w:rPr>
      <w:rFonts w:asciiTheme="majorHAnsi" w:eastAsiaTheme="majorEastAsia" w:hAnsiTheme="majorHAnsi" w:cstheme="majorBidi"/>
      <w:color w:val="C45911" w:themeColor="accent2" w:themeShade="BF"/>
      <w:sz w:val="24"/>
      <w:szCs w:val="24"/>
    </w:rPr>
  </w:style>
  <w:style w:type="character" w:customStyle="1" w:styleId="Heading6Char">
    <w:name w:val="Heading 6 Char"/>
    <w:basedOn w:val="DefaultParagraphFont"/>
    <w:link w:val="Heading6"/>
    <w:uiPriority w:val="9"/>
    <w:semiHidden/>
    <w:rsid w:val="00AE7849"/>
    <w:rPr>
      <w:rFonts w:asciiTheme="majorHAnsi" w:eastAsiaTheme="majorEastAsia" w:hAnsiTheme="majorHAnsi" w:cstheme="majorBidi"/>
      <w:i/>
      <w:iCs/>
      <w:color w:val="833C0B" w:themeColor="accent2" w:themeShade="80"/>
      <w:sz w:val="24"/>
      <w:szCs w:val="24"/>
    </w:rPr>
  </w:style>
  <w:style w:type="character" w:customStyle="1" w:styleId="Heading7Char">
    <w:name w:val="Heading 7 Char"/>
    <w:basedOn w:val="DefaultParagraphFont"/>
    <w:link w:val="Heading7"/>
    <w:uiPriority w:val="9"/>
    <w:semiHidden/>
    <w:rsid w:val="00AE7849"/>
    <w:rPr>
      <w:rFonts w:asciiTheme="majorHAnsi" w:eastAsiaTheme="majorEastAsia" w:hAnsiTheme="majorHAnsi" w:cstheme="majorBidi"/>
      <w:b/>
      <w:bCs/>
      <w:color w:val="833C0B" w:themeColor="accent2" w:themeShade="80"/>
      <w:sz w:val="22"/>
      <w:szCs w:val="22"/>
    </w:rPr>
  </w:style>
  <w:style w:type="character" w:customStyle="1" w:styleId="Heading8Char">
    <w:name w:val="Heading 8 Char"/>
    <w:basedOn w:val="DefaultParagraphFont"/>
    <w:link w:val="Heading8"/>
    <w:uiPriority w:val="9"/>
    <w:semiHidden/>
    <w:rsid w:val="00AE7849"/>
    <w:rPr>
      <w:rFonts w:asciiTheme="majorHAnsi" w:eastAsiaTheme="majorEastAsia" w:hAnsiTheme="majorHAnsi" w:cstheme="majorBidi"/>
      <w:color w:val="833C0B" w:themeColor="accent2" w:themeShade="80"/>
      <w:sz w:val="22"/>
      <w:szCs w:val="22"/>
    </w:rPr>
  </w:style>
  <w:style w:type="character" w:customStyle="1" w:styleId="Heading9Char">
    <w:name w:val="Heading 9 Char"/>
    <w:basedOn w:val="DefaultParagraphFont"/>
    <w:link w:val="Heading9"/>
    <w:uiPriority w:val="9"/>
    <w:semiHidden/>
    <w:rsid w:val="00AE7849"/>
    <w:rPr>
      <w:rFonts w:asciiTheme="majorHAnsi" w:eastAsiaTheme="majorEastAsia" w:hAnsiTheme="majorHAnsi" w:cstheme="majorBidi"/>
      <w:i/>
      <w:iCs/>
      <w:color w:val="833C0B" w:themeColor="accent2" w:themeShade="80"/>
      <w:sz w:val="22"/>
      <w:szCs w:val="22"/>
    </w:rPr>
  </w:style>
  <w:style w:type="paragraph" w:styleId="Caption">
    <w:name w:val="caption"/>
    <w:basedOn w:val="Normal"/>
    <w:next w:val="Normal"/>
    <w:uiPriority w:val="35"/>
    <w:semiHidden/>
    <w:unhideWhenUsed/>
    <w:qFormat/>
    <w:rsid w:val="00AE7849"/>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E7849"/>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E7849"/>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E7849"/>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E7849"/>
    <w:rPr>
      <w:caps/>
      <w:color w:val="404040" w:themeColor="text1" w:themeTint="BF"/>
      <w:spacing w:val="20"/>
      <w:sz w:val="28"/>
      <w:szCs w:val="28"/>
    </w:rPr>
  </w:style>
  <w:style w:type="character" w:styleId="Strong">
    <w:name w:val="Strong"/>
    <w:basedOn w:val="DefaultParagraphFont"/>
    <w:uiPriority w:val="22"/>
    <w:qFormat/>
    <w:rsid w:val="00AE7849"/>
    <w:rPr>
      <w:b/>
      <w:bCs/>
    </w:rPr>
  </w:style>
  <w:style w:type="character" w:styleId="Emphasis">
    <w:name w:val="Emphasis"/>
    <w:basedOn w:val="DefaultParagraphFont"/>
    <w:uiPriority w:val="20"/>
    <w:qFormat/>
    <w:rsid w:val="00AE7849"/>
    <w:rPr>
      <w:i/>
      <w:iCs/>
      <w:color w:val="000000" w:themeColor="text1"/>
    </w:rPr>
  </w:style>
  <w:style w:type="paragraph" w:styleId="Quote">
    <w:name w:val="Quote"/>
    <w:basedOn w:val="Normal"/>
    <w:next w:val="Normal"/>
    <w:link w:val="QuoteChar"/>
    <w:uiPriority w:val="29"/>
    <w:qFormat/>
    <w:rsid w:val="00AE7849"/>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E7849"/>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E7849"/>
    <w:pPr>
      <w:pBdr>
        <w:top w:val="single" w:sz="24" w:space="4" w:color="ED7D31"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E7849"/>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E7849"/>
    <w:rPr>
      <w:i/>
      <w:iCs/>
      <w:color w:val="595959" w:themeColor="text1" w:themeTint="A6"/>
    </w:rPr>
  </w:style>
  <w:style w:type="character" w:styleId="IntenseEmphasis">
    <w:name w:val="Intense Emphasis"/>
    <w:basedOn w:val="DefaultParagraphFont"/>
    <w:uiPriority w:val="21"/>
    <w:qFormat/>
    <w:rsid w:val="00AE7849"/>
    <w:rPr>
      <w:b/>
      <w:bCs/>
      <w:i/>
      <w:iCs/>
      <w:caps w:val="0"/>
      <w:smallCaps w:val="0"/>
      <w:strike w:val="0"/>
      <w:dstrike w:val="0"/>
      <w:color w:val="ED7D31" w:themeColor="accent2"/>
    </w:rPr>
  </w:style>
  <w:style w:type="character" w:styleId="SubtleReference">
    <w:name w:val="Subtle Reference"/>
    <w:basedOn w:val="DefaultParagraphFont"/>
    <w:uiPriority w:val="31"/>
    <w:qFormat/>
    <w:rsid w:val="00AE7849"/>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E7849"/>
    <w:rPr>
      <w:b/>
      <w:bCs/>
      <w:caps w:val="0"/>
      <w:smallCaps/>
      <w:color w:val="auto"/>
      <w:spacing w:val="0"/>
      <w:u w:val="single"/>
    </w:rPr>
  </w:style>
  <w:style w:type="character" w:styleId="BookTitle">
    <w:name w:val="Book Title"/>
    <w:basedOn w:val="DefaultParagraphFont"/>
    <w:uiPriority w:val="33"/>
    <w:qFormat/>
    <w:rsid w:val="00AE7849"/>
    <w:rPr>
      <w:b/>
      <w:bCs/>
      <w:caps w:val="0"/>
      <w:smallCaps/>
      <w:spacing w:val="0"/>
    </w:rPr>
  </w:style>
  <w:style w:type="paragraph" w:styleId="TOCHeading">
    <w:name w:val="TOC Heading"/>
    <w:basedOn w:val="Heading1"/>
    <w:next w:val="Normal"/>
    <w:uiPriority w:val="39"/>
    <w:semiHidden/>
    <w:unhideWhenUsed/>
    <w:qFormat/>
    <w:rsid w:val="00AE7849"/>
    <w:pPr>
      <w:outlineLvl w:val="9"/>
    </w:pPr>
  </w:style>
  <w:style w:type="paragraph" w:styleId="ListParagraph">
    <w:name w:val="List Paragraph"/>
    <w:basedOn w:val="Normal"/>
    <w:uiPriority w:val="34"/>
    <w:qFormat/>
    <w:rsid w:val="009E585E"/>
    <w:pPr>
      <w:ind w:left="720"/>
      <w:contextualSpacing/>
    </w:pPr>
  </w:style>
  <w:style w:type="character" w:customStyle="1" w:styleId="red-underline">
    <w:name w:val="red-underline"/>
    <w:basedOn w:val="DefaultParagraphFont"/>
    <w:rsid w:val="00D262F6"/>
  </w:style>
  <w:style w:type="character" w:styleId="Hyperlink">
    <w:name w:val="Hyperlink"/>
    <w:basedOn w:val="DefaultParagraphFont"/>
    <w:uiPriority w:val="99"/>
    <w:unhideWhenUsed/>
    <w:rsid w:val="00E84A96"/>
    <w:rPr>
      <w:color w:val="0000FF"/>
      <w:u w:val="single"/>
    </w:rPr>
  </w:style>
  <w:style w:type="character" w:styleId="UnresolvedMention">
    <w:name w:val="Unresolved Mention"/>
    <w:basedOn w:val="DefaultParagraphFont"/>
    <w:uiPriority w:val="99"/>
    <w:semiHidden/>
    <w:unhideWhenUsed/>
    <w:rsid w:val="00E84A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tn.gov.i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rchiips.org/nfh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wcd.gov.in" TargetMode="External"/><Relationship Id="rId5" Type="http://schemas.openxmlformats.org/officeDocument/2006/relationships/footnotes" Target="footnotes.xml"/><Relationship Id="rId10" Type="http://schemas.openxmlformats.org/officeDocument/2006/relationships/hyperlink" Target="https://www.nhp.gov.in/universal-immunisation-programme_pg" TargetMode="External"/><Relationship Id="rId4" Type="http://schemas.openxmlformats.org/officeDocument/2006/relationships/webSettings" Target="webSettings.xml"/><Relationship Id="rId9" Type="http://schemas.openxmlformats.org/officeDocument/2006/relationships/hyperlink" Target="http://www.hnhp.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1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F2FA90A-8B3C-4928-BDE8-9634BF094CBC}">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1923</TotalTime>
  <Pages>4</Pages>
  <Words>2437</Words>
  <Characters>13896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Prabhu K</cp:lastModifiedBy>
  <cp:revision>285</cp:revision>
  <dcterms:created xsi:type="dcterms:W3CDTF">2022-03-01T05:29:00Z</dcterms:created>
  <dcterms:modified xsi:type="dcterms:W3CDTF">2022-08-07T13:47:00Z</dcterms:modified>
</cp:coreProperties>
</file>