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D0" w:rsidRPr="00691CB2" w:rsidRDefault="00A4008C" w:rsidP="00D54A3D">
      <w:pPr>
        <w:jc w:val="center"/>
        <w:rPr>
          <w:rFonts w:ascii="Times New Roman" w:hAnsi="Times New Roman" w:cs="Times New Roman"/>
          <w:b/>
          <w:sz w:val="48"/>
          <w:szCs w:val="48"/>
        </w:rPr>
      </w:pPr>
      <w:r w:rsidRPr="00691CB2">
        <w:rPr>
          <w:rFonts w:ascii="Times New Roman" w:hAnsi="Times New Roman" w:cs="Times New Roman"/>
          <w:b/>
          <w:sz w:val="48"/>
          <w:szCs w:val="48"/>
        </w:rPr>
        <w:t>The</w:t>
      </w:r>
      <w:r w:rsidR="00C5764A" w:rsidRPr="00691CB2">
        <w:rPr>
          <w:rFonts w:ascii="Times New Roman" w:hAnsi="Times New Roman" w:cs="Times New Roman"/>
          <w:b/>
          <w:sz w:val="48"/>
          <w:szCs w:val="48"/>
        </w:rPr>
        <w:t xml:space="preserve"> Scenario</w:t>
      </w:r>
      <w:r w:rsidR="00CD0CCB" w:rsidRPr="00691CB2">
        <w:rPr>
          <w:rFonts w:ascii="Times New Roman" w:hAnsi="Times New Roman" w:cs="Times New Roman"/>
          <w:b/>
          <w:sz w:val="48"/>
          <w:szCs w:val="48"/>
        </w:rPr>
        <w:t xml:space="preserve"> of Insurance Indus</w:t>
      </w:r>
      <w:r w:rsidR="004140C6" w:rsidRPr="00691CB2">
        <w:rPr>
          <w:rFonts w:ascii="Times New Roman" w:hAnsi="Times New Roman" w:cs="Times New Roman"/>
          <w:b/>
          <w:sz w:val="48"/>
          <w:szCs w:val="48"/>
        </w:rPr>
        <w:t xml:space="preserve">try in Bangladesh: </w:t>
      </w:r>
      <w:r w:rsidR="0001186F" w:rsidRPr="00691CB2">
        <w:rPr>
          <w:rFonts w:ascii="Times New Roman" w:hAnsi="Times New Roman" w:cs="Times New Roman"/>
          <w:b/>
          <w:sz w:val="48"/>
          <w:szCs w:val="48"/>
        </w:rPr>
        <w:t>Growth</w:t>
      </w:r>
      <w:r w:rsidR="00ED1714" w:rsidRPr="00691CB2">
        <w:rPr>
          <w:rFonts w:ascii="Times New Roman" w:hAnsi="Times New Roman" w:cs="Times New Roman"/>
          <w:b/>
          <w:sz w:val="48"/>
          <w:szCs w:val="48"/>
        </w:rPr>
        <w:t>, Threats</w:t>
      </w:r>
      <w:r w:rsidR="004140C6" w:rsidRPr="00691CB2">
        <w:rPr>
          <w:rFonts w:ascii="Times New Roman" w:hAnsi="Times New Roman" w:cs="Times New Roman"/>
          <w:b/>
          <w:sz w:val="48"/>
          <w:szCs w:val="48"/>
        </w:rPr>
        <w:t xml:space="preserve"> and O</w:t>
      </w:r>
      <w:r w:rsidR="00CD0CCB" w:rsidRPr="00691CB2">
        <w:rPr>
          <w:rFonts w:ascii="Times New Roman" w:hAnsi="Times New Roman" w:cs="Times New Roman"/>
          <w:b/>
          <w:sz w:val="48"/>
          <w:szCs w:val="48"/>
        </w:rPr>
        <w:t>pportunities</w:t>
      </w:r>
    </w:p>
    <w:p w:rsidR="00252DFA" w:rsidRPr="00434346" w:rsidRDefault="00252DFA" w:rsidP="00691CB2">
      <w:pPr>
        <w:spacing w:line="240" w:lineRule="auto"/>
        <w:jc w:val="center"/>
        <w:rPr>
          <w:rFonts w:ascii="Times New Roman" w:hAnsi="Times New Roman" w:cs="Times New Roman"/>
          <w:b/>
          <w:color w:val="7030A0"/>
          <w:sz w:val="24"/>
          <w:szCs w:val="24"/>
        </w:rPr>
      </w:pPr>
    </w:p>
    <w:p w:rsidR="00CB3D80" w:rsidRPr="005A23AE" w:rsidRDefault="00CB3D80" w:rsidP="00691CB2">
      <w:pPr>
        <w:spacing w:line="240" w:lineRule="auto"/>
        <w:jc w:val="center"/>
        <w:rPr>
          <w:rFonts w:ascii="Times New Roman" w:hAnsi="Times New Roman" w:cs="Times New Roman"/>
          <w:w w:val="105"/>
          <w:sz w:val="20"/>
          <w:szCs w:val="20"/>
        </w:rPr>
      </w:pPr>
      <w:r w:rsidRPr="005A23AE">
        <w:rPr>
          <w:rFonts w:ascii="Times New Roman" w:hAnsi="Times New Roman" w:cs="Times New Roman"/>
          <w:w w:val="105"/>
          <w:sz w:val="20"/>
          <w:szCs w:val="20"/>
        </w:rPr>
        <w:t>Md. Ibrahim</w:t>
      </w:r>
    </w:p>
    <w:p w:rsidR="0076479A" w:rsidRPr="005A23AE" w:rsidRDefault="0076479A" w:rsidP="00691CB2">
      <w:pPr>
        <w:spacing w:line="240" w:lineRule="auto"/>
        <w:jc w:val="center"/>
        <w:rPr>
          <w:rFonts w:ascii="Times New Roman" w:hAnsi="Times New Roman" w:cs="Times New Roman"/>
          <w:w w:val="105"/>
          <w:sz w:val="20"/>
          <w:szCs w:val="20"/>
        </w:rPr>
      </w:pPr>
      <w:r w:rsidRPr="005A23AE">
        <w:rPr>
          <w:rFonts w:ascii="Times New Roman" w:hAnsi="Times New Roman" w:cs="Times New Roman"/>
          <w:w w:val="105"/>
          <w:sz w:val="20"/>
          <w:szCs w:val="20"/>
        </w:rPr>
        <w:t>Ph.D. Scholar, School of Management Sciences</w:t>
      </w:r>
    </w:p>
    <w:p w:rsidR="0076479A" w:rsidRPr="005A23AE" w:rsidRDefault="0076479A" w:rsidP="00691CB2">
      <w:pPr>
        <w:spacing w:line="240" w:lineRule="auto"/>
        <w:jc w:val="center"/>
        <w:rPr>
          <w:rFonts w:ascii="Times New Roman" w:hAnsi="Times New Roman" w:cs="Times New Roman"/>
          <w:w w:val="105"/>
          <w:sz w:val="20"/>
          <w:szCs w:val="20"/>
        </w:rPr>
      </w:pPr>
      <w:proofErr w:type="spellStart"/>
      <w:proofErr w:type="gramStart"/>
      <w:r w:rsidRPr="005A23AE">
        <w:rPr>
          <w:rFonts w:ascii="Times New Roman" w:hAnsi="Times New Roman" w:cs="Times New Roman"/>
          <w:w w:val="105"/>
          <w:sz w:val="20"/>
          <w:szCs w:val="20"/>
        </w:rPr>
        <w:t>Apeejay</w:t>
      </w:r>
      <w:proofErr w:type="spellEnd"/>
      <w:r w:rsidRPr="005A23AE">
        <w:rPr>
          <w:rFonts w:ascii="Times New Roman" w:hAnsi="Times New Roman" w:cs="Times New Roman"/>
          <w:w w:val="105"/>
          <w:sz w:val="20"/>
          <w:szCs w:val="20"/>
        </w:rPr>
        <w:t xml:space="preserve"> </w:t>
      </w:r>
      <w:proofErr w:type="spellStart"/>
      <w:r w:rsidRPr="005A23AE">
        <w:rPr>
          <w:rFonts w:ascii="Times New Roman" w:hAnsi="Times New Roman" w:cs="Times New Roman"/>
          <w:w w:val="105"/>
          <w:sz w:val="20"/>
          <w:szCs w:val="20"/>
        </w:rPr>
        <w:t>Stya</w:t>
      </w:r>
      <w:proofErr w:type="spellEnd"/>
      <w:r w:rsidRPr="005A23AE">
        <w:rPr>
          <w:rFonts w:ascii="Times New Roman" w:hAnsi="Times New Roman" w:cs="Times New Roman"/>
          <w:w w:val="105"/>
          <w:sz w:val="20"/>
          <w:szCs w:val="20"/>
        </w:rPr>
        <w:t xml:space="preserve"> University, Haryana, India.</w:t>
      </w:r>
      <w:proofErr w:type="gramEnd"/>
    </w:p>
    <w:p w:rsidR="0076479A" w:rsidRPr="005A23AE" w:rsidRDefault="0076479A" w:rsidP="00691CB2">
      <w:pPr>
        <w:spacing w:line="240" w:lineRule="auto"/>
        <w:jc w:val="center"/>
        <w:rPr>
          <w:rFonts w:ascii="Times New Roman" w:hAnsi="Times New Roman" w:cs="Times New Roman"/>
          <w:w w:val="105"/>
          <w:sz w:val="20"/>
          <w:szCs w:val="20"/>
        </w:rPr>
      </w:pPr>
      <w:r w:rsidRPr="005A23AE">
        <w:rPr>
          <w:rFonts w:ascii="Times New Roman" w:hAnsi="Times New Roman" w:cs="Times New Roman"/>
          <w:w w:val="105"/>
          <w:sz w:val="20"/>
          <w:szCs w:val="20"/>
        </w:rPr>
        <w:t>E-mail: ibrahim.sbc123@gmail.com</w:t>
      </w:r>
    </w:p>
    <w:p w:rsidR="00CB3D80" w:rsidRPr="00195B21" w:rsidRDefault="00D54A3D" w:rsidP="00942D8D">
      <w:pPr>
        <w:spacing w:line="240" w:lineRule="auto"/>
        <w:jc w:val="center"/>
        <w:rPr>
          <w:rFonts w:ascii="Times New Roman" w:hAnsi="Times New Roman" w:cs="Times New Roman"/>
          <w:b/>
          <w:w w:val="105"/>
          <w:sz w:val="20"/>
          <w:szCs w:val="20"/>
        </w:rPr>
      </w:pPr>
      <w:r>
        <w:rPr>
          <w:rFonts w:ascii="Times New Roman" w:hAnsi="Times New Roman" w:cs="Times New Roman"/>
          <w:b/>
          <w:sz w:val="18"/>
          <w:szCs w:val="18"/>
        </w:rPr>
        <w:t xml:space="preserve">                                                                                                                           </w:t>
      </w:r>
      <w:r w:rsidR="00E874B4">
        <w:rPr>
          <w:rFonts w:ascii="Times New Roman" w:hAnsi="Times New Roman" w:cs="Times New Roman"/>
          <w:b/>
          <w:sz w:val="18"/>
          <w:szCs w:val="18"/>
        </w:rPr>
        <w:t xml:space="preserve">              </w:t>
      </w:r>
      <w:r>
        <w:rPr>
          <w:rFonts w:ascii="Times New Roman" w:hAnsi="Times New Roman" w:cs="Times New Roman"/>
          <w:b/>
          <w:sz w:val="18"/>
          <w:szCs w:val="18"/>
        </w:rPr>
        <w:t xml:space="preserve"> </w:t>
      </w:r>
    </w:p>
    <w:p w:rsidR="00942D8D" w:rsidRPr="005A23AE" w:rsidRDefault="000305AC" w:rsidP="00691CB2">
      <w:pPr>
        <w:spacing w:line="240" w:lineRule="auto"/>
        <w:ind w:left="540" w:hanging="180"/>
        <w:jc w:val="center"/>
        <w:rPr>
          <w:rFonts w:ascii="Times New Roman" w:hAnsi="Times New Roman" w:cs="Times New Roman"/>
          <w:b/>
          <w:sz w:val="20"/>
          <w:szCs w:val="20"/>
        </w:rPr>
      </w:pPr>
      <w:r w:rsidRPr="005A23AE">
        <w:rPr>
          <w:rFonts w:ascii="Times New Roman" w:hAnsi="Times New Roman" w:cs="Times New Roman"/>
          <w:b/>
          <w:sz w:val="20"/>
          <w:szCs w:val="20"/>
        </w:rPr>
        <w:t>Abstract</w:t>
      </w:r>
    </w:p>
    <w:p w:rsidR="0076479A" w:rsidRPr="00691CB2" w:rsidRDefault="004F594E" w:rsidP="00C75ADC">
      <w:pPr>
        <w:spacing w:line="360" w:lineRule="auto"/>
        <w:ind w:left="900" w:right="630" w:hanging="540"/>
        <w:jc w:val="both"/>
        <w:rPr>
          <w:rFonts w:ascii="Times New Roman" w:hAnsi="Times New Roman" w:cs="Times New Roman"/>
          <w:sz w:val="20"/>
          <w:szCs w:val="20"/>
        </w:rPr>
      </w:pPr>
      <w:r>
        <w:rPr>
          <w:rFonts w:ascii="Times New Roman" w:hAnsi="Times New Roman" w:cs="Times New Roman"/>
          <w:sz w:val="24"/>
          <w:szCs w:val="24"/>
        </w:rPr>
        <w:t xml:space="preserve">         </w:t>
      </w:r>
      <w:r w:rsidR="00D843A0">
        <w:rPr>
          <w:rFonts w:ascii="Times New Roman" w:hAnsi="Times New Roman" w:cs="Times New Roman"/>
          <w:sz w:val="24"/>
          <w:szCs w:val="24"/>
        </w:rPr>
        <w:tab/>
      </w:r>
      <w:r w:rsidR="002B214D" w:rsidRPr="00691CB2">
        <w:rPr>
          <w:rFonts w:ascii="Times New Roman" w:hAnsi="Times New Roman" w:cs="Times New Roman"/>
          <w:sz w:val="20"/>
          <w:szCs w:val="20"/>
        </w:rPr>
        <w:t>This chapter</w:t>
      </w:r>
      <w:r w:rsidRPr="00691CB2">
        <w:rPr>
          <w:rFonts w:ascii="Times New Roman" w:hAnsi="Times New Roman" w:cs="Times New Roman"/>
          <w:sz w:val="20"/>
          <w:szCs w:val="20"/>
        </w:rPr>
        <w:t xml:space="preserve"> will </w:t>
      </w:r>
      <w:r w:rsidR="007E54D4" w:rsidRPr="00691CB2">
        <w:rPr>
          <w:rFonts w:ascii="Times New Roman" w:hAnsi="Times New Roman" w:cs="Times New Roman"/>
          <w:sz w:val="20"/>
          <w:szCs w:val="20"/>
        </w:rPr>
        <w:t>demonstrate the</w:t>
      </w:r>
      <w:r w:rsidR="000305AC" w:rsidRPr="00691CB2">
        <w:rPr>
          <w:rFonts w:ascii="Times New Roman" w:hAnsi="Times New Roman" w:cs="Times New Roman"/>
          <w:sz w:val="20"/>
          <w:szCs w:val="20"/>
        </w:rPr>
        <w:t xml:space="preserve"> scenario of insurance industry in Bangladesh including to identify </w:t>
      </w:r>
      <w:r w:rsidR="00FC1152" w:rsidRPr="00691CB2">
        <w:rPr>
          <w:rFonts w:ascii="Times New Roman" w:hAnsi="Times New Roman" w:cs="Times New Roman"/>
          <w:sz w:val="20"/>
          <w:szCs w:val="20"/>
        </w:rPr>
        <w:t>growth, threats</w:t>
      </w:r>
      <w:r w:rsidR="000305AC" w:rsidRPr="00691CB2">
        <w:rPr>
          <w:rFonts w:ascii="Times New Roman" w:hAnsi="Times New Roman" w:cs="Times New Roman"/>
          <w:sz w:val="20"/>
          <w:szCs w:val="20"/>
        </w:rPr>
        <w:t xml:space="preserve"> and opportunities of this industry. This study is consisted with global insurance market share, nominal growth rate, growth rate with inflation adjusted, insurance penetration and density, market share of life and nonlife insurance market,</w:t>
      </w:r>
      <w:r w:rsidR="008822F1" w:rsidRPr="00691CB2">
        <w:rPr>
          <w:rFonts w:ascii="Times New Roman" w:hAnsi="Times New Roman" w:cs="Times New Roman"/>
          <w:sz w:val="20"/>
          <w:szCs w:val="20"/>
        </w:rPr>
        <w:t xml:space="preserve"> AAGR of premium, investment, and assets. The study revealed that global insurance market share of Bangladesh was 0.02 percent, nominal  growth rate was 7.6 percent, growth rate with inflation adjusted was 3.10 percent, premium volume was USD 1475 million in 2019.Market share between life and nonlife insurance was 70.03 percent and 29.97 percent in 2019.Global premium ranking position of Bangladesh was 68</w:t>
      </w:r>
      <w:r w:rsidR="008822F1" w:rsidRPr="00691CB2">
        <w:rPr>
          <w:rFonts w:ascii="Times New Roman" w:hAnsi="Times New Roman" w:cs="Times New Roman"/>
          <w:sz w:val="20"/>
          <w:szCs w:val="20"/>
          <w:vertAlign w:val="superscript"/>
        </w:rPr>
        <w:t>th</w:t>
      </w:r>
      <w:r w:rsidR="008822F1" w:rsidRPr="00691CB2">
        <w:rPr>
          <w:rFonts w:ascii="Times New Roman" w:hAnsi="Times New Roman" w:cs="Times New Roman"/>
          <w:sz w:val="20"/>
          <w:szCs w:val="20"/>
        </w:rPr>
        <w:t xml:space="preserve"> in 2019.</w:t>
      </w:r>
      <w:r w:rsidR="00552BA2" w:rsidRPr="00691CB2">
        <w:rPr>
          <w:rFonts w:ascii="Times New Roman" w:hAnsi="Times New Roman" w:cs="Times New Roman"/>
          <w:sz w:val="20"/>
          <w:szCs w:val="20"/>
        </w:rPr>
        <w:t xml:space="preserve"> Insurance penetration rate was 0.49 percent and density was USD 9 in 2019.AAGR of premium, </w:t>
      </w:r>
      <w:r w:rsidR="006E624F" w:rsidRPr="00691CB2">
        <w:rPr>
          <w:rFonts w:ascii="Times New Roman" w:hAnsi="Times New Roman" w:cs="Times New Roman"/>
          <w:sz w:val="20"/>
          <w:szCs w:val="20"/>
        </w:rPr>
        <w:t>investment,</w:t>
      </w:r>
      <w:r w:rsidR="00552BA2" w:rsidRPr="00691CB2">
        <w:rPr>
          <w:rFonts w:ascii="Times New Roman" w:hAnsi="Times New Roman" w:cs="Times New Roman"/>
          <w:sz w:val="20"/>
          <w:szCs w:val="20"/>
        </w:rPr>
        <w:t xml:space="preserve"> and assets we</w:t>
      </w:r>
      <w:r w:rsidR="006E624F" w:rsidRPr="00691CB2">
        <w:rPr>
          <w:rFonts w:ascii="Times New Roman" w:hAnsi="Times New Roman" w:cs="Times New Roman"/>
          <w:sz w:val="20"/>
          <w:szCs w:val="20"/>
        </w:rPr>
        <w:t>r</w:t>
      </w:r>
      <w:r w:rsidR="00552BA2" w:rsidRPr="00691CB2">
        <w:rPr>
          <w:rFonts w:ascii="Times New Roman" w:hAnsi="Times New Roman" w:cs="Times New Roman"/>
          <w:sz w:val="20"/>
          <w:szCs w:val="20"/>
        </w:rPr>
        <w:t>e 8.63 percent, 12.67 percent and 12.68 percent respectively.</w:t>
      </w:r>
      <w:r w:rsidR="008822F1" w:rsidRPr="00691CB2">
        <w:rPr>
          <w:rFonts w:ascii="Times New Roman" w:hAnsi="Times New Roman" w:cs="Times New Roman"/>
          <w:sz w:val="20"/>
          <w:szCs w:val="20"/>
        </w:rPr>
        <w:t xml:space="preserve"> </w:t>
      </w:r>
      <w:r w:rsidR="00552BA2" w:rsidRPr="00691CB2">
        <w:rPr>
          <w:rFonts w:ascii="Times New Roman" w:hAnsi="Times New Roman" w:cs="Times New Roman"/>
          <w:sz w:val="20"/>
          <w:szCs w:val="20"/>
        </w:rPr>
        <w:t>AAGR of life insurance premium was 13.30 percent and nonlife was 7.21 percent. AAGR of life insurance investment was 13.58 percent and nonlife was 12.58 percent. AAGR of life insurance assets was 11.60 percent and nonlife was 12.99 percent.  Complexity of claims s</w:t>
      </w:r>
      <w:r w:rsidR="006E624F" w:rsidRPr="00691CB2">
        <w:rPr>
          <w:rFonts w:ascii="Times New Roman" w:hAnsi="Times New Roman" w:cs="Times New Roman"/>
          <w:sz w:val="20"/>
          <w:szCs w:val="20"/>
        </w:rPr>
        <w:t>ettlement</w:t>
      </w:r>
      <w:r w:rsidR="00552BA2" w:rsidRPr="00691CB2">
        <w:rPr>
          <w:rFonts w:ascii="Times New Roman" w:hAnsi="Times New Roman" w:cs="Times New Roman"/>
          <w:sz w:val="20"/>
          <w:szCs w:val="20"/>
        </w:rPr>
        <w:t>, no harmonious relationship between insured and insurers</w:t>
      </w:r>
      <w:r w:rsidR="006E624F" w:rsidRPr="00691CB2">
        <w:rPr>
          <w:rFonts w:ascii="Times New Roman" w:hAnsi="Times New Roman" w:cs="Times New Roman"/>
          <w:sz w:val="20"/>
          <w:szCs w:val="20"/>
        </w:rPr>
        <w:t>, no professional skill manpower, inadequate IT based quality services</w:t>
      </w:r>
      <w:r w:rsidR="000229EB" w:rsidRPr="00691CB2">
        <w:rPr>
          <w:rFonts w:ascii="Times New Roman" w:hAnsi="Times New Roman" w:cs="Times New Roman"/>
          <w:sz w:val="20"/>
          <w:szCs w:val="20"/>
        </w:rPr>
        <w:t xml:space="preserve"> and traditional management </w:t>
      </w:r>
      <w:r w:rsidR="006E624F" w:rsidRPr="00691CB2">
        <w:rPr>
          <w:rFonts w:ascii="Times New Roman" w:hAnsi="Times New Roman" w:cs="Times New Roman"/>
          <w:sz w:val="20"/>
          <w:szCs w:val="20"/>
        </w:rPr>
        <w:t xml:space="preserve"> are the main threats </w:t>
      </w:r>
      <w:r w:rsidR="005A7C6D" w:rsidRPr="00691CB2">
        <w:rPr>
          <w:rFonts w:ascii="Times New Roman" w:hAnsi="Times New Roman" w:cs="Times New Roman"/>
          <w:sz w:val="20"/>
          <w:szCs w:val="20"/>
        </w:rPr>
        <w:t xml:space="preserve">for this industry. </w:t>
      </w:r>
      <w:r w:rsidR="006E624F" w:rsidRPr="00691CB2">
        <w:rPr>
          <w:rFonts w:ascii="Times New Roman" w:hAnsi="Times New Roman" w:cs="Times New Roman"/>
          <w:sz w:val="20"/>
          <w:szCs w:val="20"/>
        </w:rPr>
        <w:t xml:space="preserve">But, </w:t>
      </w:r>
      <w:r w:rsidR="00DC3B16" w:rsidRPr="00691CB2">
        <w:rPr>
          <w:rFonts w:ascii="Times New Roman" w:hAnsi="Times New Roman" w:cs="Times New Roman"/>
          <w:sz w:val="20"/>
          <w:szCs w:val="20"/>
        </w:rPr>
        <w:t>due to the implementation of various mega projects,</w:t>
      </w:r>
      <w:r w:rsidR="006E624F" w:rsidRPr="00691CB2">
        <w:rPr>
          <w:rFonts w:ascii="Times New Roman" w:hAnsi="Times New Roman" w:cs="Times New Roman"/>
          <w:sz w:val="20"/>
          <w:szCs w:val="20"/>
        </w:rPr>
        <w:t xml:space="preserve"> Bangladesh is expected a </w:t>
      </w:r>
      <w:r w:rsidR="005A7C6D" w:rsidRPr="00691CB2">
        <w:rPr>
          <w:rFonts w:ascii="Times New Roman" w:hAnsi="Times New Roman" w:cs="Times New Roman"/>
          <w:sz w:val="20"/>
          <w:szCs w:val="20"/>
        </w:rPr>
        <w:t>nonlife penetration</w:t>
      </w:r>
      <w:r w:rsidR="006E624F" w:rsidRPr="00691CB2">
        <w:rPr>
          <w:rFonts w:ascii="Times New Roman" w:hAnsi="Times New Roman" w:cs="Times New Roman"/>
          <w:sz w:val="20"/>
          <w:szCs w:val="20"/>
        </w:rPr>
        <w:t xml:space="preserve"> growth rate</w:t>
      </w:r>
      <w:r w:rsidR="00D54A3D" w:rsidRPr="00691CB2">
        <w:rPr>
          <w:rFonts w:ascii="Times New Roman" w:hAnsi="Times New Roman" w:cs="Times New Roman"/>
          <w:sz w:val="20"/>
          <w:szCs w:val="20"/>
        </w:rPr>
        <w:t xml:space="preserve"> o</w:t>
      </w:r>
      <w:r w:rsidR="006E624F" w:rsidRPr="00691CB2">
        <w:rPr>
          <w:rFonts w:ascii="Times New Roman" w:hAnsi="Times New Roman" w:cs="Times New Roman"/>
          <w:sz w:val="20"/>
          <w:szCs w:val="20"/>
        </w:rPr>
        <w:t>f 7.04 percent</w:t>
      </w:r>
      <w:r w:rsidR="00301E71" w:rsidRPr="00691CB2">
        <w:rPr>
          <w:rFonts w:ascii="Times New Roman" w:hAnsi="Times New Roman" w:cs="Times New Roman"/>
          <w:sz w:val="20"/>
          <w:szCs w:val="20"/>
        </w:rPr>
        <w:t xml:space="preserve"> and for life it was</w:t>
      </w:r>
      <w:r w:rsidR="00D54A3D" w:rsidRPr="00691CB2">
        <w:rPr>
          <w:rFonts w:ascii="Times New Roman" w:hAnsi="Times New Roman" w:cs="Times New Roman"/>
          <w:sz w:val="20"/>
          <w:szCs w:val="20"/>
        </w:rPr>
        <w:t xml:space="preserve"> 6.45 percent in 2020. Banc assurance, heal</w:t>
      </w:r>
      <w:r w:rsidR="00DC3B16" w:rsidRPr="00691CB2">
        <w:rPr>
          <w:rFonts w:ascii="Times New Roman" w:hAnsi="Times New Roman" w:cs="Times New Roman"/>
          <w:sz w:val="20"/>
          <w:szCs w:val="20"/>
        </w:rPr>
        <w:t>th insurance and agriculture insurance</w:t>
      </w:r>
      <w:r w:rsidR="00D54A3D" w:rsidRPr="00691CB2">
        <w:rPr>
          <w:rFonts w:ascii="Times New Roman" w:hAnsi="Times New Roman" w:cs="Times New Roman"/>
          <w:sz w:val="20"/>
          <w:szCs w:val="20"/>
        </w:rPr>
        <w:t xml:space="preserve"> options are also some opportunities for developing insurance industry in Bangladesh. </w:t>
      </w:r>
      <w:r w:rsidR="006E624F" w:rsidRPr="00691CB2">
        <w:rPr>
          <w:rFonts w:ascii="Times New Roman" w:hAnsi="Times New Roman" w:cs="Times New Roman"/>
          <w:sz w:val="20"/>
          <w:szCs w:val="20"/>
        </w:rPr>
        <w:t xml:space="preserve"> </w:t>
      </w:r>
    </w:p>
    <w:p w:rsidR="005A7C6D" w:rsidRPr="00691CB2" w:rsidRDefault="004F594E" w:rsidP="00C75ADC">
      <w:pPr>
        <w:pBdr>
          <w:bottom w:val="single" w:sz="4" w:space="31" w:color="auto"/>
        </w:pBdr>
        <w:spacing w:line="240" w:lineRule="auto"/>
        <w:ind w:left="540" w:hanging="540"/>
        <w:jc w:val="both"/>
        <w:rPr>
          <w:rFonts w:ascii="Times New Roman" w:hAnsi="Times New Roman" w:cs="Times New Roman"/>
          <w:sz w:val="20"/>
          <w:szCs w:val="20"/>
        </w:rPr>
      </w:pPr>
      <w:r w:rsidRPr="00691CB2">
        <w:rPr>
          <w:rFonts w:ascii="Times New Roman" w:hAnsi="Times New Roman" w:cs="Times New Roman"/>
          <w:b/>
          <w:i/>
          <w:sz w:val="20"/>
          <w:szCs w:val="20"/>
        </w:rPr>
        <w:t xml:space="preserve">        </w:t>
      </w:r>
      <w:r w:rsidR="00D54A3D" w:rsidRPr="00691CB2">
        <w:rPr>
          <w:rFonts w:ascii="Times New Roman" w:hAnsi="Times New Roman" w:cs="Times New Roman"/>
          <w:b/>
          <w:i/>
          <w:sz w:val="20"/>
          <w:szCs w:val="20"/>
        </w:rPr>
        <w:t>Keywords</w:t>
      </w:r>
      <w:r w:rsidR="00D54A3D" w:rsidRPr="00691CB2">
        <w:rPr>
          <w:rFonts w:ascii="Times New Roman" w:hAnsi="Times New Roman" w:cs="Times New Roman"/>
          <w:b/>
          <w:sz w:val="20"/>
          <w:szCs w:val="20"/>
        </w:rPr>
        <w:t>:</w:t>
      </w:r>
      <w:r w:rsidR="00D54A3D" w:rsidRPr="00691CB2">
        <w:rPr>
          <w:rFonts w:ascii="Times New Roman" w:hAnsi="Times New Roman" w:cs="Times New Roman"/>
          <w:sz w:val="20"/>
          <w:szCs w:val="20"/>
        </w:rPr>
        <w:t xml:space="preserve"> </w:t>
      </w:r>
      <w:r w:rsidR="00F3142B" w:rsidRPr="00691CB2">
        <w:rPr>
          <w:rFonts w:ascii="Times New Roman" w:hAnsi="Times New Roman" w:cs="Times New Roman"/>
          <w:sz w:val="20"/>
          <w:szCs w:val="20"/>
        </w:rPr>
        <w:t>Scenario,</w:t>
      </w:r>
      <w:r w:rsidR="00C86617" w:rsidRPr="00691CB2">
        <w:rPr>
          <w:rFonts w:ascii="Times New Roman" w:hAnsi="Times New Roman" w:cs="Times New Roman"/>
          <w:sz w:val="20"/>
          <w:szCs w:val="20"/>
        </w:rPr>
        <w:t xml:space="preserve"> growth rate,</w:t>
      </w:r>
      <w:r w:rsidR="00F3142B" w:rsidRPr="00691CB2">
        <w:rPr>
          <w:rFonts w:ascii="Times New Roman" w:hAnsi="Times New Roman" w:cs="Times New Roman"/>
          <w:sz w:val="20"/>
          <w:szCs w:val="20"/>
        </w:rPr>
        <w:t xml:space="preserve"> </w:t>
      </w:r>
      <w:r w:rsidR="00434346" w:rsidRPr="00691CB2">
        <w:rPr>
          <w:rFonts w:ascii="Times New Roman" w:hAnsi="Times New Roman" w:cs="Times New Roman"/>
          <w:sz w:val="20"/>
          <w:szCs w:val="20"/>
        </w:rPr>
        <w:t>market share</w:t>
      </w:r>
      <w:r w:rsidR="00BB0D76" w:rsidRPr="00691CB2">
        <w:rPr>
          <w:rFonts w:ascii="Times New Roman" w:hAnsi="Times New Roman" w:cs="Times New Roman"/>
          <w:sz w:val="20"/>
          <w:szCs w:val="20"/>
        </w:rPr>
        <w:t>, penetration</w:t>
      </w:r>
      <w:r w:rsidR="00F3142B" w:rsidRPr="00691CB2">
        <w:rPr>
          <w:rFonts w:ascii="Times New Roman" w:hAnsi="Times New Roman" w:cs="Times New Roman"/>
          <w:sz w:val="20"/>
          <w:szCs w:val="20"/>
        </w:rPr>
        <w:t xml:space="preserve">, </w:t>
      </w:r>
      <w:r w:rsidR="00D54A3D" w:rsidRPr="00691CB2">
        <w:rPr>
          <w:rFonts w:ascii="Times New Roman" w:hAnsi="Times New Roman" w:cs="Times New Roman"/>
          <w:sz w:val="20"/>
          <w:szCs w:val="20"/>
        </w:rPr>
        <w:t>densi</w:t>
      </w:r>
      <w:r w:rsidR="005A7C6D" w:rsidRPr="00691CB2">
        <w:rPr>
          <w:rFonts w:ascii="Times New Roman" w:hAnsi="Times New Roman" w:cs="Times New Roman"/>
          <w:sz w:val="20"/>
          <w:szCs w:val="20"/>
        </w:rPr>
        <w:t>ty, premium, investment, assets, threats</w:t>
      </w:r>
      <w:r w:rsidR="00D54A3D" w:rsidRPr="00691CB2">
        <w:rPr>
          <w:rFonts w:ascii="Times New Roman" w:hAnsi="Times New Roman" w:cs="Times New Roman"/>
          <w:sz w:val="20"/>
          <w:szCs w:val="20"/>
        </w:rPr>
        <w:t>, opportunities.</w:t>
      </w:r>
    </w:p>
    <w:p w:rsidR="00691CB2" w:rsidRDefault="00691CB2" w:rsidP="00691CB2">
      <w:pPr>
        <w:pStyle w:val="ListParagraph"/>
        <w:ind w:left="675"/>
        <w:rPr>
          <w:rFonts w:ascii="Times New Roman" w:hAnsi="Times New Roman" w:cs="Times New Roman"/>
          <w:b/>
          <w:sz w:val="24"/>
          <w:szCs w:val="24"/>
        </w:rPr>
      </w:pPr>
    </w:p>
    <w:p w:rsidR="00691CB2" w:rsidRPr="00D843A0" w:rsidRDefault="00691CB2" w:rsidP="00D843A0">
      <w:pPr>
        <w:rPr>
          <w:rFonts w:ascii="Times New Roman" w:hAnsi="Times New Roman" w:cs="Times New Roman"/>
          <w:b/>
          <w:sz w:val="24"/>
          <w:szCs w:val="24"/>
        </w:rPr>
      </w:pPr>
    </w:p>
    <w:p w:rsidR="00B0314F" w:rsidRPr="005B0C9F" w:rsidRDefault="002573E6" w:rsidP="002573E6">
      <w:pPr>
        <w:pStyle w:val="ListParagraph"/>
        <w:ind w:left="1755"/>
        <w:jc w:val="center"/>
        <w:rPr>
          <w:rFonts w:ascii="Times New Roman" w:hAnsi="Times New Roman" w:cs="Times New Roman"/>
          <w:b/>
          <w:sz w:val="20"/>
          <w:szCs w:val="20"/>
        </w:rPr>
      </w:pPr>
      <w:proofErr w:type="gramStart"/>
      <w:r>
        <w:rPr>
          <w:rFonts w:ascii="Times New Roman" w:hAnsi="Times New Roman" w:cs="Times New Roman"/>
          <w:b/>
          <w:sz w:val="20"/>
          <w:szCs w:val="20"/>
        </w:rPr>
        <w:lastRenderedPageBreak/>
        <w:t>1.</w:t>
      </w:r>
      <w:r w:rsidR="00CD0CCB" w:rsidRPr="005B0C9F">
        <w:rPr>
          <w:rFonts w:ascii="Times New Roman" w:hAnsi="Times New Roman" w:cs="Times New Roman"/>
          <w:b/>
          <w:sz w:val="20"/>
          <w:szCs w:val="20"/>
        </w:rPr>
        <w:t>Introduction</w:t>
      </w:r>
      <w:proofErr w:type="gramEnd"/>
    </w:p>
    <w:p w:rsidR="00691CB2" w:rsidRPr="00C75ADC" w:rsidRDefault="00691CB2" w:rsidP="00691CB2">
      <w:pPr>
        <w:pStyle w:val="ListParagraph"/>
        <w:ind w:left="675"/>
        <w:jc w:val="center"/>
        <w:rPr>
          <w:rFonts w:ascii="Times New Roman" w:hAnsi="Times New Roman" w:cs="Times New Roman"/>
          <w:b/>
          <w:sz w:val="24"/>
          <w:szCs w:val="24"/>
        </w:rPr>
      </w:pPr>
    </w:p>
    <w:p w:rsidR="00691CB2" w:rsidRPr="0022324B" w:rsidRDefault="005B0C9F" w:rsidP="0022324B">
      <w:pPr>
        <w:spacing w:line="240" w:lineRule="auto"/>
        <w:jc w:val="both"/>
        <w:rPr>
          <w:rFonts w:ascii="Times New Roman" w:hAnsi="Times New Roman" w:cs="Times New Roman"/>
          <w:sz w:val="20"/>
          <w:szCs w:val="20"/>
        </w:rPr>
      </w:pPr>
      <w:r>
        <w:rPr>
          <w:rFonts w:ascii="Times New Roman" w:hAnsi="Times New Roman" w:cs="Times New Roman"/>
          <w:b/>
          <w:color w:val="7030A0"/>
          <w:sz w:val="24"/>
          <w:szCs w:val="24"/>
        </w:rPr>
        <w:tab/>
      </w:r>
      <w:r w:rsidR="00D21EE1" w:rsidRPr="005B0C9F">
        <w:rPr>
          <w:rFonts w:ascii="Times New Roman" w:hAnsi="Times New Roman" w:cs="Times New Roman"/>
          <w:sz w:val="20"/>
          <w:szCs w:val="20"/>
        </w:rPr>
        <w:t xml:space="preserve">Insurance can be expressed as a cooperative tool to transfer the loss due to a fixed risk over a number of persons who are present to it </w:t>
      </w:r>
      <w:r w:rsidR="00157B19" w:rsidRPr="005B0C9F">
        <w:rPr>
          <w:rFonts w:ascii="Times New Roman" w:hAnsi="Times New Roman" w:cs="Times New Roman"/>
          <w:sz w:val="20"/>
          <w:szCs w:val="20"/>
        </w:rPr>
        <w:t>and who consent to insure themselves against that risk. Risk is the nonguaranteed of pecuniary loss (</w:t>
      </w:r>
      <w:proofErr w:type="spellStart"/>
      <w:r w:rsidR="00910C8E" w:rsidRPr="005B0C9F">
        <w:rPr>
          <w:rFonts w:ascii="Times New Roman" w:hAnsi="Times New Roman" w:cs="Times New Roman"/>
          <w:sz w:val="20"/>
          <w:szCs w:val="20"/>
        </w:rPr>
        <w:t>Mirsha</w:t>
      </w:r>
      <w:proofErr w:type="spellEnd"/>
      <w:r w:rsidR="00910C8E" w:rsidRPr="005B0C9F">
        <w:rPr>
          <w:rFonts w:ascii="Times New Roman" w:hAnsi="Times New Roman" w:cs="Times New Roman"/>
          <w:sz w:val="20"/>
          <w:szCs w:val="20"/>
        </w:rPr>
        <w:t>, 2009</w:t>
      </w:r>
      <w:r w:rsidR="00157B19" w:rsidRPr="005B0C9F">
        <w:rPr>
          <w:rFonts w:ascii="Times New Roman" w:hAnsi="Times New Roman" w:cs="Times New Roman"/>
          <w:sz w:val="20"/>
          <w:szCs w:val="20"/>
        </w:rPr>
        <w:t>)</w:t>
      </w:r>
      <w:r w:rsidR="003851AA" w:rsidRPr="005B0C9F">
        <w:rPr>
          <w:rFonts w:ascii="Times New Roman" w:hAnsi="Times New Roman" w:cs="Times New Roman"/>
          <w:sz w:val="20"/>
          <w:szCs w:val="20"/>
          <w:vertAlign w:val="superscript"/>
        </w:rPr>
        <w:t>1</w:t>
      </w:r>
      <w:r w:rsidR="00157B19" w:rsidRPr="005B0C9F">
        <w:rPr>
          <w:rFonts w:ascii="Times New Roman" w:hAnsi="Times New Roman" w:cs="Times New Roman"/>
          <w:sz w:val="20"/>
          <w:szCs w:val="20"/>
        </w:rPr>
        <w:t>.</w:t>
      </w:r>
      <w:r w:rsidR="00D21EE1" w:rsidRPr="005B0C9F">
        <w:rPr>
          <w:rFonts w:ascii="Times New Roman" w:hAnsi="Times New Roman" w:cs="Times New Roman"/>
          <w:sz w:val="20"/>
          <w:szCs w:val="20"/>
        </w:rPr>
        <w:t xml:space="preserve"> </w:t>
      </w:r>
      <w:r w:rsidR="00710E25" w:rsidRPr="005B0C9F">
        <w:rPr>
          <w:rFonts w:ascii="Times New Roman" w:hAnsi="Times New Roman" w:cs="Times New Roman"/>
          <w:sz w:val="20"/>
          <w:szCs w:val="20"/>
        </w:rPr>
        <w:t xml:space="preserve">Insurance is a financial </w:t>
      </w:r>
      <w:r w:rsidR="00D2695F" w:rsidRPr="005B0C9F">
        <w:rPr>
          <w:rFonts w:ascii="Helvetica" w:hAnsi="Helvetica" w:cs="Helvetica"/>
          <w:color w:val="767676"/>
          <w:sz w:val="20"/>
          <w:szCs w:val="20"/>
          <w:shd w:val="clear" w:color="auto" w:fill="FFFFFF"/>
        </w:rPr>
        <w:t xml:space="preserve">  </w:t>
      </w:r>
      <w:hyperlink r:id="rId9" w:history="1">
        <w:r w:rsidR="00D2695F" w:rsidRPr="005B0C9F">
          <w:rPr>
            <w:rStyle w:val="Hyperlink"/>
            <w:rFonts w:ascii="Helvetica" w:hAnsi="Helvetica" w:cs="Helvetica"/>
            <w:color w:val="auto"/>
            <w:sz w:val="20"/>
            <w:szCs w:val="20"/>
            <w:u w:val="none"/>
            <w:shd w:val="clear" w:color="auto" w:fill="FFFFFF"/>
          </w:rPr>
          <w:t>tool</w:t>
        </w:r>
      </w:hyperlink>
      <w:r w:rsidR="00710E25" w:rsidRPr="005B0C9F">
        <w:rPr>
          <w:rFonts w:ascii="Times New Roman" w:hAnsi="Times New Roman" w:cs="Times New Roman"/>
          <w:sz w:val="20"/>
          <w:szCs w:val="20"/>
        </w:rPr>
        <w:t xml:space="preserve"> which </w:t>
      </w:r>
      <w:hyperlink r:id="rId10" w:history="1">
        <w:r w:rsidR="00C3606B" w:rsidRPr="005B0C9F">
          <w:rPr>
            <w:rStyle w:val="Hyperlink"/>
            <w:rFonts w:ascii="Times New Roman" w:hAnsi="Times New Roman" w:cs="Times New Roman"/>
            <w:color w:val="auto"/>
            <w:sz w:val="20"/>
            <w:szCs w:val="20"/>
            <w:u w:val="none"/>
            <w:shd w:val="clear" w:color="auto" w:fill="FFFFFF"/>
          </w:rPr>
          <w:t>safeguard</w:t>
        </w:r>
      </w:hyperlink>
      <w:r w:rsidR="00C3606B" w:rsidRPr="005B0C9F">
        <w:rPr>
          <w:rFonts w:ascii="Times New Roman" w:hAnsi="Times New Roman" w:cs="Times New Roman"/>
          <w:sz w:val="20"/>
          <w:szCs w:val="20"/>
          <w:shd w:val="clear" w:color="auto" w:fill="FFFFFF"/>
        </w:rPr>
        <w:t> </w:t>
      </w:r>
      <w:r w:rsidR="00710E25" w:rsidRPr="005B0C9F">
        <w:rPr>
          <w:rFonts w:ascii="Times New Roman" w:hAnsi="Times New Roman" w:cs="Times New Roman"/>
          <w:sz w:val="20"/>
          <w:szCs w:val="20"/>
        </w:rPr>
        <w:t xml:space="preserve"> from the financial losses. A financial institution which delivers insurance service is called insurer, insurance company, or insurance carrier. A person or institution who receives insurance service is called insured or policy holder </w:t>
      </w:r>
      <w:r w:rsidR="00710E25" w:rsidRPr="005B0C9F">
        <w:rPr>
          <w:rFonts w:ascii="Times New Roman" w:hAnsi="Times New Roman" w:cs="Times New Roman"/>
          <w:sz w:val="20"/>
          <w:szCs w:val="20"/>
          <w:shd w:val="clear" w:color="auto" w:fill="FFFFFF"/>
        </w:rPr>
        <w:t>(Al-</w:t>
      </w:r>
      <w:proofErr w:type="spellStart"/>
      <w:r w:rsidR="00710E25" w:rsidRPr="005B0C9F">
        <w:rPr>
          <w:rFonts w:ascii="Times New Roman" w:hAnsi="Times New Roman" w:cs="Times New Roman"/>
          <w:sz w:val="20"/>
          <w:szCs w:val="20"/>
          <w:shd w:val="clear" w:color="auto" w:fill="FFFFFF"/>
        </w:rPr>
        <w:t>amin</w:t>
      </w:r>
      <w:proofErr w:type="spellEnd"/>
      <w:r w:rsidR="00710E25" w:rsidRPr="005B0C9F">
        <w:rPr>
          <w:rFonts w:ascii="Times New Roman" w:hAnsi="Times New Roman" w:cs="Times New Roman"/>
          <w:sz w:val="20"/>
          <w:szCs w:val="20"/>
          <w:shd w:val="clear" w:color="auto" w:fill="FFFFFF"/>
        </w:rPr>
        <w:t>, 2016)</w:t>
      </w:r>
      <w:r w:rsidR="005134AD" w:rsidRPr="005B0C9F">
        <w:rPr>
          <w:rFonts w:ascii="Times New Roman" w:hAnsi="Times New Roman" w:cs="Times New Roman"/>
          <w:sz w:val="20"/>
          <w:szCs w:val="20"/>
          <w:shd w:val="clear" w:color="auto" w:fill="FFFFFF"/>
          <w:vertAlign w:val="superscript"/>
        </w:rPr>
        <w:t>2</w:t>
      </w:r>
      <w:r w:rsidR="00710E25" w:rsidRPr="005B0C9F">
        <w:rPr>
          <w:rFonts w:ascii="Times New Roman" w:hAnsi="Times New Roman" w:cs="Times New Roman"/>
          <w:sz w:val="20"/>
          <w:szCs w:val="20"/>
          <w:shd w:val="clear" w:color="auto" w:fill="FFFFFF"/>
        </w:rPr>
        <w:t xml:space="preserve">. </w:t>
      </w:r>
      <w:r w:rsidR="00157B19" w:rsidRPr="005B0C9F">
        <w:rPr>
          <w:rFonts w:ascii="Times New Roman" w:hAnsi="Times New Roman" w:cs="Times New Roman"/>
          <w:sz w:val="20"/>
          <w:szCs w:val="20"/>
          <w:shd w:val="clear" w:color="auto" w:fill="FFFFFF"/>
        </w:rPr>
        <w:t xml:space="preserve">Insurance is </w:t>
      </w:r>
      <w:proofErr w:type="gramStart"/>
      <w:r w:rsidR="00157B19" w:rsidRPr="005B0C9F">
        <w:rPr>
          <w:rFonts w:ascii="Times New Roman" w:hAnsi="Times New Roman" w:cs="Times New Roman"/>
          <w:sz w:val="20"/>
          <w:szCs w:val="20"/>
          <w:shd w:val="clear" w:color="auto" w:fill="FFFFFF"/>
        </w:rPr>
        <w:t>an element</w:t>
      </w:r>
      <w:proofErr w:type="gramEnd"/>
      <w:r w:rsidR="00157B19" w:rsidRPr="005B0C9F">
        <w:rPr>
          <w:rFonts w:ascii="Times New Roman" w:hAnsi="Times New Roman" w:cs="Times New Roman"/>
          <w:sz w:val="20"/>
          <w:szCs w:val="20"/>
          <w:shd w:val="clear" w:color="auto" w:fill="FFFFFF"/>
        </w:rPr>
        <w:t xml:space="preserve"> of monetary part that can be signified pl</w:t>
      </w:r>
      <w:r w:rsidR="00FA7670" w:rsidRPr="005B0C9F">
        <w:rPr>
          <w:rFonts w:ascii="Times New Roman" w:hAnsi="Times New Roman" w:cs="Times New Roman"/>
          <w:sz w:val="20"/>
          <w:szCs w:val="20"/>
          <w:shd w:val="clear" w:color="auto" w:fill="FFFFFF"/>
        </w:rPr>
        <w:t xml:space="preserve">ay an important role </w:t>
      </w:r>
      <w:proofErr w:type="spellStart"/>
      <w:r w:rsidR="00FA7670" w:rsidRPr="005B0C9F">
        <w:rPr>
          <w:rFonts w:ascii="Times New Roman" w:hAnsi="Times New Roman" w:cs="Times New Roman"/>
          <w:sz w:val="20"/>
          <w:szCs w:val="20"/>
          <w:shd w:val="clear" w:color="auto" w:fill="FFFFFF"/>
        </w:rPr>
        <w:t>inorder</w:t>
      </w:r>
      <w:proofErr w:type="spellEnd"/>
      <w:r w:rsidR="00FA7670" w:rsidRPr="005B0C9F">
        <w:rPr>
          <w:rFonts w:ascii="Times New Roman" w:hAnsi="Times New Roman" w:cs="Times New Roman"/>
          <w:sz w:val="20"/>
          <w:szCs w:val="20"/>
          <w:shd w:val="clear" w:color="auto" w:fill="FFFFFF"/>
        </w:rPr>
        <w:t xml:space="preserve"> to the growth of economy as well as sharing and caring the burden of a community or country. </w:t>
      </w:r>
      <w:r w:rsidR="00157B19" w:rsidRPr="005B0C9F">
        <w:rPr>
          <w:rFonts w:ascii="Times New Roman" w:hAnsi="Times New Roman" w:cs="Times New Roman"/>
          <w:sz w:val="20"/>
          <w:szCs w:val="20"/>
          <w:shd w:val="clear" w:color="auto" w:fill="FFFFFF"/>
        </w:rPr>
        <w:t xml:space="preserve"> (</w:t>
      </w:r>
      <w:r w:rsidR="00C20328" w:rsidRPr="005B0C9F">
        <w:rPr>
          <w:rFonts w:ascii="Times New Roman" w:hAnsi="Times New Roman" w:cs="Times New Roman"/>
          <w:sz w:val="20"/>
          <w:szCs w:val="20"/>
          <w:shd w:val="clear" w:color="auto" w:fill="FFFFFF"/>
        </w:rPr>
        <w:t>Mall, 2018</w:t>
      </w:r>
      <w:r w:rsidR="00157B19" w:rsidRPr="005B0C9F">
        <w:rPr>
          <w:rFonts w:ascii="Times New Roman" w:hAnsi="Times New Roman" w:cs="Times New Roman"/>
          <w:sz w:val="20"/>
          <w:szCs w:val="20"/>
          <w:shd w:val="clear" w:color="auto" w:fill="FFFFFF"/>
        </w:rPr>
        <w:t>)</w:t>
      </w:r>
      <w:r w:rsidR="005134AD" w:rsidRPr="005B0C9F">
        <w:rPr>
          <w:rFonts w:ascii="Times New Roman" w:hAnsi="Times New Roman" w:cs="Times New Roman"/>
          <w:sz w:val="20"/>
          <w:szCs w:val="20"/>
          <w:shd w:val="clear" w:color="auto" w:fill="FFFFFF"/>
          <w:vertAlign w:val="superscript"/>
        </w:rPr>
        <w:t>3</w:t>
      </w:r>
      <w:r w:rsidR="00157B19" w:rsidRPr="005B0C9F">
        <w:rPr>
          <w:rFonts w:ascii="Times New Roman" w:hAnsi="Times New Roman" w:cs="Times New Roman"/>
          <w:sz w:val="20"/>
          <w:szCs w:val="20"/>
          <w:shd w:val="clear" w:color="auto" w:fill="FFFFFF"/>
        </w:rPr>
        <w:t xml:space="preserve">. </w:t>
      </w:r>
      <w:r w:rsidR="00710E25" w:rsidRPr="005B0C9F">
        <w:rPr>
          <w:rFonts w:ascii="Times New Roman" w:hAnsi="Times New Roman" w:cs="Times New Roman"/>
          <w:sz w:val="20"/>
          <w:szCs w:val="20"/>
          <w:shd w:val="clear" w:color="auto" w:fill="FFFFFF"/>
        </w:rPr>
        <w:t>Basically</w:t>
      </w:r>
      <w:r w:rsidR="000650BD" w:rsidRPr="005B0C9F">
        <w:rPr>
          <w:rFonts w:ascii="Times New Roman" w:hAnsi="Times New Roman" w:cs="Times New Roman"/>
          <w:sz w:val="20"/>
          <w:szCs w:val="20"/>
          <w:shd w:val="clear" w:color="auto" w:fill="FFFFFF"/>
        </w:rPr>
        <w:t xml:space="preserve"> insurance is a process of spreading of the risk from one shoulder to another one, nothing else. </w:t>
      </w:r>
      <w:r w:rsidR="00775810" w:rsidRPr="005B0C9F">
        <w:rPr>
          <w:rFonts w:ascii="Times New Roman" w:hAnsi="Times New Roman" w:cs="Times New Roman"/>
          <w:sz w:val="20"/>
          <w:szCs w:val="20"/>
        </w:rPr>
        <w:t>(</w:t>
      </w:r>
      <w:proofErr w:type="spellStart"/>
      <w:r w:rsidR="00775810" w:rsidRPr="005B0C9F">
        <w:rPr>
          <w:rFonts w:ascii="Times New Roman" w:hAnsi="Times New Roman" w:cs="Times New Roman"/>
          <w:sz w:val="20"/>
          <w:szCs w:val="20"/>
        </w:rPr>
        <w:t>Chaudhury</w:t>
      </w:r>
      <w:proofErr w:type="spellEnd"/>
      <w:r w:rsidR="00775810" w:rsidRPr="005B0C9F">
        <w:rPr>
          <w:rFonts w:ascii="Times New Roman" w:hAnsi="Times New Roman" w:cs="Times New Roman"/>
          <w:sz w:val="20"/>
          <w:szCs w:val="20"/>
        </w:rPr>
        <w:t>, 2008)</w:t>
      </w:r>
      <w:r w:rsidR="005134AD" w:rsidRPr="005B0C9F">
        <w:rPr>
          <w:rFonts w:ascii="Times New Roman" w:hAnsi="Times New Roman" w:cs="Times New Roman"/>
          <w:sz w:val="20"/>
          <w:szCs w:val="20"/>
          <w:vertAlign w:val="superscript"/>
        </w:rPr>
        <w:t>4</w:t>
      </w:r>
      <w:r w:rsidR="00EB35D8" w:rsidRPr="005B0C9F">
        <w:rPr>
          <w:rFonts w:ascii="Times New Roman" w:hAnsi="Times New Roman" w:cs="Times New Roman"/>
          <w:sz w:val="20"/>
          <w:szCs w:val="20"/>
        </w:rPr>
        <w:t>.</w:t>
      </w:r>
      <w:r w:rsidR="008721CD" w:rsidRPr="005B0C9F">
        <w:rPr>
          <w:rFonts w:ascii="Times New Roman" w:hAnsi="Times New Roman" w:cs="Times New Roman"/>
          <w:sz w:val="20"/>
          <w:szCs w:val="20"/>
          <w:shd w:val="clear" w:color="auto" w:fill="FFFFFF"/>
        </w:rPr>
        <w:t> </w:t>
      </w:r>
      <w:r w:rsidR="00157B19" w:rsidRPr="005B0C9F">
        <w:rPr>
          <w:rFonts w:ascii="Times New Roman" w:hAnsi="Times New Roman" w:cs="Times New Roman"/>
          <w:sz w:val="20"/>
          <w:szCs w:val="20"/>
          <w:shd w:val="clear" w:color="auto" w:fill="FFFFFF"/>
        </w:rPr>
        <w:t xml:space="preserve">The assumption of insurance become popular as humans are naturally </w:t>
      </w:r>
      <w:r w:rsidR="00C203BA" w:rsidRPr="005B0C9F">
        <w:rPr>
          <w:rFonts w:ascii="Times New Roman" w:hAnsi="Times New Roman" w:cs="Times New Roman"/>
          <w:sz w:val="20"/>
          <w:szCs w:val="20"/>
          <w:shd w:val="clear" w:color="auto" w:fill="FFFFFF"/>
        </w:rPr>
        <w:t>venerably</w:t>
      </w:r>
      <w:r w:rsidR="00157B19" w:rsidRPr="005B0C9F">
        <w:rPr>
          <w:rFonts w:ascii="Times New Roman" w:hAnsi="Times New Roman" w:cs="Times New Roman"/>
          <w:sz w:val="20"/>
          <w:szCs w:val="20"/>
          <w:shd w:val="clear" w:color="auto" w:fill="FFFFFF"/>
        </w:rPr>
        <w:t xml:space="preserve"> to different types of risk ranging pecuniary and non-</w:t>
      </w:r>
      <w:r w:rsidR="00F95C85" w:rsidRPr="005B0C9F">
        <w:rPr>
          <w:rFonts w:ascii="Times New Roman" w:hAnsi="Times New Roman" w:cs="Times New Roman"/>
          <w:sz w:val="20"/>
          <w:szCs w:val="20"/>
          <w:shd w:val="clear" w:color="auto" w:fill="FFFFFF"/>
        </w:rPr>
        <w:t>pecuniary</w:t>
      </w:r>
      <w:r w:rsidR="00157B19" w:rsidRPr="005B0C9F">
        <w:rPr>
          <w:rFonts w:ascii="Times New Roman" w:hAnsi="Times New Roman" w:cs="Times New Roman"/>
          <w:sz w:val="20"/>
          <w:szCs w:val="20"/>
          <w:shd w:val="clear" w:color="auto" w:fill="FFFFFF"/>
        </w:rPr>
        <w:t xml:space="preserve"> areas (Alli,2011)</w:t>
      </w:r>
      <w:r w:rsidR="00E8374E" w:rsidRPr="005B0C9F">
        <w:rPr>
          <w:rFonts w:ascii="Times New Roman" w:hAnsi="Times New Roman" w:cs="Times New Roman"/>
          <w:sz w:val="20"/>
          <w:szCs w:val="20"/>
          <w:shd w:val="clear" w:color="auto" w:fill="FFFFFF"/>
          <w:vertAlign w:val="superscript"/>
        </w:rPr>
        <w:t>5</w:t>
      </w:r>
      <w:r w:rsidR="00F95C85" w:rsidRPr="005B0C9F">
        <w:rPr>
          <w:rFonts w:ascii="Times New Roman" w:hAnsi="Times New Roman" w:cs="Times New Roman"/>
          <w:sz w:val="20"/>
          <w:szCs w:val="20"/>
          <w:shd w:val="clear" w:color="auto" w:fill="FFFFFF"/>
        </w:rPr>
        <w:t>.</w:t>
      </w:r>
      <w:r w:rsidR="00FC502A" w:rsidRPr="005B0C9F">
        <w:rPr>
          <w:rFonts w:ascii="Times New Roman" w:hAnsi="Times New Roman" w:cs="Times New Roman"/>
          <w:sz w:val="20"/>
          <w:szCs w:val="20"/>
          <w:shd w:val="clear" w:color="auto" w:fill="FFFFFF"/>
        </w:rPr>
        <w:t>There are two types of insurance business basically in the world. One is life insurance and another is non-life insurance. Life insurance deals with the protection against the probability of undue death, illness and retirement. Non-life insurance deals with the protection against the property loss, personal injury su</w:t>
      </w:r>
      <w:r w:rsidR="007206EB" w:rsidRPr="005B0C9F">
        <w:rPr>
          <w:rFonts w:ascii="Times New Roman" w:hAnsi="Times New Roman" w:cs="Times New Roman"/>
          <w:sz w:val="20"/>
          <w:szCs w:val="20"/>
          <w:shd w:val="clear" w:color="auto" w:fill="FFFFFF"/>
        </w:rPr>
        <w:t xml:space="preserve">ch as accidents, theft, marine and fire. </w:t>
      </w:r>
      <w:r w:rsidR="000807F8" w:rsidRPr="005B0C9F">
        <w:rPr>
          <w:rFonts w:ascii="Times New Roman" w:hAnsi="Times New Roman" w:cs="Times New Roman"/>
          <w:sz w:val="20"/>
          <w:szCs w:val="20"/>
          <w:shd w:val="clear" w:color="auto" w:fill="FFFFFF"/>
        </w:rPr>
        <w:t xml:space="preserve">Life insurance creates for a long term funds and nonlife </w:t>
      </w:r>
      <w:proofErr w:type="spellStart"/>
      <w:r w:rsidR="000807F8" w:rsidRPr="005B0C9F">
        <w:rPr>
          <w:rFonts w:ascii="Times New Roman" w:hAnsi="Times New Roman" w:cs="Times New Roman"/>
          <w:sz w:val="20"/>
          <w:szCs w:val="20"/>
          <w:shd w:val="clear" w:color="auto" w:fill="FFFFFF"/>
        </w:rPr>
        <w:t>creats</w:t>
      </w:r>
      <w:proofErr w:type="spellEnd"/>
      <w:r w:rsidR="000807F8" w:rsidRPr="005B0C9F">
        <w:rPr>
          <w:rFonts w:ascii="Times New Roman" w:hAnsi="Times New Roman" w:cs="Times New Roman"/>
          <w:sz w:val="20"/>
          <w:szCs w:val="20"/>
          <w:shd w:val="clear" w:color="auto" w:fill="FFFFFF"/>
        </w:rPr>
        <w:t xml:space="preserve"> for a short term fund for investment (Mall, 2018)</w:t>
      </w:r>
      <w:r w:rsidR="00E8374E" w:rsidRPr="005B0C9F">
        <w:rPr>
          <w:rFonts w:ascii="Times New Roman" w:hAnsi="Times New Roman" w:cs="Times New Roman"/>
          <w:sz w:val="20"/>
          <w:szCs w:val="20"/>
          <w:shd w:val="clear" w:color="auto" w:fill="FFFFFF"/>
          <w:vertAlign w:val="superscript"/>
        </w:rPr>
        <w:t>6</w:t>
      </w:r>
      <w:r w:rsidR="000807F8" w:rsidRPr="005B0C9F">
        <w:rPr>
          <w:rFonts w:ascii="Times New Roman" w:hAnsi="Times New Roman" w:cs="Times New Roman"/>
          <w:sz w:val="20"/>
          <w:szCs w:val="20"/>
          <w:shd w:val="clear" w:color="auto" w:fill="FFFFFF"/>
        </w:rPr>
        <w:t>.</w:t>
      </w:r>
      <w:r w:rsidR="00C75ADC" w:rsidRPr="005B0C9F">
        <w:rPr>
          <w:rFonts w:ascii="Times New Roman" w:hAnsi="Times New Roman" w:cs="Times New Roman"/>
          <w:sz w:val="20"/>
          <w:szCs w:val="20"/>
          <w:shd w:val="clear" w:color="auto" w:fill="FFFFFF"/>
        </w:rPr>
        <w:t xml:space="preserve"> A smooth, well planned, efficient and sustainable insurance industry is an important condition for the economic and financial infrastructural development in a country. Insurance is the most significant financial device which provides the security of life and property against death, accidents, damage of the properties. A partial national capital formulation comes from insurance sector, which is generated by insurance payment of policy holders. The economy of Bangladesh always pressurized by over population, frequency of natural disaster, low income level and lake of skilled and professional manpower. The insurance industry is playing a significant part on the economy of Bangladesh where low capital , low savings and low investment , high inflation rate and low social security for the people are almost fictional </w:t>
      </w:r>
      <w:r w:rsidR="00C75ADC" w:rsidRPr="005B0C9F">
        <w:rPr>
          <w:rFonts w:ascii="Times New Roman" w:hAnsi="Times New Roman" w:cs="Times New Roman"/>
          <w:sz w:val="20"/>
          <w:szCs w:val="20"/>
        </w:rPr>
        <w:t>( Mandal, 1988)</w:t>
      </w:r>
      <w:r w:rsidR="00C75ADC" w:rsidRPr="005B0C9F">
        <w:rPr>
          <w:rFonts w:ascii="Times New Roman" w:hAnsi="Times New Roman" w:cs="Times New Roman"/>
          <w:sz w:val="20"/>
          <w:szCs w:val="20"/>
          <w:vertAlign w:val="superscript"/>
        </w:rPr>
        <w:t>7</w:t>
      </w:r>
      <w:r w:rsidR="00C75ADC" w:rsidRPr="005B0C9F">
        <w:rPr>
          <w:rFonts w:ascii="Times New Roman" w:hAnsi="Times New Roman" w:cs="Times New Roman"/>
          <w:sz w:val="20"/>
          <w:szCs w:val="20"/>
        </w:rPr>
        <w:t>.</w:t>
      </w:r>
    </w:p>
    <w:p w:rsidR="0022324B" w:rsidRDefault="00691CB2" w:rsidP="00691CB2">
      <w:pPr>
        <w:pStyle w:val="ListParagraph"/>
        <w:spacing w:after="120" w:line="240" w:lineRule="auto"/>
        <w:ind w:left="0"/>
        <w:jc w:val="both"/>
        <w:rPr>
          <w:rFonts w:ascii="Times New Roman" w:hAnsi="Times New Roman" w:cs="Times New Roman"/>
          <w:sz w:val="20"/>
          <w:szCs w:val="20"/>
        </w:rPr>
      </w:pPr>
      <w:r>
        <w:rPr>
          <w:rFonts w:ascii="Times New Roman" w:hAnsi="Times New Roman" w:cs="Times New Roman"/>
          <w:sz w:val="18"/>
          <w:szCs w:val="18"/>
        </w:rPr>
        <w:t xml:space="preserve">      </w:t>
      </w:r>
      <w:r w:rsidRPr="00C75ADC">
        <w:rPr>
          <w:rFonts w:ascii="Times New Roman" w:hAnsi="Times New Roman" w:cs="Times New Roman"/>
        </w:rPr>
        <w:t xml:space="preserve">   </w:t>
      </w:r>
      <w:r w:rsidR="005B0C9F">
        <w:rPr>
          <w:rFonts w:ascii="Times New Roman" w:hAnsi="Times New Roman" w:cs="Times New Roman"/>
        </w:rPr>
        <w:tab/>
      </w:r>
      <w:r w:rsidRPr="00235751">
        <w:rPr>
          <w:rFonts w:ascii="Times New Roman" w:hAnsi="Times New Roman" w:cs="Times New Roman"/>
          <w:sz w:val="20"/>
          <w:szCs w:val="20"/>
        </w:rPr>
        <w:t xml:space="preserve">The people of Bangladesh are not interested to buy insurance product due to their below income level. Besides, by comparing with emerging Asian countries including India, it is observed that all indicators relating to the insurance industry of Bangladesh are low such as insurance payment volume, annual growth rate, insurance penetration rate, insurance density and market portion etc. The principal </w:t>
      </w:r>
      <w:proofErr w:type="gramStart"/>
      <w:r w:rsidRPr="00235751">
        <w:rPr>
          <w:rFonts w:ascii="Times New Roman" w:hAnsi="Times New Roman" w:cs="Times New Roman"/>
          <w:sz w:val="20"/>
          <w:szCs w:val="20"/>
        </w:rPr>
        <w:t>barrier of the development of the insurance industry in Bangladesh are</w:t>
      </w:r>
      <w:proofErr w:type="gramEnd"/>
      <w:r w:rsidRPr="00235751">
        <w:rPr>
          <w:rFonts w:ascii="Times New Roman" w:hAnsi="Times New Roman" w:cs="Times New Roman"/>
          <w:sz w:val="20"/>
          <w:szCs w:val="20"/>
        </w:rPr>
        <w:t xml:space="preserve"> the shortage of awareness and financial disability. A rational growth of insurance sector is an indicator or a standard of sound economy, not only an summery of competent pecuniary area ( </w:t>
      </w:r>
      <w:proofErr w:type="spellStart"/>
      <w:r w:rsidRPr="00235751">
        <w:rPr>
          <w:rFonts w:ascii="Times New Roman" w:hAnsi="Times New Roman" w:cs="Times New Roman"/>
          <w:sz w:val="20"/>
          <w:szCs w:val="20"/>
        </w:rPr>
        <w:t>Vayanos</w:t>
      </w:r>
      <w:proofErr w:type="spellEnd"/>
      <w:r w:rsidRPr="00235751">
        <w:rPr>
          <w:rFonts w:ascii="Times New Roman" w:hAnsi="Times New Roman" w:cs="Times New Roman"/>
          <w:sz w:val="20"/>
          <w:szCs w:val="20"/>
        </w:rPr>
        <w:t xml:space="preserve"> and Hammound,2006)</w:t>
      </w:r>
      <w:r w:rsidRPr="00235751">
        <w:rPr>
          <w:rFonts w:ascii="Times New Roman" w:hAnsi="Times New Roman" w:cs="Times New Roman"/>
          <w:sz w:val="20"/>
          <w:szCs w:val="20"/>
          <w:vertAlign w:val="superscript"/>
        </w:rPr>
        <w:t>8</w:t>
      </w:r>
      <w:r w:rsidRPr="00235751">
        <w:rPr>
          <w:rFonts w:ascii="Times New Roman" w:hAnsi="Times New Roman" w:cs="Times New Roman"/>
          <w:sz w:val="20"/>
          <w:szCs w:val="20"/>
        </w:rPr>
        <w:t>.Bangladesh fast growing rate throughout the decade has been absolute possibly the principal progress in local co-activity and again more global range economy (Mamun,2011)</w:t>
      </w:r>
      <w:r w:rsidRPr="00235751">
        <w:rPr>
          <w:rFonts w:ascii="Times New Roman" w:hAnsi="Times New Roman" w:cs="Times New Roman"/>
          <w:sz w:val="20"/>
          <w:szCs w:val="20"/>
          <w:vertAlign w:val="superscript"/>
        </w:rPr>
        <w:t>9</w:t>
      </w:r>
      <w:r w:rsidRPr="00235751">
        <w:rPr>
          <w:rFonts w:ascii="Times New Roman" w:hAnsi="Times New Roman" w:cs="Times New Roman"/>
          <w:sz w:val="20"/>
          <w:szCs w:val="20"/>
        </w:rPr>
        <w:t xml:space="preserve"> Current penetration rate is 0.55 percent (IDRA,2019).The market share of the insurance sector is sustained of 73.5 percent for life  insurance and 26.5 percent for nonlife including Islamic and Micro insurance (Islam,2019)</w:t>
      </w:r>
      <w:r w:rsidRPr="00235751">
        <w:rPr>
          <w:rFonts w:ascii="Times New Roman" w:hAnsi="Times New Roman" w:cs="Times New Roman"/>
          <w:sz w:val="20"/>
          <w:szCs w:val="20"/>
          <w:vertAlign w:val="superscript"/>
        </w:rPr>
        <w:t>10</w:t>
      </w:r>
      <w:r w:rsidRPr="00235751">
        <w:rPr>
          <w:rFonts w:ascii="Times New Roman" w:hAnsi="Times New Roman" w:cs="Times New Roman"/>
          <w:sz w:val="20"/>
          <w:szCs w:val="20"/>
        </w:rPr>
        <w:t>. Bangladesh expected an amount of USD 2.2 billion premium by the 2020. But, premium volume in 2015 was USD 1.58 billion which indicates 7.04 perce</w:t>
      </w:r>
      <w:r w:rsidR="0022324B">
        <w:rPr>
          <w:rFonts w:ascii="Times New Roman" w:hAnsi="Times New Roman" w:cs="Times New Roman"/>
          <w:sz w:val="20"/>
          <w:szCs w:val="20"/>
        </w:rPr>
        <w:t>nt increment (PWC Report, 2019</w:t>
      </w:r>
    </w:p>
    <w:p w:rsidR="0022324B" w:rsidRPr="00235751" w:rsidRDefault="0022324B" w:rsidP="0022324B">
      <w:pPr>
        <w:spacing w:line="240" w:lineRule="auto"/>
        <w:ind w:left="450"/>
        <w:jc w:val="both"/>
        <w:rPr>
          <w:rFonts w:ascii="Times New Roman" w:hAnsi="Times New Roman" w:cs="Times New Roman"/>
          <w:sz w:val="20"/>
          <w:szCs w:val="20"/>
        </w:rPr>
      </w:pPr>
    </w:p>
    <w:p w:rsidR="0022324B" w:rsidRPr="00235751" w:rsidRDefault="0022324B" w:rsidP="0022324B">
      <w:pPr>
        <w:spacing w:line="240" w:lineRule="auto"/>
        <w:jc w:val="both"/>
        <w:rPr>
          <w:rFonts w:ascii="Times New Roman" w:hAnsi="Times New Roman" w:cs="Times New Roman"/>
          <w:sz w:val="16"/>
          <w:szCs w:val="16"/>
        </w:rPr>
      </w:pPr>
      <w:r>
        <w:rPr>
          <w:rFonts w:ascii="Times New Roman" w:eastAsia="Times New Roman" w:hAnsi="Times New Roman" w:cs="Times New Roman"/>
        </w:rPr>
        <w:t xml:space="preserve"> </w:t>
      </w:r>
      <w:r w:rsidRPr="00235751">
        <w:rPr>
          <w:rFonts w:ascii="Times New Roman" w:hAnsi="Times New Roman" w:cs="Times New Roman"/>
          <w:sz w:val="16"/>
          <w:szCs w:val="16"/>
        </w:rPr>
        <w:t>[1] Mishra, M., N., (1993), “</w:t>
      </w:r>
      <w:r w:rsidRPr="00235751">
        <w:rPr>
          <w:rFonts w:ascii="Times New Roman" w:hAnsi="Times New Roman" w:cs="Times New Roman"/>
          <w:i/>
          <w:iCs/>
          <w:sz w:val="16"/>
          <w:szCs w:val="16"/>
        </w:rPr>
        <w:t>Insurance, Principles and Practice</w:t>
      </w:r>
      <w:r w:rsidRPr="00235751">
        <w:rPr>
          <w:rFonts w:ascii="Times New Roman" w:hAnsi="Times New Roman" w:cs="Times New Roman"/>
          <w:sz w:val="16"/>
          <w:szCs w:val="16"/>
        </w:rPr>
        <w:t>.” New Delhi: S. Chand and Company Ltd.</w:t>
      </w:r>
    </w:p>
    <w:p w:rsidR="0022324B" w:rsidRDefault="0022324B" w:rsidP="0022324B">
      <w:pPr>
        <w:tabs>
          <w:tab w:val="left" w:pos="900"/>
        </w:tabs>
        <w:spacing w:line="240" w:lineRule="auto"/>
        <w:ind w:right="662"/>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Pr="00235751">
        <w:rPr>
          <w:rFonts w:ascii="Times New Roman" w:hAnsi="Times New Roman" w:cs="Times New Roman"/>
          <w:color w:val="000000"/>
          <w:sz w:val="16"/>
          <w:szCs w:val="16"/>
        </w:rPr>
        <w:t>[2</w:t>
      </w:r>
      <w:proofErr w:type="gramStart"/>
      <w:r w:rsidRPr="00235751">
        <w:rPr>
          <w:rFonts w:ascii="Times New Roman" w:hAnsi="Times New Roman" w:cs="Times New Roman"/>
          <w:color w:val="000000"/>
          <w:sz w:val="16"/>
          <w:szCs w:val="16"/>
        </w:rPr>
        <w:t xml:space="preserve">]  </w:t>
      </w:r>
      <w:proofErr w:type="spellStart"/>
      <w:r w:rsidRPr="00235751">
        <w:rPr>
          <w:rFonts w:ascii="Times New Roman" w:hAnsi="Times New Roman" w:cs="Times New Roman"/>
          <w:color w:val="000000"/>
          <w:sz w:val="16"/>
          <w:szCs w:val="16"/>
        </w:rPr>
        <w:t>Alamin</w:t>
      </w:r>
      <w:proofErr w:type="spellEnd"/>
      <w:proofErr w:type="gramEnd"/>
      <w:r w:rsidRPr="00235751">
        <w:rPr>
          <w:rFonts w:ascii="Times New Roman" w:hAnsi="Times New Roman" w:cs="Times New Roman"/>
          <w:color w:val="000000"/>
          <w:sz w:val="16"/>
          <w:szCs w:val="16"/>
        </w:rPr>
        <w:t xml:space="preserve">, M. (2016), “Role of insurance Company in </w:t>
      </w:r>
      <w:proofErr w:type="spellStart"/>
      <w:r w:rsidRPr="00235751">
        <w:rPr>
          <w:rFonts w:ascii="Times New Roman" w:hAnsi="Times New Roman" w:cs="Times New Roman"/>
          <w:color w:val="000000"/>
          <w:sz w:val="16"/>
          <w:szCs w:val="16"/>
        </w:rPr>
        <w:t>Banglaesh</w:t>
      </w:r>
      <w:proofErr w:type="spellEnd"/>
      <w:r w:rsidRPr="00235751">
        <w:rPr>
          <w:rFonts w:ascii="Times New Roman" w:hAnsi="Times New Roman" w:cs="Times New Roman"/>
          <w:color w:val="000000"/>
          <w:sz w:val="16"/>
          <w:szCs w:val="16"/>
        </w:rPr>
        <w:t xml:space="preserve"> Economy”,</w:t>
      </w:r>
      <w:r w:rsidRPr="00235751">
        <w:rPr>
          <w:rFonts w:ascii="Times New Roman" w:hAnsi="Times New Roman" w:cs="Times New Roman"/>
          <w:i/>
          <w:color w:val="000000"/>
          <w:sz w:val="16"/>
          <w:szCs w:val="16"/>
        </w:rPr>
        <w:t xml:space="preserve"> BBA </w:t>
      </w:r>
      <w:proofErr w:type="spellStart"/>
      <w:r w:rsidRPr="00235751">
        <w:rPr>
          <w:rFonts w:ascii="Times New Roman" w:hAnsi="Times New Roman" w:cs="Times New Roman"/>
          <w:i/>
          <w:color w:val="000000"/>
          <w:sz w:val="16"/>
          <w:szCs w:val="16"/>
        </w:rPr>
        <w:t>Programm</w:t>
      </w:r>
      <w:proofErr w:type="spellEnd"/>
      <w:r w:rsidRPr="00235751">
        <w:rPr>
          <w:rFonts w:ascii="Times New Roman" w:hAnsi="Times New Roman" w:cs="Times New Roman"/>
          <w:i/>
          <w:color w:val="000000"/>
          <w:sz w:val="16"/>
          <w:szCs w:val="16"/>
        </w:rPr>
        <w:t xml:space="preserve">, </w:t>
      </w:r>
      <w:proofErr w:type="spellStart"/>
      <w:r w:rsidRPr="00235751">
        <w:rPr>
          <w:rFonts w:ascii="Times New Roman" w:hAnsi="Times New Roman" w:cs="Times New Roman"/>
          <w:i/>
          <w:color w:val="000000"/>
          <w:sz w:val="16"/>
          <w:szCs w:val="16"/>
        </w:rPr>
        <w:t>PatuaKhali</w:t>
      </w:r>
      <w:proofErr w:type="spellEnd"/>
      <w:r w:rsidRPr="00235751">
        <w:rPr>
          <w:rFonts w:ascii="Times New Roman" w:hAnsi="Times New Roman" w:cs="Times New Roman"/>
          <w:i/>
          <w:color w:val="000000"/>
          <w:sz w:val="16"/>
          <w:szCs w:val="16"/>
        </w:rPr>
        <w:t xml:space="preserve">, </w:t>
      </w:r>
      <w:r>
        <w:rPr>
          <w:rFonts w:ascii="Times New Roman" w:hAnsi="Times New Roman" w:cs="Times New Roman"/>
          <w:i/>
          <w:color w:val="000000"/>
          <w:sz w:val="16"/>
          <w:szCs w:val="16"/>
        </w:rPr>
        <w:t xml:space="preserve"> </w:t>
      </w:r>
      <w:r w:rsidRPr="00235751">
        <w:rPr>
          <w:rFonts w:ascii="Times New Roman" w:hAnsi="Times New Roman" w:cs="Times New Roman"/>
          <w:i/>
          <w:color w:val="000000"/>
          <w:sz w:val="16"/>
          <w:szCs w:val="16"/>
        </w:rPr>
        <w:t xml:space="preserve">Science and Technology University </w:t>
      </w:r>
      <w:proofErr w:type="spellStart"/>
      <w:r w:rsidRPr="00235751">
        <w:rPr>
          <w:rFonts w:ascii="Times New Roman" w:hAnsi="Times New Roman" w:cs="Times New Roman"/>
          <w:i/>
          <w:color w:val="000000"/>
          <w:sz w:val="16"/>
          <w:szCs w:val="16"/>
        </w:rPr>
        <w:t>Dumkhali</w:t>
      </w:r>
      <w:proofErr w:type="spellEnd"/>
      <w:r w:rsidRPr="00235751">
        <w:rPr>
          <w:rFonts w:ascii="Times New Roman" w:hAnsi="Times New Roman" w:cs="Times New Roman"/>
          <w:i/>
          <w:color w:val="000000"/>
          <w:sz w:val="16"/>
          <w:szCs w:val="16"/>
        </w:rPr>
        <w:t>, Patuakhali.</w:t>
      </w:r>
      <w:r w:rsidRPr="00235751">
        <w:rPr>
          <w:rFonts w:ascii="Times New Roman" w:hAnsi="Times New Roman" w:cs="Times New Roman"/>
          <w:b/>
          <w:color w:val="000000"/>
          <w:sz w:val="16"/>
          <w:szCs w:val="16"/>
        </w:rPr>
        <w:t>2016,</w:t>
      </w:r>
      <w:r w:rsidRPr="00235751">
        <w:rPr>
          <w:rFonts w:ascii="Times New Roman" w:hAnsi="Times New Roman" w:cs="Times New Roman"/>
          <w:i/>
          <w:color w:val="000000"/>
          <w:sz w:val="16"/>
          <w:szCs w:val="16"/>
        </w:rPr>
        <w:t xml:space="preserve"> </w:t>
      </w:r>
      <w:r w:rsidRPr="00235751">
        <w:rPr>
          <w:rFonts w:ascii="Times New Roman" w:hAnsi="Times New Roman" w:cs="Times New Roman"/>
          <w:color w:val="000000"/>
          <w:sz w:val="16"/>
          <w:szCs w:val="16"/>
        </w:rPr>
        <w:t>8602.</w:t>
      </w:r>
    </w:p>
    <w:p w:rsidR="0022324B" w:rsidRPr="00235751" w:rsidRDefault="0022324B" w:rsidP="0022324B">
      <w:pPr>
        <w:tabs>
          <w:tab w:val="left" w:pos="900"/>
        </w:tabs>
        <w:spacing w:line="240" w:lineRule="auto"/>
        <w:ind w:right="662"/>
        <w:jc w:val="both"/>
        <w:rPr>
          <w:rFonts w:ascii="Times New Roman" w:hAnsi="Times New Roman" w:cs="Times New Roman"/>
          <w:color w:val="000000"/>
          <w:sz w:val="16"/>
          <w:szCs w:val="16"/>
        </w:rPr>
      </w:pPr>
      <w:r>
        <w:rPr>
          <w:rFonts w:ascii="Times New Roman" w:hAnsi="Times New Roman" w:cs="Times New Roman"/>
          <w:sz w:val="16"/>
          <w:szCs w:val="16"/>
        </w:rPr>
        <w:t xml:space="preserve"> </w:t>
      </w:r>
      <w:r w:rsidRPr="00235751">
        <w:rPr>
          <w:rFonts w:ascii="Times New Roman" w:hAnsi="Times New Roman" w:cs="Times New Roman"/>
          <w:sz w:val="16"/>
          <w:szCs w:val="16"/>
        </w:rPr>
        <w:t xml:space="preserve">[3] Mall, S. (2018), “Contribution of Insurance on economic growth in India: An Econometric approach”, </w:t>
      </w:r>
      <w:r w:rsidRPr="00235751">
        <w:rPr>
          <w:rFonts w:ascii="Times New Roman" w:hAnsi="Times New Roman" w:cs="Times New Roman"/>
          <w:i/>
          <w:sz w:val="16"/>
          <w:szCs w:val="16"/>
        </w:rPr>
        <w:t>Journal of Applied Business and Economics</w:t>
      </w:r>
      <w:r w:rsidRPr="00235751">
        <w:rPr>
          <w:rFonts w:ascii="Times New Roman" w:hAnsi="Times New Roman" w:cs="Times New Roman"/>
          <w:sz w:val="16"/>
          <w:szCs w:val="16"/>
        </w:rPr>
        <w:t xml:space="preserve">, 20(1), 85-92. </w:t>
      </w:r>
    </w:p>
    <w:p w:rsidR="0022324B" w:rsidRDefault="0022324B" w:rsidP="0022324B">
      <w:pPr>
        <w:spacing w:line="240" w:lineRule="auto"/>
        <w:jc w:val="both"/>
        <w:rPr>
          <w:rFonts w:ascii="Times New Roman" w:hAnsi="Times New Roman" w:cs="Times New Roman"/>
          <w:w w:val="105"/>
          <w:sz w:val="16"/>
          <w:szCs w:val="16"/>
        </w:rPr>
      </w:pPr>
      <w:r>
        <w:rPr>
          <w:rFonts w:ascii="Times New Roman" w:hAnsi="Times New Roman" w:cs="Times New Roman"/>
          <w:w w:val="105"/>
          <w:sz w:val="16"/>
          <w:szCs w:val="16"/>
        </w:rPr>
        <w:t xml:space="preserve"> </w:t>
      </w:r>
      <w:r w:rsidRPr="00235751">
        <w:rPr>
          <w:rFonts w:ascii="Times New Roman" w:hAnsi="Times New Roman" w:cs="Times New Roman"/>
          <w:w w:val="105"/>
          <w:sz w:val="16"/>
          <w:szCs w:val="16"/>
        </w:rPr>
        <w:t>[4] Chowdhury, A., H. (1981), “</w:t>
      </w:r>
      <w:r w:rsidRPr="00235751">
        <w:rPr>
          <w:rFonts w:ascii="Times New Roman" w:hAnsi="Times New Roman" w:cs="Times New Roman"/>
          <w:i/>
          <w:iCs/>
          <w:w w:val="105"/>
          <w:sz w:val="16"/>
          <w:szCs w:val="16"/>
        </w:rPr>
        <w:t>Elements Insurance</w:t>
      </w:r>
      <w:r w:rsidRPr="00235751">
        <w:rPr>
          <w:rFonts w:ascii="Times New Roman" w:hAnsi="Times New Roman" w:cs="Times New Roman"/>
          <w:w w:val="105"/>
          <w:sz w:val="16"/>
          <w:szCs w:val="16"/>
        </w:rPr>
        <w:t xml:space="preserve">”, Bangladesh Insurance Academy.29 </w:t>
      </w:r>
      <w:proofErr w:type="spellStart"/>
      <w:r w:rsidRPr="00235751">
        <w:rPr>
          <w:rFonts w:ascii="Times New Roman" w:hAnsi="Times New Roman" w:cs="Times New Roman"/>
          <w:w w:val="105"/>
          <w:sz w:val="16"/>
          <w:szCs w:val="16"/>
        </w:rPr>
        <w:t>Toyenbee</w:t>
      </w:r>
      <w:proofErr w:type="spellEnd"/>
      <w:r w:rsidRPr="00235751">
        <w:rPr>
          <w:rFonts w:ascii="Times New Roman" w:hAnsi="Times New Roman" w:cs="Times New Roman"/>
          <w:w w:val="105"/>
          <w:sz w:val="16"/>
          <w:szCs w:val="16"/>
        </w:rPr>
        <w:t xml:space="preserve"> circular road, Dhaka.</w:t>
      </w:r>
    </w:p>
    <w:p w:rsidR="0022324B" w:rsidRPr="00BC5C8A" w:rsidRDefault="0022324B" w:rsidP="0022324B">
      <w:pPr>
        <w:spacing w:line="240" w:lineRule="auto"/>
        <w:jc w:val="both"/>
        <w:rPr>
          <w:rFonts w:ascii="Times New Roman" w:hAnsi="Times New Roman" w:cs="Times New Roman"/>
          <w:w w:val="105"/>
          <w:sz w:val="16"/>
          <w:szCs w:val="16"/>
        </w:rPr>
      </w:pPr>
      <w:r>
        <w:rPr>
          <w:rFonts w:ascii="Times New Roman" w:hAnsi="Times New Roman" w:cs="Times New Roman"/>
          <w:sz w:val="16"/>
          <w:szCs w:val="16"/>
        </w:rPr>
        <w:t xml:space="preserve">  </w:t>
      </w:r>
      <w:r w:rsidRPr="00235751">
        <w:rPr>
          <w:rFonts w:ascii="Times New Roman" w:hAnsi="Times New Roman" w:cs="Times New Roman"/>
          <w:sz w:val="16"/>
          <w:szCs w:val="16"/>
        </w:rPr>
        <w:t>[5</w:t>
      </w:r>
      <w:proofErr w:type="gramStart"/>
      <w:r w:rsidRPr="00235751">
        <w:rPr>
          <w:rFonts w:ascii="Times New Roman" w:hAnsi="Times New Roman" w:cs="Times New Roman"/>
          <w:sz w:val="16"/>
          <w:szCs w:val="16"/>
        </w:rPr>
        <w:t xml:space="preserve">] </w:t>
      </w:r>
      <w:r>
        <w:rPr>
          <w:rFonts w:ascii="Times New Roman" w:hAnsi="Times New Roman" w:cs="Times New Roman"/>
          <w:sz w:val="16"/>
          <w:szCs w:val="16"/>
        </w:rPr>
        <w:t xml:space="preserve"> </w:t>
      </w:r>
      <w:proofErr w:type="spellStart"/>
      <w:r w:rsidRPr="00235751">
        <w:rPr>
          <w:rFonts w:ascii="Times New Roman" w:hAnsi="Times New Roman" w:cs="Times New Roman"/>
          <w:sz w:val="16"/>
          <w:szCs w:val="16"/>
        </w:rPr>
        <w:t>Alli</w:t>
      </w:r>
      <w:proofErr w:type="spellEnd"/>
      <w:proofErr w:type="gramEnd"/>
      <w:r w:rsidRPr="00235751">
        <w:rPr>
          <w:rFonts w:ascii="Times New Roman" w:hAnsi="Times New Roman" w:cs="Times New Roman"/>
          <w:sz w:val="16"/>
          <w:szCs w:val="16"/>
        </w:rPr>
        <w:t xml:space="preserve">, B. C. (2011), “The Reforms of Insurance Companies and its Transformation of Nigeria’s financial Sector”, online copy: </w:t>
      </w:r>
      <w:r w:rsidRPr="00235751">
        <w:rPr>
          <w:rFonts w:ascii="Times New Roman" w:hAnsi="Times New Roman" w:cs="Times New Roman"/>
          <w:i/>
          <w:sz w:val="16"/>
          <w:szCs w:val="16"/>
        </w:rPr>
        <w:t xml:space="preserve">The Layers Chronical. </w:t>
      </w:r>
      <w:proofErr w:type="gramStart"/>
      <w:r w:rsidRPr="00235751">
        <w:rPr>
          <w:rFonts w:ascii="Times New Roman" w:hAnsi="Times New Roman" w:cs="Times New Roman"/>
          <w:i/>
          <w:sz w:val="16"/>
          <w:szCs w:val="16"/>
        </w:rPr>
        <w:t>The Magazine for African Layers.</w:t>
      </w:r>
      <w:proofErr w:type="gramEnd"/>
      <w:r w:rsidRPr="00235751">
        <w:rPr>
          <w:rFonts w:ascii="Times New Roman" w:hAnsi="Times New Roman" w:cs="Times New Roman"/>
          <w:i/>
          <w:sz w:val="16"/>
          <w:szCs w:val="16"/>
        </w:rPr>
        <w:t xml:space="preserve"> </w:t>
      </w:r>
    </w:p>
    <w:p w:rsidR="0022324B" w:rsidRPr="00235751" w:rsidRDefault="0022324B" w:rsidP="0022324B">
      <w:pPr>
        <w:spacing w:after="12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235751">
        <w:rPr>
          <w:rFonts w:ascii="Times New Roman" w:hAnsi="Times New Roman" w:cs="Times New Roman"/>
          <w:sz w:val="16"/>
          <w:szCs w:val="16"/>
        </w:rPr>
        <w:t>[6</w:t>
      </w:r>
      <w:proofErr w:type="gramStart"/>
      <w:r w:rsidRPr="00235751">
        <w:rPr>
          <w:rFonts w:ascii="Times New Roman" w:hAnsi="Times New Roman" w:cs="Times New Roman"/>
          <w:sz w:val="16"/>
          <w:szCs w:val="16"/>
        </w:rPr>
        <w:t>]</w:t>
      </w:r>
      <w:r>
        <w:rPr>
          <w:rFonts w:ascii="Times New Roman" w:hAnsi="Times New Roman" w:cs="Times New Roman"/>
          <w:sz w:val="16"/>
          <w:szCs w:val="16"/>
        </w:rPr>
        <w:t xml:space="preserve">  </w:t>
      </w:r>
      <w:r w:rsidRPr="00235751">
        <w:rPr>
          <w:rFonts w:ascii="Times New Roman" w:hAnsi="Times New Roman" w:cs="Times New Roman"/>
          <w:sz w:val="16"/>
          <w:szCs w:val="16"/>
        </w:rPr>
        <w:t>See</w:t>
      </w:r>
      <w:proofErr w:type="gramEnd"/>
      <w:r w:rsidRPr="00235751">
        <w:rPr>
          <w:rFonts w:ascii="Times New Roman" w:hAnsi="Times New Roman" w:cs="Times New Roman"/>
          <w:sz w:val="16"/>
          <w:szCs w:val="16"/>
        </w:rPr>
        <w:t xml:space="preserve"> foot note no 3</w:t>
      </w:r>
    </w:p>
    <w:p w:rsidR="0022324B" w:rsidRPr="00235751" w:rsidRDefault="0022324B" w:rsidP="0022324B">
      <w:pPr>
        <w:spacing w:line="240" w:lineRule="auto"/>
        <w:jc w:val="both"/>
        <w:rPr>
          <w:rFonts w:ascii="Times New Roman" w:eastAsia="Times New Roman" w:hAnsi="Times New Roman" w:cs="Times New Roman"/>
        </w:rPr>
        <w:sectPr w:rsidR="0022324B" w:rsidRPr="00235751" w:rsidSect="0076371B">
          <w:pgSz w:w="11907" w:h="16839" w:code="9"/>
          <w:pgMar w:top="1440" w:right="1440" w:bottom="1440" w:left="1440" w:header="720" w:footer="720" w:gutter="0"/>
          <w:cols w:space="720"/>
          <w:docGrid w:linePitch="360"/>
        </w:sectPr>
      </w:pPr>
      <w:r>
        <w:rPr>
          <w:rFonts w:ascii="Times New Roman" w:hAnsi="Times New Roman" w:cs="Times New Roman"/>
          <w:sz w:val="18"/>
          <w:szCs w:val="18"/>
        </w:rPr>
        <w:t xml:space="preserve">  [</w:t>
      </w:r>
      <w:r w:rsidRPr="00112D3F">
        <w:rPr>
          <w:rFonts w:ascii="Times New Roman" w:hAnsi="Times New Roman" w:cs="Times New Roman"/>
          <w:sz w:val="16"/>
          <w:szCs w:val="16"/>
        </w:rPr>
        <w:t xml:space="preserve">7] Mandal, M.G. (1988), “Insurance Industry in Bangladesh- an Overview”, </w:t>
      </w:r>
      <w:r w:rsidRPr="00112D3F">
        <w:rPr>
          <w:rFonts w:ascii="Times New Roman" w:hAnsi="Times New Roman" w:cs="Times New Roman"/>
          <w:i/>
          <w:iCs/>
          <w:sz w:val="16"/>
          <w:szCs w:val="16"/>
        </w:rPr>
        <w:t>Insurance Journal</w:t>
      </w:r>
      <w:r w:rsidRPr="00112D3F">
        <w:rPr>
          <w:rFonts w:ascii="Times New Roman" w:hAnsi="Times New Roman" w:cs="Times New Roman"/>
          <w:sz w:val="16"/>
          <w:szCs w:val="16"/>
        </w:rPr>
        <w:t>, Bangladesh Insurance Academy</w:t>
      </w:r>
      <w:proofErr w:type="gramStart"/>
      <w:r w:rsidRPr="00112D3F">
        <w:rPr>
          <w:rFonts w:ascii="Times New Roman" w:hAnsi="Times New Roman" w:cs="Times New Roman"/>
          <w:sz w:val="16"/>
          <w:szCs w:val="16"/>
        </w:rPr>
        <w:t>,Vol.49,pp</w:t>
      </w:r>
      <w:proofErr w:type="gramEnd"/>
      <w:r w:rsidRPr="00112D3F">
        <w:rPr>
          <w:rFonts w:ascii="Times New Roman" w:hAnsi="Times New Roman" w:cs="Times New Roman"/>
          <w:sz w:val="16"/>
          <w:szCs w:val="16"/>
        </w:rPr>
        <w:t>.</w:t>
      </w:r>
    </w:p>
    <w:p w:rsidR="0022324B" w:rsidRDefault="0022324B" w:rsidP="00691CB2">
      <w:pPr>
        <w:pStyle w:val="ListParagraph"/>
        <w:spacing w:after="120" w:line="240" w:lineRule="auto"/>
        <w:ind w:left="0"/>
        <w:jc w:val="both"/>
        <w:rPr>
          <w:rFonts w:ascii="Times New Roman" w:hAnsi="Times New Roman" w:cs="Times New Roman"/>
          <w:sz w:val="20"/>
          <w:szCs w:val="20"/>
        </w:rPr>
      </w:pPr>
    </w:p>
    <w:p w:rsidR="00691CB2" w:rsidRPr="00235751" w:rsidRDefault="005B0C9F" w:rsidP="005B0C9F">
      <w:pPr>
        <w:spacing w:line="240" w:lineRule="auto"/>
        <w:rPr>
          <w:rFonts w:ascii="Times New Roman" w:eastAsia="Times New Roman" w:hAnsi="Times New Roman" w:cs="Times New Roman"/>
          <w:b/>
          <w:sz w:val="20"/>
          <w:szCs w:val="20"/>
        </w:rPr>
      </w:pPr>
      <w:r w:rsidRPr="00235751">
        <w:rPr>
          <w:rFonts w:ascii="Times New Roman" w:eastAsia="Times New Roman" w:hAnsi="Times New Roman" w:cs="Times New Roman"/>
          <w:b/>
          <w:sz w:val="20"/>
          <w:szCs w:val="20"/>
        </w:rPr>
        <w:t xml:space="preserve">A. </w:t>
      </w:r>
      <w:r w:rsidR="00691CB2" w:rsidRPr="00235751">
        <w:rPr>
          <w:rFonts w:ascii="Times New Roman" w:eastAsia="Times New Roman" w:hAnsi="Times New Roman" w:cs="Times New Roman"/>
          <w:b/>
          <w:sz w:val="20"/>
          <w:szCs w:val="20"/>
        </w:rPr>
        <w:t>Role of insurance Industry for social and economic development</w:t>
      </w:r>
    </w:p>
    <w:p w:rsidR="005B0C9F" w:rsidRPr="00235751" w:rsidRDefault="005B0C9F" w:rsidP="004260C4">
      <w:pPr>
        <w:pStyle w:val="ListParagraph"/>
        <w:spacing w:line="240" w:lineRule="auto"/>
        <w:ind w:left="0"/>
        <w:jc w:val="both"/>
        <w:rPr>
          <w:rFonts w:ascii="Times New Roman" w:eastAsia="Times New Roman" w:hAnsi="Times New Roman" w:cs="Times New Roman"/>
          <w:sz w:val="20"/>
          <w:szCs w:val="20"/>
        </w:rPr>
      </w:pPr>
      <w:r w:rsidRPr="00235751">
        <w:rPr>
          <w:rFonts w:ascii="Times New Roman" w:eastAsia="Times New Roman" w:hAnsi="Times New Roman" w:cs="Times New Roman"/>
          <w:sz w:val="20"/>
          <w:szCs w:val="20"/>
        </w:rPr>
        <w:tab/>
      </w:r>
      <w:r w:rsidR="00691CB2" w:rsidRPr="00235751">
        <w:rPr>
          <w:rFonts w:ascii="Times New Roman" w:eastAsia="Times New Roman" w:hAnsi="Times New Roman" w:cs="Times New Roman"/>
          <w:sz w:val="20"/>
          <w:szCs w:val="20"/>
        </w:rPr>
        <w:t xml:space="preserve">Insurance has significant donation for growing the economy of a country </w:t>
      </w:r>
      <w:proofErr w:type="gramStart"/>
      <w:r w:rsidR="00691CB2" w:rsidRPr="00235751">
        <w:rPr>
          <w:rFonts w:ascii="Times New Roman" w:eastAsia="Times New Roman" w:hAnsi="Times New Roman" w:cs="Times New Roman"/>
          <w:sz w:val="20"/>
          <w:szCs w:val="20"/>
        </w:rPr>
        <w:t>that advantages</w:t>
      </w:r>
      <w:proofErr w:type="gramEnd"/>
      <w:r w:rsidR="00691CB2" w:rsidRPr="00235751">
        <w:rPr>
          <w:rFonts w:ascii="Times New Roman" w:eastAsia="Times New Roman" w:hAnsi="Times New Roman" w:cs="Times New Roman"/>
          <w:sz w:val="20"/>
          <w:szCs w:val="20"/>
        </w:rPr>
        <w:t xml:space="preserve"> to generate a powerful capital base and obtain economic freedom (Ali 2020)</w:t>
      </w:r>
      <w:r w:rsidR="00691CB2" w:rsidRPr="00235751">
        <w:rPr>
          <w:rFonts w:ascii="Times New Roman" w:eastAsia="Times New Roman" w:hAnsi="Times New Roman" w:cs="Times New Roman"/>
          <w:sz w:val="20"/>
          <w:szCs w:val="20"/>
          <w:vertAlign w:val="superscript"/>
        </w:rPr>
        <w:t>11</w:t>
      </w:r>
      <w:r w:rsidR="00691CB2" w:rsidRPr="00235751">
        <w:rPr>
          <w:rFonts w:ascii="Times New Roman" w:eastAsia="Times New Roman" w:hAnsi="Times New Roman" w:cs="Times New Roman"/>
          <w:sz w:val="20"/>
          <w:szCs w:val="20"/>
        </w:rPr>
        <w:t xml:space="preserve">. Insurance industry plays a vital role for social and economic development of a country. </w:t>
      </w:r>
      <w:proofErr w:type="gramStart"/>
      <w:r w:rsidR="00691CB2" w:rsidRPr="00235751">
        <w:rPr>
          <w:rFonts w:ascii="Times New Roman" w:eastAsia="Times New Roman" w:hAnsi="Times New Roman" w:cs="Times New Roman"/>
          <w:sz w:val="20"/>
          <w:szCs w:val="20"/>
        </w:rPr>
        <w:t>An insurer taking risk for lives and properties of the insured against some accidental risks instead of premium.</w:t>
      </w:r>
      <w:proofErr w:type="gramEnd"/>
      <w:r w:rsidR="00691CB2" w:rsidRPr="00235751">
        <w:rPr>
          <w:rFonts w:ascii="Times New Roman" w:eastAsia="Times New Roman" w:hAnsi="Times New Roman" w:cs="Times New Roman"/>
          <w:sz w:val="20"/>
          <w:szCs w:val="20"/>
        </w:rPr>
        <w:t xml:space="preserve"> This premium is working as capital formation of the country. This capital is working as long term investment and increasing productive flow which is creating employment opportunities. If we think  as risk factor , life insurance provides duel services to the assured, firstly if policy holder be  injured or die, he/she gets a financial support for the  crucial moment and if policy is matured ,they gets a well amount which is treated</w:t>
      </w:r>
      <w:r w:rsidRPr="00235751">
        <w:rPr>
          <w:rFonts w:ascii="Times New Roman" w:eastAsia="Times New Roman" w:hAnsi="Times New Roman" w:cs="Times New Roman"/>
          <w:sz w:val="20"/>
          <w:szCs w:val="20"/>
        </w:rPr>
        <w:t xml:space="preserve"> as savings. This saving comes </w:t>
      </w:r>
      <w:r w:rsidR="00507A69" w:rsidRPr="00235751">
        <w:rPr>
          <w:rFonts w:ascii="Times New Roman" w:eastAsia="Times New Roman" w:hAnsi="Times New Roman" w:cs="Times New Roman"/>
          <w:sz w:val="20"/>
          <w:szCs w:val="20"/>
        </w:rPr>
        <w:t>in to investment from insured side, which after all increase our GDP and per</w:t>
      </w:r>
      <w:r w:rsidR="002448AD" w:rsidRPr="00235751">
        <w:rPr>
          <w:rFonts w:ascii="Times New Roman" w:eastAsia="Times New Roman" w:hAnsi="Times New Roman" w:cs="Times New Roman"/>
          <w:sz w:val="20"/>
          <w:szCs w:val="20"/>
        </w:rPr>
        <w:t>-</w:t>
      </w:r>
      <w:r w:rsidR="00507A69" w:rsidRPr="00235751">
        <w:rPr>
          <w:rFonts w:ascii="Times New Roman" w:eastAsia="Times New Roman" w:hAnsi="Times New Roman" w:cs="Times New Roman"/>
          <w:sz w:val="20"/>
          <w:szCs w:val="20"/>
        </w:rPr>
        <w:t xml:space="preserve">capita </w:t>
      </w:r>
      <w:r w:rsidR="002448AD" w:rsidRPr="00235751">
        <w:rPr>
          <w:rFonts w:ascii="Times New Roman" w:eastAsia="Times New Roman" w:hAnsi="Times New Roman" w:cs="Times New Roman"/>
          <w:sz w:val="20"/>
          <w:szCs w:val="20"/>
        </w:rPr>
        <w:t>Income</w:t>
      </w:r>
      <w:r w:rsidR="00507A69" w:rsidRPr="00235751">
        <w:rPr>
          <w:rFonts w:ascii="Times New Roman" w:eastAsia="Times New Roman" w:hAnsi="Times New Roman" w:cs="Times New Roman"/>
          <w:sz w:val="20"/>
          <w:szCs w:val="20"/>
        </w:rPr>
        <w:t xml:space="preserve"> and standard of living </w:t>
      </w:r>
      <w:r w:rsidR="002448AD" w:rsidRPr="00235751">
        <w:rPr>
          <w:rFonts w:ascii="Times New Roman" w:eastAsia="Times New Roman" w:hAnsi="Times New Roman" w:cs="Times New Roman"/>
          <w:sz w:val="20"/>
          <w:szCs w:val="20"/>
        </w:rPr>
        <w:t xml:space="preserve"> </w:t>
      </w:r>
      <w:r w:rsidR="00507A69" w:rsidRPr="00235751">
        <w:rPr>
          <w:rFonts w:ascii="Times New Roman" w:eastAsia="Times New Roman" w:hAnsi="Times New Roman" w:cs="Times New Roman"/>
          <w:sz w:val="20"/>
          <w:szCs w:val="20"/>
        </w:rPr>
        <w:t xml:space="preserve"> to the society.</w:t>
      </w:r>
      <w:r w:rsidR="002448AD" w:rsidRPr="00235751">
        <w:rPr>
          <w:rFonts w:ascii="Times New Roman" w:eastAsia="Times New Roman" w:hAnsi="Times New Roman" w:cs="Times New Roman"/>
          <w:sz w:val="20"/>
          <w:szCs w:val="20"/>
        </w:rPr>
        <w:t xml:space="preserve"> </w:t>
      </w:r>
      <w:r w:rsidR="00507A69" w:rsidRPr="00235751">
        <w:rPr>
          <w:rFonts w:ascii="Times New Roman" w:eastAsia="Times New Roman" w:hAnsi="Times New Roman" w:cs="Times New Roman"/>
          <w:sz w:val="20"/>
          <w:szCs w:val="20"/>
        </w:rPr>
        <w:t>If we think about nonlife insurance sector,</w:t>
      </w:r>
      <w:r w:rsidR="002448AD" w:rsidRPr="00235751">
        <w:rPr>
          <w:rFonts w:ascii="Times New Roman" w:eastAsia="Times New Roman" w:hAnsi="Times New Roman" w:cs="Times New Roman"/>
          <w:sz w:val="20"/>
          <w:szCs w:val="20"/>
        </w:rPr>
        <w:t xml:space="preserve"> </w:t>
      </w:r>
      <w:r w:rsidR="00507A69" w:rsidRPr="00235751">
        <w:rPr>
          <w:rFonts w:ascii="Times New Roman" w:eastAsia="Times New Roman" w:hAnsi="Times New Roman" w:cs="Times New Roman"/>
          <w:sz w:val="20"/>
          <w:szCs w:val="20"/>
        </w:rPr>
        <w:t>the sco</w:t>
      </w:r>
      <w:r w:rsidR="002448AD" w:rsidRPr="00235751">
        <w:rPr>
          <w:rFonts w:ascii="Times New Roman" w:eastAsia="Times New Roman" w:hAnsi="Times New Roman" w:cs="Times New Roman"/>
          <w:sz w:val="20"/>
          <w:szCs w:val="20"/>
        </w:rPr>
        <w:t>pe of nonlife insurance is wider</w:t>
      </w:r>
      <w:r w:rsidR="00507A69" w:rsidRPr="00235751">
        <w:rPr>
          <w:rFonts w:ascii="Times New Roman" w:eastAsia="Times New Roman" w:hAnsi="Times New Roman" w:cs="Times New Roman"/>
          <w:sz w:val="20"/>
          <w:szCs w:val="20"/>
        </w:rPr>
        <w:t xml:space="preserve"> than life assurance. There are main four types of product are consisted with nonlife insurance i.e. Marine, Fire, Motor and Miscellaneous.</w:t>
      </w:r>
      <w:r w:rsidR="002448AD" w:rsidRPr="00235751">
        <w:rPr>
          <w:rFonts w:ascii="Times New Roman" w:eastAsia="Times New Roman" w:hAnsi="Times New Roman" w:cs="Times New Roman"/>
          <w:sz w:val="20"/>
          <w:szCs w:val="20"/>
        </w:rPr>
        <w:t xml:space="preserve"> </w:t>
      </w:r>
      <w:r w:rsidR="005F2AD0" w:rsidRPr="00235751">
        <w:rPr>
          <w:rFonts w:ascii="Times New Roman" w:eastAsia="Times New Roman" w:hAnsi="Times New Roman" w:cs="Times New Roman"/>
          <w:sz w:val="20"/>
          <w:szCs w:val="20"/>
        </w:rPr>
        <w:t>Marine insurance providing services to the insured against financial losses during the period of total adventure from warehouse to warehouse</w:t>
      </w:r>
      <w:r w:rsidR="00507A69" w:rsidRPr="00235751">
        <w:rPr>
          <w:rFonts w:ascii="Times New Roman" w:eastAsia="Times New Roman" w:hAnsi="Times New Roman" w:cs="Times New Roman"/>
          <w:sz w:val="20"/>
          <w:szCs w:val="20"/>
        </w:rPr>
        <w:t xml:space="preserve"> </w:t>
      </w:r>
      <w:r w:rsidR="005F2AD0" w:rsidRPr="00235751">
        <w:rPr>
          <w:rFonts w:ascii="Times New Roman" w:eastAsia="Times New Roman" w:hAnsi="Times New Roman" w:cs="Times New Roman"/>
          <w:sz w:val="20"/>
          <w:szCs w:val="20"/>
        </w:rPr>
        <w:t xml:space="preserve">.As a result , International Trade (Import &amp; Export) is functioning smoothly which is contributing to the balance of payment and balance trade of an economy in the Bangladesh. Bangladesh has qualified from least developed country to </w:t>
      </w:r>
      <w:r w:rsidR="00896048" w:rsidRPr="00235751">
        <w:rPr>
          <w:rFonts w:ascii="Times New Roman" w:eastAsia="Times New Roman" w:hAnsi="Times New Roman" w:cs="Times New Roman"/>
          <w:sz w:val="20"/>
          <w:szCs w:val="20"/>
        </w:rPr>
        <w:t>Developing country based on few indexes. Insurance industry played a significant role to improve these indexes in all respects. Fire insurance is als</w:t>
      </w:r>
      <w:r w:rsidR="003902AA" w:rsidRPr="00235751">
        <w:rPr>
          <w:rFonts w:ascii="Times New Roman" w:eastAsia="Times New Roman" w:hAnsi="Times New Roman" w:cs="Times New Roman"/>
          <w:sz w:val="20"/>
          <w:szCs w:val="20"/>
        </w:rPr>
        <w:t xml:space="preserve">o another important segment of </w:t>
      </w:r>
      <w:r w:rsidR="00896048" w:rsidRPr="00235751">
        <w:rPr>
          <w:rFonts w:ascii="Times New Roman" w:eastAsia="Times New Roman" w:hAnsi="Times New Roman" w:cs="Times New Roman"/>
          <w:sz w:val="20"/>
          <w:szCs w:val="20"/>
        </w:rPr>
        <w:t xml:space="preserve">nonlife insurance sector. Fire insurance provides insurance service to the insured against accidental loss of fire. </w:t>
      </w:r>
      <w:r w:rsidR="00C11B81" w:rsidRPr="00235751">
        <w:rPr>
          <w:rFonts w:ascii="Times New Roman" w:eastAsia="Times New Roman" w:hAnsi="Times New Roman" w:cs="Times New Roman"/>
          <w:sz w:val="20"/>
          <w:szCs w:val="20"/>
        </w:rPr>
        <w:t xml:space="preserve">A merchant want to mobilize his/her business by expansion of industrialization. </w:t>
      </w:r>
      <w:r w:rsidR="00DD7B8E" w:rsidRPr="00235751">
        <w:rPr>
          <w:rFonts w:ascii="Times New Roman" w:eastAsia="Times New Roman" w:hAnsi="Times New Roman" w:cs="Times New Roman"/>
          <w:sz w:val="20"/>
          <w:szCs w:val="20"/>
        </w:rPr>
        <w:t xml:space="preserve">But, this industrialization may be </w:t>
      </w:r>
      <w:proofErr w:type="gramStart"/>
      <w:r w:rsidR="00DD7B8E" w:rsidRPr="00235751">
        <w:rPr>
          <w:rFonts w:ascii="Times New Roman" w:eastAsia="Times New Roman" w:hAnsi="Times New Roman" w:cs="Times New Roman"/>
          <w:sz w:val="20"/>
          <w:szCs w:val="20"/>
        </w:rPr>
        <w:t>destroy</w:t>
      </w:r>
      <w:proofErr w:type="gramEnd"/>
      <w:r w:rsidR="00DD7B8E" w:rsidRPr="00235751">
        <w:rPr>
          <w:rFonts w:ascii="Times New Roman" w:eastAsia="Times New Roman" w:hAnsi="Times New Roman" w:cs="Times New Roman"/>
          <w:sz w:val="20"/>
          <w:szCs w:val="20"/>
        </w:rPr>
        <w:t xml:space="preserve"> due to the accidental fire and only fire insurance coverage can recover this financial losses. </w:t>
      </w:r>
      <w:r w:rsidR="00A52B5B" w:rsidRPr="00235751">
        <w:rPr>
          <w:rFonts w:ascii="Times New Roman" w:eastAsia="Times New Roman" w:hAnsi="Times New Roman" w:cs="Times New Roman"/>
          <w:sz w:val="20"/>
          <w:szCs w:val="20"/>
        </w:rPr>
        <w:t>The Consequential loss or Business interruption fire policy is the great example for that situatio</w:t>
      </w:r>
      <w:r w:rsidR="003902AA" w:rsidRPr="00235751">
        <w:rPr>
          <w:rFonts w:ascii="Times New Roman" w:eastAsia="Times New Roman" w:hAnsi="Times New Roman" w:cs="Times New Roman"/>
          <w:sz w:val="20"/>
          <w:szCs w:val="20"/>
        </w:rPr>
        <w:t xml:space="preserve">n. Motor Insurance provides </w:t>
      </w:r>
      <w:proofErr w:type="gramStart"/>
      <w:r w:rsidR="003902AA" w:rsidRPr="00235751">
        <w:rPr>
          <w:rFonts w:ascii="Times New Roman" w:eastAsia="Times New Roman" w:hAnsi="Times New Roman" w:cs="Times New Roman"/>
          <w:sz w:val="20"/>
          <w:szCs w:val="20"/>
        </w:rPr>
        <w:t xml:space="preserve">an </w:t>
      </w:r>
      <w:r w:rsidR="00A52B5B" w:rsidRPr="00235751">
        <w:rPr>
          <w:rFonts w:ascii="Times New Roman" w:eastAsia="Times New Roman" w:hAnsi="Times New Roman" w:cs="Times New Roman"/>
          <w:sz w:val="20"/>
          <w:szCs w:val="20"/>
        </w:rPr>
        <w:t>insurance services</w:t>
      </w:r>
      <w:proofErr w:type="gramEnd"/>
      <w:r w:rsidR="00A52B5B" w:rsidRPr="00235751">
        <w:rPr>
          <w:rFonts w:ascii="Times New Roman" w:eastAsia="Times New Roman" w:hAnsi="Times New Roman" w:cs="Times New Roman"/>
          <w:sz w:val="20"/>
          <w:szCs w:val="20"/>
        </w:rPr>
        <w:t xml:space="preserve"> against any accidental damage or loss of the vehicle which is also a supporter of the </w:t>
      </w:r>
      <w:r w:rsidR="004F457E" w:rsidRPr="00235751">
        <w:rPr>
          <w:rFonts w:ascii="Times New Roman" w:eastAsia="Times New Roman" w:hAnsi="Times New Roman" w:cs="Times New Roman"/>
          <w:sz w:val="20"/>
          <w:szCs w:val="20"/>
        </w:rPr>
        <w:t>economy</w:t>
      </w:r>
      <w:r w:rsidR="00A52B5B" w:rsidRPr="00235751">
        <w:rPr>
          <w:rFonts w:ascii="Times New Roman" w:eastAsia="Times New Roman" w:hAnsi="Times New Roman" w:cs="Times New Roman"/>
          <w:sz w:val="20"/>
          <w:szCs w:val="20"/>
        </w:rPr>
        <w:t xml:space="preserve"> development of the country. </w:t>
      </w:r>
      <w:r w:rsidR="00B479C7" w:rsidRPr="00235751">
        <w:rPr>
          <w:rFonts w:ascii="Times New Roman" w:eastAsia="Times New Roman" w:hAnsi="Times New Roman" w:cs="Times New Roman"/>
          <w:sz w:val="20"/>
          <w:szCs w:val="20"/>
        </w:rPr>
        <w:t xml:space="preserve">Miscellaneous Insurance is consisted with Erection All Risks Insurance (EAR), Contractor All Risk (CAR), </w:t>
      </w:r>
      <w:r w:rsidR="004F457E" w:rsidRPr="00235751">
        <w:rPr>
          <w:rFonts w:ascii="Times New Roman" w:eastAsia="Times New Roman" w:hAnsi="Times New Roman" w:cs="Times New Roman"/>
          <w:sz w:val="20"/>
          <w:szCs w:val="20"/>
        </w:rPr>
        <w:t>and Professional Indemnity (PI) and</w:t>
      </w:r>
      <w:r w:rsidR="003902AA" w:rsidRPr="00235751">
        <w:rPr>
          <w:rFonts w:ascii="Times New Roman" w:eastAsia="Times New Roman" w:hAnsi="Times New Roman" w:cs="Times New Roman"/>
          <w:sz w:val="20"/>
          <w:szCs w:val="20"/>
        </w:rPr>
        <w:t xml:space="preserve"> others. </w:t>
      </w:r>
      <w:proofErr w:type="gramStart"/>
      <w:r w:rsidR="003902AA" w:rsidRPr="00235751">
        <w:rPr>
          <w:rFonts w:ascii="Times New Roman" w:eastAsia="Times New Roman" w:hAnsi="Times New Roman" w:cs="Times New Roman"/>
          <w:sz w:val="20"/>
          <w:szCs w:val="20"/>
        </w:rPr>
        <w:t>These EAR</w:t>
      </w:r>
      <w:proofErr w:type="gramEnd"/>
      <w:r w:rsidR="003902AA" w:rsidRPr="00235751">
        <w:rPr>
          <w:rFonts w:ascii="Times New Roman" w:eastAsia="Times New Roman" w:hAnsi="Times New Roman" w:cs="Times New Roman"/>
          <w:sz w:val="20"/>
          <w:szCs w:val="20"/>
        </w:rPr>
        <w:t xml:space="preserve">, CAR and PI </w:t>
      </w:r>
      <w:r w:rsidR="004F457E" w:rsidRPr="00235751">
        <w:rPr>
          <w:rFonts w:ascii="Times New Roman" w:eastAsia="Times New Roman" w:hAnsi="Times New Roman" w:cs="Times New Roman"/>
          <w:sz w:val="20"/>
          <w:szCs w:val="20"/>
        </w:rPr>
        <w:t>insurance services perform an important role for infrastructural developm</w:t>
      </w:r>
      <w:r w:rsidR="003902AA" w:rsidRPr="00235751">
        <w:rPr>
          <w:rFonts w:ascii="Times New Roman" w:eastAsia="Times New Roman" w:hAnsi="Times New Roman" w:cs="Times New Roman"/>
          <w:sz w:val="20"/>
          <w:szCs w:val="20"/>
        </w:rPr>
        <w:t>ent of Bangladesh.</w:t>
      </w:r>
      <w:r w:rsidRPr="00235751">
        <w:rPr>
          <w:rFonts w:ascii="Times New Roman" w:eastAsia="Times New Roman" w:hAnsi="Times New Roman" w:cs="Times New Roman"/>
          <w:sz w:val="20"/>
          <w:szCs w:val="20"/>
        </w:rPr>
        <w:t xml:space="preserve"> Life insurance provides a long term savings and investment which is an important factor for the economy. </w:t>
      </w:r>
      <w:proofErr w:type="gramStart"/>
      <w:r w:rsidRPr="00235751">
        <w:rPr>
          <w:rFonts w:ascii="Times New Roman" w:eastAsia="Times New Roman" w:hAnsi="Times New Roman" w:cs="Times New Roman"/>
          <w:sz w:val="20"/>
          <w:szCs w:val="20"/>
        </w:rPr>
        <w:t>So insurance industry is a vital segment of for economic development of Bangladesh.</w:t>
      </w:r>
      <w:proofErr w:type="gramEnd"/>
    </w:p>
    <w:p w:rsidR="005B0C9F" w:rsidRPr="00235751" w:rsidRDefault="005B0C9F" w:rsidP="005B0C9F">
      <w:pPr>
        <w:spacing w:line="240" w:lineRule="auto"/>
        <w:jc w:val="center"/>
        <w:rPr>
          <w:rFonts w:ascii="Times New Roman" w:hAnsi="Times New Roman" w:cs="Times New Roman"/>
          <w:b/>
          <w:sz w:val="20"/>
          <w:szCs w:val="20"/>
        </w:rPr>
      </w:pPr>
      <w:r w:rsidRPr="00235751">
        <w:rPr>
          <w:rFonts w:ascii="Times New Roman" w:hAnsi="Times New Roman" w:cs="Times New Roman"/>
          <w:b/>
          <w:sz w:val="20"/>
          <w:szCs w:val="20"/>
        </w:rPr>
        <w:t>II. Need of the Study</w:t>
      </w:r>
    </w:p>
    <w:p w:rsidR="00B12085" w:rsidRPr="004260C4" w:rsidRDefault="00187413" w:rsidP="004260C4">
      <w:pPr>
        <w:spacing w:line="240" w:lineRule="auto"/>
        <w:jc w:val="both"/>
        <w:rPr>
          <w:sz w:val="20"/>
          <w:szCs w:val="20"/>
        </w:rPr>
      </w:pPr>
      <w:r>
        <w:rPr>
          <w:rFonts w:ascii="Times New Roman" w:hAnsi="Times New Roman" w:cs="Times New Roman"/>
          <w:sz w:val="20"/>
          <w:szCs w:val="20"/>
        </w:rPr>
        <w:tab/>
      </w:r>
      <w:r w:rsidR="005B0C9F" w:rsidRPr="00235751">
        <w:rPr>
          <w:rFonts w:ascii="Times New Roman" w:hAnsi="Times New Roman" w:cs="Times New Roman"/>
          <w:sz w:val="20"/>
          <w:szCs w:val="20"/>
        </w:rPr>
        <w:t>The risk limit of Bangladesh is too high, but insurance sector does not competent as compared with the limit of risk. Maximum people or organization does not purchase the insurance product as per requiring their willingness rather for legal bindings (Khan and Uddin, 2008)</w:t>
      </w:r>
      <w:r w:rsidR="005B0C9F" w:rsidRPr="00235751">
        <w:rPr>
          <w:rFonts w:ascii="Times New Roman" w:hAnsi="Times New Roman" w:cs="Times New Roman"/>
          <w:sz w:val="20"/>
          <w:szCs w:val="20"/>
          <w:vertAlign w:val="superscript"/>
        </w:rPr>
        <w:t>12</w:t>
      </w:r>
      <w:r w:rsidR="005B0C9F" w:rsidRPr="00235751">
        <w:rPr>
          <w:rFonts w:ascii="Times New Roman" w:hAnsi="Times New Roman" w:cs="Times New Roman"/>
          <w:sz w:val="20"/>
          <w:szCs w:val="20"/>
        </w:rPr>
        <w:t xml:space="preserve">. By realizing the significant of insurance industry in Bangladesh and for smooth functioning and favorable growth of this industry, it is very important to identify the elements which are liable for less growth than expected of insurance industry in Bangladesh. It is the best time to ascertain the performance of this industry and how this industry will be more efficient and sound in Bangladesh and prepare this sector for high international competition in the forthcoming period. All aspects of this should be studied comprehensively. As per review of literature analysis, it is seen that a small number of studied have been conducted but threats and opportunities for developing this industry are not studied as </w:t>
      </w:r>
      <w:proofErr w:type="spellStart"/>
      <w:r w:rsidR="005B0C9F" w:rsidRPr="00235751">
        <w:rPr>
          <w:rFonts w:ascii="Times New Roman" w:hAnsi="Times New Roman" w:cs="Times New Roman"/>
          <w:sz w:val="20"/>
          <w:szCs w:val="20"/>
        </w:rPr>
        <w:t>whole.Thus</w:t>
      </w:r>
      <w:proofErr w:type="spellEnd"/>
      <w:r w:rsidR="005B0C9F" w:rsidRPr="00235751">
        <w:rPr>
          <w:rFonts w:ascii="Times New Roman" w:hAnsi="Times New Roman" w:cs="Times New Roman"/>
          <w:sz w:val="20"/>
          <w:szCs w:val="20"/>
        </w:rPr>
        <w:t xml:space="preserve">, a research gap is existed there and study titled, </w:t>
      </w:r>
      <w:r w:rsidR="005B0C9F" w:rsidRPr="00235751">
        <w:rPr>
          <w:rFonts w:ascii="Times New Roman" w:hAnsi="Times New Roman" w:cs="Times New Roman"/>
          <w:b/>
          <w:sz w:val="20"/>
          <w:szCs w:val="20"/>
        </w:rPr>
        <w:t>“The Scenario of Insurance Industry in Bangladesh: Threats and opportunities.</w:t>
      </w:r>
      <w:r w:rsidR="005B0C9F" w:rsidRPr="00235751">
        <w:rPr>
          <w:sz w:val="20"/>
          <w:szCs w:val="20"/>
        </w:rPr>
        <w:t xml:space="preserve">‟ </w:t>
      </w:r>
      <w:r w:rsidR="005B0C9F" w:rsidRPr="00235751">
        <w:rPr>
          <w:rFonts w:ascii="Times New Roman" w:hAnsi="Times New Roman" w:cs="Times New Roman"/>
          <w:sz w:val="20"/>
          <w:szCs w:val="20"/>
        </w:rPr>
        <w:t>is a venture to cover this hole.</w:t>
      </w:r>
      <w:r w:rsidR="005B0C9F" w:rsidRPr="00235751">
        <w:rPr>
          <w:sz w:val="20"/>
          <w:szCs w:val="20"/>
        </w:rPr>
        <w:t xml:space="preserve"> </w:t>
      </w:r>
    </w:p>
    <w:p w:rsidR="00B12085" w:rsidRPr="00187413" w:rsidRDefault="00B12085" w:rsidP="00B12085">
      <w:pPr>
        <w:spacing w:after="120" w:line="360" w:lineRule="auto"/>
        <w:jc w:val="both"/>
        <w:rPr>
          <w:rFonts w:ascii="Times New Roman" w:hAnsi="Times New Roman" w:cs="Times New Roman"/>
          <w:sz w:val="16"/>
          <w:szCs w:val="16"/>
        </w:rPr>
      </w:pPr>
      <w:r w:rsidRPr="00187413">
        <w:rPr>
          <w:rFonts w:ascii="Times New Roman" w:hAnsi="Times New Roman" w:cs="Times New Roman"/>
          <w:sz w:val="16"/>
          <w:szCs w:val="16"/>
        </w:rPr>
        <w:t xml:space="preserve">[8] </w:t>
      </w:r>
      <w:proofErr w:type="spellStart"/>
      <w:r w:rsidRPr="00187413">
        <w:rPr>
          <w:rFonts w:ascii="Times New Roman" w:hAnsi="Times New Roman" w:cs="Times New Roman"/>
          <w:sz w:val="16"/>
          <w:szCs w:val="16"/>
        </w:rPr>
        <w:t>Vayanos</w:t>
      </w:r>
      <w:proofErr w:type="spellEnd"/>
      <w:r w:rsidRPr="00187413">
        <w:rPr>
          <w:rFonts w:ascii="Times New Roman" w:hAnsi="Times New Roman" w:cs="Times New Roman"/>
          <w:sz w:val="16"/>
          <w:szCs w:val="16"/>
        </w:rPr>
        <w:t xml:space="preserve">, E. R., &amp; Hammond, J. D. (2006), “Determinants of Household Life Insurance Premium Expenditure: An Empirical Investigation,” </w:t>
      </w:r>
      <w:r w:rsidRPr="00187413">
        <w:rPr>
          <w:rFonts w:ascii="Times New Roman" w:hAnsi="Times New Roman" w:cs="Times New Roman"/>
          <w:i/>
          <w:sz w:val="16"/>
          <w:szCs w:val="16"/>
        </w:rPr>
        <w:t>Journal of Risk and Insurance,</w:t>
      </w:r>
      <w:r w:rsidRPr="00187413">
        <w:rPr>
          <w:rFonts w:ascii="Times New Roman" w:hAnsi="Times New Roman" w:cs="Times New Roman"/>
          <w:sz w:val="16"/>
          <w:szCs w:val="16"/>
        </w:rPr>
        <w:t xml:space="preserve"> 34, 397-401. </w:t>
      </w:r>
    </w:p>
    <w:p w:rsidR="00B12085" w:rsidRPr="00187413" w:rsidRDefault="00B12085" w:rsidP="004260C4">
      <w:pPr>
        <w:spacing w:after="120"/>
        <w:jc w:val="both"/>
        <w:rPr>
          <w:rFonts w:ascii="Times New Roman" w:hAnsi="Times New Roman" w:cs="Times New Roman"/>
          <w:sz w:val="16"/>
          <w:szCs w:val="16"/>
        </w:rPr>
      </w:pPr>
      <w:proofErr w:type="gramStart"/>
      <w:r w:rsidRPr="00187413">
        <w:rPr>
          <w:rFonts w:ascii="Times New Roman" w:hAnsi="Times New Roman" w:cs="Times New Roman"/>
          <w:w w:val="105"/>
          <w:sz w:val="16"/>
          <w:szCs w:val="16"/>
        </w:rPr>
        <w:t xml:space="preserve">[9] </w:t>
      </w:r>
      <w:proofErr w:type="spellStart"/>
      <w:r w:rsidRPr="00187413">
        <w:rPr>
          <w:rFonts w:ascii="Times New Roman" w:hAnsi="Times New Roman" w:cs="Times New Roman"/>
          <w:w w:val="105"/>
          <w:sz w:val="16"/>
          <w:szCs w:val="16"/>
        </w:rPr>
        <w:t>Mamun</w:t>
      </w:r>
      <w:proofErr w:type="spellEnd"/>
      <w:r w:rsidRPr="00187413">
        <w:rPr>
          <w:rFonts w:ascii="Times New Roman" w:hAnsi="Times New Roman" w:cs="Times New Roman"/>
          <w:w w:val="105"/>
          <w:sz w:val="16"/>
          <w:szCs w:val="16"/>
        </w:rPr>
        <w:t xml:space="preserve">, Z. (2011),”Performance evaluation of General Insurance Companies in Bangladesh,” BIA, </w:t>
      </w:r>
      <w:r w:rsidRPr="00187413">
        <w:rPr>
          <w:rFonts w:ascii="Times New Roman" w:hAnsi="Times New Roman" w:cs="Times New Roman"/>
          <w:i/>
          <w:w w:val="105"/>
          <w:sz w:val="16"/>
          <w:szCs w:val="16"/>
        </w:rPr>
        <w:t>Insurance Journal</w:t>
      </w:r>
      <w:r w:rsidRPr="00187413">
        <w:rPr>
          <w:rFonts w:ascii="Times New Roman" w:hAnsi="Times New Roman" w:cs="Times New Roman"/>
          <w:w w:val="105"/>
          <w:sz w:val="16"/>
          <w:szCs w:val="16"/>
        </w:rPr>
        <w:t>-V-58, July 2011, pp.21- 67.</w:t>
      </w:r>
      <w:proofErr w:type="gramEnd"/>
    </w:p>
    <w:p w:rsidR="00B12085" w:rsidRPr="00187413" w:rsidRDefault="00B12085" w:rsidP="004260C4">
      <w:pPr>
        <w:spacing w:after="120" w:line="360" w:lineRule="auto"/>
        <w:jc w:val="both"/>
        <w:rPr>
          <w:rFonts w:ascii="Times New Roman" w:hAnsi="Times New Roman" w:cs="Times New Roman"/>
          <w:sz w:val="16"/>
          <w:szCs w:val="16"/>
        </w:rPr>
      </w:pPr>
      <w:r w:rsidRPr="00187413">
        <w:rPr>
          <w:rFonts w:ascii="Times New Roman" w:hAnsi="Times New Roman" w:cs="Times New Roman"/>
          <w:sz w:val="16"/>
          <w:szCs w:val="16"/>
        </w:rPr>
        <w:t xml:space="preserve"> [10] Islam, N. (2019), “Fostering Insurance Awareness among the Masses in Bangladesh: Challenges and    Opportunities. </w:t>
      </w:r>
      <w:proofErr w:type="gramStart"/>
      <w:r w:rsidRPr="00187413">
        <w:rPr>
          <w:rFonts w:ascii="Times New Roman" w:hAnsi="Times New Roman" w:cs="Times New Roman"/>
          <w:i/>
          <w:sz w:val="16"/>
          <w:szCs w:val="16"/>
        </w:rPr>
        <w:t>Available</w:t>
      </w:r>
      <w:r w:rsidRPr="00187413">
        <w:rPr>
          <w:rFonts w:ascii="Times New Roman" w:hAnsi="Times New Roman" w:cs="Times New Roman"/>
          <w:sz w:val="16"/>
          <w:szCs w:val="16"/>
        </w:rPr>
        <w:t xml:space="preserve"> at SSRN 3439348.</w:t>
      </w:r>
      <w:proofErr w:type="gramEnd"/>
    </w:p>
    <w:p w:rsidR="00B12085" w:rsidRPr="00187413" w:rsidRDefault="00B12085" w:rsidP="004260C4">
      <w:pPr>
        <w:jc w:val="both"/>
        <w:rPr>
          <w:rFonts w:ascii="Times New Roman" w:hAnsi="Times New Roman" w:cs="Times New Roman"/>
          <w:sz w:val="16"/>
          <w:szCs w:val="16"/>
        </w:rPr>
      </w:pPr>
      <w:r w:rsidRPr="00187413">
        <w:rPr>
          <w:rFonts w:ascii="Times New Roman" w:hAnsi="Times New Roman" w:cs="Times New Roman"/>
          <w:sz w:val="16"/>
          <w:szCs w:val="16"/>
        </w:rPr>
        <w:t xml:space="preserve"> [11] Ali, M. (2020), “Challenges, Prospects and Role of Insurance on Economic Growth in Bangladesh”</w:t>
      </w:r>
      <w:r w:rsidRPr="00187413">
        <w:rPr>
          <w:rFonts w:ascii="Times New Roman" w:hAnsi="Times New Roman" w:cs="Times New Roman"/>
          <w:i/>
          <w:sz w:val="16"/>
          <w:szCs w:val="16"/>
        </w:rPr>
        <w:t xml:space="preserve">, IIUM </w:t>
      </w:r>
      <w:proofErr w:type="gramStart"/>
      <w:r w:rsidRPr="00187413">
        <w:rPr>
          <w:rFonts w:ascii="Times New Roman" w:hAnsi="Times New Roman" w:cs="Times New Roman"/>
          <w:i/>
          <w:sz w:val="16"/>
          <w:szCs w:val="16"/>
        </w:rPr>
        <w:t>Journal  of</w:t>
      </w:r>
      <w:proofErr w:type="gramEnd"/>
      <w:r w:rsidRPr="00187413">
        <w:rPr>
          <w:rFonts w:ascii="Times New Roman" w:hAnsi="Times New Roman" w:cs="Times New Roman"/>
          <w:i/>
          <w:sz w:val="16"/>
          <w:szCs w:val="16"/>
        </w:rPr>
        <w:t xml:space="preserve"> Case Studies in Management</w:t>
      </w:r>
      <w:r w:rsidRPr="00187413">
        <w:rPr>
          <w:i/>
          <w:sz w:val="16"/>
          <w:szCs w:val="16"/>
        </w:rPr>
        <w:t>,</w:t>
      </w:r>
      <w:r w:rsidRPr="00187413">
        <w:rPr>
          <w:sz w:val="16"/>
          <w:szCs w:val="16"/>
        </w:rPr>
        <w:t xml:space="preserve"> </w:t>
      </w:r>
      <w:r w:rsidRPr="00187413">
        <w:rPr>
          <w:rFonts w:ascii="Times New Roman" w:hAnsi="Times New Roman" w:cs="Times New Roman"/>
          <w:sz w:val="16"/>
          <w:szCs w:val="16"/>
        </w:rPr>
        <w:t>Vol. 11(1), Pp 20-27</w:t>
      </w:r>
    </w:p>
    <w:p w:rsidR="00B12085" w:rsidRPr="00187413" w:rsidRDefault="00B12085" w:rsidP="00187413">
      <w:pPr>
        <w:spacing w:line="240" w:lineRule="auto"/>
        <w:jc w:val="center"/>
        <w:rPr>
          <w:rFonts w:ascii="Times New Roman" w:hAnsi="Times New Roman"/>
          <w:b/>
          <w:sz w:val="16"/>
          <w:szCs w:val="16"/>
        </w:rPr>
      </w:pPr>
      <w:r w:rsidRPr="00187413">
        <w:rPr>
          <w:rFonts w:ascii="Times New Roman" w:hAnsi="Times New Roman" w:cs="Times New Roman"/>
          <w:sz w:val="16"/>
          <w:szCs w:val="16"/>
        </w:rPr>
        <w:t xml:space="preserve">[12] Uddin, M.N. and Khan, M.S.U. (2005), “Performance Evaluation of Some Private Sector General Insurance   Companies in Bangladesh”, </w:t>
      </w:r>
      <w:r w:rsidRPr="00187413">
        <w:rPr>
          <w:rFonts w:ascii="Times New Roman" w:hAnsi="Times New Roman" w:cs="Times New Roman"/>
          <w:i/>
          <w:iCs/>
          <w:sz w:val="16"/>
          <w:szCs w:val="16"/>
        </w:rPr>
        <w:t>The Chittagong University Journal of Business Administration</w:t>
      </w:r>
      <w:r w:rsidRPr="00187413">
        <w:rPr>
          <w:rFonts w:ascii="Times New Roman" w:hAnsi="Times New Roman" w:cs="Times New Roman"/>
          <w:sz w:val="16"/>
          <w:szCs w:val="16"/>
        </w:rPr>
        <w:t>,</w:t>
      </w:r>
      <w:r w:rsidRPr="00187413">
        <w:rPr>
          <w:rFonts w:ascii="Times New Roman" w:hAnsi="Times New Roman" w:cs="Times New Roman"/>
          <w:i/>
          <w:iCs/>
          <w:sz w:val="16"/>
          <w:szCs w:val="16"/>
        </w:rPr>
        <w:t xml:space="preserve"> </w:t>
      </w:r>
      <w:r w:rsidRPr="00187413">
        <w:rPr>
          <w:rFonts w:ascii="Times New Roman" w:hAnsi="Times New Roman" w:cs="Times New Roman"/>
          <w:sz w:val="16"/>
          <w:szCs w:val="16"/>
        </w:rPr>
        <w:t>Vol.20, pp.349-366.</w:t>
      </w:r>
    </w:p>
    <w:p w:rsidR="00B12085" w:rsidRDefault="00B12085" w:rsidP="0022324B">
      <w:pPr>
        <w:spacing w:line="240" w:lineRule="auto"/>
        <w:jc w:val="center"/>
        <w:rPr>
          <w:rFonts w:ascii="Times New Roman" w:hAnsi="Times New Roman"/>
          <w:b/>
          <w:sz w:val="20"/>
          <w:szCs w:val="20"/>
        </w:rPr>
      </w:pPr>
    </w:p>
    <w:p w:rsidR="0022324B" w:rsidRPr="00187413" w:rsidRDefault="0022324B" w:rsidP="0022324B">
      <w:pPr>
        <w:spacing w:line="240" w:lineRule="auto"/>
        <w:jc w:val="center"/>
        <w:rPr>
          <w:rFonts w:ascii="Times New Roman" w:hAnsi="Times New Roman" w:cs="Times New Roman"/>
          <w:b/>
          <w:color w:val="7030A0"/>
          <w:sz w:val="20"/>
          <w:szCs w:val="20"/>
        </w:rPr>
      </w:pPr>
      <w:r w:rsidRPr="00187413">
        <w:rPr>
          <w:rFonts w:ascii="Times New Roman" w:hAnsi="Times New Roman"/>
          <w:b/>
          <w:sz w:val="20"/>
          <w:szCs w:val="20"/>
        </w:rPr>
        <w:lastRenderedPageBreak/>
        <w:t>III</w:t>
      </w:r>
      <w:r w:rsidR="00187413" w:rsidRPr="00187413">
        <w:rPr>
          <w:rFonts w:ascii="Times New Roman" w:hAnsi="Times New Roman"/>
          <w:b/>
          <w:sz w:val="20"/>
          <w:szCs w:val="20"/>
        </w:rPr>
        <w:t>. Objectives</w:t>
      </w:r>
      <w:r w:rsidRPr="00187413">
        <w:rPr>
          <w:rFonts w:ascii="Times New Roman" w:hAnsi="Times New Roman"/>
          <w:b/>
          <w:sz w:val="20"/>
          <w:szCs w:val="20"/>
        </w:rPr>
        <w:t xml:space="preserve"> of the Study</w:t>
      </w:r>
    </w:p>
    <w:p w:rsidR="0022324B" w:rsidRPr="00187413" w:rsidRDefault="00187413" w:rsidP="0022324B">
      <w:pPr>
        <w:pStyle w:val="USAIDBodytext"/>
        <w:spacing w:before="120" w:after="120"/>
        <w:ind w:left="446"/>
        <w:rPr>
          <w:rFonts w:ascii="Times New Roman" w:hAnsi="Times New Roman"/>
          <w:sz w:val="20"/>
          <w:szCs w:val="20"/>
        </w:rPr>
      </w:pPr>
      <w:r>
        <w:rPr>
          <w:rFonts w:ascii="Times New Roman" w:hAnsi="Times New Roman"/>
          <w:sz w:val="20"/>
          <w:szCs w:val="20"/>
        </w:rPr>
        <w:tab/>
      </w:r>
      <w:r w:rsidR="0022324B" w:rsidRPr="00187413">
        <w:rPr>
          <w:rFonts w:ascii="Times New Roman" w:hAnsi="Times New Roman"/>
          <w:sz w:val="20"/>
          <w:szCs w:val="20"/>
        </w:rPr>
        <w:t xml:space="preserve">The main </w:t>
      </w:r>
      <w:proofErr w:type="gramStart"/>
      <w:r w:rsidR="0022324B" w:rsidRPr="00187413">
        <w:rPr>
          <w:rFonts w:ascii="Times New Roman" w:hAnsi="Times New Roman"/>
          <w:sz w:val="20"/>
          <w:szCs w:val="20"/>
        </w:rPr>
        <w:t>aims of this study has</w:t>
      </w:r>
      <w:proofErr w:type="gramEnd"/>
      <w:r w:rsidR="0022324B" w:rsidRPr="00187413">
        <w:rPr>
          <w:rFonts w:ascii="Times New Roman" w:hAnsi="Times New Roman"/>
          <w:sz w:val="20"/>
          <w:szCs w:val="20"/>
        </w:rPr>
        <w:t xml:space="preserve"> been given below. </w:t>
      </w:r>
    </w:p>
    <w:p w:rsidR="0022324B" w:rsidRPr="00187413" w:rsidRDefault="0022324B" w:rsidP="0022324B">
      <w:pPr>
        <w:pStyle w:val="ListParagraph"/>
        <w:numPr>
          <w:ilvl w:val="0"/>
          <w:numId w:val="5"/>
        </w:numPr>
        <w:spacing w:line="240" w:lineRule="auto"/>
        <w:ind w:left="446" w:firstLine="0"/>
        <w:rPr>
          <w:rFonts w:ascii="Times New Roman" w:hAnsi="Times New Roman" w:cs="Times New Roman"/>
          <w:sz w:val="20"/>
          <w:szCs w:val="20"/>
        </w:rPr>
      </w:pPr>
      <w:r w:rsidRPr="00187413">
        <w:rPr>
          <w:rFonts w:ascii="Times New Roman" w:hAnsi="Times New Roman" w:cs="Times New Roman"/>
          <w:sz w:val="20"/>
          <w:szCs w:val="20"/>
        </w:rPr>
        <w:t>To explain the scenario of insurance industry in Bangladesh.</w:t>
      </w:r>
    </w:p>
    <w:p w:rsidR="0022324B" w:rsidRPr="00187413" w:rsidRDefault="0022324B" w:rsidP="0022324B">
      <w:pPr>
        <w:pStyle w:val="ListParagraph"/>
        <w:numPr>
          <w:ilvl w:val="0"/>
          <w:numId w:val="5"/>
        </w:numPr>
        <w:spacing w:line="240" w:lineRule="auto"/>
        <w:ind w:left="446" w:firstLine="0"/>
        <w:rPr>
          <w:rFonts w:ascii="Times New Roman" w:hAnsi="Times New Roman" w:cs="Times New Roman"/>
          <w:sz w:val="20"/>
          <w:szCs w:val="20"/>
        </w:rPr>
      </w:pPr>
      <w:r w:rsidRPr="00187413">
        <w:rPr>
          <w:rFonts w:ascii="Times New Roman" w:hAnsi="Times New Roman" w:cs="Times New Roman"/>
          <w:sz w:val="20"/>
          <w:szCs w:val="20"/>
        </w:rPr>
        <w:t>To evaluate the growth and market share of insurance industry.</w:t>
      </w:r>
    </w:p>
    <w:p w:rsidR="0022324B" w:rsidRPr="00187413" w:rsidRDefault="0022324B" w:rsidP="0022324B">
      <w:pPr>
        <w:pStyle w:val="ListParagraph"/>
        <w:numPr>
          <w:ilvl w:val="0"/>
          <w:numId w:val="5"/>
        </w:numPr>
        <w:spacing w:line="240" w:lineRule="auto"/>
        <w:ind w:left="446" w:firstLine="0"/>
        <w:rPr>
          <w:rFonts w:ascii="Times New Roman" w:hAnsi="Times New Roman" w:cs="Times New Roman"/>
          <w:sz w:val="20"/>
          <w:szCs w:val="20"/>
        </w:rPr>
      </w:pPr>
      <w:r w:rsidRPr="00187413">
        <w:rPr>
          <w:rFonts w:ascii="Times New Roman" w:hAnsi="Times New Roman" w:cs="Times New Roman"/>
          <w:sz w:val="20"/>
          <w:szCs w:val="20"/>
        </w:rPr>
        <w:t>To identify the threats   of insurance industry in Bangladesh.</w:t>
      </w:r>
    </w:p>
    <w:p w:rsidR="0022324B" w:rsidRPr="00187413" w:rsidRDefault="0022324B" w:rsidP="0022324B">
      <w:pPr>
        <w:pStyle w:val="ListParagraph"/>
        <w:numPr>
          <w:ilvl w:val="0"/>
          <w:numId w:val="5"/>
        </w:numPr>
        <w:spacing w:line="240" w:lineRule="auto"/>
        <w:ind w:left="446" w:firstLine="0"/>
        <w:rPr>
          <w:rFonts w:ascii="Times New Roman" w:hAnsi="Times New Roman" w:cs="Times New Roman"/>
          <w:sz w:val="20"/>
          <w:szCs w:val="20"/>
        </w:rPr>
      </w:pPr>
      <w:r w:rsidRPr="00187413">
        <w:rPr>
          <w:rFonts w:ascii="Times New Roman" w:hAnsi="Times New Roman" w:cs="Times New Roman"/>
          <w:sz w:val="20"/>
          <w:szCs w:val="20"/>
        </w:rPr>
        <w:t>To identify the opportunities of insurance industry in Bangladesh.</w:t>
      </w:r>
    </w:p>
    <w:p w:rsidR="0022324B" w:rsidRDefault="0022324B" w:rsidP="00187413">
      <w:pPr>
        <w:pStyle w:val="ListParagraph"/>
        <w:numPr>
          <w:ilvl w:val="0"/>
          <w:numId w:val="5"/>
        </w:numPr>
        <w:spacing w:line="240" w:lineRule="auto"/>
        <w:ind w:left="446" w:firstLine="0"/>
        <w:rPr>
          <w:rFonts w:ascii="Times New Roman" w:hAnsi="Times New Roman" w:cs="Times New Roman"/>
          <w:sz w:val="20"/>
          <w:szCs w:val="20"/>
        </w:rPr>
      </w:pPr>
      <w:r w:rsidRPr="00187413">
        <w:rPr>
          <w:rFonts w:ascii="Times New Roman" w:hAnsi="Times New Roman" w:cs="Times New Roman"/>
          <w:sz w:val="20"/>
          <w:szCs w:val="20"/>
        </w:rPr>
        <w:t xml:space="preserve">To recommend some precautions for progressing the insurance industry in Bangladesh. </w:t>
      </w:r>
    </w:p>
    <w:p w:rsidR="00187413" w:rsidRPr="00187413" w:rsidRDefault="00187413" w:rsidP="00187413">
      <w:pPr>
        <w:spacing w:line="240" w:lineRule="auto"/>
        <w:ind w:left="446"/>
        <w:rPr>
          <w:rFonts w:ascii="Times New Roman" w:hAnsi="Times New Roman" w:cs="Times New Roman"/>
          <w:sz w:val="20"/>
          <w:szCs w:val="20"/>
        </w:rPr>
      </w:pPr>
    </w:p>
    <w:p w:rsidR="00D5427C" w:rsidRPr="00187413" w:rsidRDefault="00187413" w:rsidP="00187413">
      <w:pPr>
        <w:pStyle w:val="ListParagraph"/>
        <w:spacing w:after="120"/>
        <w:ind w:left="450"/>
        <w:jc w:val="center"/>
        <w:rPr>
          <w:rFonts w:ascii="Times New Roman" w:hAnsi="Times New Roman" w:cs="Times New Roman"/>
          <w:b/>
          <w:sz w:val="20"/>
          <w:szCs w:val="20"/>
        </w:rPr>
      </w:pPr>
      <w:r w:rsidRPr="00187413">
        <w:rPr>
          <w:rFonts w:ascii="Times New Roman" w:hAnsi="Times New Roman" w:cs="Times New Roman"/>
          <w:b/>
          <w:sz w:val="20"/>
          <w:szCs w:val="20"/>
        </w:rPr>
        <w:t>IV.</w:t>
      </w:r>
      <w:r>
        <w:rPr>
          <w:rFonts w:ascii="Times New Roman" w:hAnsi="Times New Roman" w:cs="Times New Roman"/>
          <w:b/>
          <w:sz w:val="20"/>
          <w:szCs w:val="20"/>
        </w:rPr>
        <w:t xml:space="preserve"> </w:t>
      </w:r>
      <w:r w:rsidR="00DF49D6" w:rsidRPr="00187413">
        <w:rPr>
          <w:rFonts w:ascii="Times New Roman" w:hAnsi="Times New Roman" w:cs="Times New Roman"/>
          <w:b/>
          <w:sz w:val="20"/>
          <w:szCs w:val="20"/>
        </w:rPr>
        <w:t>Methodology of the Study</w:t>
      </w:r>
    </w:p>
    <w:p w:rsidR="00D5427C" w:rsidRPr="00187413" w:rsidRDefault="00630B22" w:rsidP="00630B22">
      <w:pPr>
        <w:spacing w:after="120" w:line="240" w:lineRule="auto"/>
        <w:jc w:val="both"/>
        <w:rPr>
          <w:rFonts w:ascii="Times New Roman" w:hAnsi="Times New Roman" w:cs="Times New Roman"/>
          <w:sz w:val="20"/>
          <w:szCs w:val="20"/>
        </w:rPr>
      </w:pPr>
      <w:r>
        <w:rPr>
          <w:rFonts w:ascii="Times New Roman" w:hAnsi="Times New Roman" w:cs="Times New Roman"/>
          <w:color w:val="000000"/>
          <w:sz w:val="20"/>
          <w:szCs w:val="20"/>
        </w:rPr>
        <w:tab/>
      </w:r>
      <w:r w:rsidR="00187413">
        <w:rPr>
          <w:rFonts w:ascii="Times New Roman" w:hAnsi="Times New Roman" w:cs="Times New Roman"/>
          <w:color w:val="000000"/>
          <w:sz w:val="20"/>
          <w:szCs w:val="20"/>
        </w:rPr>
        <w:t xml:space="preserve">  </w:t>
      </w:r>
      <w:r w:rsidR="00A85049" w:rsidRPr="00187413">
        <w:rPr>
          <w:rFonts w:ascii="Times New Roman" w:hAnsi="Times New Roman" w:cs="Times New Roman"/>
          <w:color w:val="000000"/>
          <w:sz w:val="20"/>
          <w:szCs w:val="20"/>
        </w:rPr>
        <w:t xml:space="preserve">The secondary data is the main source of this study. The data has been collected from the annual </w:t>
      </w:r>
      <w:proofErr w:type="gramStart"/>
      <w:r w:rsidR="00A85049" w:rsidRPr="00187413">
        <w:rPr>
          <w:rFonts w:ascii="Times New Roman" w:hAnsi="Times New Roman" w:cs="Times New Roman"/>
          <w:color w:val="000000"/>
          <w:sz w:val="20"/>
          <w:szCs w:val="20"/>
        </w:rPr>
        <w:t>reports,</w:t>
      </w:r>
      <w:proofErr w:type="gramEnd"/>
      <w:r w:rsidR="00A85049" w:rsidRPr="00187413">
        <w:rPr>
          <w:rFonts w:ascii="Times New Roman" w:hAnsi="Times New Roman" w:cs="Times New Roman"/>
          <w:color w:val="000000"/>
          <w:sz w:val="20"/>
          <w:szCs w:val="20"/>
        </w:rPr>
        <w:t xml:space="preserve"> journal, books and others print media etc. Data has been collected for a period of 10 (ten) years (2009-2018). The data is consisted with some </w:t>
      </w:r>
      <w:r w:rsidR="00A85049" w:rsidRPr="00187413">
        <w:rPr>
          <w:rFonts w:ascii="Times New Roman" w:hAnsi="Times New Roman" w:cs="Times New Roman"/>
          <w:w w:val="105"/>
          <w:sz w:val="20"/>
          <w:szCs w:val="20"/>
        </w:rPr>
        <w:t>financial parameters like Penetration rate, density rate, market share, Growth rate, Gross Premium income, Total Investment, Total Assets and ranking information etc.</w:t>
      </w:r>
      <w:r w:rsidR="005C6F0C" w:rsidRPr="00187413">
        <w:rPr>
          <w:rFonts w:ascii="Times New Roman" w:hAnsi="Times New Roman" w:cs="Times New Roman"/>
          <w:w w:val="105"/>
          <w:sz w:val="20"/>
          <w:szCs w:val="20"/>
        </w:rPr>
        <w:t xml:space="preserve"> </w:t>
      </w:r>
      <w:r w:rsidR="00450004" w:rsidRPr="00187413">
        <w:rPr>
          <w:rFonts w:ascii="Times New Roman" w:hAnsi="Times New Roman" w:cs="Times New Roman"/>
          <w:w w:val="105"/>
          <w:sz w:val="20"/>
          <w:szCs w:val="20"/>
        </w:rPr>
        <w:t xml:space="preserve">AAGR, </w:t>
      </w:r>
      <w:r w:rsidR="00A85049" w:rsidRPr="00187413">
        <w:rPr>
          <w:rFonts w:ascii="Times New Roman" w:hAnsi="Times New Roman" w:cs="Times New Roman"/>
          <w:w w:val="105"/>
          <w:sz w:val="20"/>
          <w:szCs w:val="20"/>
        </w:rPr>
        <w:t>average, growth rate, percentage</w:t>
      </w:r>
      <w:r w:rsidR="0030204A" w:rsidRPr="00187413">
        <w:rPr>
          <w:rFonts w:ascii="Times New Roman" w:hAnsi="Times New Roman" w:cs="Times New Roman"/>
          <w:w w:val="105"/>
          <w:sz w:val="20"/>
          <w:szCs w:val="20"/>
        </w:rPr>
        <w:t xml:space="preserve"> etc</w:t>
      </w:r>
      <w:r w:rsidR="005C6F0C" w:rsidRPr="00187413">
        <w:rPr>
          <w:rFonts w:ascii="Times New Roman" w:hAnsi="Times New Roman" w:cs="Times New Roman"/>
          <w:w w:val="105"/>
          <w:sz w:val="20"/>
          <w:szCs w:val="20"/>
        </w:rPr>
        <w:t>. have been used for data analysis</w:t>
      </w:r>
      <w:r w:rsidR="00A85049" w:rsidRPr="00187413">
        <w:rPr>
          <w:rFonts w:ascii="Times New Roman" w:hAnsi="Times New Roman" w:cs="Times New Roman"/>
          <w:w w:val="105"/>
          <w:sz w:val="20"/>
          <w:szCs w:val="20"/>
        </w:rPr>
        <w:t xml:space="preserve">. For the purpose of </w:t>
      </w:r>
      <w:r w:rsidR="0030204A" w:rsidRPr="00187413">
        <w:rPr>
          <w:rFonts w:ascii="Times New Roman" w:hAnsi="Times New Roman" w:cs="Times New Roman"/>
          <w:w w:val="105"/>
          <w:sz w:val="20"/>
          <w:szCs w:val="20"/>
        </w:rPr>
        <w:t>data analysis SPSS</w:t>
      </w:r>
      <w:r w:rsidR="00A85049" w:rsidRPr="00187413">
        <w:rPr>
          <w:rFonts w:ascii="Times New Roman" w:hAnsi="Times New Roman" w:cs="Times New Roman"/>
          <w:w w:val="105"/>
          <w:sz w:val="20"/>
          <w:szCs w:val="20"/>
        </w:rPr>
        <w:t xml:space="preserve"> software has been used.</w:t>
      </w:r>
    </w:p>
    <w:p w:rsidR="000B4747" w:rsidRPr="00187413" w:rsidRDefault="00187413" w:rsidP="00187413">
      <w:pPr>
        <w:pStyle w:val="ListParagraph"/>
        <w:spacing w:after="120"/>
        <w:ind w:left="1890"/>
        <w:jc w:val="center"/>
        <w:rPr>
          <w:rFonts w:ascii="Times New Roman" w:hAnsi="Times New Roman" w:cs="Times New Roman"/>
          <w:b/>
          <w:sz w:val="20"/>
          <w:szCs w:val="20"/>
        </w:rPr>
      </w:pPr>
      <w:r w:rsidRPr="00187413">
        <w:rPr>
          <w:rFonts w:ascii="Times New Roman" w:hAnsi="Times New Roman" w:cs="Times New Roman"/>
          <w:b/>
          <w:sz w:val="20"/>
          <w:szCs w:val="20"/>
        </w:rPr>
        <w:t xml:space="preserve">V. </w:t>
      </w:r>
      <w:proofErr w:type="gramStart"/>
      <w:r w:rsidRPr="00187413">
        <w:rPr>
          <w:rFonts w:ascii="Times New Roman" w:hAnsi="Times New Roman" w:cs="Times New Roman"/>
          <w:b/>
          <w:sz w:val="20"/>
          <w:szCs w:val="20"/>
        </w:rPr>
        <w:t>Scenario</w:t>
      </w:r>
      <w:r w:rsidR="00407275" w:rsidRPr="00187413">
        <w:rPr>
          <w:rFonts w:ascii="Times New Roman" w:hAnsi="Times New Roman" w:cs="Times New Roman"/>
          <w:b/>
          <w:sz w:val="20"/>
          <w:szCs w:val="20"/>
        </w:rPr>
        <w:t xml:space="preserve"> </w:t>
      </w:r>
      <w:r w:rsidR="00D5427C" w:rsidRPr="00187413">
        <w:rPr>
          <w:rFonts w:ascii="Times New Roman" w:hAnsi="Times New Roman" w:cs="Times New Roman"/>
          <w:b/>
          <w:sz w:val="20"/>
          <w:szCs w:val="20"/>
        </w:rPr>
        <w:t xml:space="preserve"> of</w:t>
      </w:r>
      <w:proofErr w:type="gramEnd"/>
      <w:r w:rsidR="00D5427C" w:rsidRPr="00187413">
        <w:rPr>
          <w:rFonts w:ascii="Times New Roman" w:hAnsi="Times New Roman" w:cs="Times New Roman"/>
          <w:b/>
          <w:sz w:val="20"/>
          <w:szCs w:val="20"/>
        </w:rPr>
        <w:t xml:space="preserve"> Insurance Industry in Bangladesh</w:t>
      </w:r>
    </w:p>
    <w:p w:rsidR="00C37E12" w:rsidRPr="00630B22" w:rsidRDefault="00630B22" w:rsidP="00630B22">
      <w:pPr>
        <w:spacing w:after="120" w:line="240" w:lineRule="auto"/>
        <w:jc w:val="both"/>
        <w:rPr>
          <w:rFonts w:ascii="Times New Roman" w:hAnsi="Times New Roman" w:cs="Times New Roman"/>
          <w:sz w:val="20"/>
          <w:szCs w:val="20"/>
        </w:rPr>
      </w:pPr>
      <w:r>
        <w:rPr>
          <w:rFonts w:ascii="Times New Roman" w:hAnsi="Times New Roman" w:cs="Times New Roman"/>
          <w:b/>
          <w:sz w:val="24"/>
          <w:szCs w:val="24"/>
        </w:rPr>
        <w:tab/>
      </w:r>
      <w:r w:rsidR="009A08F7" w:rsidRPr="00630B22">
        <w:rPr>
          <w:rFonts w:ascii="Times New Roman" w:hAnsi="Times New Roman" w:cs="Times New Roman"/>
          <w:sz w:val="24"/>
          <w:szCs w:val="24"/>
        </w:rPr>
        <w:t xml:space="preserve"> </w:t>
      </w:r>
      <w:r w:rsidR="00286D14" w:rsidRPr="00630B22">
        <w:rPr>
          <w:rFonts w:ascii="Times New Roman" w:hAnsi="Times New Roman" w:cs="Times New Roman"/>
          <w:sz w:val="20"/>
          <w:szCs w:val="20"/>
        </w:rPr>
        <w:t>There are 47 nonlife and 32</w:t>
      </w:r>
      <w:r w:rsidR="00C37E12" w:rsidRPr="00630B22">
        <w:rPr>
          <w:rFonts w:ascii="Times New Roman" w:hAnsi="Times New Roman" w:cs="Times New Roman"/>
          <w:sz w:val="20"/>
          <w:szCs w:val="20"/>
        </w:rPr>
        <w:t xml:space="preserve"> life insurance institutions in Bangladesh including two state own Corporations; one is </w:t>
      </w:r>
      <w:proofErr w:type="spellStart"/>
      <w:r w:rsidR="00C37E12" w:rsidRPr="00630B22">
        <w:rPr>
          <w:rFonts w:ascii="Times New Roman" w:hAnsi="Times New Roman" w:cs="Times New Roman"/>
          <w:sz w:val="20"/>
          <w:szCs w:val="20"/>
        </w:rPr>
        <w:t>Sadharan</w:t>
      </w:r>
      <w:proofErr w:type="spellEnd"/>
      <w:r w:rsidR="00C37E12" w:rsidRPr="00630B22">
        <w:rPr>
          <w:rFonts w:ascii="Times New Roman" w:hAnsi="Times New Roman" w:cs="Times New Roman"/>
          <w:sz w:val="20"/>
          <w:szCs w:val="20"/>
        </w:rPr>
        <w:t xml:space="preserve"> </w:t>
      </w:r>
      <w:proofErr w:type="spellStart"/>
      <w:r w:rsidR="00C37E12" w:rsidRPr="00630B22">
        <w:rPr>
          <w:rFonts w:ascii="Times New Roman" w:hAnsi="Times New Roman" w:cs="Times New Roman"/>
          <w:sz w:val="20"/>
          <w:szCs w:val="20"/>
        </w:rPr>
        <w:t>Bima</w:t>
      </w:r>
      <w:proofErr w:type="spellEnd"/>
      <w:r w:rsidR="00C37E12" w:rsidRPr="00630B22">
        <w:rPr>
          <w:rFonts w:ascii="Times New Roman" w:hAnsi="Times New Roman" w:cs="Times New Roman"/>
          <w:sz w:val="20"/>
          <w:szCs w:val="20"/>
        </w:rPr>
        <w:t xml:space="preserve"> Corporation (SBC) and another is </w:t>
      </w:r>
      <w:proofErr w:type="spellStart"/>
      <w:r w:rsidR="00C37E12" w:rsidRPr="00630B22">
        <w:rPr>
          <w:rFonts w:ascii="Times New Roman" w:hAnsi="Times New Roman" w:cs="Times New Roman"/>
          <w:sz w:val="20"/>
          <w:szCs w:val="20"/>
        </w:rPr>
        <w:t>Jibon</w:t>
      </w:r>
      <w:proofErr w:type="spellEnd"/>
      <w:r w:rsidR="00C37E12" w:rsidRPr="00630B22">
        <w:rPr>
          <w:rFonts w:ascii="Times New Roman" w:hAnsi="Times New Roman" w:cs="Times New Roman"/>
          <w:sz w:val="20"/>
          <w:szCs w:val="20"/>
        </w:rPr>
        <w:t xml:space="preserve"> </w:t>
      </w:r>
      <w:proofErr w:type="spellStart"/>
      <w:r w:rsidR="00C37E12" w:rsidRPr="00630B22">
        <w:rPr>
          <w:rFonts w:ascii="Times New Roman" w:hAnsi="Times New Roman" w:cs="Times New Roman"/>
          <w:sz w:val="20"/>
          <w:szCs w:val="20"/>
        </w:rPr>
        <w:t>Bima</w:t>
      </w:r>
      <w:proofErr w:type="spellEnd"/>
      <w:r w:rsidR="00C37E12" w:rsidRPr="00630B22">
        <w:rPr>
          <w:rFonts w:ascii="Times New Roman" w:hAnsi="Times New Roman" w:cs="Times New Roman"/>
          <w:sz w:val="20"/>
          <w:szCs w:val="20"/>
        </w:rPr>
        <w:t xml:space="preserve"> Corporation (JBC).</w:t>
      </w:r>
      <w:r w:rsidR="00A12109" w:rsidRPr="00630B22">
        <w:rPr>
          <w:rFonts w:ascii="Times New Roman" w:hAnsi="Times New Roman" w:cs="Times New Roman"/>
          <w:sz w:val="20"/>
          <w:szCs w:val="20"/>
        </w:rPr>
        <w:t xml:space="preserve">The combine insurance payment </w:t>
      </w:r>
      <w:r w:rsidR="00C37E12" w:rsidRPr="00630B22">
        <w:rPr>
          <w:rFonts w:ascii="Times New Roman" w:hAnsi="Times New Roman" w:cs="Times New Roman"/>
          <w:sz w:val="20"/>
          <w:szCs w:val="20"/>
        </w:rPr>
        <w:t xml:space="preserve"> </w:t>
      </w:r>
      <w:r w:rsidR="00A12109" w:rsidRPr="00630B22">
        <w:rPr>
          <w:rFonts w:ascii="Times New Roman" w:hAnsi="Times New Roman" w:cs="Times New Roman"/>
          <w:sz w:val="20"/>
          <w:szCs w:val="20"/>
        </w:rPr>
        <w:t xml:space="preserve"> </w:t>
      </w:r>
      <w:r w:rsidR="00C37E12" w:rsidRPr="00630B22">
        <w:rPr>
          <w:rFonts w:ascii="Times New Roman" w:hAnsi="Times New Roman" w:cs="Times New Roman"/>
          <w:sz w:val="20"/>
          <w:szCs w:val="20"/>
        </w:rPr>
        <w:t xml:space="preserve">volume is USD 1475 million in 2019. </w:t>
      </w:r>
      <w:proofErr w:type="gramStart"/>
      <w:r w:rsidR="00C37E12" w:rsidRPr="00630B22">
        <w:rPr>
          <w:rFonts w:ascii="Times New Roman" w:hAnsi="Times New Roman" w:cs="Times New Roman"/>
          <w:sz w:val="20"/>
          <w:szCs w:val="20"/>
        </w:rPr>
        <w:t xml:space="preserve">The combined </w:t>
      </w:r>
      <w:r w:rsidR="005C6F0C" w:rsidRPr="00630B22">
        <w:rPr>
          <w:rFonts w:ascii="Times New Roman" w:hAnsi="Times New Roman" w:cs="Times New Roman"/>
          <w:sz w:val="20"/>
          <w:szCs w:val="20"/>
        </w:rPr>
        <w:t xml:space="preserve">insurance </w:t>
      </w:r>
      <w:r w:rsidR="002117FE" w:rsidRPr="00630B22">
        <w:rPr>
          <w:rFonts w:ascii="Times New Roman" w:hAnsi="Times New Roman" w:cs="Times New Roman"/>
          <w:sz w:val="20"/>
          <w:szCs w:val="20"/>
        </w:rPr>
        <w:t>payment volume</w:t>
      </w:r>
      <w:r w:rsidR="00C37E12" w:rsidRPr="00630B22">
        <w:rPr>
          <w:rFonts w:ascii="Times New Roman" w:hAnsi="Times New Roman" w:cs="Times New Roman"/>
          <w:sz w:val="20"/>
          <w:szCs w:val="20"/>
        </w:rPr>
        <w:t xml:space="preserve"> in BDT 124566 million in 2019.</w:t>
      </w:r>
      <w:proofErr w:type="gramEnd"/>
      <w:r w:rsidR="00C37E12" w:rsidRPr="00630B22">
        <w:rPr>
          <w:rFonts w:ascii="Times New Roman" w:hAnsi="Times New Roman" w:cs="Times New Roman"/>
          <w:sz w:val="20"/>
          <w:szCs w:val="20"/>
        </w:rPr>
        <w:t xml:space="preserve"> </w:t>
      </w:r>
      <w:proofErr w:type="gramStart"/>
      <w:r w:rsidR="005C6F0C" w:rsidRPr="00630B22">
        <w:rPr>
          <w:rFonts w:ascii="Times New Roman" w:hAnsi="Times New Roman" w:cs="Times New Roman"/>
          <w:sz w:val="20"/>
          <w:szCs w:val="20"/>
        </w:rPr>
        <w:t xml:space="preserve">The world insurance </w:t>
      </w:r>
      <w:r w:rsidR="002117FE" w:rsidRPr="00630B22">
        <w:rPr>
          <w:rFonts w:ascii="Times New Roman" w:hAnsi="Times New Roman" w:cs="Times New Roman"/>
          <w:sz w:val="20"/>
          <w:szCs w:val="20"/>
        </w:rPr>
        <w:t>payment volume</w:t>
      </w:r>
      <w:r w:rsidR="005C6F0C" w:rsidRPr="00630B22">
        <w:rPr>
          <w:rFonts w:ascii="Times New Roman" w:hAnsi="Times New Roman" w:cs="Times New Roman"/>
          <w:sz w:val="20"/>
          <w:szCs w:val="20"/>
        </w:rPr>
        <w:t xml:space="preserve"> life assurance</w:t>
      </w:r>
      <w:r w:rsidR="00C020CE" w:rsidRPr="00630B22">
        <w:rPr>
          <w:rFonts w:ascii="Times New Roman" w:hAnsi="Times New Roman" w:cs="Times New Roman"/>
          <w:sz w:val="20"/>
          <w:szCs w:val="20"/>
        </w:rPr>
        <w:t xml:space="preserve"> in USD 291</w:t>
      </w:r>
      <w:r w:rsidR="005C6F0C" w:rsidRPr="00630B22">
        <w:rPr>
          <w:rFonts w:ascii="Times New Roman" w:hAnsi="Times New Roman" w:cs="Times New Roman"/>
          <w:sz w:val="20"/>
          <w:szCs w:val="20"/>
        </w:rPr>
        <w:t xml:space="preserve">6267 million and nonlife insurance </w:t>
      </w:r>
      <w:r w:rsidR="002117FE" w:rsidRPr="00630B22">
        <w:rPr>
          <w:rFonts w:ascii="Times New Roman" w:hAnsi="Times New Roman" w:cs="Times New Roman"/>
          <w:sz w:val="20"/>
          <w:szCs w:val="20"/>
        </w:rPr>
        <w:t>payment volume</w:t>
      </w:r>
      <w:r w:rsidR="00C020CE" w:rsidRPr="00630B22">
        <w:rPr>
          <w:rFonts w:ascii="Times New Roman" w:hAnsi="Times New Roman" w:cs="Times New Roman"/>
          <w:sz w:val="20"/>
          <w:szCs w:val="20"/>
        </w:rPr>
        <w:t xml:space="preserve"> in USD 33</w:t>
      </w:r>
      <w:r w:rsidR="002117FE" w:rsidRPr="00630B22">
        <w:rPr>
          <w:rFonts w:ascii="Times New Roman" w:hAnsi="Times New Roman" w:cs="Times New Roman"/>
          <w:sz w:val="20"/>
          <w:szCs w:val="20"/>
        </w:rPr>
        <w:t>76333 in 2019.</w:t>
      </w:r>
      <w:proofErr w:type="gramEnd"/>
      <w:r w:rsidR="002117FE" w:rsidRPr="00630B22">
        <w:rPr>
          <w:rFonts w:ascii="Times New Roman" w:hAnsi="Times New Roman" w:cs="Times New Roman"/>
          <w:sz w:val="20"/>
          <w:szCs w:val="20"/>
        </w:rPr>
        <w:t xml:space="preserve"> </w:t>
      </w:r>
      <w:proofErr w:type="gramStart"/>
      <w:r w:rsidR="002117FE" w:rsidRPr="00630B22">
        <w:rPr>
          <w:rFonts w:ascii="Times New Roman" w:hAnsi="Times New Roman" w:cs="Times New Roman"/>
          <w:sz w:val="20"/>
          <w:szCs w:val="20"/>
        </w:rPr>
        <w:t>The total insurance payment</w:t>
      </w:r>
      <w:r w:rsidR="00C020CE" w:rsidRPr="00630B22">
        <w:rPr>
          <w:rFonts w:ascii="Times New Roman" w:hAnsi="Times New Roman" w:cs="Times New Roman"/>
          <w:sz w:val="20"/>
          <w:szCs w:val="20"/>
        </w:rPr>
        <w:t xml:space="preserve"> volume of the world in USD 6292600 in 2019</w:t>
      </w:r>
      <w:r w:rsidR="002117FE" w:rsidRPr="00630B22">
        <w:rPr>
          <w:rFonts w:ascii="Times New Roman" w:hAnsi="Times New Roman" w:cs="Times New Roman"/>
          <w:sz w:val="20"/>
          <w:szCs w:val="20"/>
        </w:rPr>
        <w:t>(Sigma,</w:t>
      </w:r>
      <w:r w:rsidR="00C06EE8" w:rsidRPr="00630B22">
        <w:rPr>
          <w:rFonts w:ascii="Times New Roman" w:hAnsi="Times New Roman" w:cs="Times New Roman"/>
          <w:sz w:val="20"/>
          <w:szCs w:val="20"/>
        </w:rPr>
        <w:t xml:space="preserve"> </w:t>
      </w:r>
      <w:r w:rsidR="002117FE" w:rsidRPr="00630B22">
        <w:rPr>
          <w:rFonts w:ascii="Times New Roman" w:hAnsi="Times New Roman" w:cs="Times New Roman"/>
          <w:sz w:val="20"/>
          <w:szCs w:val="20"/>
        </w:rPr>
        <w:t>4/2020)</w:t>
      </w:r>
      <w:r w:rsidR="00C020CE" w:rsidRPr="00630B22">
        <w:rPr>
          <w:rFonts w:ascii="Times New Roman" w:hAnsi="Times New Roman" w:cs="Times New Roman"/>
          <w:sz w:val="20"/>
          <w:szCs w:val="20"/>
        </w:rPr>
        <w:t>.</w:t>
      </w:r>
      <w:proofErr w:type="gramEnd"/>
      <w:r w:rsidR="00D14BDF" w:rsidRPr="00630B22">
        <w:rPr>
          <w:rFonts w:ascii="Times New Roman" w:hAnsi="Times New Roman" w:cs="Times New Roman"/>
          <w:sz w:val="20"/>
          <w:szCs w:val="20"/>
        </w:rPr>
        <w:t xml:space="preserve"> The scenario of world insurance market including Bangladesh has shown in table 01.</w:t>
      </w:r>
    </w:p>
    <w:p w:rsidR="00187413" w:rsidRPr="00187413" w:rsidRDefault="00187413" w:rsidP="00187413">
      <w:pPr>
        <w:pStyle w:val="ListParagraph"/>
        <w:spacing w:after="120" w:line="240" w:lineRule="auto"/>
        <w:jc w:val="both"/>
        <w:rPr>
          <w:rFonts w:ascii="Times New Roman" w:hAnsi="Times New Roman" w:cs="Times New Roman"/>
          <w:sz w:val="20"/>
          <w:szCs w:val="20"/>
        </w:rPr>
      </w:pPr>
    </w:p>
    <w:p w:rsidR="00D14BDF" w:rsidRPr="00630B22" w:rsidRDefault="00D14BDF" w:rsidP="00630B22">
      <w:pPr>
        <w:pStyle w:val="ListParagraph"/>
        <w:spacing w:after="120" w:line="240" w:lineRule="auto"/>
        <w:jc w:val="center"/>
        <w:rPr>
          <w:rFonts w:ascii="Times New Roman" w:hAnsi="Times New Roman" w:cs="Times New Roman"/>
          <w:b/>
          <w:sz w:val="20"/>
          <w:szCs w:val="20"/>
        </w:rPr>
      </w:pPr>
      <w:r w:rsidRPr="00630B22">
        <w:rPr>
          <w:rFonts w:ascii="Times New Roman" w:hAnsi="Times New Roman" w:cs="Times New Roman"/>
          <w:b/>
          <w:sz w:val="20"/>
          <w:szCs w:val="20"/>
        </w:rPr>
        <w:t>Table</w:t>
      </w:r>
      <w:r w:rsidR="00187413" w:rsidRPr="00630B22">
        <w:rPr>
          <w:rFonts w:ascii="Times New Roman" w:hAnsi="Times New Roman" w:cs="Times New Roman"/>
          <w:b/>
          <w:sz w:val="20"/>
          <w:szCs w:val="20"/>
        </w:rPr>
        <w:t>1</w:t>
      </w:r>
      <w:proofErr w:type="gramStart"/>
      <w:r w:rsidR="00187413" w:rsidRPr="00630B22">
        <w:rPr>
          <w:rFonts w:ascii="Times New Roman" w:hAnsi="Times New Roman" w:cs="Times New Roman"/>
          <w:b/>
          <w:sz w:val="20"/>
          <w:szCs w:val="20"/>
        </w:rPr>
        <w:t>:</w:t>
      </w:r>
      <w:r w:rsidRPr="00630B22">
        <w:rPr>
          <w:rFonts w:ascii="Times New Roman" w:hAnsi="Times New Roman" w:cs="Times New Roman"/>
          <w:b/>
          <w:sz w:val="20"/>
          <w:szCs w:val="20"/>
        </w:rPr>
        <w:t>The</w:t>
      </w:r>
      <w:proofErr w:type="gramEnd"/>
      <w:r w:rsidRPr="00630B22">
        <w:rPr>
          <w:rFonts w:ascii="Times New Roman" w:hAnsi="Times New Roman" w:cs="Times New Roman"/>
          <w:b/>
          <w:sz w:val="20"/>
          <w:szCs w:val="20"/>
        </w:rPr>
        <w:t xml:space="preserve"> scenario of world insurance market including Bangladesh</w:t>
      </w:r>
    </w:p>
    <w:tbl>
      <w:tblPr>
        <w:tblStyle w:val="TableGrid"/>
        <w:tblW w:w="0" w:type="auto"/>
        <w:tblInd w:w="720" w:type="dxa"/>
        <w:tblLayout w:type="fixed"/>
        <w:tblLook w:val="04A0" w:firstRow="1" w:lastRow="0" w:firstColumn="1" w:lastColumn="0" w:noHBand="0" w:noVBand="1"/>
      </w:tblPr>
      <w:tblGrid>
        <w:gridCol w:w="2088"/>
        <w:gridCol w:w="1558"/>
        <w:gridCol w:w="1736"/>
        <w:gridCol w:w="1167"/>
        <w:gridCol w:w="1167"/>
        <w:gridCol w:w="1140"/>
      </w:tblGrid>
      <w:tr w:rsidR="00D14BDF" w:rsidRPr="00630B22" w:rsidTr="00A9625A">
        <w:tc>
          <w:tcPr>
            <w:tcW w:w="2088" w:type="dxa"/>
          </w:tcPr>
          <w:p w:rsidR="00D14BDF" w:rsidRPr="00630B22" w:rsidRDefault="00D14BDF" w:rsidP="00C37E12">
            <w:pPr>
              <w:pStyle w:val="ListParagraph"/>
              <w:spacing w:after="120" w:line="480" w:lineRule="auto"/>
              <w:ind w:left="0"/>
              <w:jc w:val="both"/>
              <w:rPr>
                <w:rFonts w:ascii="Times New Roman" w:hAnsi="Times New Roman" w:cs="Times New Roman"/>
                <w:sz w:val="20"/>
                <w:szCs w:val="20"/>
              </w:rPr>
            </w:pPr>
            <w:r w:rsidRPr="00630B22">
              <w:rPr>
                <w:rFonts w:ascii="Times New Roman" w:hAnsi="Times New Roman" w:cs="Times New Roman"/>
                <w:sz w:val="20"/>
                <w:szCs w:val="20"/>
              </w:rPr>
              <w:t>Region/Countries</w:t>
            </w:r>
          </w:p>
        </w:tc>
        <w:tc>
          <w:tcPr>
            <w:tcW w:w="1558" w:type="dxa"/>
          </w:tcPr>
          <w:p w:rsidR="00D14BDF" w:rsidRPr="00630B22" w:rsidRDefault="00D14BDF" w:rsidP="00D14BDF">
            <w:pPr>
              <w:pStyle w:val="ListParagraph"/>
              <w:spacing w:after="120"/>
              <w:ind w:left="0"/>
              <w:jc w:val="center"/>
              <w:rPr>
                <w:rFonts w:ascii="Times New Roman" w:hAnsi="Times New Roman" w:cs="Times New Roman"/>
                <w:sz w:val="20"/>
                <w:szCs w:val="20"/>
              </w:rPr>
            </w:pPr>
            <w:r w:rsidRPr="00630B22">
              <w:rPr>
                <w:rFonts w:ascii="Times New Roman" w:hAnsi="Times New Roman" w:cs="Times New Roman"/>
                <w:sz w:val="20"/>
                <w:szCs w:val="20"/>
              </w:rPr>
              <w:t>Premium(USD</w:t>
            </w:r>
            <w:r w:rsidR="00F334CE" w:rsidRPr="00630B22">
              <w:rPr>
                <w:rFonts w:ascii="Times New Roman" w:hAnsi="Times New Roman" w:cs="Times New Roman"/>
                <w:sz w:val="20"/>
                <w:szCs w:val="20"/>
              </w:rPr>
              <w:t xml:space="preserve"> Million </w:t>
            </w:r>
            <w:r w:rsidRPr="00630B22">
              <w:rPr>
                <w:rFonts w:ascii="Times New Roman" w:hAnsi="Times New Roman" w:cs="Times New Roman"/>
                <w:sz w:val="20"/>
                <w:szCs w:val="20"/>
              </w:rPr>
              <w:t>)</w:t>
            </w:r>
          </w:p>
          <w:p w:rsidR="00D14BDF" w:rsidRPr="00630B22" w:rsidRDefault="00D14BDF" w:rsidP="00D14BDF">
            <w:pPr>
              <w:pStyle w:val="ListParagraph"/>
              <w:spacing w:after="120"/>
              <w:ind w:left="0"/>
              <w:jc w:val="center"/>
              <w:rPr>
                <w:rFonts w:ascii="Times New Roman" w:hAnsi="Times New Roman" w:cs="Times New Roman"/>
                <w:sz w:val="20"/>
                <w:szCs w:val="20"/>
              </w:rPr>
            </w:pPr>
            <w:r w:rsidRPr="00630B22">
              <w:rPr>
                <w:rFonts w:ascii="Times New Roman" w:hAnsi="Times New Roman" w:cs="Times New Roman"/>
                <w:sz w:val="20"/>
                <w:szCs w:val="20"/>
              </w:rPr>
              <w:t>2018</w:t>
            </w:r>
          </w:p>
        </w:tc>
        <w:tc>
          <w:tcPr>
            <w:tcW w:w="1736" w:type="dxa"/>
          </w:tcPr>
          <w:p w:rsidR="00D14BDF" w:rsidRPr="00630B22" w:rsidRDefault="00D14BDF" w:rsidP="00D14BDF">
            <w:pPr>
              <w:pStyle w:val="ListParagraph"/>
              <w:spacing w:after="120"/>
              <w:ind w:left="0"/>
              <w:jc w:val="center"/>
              <w:rPr>
                <w:rFonts w:ascii="Times New Roman" w:hAnsi="Times New Roman" w:cs="Times New Roman"/>
                <w:sz w:val="20"/>
                <w:szCs w:val="20"/>
              </w:rPr>
            </w:pPr>
            <w:r w:rsidRPr="00630B22">
              <w:rPr>
                <w:rFonts w:ascii="Times New Roman" w:hAnsi="Times New Roman" w:cs="Times New Roman"/>
                <w:sz w:val="20"/>
                <w:szCs w:val="20"/>
              </w:rPr>
              <w:t>Premium(USD</w:t>
            </w:r>
            <w:r w:rsidR="00F334CE" w:rsidRPr="00630B22">
              <w:rPr>
                <w:rFonts w:ascii="Times New Roman" w:hAnsi="Times New Roman" w:cs="Times New Roman"/>
                <w:sz w:val="20"/>
                <w:szCs w:val="20"/>
              </w:rPr>
              <w:t xml:space="preserve"> Million </w:t>
            </w:r>
            <w:r w:rsidRPr="00630B22">
              <w:rPr>
                <w:rFonts w:ascii="Times New Roman" w:hAnsi="Times New Roman" w:cs="Times New Roman"/>
                <w:sz w:val="20"/>
                <w:szCs w:val="20"/>
              </w:rPr>
              <w:t>)</w:t>
            </w:r>
          </w:p>
          <w:p w:rsidR="00D14BDF" w:rsidRPr="00630B22" w:rsidRDefault="00D14BDF" w:rsidP="00BC49B7">
            <w:pPr>
              <w:pStyle w:val="ListParagraph"/>
              <w:spacing w:after="120"/>
              <w:ind w:left="0"/>
              <w:jc w:val="center"/>
              <w:rPr>
                <w:rFonts w:ascii="Times New Roman" w:hAnsi="Times New Roman" w:cs="Times New Roman"/>
                <w:sz w:val="20"/>
                <w:szCs w:val="20"/>
              </w:rPr>
            </w:pPr>
            <w:r w:rsidRPr="00630B22">
              <w:rPr>
                <w:rFonts w:ascii="Times New Roman" w:hAnsi="Times New Roman" w:cs="Times New Roman"/>
                <w:sz w:val="20"/>
                <w:szCs w:val="20"/>
              </w:rPr>
              <w:t>2019</w:t>
            </w:r>
          </w:p>
        </w:tc>
        <w:tc>
          <w:tcPr>
            <w:tcW w:w="1167" w:type="dxa"/>
          </w:tcPr>
          <w:p w:rsidR="00D14BDF" w:rsidRPr="00630B22" w:rsidRDefault="00D14BDF" w:rsidP="00B82976">
            <w:pPr>
              <w:pStyle w:val="ListParagraph"/>
              <w:spacing w:after="120"/>
              <w:ind w:left="0"/>
              <w:jc w:val="center"/>
              <w:rPr>
                <w:rFonts w:ascii="Times New Roman" w:hAnsi="Times New Roman" w:cs="Times New Roman"/>
                <w:sz w:val="20"/>
                <w:szCs w:val="20"/>
              </w:rPr>
            </w:pPr>
            <w:r w:rsidRPr="00630B22">
              <w:rPr>
                <w:rFonts w:ascii="Times New Roman" w:hAnsi="Times New Roman" w:cs="Times New Roman"/>
                <w:sz w:val="20"/>
                <w:szCs w:val="20"/>
              </w:rPr>
              <w:t>Growth</w:t>
            </w:r>
          </w:p>
          <w:p w:rsidR="00D14BDF" w:rsidRPr="00630B22" w:rsidRDefault="00B82976" w:rsidP="00B82976">
            <w:pPr>
              <w:pStyle w:val="ListParagraph"/>
              <w:spacing w:after="120"/>
              <w:ind w:left="0"/>
              <w:jc w:val="center"/>
              <w:rPr>
                <w:rFonts w:ascii="Times New Roman" w:hAnsi="Times New Roman" w:cs="Times New Roman"/>
                <w:sz w:val="20"/>
                <w:szCs w:val="20"/>
              </w:rPr>
            </w:pPr>
            <w:r w:rsidRPr="00630B22">
              <w:rPr>
                <w:rFonts w:ascii="Times New Roman" w:hAnsi="Times New Roman" w:cs="Times New Roman"/>
                <w:sz w:val="20"/>
                <w:szCs w:val="20"/>
              </w:rPr>
              <w:t>Nominal (%)</w:t>
            </w:r>
          </w:p>
        </w:tc>
        <w:tc>
          <w:tcPr>
            <w:tcW w:w="1167" w:type="dxa"/>
          </w:tcPr>
          <w:p w:rsidR="00D14BDF" w:rsidRPr="00630B22" w:rsidRDefault="00D14BDF" w:rsidP="00B82976">
            <w:pPr>
              <w:pStyle w:val="ListParagraph"/>
              <w:spacing w:after="120"/>
              <w:ind w:left="0"/>
              <w:jc w:val="center"/>
              <w:rPr>
                <w:rFonts w:ascii="Times New Roman" w:hAnsi="Times New Roman" w:cs="Times New Roman"/>
                <w:sz w:val="20"/>
                <w:szCs w:val="20"/>
              </w:rPr>
            </w:pPr>
            <w:r w:rsidRPr="00630B22">
              <w:rPr>
                <w:rFonts w:ascii="Times New Roman" w:hAnsi="Times New Roman" w:cs="Times New Roman"/>
                <w:sz w:val="20"/>
                <w:szCs w:val="20"/>
              </w:rPr>
              <w:t>Growth</w:t>
            </w:r>
          </w:p>
          <w:p w:rsidR="00D14BDF" w:rsidRPr="00630B22" w:rsidRDefault="00D14BDF" w:rsidP="00B82976">
            <w:pPr>
              <w:pStyle w:val="ListParagraph"/>
              <w:spacing w:after="120"/>
              <w:ind w:left="0"/>
              <w:jc w:val="center"/>
              <w:rPr>
                <w:rFonts w:ascii="Times New Roman" w:hAnsi="Times New Roman" w:cs="Times New Roman"/>
                <w:sz w:val="20"/>
                <w:szCs w:val="20"/>
              </w:rPr>
            </w:pPr>
            <w:r w:rsidRPr="00630B22">
              <w:rPr>
                <w:rFonts w:ascii="Times New Roman" w:hAnsi="Times New Roman" w:cs="Times New Roman"/>
                <w:sz w:val="20"/>
                <w:szCs w:val="20"/>
              </w:rPr>
              <w:t>Inflation</w:t>
            </w:r>
          </w:p>
          <w:p w:rsidR="00D14BDF" w:rsidRPr="00630B22" w:rsidRDefault="00B82976" w:rsidP="00B82976">
            <w:pPr>
              <w:pStyle w:val="ListParagraph"/>
              <w:spacing w:after="120"/>
              <w:ind w:left="0"/>
              <w:jc w:val="center"/>
              <w:rPr>
                <w:rFonts w:ascii="Times New Roman" w:hAnsi="Times New Roman" w:cs="Times New Roman"/>
                <w:sz w:val="20"/>
                <w:szCs w:val="20"/>
              </w:rPr>
            </w:pPr>
            <w:r w:rsidRPr="00630B22">
              <w:rPr>
                <w:rFonts w:ascii="Times New Roman" w:hAnsi="Times New Roman" w:cs="Times New Roman"/>
                <w:sz w:val="20"/>
                <w:szCs w:val="20"/>
              </w:rPr>
              <w:t>Adjusted (%)</w:t>
            </w:r>
          </w:p>
        </w:tc>
        <w:tc>
          <w:tcPr>
            <w:tcW w:w="1140" w:type="dxa"/>
          </w:tcPr>
          <w:p w:rsidR="00D14BDF" w:rsidRPr="00630B22" w:rsidRDefault="00D14BDF" w:rsidP="00B82976">
            <w:pPr>
              <w:pStyle w:val="ListParagraph"/>
              <w:spacing w:after="120"/>
              <w:ind w:left="0"/>
              <w:jc w:val="center"/>
              <w:rPr>
                <w:rFonts w:ascii="Times New Roman" w:hAnsi="Times New Roman" w:cs="Times New Roman"/>
                <w:sz w:val="20"/>
                <w:szCs w:val="20"/>
              </w:rPr>
            </w:pPr>
            <w:r w:rsidRPr="00630B22">
              <w:rPr>
                <w:rFonts w:ascii="Times New Roman" w:hAnsi="Times New Roman" w:cs="Times New Roman"/>
                <w:sz w:val="20"/>
                <w:szCs w:val="20"/>
              </w:rPr>
              <w:t>Market</w:t>
            </w:r>
          </w:p>
          <w:p w:rsidR="00D14BDF" w:rsidRPr="00630B22" w:rsidRDefault="00D14BDF" w:rsidP="00B82976">
            <w:pPr>
              <w:pStyle w:val="ListParagraph"/>
              <w:spacing w:after="120"/>
              <w:ind w:left="0"/>
              <w:jc w:val="center"/>
              <w:rPr>
                <w:rFonts w:ascii="Times New Roman" w:hAnsi="Times New Roman" w:cs="Times New Roman"/>
                <w:sz w:val="20"/>
                <w:szCs w:val="20"/>
              </w:rPr>
            </w:pPr>
            <w:r w:rsidRPr="00630B22">
              <w:rPr>
                <w:rFonts w:ascii="Times New Roman" w:hAnsi="Times New Roman" w:cs="Times New Roman"/>
                <w:sz w:val="20"/>
                <w:szCs w:val="20"/>
              </w:rPr>
              <w:t>Share</w:t>
            </w:r>
            <w:r w:rsidR="00B82976" w:rsidRPr="00630B22">
              <w:rPr>
                <w:rFonts w:ascii="Times New Roman" w:hAnsi="Times New Roman" w:cs="Times New Roman"/>
                <w:sz w:val="20"/>
                <w:szCs w:val="20"/>
              </w:rPr>
              <w:t xml:space="preserve"> (%)</w:t>
            </w:r>
          </w:p>
        </w:tc>
      </w:tr>
      <w:tr w:rsidR="00D14BDF" w:rsidRPr="00630B22" w:rsidTr="00A9625A">
        <w:tc>
          <w:tcPr>
            <w:tcW w:w="2088" w:type="dxa"/>
          </w:tcPr>
          <w:p w:rsidR="00D14BDF" w:rsidRPr="00630B22" w:rsidRDefault="00A453CD" w:rsidP="00A453CD">
            <w:pPr>
              <w:pStyle w:val="ListParagraph"/>
              <w:spacing w:after="120" w:line="360" w:lineRule="auto"/>
              <w:ind w:left="0"/>
              <w:rPr>
                <w:rFonts w:ascii="Times New Roman" w:hAnsi="Times New Roman" w:cs="Times New Roman"/>
                <w:sz w:val="20"/>
                <w:szCs w:val="20"/>
              </w:rPr>
            </w:pPr>
            <w:r w:rsidRPr="00630B22">
              <w:rPr>
                <w:rFonts w:ascii="Times New Roman" w:hAnsi="Times New Roman" w:cs="Times New Roman"/>
                <w:sz w:val="20"/>
                <w:szCs w:val="20"/>
              </w:rPr>
              <w:t>USA &amp; Canada</w:t>
            </w:r>
          </w:p>
          <w:p w:rsidR="00A453CD" w:rsidRPr="00630B22" w:rsidRDefault="00A453CD" w:rsidP="00A453CD">
            <w:pPr>
              <w:pStyle w:val="ListParagraph"/>
              <w:spacing w:after="120" w:line="360" w:lineRule="auto"/>
              <w:ind w:left="0"/>
              <w:rPr>
                <w:rFonts w:ascii="Times New Roman" w:hAnsi="Times New Roman" w:cs="Times New Roman"/>
                <w:sz w:val="20"/>
                <w:szCs w:val="20"/>
              </w:rPr>
            </w:pPr>
            <w:r w:rsidRPr="00630B22">
              <w:rPr>
                <w:rFonts w:ascii="Times New Roman" w:hAnsi="Times New Roman" w:cs="Times New Roman"/>
                <w:sz w:val="20"/>
                <w:szCs w:val="20"/>
              </w:rPr>
              <w:t>Latin America</w:t>
            </w:r>
          </w:p>
          <w:p w:rsidR="00A453CD" w:rsidRPr="00630B22" w:rsidRDefault="00A453CD" w:rsidP="00A453CD">
            <w:pPr>
              <w:pStyle w:val="ListParagraph"/>
              <w:spacing w:after="120" w:line="360" w:lineRule="auto"/>
              <w:ind w:left="0"/>
              <w:rPr>
                <w:rFonts w:ascii="Times New Roman" w:hAnsi="Times New Roman" w:cs="Times New Roman"/>
                <w:sz w:val="20"/>
                <w:szCs w:val="20"/>
              </w:rPr>
            </w:pPr>
            <w:r w:rsidRPr="00630B22">
              <w:rPr>
                <w:rFonts w:ascii="Times New Roman" w:hAnsi="Times New Roman" w:cs="Times New Roman"/>
                <w:sz w:val="20"/>
                <w:szCs w:val="20"/>
              </w:rPr>
              <w:t>Advance Market</w:t>
            </w:r>
          </w:p>
          <w:p w:rsidR="00152F5A" w:rsidRPr="00630B22" w:rsidRDefault="00152F5A" w:rsidP="00A453CD">
            <w:pPr>
              <w:pStyle w:val="ListParagraph"/>
              <w:spacing w:after="120" w:line="360" w:lineRule="auto"/>
              <w:ind w:left="0"/>
              <w:rPr>
                <w:rFonts w:ascii="Times New Roman" w:hAnsi="Times New Roman" w:cs="Times New Roman"/>
                <w:sz w:val="20"/>
                <w:szCs w:val="20"/>
              </w:rPr>
            </w:pPr>
            <w:r w:rsidRPr="00630B22">
              <w:rPr>
                <w:rFonts w:ascii="Times New Roman" w:hAnsi="Times New Roman" w:cs="Times New Roman"/>
                <w:sz w:val="20"/>
                <w:szCs w:val="20"/>
              </w:rPr>
              <w:t>Emerging Market</w:t>
            </w:r>
          </w:p>
          <w:p w:rsidR="00A453CD" w:rsidRPr="00630B22" w:rsidRDefault="00A453CD" w:rsidP="00A453CD">
            <w:pPr>
              <w:pStyle w:val="ListParagraph"/>
              <w:spacing w:after="120" w:line="360" w:lineRule="auto"/>
              <w:ind w:left="0"/>
              <w:rPr>
                <w:rFonts w:ascii="Times New Roman" w:hAnsi="Times New Roman" w:cs="Times New Roman"/>
                <w:sz w:val="20"/>
                <w:szCs w:val="20"/>
              </w:rPr>
            </w:pPr>
            <w:r w:rsidRPr="00630B22">
              <w:rPr>
                <w:rFonts w:ascii="Times New Roman" w:hAnsi="Times New Roman" w:cs="Times New Roman"/>
                <w:sz w:val="20"/>
                <w:szCs w:val="20"/>
              </w:rPr>
              <w:t>Advance Asia</w:t>
            </w:r>
          </w:p>
          <w:p w:rsidR="00A453CD" w:rsidRPr="00630B22" w:rsidRDefault="00A453CD" w:rsidP="00A453CD">
            <w:pPr>
              <w:pStyle w:val="ListParagraph"/>
              <w:spacing w:after="120" w:line="360" w:lineRule="auto"/>
              <w:ind w:left="0"/>
              <w:rPr>
                <w:rFonts w:ascii="Times New Roman" w:hAnsi="Times New Roman" w:cs="Times New Roman"/>
                <w:sz w:val="20"/>
                <w:szCs w:val="20"/>
              </w:rPr>
            </w:pPr>
            <w:r w:rsidRPr="00630B22">
              <w:rPr>
                <w:rFonts w:ascii="Times New Roman" w:hAnsi="Times New Roman" w:cs="Times New Roman"/>
                <w:sz w:val="20"/>
                <w:szCs w:val="20"/>
              </w:rPr>
              <w:t>Emerging Asia</w:t>
            </w:r>
          </w:p>
        </w:tc>
        <w:tc>
          <w:tcPr>
            <w:tcW w:w="1558" w:type="dxa"/>
          </w:tcPr>
          <w:p w:rsidR="00D14BDF" w:rsidRPr="00630B22" w:rsidRDefault="00A453CD" w:rsidP="00A9625A">
            <w:pPr>
              <w:pStyle w:val="ListParagraph"/>
              <w:spacing w:after="120" w:line="360" w:lineRule="auto"/>
              <w:ind w:left="0"/>
              <w:jc w:val="center"/>
              <w:rPr>
                <w:rFonts w:ascii="Times New Roman" w:hAnsi="Times New Roman" w:cs="Times New Roman"/>
                <w:sz w:val="20"/>
                <w:szCs w:val="20"/>
              </w:rPr>
            </w:pPr>
            <w:r w:rsidRPr="00630B22">
              <w:rPr>
                <w:rFonts w:ascii="Times New Roman" w:hAnsi="Times New Roman" w:cs="Times New Roman"/>
                <w:sz w:val="20"/>
                <w:szCs w:val="20"/>
              </w:rPr>
              <w:t>2497670</w:t>
            </w:r>
          </w:p>
          <w:p w:rsidR="00A453CD" w:rsidRPr="00630B22" w:rsidRDefault="00A453CD" w:rsidP="00A9625A">
            <w:pPr>
              <w:pStyle w:val="ListParagraph"/>
              <w:spacing w:after="120" w:line="360" w:lineRule="auto"/>
              <w:ind w:left="0"/>
              <w:jc w:val="center"/>
              <w:rPr>
                <w:rFonts w:ascii="Times New Roman" w:hAnsi="Times New Roman" w:cs="Times New Roman"/>
                <w:sz w:val="20"/>
                <w:szCs w:val="20"/>
              </w:rPr>
            </w:pPr>
            <w:r w:rsidRPr="00630B22">
              <w:rPr>
                <w:rFonts w:ascii="Times New Roman" w:hAnsi="Times New Roman" w:cs="Times New Roman"/>
                <w:sz w:val="20"/>
                <w:szCs w:val="20"/>
              </w:rPr>
              <w:t>155197</w:t>
            </w:r>
          </w:p>
          <w:p w:rsidR="00A9625A" w:rsidRPr="00630B22" w:rsidRDefault="00A9625A" w:rsidP="00A9625A">
            <w:pPr>
              <w:pStyle w:val="ListParagraph"/>
              <w:spacing w:after="120" w:line="360" w:lineRule="auto"/>
              <w:ind w:left="0"/>
              <w:jc w:val="center"/>
              <w:rPr>
                <w:rFonts w:ascii="Times New Roman" w:hAnsi="Times New Roman" w:cs="Times New Roman"/>
                <w:sz w:val="20"/>
                <w:szCs w:val="20"/>
              </w:rPr>
            </w:pPr>
            <w:r w:rsidRPr="00630B22">
              <w:rPr>
                <w:rFonts w:ascii="Times New Roman" w:hAnsi="Times New Roman" w:cs="Times New Roman"/>
                <w:sz w:val="20"/>
                <w:szCs w:val="20"/>
              </w:rPr>
              <w:t>1622868</w:t>
            </w:r>
          </w:p>
          <w:p w:rsidR="00B53A33" w:rsidRPr="00630B22" w:rsidRDefault="00B53A33" w:rsidP="00A9625A">
            <w:pPr>
              <w:pStyle w:val="ListParagraph"/>
              <w:spacing w:after="120" w:line="360" w:lineRule="auto"/>
              <w:ind w:left="0"/>
              <w:jc w:val="center"/>
              <w:rPr>
                <w:rFonts w:ascii="Times New Roman" w:hAnsi="Times New Roman" w:cs="Times New Roman"/>
                <w:sz w:val="20"/>
                <w:szCs w:val="20"/>
              </w:rPr>
            </w:pPr>
            <w:r w:rsidRPr="00630B22">
              <w:rPr>
                <w:rFonts w:ascii="Times New Roman" w:hAnsi="Times New Roman" w:cs="Times New Roman"/>
                <w:sz w:val="20"/>
                <w:szCs w:val="20"/>
              </w:rPr>
              <w:t>193482</w:t>
            </w:r>
          </w:p>
          <w:p w:rsidR="00B53A33" w:rsidRPr="00630B22" w:rsidRDefault="00B53A33" w:rsidP="00A9625A">
            <w:pPr>
              <w:pStyle w:val="ListParagraph"/>
              <w:spacing w:after="120" w:line="360" w:lineRule="auto"/>
              <w:ind w:left="0"/>
              <w:jc w:val="center"/>
              <w:rPr>
                <w:rFonts w:ascii="Times New Roman" w:hAnsi="Times New Roman" w:cs="Times New Roman"/>
                <w:sz w:val="20"/>
                <w:szCs w:val="20"/>
              </w:rPr>
            </w:pPr>
            <w:r w:rsidRPr="00630B22">
              <w:rPr>
                <w:rFonts w:ascii="Times New Roman" w:hAnsi="Times New Roman" w:cs="Times New Roman"/>
                <w:sz w:val="20"/>
                <w:szCs w:val="20"/>
              </w:rPr>
              <w:t>925029</w:t>
            </w:r>
          </w:p>
          <w:p w:rsidR="00B53A33" w:rsidRPr="00630B22" w:rsidRDefault="00B53A33" w:rsidP="00A9625A">
            <w:pPr>
              <w:pStyle w:val="ListParagraph"/>
              <w:spacing w:after="120" w:line="360" w:lineRule="auto"/>
              <w:ind w:left="0"/>
              <w:jc w:val="center"/>
              <w:rPr>
                <w:rFonts w:ascii="Times New Roman" w:hAnsi="Times New Roman" w:cs="Times New Roman"/>
                <w:sz w:val="20"/>
                <w:szCs w:val="20"/>
              </w:rPr>
            </w:pPr>
            <w:r w:rsidRPr="00630B22">
              <w:rPr>
                <w:rFonts w:ascii="Times New Roman" w:hAnsi="Times New Roman" w:cs="Times New Roman"/>
                <w:sz w:val="20"/>
                <w:szCs w:val="20"/>
              </w:rPr>
              <w:t>754774</w:t>
            </w:r>
          </w:p>
        </w:tc>
        <w:tc>
          <w:tcPr>
            <w:tcW w:w="1736" w:type="dxa"/>
          </w:tcPr>
          <w:p w:rsidR="00D14BDF" w:rsidRPr="00630B22" w:rsidRDefault="00A453CD" w:rsidP="00A9625A">
            <w:pPr>
              <w:pStyle w:val="ListParagraph"/>
              <w:spacing w:after="120" w:line="360" w:lineRule="auto"/>
              <w:ind w:left="0"/>
              <w:jc w:val="center"/>
              <w:rPr>
                <w:rFonts w:ascii="Times New Roman" w:hAnsi="Times New Roman" w:cs="Times New Roman"/>
                <w:sz w:val="20"/>
                <w:szCs w:val="20"/>
              </w:rPr>
            </w:pPr>
            <w:r w:rsidRPr="00630B22">
              <w:rPr>
                <w:rFonts w:ascii="Times New Roman" w:hAnsi="Times New Roman" w:cs="Times New Roman"/>
                <w:sz w:val="20"/>
                <w:szCs w:val="20"/>
              </w:rPr>
              <w:t>2593280</w:t>
            </w:r>
          </w:p>
          <w:p w:rsidR="00B53A33" w:rsidRPr="00630B22" w:rsidRDefault="00A453CD" w:rsidP="00A9625A">
            <w:pPr>
              <w:pStyle w:val="ListParagraph"/>
              <w:spacing w:after="120" w:line="360" w:lineRule="auto"/>
              <w:ind w:left="0"/>
              <w:jc w:val="center"/>
              <w:rPr>
                <w:rFonts w:ascii="Times New Roman" w:hAnsi="Times New Roman" w:cs="Times New Roman"/>
                <w:sz w:val="20"/>
                <w:szCs w:val="20"/>
              </w:rPr>
            </w:pPr>
            <w:r w:rsidRPr="00630B22">
              <w:rPr>
                <w:rFonts w:ascii="Times New Roman" w:hAnsi="Times New Roman" w:cs="Times New Roman"/>
                <w:sz w:val="20"/>
                <w:szCs w:val="20"/>
              </w:rPr>
              <w:t>157146</w:t>
            </w:r>
          </w:p>
          <w:p w:rsidR="00A9625A" w:rsidRPr="00630B22" w:rsidRDefault="00A9625A" w:rsidP="00A9625A">
            <w:pPr>
              <w:pStyle w:val="ListParagraph"/>
              <w:spacing w:after="120" w:line="360" w:lineRule="auto"/>
              <w:ind w:left="0"/>
              <w:jc w:val="center"/>
              <w:rPr>
                <w:rFonts w:ascii="Times New Roman" w:hAnsi="Times New Roman" w:cs="Times New Roman"/>
                <w:sz w:val="20"/>
                <w:szCs w:val="20"/>
              </w:rPr>
            </w:pPr>
            <w:r w:rsidRPr="00630B22">
              <w:rPr>
                <w:rFonts w:ascii="Times New Roman" w:hAnsi="Times New Roman" w:cs="Times New Roman"/>
                <w:sz w:val="20"/>
                <w:szCs w:val="20"/>
              </w:rPr>
              <w:t>1603292</w:t>
            </w:r>
          </w:p>
          <w:p w:rsidR="00A453CD" w:rsidRPr="00630B22" w:rsidRDefault="00B53A33" w:rsidP="00A9625A">
            <w:pPr>
              <w:spacing w:line="360" w:lineRule="auto"/>
              <w:jc w:val="center"/>
              <w:rPr>
                <w:rFonts w:ascii="Times New Roman" w:hAnsi="Times New Roman" w:cs="Times New Roman"/>
                <w:sz w:val="20"/>
                <w:szCs w:val="20"/>
              </w:rPr>
            </w:pPr>
            <w:r w:rsidRPr="00630B22">
              <w:rPr>
                <w:rFonts w:ascii="Times New Roman" w:hAnsi="Times New Roman" w:cs="Times New Roman"/>
                <w:sz w:val="20"/>
                <w:szCs w:val="20"/>
              </w:rPr>
              <w:t>193480</w:t>
            </w:r>
          </w:p>
          <w:p w:rsidR="00B53A33" w:rsidRPr="00630B22" w:rsidRDefault="00B53A33" w:rsidP="00A9625A">
            <w:pPr>
              <w:spacing w:line="360" w:lineRule="auto"/>
              <w:jc w:val="center"/>
              <w:rPr>
                <w:rFonts w:ascii="Times New Roman" w:hAnsi="Times New Roman" w:cs="Times New Roman"/>
                <w:sz w:val="20"/>
                <w:szCs w:val="20"/>
              </w:rPr>
            </w:pPr>
            <w:r w:rsidRPr="00630B22">
              <w:rPr>
                <w:rFonts w:ascii="Times New Roman" w:hAnsi="Times New Roman" w:cs="Times New Roman"/>
                <w:sz w:val="20"/>
                <w:szCs w:val="20"/>
              </w:rPr>
              <w:t>934353</w:t>
            </w:r>
          </w:p>
          <w:p w:rsidR="00B53A33" w:rsidRPr="00630B22" w:rsidRDefault="00B53A33" w:rsidP="00A9625A">
            <w:pPr>
              <w:spacing w:line="360" w:lineRule="auto"/>
              <w:jc w:val="center"/>
              <w:rPr>
                <w:rFonts w:ascii="Times New Roman" w:hAnsi="Times New Roman" w:cs="Times New Roman"/>
                <w:sz w:val="20"/>
                <w:szCs w:val="20"/>
              </w:rPr>
            </w:pPr>
            <w:r w:rsidRPr="00630B22">
              <w:rPr>
                <w:rFonts w:ascii="Times New Roman" w:hAnsi="Times New Roman" w:cs="Times New Roman"/>
                <w:sz w:val="20"/>
                <w:szCs w:val="20"/>
              </w:rPr>
              <w:t>811050</w:t>
            </w:r>
          </w:p>
        </w:tc>
        <w:tc>
          <w:tcPr>
            <w:tcW w:w="1167" w:type="dxa"/>
          </w:tcPr>
          <w:p w:rsidR="00D14BDF" w:rsidRPr="00630B22" w:rsidRDefault="00A453CD" w:rsidP="00A9625A">
            <w:pPr>
              <w:pStyle w:val="ListParagraph"/>
              <w:spacing w:after="120" w:line="360" w:lineRule="auto"/>
              <w:ind w:left="0"/>
              <w:jc w:val="center"/>
              <w:rPr>
                <w:rFonts w:ascii="Times New Roman" w:hAnsi="Times New Roman" w:cs="Times New Roman"/>
                <w:sz w:val="20"/>
                <w:szCs w:val="20"/>
              </w:rPr>
            </w:pPr>
            <w:r w:rsidRPr="00630B22">
              <w:rPr>
                <w:rFonts w:ascii="Times New Roman" w:hAnsi="Times New Roman" w:cs="Times New Roman"/>
                <w:sz w:val="20"/>
                <w:szCs w:val="20"/>
              </w:rPr>
              <w:t>3.8</w:t>
            </w:r>
          </w:p>
          <w:p w:rsidR="00A453CD" w:rsidRPr="00630B22" w:rsidRDefault="00A453CD" w:rsidP="00A9625A">
            <w:pPr>
              <w:pStyle w:val="ListParagraph"/>
              <w:spacing w:after="120" w:line="360" w:lineRule="auto"/>
              <w:ind w:left="0"/>
              <w:jc w:val="center"/>
              <w:rPr>
                <w:rFonts w:ascii="Times New Roman" w:hAnsi="Times New Roman" w:cs="Times New Roman"/>
                <w:sz w:val="20"/>
                <w:szCs w:val="20"/>
              </w:rPr>
            </w:pPr>
            <w:r w:rsidRPr="00630B22">
              <w:rPr>
                <w:rFonts w:ascii="Times New Roman" w:hAnsi="Times New Roman" w:cs="Times New Roman"/>
                <w:sz w:val="20"/>
                <w:szCs w:val="20"/>
              </w:rPr>
              <w:t>1.3</w:t>
            </w:r>
          </w:p>
          <w:p w:rsidR="00A9625A" w:rsidRPr="00630B22" w:rsidRDefault="00A9625A" w:rsidP="00A9625A">
            <w:pPr>
              <w:pStyle w:val="ListParagraph"/>
              <w:spacing w:after="120" w:line="360" w:lineRule="auto"/>
              <w:ind w:left="0"/>
              <w:jc w:val="center"/>
              <w:rPr>
                <w:rFonts w:ascii="Times New Roman" w:hAnsi="Times New Roman" w:cs="Times New Roman"/>
                <w:sz w:val="20"/>
                <w:szCs w:val="20"/>
              </w:rPr>
            </w:pPr>
            <w:r w:rsidRPr="00630B22">
              <w:rPr>
                <w:rFonts w:ascii="Times New Roman" w:hAnsi="Times New Roman" w:cs="Times New Roman"/>
                <w:sz w:val="20"/>
                <w:szCs w:val="20"/>
              </w:rPr>
              <w:t>-1.2</w:t>
            </w:r>
          </w:p>
          <w:p w:rsidR="00B53A33" w:rsidRPr="00630B22" w:rsidRDefault="00B53A33" w:rsidP="00A9625A">
            <w:pPr>
              <w:pStyle w:val="ListParagraph"/>
              <w:spacing w:after="120" w:line="360" w:lineRule="auto"/>
              <w:ind w:left="0"/>
              <w:jc w:val="center"/>
              <w:rPr>
                <w:rFonts w:ascii="Times New Roman" w:hAnsi="Times New Roman" w:cs="Times New Roman"/>
                <w:sz w:val="20"/>
                <w:szCs w:val="20"/>
              </w:rPr>
            </w:pPr>
            <w:r w:rsidRPr="00630B22">
              <w:rPr>
                <w:rFonts w:ascii="Times New Roman" w:hAnsi="Times New Roman" w:cs="Times New Roman"/>
                <w:sz w:val="20"/>
                <w:szCs w:val="20"/>
              </w:rPr>
              <w:t>0.0</w:t>
            </w:r>
          </w:p>
          <w:p w:rsidR="00B53A33" w:rsidRPr="00630B22" w:rsidRDefault="00B53A33" w:rsidP="00A9625A">
            <w:pPr>
              <w:spacing w:line="360" w:lineRule="auto"/>
              <w:jc w:val="center"/>
              <w:rPr>
                <w:rFonts w:ascii="Times New Roman" w:hAnsi="Times New Roman" w:cs="Times New Roman"/>
                <w:sz w:val="20"/>
                <w:szCs w:val="20"/>
              </w:rPr>
            </w:pPr>
            <w:r w:rsidRPr="00630B22">
              <w:rPr>
                <w:rFonts w:ascii="Times New Roman" w:hAnsi="Times New Roman" w:cs="Times New Roman"/>
                <w:sz w:val="20"/>
                <w:szCs w:val="20"/>
              </w:rPr>
              <w:t>1.00</w:t>
            </w:r>
          </w:p>
          <w:p w:rsidR="00B53A33" w:rsidRPr="00630B22" w:rsidRDefault="00B53A33" w:rsidP="00A9625A">
            <w:pPr>
              <w:spacing w:line="360" w:lineRule="auto"/>
              <w:jc w:val="center"/>
              <w:rPr>
                <w:rFonts w:ascii="Times New Roman" w:hAnsi="Times New Roman" w:cs="Times New Roman"/>
                <w:sz w:val="20"/>
                <w:szCs w:val="20"/>
              </w:rPr>
            </w:pPr>
            <w:r w:rsidRPr="00630B22">
              <w:rPr>
                <w:rFonts w:ascii="Times New Roman" w:hAnsi="Times New Roman" w:cs="Times New Roman"/>
                <w:sz w:val="20"/>
                <w:szCs w:val="20"/>
              </w:rPr>
              <w:t>7.5</w:t>
            </w:r>
          </w:p>
        </w:tc>
        <w:tc>
          <w:tcPr>
            <w:tcW w:w="1167" w:type="dxa"/>
          </w:tcPr>
          <w:p w:rsidR="00D14BDF" w:rsidRPr="00630B22" w:rsidRDefault="00A453CD" w:rsidP="00A9625A">
            <w:pPr>
              <w:pStyle w:val="ListParagraph"/>
              <w:spacing w:after="120" w:line="360" w:lineRule="auto"/>
              <w:ind w:left="0"/>
              <w:jc w:val="center"/>
              <w:rPr>
                <w:rFonts w:ascii="Times New Roman" w:hAnsi="Times New Roman" w:cs="Times New Roman"/>
                <w:sz w:val="20"/>
                <w:szCs w:val="20"/>
              </w:rPr>
            </w:pPr>
            <w:r w:rsidRPr="00630B22">
              <w:rPr>
                <w:rFonts w:ascii="Times New Roman" w:hAnsi="Times New Roman" w:cs="Times New Roman"/>
                <w:sz w:val="20"/>
                <w:szCs w:val="20"/>
              </w:rPr>
              <w:t>2.1</w:t>
            </w:r>
          </w:p>
          <w:p w:rsidR="00A453CD" w:rsidRPr="00630B22" w:rsidRDefault="00A453CD" w:rsidP="00A9625A">
            <w:pPr>
              <w:pStyle w:val="ListParagraph"/>
              <w:spacing w:after="120" w:line="360" w:lineRule="auto"/>
              <w:ind w:left="0"/>
              <w:jc w:val="center"/>
              <w:rPr>
                <w:rFonts w:ascii="Times New Roman" w:hAnsi="Times New Roman" w:cs="Times New Roman"/>
                <w:sz w:val="20"/>
                <w:szCs w:val="20"/>
              </w:rPr>
            </w:pPr>
            <w:r w:rsidRPr="00630B22">
              <w:rPr>
                <w:rFonts w:ascii="Times New Roman" w:hAnsi="Times New Roman" w:cs="Times New Roman"/>
                <w:sz w:val="20"/>
                <w:szCs w:val="20"/>
              </w:rPr>
              <w:t>4.4</w:t>
            </w:r>
          </w:p>
          <w:p w:rsidR="00A9625A" w:rsidRPr="00630B22" w:rsidRDefault="00A9625A" w:rsidP="00A9625A">
            <w:pPr>
              <w:pStyle w:val="ListParagraph"/>
              <w:spacing w:after="120" w:line="360" w:lineRule="auto"/>
              <w:ind w:left="0"/>
              <w:jc w:val="center"/>
              <w:rPr>
                <w:rFonts w:ascii="Times New Roman" w:hAnsi="Times New Roman" w:cs="Times New Roman"/>
                <w:sz w:val="20"/>
                <w:szCs w:val="20"/>
              </w:rPr>
            </w:pPr>
            <w:r w:rsidRPr="00630B22">
              <w:rPr>
                <w:rFonts w:ascii="Times New Roman" w:hAnsi="Times New Roman" w:cs="Times New Roman"/>
                <w:sz w:val="20"/>
                <w:szCs w:val="20"/>
              </w:rPr>
              <w:t>2.4</w:t>
            </w:r>
          </w:p>
          <w:p w:rsidR="00B53A33" w:rsidRPr="00630B22" w:rsidRDefault="00B53A33" w:rsidP="00A9625A">
            <w:pPr>
              <w:pStyle w:val="ListParagraph"/>
              <w:spacing w:after="120" w:line="360" w:lineRule="auto"/>
              <w:ind w:left="0"/>
              <w:jc w:val="center"/>
              <w:rPr>
                <w:rFonts w:ascii="Times New Roman" w:hAnsi="Times New Roman" w:cs="Times New Roman"/>
                <w:sz w:val="20"/>
                <w:szCs w:val="20"/>
              </w:rPr>
            </w:pPr>
            <w:r w:rsidRPr="00630B22">
              <w:rPr>
                <w:rFonts w:ascii="Times New Roman" w:hAnsi="Times New Roman" w:cs="Times New Roman"/>
                <w:sz w:val="20"/>
                <w:szCs w:val="20"/>
              </w:rPr>
              <w:t>2.4</w:t>
            </w:r>
          </w:p>
          <w:p w:rsidR="00B53A33" w:rsidRPr="00630B22" w:rsidRDefault="00B53A33" w:rsidP="00A9625A">
            <w:pPr>
              <w:pStyle w:val="ListParagraph"/>
              <w:spacing w:after="120" w:line="360" w:lineRule="auto"/>
              <w:ind w:left="0"/>
              <w:jc w:val="center"/>
              <w:rPr>
                <w:rFonts w:ascii="Times New Roman" w:hAnsi="Times New Roman" w:cs="Times New Roman"/>
                <w:sz w:val="20"/>
                <w:szCs w:val="20"/>
              </w:rPr>
            </w:pPr>
            <w:r w:rsidRPr="00630B22">
              <w:rPr>
                <w:rFonts w:ascii="Times New Roman" w:hAnsi="Times New Roman" w:cs="Times New Roman"/>
                <w:sz w:val="20"/>
                <w:szCs w:val="20"/>
              </w:rPr>
              <w:t>1.3</w:t>
            </w:r>
          </w:p>
          <w:p w:rsidR="00B53A33" w:rsidRPr="00630B22" w:rsidRDefault="00B53A33" w:rsidP="00A9625A">
            <w:pPr>
              <w:pStyle w:val="ListParagraph"/>
              <w:spacing w:after="120" w:line="360" w:lineRule="auto"/>
              <w:ind w:left="0"/>
              <w:jc w:val="center"/>
              <w:rPr>
                <w:rFonts w:ascii="Times New Roman" w:hAnsi="Times New Roman" w:cs="Times New Roman"/>
                <w:sz w:val="20"/>
                <w:szCs w:val="20"/>
              </w:rPr>
            </w:pPr>
            <w:r w:rsidRPr="00630B22">
              <w:rPr>
                <w:rFonts w:ascii="Times New Roman" w:hAnsi="Times New Roman" w:cs="Times New Roman"/>
                <w:sz w:val="20"/>
                <w:szCs w:val="20"/>
              </w:rPr>
              <w:t>8.1</w:t>
            </w:r>
          </w:p>
        </w:tc>
        <w:tc>
          <w:tcPr>
            <w:tcW w:w="1140" w:type="dxa"/>
          </w:tcPr>
          <w:p w:rsidR="001D2E76" w:rsidRPr="00630B22" w:rsidRDefault="00A453CD" w:rsidP="001D2E76">
            <w:pPr>
              <w:pStyle w:val="ListParagraph"/>
              <w:spacing w:after="120" w:line="360" w:lineRule="auto"/>
              <w:ind w:left="0"/>
              <w:jc w:val="center"/>
              <w:rPr>
                <w:rFonts w:ascii="Times New Roman" w:hAnsi="Times New Roman" w:cs="Times New Roman"/>
                <w:sz w:val="20"/>
                <w:szCs w:val="20"/>
              </w:rPr>
            </w:pPr>
            <w:r w:rsidRPr="00630B22">
              <w:rPr>
                <w:rFonts w:ascii="Times New Roman" w:hAnsi="Times New Roman" w:cs="Times New Roman"/>
                <w:sz w:val="20"/>
                <w:szCs w:val="20"/>
              </w:rPr>
              <w:t>41.21</w:t>
            </w:r>
          </w:p>
          <w:p w:rsidR="00D14BDF" w:rsidRPr="00630B22" w:rsidRDefault="00B53A33" w:rsidP="001D2E76">
            <w:pPr>
              <w:pStyle w:val="ListParagraph"/>
              <w:spacing w:after="120" w:line="360" w:lineRule="auto"/>
              <w:ind w:left="0"/>
              <w:jc w:val="center"/>
              <w:rPr>
                <w:rFonts w:ascii="Times New Roman" w:hAnsi="Times New Roman" w:cs="Times New Roman"/>
                <w:sz w:val="20"/>
                <w:szCs w:val="20"/>
              </w:rPr>
            </w:pPr>
            <w:r w:rsidRPr="00630B22">
              <w:rPr>
                <w:rFonts w:ascii="Times New Roman" w:hAnsi="Times New Roman" w:cs="Times New Roman"/>
                <w:sz w:val="20"/>
                <w:szCs w:val="20"/>
              </w:rPr>
              <w:t>2.50</w:t>
            </w:r>
          </w:p>
          <w:p w:rsidR="00A9625A" w:rsidRPr="00630B22" w:rsidRDefault="00A9625A" w:rsidP="00A9625A">
            <w:pPr>
              <w:spacing w:line="360" w:lineRule="auto"/>
              <w:jc w:val="center"/>
              <w:rPr>
                <w:rFonts w:ascii="Times New Roman" w:hAnsi="Times New Roman" w:cs="Times New Roman"/>
                <w:sz w:val="20"/>
                <w:szCs w:val="20"/>
              </w:rPr>
            </w:pPr>
            <w:r w:rsidRPr="00630B22">
              <w:rPr>
                <w:rFonts w:ascii="Times New Roman" w:hAnsi="Times New Roman" w:cs="Times New Roman"/>
                <w:sz w:val="20"/>
                <w:szCs w:val="20"/>
              </w:rPr>
              <w:t>25.48</w:t>
            </w:r>
          </w:p>
          <w:p w:rsidR="00B53A33" w:rsidRPr="00630B22" w:rsidRDefault="00B53A33" w:rsidP="00A9625A">
            <w:pPr>
              <w:spacing w:line="360" w:lineRule="auto"/>
              <w:jc w:val="center"/>
              <w:rPr>
                <w:rFonts w:ascii="Times New Roman" w:hAnsi="Times New Roman" w:cs="Times New Roman"/>
                <w:sz w:val="20"/>
                <w:szCs w:val="20"/>
              </w:rPr>
            </w:pPr>
            <w:r w:rsidRPr="00630B22">
              <w:rPr>
                <w:rFonts w:ascii="Times New Roman" w:hAnsi="Times New Roman" w:cs="Times New Roman"/>
                <w:sz w:val="20"/>
                <w:szCs w:val="20"/>
              </w:rPr>
              <w:t>3.07</w:t>
            </w:r>
          </w:p>
          <w:p w:rsidR="00B53A33" w:rsidRPr="00630B22" w:rsidRDefault="00B53A33" w:rsidP="00A9625A">
            <w:pPr>
              <w:spacing w:line="360" w:lineRule="auto"/>
              <w:jc w:val="center"/>
              <w:rPr>
                <w:rFonts w:ascii="Times New Roman" w:hAnsi="Times New Roman" w:cs="Times New Roman"/>
                <w:sz w:val="20"/>
                <w:szCs w:val="20"/>
              </w:rPr>
            </w:pPr>
            <w:r w:rsidRPr="00630B22">
              <w:rPr>
                <w:rFonts w:ascii="Times New Roman" w:hAnsi="Times New Roman" w:cs="Times New Roman"/>
                <w:sz w:val="20"/>
                <w:szCs w:val="20"/>
              </w:rPr>
              <w:t>14.85</w:t>
            </w:r>
          </w:p>
          <w:p w:rsidR="00B53A33" w:rsidRPr="00630B22" w:rsidRDefault="00B53A33" w:rsidP="00A9625A">
            <w:pPr>
              <w:spacing w:line="360" w:lineRule="auto"/>
              <w:jc w:val="center"/>
              <w:rPr>
                <w:rFonts w:ascii="Times New Roman" w:hAnsi="Times New Roman" w:cs="Times New Roman"/>
                <w:sz w:val="20"/>
                <w:szCs w:val="20"/>
              </w:rPr>
            </w:pPr>
            <w:r w:rsidRPr="00630B22">
              <w:rPr>
                <w:rFonts w:ascii="Times New Roman" w:hAnsi="Times New Roman" w:cs="Times New Roman"/>
                <w:sz w:val="20"/>
                <w:szCs w:val="20"/>
              </w:rPr>
              <w:t>12.89</w:t>
            </w:r>
          </w:p>
        </w:tc>
      </w:tr>
      <w:tr w:rsidR="00D14BDF" w:rsidRPr="00630B22" w:rsidTr="002E39E0">
        <w:trPr>
          <w:trHeight w:val="413"/>
        </w:trPr>
        <w:tc>
          <w:tcPr>
            <w:tcW w:w="2088" w:type="dxa"/>
          </w:tcPr>
          <w:p w:rsidR="00D14BDF" w:rsidRPr="00630B22" w:rsidRDefault="00A453CD" w:rsidP="002E39E0">
            <w:pPr>
              <w:pStyle w:val="ListParagraph"/>
              <w:spacing w:after="120"/>
              <w:ind w:left="0"/>
              <w:rPr>
                <w:rFonts w:ascii="Times New Roman" w:hAnsi="Times New Roman" w:cs="Times New Roman"/>
                <w:sz w:val="20"/>
                <w:szCs w:val="20"/>
              </w:rPr>
            </w:pPr>
            <w:r w:rsidRPr="00630B22">
              <w:rPr>
                <w:rFonts w:ascii="Times New Roman" w:hAnsi="Times New Roman" w:cs="Times New Roman"/>
                <w:sz w:val="20"/>
                <w:szCs w:val="20"/>
              </w:rPr>
              <w:t>World</w:t>
            </w:r>
          </w:p>
        </w:tc>
        <w:tc>
          <w:tcPr>
            <w:tcW w:w="1558" w:type="dxa"/>
          </w:tcPr>
          <w:p w:rsidR="00D14BDF" w:rsidRPr="00630B22" w:rsidRDefault="000E59B7" w:rsidP="002E39E0">
            <w:pPr>
              <w:pStyle w:val="ListParagraph"/>
              <w:spacing w:after="120"/>
              <w:ind w:left="0"/>
              <w:jc w:val="center"/>
              <w:rPr>
                <w:rFonts w:ascii="Times New Roman" w:hAnsi="Times New Roman" w:cs="Times New Roman"/>
                <w:sz w:val="20"/>
                <w:szCs w:val="20"/>
              </w:rPr>
            </w:pPr>
            <w:r w:rsidRPr="00630B22">
              <w:rPr>
                <w:rFonts w:ascii="Times New Roman" w:hAnsi="Times New Roman" w:cs="Times New Roman"/>
                <w:sz w:val="20"/>
                <w:szCs w:val="20"/>
              </w:rPr>
              <w:t>6149020</w:t>
            </w:r>
          </w:p>
        </w:tc>
        <w:tc>
          <w:tcPr>
            <w:tcW w:w="1736" w:type="dxa"/>
          </w:tcPr>
          <w:p w:rsidR="00D14BDF" w:rsidRPr="00630B22" w:rsidRDefault="000E59B7" w:rsidP="002E39E0">
            <w:pPr>
              <w:pStyle w:val="ListParagraph"/>
              <w:spacing w:after="120"/>
              <w:ind w:left="0"/>
              <w:jc w:val="center"/>
              <w:rPr>
                <w:rFonts w:ascii="Times New Roman" w:hAnsi="Times New Roman" w:cs="Times New Roman"/>
                <w:sz w:val="20"/>
                <w:szCs w:val="20"/>
              </w:rPr>
            </w:pPr>
            <w:r w:rsidRPr="00630B22">
              <w:rPr>
                <w:rFonts w:ascii="Times New Roman" w:hAnsi="Times New Roman" w:cs="Times New Roman"/>
                <w:sz w:val="20"/>
                <w:szCs w:val="20"/>
              </w:rPr>
              <w:t>6292600</w:t>
            </w:r>
          </w:p>
        </w:tc>
        <w:tc>
          <w:tcPr>
            <w:tcW w:w="1167" w:type="dxa"/>
          </w:tcPr>
          <w:p w:rsidR="00D14BDF" w:rsidRPr="00630B22" w:rsidRDefault="000E59B7" w:rsidP="002E39E0">
            <w:pPr>
              <w:pStyle w:val="ListParagraph"/>
              <w:spacing w:after="120"/>
              <w:ind w:left="0"/>
              <w:jc w:val="center"/>
              <w:rPr>
                <w:rFonts w:ascii="Times New Roman" w:hAnsi="Times New Roman" w:cs="Times New Roman"/>
                <w:sz w:val="20"/>
                <w:szCs w:val="20"/>
              </w:rPr>
            </w:pPr>
            <w:r w:rsidRPr="00630B22">
              <w:rPr>
                <w:rFonts w:ascii="Times New Roman" w:hAnsi="Times New Roman" w:cs="Times New Roman"/>
                <w:sz w:val="20"/>
                <w:szCs w:val="20"/>
              </w:rPr>
              <w:t>2.3</w:t>
            </w:r>
          </w:p>
        </w:tc>
        <w:tc>
          <w:tcPr>
            <w:tcW w:w="1167" w:type="dxa"/>
          </w:tcPr>
          <w:p w:rsidR="00D14BDF" w:rsidRPr="00630B22" w:rsidRDefault="000E59B7" w:rsidP="002E39E0">
            <w:pPr>
              <w:pStyle w:val="ListParagraph"/>
              <w:spacing w:after="120"/>
              <w:ind w:left="0"/>
              <w:jc w:val="center"/>
              <w:rPr>
                <w:rFonts w:ascii="Times New Roman" w:hAnsi="Times New Roman" w:cs="Times New Roman"/>
                <w:sz w:val="20"/>
                <w:szCs w:val="20"/>
              </w:rPr>
            </w:pPr>
            <w:r w:rsidRPr="00630B22">
              <w:rPr>
                <w:rFonts w:ascii="Times New Roman" w:hAnsi="Times New Roman" w:cs="Times New Roman"/>
                <w:sz w:val="20"/>
                <w:szCs w:val="20"/>
              </w:rPr>
              <w:t>2.9</w:t>
            </w:r>
          </w:p>
        </w:tc>
        <w:tc>
          <w:tcPr>
            <w:tcW w:w="1140" w:type="dxa"/>
          </w:tcPr>
          <w:p w:rsidR="00D14BDF" w:rsidRPr="00630B22" w:rsidRDefault="00A9625A" w:rsidP="002E39E0">
            <w:pPr>
              <w:pStyle w:val="ListParagraph"/>
              <w:spacing w:after="120"/>
              <w:ind w:left="0"/>
              <w:jc w:val="center"/>
              <w:rPr>
                <w:rFonts w:ascii="Times New Roman" w:hAnsi="Times New Roman" w:cs="Times New Roman"/>
                <w:sz w:val="20"/>
                <w:szCs w:val="20"/>
              </w:rPr>
            </w:pPr>
            <w:r w:rsidRPr="00630B22">
              <w:rPr>
                <w:rFonts w:ascii="Times New Roman" w:hAnsi="Times New Roman" w:cs="Times New Roman"/>
                <w:sz w:val="20"/>
                <w:szCs w:val="20"/>
              </w:rPr>
              <w:t>100</w:t>
            </w:r>
          </w:p>
        </w:tc>
      </w:tr>
      <w:tr w:rsidR="00D14BDF" w:rsidRPr="00630B22" w:rsidTr="00A9625A">
        <w:tc>
          <w:tcPr>
            <w:tcW w:w="2088" w:type="dxa"/>
          </w:tcPr>
          <w:p w:rsidR="00D14BDF" w:rsidRPr="00630B22" w:rsidRDefault="00A453CD" w:rsidP="00A453CD">
            <w:pPr>
              <w:pStyle w:val="ListParagraph"/>
              <w:spacing w:after="120" w:line="360" w:lineRule="auto"/>
              <w:ind w:left="0"/>
              <w:jc w:val="both"/>
              <w:rPr>
                <w:rFonts w:ascii="Times New Roman" w:hAnsi="Times New Roman" w:cs="Times New Roman"/>
                <w:b/>
                <w:sz w:val="20"/>
                <w:szCs w:val="20"/>
              </w:rPr>
            </w:pPr>
            <w:r w:rsidRPr="00630B22">
              <w:rPr>
                <w:rFonts w:ascii="Times New Roman" w:hAnsi="Times New Roman" w:cs="Times New Roman"/>
                <w:b/>
                <w:sz w:val="20"/>
                <w:szCs w:val="20"/>
              </w:rPr>
              <w:t xml:space="preserve">India </w:t>
            </w:r>
          </w:p>
          <w:p w:rsidR="00A453CD" w:rsidRPr="00630B22" w:rsidRDefault="00A453CD" w:rsidP="00A453CD">
            <w:pPr>
              <w:pStyle w:val="ListParagraph"/>
              <w:spacing w:after="120" w:line="360" w:lineRule="auto"/>
              <w:ind w:left="0"/>
              <w:jc w:val="both"/>
              <w:rPr>
                <w:rFonts w:ascii="Times New Roman" w:hAnsi="Times New Roman" w:cs="Times New Roman"/>
                <w:b/>
                <w:sz w:val="20"/>
                <w:szCs w:val="20"/>
              </w:rPr>
            </w:pPr>
            <w:r w:rsidRPr="00630B22">
              <w:rPr>
                <w:rFonts w:ascii="Times New Roman" w:hAnsi="Times New Roman" w:cs="Times New Roman"/>
                <w:b/>
                <w:sz w:val="20"/>
                <w:szCs w:val="20"/>
              </w:rPr>
              <w:t>Bangladesh</w:t>
            </w:r>
          </w:p>
        </w:tc>
        <w:tc>
          <w:tcPr>
            <w:tcW w:w="1558" w:type="dxa"/>
          </w:tcPr>
          <w:p w:rsidR="005D6B51" w:rsidRPr="00630B22" w:rsidRDefault="005D6B51" w:rsidP="005D6B51">
            <w:pPr>
              <w:pStyle w:val="ListParagraph"/>
              <w:spacing w:after="120" w:line="360" w:lineRule="auto"/>
              <w:ind w:left="0"/>
              <w:jc w:val="center"/>
              <w:rPr>
                <w:rFonts w:ascii="Times New Roman" w:hAnsi="Times New Roman" w:cs="Times New Roman"/>
                <w:b/>
                <w:sz w:val="20"/>
                <w:szCs w:val="20"/>
              </w:rPr>
            </w:pPr>
            <w:r w:rsidRPr="00630B22">
              <w:rPr>
                <w:rFonts w:ascii="Times New Roman" w:hAnsi="Times New Roman" w:cs="Times New Roman"/>
                <w:b/>
                <w:sz w:val="20"/>
                <w:szCs w:val="20"/>
              </w:rPr>
              <w:t>97342</w:t>
            </w:r>
          </w:p>
          <w:p w:rsidR="005D6B51" w:rsidRPr="00630B22" w:rsidRDefault="005D6B51" w:rsidP="005D6B51">
            <w:pPr>
              <w:pStyle w:val="ListParagraph"/>
              <w:spacing w:after="120" w:line="360" w:lineRule="auto"/>
              <w:ind w:left="0"/>
              <w:jc w:val="center"/>
              <w:rPr>
                <w:rFonts w:ascii="Times New Roman" w:hAnsi="Times New Roman" w:cs="Times New Roman"/>
                <w:b/>
                <w:sz w:val="20"/>
                <w:szCs w:val="20"/>
              </w:rPr>
            </w:pPr>
            <w:r w:rsidRPr="00630B22">
              <w:rPr>
                <w:rFonts w:ascii="Times New Roman" w:hAnsi="Times New Roman" w:cs="Times New Roman"/>
                <w:b/>
                <w:sz w:val="20"/>
                <w:szCs w:val="20"/>
              </w:rPr>
              <w:t>1371</w:t>
            </w:r>
          </w:p>
        </w:tc>
        <w:tc>
          <w:tcPr>
            <w:tcW w:w="1736" w:type="dxa"/>
          </w:tcPr>
          <w:p w:rsidR="00D14BDF" w:rsidRPr="00630B22" w:rsidRDefault="005D6B51" w:rsidP="005D6B51">
            <w:pPr>
              <w:pStyle w:val="ListParagraph"/>
              <w:spacing w:after="120" w:line="360" w:lineRule="auto"/>
              <w:ind w:left="0"/>
              <w:jc w:val="center"/>
              <w:rPr>
                <w:rFonts w:ascii="Times New Roman" w:hAnsi="Times New Roman" w:cs="Times New Roman"/>
                <w:b/>
                <w:sz w:val="20"/>
                <w:szCs w:val="20"/>
              </w:rPr>
            </w:pPr>
            <w:r w:rsidRPr="00630B22">
              <w:rPr>
                <w:rFonts w:ascii="Times New Roman" w:hAnsi="Times New Roman" w:cs="Times New Roman"/>
                <w:b/>
                <w:sz w:val="20"/>
                <w:szCs w:val="20"/>
              </w:rPr>
              <w:t>106307</w:t>
            </w:r>
          </w:p>
          <w:p w:rsidR="005D6B51" w:rsidRPr="00630B22" w:rsidRDefault="005D6B51" w:rsidP="005D6B51">
            <w:pPr>
              <w:pStyle w:val="ListParagraph"/>
              <w:spacing w:after="120" w:line="360" w:lineRule="auto"/>
              <w:ind w:left="0"/>
              <w:jc w:val="center"/>
              <w:rPr>
                <w:rFonts w:ascii="Times New Roman" w:hAnsi="Times New Roman" w:cs="Times New Roman"/>
                <w:b/>
                <w:sz w:val="20"/>
                <w:szCs w:val="20"/>
              </w:rPr>
            </w:pPr>
            <w:r w:rsidRPr="00630B22">
              <w:rPr>
                <w:rFonts w:ascii="Times New Roman" w:hAnsi="Times New Roman" w:cs="Times New Roman"/>
                <w:b/>
                <w:sz w:val="20"/>
                <w:szCs w:val="20"/>
              </w:rPr>
              <w:t>1475</w:t>
            </w:r>
          </w:p>
        </w:tc>
        <w:tc>
          <w:tcPr>
            <w:tcW w:w="1167" w:type="dxa"/>
          </w:tcPr>
          <w:p w:rsidR="00D14BDF" w:rsidRPr="00630B22" w:rsidRDefault="005D6B51" w:rsidP="005D6B51">
            <w:pPr>
              <w:pStyle w:val="ListParagraph"/>
              <w:spacing w:after="120" w:line="360" w:lineRule="auto"/>
              <w:ind w:left="0"/>
              <w:jc w:val="center"/>
              <w:rPr>
                <w:rFonts w:ascii="Times New Roman" w:hAnsi="Times New Roman" w:cs="Times New Roman"/>
                <w:b/>
                <w:sz w:val="20"/>
                <w:szCs w:val="20"/>
              </w:rPr>
            </w:pPr>
            <w:r w:rsidRPr="00630B22">
              <w:rPr>
                <w:rFonts w:ascii="Times New Roman" w:hAnsi="Times New Roman" w:cs="Times New Roman"/>
                <w:b/>
                <w:sz w:val="20"/>
                <w:szCs w:val="20"/>
              </w:rPr>
              <w:t>9.2</w:t>
            </w:r>
          </w:p>
          <w:p w:rsidR="005D6B51" w:rsidRPr="00630B22" w:rsidRDefault="005D6B51" w:rsidP="005D6B51">
            <w:pPr>
              <w:pStyle w:val="ListParagraph"/>
              <w:spacing w:after="120" w:line="360" w:lineRule="auto"/>
              <w:ind w:left="0"/>
              <w:jc w:val="center"/>
              <w:rPr>
                <w:rFonts w:ascii="Times New Roman" w:hAnsi="Times New Roman" w:cs="Times New Roman"/>
                <w:b/>
                <w:sz w:val="20"/>
                <w:szCs w:val="20"/>
              </w:rPr>
            </w:pPr>
            <w:r w:rsidRPr="00630B22">
              <w:rPr>
                <w:rFonts w:ascii="Times New Roman" w:hAnsi="Times New Roman" w:cs="Times New Roman"/>
                <w:b/>
                <w:sz w:val="20"/>
                <w:szCs w:val="20"/>
              </w:rPr>
              <w:t>7.6</w:t>
            </w:r>
          </w:p>
        </w:tc>
        <w:tc>
          <w:tcPr>
            <w:tcW w:w="1167" w:type="dxa"/>
          </w:tcPr>
          <w:p w:rsidR="00D14BDF" w:rsidRPr="00630B22" w:rsidRDefault="005D6B51" w:rsidP="005D6B51">
            <w:pPr>
              <w:pStyle w:val="ListParagraph"/>
              <w:spacing w:after="120" w:line="360" w:lineRule="auto"/>
              <w:ind w:left="0"/>
              <w:jc w:val="center"/>
              <w:rPr>
                <w:rFonts w:ascii="Times New Roman" w:hAnsi="Times New Roman" w:cs="Times New Roman"/>
                <w:b/>
                <w:sz w:val="20"/>
                <w:szCs w:val="20"/>
              </w:rPr>
            </w:pPr>
            <w:r w:rsidRPr="00630B22">
              <w:rPr>
                <w:rFonts w:ascii="Times New Roman" w:hAnsi="Times New Roman" w:cs="Times New Roman"/>
                <w:b/>
                <w:sz w:val="20"/>
                <w:szCs w:val="20"/>
              </w:rPr>
              <w:t>6.9</w:t>
            </w:r>
          </w:p>
          <w:p w:rsidR="005D6B51" w:rsidRPr="00630B22" w:rsidRDefault="005D6B51" w:rsidP="005D6B51">
            <w:pPr>
              <w:pStyle w:val="ListParagraph"/>
              <w:spacing w:after="120" w:line="360" w:lineRule="auto"/>
              <w:ind w:left="0"/>
              <w:jc w:val="center"/>
              <w:rPr>
                <w:rFonts w:ascii="Times New Roman" w:hAnsi="Times New Roman" w:cs="Times New Roman"/>
                <w:b/>
                <w:sz w:val="20"/>
                <w:szCs w:val="20"/>
              </w:rPr>
            </w:pPr>
            <w:r w:rsidRPr="00630B22">
              <w:rPr>
                <w:rFonts w:ascii="Times New Roman" w:hAnsi="Times New Roman" w:cs="Times New Roman"/>
                <w:b/>
                <w:sz w:val="20"/>
                <w:szCs w:val="20"/>
              </w:rPr>
              <w:t>3.1</w:t>
            </w:r>
          </w:p>
        </w:tc>
        <w:tc>
          <w:tcPr>
            <w:tcW w:w="1140" w:type="dxa"/>
          </w:tcPr>
          <w:p w:rsidR="00D14BDF" w:rsidRPr="00630B22" w:rsidRDefault="005D6B51" w:rsidP="005D6B51">
            <w:pPr>
              <w:pStyle w:val="ListParagraph"/>
              <w:spacing w:after="120" w:line="360" w:lineRule="auto"/>
              <w:ind w:left="0"/>
              <w:jc w:val="center"/>
              <w:rPr>
                <w:rFonts w:ascii="Times New Roman" w:hAnsi="Times New Roman" w:cs="Times New Roman"/>
                <w:b/>
                <w:sz w:val="20"/>
                <w:szCs w:val="20"/>
              </w:rPr>
            </w:pPr>
            <w:r w:rsidRPr="00630B22">
              <w:rPr>
                <w:rFonts w:ascii="Times New Roman" w:hAnsi="Times New Roman" w:cs="Times New Roman"/>
                <w:b/>
                <w:sz w:val="20"/>
                <w:szCs w:val="20"/>
              </w:rPr>
              <w:t>1.69</w:t>
            </w:r>
          </w:p>
          <w:p w:rsidR="005D6B51" w:rsidRPr="00630B22" w:rsidRDefault="005D6B51" w:rsidP="005D6B51">
            <w:pPr>
              <w:pStyle w:val="ListParagraph"/>
              <w:spacing w:after="120" w:line="360" w:lineRule="auto"/>
              <w:ind w:left="0"/>
              <w:jc w:val="center"/>
              <w:rPr>
                <w:rFonts w:ascii="Times New Roman" w:hAnsi="Times New Roman" w:cs="Times New Roman"/>
                <w:b/>
                <w:sz w:val="20"/>
                <w:szCs w:val="20"/>
              </w:rPr>
            </w:pPr>
            <w:r w:rsidRPr="00630B22">
              <w:rPr>
                <w:rFonts w:ascii="Times New Roman" w:hAnsi="Times New Roman" w:cs="Times New Roman"/>
                <w:b/>
                <w:sz w:val="20"/>
                <w:szCs w:val="20"/>
              </w:rPr>
              <w:t>.02</w:t>
            </w:r>
          </w:p>
        </w:tc>
      </w:tr>
    </w:tbl>
    <w:p w:rsidR="00630B22" w:rsidRDefault="005D6B51" w:rsidP="00630B22">
      <w:pPr>
        <w:pStyle w:val="ListParagraph"/>
        <w:spacing w:after="120" w:line="480" w:lineRule="auto"/>
        <w:jc w:val="both"/>
        <w:rPr>
          <w:rFonts w:ascii="Times New Roman" w:hAnsi="Times New Roman" w:cs="Times New Roman"/>
          <w:b/>
          <w:sz w:val="20"/>
          <w:szCs w:val="20"/>
        </w:rPr>
      </w:pPr>
      <w:r w:rsidRPr="00630B22">
        <w:rPr>
          <w:rFonts w:ascii="Times New Roman" w:hAnsi="Times New Roman" w:cs="Times New Roman"/>
          <w:b/>
          <w:sz w:val="20"/>
          <w:szCs w:val="20"/>
        </w:rPr>
        <w:t>Source: Swiss Re, Sigma No 4/2020</w:t>
      </w:r>
    </w:p>
    <w:p w:rsidR="004140C6" w:rsidRPr="00630B22" w:rsidRDefault="00C3629C" w:rsidP="00630B22">
      <w:pPr>
        <w:spacing w:after="120" w:line="240" w:lineRule="auto"/>
        <w:jc w:val="both"/>
        <w:rPr>
          <w:rFonts w:ascii="Times New Roman" w:hAnsi="Times New Roman" w:cs="Times New Roman"/>
          <w:b/>
          <w:sz w:val="20"/>
          <w:szCs w:val="20"/>
        </w:rPr>
      </w:pPr>
      <w:r>
        <w:rPr>
          <w:rFonts w:ascii="Times New Roman" w:hAnsi="Times New Roman" w:cs="Times New Roman"/>
          <w:sz w:val="20"/>
          <w:szCs w:val="20"/>
        </w:rPr>
        <w:tab/>
      </w:r>
      <w:r w:rsidR="00E53E28" w:rsidRPr="00630B22">
        <w:rPr>
          <w:rFonts w:ascii="Times New Roman" w:hAnsi="Times New Roman" w:cs="Times New Roman"/>
          <w:sz w:val="20"/>
          <w:szCs w:val="20"/>
        </w:rPr>
        <w:t xml:space="preserve"> </w:t>
      </w:r>
      <w:r w:rsidR="002E39E0" w:rsidRPr="00630B22">
        <w:rPr>
          <w:rFonts w:ascii="Times New Roman" w:hAnsi="Times New Roman" w:cs="Times New Roman"/>
          <w:sz w:val="20"/>
          <w:szCs w:val="20"/>
        </w:rPr>
        <w:t>It is evident from Table 01, Nominal growth rate of USA &amp; Canada was 3.8 percent and growth rate with inflation adjusted was 2.1 percent and market share in the world insurance market was 41.21 percent in 2019. In case of Latin Americ</w:t>
      </w:r>
      <w:r w:rsidR="007D0DA5" w:rsidRPr="00630B22">
        <w:rPr>
          <w:rFonts w:ascii="Times New Roman" w:hAnsi="Times New Roman" w:cs="Times New Roman"/>
          <w:sz w:val="20"/>
          <w:szCs w:val="20"/>
        </w:rPr>
        <w:t>a, nominal growth and growth (Inflation</w:t>
      </w:r>
      <w:r w:rsidR="002E39E0" w:rsidRPr="00630B22">
        <w:rPr>
          <w:rFonts w:ascii="Times New Roman" w:hAnsi="Times New Roman" w:cs="Times New Roman"/>
          <w:sz w:val="20"/>
          <w:szCs w:val="20"/>
        </w:rPr>
        <w:t xml:space="preserve"> adjusted) were 1.3 perce</w:t>
      </w:r>
      <w:r w:rsidR="007D0DA5" w:rsidRPr="00630B22">
        <w:rPr>
          <w:rFonts w:ascii="Times New Roman" w:hAnsi="Times New Roman" w:cs="Times New Roman"/>
          <w:sz w:val="20"/>
          <w:szCs w:val="20"/>
        </w:rPr>
        <w:t>nt and 4.4 percent respectively and market share was 2.5 percent in 2019.Nominal growth and inflation adjusted growth of Advance Market  were -</w:t>
      </w:r>
      <w:r w:rsidR="007D0DA5" w:rsidRPr="00630B22">
        <w:rPr>
          <w:rFonts w:ascii="Times New Roman" w:hAnsi="Times New Roman" w:cs="Times New Roman"/>
          <w:sz w:val="20"/>
          <w:szCs w:val="20"/>
        </w:rPr>
        <w:lastRenderedPageBreak/>
        <w:t>1.2 percent and 2.4 percent and market share was 25.48 percent.</w:t>
      </w:r>
      <w:r w:rsidR="002C2553" w:rsidRPr="00630B22">
        <w:rPr>
          <w:rFonts w:ascii="Times New Roman" w:hAnsi="Times New Roman" w:cs="Times New Roman"/>
          <w:sz w:val="20"/>
          <w:szCs w:val="20"/>
        </w:rPr>
        <w:t xml:space="preserve"> The nominal growth rate of Emerging, Advance Asia and Emerging Asia were 0.0(zero), 1.</w:t>
      </w:r>
      <w:r w:rsidR="00D2587D" w:rsidRPr="00630B22">
        <w:rPr>
          <w:rFonts w:ascii="Times New Roman" w:hAnsi="Times New Roman" w:cs="Times New Roman"/>
          <w:sz w:val="20"/>
          <w:szCs w:val="20"/>
        </w:rPr>
        <w:t>00 and 7.5 percent respectively and growth with inflation adjusted were 2.4, 1.3 and 8.10 percent</w:t>
      </w:r>
      <w:r w:rsidR="00271441" w:rsidRPr="00630B22">
        <w:rPr>
          <w:rFonts w:ascii="Times New Roman" w:hAnsi="Times New Roman" w:cs="Times New Roman"/>
          <w:sz w:val="20"/>
          <w:szCs w:val="20"/>
        </w:rPr>
        <w:t xml:space="preserve"> respectively and market share were 3.04, 14.85 and 12.89 percent respectively. The growth of nominal and adjusted with inflation and market share of India were 9.2, 6.9 and 1.69 percent respectively and for Bangladesh were 7.6, 3.1 and .02 percent respectively.</w:t>
      </w:r>
      <w:r w:rsidR="00C14B6C" w:rsidRPr="00630B22">
        <w:rPr>
          <w:rFonts w:ascii="Times New Roman" w:hAnsi="Times New Roman" w:cs="Times New Roman"/>
          <w:sz w:val="20"/>
          <w:szCs w:val="20"/>
        </w:rPr>
        <w:t xml:space="preserve"> This sc</w:t>
      </w:r>
      <w:r w:rsidR="00373EF3" w:rsidRPr="00630B22">
        <w:rPr>
          <w:rFonts w:ascii="Times New Roman" w:hAnsi="Times New Roman" w:cs="Times New Roman"/>
          <w:sz w:val="20"/>
          <w:szCs w:val="20"/>
        </w:rPr>
        <w:t xml:space="preserve">enario of world insurance market </w:t>
      </w:r>
      <w:r w:rsidR="00C14B6C" w:rsidRPr="00630B22">
        <w:rPr>
          <w:rFonts w:ascii="Times New Roman" w:hAnsi="Times New Roman" w:cs="Times New Roman"/>
          <w:sz w:val="20"/>
          <w:szCs w:val="20"/>
        </w:rPr>
        <w:t>share including India and Bangladesh has been shown in the following pie chart.</w:t>
      </w:r>
    </w:p>
    <w:p w:rsidR="00630B22" w:rsidRPr="00630B22" w:rsidRDefault="00630B22" w:rsidP="00630B22">
      <w:pPr>
        <w:pStyle w:val="ListParagraph"/>
        <w:spacing w:after="120" w:line="240" w:lineRule="auto"/>
        <w:jc w:val="both"/>
        <w:rPr>
          <w:rFonts w:ascii="Times New Roman" w:hAnsi="Times New Roman" w:cs="Times New Roman"/>
          <w:sz w:val="20"/>
          <w:szCs w:val="20"/>
        </w:rPr>
      </w:pPr>
    </w:p>
    <w:p w:rsidR="00570BED" w:rsidRPr="00630B22" w:rsidRDefault="00570BED" w:rsidP="00630B22">
      <w:pPr>
        <w:pStyle w:val="ListParagraph"/>
        <w:spacing w:after="120" w:line="240" w:lineRule="auto"/>
        <w:jc w:val="center"/>
        <w:rPr>
          <w:rFonts w:ascii="Times New Roman" w:hAnsi="Times New Roman" w:cs="Times New Roman"/>
          <w:b/>
          <w:color w:val="7030A0"/>
          <w:sz w:val="20"/>
          <w:szCs w:val="20"/>
        </w:rPr>
      </w:pPr>
      <w:r w:rsidRPr="00630B22">
        <w:rPr>
          <w:rFonts w:ascii="Times New Roman" w:hAnsi="Times New Roman" w:cs="Times New Roman"/>
          <w:b/>
          <w:color w:val="7030A0"/>
          <w:sz w:val="20"/>
          <w:szCs w:val="20"/>
        </w:rPr>
        <w:t>Chart 01</w:t>
      </w:r>
      <w:r w:rsidR="00630B22">
        <w:rPr>
          <w:rFonts w:ascii="Times New Roman" w:hAnsi="Times New Roman" w:cs="Times New Roman"/>
          <w:b/>
          <w:color w:val="7030A0"/>
          <w:sz w:val="20"/>
          <w:szCs w:val="20"/>
        </w:rPr>
        <w:t xml:space="preserve">: </w:t>
      </w:r>
      <w:r w:rsidRPr="00630B22">
        <w:rPr>
          <w:rFonts w:ascii="Times New Roman" w:hAnsi="Times New Roman" w:cs="Times New Roman"/>
          <w:b/>
          <w:color w:val="7030A0"/>
          <w:sz w:val="20"/>
          <w:szCs w:val="20"/>
        </w:rPr>
        <w:t xml:space="preserve">Market share of world insurance business </w:t>
      </w:r>
      <w:r w:rsidR="009A08F7" w:rsidRPr="00630B22">
        <w:rPr>
          <w:rFonts w:ascii="Times New Roman" w:hAnsi="Times New Roman" w:cs="Times New Roman"/>
          <w:b/>
          <w:color w:val="7030A0"/>
          <w:sz w:val="20"/>
          <w:szCs w:val="20"/>
        </w:rPr>
        <w:t>including Bangladesh</w:t>
      </w:r>
    </w:p>
    <w:p w:rsidR="00570BED" w:rsidRPr="00630B22" w:rsidRDefault="00570BED" w:rsidP="00570BED">
      <w:pPr>
        <w:pStyle w:val="ListParagraph"/>
        <w:spacing w:after="120" w:line="240" w:lineRule="auto"/>
        <w:jc w:val="center"/>
        <w:rPr>
          <w:rFonts w:ascii="Times New Roman" w:hAnsi="Times New Roman" w:cs="Times New Roman"/>
          <w:b/>
          <w:sz w:val="20"/>
          <w:szCs w:val="20"/>
        </w:rPr>
      </w:pPr>
    </w:p>
    <w:p w:rsidR="00604D93" w:rsidRPr="00DB5725" w:rsidRDefault="003C1E83" w:rsidP="00DB5725">
      <w:pPr>
        <w:pStyle w:val="ListParagraph"/>
        <w:spacing w:after="120" w:line="480" w:lineRule="auto"/>
        <w:jc w:val="center"/>
        <w:rPr>
          <w:rFonts w:ascii="Times New Roman" w:hAnsi="Times New Roman" w:cs="Times New Roman"/>
          <w:sz w:val="24"/>
          <w:szCs w:val="24"/>
        </w:rPr>
      </w:pPr>
      <w:r>
        <w:rPr>
          <w:noProof/>
        </w:rPr>
        <w:drawing>
          <wp:inline distT="0" distB="0" distL="0" distR="0" wp14:anchorId="6708C68B" wp14:editId="56B5BBCE">
            <wp:extent cx="4724400" cy="23812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04D93" w:rsidRDefault="00604D93" w:rsidP="00C37E12">
      <w:pPr>
        <w:pStyle w:val="ListParagraph"/>
        <w:spacing w:after="120" w:line="480" w:lineRule="auto"/>
        <w:jc w:val="both"/>
        <w:rPr>
          <w:rFonts w:ascii="Times New Roman" w:hAnsi="Times New Roman" w:cs="Times New Roman"/>
          <w:sz w:val="24"/>
          <w:szCs w:val="24"/>
        </w:rPr>
      </w:pPr>
    </w:p>
    <w:p w:rsidR="00C3629C" w:rsidRDefault="008257C5" w:rsidP="00C3629C">
      <w:pPr>
        <w:pStyle w:val="ListParagraph"/>
        <w:numPr>
          <w:ilvl w:val="0"/>
          <w:numId w:val="29"/>
        </w:numPr>
        <w:tabs>
          <w:tab w:val="left" w:pos="3795"/>
        </w:tabs>
        <w:spacing w:after="120" w:line="480" w:lineRule="auto"/>
        <w:jc w:val="both"/>
        <w:rPr>
          <w:rFonts w:ascii="Times New Roman" w:hAnsi="Times New Roman" w:cs="Times New Roman"/>
          <w:b/>
          <w:sz w:val="20"/>
          <w:szCs w:val="20"/>
        </w:rPr>
      </w:pPr>
      <w:r w:rsidRPr="00C3629C">
        <w:rPr>
          <w:rFonts w:ascii="Times New Roman" w:hAnsi="Times New Roman" w:cs="Times New Roman"/>
          <w:b/>
          <w:sz w:val="20"/>
          <w:szCs w:val="20"/>
        </w:rPr>
        <w:t>S</w:t>
      </w:r>
      <w:r w:rsidR="009C5D7D" w:rsidRPr="00C3629C">
        <w:rPr>
          <w:rFonts w:ascii="Times New Roman" w:hAnsi="Times New Roman" w:cs="Times New Roman"/>
          <w:b/>
          <w:sz w:val="20"/>
          <w:szCs w:val="20"/>
        </w:rPr>
        <w:t xml:space="preserve">cenario of life and nonlife insurance in the world including Bangladesh </w:t>
      </w:r>
    </w:p>
    <w:p w:rsidR="00DB5725" w:rsidRPr="00C3629C" w:rsidRDefault="00C3629C" w:rsidP="00C3629C">
      <w:pPr>
        <w:tabs>
          <w:tab w:val="left" w:pos="3795"/>
        </w:tabs>
        <w:spacing w:after="12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Pr="00C3629C">
        <w:rPr>
          <w:rFonts w:ascii="Times New Roman" w:hAnsi="Times New Roman" w:cs="Times New Roman"/>
          <w:sz w:val="20"/>
          <w:szCs w:val="20"/>
        </w:rPr>
        <w:t xml:space="preserve"> </w:t>
      </w:r>
      <w:r w:rsidR="005102E9" w:rsidRPr="00C3629C">
        <w:rPr>
          <w:rFonts w:ascii="Times New Roman" w:hAnsi="Times New Roman" w:cs="Times New Roman"/>
          <w:sz w:val="20"/>
          <w:szCs w:val="20"/>
        </w:rPr>
        <w:t>The insurance business is basically consisted with two segments. First one is life insurance and second one is non-life insurance.</w:t>
      </w:r>
      <w:r w:rsidR="0035715C" w:rsidRPr="00C3629C">
        <w:rPr>
          <w:rFonts w:ascii="Times New Roman" w:hAnsi="Times New Roman" w:cs="Times New Roman"/>
          <w:sz w:val="20"/>
          <w:szCs w:val="20"/>
        </w:rPr>
        <w:t xml:space="preserve"> </w:t>
      </w:r>
      <w:r w:rsidR="00427327" w:rsidRPr="00C3629C">
        <w:rPr>
          <w:rFonts w:ascii="Times New Roman" w:hAnsi="Times New Roman" w:cs="Times New Roman"/>
          <w:sz w:val="20"/>
          <w:szCs w:val="20"/>
        </w:rPr>
        <w:t>The world premium volume</w:t>
      </w:r>
      <w:r w:rsidR="00BB5009" w:rsidRPr="00C3629C">
        <w:rPr>
          <w:rFonts w:ascii="Times New Roman" w:hAnsi="Times New Roman" w:cs="Times New Roman"/>
          <w:sz w:val="20"/>
          <w:szCs w:val="20"/>
        </w:rPr>
        <w:t xml:space="preserve"> of </w:t>
      </w:r>
      <w:r w:rsidR="00427327" w:rsidRPr="00C3629C">
        <w:rPr>
          <w:rFonts w:ascii="Times New Roman" w:hAnsi="Times New Roman" w:cs="Times New Roman"/>
          <w:sz w:val="20"/>
          <w:szCs w:val="20"/>
        </w:rPr>
        <w:t xml:space="preserve">life </w:t>
      </w:r>
      <w:r w:rsidR="00BB5009" w:rsidRPr="00C3629C">
        <w:rPr>
          <w:rFonts w:ascii="Times New Roman" w:hAnsi="Times New Roman" w:cs="Times New Roman"/>
          <w:sz w:val="20"/>
          <w:szCs w:val="20"/>
        </w:rPr>
        <w:t xml:space="preserve">and nonlife </w:t>
      </w:r>
      <w:r w:rsidR="00427327" w:rsidRPr="00C3629C">
        <w:rPr>
          <w:rFonts w:ascii="Times New Roman" w:hAnsi="Times New Roman" w:cs="Times New Roman"/>
          <w:sz w:val="20"/>
          <w:szCs w:val="20"/>
        </w:rPr>
        <w:t>insurance</w:t>
      </w:r>
      <w:r w:rsidR="00BB5009" w:rsidRPr="00C3629C">
        <w:rPr>
          <w:rFonts w:ascii="Times New Roman" w:hAnsi="Times New Roman" w:cs="Times New Roman"/>
          <w:sz w:val="20"/>
          <w:szCs w:val="20"/>
        </w:rPr>
        <w:t xml:space="preserve"> are   USD 2916267 and </w:t>
      </w:r>
      <w:r w:rsidR="00427327" w:rsidRPr="00C3629C">
        <w:rPr>
          <w:rFonts w:ascii="Times New Roman" w:hAnsi="Times New Roman" w:cs="Times New Roman"/>
          <w:sz w:val="20"/>
          <w:szCs w:val="20"/>
        </w:rPr>
        <w:t>USD 3376333</w:t>
      </w:r>
      <w:r w:rsidR="00BB5009" w:rsidRPr="00C3629C">
        <w:rPr>
          <w:rFonts w:ascii="Times New Roman" w:hAnsi="Times New Roman" w:cs="Times New Roman"/>
          <w:sz w:val="20"/>
          <w:szCs w:val="20"/>
        </w:rPr>
        <w:t xml:space="preserve"> million respectively</w:t>
      </w:r>
      <w:r w:rsidR="00427327" w:rsidRPr="00C3629C">
        <w:rPr>
          <w:rFonts w:ascii="Times New Roman" w:hAnsi="Times New Roman" w:cs="Times New Roman"/>
          <w:sz w:val="20"/>
          <w:szCs w:val="20"/>
        </w:rPr>
        <w:t xml:space="preserve"> in 2019.</w:t>
      </w:r>
      <w:r w:rsidR="00BE27CD" w:rsidRPr="00C3629C">
        <w:rPr>
          <w:rFonts w:ascii="Times New Roman" w:hAnsi="Times New Roman" w:cs="Times New Roman"/>
          <w:sz w:val="20"/>
          <w:szCs w:val="20"/>
        </w:rPr>
        <w:t>The life</w:t>
      </w:r>
      <w:r w:rsidR="00BB5009" w:rsidRPr="00C3629C">
        <w:rPr>
          <w:rFonts w:ascii="Times New Roman" w:hAnsi="Times New Roman" w:cs="Times New Roman"/>
          <w:sz w:val="20"/>
          <w:szCs w:val="20"/>
        </w:rPr>
        <w:t xml:space="preserve"> and nonlife </w:t>
      </w:r>
      <w:r w:rsidR="0035715C" w:rsidRPr="00C3629C">
        <w:rPr>
          <w:rFonts w:ascii="Times New Roman" w:hAnsi="Times New Roman" w:cs="Times New Roman"/>
          <w:sz w:val="20"/>
          <w:szCs w:val="20"/>
        </w:rPr>
        <w:t>insurance pr</w:t>
      </w:r>
      <w:r w:rsidR="00BB5009" w:rsidRPr="00C3629C">
        <w:rPr>
          <w:rFonts w:ascii="Times New Roman" w:hAnsi="Times New Roman" w:cs="Times New Roman"/>
          <w:sz w:val="20"/>
          <w:szCs w:val="20"/>
        </w:rPr>
        <w:t xml:space="preserve">emium volume in BDT 87227 </w:t>
      </w:r>
      <w:proofErr w:type="gramStart"/>
      <w:r w:rsidR="00BB5009" w:rsidRPr="00C3629C">
        <w:rPr>
          <w:rFonts w:ascii="Times New Roman" w:hAnsi="Times New Roman" w:cs="Times New Roman"/>
          <w:sz w:val="20"/>
          <w:szCs w:val="20"/>
        </w:rPr>
        <w:t xml:space="preserve">and </w:t>
      </w:r>
      <w:r w:rsidR="0035715C" w:rsidRPr="00C3629C">
        <w:rPr>
          <w:rFonts w:ascii="Times New Roman" w:hAnsi="Times New Roman" w:cs="Times New Roman"/>
          <w:sz w:val="20"/>
          <w:szCs w:val="20"/>
        </w:rPr>
        <w:t xml:space="preserve"> BDT</w:t>
      </w:r>
      <w:proofErr w:type="gramEnd"/>
      <w:r w:rsidR="0035715C" w:rsidRPr="00C3629C">
        <w:rPr>
          <w:rFonts w:ascii="Times New Roman" w:hAnsi="Times New Roman" w:cs="Times New Roman"/>
          <w:sz w:val="20"/>
          <w:szCs w:val="20"/>
        </w:rPr>
        <w:t xml:space="preserve"> 37338 million</w:t>
      </w:r>
      <w:r w:rsidR="00BB5009" w:rsidRPr="00C3629C">
        <w:rPr>
          <w:rFonts w:ascii="Times New Roman" w:hAnsi="Times New Roman" w:cs="Times New Roman"/>
          <w:sz w:val="20"/>
          <w:szCs w:val="20"/>
        </w:rPr>
        <w:t xml:space="preserve"> respectively</w:t>
      </w:r>
      <w:r w:rsidR="0035715C" w:rsidRPr="00C3629C">
        <w:rPr>
          <w:rFonts w:ascii="Times New Roman" w:hAnsi="Times New Roman" w:cs="Times New Roman"/>
          <w:sz w:val="20"/>
          <w:szCs w:val="20"/>
        </w:rPr>
        <w:t xml:space="preserve"> in 2019. </w:t>
      </w:r>
      <w:r w:rsidR="008002F8" w:rsidRPr="00C3629C">
        <w:rPr>
          <w:rFonts w:ascii="Times New Roman" w:hAnsi="Times New Roman" w:cs="Times New Roman"/>
          <w:sz w:val="20"/>
          <w:szCs w:val="20"/>
        </w:rPr>
        <w:t xml:space="preserve">The total insurance payment volume </w:t>
      </w:r>
      <w:r w:rsidR="0035715C" w:rsidRPr="00C3629C">
        <w:rPr>
          <w:rFonts w:ascii="Times New Roman" w:hAnsi="Times New Roman" w:cs="Times New Roman"/>
          <w:sz w:val="20"/>
          <w:szCs w:val="20"/>
        </w:rPr>
        <w:t>of life</w:t>
      </w:r>
      <w:r w:rsidR="00BB5009" w:rsidRPr="00C3629C">
        <w:rPr>
          <w:rFonts w:ascii="Times New Roman" w:hAnsi="Times New Roman" w:cs="Times New Roman"/>
          <w:sz w:val="20"/>
          <w:szCs w:val="20"/>
        </w:rPr>
        <w:t xml:space="preserve"> and nonlife were  </w:t>
      </w:r>
      <w:r w:rsidR="008002F8" w:rsidRPr="00C3629C">
        <w:rPr>
          <w:rFonts w:ascii="Times New Roman" w:hAnsi="Times New Roman" w:cs="Times New Roman"/>
          <w:sz w:val="20"/>
          <w:szCs w:val="20"/>
        </w:rPr>
        <w:t xml:space="preserve">   U</w:t>
      </w:r>
      <w:r w:rsidR="00BB5009" w:rsidRPr="00C3629C">
        <w:rPr>
          <w:rFonts w:ascii="Times New Roman" w:hAnsi="Times New Roman" w:cs="Times New Roman"/>
          <w:sz w:val="20"/>
          <w:szCs w:val="20"/>
        </w:rPr>
        <w:t xml:space="preserve">SD 1033 and </w:t>
      </w:r>
      <w:r w:rsidR="0035715C" w:rsidRPr="00C3629C">
        <w:rPr>
          <w:rFonts w:ascii="Times New Roman" w:hAnsi="Times New Roman" w:cs="Times New Roman"/>
          <w:sz w:val="20"/>
          <w:szCs w:val="20"/>
        </w:rPr>
        <w:t>USD 442 million in 2019. L</w:t>
      </w:r>
      <w:r w:rsidR="008002F8" w:rsidRPr="00C3629C">
        <w:rPr>
          <w:rFonts w:ascii="Times New Roman" w:hAnsi="Times New Roman" w:cs="Times New Roman"/>
          <w:sz w:val="20"/>
          <w:szCs w:val="20"/>
        </w:rPr>
        <w:t>ife insurance constituted</w:t>
      </w:r>
      <w:r w:rsidR="00427327" w:rsidRPr="00C3629C">
        <w:rPr>
          <w:rFonts w:ascii="Times New Roman" w:hAnsi="Times New Roman" w:cs="Times New Roman"/>
          <w:sz w:val="20"/>
          <w:szCs w:val="20"/>
        </w:rPr>
        <w:t xml:space="preserve"> 70.03 percent</w:t>
      </w:r>
      <w:r w:rsidR="0035715C" w:rsidRPr="00C3629C">
        <w:rPr>
          <w:rFonts w:ascii="Times New Roman" w:hAnsi="Times New Roman" w:cs="Times New Roman"/>
          <w:sz w:val="20"/>
          <w:szCs w:val="20"/>
        </w:rPr>
        <w:t xml:space="preserve"> </w:t>
      </w:r>
      <w:r w:rsidR="008002F8" w:rsidRPr="00C3629C">
        <w:rPr>
          <w:rFonts w:ascii="Times New Roman" w:hAnsi="Times New Roman" w:cs="Times New Roman"/>
          <w:sz w:val="20"/>
          <w:szCs w:val="20"/>
        </w:rPr>
        <w:t xml:space="preserve">and nonlife </w:t>
      </w:r>
      <w:r w:rsidR="00427327" w:rsidRPr="00C3629C">
        <w:rPr>
          <w:rFonts w:ascii="Times New Roman" w:hAnsi="Times New Roman" w:cs="Times New Roman"/>
          <w:sz w:val="20"/>
          <w:szCs w:val="20"/>
        </w:rPr>
        <w:t>29.97</w:t>
      </w:r>
      <w:r w:rsidR="008002F8" w:rsidRPr="00C3629C">
        <w:rPr>
          <w:rFonts w:ascii="Times New Roman" w:hAnsi="Times New Roman" w:cs="Times New Roman"/>
          <w:sz w:val="20"/>
          <w:szCs w:val="20"/>
        </w:rPr>
        <w:t xml:space="preserve"> </w:t>
      </w:r>
      <w:r w:rsidR="00427327" w:rsidRPr="00C3629C">
        <w:rPr>
          <w:rFonts w:ascii="Times New Roman" w:hAnsi="Times New Roman" w:cs="Times New Roman"/>
          <w:sz w:val="20"/>
          <w:szCs w:val="20"/>
        </w:rPr>
        <w:t>percent</w:t>
      </w:r>
      <w:r w:rsidR="008002F8" w:rsidRPr="00C3629C">
        <w:rPr>
          <w:rFonts w:ascii="Times New Roman" w:hAnsi="Times New Roman" w:cs="Times New Roman"/>
          <w:sz w:val="20"/>
          <w:szCs w:val="20"/>
        </w:rPr>
        <w:t xml:space="preserve"> market share in 2019</w:t>
      </w:r>
      <w:r w:rsidR="0035715C" w:rsidRPr="00C3629C">
        <w:rPr>
          <w:rFonts w:ascii="Times New Roman" w:hAnsi="Times New Roman" w:cs="Times New Roman"/>
          <w:sz w:val="20"/>
          <w:szCs w:val="20"/>
        </w:rPr>
        <w:t>.</w:t>
      </w:r>
      <w:r w:rsidR="00427327" w:rsidRPr="00C3629C">
        <w:rPr>
          <w:rFonts w:ascii="Times New Roman" w:hAnsi="Times New Roman" w:cs="Times New Roman"/>
          <w:b/>
          <w:sz w:val="20"/>
          <w:szCs w:val="20"/>
        </w:rPr>
        <w:t xml:space="preserve"> </w:t>
      </w:r>
      <w:r w:rsidR="00427327" w:rsidRPr="00C3629C">
        <w:rPr>
          <w:rFonts w:ascii="Times New Roman" w:hAnsi="Times New Roman" w:cs="Times New Roman"/>
          <w:sz w:val="20"/>
          <w:szCs w:val="20"/>
        </w:rPr>
        <w:t xml:space="preserve">The scenario of life and nonlife insurance in the world including Bangladesh </w:t>
      </w:r>
      <w:r w:rsidR="001B6342" w:rsidRPr="00C3629C">
        <w:rPr>
          <w:rFonts w:ascii="Times New Roman" w:hAnsi="Times New Roman" w:cs="Times New Roman"/>
          <w:sz w:val="20"/>
          <w:szCs w:val="20"/>
        </w:rPr>
        <w:t>has been shown in Table 02.</w:t>
      </w:r>
      <w:r w:rsidR="00C907DA" w:rsidRPr="00C3629C">
        <w:rPr>
          <w:rFonts w:ascii="Times New Roman" w:hAnsi="Times New Roman" w:cs="Times New Roman"/>
          <w:sz w:val="20"/>
          <w:szCs w:val="20"/>
        </w:rPr>
        <w:t xml:space="preserve">     </w:t>
      </w:r>
    </w:p>
    <w:p w:rsidR="00725620" w:rsidRPr="00630B22" w:rsidRDefault="00630B22" w:rsidP="00630B22">
      <w:pPr>
        <w:spacing w:after="120"/>
        <w:jc w:val="center"/>
        <w:rPr>
          <w:rFonts w:ascii="Times New Roman" w:hAnsi="Times New Roman" w:cs="Times New Roman"/>
          <w:b/>
          <w:sz w:val="20"/>
          <w:szCs w:val="20"/>
        </w:rPr>
      </w:pPr>
      <w:r w:rsidRPr="00630B22">
        <w:rPr>
          <w:rFonts w:ascii="Times New Roman" w:hAnsi="Times New Roman" w:cs="Times New Roman"/>
          <w:b/>
          <w:sz w:val="20"/>
          <w:szCs w:val="20"/>
        </w:rPr>
        <w:t xml:space="preserve">Table </w:t>
      </w:r>
      <w:r w:rsidR="000B4747" w:rsidRPr="00630B22">
        <w:rPr>
          <w:rFonts w:ascii="Times New Roman" w:hAnsi="Times New Roman" w:cs="Times New Roman"/>
          <w:b/>
          <w:sz w:val="20"/>
          <w:szCs w:val="20"/>
        </w:rPr>
        <w:t>2</w:t>
      </w:r>
      <w:proofErr w:type="gramStart"/>
      <w:r w:rsidRPr="00630B22">
        <w:rPr>
          <w:rFonts w:ascii="Times New Roman" w:hAnsi="Times New Roman" w:cs="Times New Roman"/>
          <w:b/>
          <w:sz w:val="20"/>
          <w:szCs w:val="20"/>
        </w:rPr>
        <w:t>:</w:t>
      </w:r>
      <w:r w:rsidR="00DB5E6E" w:rsidRPr="00630B22">
        <w:rPr>
          <w:rFonts w:ascii="Times New Roman" w:hAnsi="Times New Roman" w:cs="Times New Roman"/>
          <w:b/>
          <w:sz w:val="20"/>
          <w:szCs w:val="20"/>
        </w:rPr>
        <w:t>Region</w:t>
      </w:r>
      <w:proofErr w:type="gramEnd"/>
      <w:r w:rsidR="00DB5E6E" w:rsidRPr="00630B22">
        <w:rPr>
          <w:rFonts w:ascii="Times New Roman" w:hAnsi="Times New Roman" w:cs="Times New Roman"/>
          <w:b/>
          <w:sz w:val="20"/>
          <w:szCs w:val="20"/>
        </w:rPr>
        <w:t xml:space="preserve"> wise </w:t>
      </w:r>
      <w:r w:rsidR="00725620" w:rsidRPr="00630B22">
        <w:rPr>
          <w:rFonts w:ascii="Times New Roman" w:hAnsi="Times New Roman" w:cs="Times New Roman"/>
          <w:b/>
          <w:sz w:val="20"/>
          <w:szCs w:val="20"/>
        </w:rPr>
        <w:t>Gross Prem</w:t>
      </w:r>
      <w:r w:rsidR="00862F15" w:rsidRPr="00630B22">
        <w:rPr>
          <w:rFonts w:ascii="Times New Roman" w:hAnsi="Times New Roman" w:cs="Times New Roman"/>
          <w:b/>
          <w:sz w:val="20"/>
          <w:szCs w:val="20"/>
        </w:rPr>
        <w:t>ium</w:t>
      </w:r>
      <w:r w:rsidR="00F36C71" w:rsidRPr="00630B22">
        <w:rPr>
          <w:rFonts w:ascii="Times New Roman" w:hAnsi="Times New Roman" w:cs="Times New Roman"/>
          <w:b/>
          <w:sz w:val="20"/>
          <w:szCs w:val="20"/>
        </w:rPr>
        <w:t xml:space="preserve"> and Market share o</w:t>
      </w:r>
      <w:r w:rsidR="009C5D7D" w:rsidRPr="00630B22">
        <w:rPr>
          <w:rFonts w:ascii="Times New Roman" w:hAnsi="Times New Roman" w:cs="Times New Roman"/>
          <w:b/>
          <w:sz w:val="20"/>
          <w:szCs w:val="20"/>
        </w:rPr>
        <w:t>f life and nonlife insurance in</w:t>
      </w:r>
      <w:r w:rsidR="00862F15" w:rsidRPr="00630B22">
        <w:rPr>
          <w:rFonts w:ascii="Times New Roman" w:hAnsi="Times New Roman" w:cs="Times New Roman"/>
          <w:b/>
          <w:sz w:val="20"/>
          <w:szCs w:val="20"/>
        </w:rPr>
        <w:t xml:space="preserve"> 2019</w:t>
      </w:r>
    </w:p>
    <w:p w:rsidR="00B13FB9" w:rsidRPr="00630B22" w:rsidRDefault="00725620" w:rsidP="00725620">
      <w:pPr>
        <w:spacing w:after="120"/>
        <w:jc w:val="center"/>
        <w:rPr>
          <w:rFonts w:ascii="Times New Roman" w:hAnsi="Times New Roman" w:cs="Times New Roman"/>
          <w:b/>
          <w:sz w:val="20"/>
          <w:szCs w:val="20"/>
        </w:rPr>
      </w:pPr>
      <w:r w:rsidRPr="00630B22">
        <w:rPr>
          <w:rFonts w:ascii="Times New Roman" w:hAnsi="Times New Roman" w:cs="Times New Roman"/>
          <w:b/>
          <w:sz w:val="20"/>
          <w:szCs w:val="20"/>
        </w:rPr>
        <w:t xml:space="preserve">                                                                                                                                     </w:t>
      </w:r>
      <w:r w:rsidR="00BC0E6B" w:rsidRPr="00630B22">
        <w:rPr>
          <w:rFonts w:ascii="Times New Roman" w:hAnsi="Times New Roman" w:cs="Times New Roman"/>
          <w:b/>
          <w:sz w:val="20"/>
          <w:szCs w:val="20"/>
        </w:rPr>
        <w:t>USD million</w:t>
      </w:r>
    </w:p>
    <w:tbl>
      <w:tblPr>
        <w:tblStyle w:val="TableGrid"/>
        <w:tblW w:w="0" w:type="auto"/>
        <w:tblLook w:val="04A0" w:firstRow="1" w:lastRow="0" w:firstColumn="1" w:lastColumn="0" w:noHBand="0" w:noVBand="1"/>
      </w:tblPr>
      <w:tblGrid>
        <w:gridCol w:w="2337"/>
        <w:gridCol w:w="2337"/>
        <w:gridCol w:w="2338"/>
        <w:gridCol w:w="2338"/>
      </w:tblGrid>
      <w:tr w:rsidR="00725620" w:rsidRPr="00630B22" w:rsidTr="00725620">
        <w:tc>
          <w:tcPr>
            <w:tcW w:w="2337" w:type="dxa"/>
          </w:tcPr>
          <w:p w:rsidR="00725620" w:rsidRPr="00630B22" w:rsidRDefault="00725620" w:rsidP="00D5427C">
            <w:pPr>
              <w:spacing w:after="120"/>
              <w:rPr>
                <w:rFonts w:ascii="Times New Roman" w:hAnsi="Times New Roman" w:cs="Times New Roman"/>
                <w:b/>
                <w:sz w:val="20"/>
                <w:szCs w:val="20"/>
              </w:rPr>
            </w:pPr>
            <w:r w:rsidRPr="00630B22">
              <w:rPr>
                <w:rFonts w:ascii="Times New Roman" w:hAnsi="Times New Roman" w:cs="Times New Roman"/>
                <w:b/>
                <w:sz w:val="20"/>
                <w:szCs w:val="20"/>
              </w:rPr>
              <w:t>Region/Country</w:t>
            </w:r>
          </w:p>
        </w:tc>
        <w:tc>
          <w:tcPr>
            <w:tcW w:w="2337" w:type="dxa"/>
          </w:tcPr>
          <w:p w:rsidR="00725620" w:rsidRPr="00630B22" w:rsidRDefault="00725620" w:rsidP="00D5427C">
            <w:pPr>
              <w:spacing w:after="120"/>
              <w:rPr>
                <w:rFonts w:ascii="Times New Roman" w:hAnsi="Times New Roman" w:cs="Times New Roman"/>
                <w:b/>
                <w:sz w:val="20"/>
                <w:szCs w:val="20"/>
              </w:rPr>
            </w:pPr>
            <w:r w:rsidRPr="00630B22">
              <w:rPr>
                <w:rFonts w:ascii="Times New Roman" w:hAnsi="Times New Roman" w:cs="Times New Roman"/>
                <w:b/>
                <w:sz w:val="20"/>
                <w:szCs w:val="20"/>
              </w:rPr>
              <w:t xml:space="preserve">Life Insurance </w:t>
            </w:r>
          </w:p>
        </w:tc>
        <w:tc>
          <w:tcPr>
            <w:tcW w:w="2338" w:type="dxa"/>
          </w:tcPr>
          <w:p w:rsidR="00725620" w:rsidRPr="00630B22" w:rsidRDefault="00725620" w:rsidP="00D5427C">
            <w:pPr>
              <w:spacing w:after="120"/>
              <w:rPr>
                <w:rFonts w:ascii="Times New Roman" w:hAnsi="Times New Roman" w:cs="Times New Roman"/>
                <w:b/>
                <w:sz w:val="20"/>
                <w:szCs w:val="20"/>
              </w:rPr>
            </w:pPr>
            <w:r w:rsidRPr="00630B22">
              <w:rPr>
                <w:rFonts w:ascii="Times New Roman" w:hAnsi="Times New Roman" w:cs="Times New Roman"/>
                <w:b/>
                <w:sz w:val="20"/>
                <w:szCs w:val="20"/>
              </w:rPr>
              <w:t xml:space="preserve">Nonlife Insurance </w:t>
            </w:r>
          </w:p>
        </w:tc>
        <w:tc>
          <w:tcPr>
            <w:tcW w:w="2338" w:type="dxa"/>
          </w:tcPr>
          <w:p w:rsidR="00725620" w:rsidRPr="00630B22" w:rsidRDefault="00725620" w:rsidP="00D5427C">
            <w:pPr>
              <w:spacing w:after="120"/>
              <w:rPr>
                <w:rFonts w:ascii="Times New Roman" w:hAnsi="Times New Roman" w:cs="Times New Roman"/>
                <w:b/>
                <w:sz w:val="20"/>
                <w:szCs w:val="20"/>
              </w:rPr>
            </w:pPr>
            <w:r w:rsidRPr="00630B22">
              <w:rPr>
                <w:rFonts w:ascii="Times New Roman" w:hAnsi="Times New Roman" w:cs="Times New Roman"/>
                <w:b/>
                <w:sz w:val="20"/>
                <w:szCs w:val="20"/>
              </w:rPr>
              <w:t>Life &amp;Nonlife</w:t>
            </w:r>
          </w:p>
        </w:tc>
      </w:tr>
      <w:tr w:rsidR="00725620" w:rsidRPr="00630B22" w:rsidTr="00725620">
        <w:tc>
          <w:tcPr>
            <w:tcW w:w="2337" w:type="dxa"/>
          </w:tcPr>
          <w:p w:rsidR="00725620" w:rsidRPr="00630B22" w:rsidRDefault="0020371D" w:rsidP="00725620">
            <w:pPr>
              <w:spacing w:after="120"/>
              <w:jc w:val="center"/>
              <w:rPr>
                <w:rFonts w:ascii="Times New Roman" w:hAnsi="Times New Roman" w:cs="Times New Roman"/>
                <w:sz w:val="20"/>
                <w:szCs w:val="20"/>
              </w:rPr>
            </w:pPr>
            <w:r w:rsidRPr="00630B22">
              <w:rPr>
                <w:rFonts w:ascii="Times New Roman" w:hAnsi="Times New Roman" w:cs="Times New Roman"/>
                <w:sz w:val="20"/>
                <w:szCs w:val="20"/>
              </w:rPr>
              <w:t xml:space="preserve">Advanced </w:t>
            </w:r>
            <w:r w:rsidR="00725620" w:rsidRPr="00630B22">
              <w:rPr>
                <w:rFonts w:ascii="Times New Roman" w:hAnsi="Times New Roman" w:cs="Times New Roman"/>
                <w:sz w:val="20"/>
                <w:szCs w:val="20"/>
              </w:rPr>
              <w:t xml:space="preserve"> Market</w:t>
            </w:r>
          </w:p>
        </w:tc>
        <w:tc>
          <w:tcPr>
            <w:tcW w:w="2337" w:type="dxa"/>
          </w:tcPr>
          <w:p w:rsidR="00725620" w:rsidRPr="00630B22" w:rsidRDefault="00BC0E6B" w:rsidP="00725620">
            <w:pPr>
              <w:spacing w:after="120"/>
              <w:jc w:val="center"/>
              <w:rPr>
                <w:rFonts w:ascii="Times New Roman" w:hAnsi="Times New Roman" w:cs="Times New Roman"/>
                <w:sz w:val="20"/>
                <w:szCs w:val="20"/>
              </w:rPr>
            </w:pPr>
            <w:r w:rsidRPr="00630B22">
              <w:rPr>
                <w:rFonts w:ascii="Times New Roman" w:hAnsi="Times New Roman" w:cs="Times New Roman"/>
                <w:sz w:val="20"/>
                <w:szCs w:val="20"/>
              </w:rPr>
              <w:t>756038</w:t>
            </w:r>
          </w:p>
          <w:p w:rsidR="001233E8" w:rsidRPr="00630B22" w:rsidRDefault="00EC332D" w:rsidP="00725620">
            <w:pPr>
              <w:spacing w:after="120"/>
              <w:jc w:val="center"/>
              <w:rPr>
                <w:rFonts w:ascii="Times New Roman" w:hAnsi="Times New Roman" w:cs="Times New Roman"/>
                <w:sz w:val="20"/>
                <w:szCs w:val="20"/>
              </w:rPr>
            </w:pPr>
            <w:r w:rsidRPr="00630B22">
              <w:rPr>
                <w:rFonts w:ascii="Times New Roman" w:hAnsi="Times New Roman" w:cs="Times New Roman"/>
                <w:sz w:val="20"/>
                <w:szCs w:val="20"/>
              </w:rPr>
              <w:t>(27.49</w:t>
            </w:r>
            <w:r w:rsidR="001233E8" w:rsidRPr="00630B22">
              <w:rPr>
                <w:rFonts w:ascii="Times New Roman" w:hAnsi="Times New Roman" w:cs="Times New Roman"/>
                <w:sz w:val="20"/>
                <w:szCs w:val="20"/>
              </w:rPr>
              <w:t>)</w:t>
            </w:r>
          </w:p>
        </w:tc>
        <w:tc>
          <w:tcPr>
            <w:tcW w:w="2338" w:type="dxa"/>
          </w:tcPr>
          <w:p w:rsidR="00725620" w:rsidRPr="00630B22" w:rsidRDefault="00975F6B" w:rsidP="00534F9B">
            <w:pPr>
              <w:spacing w:after="120"/>
              <w:jc w:val="center"/>
              <w:rPr>
                <w:rFonts w:ascii="Times New Roman" w:hAnsi="Times New Roman" w:cs="Times New Roman"/>
                <w:sz w:val="20"/>
                <w:szCs w:val="20"/>
              </w:rPr>
            </w:pPr>
            <w:r w:rsidRPr="00630B22">
              <w:rPr>
                <w:rFonts w:ascii="Times New Roman" w:hAnsi="Times New Roman" w:cs="Times New Roman"/>
                <w:sz w:val="20"/>
                <w:szCs w:val="20"/>
              </w:rPr>
              <w:t>1994388</w:t>
            </w:r>
          </w:p>
          <w:p w:rsidR="001233E8" w:rsidRPr="00630B22" w:rsidRDefault="00147937" w:rsidP="00534F9B">
            <w:pPr>
              <w:spacing w:after="120"/>
              <w:jc w:val="center"/>
              <w:rPr>
                <w:rFonts w:ascii="Times New Roman" w:hAnsi="Times New Roman" w:cs="Times New Roman"/>
                <w:sz w:val="20"/>
                <w:szCs w:val="20"/>
              </w:rPr>
            </w:pPr>
            <w:r w:rsidRPr="00630B22">
              <w:rPr>
                <w:rFonts w:ascii="Times New Roman" w:hAnsi="Times New Roman" w:cs="Times New Roman"/>
                <w:sz w:val="20"/>
                <w:szCs w:val="20"/>
              </w:rPr>
              <w:t>(72.51</w:t>
            </w:r>
            <w:r w:rsidR="001233E8" w:rsidRPr="00630B22">
              <w:rPr>
                <w:rFonts w:ascii="Times New Roman" w:hAnsi="Times New Roman" w:cs="Times New Roman"/>
                <w:sz w:val="20"/>
                <w:szCs w:val="20"/>
              </w:rPr>
              <w:t>)</w:t>
            </w:r>
          </w:p>
        </w:tc>
        <w:tc>
          <w:tcPr>
            <w:tcW w:w="2338" w:type="dxa"/>
          </w:tcPr>
          <w:p w:rsidR="00725620" w:rsidRPr="00630B22" w:rsidRDefault="00083AB0" w:rsidP="00534F9B">
            <w:pPr>
              <w:spacing w:after="120"/>
              <w:jc w:val="center"/>
              <w:rPr>
                <w:rFonts w:ascii="Times New Roman" w:hAnsi="Times New Roman" w:cs="Times New Roman"/>
                <w:sz w:val="20"/>
                <w:szCs w:val="20"/>
              </w:rPr>
            </w:pPr>
            <w:r w:rsidRPr="00630B22">
              <w:rPr>
                <w:rFonts w:ascii="Times New Roman" w:hAnsi="Times New Roman" w:cs="Times New Roman"/>
                <w:sz w:val="20"/>
                <w:szCs w:val="20"/>
              </w:rPr>
              <w:t>2750426</w:t>
            </w:r>
          </w:p>
          <w:p w:rsidR="001233E8" w:rsidRPr="00630B22" w:rsidRDefault="001233E8" w:rsidP="00534F9B">
            <w:pPr>
              <w:spacing w:after="120"/>
              <w:jc w:val="center"/>
              <w:rPr>
                <w:rFonts w:ascii="Times New Roman" w:hAnsi="Times New Roman" w:cs="Times New Roman"/>
                <w:sz w:val="20"/>
                <w:szCs w:val="20"/>
              </w:rPr>
            </w:pPr>
            <w:r w:rsidRPr="00630B22">
              <w:rPr>
                <w:rFonts w:ascii="Times New Roman" w:hAnsi="Times New Roman" w:cs="Times New Roman"/>
                <w:sz w:val="20"/>
                <w:szCs w:val="20"/>
              </w:rPr>
              <w:t>(100.00)</w:t>
            </w:r>
          </w:p>
        </w:tc>
      </w:tr>
      <w:tr w:rsidR="00725620" w:rsidRPr="00630B22" w:rsidTr="00725620">
        <w:tc>
          <w:tcPr>
            <w:tcW w:w="2337" w:type="dxa"/>
          </w:tcPr>
          <w:p w:rsidR="00725620" w:rsidRPr="00630B22" w:rsidRDefault="00725620" w:rsidP="00725620">
            <w:pPr>
              <w:spacing w:after="120"/>
              <w:jc w:val="center"/>
              <w:rPr>
                <w:rFonts w:ascii="Times New Roman" w:hAnsi="Times New Roman" w:cs="Times New Roman"/>
                <w:sz w:val="20"/>
                <w:szCs w:val="20"/>
              </w:rPr>
            </w:pPr>
            <w:r w:rsidRPr="00630B22">
              <w:rPr>
                <w:rFonts w:ascii="Times New Roman" w:hAnsi="Times New Roman" w:cs="Times New Roman"/>
                <w:sz w:val="20"/>
                <w:szCs w:val="20"/>
              </w:rPr>
              <w:t>Emerging Market</w:t>
            </w:r>
          </w:p>
        </w:tc>
        <w:tc>
          <w:tcPr>
            <w:tcW w:w="2337" w:type="dxa"/>
          </w:tcPr>
          <w:p w:rsidR="00725620" w:rsidRPr="00630B22" w:rsidRDefault="00BC0E6B" w:rsidP="00725620">
            <w:pPr>
              <w:spacing w:after="120"/>
              <w:jc w:val="center"/>
              <w:rPr>
                <w:rFonts w:ascii="Times New Roman" w:hAnsi="Times New Roman" w:cs="Times New Roman"/>
                <w:sz w:val="20"/>
                <w:szCs w:val="20"/>
              </w:rPr>
            </w:pPr>
            <w:r w:rsidRPr="00630B22">
              <w:rPr>
                <w:rFonts w:ascii="Times New Roman" w:hAnsi="Times New Roman" w:cs="Times New Roman"/>
                <w:sz w:val="20"/>
                <w:szCs w:val="20"/>
              </w:rPr>
              <w:t>74338</w:t>
            </w:r>
          </w:p>
          <w:p w:rsidR="001233E8" w:rsidRPr="00630B22" w:rsidRDefault="00147937" w:rsidP="00725620">
            <w:pPr>
              <w:spacing w:after="120"/>
              <w:jc w:val="center"/>
              <w:rPr>
                <w:rFonts w:ascii="Times New Roman" w:hAnsi="Times New Roman" w:cs="Times New Roman"/>
                <w:sz w:val="20"/>
                <w:szCs w:val="20"/>
              </w:rPr>
            </w:pPr>
            <w:r w:rsidRPr="00630B22">
              <w:rPr>
                <w:rFonts w:ascii="Times New Roman" w:hAnsi="Times New Roman" w:cs="Times New Roman"/>
                <w:sz w:val="20"/>
                <w:szCs w:val="20"/>
              </w:rPr>
              <w:t>(38.42</w:t>
            </w:r>
            <w:r w:rsidR="001233E8" w:rsidRPr="00630B22">
              <w:rPr>
                <w:rFonts w:ascii="Times New Roman" w:hAnsi="Times New Roman" w:cs="Times New Roman"/>
                <w:sz w:val="20"/>
                <w:szCs w:val="20"/>
              </w:rPr>
              <w:t>)</w:t>
            </w:r>
          </w:p>
        </w:tc>
        <w:tc>
          <w:tcPr>
            <w:tcW w:w="2338" w:type="dxa"/>
          </w:tcPr>
          <w:p w:rsidR="00C8281A" w:rsidRPr="00630B22" w:rsidRDefault="00C8281A" w:rsidP="00534F9B">
            <w:pPr>
              <w:spacing w:after="120"/>
              <w:jc w:val="center"/>
              <w:rPr>
                <w:rFonts w:ascii="Times New Roman" w:hAnsi="Times New Roman" w:cs="Times New Roman"/>
                <w:sz w:val="20"/>
                <w:szCs w:val="20"/>
              </w:rPr>
            </w:pPr>
            <w:r w:rsidRPr="00630B22">
              <w:rPr>
                <w:sz w:val="20"/>
                <w:szCs w:val="20"/>
              </w:rPr>
              <w:t>119142</w:t>
            </w:r>
            <w:r w:rsidRPr="00630B22">
              <w:rPr>
                <w:rFonts w:ascii="Times New Roman" w:hAnsi="Times New Roman" w:cs="Times New Roman"/>
                <w:sz w:val="20"/>
                <w:szCs w:val="20"/>
              </w:rPr>
              <w:t xml:space="preserve"> </w:t>
            </w:r>
          </w:p>
          <w:p w:rsidR="001233E8" w:rsidRPr="00630B22" w:rsidRDefault="00147937" w:rsidP="00534F9B">
            <w:pPr>
              <w:spacing w:after="120"/>
              <w:jc w:val="center"/>
              <w:rPr>
                <w:rFonts w:ascii="Times New Roman" w:hAnsi="Times New Roman" w:cs="Times New Roman"/>
                <w:sz w:val="20"/>
                <w:szCs w:val="20"/>
              </w:rPr>
            </w:pPr>
            <w:r w:rsidRPr="00630B22">
              <w:rPr>
                <w:rFonts w:ascii="Times New Roman" w:hAnsi="Times New Roman" w:cs="Times New Roman"/>
                <w:sz w:val="20"/>
                <w:szCs w:val="20"/>
              </w:rPr>
              <w:t>(61.57</w:t>
            </w:r>
            <w:r w:rsidR="001233E8" w:rsidRPr="00630B22">
              <w:rPr>
                <w:rFonts w:ascii="Times New Roman" w:hAnsi="Times New Roman" w:cs="Times New Roman"/>
                <w:sz w:val="20"/>
                <w:szCs w:val="20"/>
              </w:rPr>
              <w:t>)</w:t>
            </w:r>
          </w:p>
        </w:tc>
        <w:tc>
          <w:tcPr>
            <w:tcW w:w="2338" w:type="dxa"/>
          </w:tcPr>
          <w:p w:rsidR="00725620" w:rsidRPr="00630B22" w:rsidRDefault="00083AB0" w:rsidP="00534F9B">
            <w:pPr>
              <w:spacing w:after="120"/>
              <w:jc w:val="center"/>
              <w:rPr>
                <w:rFonts w:ascii="Times New Roman" w:hAnsi="Times New Roman" w:cs="Times New Roman"/>
                <w:sz w:val="20"/>
                <w:szCs w:val="20"/>
              </w:rPr>
            </w:pPr>
            <w:r w:rsidRPr="00630B22">
              <w:rPr>
                <w:rFonts w:ascii="Times New Roman" w:hAnsi="Times New Roman" w:cs="Times New Roman"/>
                <w:sz w:val="20"/>
                <w:szCs w:val="20"/>
              </w:rPr>
              <w:t>193480</w:t>
            </w:r>
          </w:p>
          <w:p w:rsidR="001233E8" w:rsidRPr="00630B22" w:rsidRDefault="001233E8" w:rsidP="00534F9B">
            <w:pPr>
              <w:spacing w:after="120"/>
              <w:jc w:val="center"/>
              <w:rPr>
                <w:rFonts w:ascii="Times New Roman" w:hAnsi="Times New Roman" w:cs="Times New Roman"/>
                <w:sz w:val="20"/>
                <w:szCs w:val="20"/>
              </w:rPr>
            </w:pPr>
            <w:r w:rsidRPr="00630B22">
              <w:rPr>
                <w:rFonts w:ascii="Times New Roman" w:hAnsi="Times New Roman" w:cs="Times New Roman"/>
                <w:sz w:val="20"/>
                <w:szCs w:val="20"/>
              </w:rPr>
              <w:t>(100.00)</w:t>
            </w:r>
          </w:p>
        </w:tc>
      </w:tr>
      <w:tr w:rsidR="00725620" w:rsidRPr="00630B22" w:rsidTr="00725620">
        <w:tc>
          <w:tcPr>
            <w:tcW w:w="2337" w:type="dxa"/>
          </w:tcPr>
          <w:p w:rsidR="00725620" w:rsidRPr="00630B22" w:rsidRDefault="00725620" w:rsidP="00725620">
            <w:pPr>
              <w:spacing w:after="120"/>
              <w:jc w:val="center"/>
              <w:rPr>
                <w:rFonts w:ascii="Times New Roman" w:hAnsi="Times New Roman" w:cs="Times New Roman"/>
                <w:sz w:val="20"/>
                <w:szCs w:val="20"/>
              </w:rPr>
            </w:pPr>
            <w:r w:rsidRPr="00630B22">
              <w:rPr>
                <w:rFonts w:ascii="Times New Roman" w:hAnsi="Times New Roman" w:cs="Times New Roman"/>
                <w:sz w:val="20"/>
                <w:szCs w:val="20"/>
              </w:rPr>
              <w:t>Asia</w:t>
            </w:r>
          </w:p>
        </w:tc>
        <w:tc>
          <w:tcPr>
            <w:tcW w:w="2337" w:type="dxa"/>
          </w:tcPr>
          <w:p w:rsidR="00725620" w:rsidRPr="00630B22" w:rsidRDefault="00BC0E6B" w:rsidP="00725620">
            <w:pPr>
              <w:spacing w:after="120"/>
              <w:jc w:val="center"/>
              <w:rPr>
                <w:rFonts w:ascii="Times New Roman" w:hAnsi="Times New Roman" w:cs="Times New Roman"/>
                <w:sz w:val="20"/>
                <w:szCs w:val="20"/>
              </w:rPr>
            </w:pPr>
            <w:r w:rsidRPr="00630B22">
              <w:rPr>
                <w:rFonts w:ascii="Times New Roman" w:hAnsi="Times New Roman" w:cs="Times New Roman"/>
                <w:sz w:val="20"/>
                <w:szCs w:val="20"/>
              </w:rPr>
              <w:t>1114187</w:t>
            </w:r>
          </w:p>
          <w:p w:rsidR="001233E8" w:rsidRPr="00630B22" w:rsidRDefault="00CF5947" w:rsidP="00725620">
            <w:pPr>
              <w:spacing w:after="120"/>
              <w:jc w:val="center"/>
              <w:rPr>
                <w:rFonts w:ascii="Times New Roman" w:hAnsi="Times New Roman" w:cs="Times New Roman"/>
                <w:sz w:val="20"/>
                <w:szCs w:val="20"/>
              </w:rPr>
            </w:pPr>
            <w:r w:rsidRPr="00630B22">
              <w:rPr>
                <w:rFonts w:ascii="Times New Roman" w:hAnsi="Times New Roman" w:cs="Times New Roman"/>
                <w:sz w:val="20"/>
                <w:szCs w:val="20"/>
              </w:rPr>
              <w:t>(63.84)</w:t>
            </w:r>
          </w:p>
        </w:tc>
        <w:tc>
          <w:tcPr>
            <w:tcW w:w="2338" w:type="dxa"/>
          </w:tcPr>
          <w:p w:rsidR="00725620" w:rsidRPr="00630B22" w:rsidRDefault="00D718FF" w:rsidP="00534F9B">
            <w:pPr>
              <w:spacing w:after="120"/>
              <w:jc w:val="center"/>
              <w:rPr>
                <w:rFonts w:ascii="Times New Roman" w:hAnsi="Times New Roman" w:cs="Times New Roman"/>
                <w:sz w:val="20"/>
                <w:szCs w:val="20"/>
              </w:rPr>
            </w:pPr>
            <w:r w:rsidRPr="00630B22">
              <w:rPr>
                <w:rFonts w:ascii="Times New Roman" w:hAnsi="Times New Roman" w:cs="Times New Roman"/>
                <w:sz w:val="20"/>
                <w:szCs w:val="20"/>
              </w:rPr>
              <w:t>631216</w:t>
            </w:r>
          </w:p>
          <w:p w:rsidR="001233E8" w:rsidRPr="00630B22" w:rsidRDefault="00CF5947" w:rsidP="00534F9B">
            <w:pPr>
              <w:spacing w:after="120"/>
              <w:jc w:val="center"/>
              <w:rPr>
                <w:rFonts w:ascii="Times New Roman" w:hAnsi="Times New Roman" w:cs="Times New Roman"/>
                <w:sz w:val="20"/>
                <w:szCs w:val="20"/>
              </w:rPr>
            </w:pPr>
            <w:r w:rsidRPr="00630B22">
              <w:rPr>
                <w:rFonts w:ascii="Times New Roman" w:hAnsi="Times New Roman" w:cs="Times New Roman"/>
                <w:sz w:val="20"/>
                <w:szCs w:val="20"/>
              </w:rPr>
              <w:t>(36.16</w:t>
            </w:r>
            <w:r w:rsidR="001233E8" w:rsidRPr="00630B22">
              <w:rPr>
                <w:rFonts w:ascii="Times New Roman" w:hAnsi="Times New Roman" w:cs="Times New Roman"/>
                <w:sz w:val="20"/>
                <w:szCs w:val="20"/>
              </w:rPr>
              <w:t>)</w:t>
            </w:r>
          </w:p>
        </w:tc>
        <w:tc>
          <w:tcPr>
            <w:tcW w:w="2338" w:type="dxa"/>
          </w:tcPr>
          <w:p w:rsidR="00725620" w:rsidRPr="00630B22" w:rsidRDefault="00D65C42" w:rsidP="00534F9B">
            <w:pPr>
              <w:spacing w:after="120"/>
              <w:jc w:val="center"/>
              <w:rPr>
                <w:rFonts w:ascii="Times New Roman" w:hAnsi="Times New Roman" w:cs="Times New Roman"/>
                <w:sz w:val="20"/>
                <w:szCs w:val="20"/>
              </w:rPr>
            </w:pPr>
            <w:r w:rsidRPr="00630B22">
              <w:rPr>
                <w:rFonts w:ascii="Times New Roman" w:hAnsi="Times New Roman" w:cs="Times New Roman"/>
                <w:sz w:val="20"/>
                <w:szCs w:val="20"/>
              </w:rPr>
              <w:t>1745403</w:t>
            </w:r>
          </w:p>
          <w:p w:rsidR="001233E8" w:rsidRPr="00630B22" w:rsidRDefault="001233E8" w:rsidP="00534F9B">
            <w:pPr>
              <w:spacing w:after="120"/>
              <w:jc w:val="center"/>
              <w:rPr>
                <w:rFonts w:ascii="Times New Roman" w:hAnsi="Times New Roman" w:cs="Times New Roman"/>
                <w:sz w:val="20"/>
                <w:szCs w:val="20"/>
              </w:rPr>
            </w:pPr>
            <w:r w:rsidRPr="00630B22">
              <w:rPr>
                <w:rFonts w:ascii="Times New Roman" w:hAnsi="Times New Roman" w:cs="Times New Roman"/>
                <w:sz w:val="20"/>
                <w:szCs w:val="20"/>
              </w:rPr>
              <w:t>(100.00)</w:t>
            </w:r>
          </w:p>
        </w:tc>
      </w:tr>
      <w:tr w:rsidR="00725620" w:rsidRPr="00630B22" w:rsidTr="00725620">
        <w:tc>
          <w:tcPr>
            <w:tcW w:w="2337" w:type="dxa"/>
          </w:tcPr>
          <w:p w:rsidR="00725620" w:rsidRPr="00630B22" w:rsidRDefault="00725620" w:rsidP="00725620">
            <w:pPr>
              <w:spacing w:after="120"/>
              <w:jc w:val="center"/>
              <w:rPr>
                <w:rFonts w:ascii="Times New Roman" w:hAnsi="Times New Roman" w:cs="Times New Roman"/>
                <w:b/>
                <w:sz w:val="20"/>
                <w:szCs w:val="20"/>
              </w:rPr>
            </w:pPr>
            <w:r w:rsidRPr="00630B22">
              <w:rPr>
                <w:rFonts w:ascii="Times New Roman" w:hAnsi="Times New Roman" w:cs="Times New Roman"/>
                <w:b/>
                <w:sz w:val="20"/>
                <w:szCs w:val="20"/>
              </w:rPr>
              <w:t>India</w:t>
            </w:r>
          </w:p>
        </w:tc>
        <w:tc>
          <w:tcPr>
            <w:tcW w:w="2337" w:type="dxa"/>
          </w:tcPr>
          <w:p w:rsidR="00842AA1" w:rsidRPr="00630B22" w:rsidRDefault="00842AA1" w:rsidP="00725620">
            <w:pPr>
              <w:spacing w:after="120"/>
              <w:jc w:val="center"/>
              <w:rPr>
                <w:rFonts w:ascii="Times New Roman" w:hAnsi="Times New Roman" w:cs="Times New Roman"/>
                <w:b/>
                <w:sz w:val="20"/>
                <w:szCs w:val="20"/>
              </w:rPr>
            </w:pPr>
            <w:r w:rsidRPr="00630B22">
              <w:rPr>
                <w:b/>
                <w:sz w:val="20"/>
                <w:szCs w:val="20"/>
              </w:rPr>
              <w:t>79671</w:t>
            </w:r>
            <w:r w:rsidRPr="00630B22">
              <w:rPr>
                <w:rFonts w:ascii="Times New Roman" w:hAnsi="Times New Roman" w:cs="Times New Roman"/>
                <w:b/>
                <w:sz w:val="20"/>
                <w:szCs w:val="20"/>
              </w:rPr>
              <w:t xml:space="preserve"> </w:t>
            </w:r>
          </w:p>
          <w:p w:rsidR="001233E8" w:rsidRPr="00630B22" w:rsidRDefault="002902B3" w:rsidP="00725620">
            <w:pPr>
              <w:spacing w:after="120"/>
              <w:jc w:val="center"/>
              <w:rPr>
                <w:rFonts w:ascii="Times New Roman" w:hAnsi="Times New Roman" w:cs="Times New Roman"/>
                <w:b/>
                <w:sz w:val="20"/>
                <w:szCs w:val="20"/>
              </w:rPr>
            </w:pPr>
            <w:r w:rsidRPr="00630B22">
              <w:rPr>
                <w:rFonts w:ascii="Times New Roman" w:hAnsi="Times New Roman" w:cs="Times New Roman"/>
                <w:b/>
                <w:sz w:val="20"/>
                <w:szCs w:val="20"/>
              </w:rPr>
              <w:t>(74.94</w:t>
            </w:r>
            <w:r w:rsidR="001233E8" w:rsidRPr="00630B22">
              <w:rPr>
                <w:rFonts w:ascii="Times New Roman" w:hAnsi="Times New Roman" w:cs="Times New Roman"/>
                <w:b/>
                <w:sz w:val="20"/>
                <w:szCs w:val="20"/>
              </w:rPr>
              <w:t>)</w:t>
            </w:r>
          </w:p>
        </w:tc>
        <w:tc>
          <w:tcPr>
            <w:tcW w:w="2338" w:type="dxa"/>
          </w:tcPr>
          <w:p w:rsidR="00EE4E7B" w:rsidRPr="00630B22" w:rsidRDefault="00EE4E7B" w:rsidP="00534F9B">
            <w:pPr>
              <w:spacing w:after="120"/>
              <w:jc w:val="center"/>
              <w:rPr>
                <w:rFonts w:ascii="Times New Roman" w:hAnsi="Times New Roman" w:cs="Times New Roman"/>
                <w:b/>
                <w:sz w:val="20"/>
                <w:szCs w:val="20"/>
              </w:rPr>
            </w:pPr>
            <w:r w:rsidRPr="00630B22">
              <w:rPr>
                <w:b/>
                <w:sz w:val="20"/>
                <w:szCs w:val="20"/>
              </w:rPr>
              <w:t>26637</w:t>
            </w:r>
            <w:r w:rsidRPr="00630B22">
              <w:rPr>
                <w:rFonts w:ascii="Times New Roman" w:hAnsi="Times New Roman" w:cs="Times New Roman"/>
                <w:b/>
                <w:sz w:val="20"/>
                <w:szCs w:val="20"/>
              </w:rPr>
              <w:t xml:space="preserve"> </w:t>
            </w:r>
          </w:p>
          <w:p w:rsidR="001233E8" w:rsidRPr="00630B22" w:rsidRDefault="002902B3" w:rsidP="00534F9B">
            <w:pPr>
              <w:spacing w:after="120"/>
              <w:jc w:val="center"/>
              <w:rPr>
                <w:rFonts w:ascii="Times New Roman" w:hAnsi="Times New Roman" w:cs="Times New Roman"/>
                <w:b/>
                <w:sz w:val="20"/>
                <w:szCs w:val="20"/>
              </w:rPr>
            </w:pPr>
            <w:r w:rsidRPr="00630B22">
              <w:rPr>
                <w:rFonts w:ascii="Times New Roman" w:hAnsi="Times New Roman" w:cs="Times New Roman"/>
                <w:b/>
                <w:sz w:val="20"/>
                <w:szCs w:val="20"/>
              </w:rPr>
              <w:t>(25.06</w:t>
            </w:r>
            <w:r w:rsidR="001233E8" w:rsidRPr="00630B22">
              <w:rPr>
                <w:rFonts w:ascii="Times New Roman" w:hAnsi="Times New Roman" w:cs="Times New Roman"/>
                <w:b/>
                <w:sz w:val="20"/>
                <w:szCs w:val="20"/>
              </w:rPr>
              <w:t>)</w:t>
            </w:r>
          </w:p>
        </w:tc>
        <w:tc>
          <w:tcPr>
            <w:tcW w:w="2338" w:type="dxa"/>
          </w:tcPr>
          <w:p w:rsidR="00725620" w:rsidRPr="00630B22" w:rsidRDefault="00C44321" w:rsidP="00C44321">
            <w:pPr>
              <w:spacing w:after="120"/>
              <w:rPr>
                <w:rFonts w:ascii="Times New Roman" w:hAnsi="Times New Roman" w:cs="Times New Roman"/>
                <w:b/>
                <w:sz w:val="20"/>
                <w:szCs w:val="20"/>
              </w:rPr>
            </w:pPr>
            <w:r w:rsidRPr="00630B22">
              <w:rPr>
                <w:rFonts w:ascii="Times New Roman" w:hAnsi="Times New Roman" w:cs="Times New Roman"/>
                <w:b/>
                <w:sz w:val="20"/>
                <w:szCs w:val="20"/>
              </w:rPr>
              <w:t xml:space="preserve">             106308</w:t>
            </w:r>
          </w:p>
          <w:p w:rsidR="001233E8" w:rsidRPr="00630B22" w:rsidRDefault="001233E8" w:rsidP="00534F9B">
            <w:pPr>
              <w:spacing w:after="120"/>
              <w:jc w:val="center"/>
              <w:rPr>
                <w:rFonts w:ascii="Times New Roman" w:hAnsi="Times New Roman" w:cs="Times New Roman"/>
                <w:b/>
                <w:sz w:val="20"/>
                <w:szCs w:val="20"/>
              </w:rPr>
            </w:pPr>
            <w:r w:rsidRPr="00630B22">
              <w:rPr>
                <w:rFonts w:ascii="Times New Roman" w:hAnsi="Times New Roman" w:cs="Times New Roman"/>
                <w:b/>
                <w:sz w:val="20"/>
                <w:szCs w:val="20"/>
              </w:rPr>
              <w:t>(100.00)</w:t>
            </w:r>
          </w:p>
        </w:tc>
      </w:tr>
      <w:tr w:rsidR="00725620" w:rsidRPr="00630B22" w:rsidTr="00725620">
        <w:tc>
          <w:tcPr>
            <w:tcW w:w="2337" w:type="dxa"/>
          </w:tcPr>
          <w:p w:rsidR="00725620" w:rsidRPr="00630B22" w:rsidRDefault="00725620" w:rsidP="00725620">
            <w:pPr>
              <w:spacing w:after="120"/>
              <w:jc w:val="center"/>
              <w:rPr>
                <w:rFonts w:ascii="Times New Roman" w:hAnsi="Times New Roman" w:cs="Times New Roman"/>
                <w:b/>
                <w:sz w:val="20"/>
                <w:szCs w:val="20"/>
              </w:rPr>
            </w:pPr>
            <w:r w:rsidRPr="00630B22">
              <w:rPr>
                <w:rFonts w:ascii="Times New Roman" w:hAnsi="Times New Roman" w:cs="Times New Roman"/>
                <w:b/>
                <w:sz w:val="20"/>
                <w:szCs w:val="20"/>
              </w:rPr>
              <w:lastRenderedPageBreak/>
              <w:t>Bangladesh</w:t>
            </w:r>
          </w:p>
        </w:tc>
        <w:tc>
          <w:tcPr>
            <w:tcW w:w="2337" w:type="dxa"/>
          </w:tcPr>
          <w:p w:rsidR="00BD05ED" w:rsidRPr="00630B22" w:rsidRDefault="00BD05ED" w:rsidP="00725620">
            <w:pPr>
              <w:spacing w:after="120"/>
              <w:jc w:val="center"/>
              <w:rPr>
                <w:rFonts w:ascii="Times New Roman" w:hAnsi="Times New Roman" w:cs="Times New Roman"/>
                <w:b/>
                <w:sz w:val="20"/>
                <w:szCs w:val="20"/>
              </w:rPr>
            </w:pPr>
            <w:r w:rsidRPr="00630B22">
              <w:rPr>
                <w:b/>
                <w:sz w:val="20"/>
                <w:szCs w:val="20"/>
              </w:rPr>
              <w:t>1033</w:t>
            </w:r>
            <w:r w:rsidRPr="00630B22">
              <w:rPr>
                <w:rFonts w:ascii="Times New Roman" w:hAnsi="Times New Roman" w:cs="Times New Roman"/>
                <w:b/>
                <w:sz w:val="20"/>
                <w:szCs w:val="20"/>
              </w:rPr>
              <w:t xml:space="preserve"> </w:t>
            </w:r>
          </w:p>
          <w:p w:rsidR="001233E8" w:rsidRPr="00630B22" w:rsidRDefault="009D395A" w:rsidP="00725620">
            <w:pPr>
              <w:spacing w:after="120"/>
              <w:jc w:val="center"/>
              <w:rPr>
                <w:rFonts w:ascii="Times New Roman" w:hAnsi="Times New Roman" w:cs="Times New Roman"/>
                <w:b/>
                <w:sz w:val="20"/>
                <w:szCs w:val="20"/>
              </w:rPr>
            </w:pPr>
            <w:r w:rsidRPr="00630B22">
              <w:rPr>
                <w:rFonts w:ascii="Times New Roman" w:hAnsi="Times New Roman" w:cs="Times New Roman"/>
                <w:b/>
                <w:sz w:val="20"/>
                <w:szCs w:val="20"/>
              </w:rPr>
              <w:t>(70.03</w:t>
            </w:r>
            <w:r w:rsidR="001233E8" w:rsidRPr="00630B22">
              <w:rPr>
                <w:rFonts w:ascii="Times New Roman" w:hAnsi="Times New Roman" w:cs="Times New Roman"/>
                <w:b/>
                <w:sz w:val="20"/>
                <w:szCs w:val="20"/>
              </w:rPr>
              <w:t>)</w:t>
            </w:r>
          </w:p>
        </w:tc>
        <w:tc>
          <w:tcPr>
            <w:tcW w:w="2338" w:type="dxa"/>
          </w:tcPr>
          <w:p w:rsidR="00EE4E7B" w:rsidRPr="00630B22" w:rsidRDefault="00EE4E7B" w:rsidP="00534F9B">
            <w:pPr>
              <w:spacing w:after="120"/>
              <w:jc w:val="center"/>
              <w:rPr>
                <w:rFonts w:ascii="Times New Roman" w:hAnsi="Times New Roman" w:cs="Times New Roman"/>
                <w:b/>
                <w:sz w:val="20"/>
                <w:szCs w:val="20"/>
              </w:rPr>
            </w:pPr>
            <w:r w:rsidRPr="00630B22">
              <w:rPr>
                <w:b/>
                <w:sz w:val="20"/>
                <w:szCs w:val="20"/>
              </w:rPr>
              <w:t>442</w:t>
            </w:r>
            <w:r w:rsidRPr="00630B22">
              <w:rPr>
                <w:rFonts w:ascii="Times New Roman" w:hAnsi="Times New Roman" w:cs="Times New Roman"/>
                <w:b/>
                <w:sz w:val="20"/>
                <w:szCs w:val="20"/>
              </w:rPr>
              <w:t xml:space="preserve"> </w:t>
            </w:r>
          </w:p>
          <w:p w:rsidR="001233E8" w:rsidRPr="00630B22" w:rsidRDefault="009D395A" w:rsidP="00534F9B">
            <w:pPr>
              <w:spacing w:after="120"/>
              <w:jc w:val="center"/>
              <w:rPr>
                <w:rFonts w:ascii="Times New Roman" w:hAnsi="Times New Roman" w:cs="Times New Roman"/>
                <w:b/>
                <w:sz w:val="20"/>
                <w:szCs w:val="20"/>
              </w:rPr>
            </w:pPr>
            <w:r w:rsidRPr="00630B22">
              <w:rPr>
                <w:rFonts w:ascii="Times New Roman" w:hAnsi="Times New Roman" w:cs="Times New Roman"/>
                <w:b/>
                <w:sz w:val="20"/>
                <w:szCs w:val="20"/>
              </w:rPr>
              <w:t>(29.97</w:t>
            </w:r>
            <w:r w:rsidR="001233E8" w:rsidRPr="00630B22">
              <w:rPr>
                <w:rFonts w:ascii="Times New Roman" w:hAnsi="Times New Roman" w:cs="Times New Roman"/>
                <w:b/>
                <w:sz w:val="20"/>
                <w:szCs w:val="20"/>
              </w:rPr>
              <w:t>)</w:t>
            </w:r>
          </w:p>
        </w:tc>
        <w:tc>
          <w:tcPr>
            <w:tcW w:w="2338" w:type="dxa"/>
          </w:tcPr>
          <w:p w:rsidR="00725620" w:rsidRPr="00630B22" w:rsidRDefault="002A62B6" w:rsidP="00534F9B">
            <w:pPr>
              <w:spacing w:after="120"/>
              <w:jc w:val="center"/>
              <w:rPr>
                <w:rFonts w:ascii="Times New Roman" w:hAnsi="Times New Roman" w:cs="Times New Roman"/>
                <w:b/>
                <w:sz w:val="20"/>
                <w:szCs w:val="20"/>
              </w:rPr>
            </w:pPr>
            <w:r w:rsidRPr="00630B22">
              <w:rPr>
                <w:rFonts w:ascii="Times New Roman" w:hAnsi="Times New Roman" w:cs="Times New Roman"/>
                <w:b/>
                <w:sz w:val="20"/>
                <w:szCs w:val="20"/>
              </w:rPr>
              <w:t>1475</w:t>
            </w:r>
          </w:p>
          <w:p w:rsidR="001233E8" w:rsidRPr="00630B22" w:rsidRDefault="001233E8" w:rsidP="00534F9B">
            <w:pPr>
              <w:spacing w:after="120"/>
              <w:jc w:val="center"/>
              <w:rPr>
                <w:rFonts w:ascii="Times New Roman" w:hAnsi="Times New Roman" w:cs="Times New Roman"/>
                <w:b/>
                <w:sz w:val="20"/>
                <w:szCs w:val="20"/>
              </w:rPr>
            </w:pPr>
            <w:r w:rsidRPr="00630B22">
              <w:rPr>
                <w:rFonts w:ascii="Times New Roman" w:hAnsi="Times New Roman" w:cs="Times New Roman"/>
                <w:b/>
                <w:sz w:val="20"/>
                <w:szCs w:val="20"/>
              </w:rPr>
              <w:t>(100.00)</w:t>
            </w:r>
          </w:p>
        </w:tc>
      </w:tr>
      <w:tr w:rsidR="00725620" w:rsidRPr="00630B22" w:rsidTr="00725620">
        <w:tc>
          <w:tcPr>
            <w:tcW w:w="2337" w:type="dxa"/>
          </w:tcPr>
          <w:p w:rsidR="00725620" w:rsidRPr="00630B22" w:rsidRDefault="00725620" w:rsidP="00725620">
            <w:pPr>
              <w:spacing w:after="120"/>
              <w:jc w:val="center"/>
              <w:rPr>
                <w:rFonts w:ascii="Times New Roman" w:hAnsi="Times New Roman" w:cs="Times New Roman"/>
                <w:b/>
                <w:sz w:val="20"/>
                <w:szCs w:val="20"/>
              </w:rPr>
            </w:pPr>
            <w:r w:rsidRPr="00630B22">
              <w:rPr>
                <w:rFonts w:ascii="Times New Roman" w:hAnsi="Times New Roman" w:cs="Times New Roman"/>
                <w:b/>
                <w:sz w:val="20"/>
                <w:szCs w:val="20"/>
              </w:rPr>
              <w:t>World</w:t>
            </w:r>
          </w:p>
        </w:tc>
        <w:tc>
          <w:tcPr>
            <w:tcW w:w="2337" w:type="dxa"/>
          </w:tcPr>
          <w:p w:rsidR="001B3699" w:rsidRPr="00630B22" w:rsidRDefault="001B3699" w:rsidP="00725620">
            <w:pPr>
              <w:spacing w:after="120"/>
              <w:jc w:val="center"/>
              <w:rPr>
                <w:rFonts w:ascii="Times New Roman" w:hAnsi="Times New Roman" w:cs="Times New Roman"/>
                <w:b/>
                <w:sz w:val="20"/>
                <w:szCs w:val="20"/>
              </w:rPr>
            </w:pPr>
            <w:r w:rsidRPr="00630B22">
              <w:rPr>
                <w:b/>
                <w:sz w:val="20"/>
                <w:szCs w:val="20"/>
              </w:rPr>
              <w:t>2916267</w:t>
            </w:r>
            <w:r w:rsidRPr="00630B22">
              <w:rPr>
                <w:rFonts w:ascii="Times New Roman" w:hAnsi="Times New Roman" w:cs="Times New Roman"/>
                <w:b/>
                <w:sz w:val="20"/>
                <w:szCs w:val="20"/>
              </w:rPr>
              <w:t xml:space="preserve"> </w:t>
            </w:r>
          </w:p>
          <w:p w:rsidR="001233E8" w:rsidRPr="00630B22" w:rsidRDefault="00445E35" w:rsidP="00725620">
            <w:pPr>
              <w:spacing w:after="120"/>
              <w:jc w:val="center"/>
              <w:rPr>
                <w:rFonts w:ascii="Times New Roman" w:hAnsi="Times New Roman" w:cs="Times New Roman"/>
                <w:b/>
                <w:sz w:val="20"/>
                <w:szCs w:val="20"/>
              </w:rPr>
            </w:pPr>
            <w:r w:rsidRPr="00630B22">
              <w:rPr>
                <w:rFonts w:ascii="Times New Roman" w:hAnsi="Times New Roman" w:cs="Times New Roman"/>
                <w:b/>
                <w:sz w:val="20"/>
                <w:szCs w:val="20"/>
              </w:rPr>
              <w:t>(46.34</w:t>
            </w:r>
            <w:r w:rsidR="001233E8" w:rsidRPr="00630B22">
              <w:rPr>
                <w:rFonts w:ascii="Times New Roman" w:hAnsi="Times New Roman" w:cs="Times New Roman"/>
                <w:b/>
                <w:sz w:val="20"/>
                <w:szCs w:val="20"/>
              </w:rPr>
              <w:t>)</w:t>
            </w:r>
          </w:p>
        </w:tc>
        <w:tc>
          <w:tcPr>
            <w:tcW w:w="2338" w:type="dxa"/>
          </w:tcPr>
          <w:p w:rsidR="00EE4E7B" w:rsidRPr="00630B22" w:rsidRDefault="00EE4E7B" w:rsidP="00534F9B">
            <w:pPr>
              <w:spacing w:after="120"/>
              <w:jc w:val="center"/>
              <w:rPr>
                <w:rFonts w:ascii="Times New Roman" w:hAnsi="Times New Roman" w:cs="Times New Roman"/>
                <w:b/>
                <w:sz w:val="20"/>
                <w:szCs w:val="20"/>
              </w:rPr>
            </w:pPr>
            <w:r w:rsidRPr="00630B22">
              <w:rPr>
                <w:b/>
                <w:sz w:val="20"/>
                <w:szCs w:val="20"/>
              </w:rPr>
              <w:t>3376333</w:t>
            </w:r>
            <w:r w:rsidRPr="00630B22">
              <w:rPr>
                <w:rFonts w:ascii="Times New Roman" w:hAnsi="Times New Roman" w:cs="Times New Roman"/>
                <w:b/>
                <w:sz w:val="20"/>
                <w:szCs w:val="20"/>
              </w:rPr>
              <w:t xml:space="preserve"> </w:t>
            </w:r>
          </w:p>
          <w:p w:rsidR="001233E8" w:rsidRPr="00630B22" w:rsidRDefault="00445E35" w:rsidP="00534F9B">
            <w:pPr>
              <w:spacing w:after="120"/>
              <w:jc w:val="center"/>
              <w:rPr>
                <w:rFonts w:ascii="Times New Roman" w:hAnsi="Times New Roman" w:cs="Times New Roman"/>
                <w:b/>
                <w:sz w:val="20"/>
                <w:szCs w:val="20"/>
              </w:rPr>
            </w:pPr>
            <w:r w:rsidRPr="00630B22">
              <w:rPr>
                <w:rFonts w:ascii="Times New Roman" w:hAnsi="Times New Roman" w:cs="Times New Roman"/>
                <w:b/>
                <w:sz w:val="20"/>
                <w:szCs w:val="20"/>
              </w:rPr>
              <w:t>(53.66</w:t>
            </w:r>
            <w:r w:rsidR="001233E8" w:rsidRPr="00630B22">
              <w:rPr>
                <w:rFonts w:ascii="Times New Roman" w:hAnsi="Times New Roman" w:cs="Times New Roman"/>
                <w:b/>
                <w:sz w:val="20"/>
                <w:szCs w:val="20"/>
              </w:rPr>
              <w:t>)</w:t>
            </w:r>
          </w:p>
        </w:tc>
        <w:tc>
          <w:tcPr>
            <w:tcW w:w="2338" w:type="dxa"/>
          </w:tcPr>
          <w:p w:rsidR="00725620" w:rsidRPr="00630B22" w:rsidRDefault="00077A0B" w:rsidP="00077A0B">
            <w:pPr>
              <w:spacing w:after="120"/>
              <w:rPr>
                <w:rFonts w:ascii="Times New Roman" w:hAnsi="Times New Roman" w:cs="Times New Roman"/>
                <w:b/>
                <w:sz w:val="20"/>
                <w:szCs w:val="20"/>
              </w:rPr>
            </w:pPr>
            <w:r w:rsidRPr="00630B22">
              <w:rPr>
                <w:rFonts w:ascii="Times New Roman" w:hAnsi="Times New Roman" w:cs="Times New Roman"/>
                <w:b/>
                <w:sz w:val="20"/>
                <w:szCs w:val="20"/>
              </w:rPr>
              <w:t xml:space="preserve">             6292600</w:t>
            </w:r>
          </w:p>
          <w:p w:rsidR="001233E8" w:rsidRPr="00630B22" w:rsidRDefault="001233E8" w:rsidP="00534F9B">
            <w:pPr>
              <w:spacing w:after="120"/>
              <w:jc w:val="center"/>
              <w:rPr>
                <w:rFonts w:ascii="Times New Roman" w:hAnsi="Times New Roman" w:cs="Times New Roman"/>
                <w:b/>
                <w:sz w:val="20"/>
                <w:szCs w:val="20"/>
              </w:rPr>
            </w:pPr>
            <w:r w:rsidRPr="00630B22">
              <w:rPr>
                <w:rFonts w:ascii="Times New Roman" w:hAnsi="Times New Roman" w:cs="Times New Roman"/>
                <w:b/>
                <w:sz w:val="20"/>
                <w:szCs w:val="20"/>
              </w:rPr>
              <w:t>(100.00)</w:t>
            </w:r>
          </w:p>
        </w:tc>
      </w:tr>
    </w:tbl>
    <w:p w:rsidR="004002AC" w:rsidRPr="00630B22" w:rsidRDefault="003D1810" w:rsidP="00D5427C">
      <w:pPr>
        <w:spacing w:after="120"/>
        <w:rPr>
          <w:rFonts w:ascii="Times New Roman" w:hAnsi="Times New Roman" w:cs="Times New Roman"/>
          <w:b/>
          <w:sz w:val="20"/>
          <w:szCs w:val="20"/>
        </w:rPr>
      </w:pPr>
      <w:r w:rsidRPr="00630B22">
        <w:rPr>
          <w:rFonts w:ascii="Times New Roman" w:hAnsi="Times New Roman" w:cs="Times New Roman"/>
          <w:b/>
          <w:sz w:val="20"/>
          <w:szCs w:val="20"/>
        </w:rPr>
        <w:t xml:space="preserve">Source: Sigma </w:t>
      </w:r>
      <w:r w:rsidR="004002AC" w:rsidRPr="00630B22">
        <w:rPr>
          <w:rFonts w:ascii="Times New Roman" w:hAnsi="Times New Roman" w:cs="Times New Roman"/>
          <w:b/>
          <w:sz w:val="20"/>
          <w:szCs w:val="20"/>
        </w:rPr>
        <w:t>4</w:t>
      </w:r>
      <w:r w:rsidRPr="00630B22">
        <w:rPr>
          <w:rFonts w:ascii="Times New Roman" w:hAnsi="Times New Roman" w:cs="Times New Roman"/>
          <w:b/>
          <w:sz w:val="20"/>
          <w:szCs w:val="20"/>
        </w:rPr>
        <w:t>/</w:t>
      </w:r>
      <w:r w:rsidR="004002AC" w:rsidRPr="00630B22">
        <w:rPr>
          <w:rFonts w:ascii="Times New Roman" w:hAnsi="Times New Roman" w:cs="Times New Roman"/>
          <w:b/>
          <w:sz w:val="20"/>
          <w:szCs w:val="20"/>
        </w:rPr>
        <w:t xml:space="preserve"> 2020, Swiss Re Institution </w:t>
      </w:r>
    </w:p>
    <w:p w:rsidR="00570BED" w:rsidRPr="00630B22" w:rsidRDefault="00570BED" w:rsidP="00570BED">
      <w:pPr>
        <w:spacing w:line="360" w:lineRule="auto"/>
        <w:jc w:val="both"/>
        <w:rPr>
          <w:rFonts w:ascii="Times New Roman" w:hAnsi="Times New Roman" w:cs="Times New Roman"/>
          <w:sz w:val="16"/>
          <w:szCs w:val="16"/>
        </w:rPr>
      </w:pPr>
      <w:r w:rsidRPr="00630B22">
        <w:rPr>
          <w:rFonts w:ascii="Times New Roman" w:hAnsi="Times New Roman" w:cs="Times New Roman"/>
          <w:b/>
          <w:sz w:val="16"/>
          <w:szCs w:val="16"/>
        </w:rPr>
        <w:t>Note:</w:t>
      </w:r>
      <w:r w:rsidRPr="00630B22">
        <w:rPr>
          <w:rFonts w:ascii="Times New Roman" w:hAnsi="Times New Roman" w:cs="Times New Roman"/>
          <w:sz w:val="16"/>
          <w:szCs w:val="16"/>
        </w:rPr>
        <w:t xml:space="preserve"> The </w:t>
      </w:r>
      <w:r w:rsidR="00630B22" w:rsidRPr="00630B22">
        <w:rPr>
          <w:rFonts w:ascii="Times New Roman" w:hAnsi="Times New Roman" w:cs="Times New Roman"/>
          <w:sz w:val="16"/>
          <w:szCs w:val="16"/>
        </w:rPr>
        <w:t>figures given within bracket indicate</w:t>
      </w:r>
      <w:r w:rsidR="00F66EEE" w:rsidRPr="00630B22">
        <w:rPr>
          <w:rFonts w:ascii="Times New Roman" w:hAnsi="Times New Roman" w:cs="Times New Roman"/>
          <w:sz w:val="16"/>
          <w:szCs w:val="16"/>
        </w:rPr>
        <w:t xml:space="preserve"> percentage of market share.</w:t>
      </w:r>
    </w:p>
    <w:p w:rsidR="00392765" w:rsidRPr="00630B22" w:rsidRDefault="00684A8A" w:rsidP="00630B22">
      <w:pPr>
        <w:spacing w:after="12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630B22">
        <w:rPr>
          <w:rFonts w:ascii="Times New Roman" w:hAnsi="Times New Roman" w:cs="Times New Roman"/>
          <w:sz w:val="20"/>
          <w:szCs w:val="20"/>
        </w:rPr>
        <w:t>I</w:t>
      </w:r>
      <w:r w:rsidR="005B4BB5" w:rsidRPr="00630B22">
        <w:rPr>
          <w:rFonts w:ascii="Times New Roman" w:hAnsi="Times New Roman" w:cs="Times New Roman"/>
          <w:sz w:val="20"/>
          <w:szCs w:val="20"/>
        </w:rPr>
        <w:t>t is seen</w:t>
      </w:r>
      <w:r w:rsidRPr="00630B22">
        <w:rPr>
          <w:rFonts w:ascii="Times New Roman" w:hAnsi="Times New Roman" w:cs="Times New Roman"/>
          <w:sz w:val="20"/>
          <w:szCs w:val="20"/>
        </w:rPr>
        <w:t xml:space="preserve"> from table 02</w:t>
      </w:r>
      <w:r w:rsidR="005B4BB5" w:rsidRPr="00630B22">
        <w:rPr>
          <w:rFonts w:ascii="Times New Roman" w:hAnsi="Times New Roman" w:cs="Times New Roman"/>
          <w:sz w:val="20"/>
          <w:szCs w:val="20"/>
        </w:rPr>
        <w:t xml:space="preserve"> that market share of life insurance of advanced market was 27.49 percent and </w:t>
      </w:r>
      <w:r w:rsidR="005B4BB5" w:rsidRPr="00630B22">
        <w:rPr>
          <w:rFonts w:ascii="Times New Roman" w:hAnsi="Times New Roman" w:cs="Times New Roman"/>
          <w:b/>
          <w:sz w:val="20"/>
          <w:szCs w:val="20"/>
        </w:rPr>
        <w:t>72.51</w:t>
      </w:r>
      <w:r w:rsidR="005B4BB5" w:rsidRPr="00630B22">
        <w:rPr>
          <w:rFonts w:ascii="Times New Roman" w:hAnsi="Times New Roman" w:cs="Times New Roman"/>
          <w:sz w:val="20"/>
          <w:szCs w:val="20"/>
        </w:rPr>
        <w:t xml:space="preserve"> percent against nonlife insurance sector</w:t>
      </w:r>
      <w:r w:rsidR="00B17782" w:rsidRPr="00630B22">
        <w:rPr>
          <w:rFonts w:ascii="Times New Roman" w:hAnsi="Times New Roman" w:cs="Times New Roman"/>
          <w:sz w:val="20"/>
          <w:szCs w:val="20"/>
        </w:rPr>
        <w:t xml:space="preserve"> in 2019</w:t>
      </w:r>
      <w:r w:rsidR="005B4BB5" w:rsidRPr="00630B22">
        <w:rPr>
          <w:rFonts w:ascii="Times New Roman" w:hAnsi="Times New Roman" w:cs="Times New Roman"/>
          <w:sz w:val="20"/>
          <w:szCs w:val="20"/>
        </w:rPr>
        <w:t xml:space="preserve">. In case of </w:t>
      </w:r>
      <w:r w:rsidR="00BA35B6" w:rsidRPr="00630B22">
        <w:rPr>
          <w:rFonts w:ascii="Times New Roman" w:hAnsi="Times New Roman" w:cs="Times New Roman"/>
          <w:sz w:val="20"/>
          <w:szCs w:val="20"/>
        </w:rPr>
        <w:t>emerging market</w:t>
      </w:r>
      <w:r w:rsidR="005B4BB5" w:rsidRPr="00630B22">
        <w:rPr>
          <w:rFonts w:ascii="Times New Roman" w:hAnsi="Times New Roman" w:cs="Times New Roman"/>
          <w:sz w:val="20"/>
          <w:szCs w:val="20"/>
        </w:rPr>
        <w:t>,</w:t>
      </w:r>
      <w:r w:rsidR="00BA35B6" w:rsidRPr="00630B22">
        <w:rPr>
          <w:rFonts w:ascii="Times New Roman" w:hAnsi="Times New Roman" w:cs="Times New Roman"/>
          <w:sz w:val="20"/>
          <w:szCs w:val="20"/>
        </w:rPr>
        <w:t xml:space="preserve"> </w:t>
      </w:r>
      <w:r w:rsidR="005B4BB5" w:rsidRPr="00630B22">
        <w:rPr>
          <w:rFonts w:ascii="Times New Roman" w:hAnsi="Times New Roman" w:cs="Times New Roman"/>
          <w:sz w:val="20"/>
          <w:szCs w:val="20"/>
        </w:rPr>
        <w:t>market share of life insurance was 38.42 percent and stands for nonlife 61.57 percent. In case of Asian market,</w:t>
      </w:r>
      <w:r w:rsidR="00BA35B6" w:rsidRPr="00630B22">
        <w:rPr>
          <w:rFonts w:ascii="Times New Roman" w:hAnsi="Times New Roman" w:cs="Times New Roman"/>
          <w:sz w:val="20"/>
          <w:szCs w:val="20"/>
        </w:rPr>
        <w:t xml:space="preserve"> </w:t>
      </w:r>
      <w:r w:rsidR="005B4BB5" w:rsidRPr="00630B22">
        <w:rPr>
          <w:rFonts w:ascii="Times New Roman" w:hAnsi="Times New Roman" w:cs="Times New Roman"/>
          <w:sz w:val="20"/>
          <w:szCs w:val="20"/>
        </w:rPr>
        <w:t xml:space="preserve">market share of life insurance was </w:t>
      </w:r>
      <w:r w:rsidR="00BA35B6" w:rsidRPr="00630B22">
        <w:rPr>
          <w:rFonts w:ascii="Times New Roman" w:hAnsi="Times New Roman" w:cs="Times New Roman"/>
          <w:sz w:val="20"/>
          <w:szCs w:val="20"/>
        </w:rPr>
        <w:t xml:space="preserve">63.84 percent and 36.16 percent against </w:t>
      </w:r>
      <w:r w:rsidR="00B442A6" w:rsidRPr="00630B22">
        <w:rPr>
          <w:rFonts w:ascii="Times New Roman" w:hAnsi="Times New Roman" w:cs="Times New Roman"/>
          <w:sz w:val="20"/>
          <w:szCs w:val="20"/>
        </w:rPr>
        <w:t xml:space="preserve">nonlife. </w:t>
      </w:r>
      <w:r w:rsidR="00BA35B6" w:rsidRPr="00630B22">
        <w:rPr>
          <w:rFonts w:ascii="Times New Roman" w:hAnsi="Times New Roman" w:cs="Times New Roman"/>
          <w:sz w:val="20"/>
          <w:szCs w:val="20"/>
        </w:rPr>
        <w:t xml:space="preserve">It </w:t>
      </w:r>
      <w:r w:rsidR="00B442A6" w:rsidRPr="00630B22">
        <w:rPr>
          <w:rFonts w:ascii="Times New Roman" w:hAnsi="Times New Roman" w:cs="Times New Roman"/>
          <w:sz w:val="20"/>
          <w:szCs w:val="20"/>
        </w:rPr>
        <w:t xml:space="preserve">is evident from the above </w:t>
      </w:r>
      <w:proofErr w:type="gramStart"/>
      <w:r w:rsidR="00B442A6" w:rsidRPr="00630B22">
        <w:rPr>
          <w:rFonts w:ascii="Times New Roman" w:hAnsi="Times New Roman" w:cs="Times New Roman"/>
          <w:sz w:val="20"/>
          <w:szCs w:val="20"/>
        </w:rPr>
        <w:t>table</w:t>
      </w:r>
      <w:r w:rsidR="00BA35B6" w:rsidRPr="00630B22">
        <w:rPr>
          <w:rFonts w:ascii="Times New Roman" w:hAnsi="Times New Roman" w:cs="Times New Roman"/>
          <w:sz w:val="20"/>
          <w:szCs w:val="20"/>
        </w:rPr>
        <w:t>,</w:t>
      </w:r>
      <w:proofErr w:type="gramEnd"/>
      <w:r w:rsidR="00BA35B6" w:rsidRPr="00630B22">
        <w:rPr>
          <w:rFonts w:ascii="Times New Roman" w:hAnsi="Times New Roman" w:cs="Times New Roman"/>
          <w:sz w:val="20"/>
          <w:szCs w:val="20"/>
        </w:rPr>
        <w:t xml:space="preserve"> India occupied 74.94 percent market share against life insurance and 25.06 percent against nonlife insurance.</w:t>
      </w:r>
      <w:r w:rsidR="00B442A6" w:rsidRPr="00630B22">
        <w:rPr>
          <w:rFonts w:ascii="Times New Roman" w:hAnsi="Times New Roman" w:cs="Times New Roman"/>
          <w:sz w:val="20"/>
          <w:szCs w:val="20"/>
        </w:rPr>
        <w:t xml:space="preserve"> </w:t>
      </w:r>
      <w:r w:rsidR="00BA35B6" w:rsidRPr="00630B22">
        <w:rPr>
          <w:rFonts w:ascii="Times New Roman" w:hAnsi="Times New Roman" w:cs="Times New Roman"/>
          <w:sz w:val="20"/>
          <w:szCs w:val="20"/>
        </w:rPr>
        <w:t>Bangladesh captured 70.03 percent market share against life insurance and 29.97 percent against nonlife insurance</w:t>
      </w:r>
      <w:r w:rsidR="00B17782" w:rsidRPr="00630B22">
        <w:rPr>
          <w:rFonts w:ascii="Times New Roman" w:hAnsi="Times New Roman" w:cs="Times New Roman"/>
          <w:sz w:val="20"/>
          <w:szCs w:val="20"/>
        </w:rPr>
        <w:t xml:space="preserve"> in 2019</w:t>
      </w:r>
      <w:r w:rsidR="00BA35B6" w:rsidRPr="00630B22">
        <w:rPr>
          <w:rFonts w:ascii="Times New Roman" w:hAnsi="Times New Roman" w:cs="Times New Roman"/>
          <w:sz w:val="20"/>
          <w:szCs w:val="20"/>
        </w:rPr>
        <w:t>. It is observed from above analysis, Advance m</w:t>
      </w:r>
      <w:r w:rsidR="00B442A6" w:rsidRPr="00630B22">
        <w:rPr>
          <w:rFonts w:ascii="Times New Roman" w:hAnsi="Times New Roman" w:cs="Times New Roman"/>
          <w:sz w:val="20"/>
          <w:szCs w:val="20"/>
        </w:rPr>
        <w:t>arket and emerging market have capture higher market share against nonlife insurance and lower market share against life insurance segment</w:t>
      </w:r>
      <w:r w:rsidR="00B17782" w:rsidRPr="00630B22">
        <w:rPr>
          <w:rFonts w:ascii="Times New Roman" w:hAnsi="Times New Roman" w:cs="Times New Roman"/>
          <w:sz w:val="20"/>
          <w:szCs w:val="20"/>
        </w:rPr>
        <w:t xml:space="preserve"> in 2019</w:t>
      </w:r>
      <w:r w:rsidR="00B442A6" w:rsidRPr="00630B22">
        <w:rPr>
          <w:rFonts w:ascii="Times New Roman" w:hAnsi="Times New Roman" w:cs="Times New Roman"/>
          <w:sz w:val="20"/>
          <w:szCs w:val="20"/>
        </w:rPr>
        <w:t>. But, it is exceptional for Asian region including India and Bangladesh.</w:t>
      </w:r>
      <w:r w:rsidR="00BA35B6" w:rsidRPr="00630B22">
        <w:rPr>
          <w:rFonts w:ascii="Times New Roman" w:hAnsi="Times New Roman" w:cs="Times New Roman"/>
          <w:sz w:val="20"/>
          <w:szCs w:val="20"/>
        </w:rPr>
        <w:t xml:space="preserve"> </w:t>
      </w:r>
      <w:r w:rsidR="00B442A6" w:rsidRPr="00630B22">
        <w:rPr>
          <w:rFonts w:ascii="Times New Roman" w:hAnsi="Times New Roman" w:cs="Times New Roman"/>
          <w:sz w:val="20"/>
          <w:szCs w:val="20"/>
        </w:rPr>
        <w:t>Asian region captured higher market share against life insurance and lower market share against nonlife insurance including India even then Bangladesh.</w:t>
      </w:r>
      <w:r w:rsidR="00956C13" w:rsidRPr="00630B22">
        <w:rPr>
          <w:rFonts w:ascii="Times New Roman" w:hAnsi="Times New Roman" w:cs="Times New Roman"/>
          <w:sz w:val="20"/>
          <w:szCs w:val="20"/>
        </w:rPr>
        <w:t xml:space="preserve"> Overall world insurance market, market share of nonlife insurance is higher than life insurance.</w:t>
      </w:r>
      <w:r w:rsidR="00054F07" w:rsidRPr="00630B22">
        <w:rPr>
          <w:rFonts w:ascii="Times New Roman" w:hAnsi="Times New Roman" w:cs="Times New Roman"/>
          <w:sz w:val="20"/>
          <w:szCs w:val="20"/>
        </w:rPr>
        <w:t xml:space="preserve"> Market share of life and nonlife</w:t>
      </w:r>
      <w:r w:rsidR="00B17782" w:rsidRPr="00630B22">
        <w:rPr>
          <w:rFonts w:ascii="Times New Roman" w:hAnsi="Times New Roman" w:cs="Times New Roman"/>
          <w:sz w:val="20"/>
          <w:szCs w:val="20"/>
        </w:rPr>
        <w:t xml:space="preserve"> is </w:t>
      </w:r>
      <w:r w:rsidR="00054F07" w:rsidRPr="00630B22">
        <w:rPr>
          <w:rFonts w:ascii="Times New Roman" w:hAnsi="Times New Roman" w:cs="Times New Roman"/>
          <w:sz w:val="20"/>
          <w:szCs w:val="20"/>
        </w:rPr>
        <w:t>consisted to Bangladesh, India and world has been shown in the following pie diagram.</w:t>
      </w:r>
    </w:p>
    <w:p w:rsidR="009759A8" w:rsidRPr="00630B22" w:rsidRDefault="00630B22" w:rsidP="00630B22">
      <w:pPr>
        <w:spacing w:after="120"/>
        <w:jc w:val="center"/>
        <w:rPr>
          <w:rFonts w:ascii="Times New Roman" w:hAnsi="Times New Roman" w:cs="Times New Roman"/>
          <w:b/>
          <w:sz w:val="20"/>
          <w:szCs w:val="20"/>
        </w:rPr>
      </w:pPr>
      <w:r w:rsidRPr="00630B22">
        <w:rPr>
          <w:rFonts w:ascii="Times New Roman" w:hAnsi="Times New Roman" w:cs="Times New Roman"/>
          <w:b/>
          <w:sz w:val="20"/>
          <w:szCs w:val="20"/>
        </w:rPr>
        <w:t xml:space="preserve">Chart </w:t>
      </w:r>
      <w:r w:rsidR="00570BED" w:rsidRPr="00630B22">
        <w:rPr>
          <w:rFonts w:ascii="Times New Roman" w:hAnsi="Times New Roman" w:cs="Times New Roman"/>
          <w:b/>
          <w:sz w:val="20"/>
          <w:szCs w:val="20"/>
        </w:rPr>
        <w:t>2</w:t>
      </w:r>
      <w:proofErr w:type="gramStart"/>
      <w:r w:rsidRPr="00630B22">
        <w:rPr>
          <w:rFonts w:ascii="Times New Roman" w:hAnsi="Times New Roman" w:cs="Times New Roman"/>
          <w:b/>
          <w:sz w:val="20"/>
          <w:szCs w:val="20"/>
        </w:rPr>
        <w:t>:</w:t>
      </w:r>
      <w:r w:rsidR="004F59B3" w:rsidRPr="00630B22">
        <w:rPr>
          <w:rFonts w:ascii="Times New Roman" w:hAnsi="Times New Roman" w:cs="Times New Roman"/>
          <w:b/>
          <w:sz w:val="20"/>
          <w:szCs w:val="20"/>
        </w:rPr>
        <w:t>Market</w:t>
      </w:r>
      <w:proofErr w:type="gramEnd"/>
      <w:r w:rsidR="004F59B3" w:rsidRPr="00630B22">
        <w:rPr>
          <w:rFonts w:ascii="Times New Roman" w:hAnsi="Times New Roman" w:cs="Times New Roman"/>
          <w:b/>
          <w:sz w:val="20"/>
          <w:szCs w:val="20"/>
        </w:rPr>
        <w:t xml:space="preserve"> Share </w:t>
      </w:r>
      <w:r w:rsidR="00CD155D" w:rsidRPr="00630B22">
        <w:rPr>
          <w:rFonts w:ascii="Times New Roman" w:hAnsi="Times New Roman" w:cs="Times New Roman"/>
          <w:b/>
          <w:sz w:val="20"/>
          <w:szCs w:val="20"/>
        </w:rPr>
        <w:t xml:space="preserve">of Life and Nonlife (Bangladesh, India </w:t>
      </w:r>
      <w:r w:rsidR="004F59B3" w:rsidRPr="00630B22">
        <w:rPr>
          <w:rFonts w:ascii="Times New Roman" w:hAnsi="Times New Roman" w:cs="Times New Roman"/>
          <w:b/>
          <w:sz w:val="20"/>
          <w:szCs w:val="20"/>
        </w:rPr>
        <w:t>and World)</w:t>
      </w:r>
    </w:p>
    <w:p w:rsidR="00370ACE" w:rsidRDefault="00C606B4" w:rsidP="00630B22">
      <w:pPr>
        <w:spacing w:after="120"/>
        <w:jc w:val="center"/>
        <w:rPr>
          <w:rFonts w:ascii="Times New Roman" w:hAnsi="Times New Roman" w:cs="Times New Roman"/>
          <w:sz w:val="24"/>
          <w:szCs w:val="24"/>
        </w:rPr>
      </w:pPr>
      <w:r>
        <w:rPr>
          <w:noProof/>
        </w:rPr>
        <w:drawing>
          <wp:inline distT="0" distB="0" distL="0" distR="0" wp14:anchorId="14F2AA9A" wp14:editId="3C87847A">
            <wp:extent cx="4381500" cy="17907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42F6" w:rsidRPr="00630B22" w:rsidRDefault="00CD155D" w:rsidP="00D5427C">
      <w:pPr>
        <w:spacing w:after="120"/>
        <w:rPr>
          <w:rFonts w:ascii="Times New Roman" w:hAnsi="Times New Roman" w:cs="Times New Roman"/>
          <w:b/>
          <w:sz w:val="20"/>
          <w:szCs w:val="20"/>
        </w:rPr>
      </w:pPr>
      <w:r>
        <w:rPr>
          <w:noProof/>
        </w:rPr>
        <w:drawing>
          <wp:anchor distT="0" distB="0" distL="114300" distR="114300" simplePos="0" relativeHeight="251658240" behindDoc="0" locked="0" layoutInCell="1" allowOverlap="1" wp14:anchorId="35F20E71" wp14:editId="2220E1E4">
            <wp:simplePos x="0" y="0"/>
            <wp:positionH relativeFrom="column">
              <wp:posOffset>2914015</wp:posOffset>
            </wp:positionH>
            <wp:positionV relativeFrom="paragraph">
              <wp:posOffset>189865</wp:posOffset>
            </wp:positionV>
            <wp:extent cx="2790825" cy="2114550"/>
            <wp:effectExtent l="0" t="0" r="9525" b="1905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4C42F6">
        <w:rPr>
          <w:noProof/>
        </w:rPr>
        <w:drawing>
          <wp:anchor distT="0" distB="0" distL="114300" distR="114300" simplePos="0" relativeHeight="251656192" behindDoc="0" locked="0" layoutInCell="1" allowOverlap="1" wp14:anchorId="62869D53" wp14:editId="614E6D84">
            <wp:simplePos x="0" y="0"/>
            <wp:positionH relativeFrom="column">
              <wp:posOffset>-635</wp:posOffset>
            </wp:positionH>
            <wp:positionV relativeFrom="paragraph">
              <wp:posOffset>186055</wp:posOffset>
            </wp:positionV>
            <wp:extent cx="2790825" cy="2114550"/>
            <wp:effectExtent l="0" t="0" r="9525" b="1905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4C42F6">
        <w:rPr>
          <w:rFonts w:ascii="Times New Roman" w:hAnsi="Times New Roman" w:cs="Times New Roman"/>
          <w:sz w:val="24"/>
          <w:szCs w:val="24"/>
        </w:rPr>
        <w:br w:type="textWrapping" w:clear="all"/>
      </w:r>
      <w:r w:rsidR="002C4D3B" w:rsidRPr="00630B22">
        <w:rPr>
          <w:rFonts w:ascii="Times New Roman" w:hAnsi="Times New Roman" w:cs="Times New Roman"/>
          <w:b/>
          <w:sz w:val="20"/>
          <w:szCs w:val="20"/>
        </w:rPr>
        <w:t xml:space="preserve">Source: </w:t>
      </w:r>
      <w:r w:rsidR="0055271F" w:rsidRPr="00630B22">
        <w:rPr>
          <w:rFonts w:ascii="Times New Roman" w:hAnsi="Times New Roman" w:cs="Times New Roman"/>
          <w:b/>
          <w:sz w:val="20"/>
          <w:szCs w:val="20"/>
        </w:rPr>
        <w:t xml:space="preserve">Swiss Re, </w:t>
      </w:r>
      <w:r w:rsidR="002C4D3B" w:rsidRPr="00630B22">
        <w:rPr>
          <w:rFonts w:ascii="Times New Roman" w:hAnsi="Times New Roman" w:cs="Times New Roman"/>
          <w:b/>
          <w:sz w:val="20"/>
          <w:szCs w:val="20"/>
        </w:rPr>
        <w:t>Sigma 4/2020</w:t>
      </w:r>
    </w:p>
    <w:p w:rsidR="00545441" w:rsidRDefault="00BF28E5" w:rsidP="00D5427C">
      <w:pPr>
        <w:spacing w:after="120"/>
        <w:rPr>
          <w:rFonts w:ascii="Times New Roman" w:hAnsi="Times New Roman" w:cs="Times New Roman"/>
          <w:sz w:val="24"/>
          <w:szCs w:val="24"/>
        </w:rPr>
      </w:pPr>
      <w:r>
        <w:rPr>
          <w:rFonts w:ascii="Times New Roman" w:hAnsi="Times New Roman" w:cs="Times New Roman"/>
          <w:sz w:val="24"/>
          <w:szCs w:val="24"/>
        </w:rPr>
        <w:t xml:space="preserve">   </w:t>
      </w:r>
      <w:r w:rsidR="001D11E4">
        <w:rPr>
          <w:rFonts w:ascii="Times New Roman" w:hAnsi="Times New Roman" w:cs="Times New Roman"/>
          <w:sz w:val="24"/>
          <w:szCs w:val="24"/>
        </w:rPr>
        <w:t xml:space="preserve">            </w:t>
      </w:r>
    </w:p>
    <w:p w:rsidR="00B17782" w:rsidRPr="005A23AE" w:rsidRDefault="00B06B5E" w:rsidP="00C44A09">
      <w:pPr>
        <w:pStyle w:val="ListParagraph"/>
        <w:numPr>
          <w:ilvl w:val="0"/>
          <w:numId w:val="29"/>
        </w:numPr>
        <w:spacing w:after="120" w:line="480" w:lineRule="auto"/>
        <w:jc w:val="both"/>
        <w:rPr>
          <w:rFonts w:ascii="Times New Roman" w:hAnsi="Times New Roman" w:cs="Times New Roman"/>
          <w:sz w:val="20"/>
          <w:szCs w:val="20"/>
        </w:rPr>
      </w:pPr>
      <w:r w:rsidRPr="00C44A09">
        <w:rPr>
          <w:rFonts w:ascii="Times New Roman" w:hAnsi="Times New Roman" w:cs="Times New Roman"/>
          <w:b/>
          <w:sz w:val="24"/>
          <w:szCs w:val="24"/>
        </w:rPr>
        <w:lastRenderedPageBreak/>
        <w:t xml:space="preserve"> </w:t>
      </w:r>
      <w:r w:rsidR="00B17782" w:rsidRPr="005A23AE">
        <w:rPr>
          <w:rFonts w:ascii="Times New Roman" w:hAnsi="Times New Roman" w:cs="Times New Roman"/>
          <w:b/>
          <w:sz w:val="20"/>
          <w:szCs w:val="20"/>
        </w:rPr>
        <w:t>Insurance Penetration and Density in Selected Countries including Bangladesh</w:t>
      </w:r>
    </w:p>
    <w:p w:rsidR="00DA311C" w:rsidRPr="005A23AE" w:rsidRDefault="00C44A09" w:rsidP="00C44A09">
      <w:pPr>
        <w:spacing w:after="120" w:line="240" w:lineRule="auto"/>
        <w:jc w:val="both"/>
        <w:rPr>
          <w:rFonts w:ascii="Times New Roman" w:hAnsi="Times New Roman" w:cs="Times New Roman"/>
          <w:b/>
          <w:sz w:val="20"/>
          <w:szCs w:val="20"/>
        </w:rPr>
      </w:pPr>
      <w:r>
        <w:rPr>
          <w:rFonts w:ascii="Times New Roman" w:hAnsi="Times New Roman" w:cs="Times New Roman"/>
        </w:rPr>
        <w:tab/>
      </w:r>
      <w:r w:rsidR="00545441" w:rsidRPr="005A23AE">
        <w:rPr>
          <w:rFonts w:ascii="Times New Roman" w:hAnsi="Times New Roman" w:cs="Times New Roman"/>
          <w:sz w:val="20"/>
          <w:szCs w:val="20"/>
        </w:rPr>
        <w:t xml:space="preserve">There are number of reasons for low penetration and density in Bangladesh. </w:t>
      </w:r>
      <w:r w:rsidR="00B07407" w:rsidRPr="005A23AE">
        <w:rPr>
          <w:rFonts w:ascii="Times New Roman" w:hAnsi="Times New Roman" w:cs="Times New Roman"/>
          <w:sz w:val="20"/>
          <w:szCs w:val="20"/>
        </w:rPr>
        <w:t>There is no any arrangement of v</w:t>
      </w:r>
      <w:r w:rsidR="00C57994" w:rsidRPr="005A23AE">
        <w:rPr>
          <w:rFonts w:ascii="Times New Roman" w:hAnsi="Times New Roman" w:cs="Times New Roman"/>
          <w:sz w:val="20"/>
          <w:szCs w:val="20"/>
        </w:rPr>
        <w:t>arious vital insurance products like; health insurance, banc assurance and agriculture insurance .Besides, only 17 million people are included to insurance coverage out of 160 million people.</w:t>
      </w:r>
      <w:r w:rsidR="00545441" w:rsidRPr="005A23AE">
        <w:rPr>
          <w:rFonts w:ascii="Times New Roman" w:hAnsi="Times New Roman" w:cs="Times New Roman"/>
          <w:b/>
          <w:color w:val="FF0000"/>
          <w:sz w:val="20"/>
          <w:szCs w:val="20"/>
        </w:rPr>
        <w:t xml:space="preserve"> </w:t>
      </w:r>
      <w:r w:rsidR="00545441" w:rsidRPr="005A23AE">
        <w:rPr>
          <w:rFonts w:ascii="Times New Roman" w:hAnsi="Times New Roman" w:cs="Times New Roman"/>
          <w:sz w:val="20"/>
          <w:szCs w:val="20"/>
        </w:rPr>
        <w:t>Moreover, unethical practice in commission payment, absence of product review and lack of innovative and digital products are liable to put Bangladesh behind the right track in the global insurance market</w:t>
      </w:r>
      <w:r w:rsidR="00710E10" w:rsidRPr="005A23AE">
        <w:rPr>
          <w:rFonts w:ascii="Times New Roman" w:hAnsi="Times New Roman" w:cs="Times New Roman"/>
          <w:sz w:val="20"/>
          <w:szCs w:val="20"/>
        </w:rPr>
        <w:t xml:space="preserve">. </w:t>
      </w:r>
      <w:r w:rsidR="00FE37A8" w:rsidRPr="005A23AE">
        <w:rPr>
          <w:rFonts w:ascii="Times New Roman" w:hAnsi="Times New Roman" w:cs="Times New Roman"/>
          <w:sz w:val="20"/>
          <w:szCs w:val="20"/>
        </w:rPr>
        <w:t>The insurance penetration and insurance density of selected country has been given in the</w:t>
      </w:r>
      <w:r w:rsidR="00B67088" w:rsidRPr="005A23AE">
        <w:rPr>
          <w:rFonts w:ascii="Times New Roman" w:hAnsi="Times New Roman" w:cs="Times New Roman"/>
          <w:sz w:val="20"/>
          <w:szCs w:val="20"/>
        </w:rPr>
        <w:t xml:space="preserve"> </w:t>
      </w:r>
      <w:r w:rsidR="00963BDC" w:rsidRPr="005A23AE">
        <w:rPr>
          <w:rFonts w:ascii="Times New Roman" w:hAnsi="Times New Roman" w:cs="Times New Roman"/>
          <w:sz w:val="20"/>
          <w:szCs w:val="20"/>
        </w:rPr>
        <w:t>Table</w:t>
      </w:r>
      <w:r w:rsidR="003949D7" w:rsidRPr="005A23AE">
        <w:rPr>
          <w:rFonts w:ascii="Times New Roman" w:hAnsi="Times New Roman" w:cs="Times New Roman"/>
          <w:sz w:val="20"/>
          <w:szCs w:val="20"/>
        </w:rPr>
        <w:t xml:space="preserve"> 03</w:t>
      </w:r>
      <w:r w:rsidR="00FE37A8" w:rsidRPr="005A23AE">
        <w:rPr>
          <w:rFonts w:ascii="Times New Roman" w:hAnsi="Times New Roman" w:cs="Times New Roman"/>
          <w:sz w:val="20"/>
          <w:szCs w:val="20"/>
        </w:rPr>
        <w:t>.</w:t>
      </w:r>
      <w:r w:rsidR="00FE37A8" w:rsidRPr="005A23AE">
        <w:rPr>
          <w:rFonts w:ascii="Times New Roman" w:hAnsi="Times New Roman" w:cs="Times New Roman"/>
          <w:b/>
          <w:sz w:val="20"/>
          <w:szCs w:val="20"/>
        </w:rPr>
        <w:t xml:space="preserve"> </w:t>
      </w:r>
    </w:p>
    <w:p w:rsidR="003949D7" w:rsidRPr="00C44A09" w:rsidRDefault="00C44A09" w:rsidP="00C44A09">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 xml:space="preserve">Table </w:t>
      </w:r>
      <w:r w:rsidR="003949D7" w:rsidRPr="00C44A09">
        <w:rPr>
          <w:rFonts w:ascii="Times New Roman" w:hAnsi="Times New Roman" w:cs="Times New Roman"/>
          <w:b/>
          <w:sz w:val="20"/>
          <w:szCs w:val="20"/>
        </w:rPr>
        <w:t>3</w:t>
      </w:r>
      <w:proofErr w:type="gramStart"/>
      <w:r w:rsidRPr="00C44A09">
        <w:rPr>
          <w:rFonts w:ascii="Times New Roman" w:hAnsi="Times New Roman" w:cs="Times New Roman"/>
          <w:b/>
          <w:sz w:val="20"/>
          <w:szCs w:val="20"/>
        </w:rPr>
        <w:t>:</w:t>
      </w:r>
      <w:r w:rsidR="003949D7" w:rsidRPr="00C44A09">
        <w:rPr>
          <w:rFonts w:ascii="Times New Roman" w:hAnsi="Times New Roman" w:cs="Times New Roman"/>
          <w:b/>
          <w:sz w:val="20"/>
          <w:szCs w:val="20"/>
        </w:rPr>
        <w:t>Insurance</w:t>
      </w:r>
      <w:proofErr w:type="gramEnd"/>
      <w:r w:rsidR="003949D7" w:rsidRPr="00C44A09">
        <w:rPr>
          <w:rFonts w:ascii="Times New Roman" w:hAnsi="Times New Roman" w:cs="Times New Roman"/>
          <w:b/>
          <w:sz w:val="20"/>
          <w:szCs w:val="20"/>
        </w:rPr>
        <w:t xml:space="preserve"> Penetration and Density in Selected Countries including Bangladesh in 2019</w:t>
      </w:r>
    </w:p>
    <w:tbl>
      <w:tblPr>
        <w:tblStyle w:val="TableGrid"/>
        <w:tblW w:w="0" w:type="auto"/>
        <w:tblInd w:w="648" w:type="dxa"/>
        <w:tblLook w:val="04A0" w:firstRow="1" w:lastRow="0" w:firstColumn="1" w:lastColumn="0" w:noHBand="0" w:noVBand="1"/>
      </w:tblPr>
      <w:tblGrid>
        <w:gridCol w:w="1150"/>
        <w:gridCol w:w="1279"/>
        <w:gridCol w:w="1279"/>
        <w:gridCol w:w="1255"/>
        <w:gridCol w:w="1451"/>
        <w:gridCol w:w="1255"/>
        <w:gridCol w:w="1259"/>
      </w:tblGrid>
      <w:tr w:rsidR="003949D7" w:rsidTr="008A1B1F">
        <w:trPr>
          <w:trHeight w:val="1000"/>
        </w:trPr>
        <w:tc>
          <w:tcPr>
            <w:tcW w:w="763" w:type="dxa"/>
          </w:tcPr>
          <w:p w:rsidR="003949D7" w:rsidRPr="00C44A09" w:rsidRDefault="003949D7" w:rsidP="008A1B1F">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Country</w:t>
            </w:r>
          </w:p>
        </w:tc>
        <w:tc>
          <w:tcPr>
            <w:tcW w:w="1327" w:type="dxa"/>
          </w:tcPr>
          <w:p w:rsidR="003949D7" w:rsidRPr="00C44A09" w:rsidRDefault="003949D7" w:rsidP="008A1B1F">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Premium</w:t>
            </w:r>
          </w:p>
          <w:p w:rsidR="003949D7" w:rsidRPr="00C44A09" w:rsidRDefault="003949D7" w:rsidP="008A1B1F">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Rank</w:t>
            </w:r>
          </w:p>
        </w:tc>
        <w:tc>
          <w:tcPr>
            <w:tcW w:w="1327" w:type="dxa"/>
          </w:tcPr>
          <w:p w:rsidR="003949D7" w:rsidRPr="00C44A09" w:rsidRDefault="003949D7" w:rsidP="008A1B1F">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Premium</w:t>
            </w:r>
          </w:p>
          <w:p w:rsidR="003949D7" w:rsidRPr="00C44A09" w:rsidRDefault="003949D7" w:rsidP="008A1B1F">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USD Million</w:t>
            </w:r>
          </w:p>
        </w:tc>
        <w:tc>
          <w:tcPr>
            <w:tcW w:w="1327" w:type="dxa"/>
          </w:tcPr>
          <w:p w:rsidR="003949D7" w:rsidRPr="00C44A09" w:rsidRDefault="003949D7" w:rsidP="008A1B1F">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Market Share (%)</w:t>
            </w:r>
          </w:p>
        </w:tc>
        <w:tc>
          <w:tcPr>
            <w:tcW w:w="1494" w:type="dxa"/>
          </w:tcPr>
          <w:p w:rsidR="003949D7" w:rsidRPr="00C44A09" w:rsidRDefault="003949D7" w:rsidP="008A1B1F">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Penetration</w:t>
            </w:r>
          </w:p>
          <w:p w:rsidR="003949D7" w:rsidRPr="00C44A09" w:rsidRDefault="003949D7" w:rsidP="008A1B1F">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w:t>
            </w:r>
          </w:p>
        </w:tc>
        <w:tc>
          <w:tcPr>
            <w:tcW w:w="1327" w:type="dxa"/>
          </w:tcPr>
          <w:p w:rsidR="003949D7" w:rsidRPr="00C44A09" w:rsidRDefault="003949D7" w:rsidP="008A1B1F">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Density</w:t>
            </w:r>
          </w:p>
          <w:p w:rsidR="003949D7" w:rsidRPr="00C44A09" w:rsidRDefault="003949D7" w:rsidP="008A1B1F">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(USD)</w:t>
            </w:r>
          </w:p>
        </w:tc>
        <w:tc>
          <w:tcPr>
            <w:tcW w:w="1327" w:type="dxa"/>
          </w:tcPr>
          <w:p w:rsidR="003949D7" w:rsidRPr="00C44A09" w:rsidRDefault="003949D7" w:rsidP="008A1B1F">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Growth</w:t>
            </w:r>
          </w:p>
          <w:p w:rsidR="003949D7" w:rsidRPr="00C44A09" w:rsidRDefault="003949D7" w:rsidP="008A1B1F">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w:t>
            </w:r>
          </w:p>
        </w:tc>
      </w:tr>
      <w:tr w:rsidR="003949D7" w:rsidTr="008A1B1F">
        <w:trPr>
          <w:trHeight w:val="394"/>
        </w:trPr>
        <w:tc>
          <w:tcPr>
            <w:tcW w:w="763" w:type="dxa"/>
          </w:tcPr>
          <w:p w:rsidR="003949D7" w:rsidRPr="00C44A09" w:rsidRDefault="003949D7" w:rsidP="008A1B1F">
            <w:pPr>
              <w:spacing w:after="120"/>
              <w:jc w:val="center"/>
              <w:rPr>
                <w:rFonts w:ascii="Times New Roman" w:hAnsi="Times New Roman" w:cs="Times New Roman"/>
                <w:sz w:val="20"/>
                <w:szCs w:val="20"/>
              </w:rPr>
            </w:pPr>
            <w:r w:rsidRPr="00C44A09">
              <w:rPr>
                <w:rFonts w:ascii="Times New Roman" w:hAnsi="Times New Roman" w:cs="Times New Roman"/>
                <w:sz w:val="20"/>
                <w:szCs w:val="20"/>
              </w:rPr>
              <w:t>USA</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rFonts w:ascii="Times New Roman" w:hAnsi="Times New Roman" w:cs="Times New Roman"/>
                <w:sz w:val="20"/>
                <w:szCs w:val="20"/>
              </w:rPr>
              <w:t>1</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2460123</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39.10</w:t>
            </w:r>
          </w:p>
        </w:tc>
        <w:tc>
          <w:tcPr>
            <w:tcW w:w="1494"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11.43</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7495</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4.1</w:t>
            </w:r>
          </w:p>
        </w:tc>
      </w:tr>
      <w:tr w:rsidR="003949D7" w:rsidTr="008A1B1F">
        <w:trPr>
          <w:trHeight w:val="378"/>
        </w:trPr>
        <w:tc>
          <w:tcPr>
            <w:tcW w:w="763" w:type="dxa"/>
          </w:tcPr>
          <w:p w:rsidR="003949D7" w:rsidRPr="00C44A09" w:rsidRDefault="003949D7" w:rsidP="008A1B1F">
            <w:pPr>
              <w:spacing w:after="120"/>
              <w:jc w:val="center"/>
              <w:rPr>
                <w:rFonts w:ascii="Times New Roman" w:hAnsi="Times New Roman" w:cs="Times New Roman"/>
                <w:sz w:val="20"/>
                <w:szCs w:val="20"/>
              </w:rPr>
            </w:pPr>
            <w:r w:rsidRPr="00C44A09">
              <w:rPr>
                <w:rFonts w:ascii="Times New Roman" w:hAnsi="Times New Roman" w:cs="Times New Roman"/>
                <w:sz w:val="20"/>
                <w:szCs w:val="20"/>
              </w:rPr>
              <w:t>India</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rFonts w:ascii="Times New Roman" w:hAnsi="Times New Roman" w:cs="Times New Roman"/>
                <w:sz w:val="20"/>
                <w:szCs w:val="20"/>
              </w:rPr>
              <w:t>11</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106307</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1.69</w:t>
            </w:r>
          </w:p>
        </w:tc>
        <w:tc>
          <w:tcPr>
            <w:tcW w:w="1494"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3.76</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78</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9.7</w:t>
            </w:r>
          </w:p>
        </w:tc>
      </w:tr>
      <w:tr w:rsidR="003949D7" w:rsidTr="008A1B1F">
        <w:trPr>
          <w:trHeight w:val="394"/>
        </w:trPr>
        <w:tc>
          <w:tcPr>
            <w:tcW w:w="763" w:type="dxa"/>
          </w:tcPr>
          <w:p w:rsidR="003949D7" w:rsidRPr="00C44A09" w:rsidRDefault="003949D7" w:rsidP="008A1B1F">
            <w:pPr>
              <w:spacing w:after="120"/>
              <w:jc w:val="center"/>
              <w:rPr>
                <w:rFonts w:ascii="Times New Roman" w:hAnsi="Times New Roman" w:cs="Times New Roman"/>
                <w:sz w:val="20"/>
                <w:szCs w:val="20"/>
              </w:rPr>
            </w:pPr>
            <w:r w:rsidRPr="00C44A09">
              <w:rPr>
                <w:rFonts w:ascii="Times New Roman" w:hAnsi="Times New Roman" w:cs="Times New Roman"/>
                <w:sz w:val="20"/>
                <w:szCs w:val="20"/>
              </w:rPr>
              <w:t>Malaysia</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rFonts w:ascii="Times New Roman" w:hAnsi="Times New Roman" w:cs="Times New Roman"/>
                <w:sz w:val="20"/>
                <w:szCs w:val="20"/>
              </w:rPr>
              <w:t>33</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17150</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0.27</w:t>
            </w:r>
          </w:p>
        </w:tc>
        <w:tc>
          <w:tcPr>
            <w:tcW w:w="1494"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4.72</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536</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2.0</w:t>
            </w:r>
          </w:p>
        </w:tc>
      </w:tr>
      <w:tr w:rsidR="003949D7" w:rsidTr="008A1B1F">
        <w:trPr>
          <w:trHeight w:val="378"/>
        </w:trPr>
        <w:tc>
          <w:tcPr>
            <w:tcW w:w="763" w:type="dxa"/>
          </w:tcPr>
          <w:p w:rsidR="003949D7" w:rsidRPr="00C44A09" w:rsidRDefault="003949D7" w:rsidP="008A1B1F">
            <w:pPr>
              <w:spacing w:after="120"/>
              <w:jc w:val="center"/>
              <w:rPr>
                <w:rFonts w:ascii="Times New Roman" w:hAnsi="Times New Roman" w:cs="Times New Roman"/>
                <w:sz w:val="20"/>
                <w:szCs w:val="20"/>
              </w:rPr>
            </w:pPr>
            <w:r w:rsidRPr="00C44A09">
              <w:rPr>
                <w:rFonts w:ascii="Times New Roman" w:hAnsi="Times New Roman" w:cs="Times New Roman"/>
                <w:sz w:val="20"/>
                <w:szCs w:val="20"/>
              </w:rPr>
              <w:t>Philippine</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rFonts w:ascii="Times New Roman" w:hAnsi="Times New Roman" w:cs="Times New Roman"/>
                <w:sz w:val="20"/>
                <w:szCs w:val="20"/>
              </w:rPr>
              <w:t>46</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6195</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0.10</w:t>
            </w:r>
          </w:p>
        </w:tc>
        <w:tc>
          <w:tcPr>
            <w:tcW w:w="1494"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1.72</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57</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8.2</w:t>
            </w:r>
          </w:p>
        </w:tc>
      </w:tr>
      <w:tr w:rsidR="003949D7" w:rsidTr="008A1B1F">
        <w:trPr>
          <w:trHeight w:val="409"/>
        </w:trPr>
        <w:tc>
          <w:tcPr>
            <w:tcW w:w="763" w:type="dxa"/>
          </w:tcPr>
          <w:p w:rsidR="003949D7" w:rsidRPr="00C44A09" w:rsidRDefault="003949D7" w:rsidP="008A1B1F">
            <w:pPr>
              <w:spacing w:after="120"/>
              <w:jc w:val="center"/>
              <w:rPr>
                <w:rFonts w:ascii="Times New Roman" w:hAnsi="Times New Roman" w:cs="Times New Roman"/>
                <w:sz w:val="20"/>
                <w:szCs w:val="20"/>
              </w:rPr>
            </w:pPr>
            <w:r w:rsidRPr="00C44A09">
              <w:rPr>
                <w:rFonts w:ascii="Times New Roman" w:hAnsi="Times New Roman" w:cs="Times New Roman"/>
                <w:sz w:val="20"/>
                <w:szCs w:val="20"/>
              </w:rPr>
              <w:t>Bangladesh</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rFonts w:ascii="Times New Roman" w:hAnsi="Times New Roman" w:cs="Times New Roman"/>
                <w:sz w:val="20"/>
                <w:szCs w:val="20"/>
              </w:rPr>
              <w:t>68</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1475</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0.02</w:t>
            </w:r>
          </w:p>
        </w:tc>
        <w:tc>
          <w:tcPr>
            <w:tcW w:w="1494"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 xml:space="preserve">0.49 </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9</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13.4</w:t>
            </w:r>
          </w:p>
        </w:tc>
      </w:tr>
      <w:tr w:rsidR="003949D7" w:rsidTr="008A1B1F">
        <w:trPr>
          <w:trHeight w:val="394"/>
        </w:trPr>
        <w:tc>
          <w:tcPr>
            <w:tcW w:w="763" w:type="dxa"/>
          </w:tcPr>
          <w:p w:rsidR="003949D7" w:rsidRPr="00C44A09" w:rsidRDefault="003949D7" w:rsidP="008A1B1F">
            <w:pPr>
              <w:spacing w:after="120"/>
              <w:jc w:val="center"/>
              <w:rPr>
                <w:rFonts w:ascii="Times New Roman" w:hAnsi="Times New Roman" w:cs="Times New Roman"/>
                <w:sz w:val="20"/>
                <w:szCs w:val="20"/>
              </w:rPr>
            </w:pPr>
            <w:r w:rsidRPr="00C44A09">
              <w:rPr>
                <w:rFonts w:ascii="Times New Roman" w:hAnsi="Times New Roman" w:cs="Times New Roman"/>
                <w:sz w:val="20"/>
                <w:szCs w:val="20"/>
              </w:rPr>
              <w:t>Sri-</w:t>
            </w:r>
            <w:proofErr w:type="spellStart"/>
            <w:r w:rsidRPr="00C44A09">
              <w:rPr>
                <w:rFonts w:ascii="Times New Roman" w:hAnsi="Times New Roman" w:cs="Times New Roman"/>
                <w:sz w:val="20"/>
                <w:szCs w:val="20"/>
              </w:rPr>
              <w:t>lanka</w:t>
            </w:r>
            <w:proofErr w:type="spellEnd"/>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rFonts w:ascii="Times New Roman" w:hAnsi="Times New Roman" w:cs="Times New Roman"/>
                <w:sz w:val="20"/>
                <w:szCs w:val="20"/>
              </w:rPr>
              <w:t>78</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 xml:space="preserve">1090 </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0.02</w:t>
            </w:r>
          </w:p>
        </w:tc>
        <w:tc>
          <w:tcPr>
            <w:tcW w:w="1494"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1.25</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 xml:space="preserve">51 </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7.7</w:t>
            </w:r>
          </w:p>
        </w:tc>
      </w:tr>
      <w:tr w:rsidR="003949D7" w:rsidTr="008A1B1F">
        <w:trPr>
          <w:trHeight w:val="394"/>
        </w:trPr>
        <w:tc>
          <w:tcPr>
            <w:tcW w:w="763" w:type="dxa"/>
          </w:tcPr>
          <w:p w:rsidR="003949D7" w:rsidRPr="00C44A09" w:rsidRDefault="003949D7" w:rsidP="008A1B1F">
            <w:pPr>
              <w:spacing w:after="120"/>
              <w:jc w:val="center"/>
              <w:rPr>
                <w:rFonts w:ascii="Times New Roman" w:hAnsi="Times New Roman" w:cs="Times New Roman"/>
                <w:sz w:val="20"/>
                <w:szCs w:val="20"/>
              </w:rPr>
            </w:pPr>
            <w:r w:rsidRPr="00C44A09">
              <w:rPr>
                <w:rFonts w:ascii="Times New Roman" w:hAnsi="Times New Roman" w:cs="Times New Roman"/>
                <w:sz w:val="20"/>
                <w:szCs w:val="20"/>
              </w:rPr>
              <w:t>Vietnam</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rFonts w:ascii="Times New Roman" w:hAnsi="Times New Roman" w:cs="Times New Roman"/>
                <w:sz w:val="20"/>
                <w:szCs w:val="20"/>
              </w:rPr>
              <w:t>44</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7368</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0.12</w:t>
            </w:r>
          </w:p>
        </w:tc>
        <w:tc>
          <w:tcPr>
            <w:tcW w:w="1494"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 xml:space="preserve">2.24 </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76</w:t>
            </w:r>
          </w:p>
        </w:tc>
        <w:tc>
          <w:tcPr>
            <w:tcW w:w="1327" w:type="dxa"/>
          </w:tcPr>
          <w:p w:rsidR="003949D7" w:rsidRPr="00C44A09" w:rsidRDefault="003949D7" w:rsidP="008A1B1F">
            <w:pPr>
              <w:spacing w:after="120"/>
              <w:jc w:val="center"/>
              <w:rPr>
                <w:rFonts w:ascii="Times New Roman" w:hAnsi="Times New Roman" w:cs="Times New Roman"/>
                <w:sz w:val="20"/>
                <w:szCs w:val="20"/>
              </w:rPr>
            </w:pPr>
            <w:r w:rsidRPr="00C44A09">
              <w:rPr>
                <w:sz w:val="20"/>
                <w:szCs w:val="20"/>
              </w:rPr>
              <w:t>14.9</w:t>
            </w:r>
          </w:p>
        </w:tc>
      </w:tr>
    </w:tbl>
    <w:p w:rsidR="003949D7" w:rsidRPr="00C44A09" w:rsidRDefault="003949D7" w:rsidP="003949D7">
      <w:pPr>
        <w:spacing w:after="120"/>
        <w:rPr>
          <w:rFonts w:ascii="Times New Roman" w:hAnsi="Times New Roman" w:cs="Times New Roman"/>
          <w:b/>
          <w:sz w:val="20"/>
          <w:szCs w:val="20"/>
        </w:rPr>
      </w:pPr>
      <w:r w:rsidRPr="005A3D8D">
        <w:rPr>
          <w:rFonts w:ascii="Times New Roman" w:hAnsi="Times New Roman" w:cs="Times New Roman"/>
          <w:sz w:val="20"/>
          <w:szCs w:val="20"/>
        </w:rPr>
        <w:t xml:space="preserve">          </w:t>
      </w:r>
      <w:r w:rsidRPr="00C44A09">
        <w:rPr>
          <w:rFonts w:ascii="Times New Roman" w:hAnsi="Times New Roman" w:cs="Times New Roman"/>
          <w:b/>
          <w:sz w:val="20"/>
          <w:szCs w:val="20"/>
        </w:rPr>
        <w:t>Source: Sigma/4 2020, Swiss Re Institution</w:t>
      </w:r>
    </w:p>
    <w:p w:rsidR="00F80344" w:rsidRPr="00C44A09" w:rsidRDefault="00C44A09" w:rsidP="00C44A09">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ab/>
      </w:r>
      <w:r w:rsidR="008A3010" w:rsidRPr="00C44A09">
        <w:rPr>
          <w:rFonts w:ascii="Times New Roman" w:hAnsi="Times New Roman" w:cs="Times New Roman"/>
          <w:sz w:val="20"/>
          <w:szCs w:val="20"/>
        </w:rPr>
        <w:t>In the</w:t>
      </w:r>
      <w:r w:rsidR="003949D7" w:rsidRPr="00C44A09">
        <w:rPr>
          <w:rFonts w:ascii="Times New Roman" w:hAnsi="Times New Roman" w:cs="Times New Roman"/>
          <w:sz w:val="20"/>
          <w:szCs w:val="20"/>
        </w:rPr>
        <w:t xml:space="preserve"> table 03</w:t>
      </w:r>
      <w:r w:rsidR="008A3010" w:rsidRPr="00C44A09">
        <w:rPr>
          <w:rFonts w:ascii="Times New Roman" w:hAnsi="Times New Roman" w:cs="Times New Roman"/>
          <w:sz w:val="20"/>
          <w:szCs w:val="20"/>
        </w:rPr>
        <w:t>, it is observed</w:t>
      </w:r>
      <w:r w:rsidR="00587F4E" w:rsidRPr="00C44A09">
        <w:rPr>
          <w:rFonts w:ascii="Times New Roman" w:hAnsi="Times New Roman" w:cs="Times New Roman"/>
          <w:sz w:val="20"/>
          <w:szCs w:val="20"/>
        </w:rPr>
        <w:t xml:space="preserve"> that premium ranking position </w:t>
      </w:r>
      <w:r w:rsidR="00930A95" w:rsidRPr="00C44A09">
        <w:rPr>
          <w:rFonts w:ascii="Times New Roman" w:hAnsi="Times New Roman" w:cs="Times New Roman"/>
          <w:sz w:val="20"/>
          <w:szCs w:val="20"/>
        </w:rPr>
        <w:t xml:space="preserve">of Bangladesh </w:t>
      </w:r>
      <w:r w:rsidR="008A3010" w:rsidRPr="00C44A09">
        <w:rPr>
          <w:rFonts w:ascii="Times New Roman" w:hAnsi="Times New Roman" w:cs="Times New Roman"/>
          <w:sz w:val="20"/>
          <w:szCs w:val="20"/>
        </w:rPr>
        <w:t>was 68</w:t>
      </w:r>
      <w:r w:rsidR="008A3010" w:rsidRPr="00C44A09">
        <w:rPr>
          <w:rFonts w:ascii="Times New Roman" w:hAnsi="Times New Roman" w:cs="Times New Roman"/>
          <w:sz w:val="20"/>
          <w:szCs w:val="20"/>
          <w:vertAlign w:val="superscript"/>
        </w:rPr>
        <w:t>th</w:t>
      </w:r>
      <w:r w:rsidR="008A3010" w:rsidRPr="00C44A09">
        <w:rPr>
          <w:rFonts w:ascii="Times New Roman" w:hAnsi="Times New Roman" w:cs="Times New Roman"/>
          <w:sz w:val="20"/>
          <w:szCs w:val="20"/>
        </w:rPr>
        <w:t xml:space="preserve"> in the world insurance market in 2019. In the other emerging </w:t>
      </w:r>
      <w:r w:rsidR="00587F4E" w:rsidRPr="00C44A09">
        <w:rPr>
          <w:rFonts w:ascii="Times New Roman" w:hAnsi="Times New Roman" w:cs="Times New Roman"/>
          <w:sz w:val="20"/>
          <w:szCs w:val="20"/>
        </w:rPr>
        <w:t>Asia,</w:t>
      </w:r>
      <w:r w:rsidR="008A3010" w:rsidRPr="00C44A09">
        <w:rPr>
          <w:rFonts w:ascii="Times New Roman" w:hAnsi="Times New Roman" w:cs="Times New Roman"/>
          <w:sz w:val="20"/>
          <w:szCs w:val="20"/>
        </w:rPr>
        <w:t xml:space="preserve"> </w:t>
      </w:r>
      <w:r w:rsidR="00587F4E" w:rsidRPr="00C44A09">
        <w:rPr>
          <w:rFonts w:ascii="Times New Roman" w:hAnsi="Times New Roman" w:cs="Times New Roman"/>
          <w:sz w:val="20"/>
          <w:szCs w:val="20"/>
        </w:rPr>
        <w:t xml:space="preserve">premium ranking position of India is in good position than Malaysia, Philippine, </w:t>
      </w:r>
      <w:proofErr w:type="spellStart"/>
      <w:r w:rsidR="00587F4E" w:rsidRPr="00C44A09">
        <w:rPr>
          <w:rFonts w:ascii="Times New Roman" w:hAnsi="Times New Roman" w:cs="Times New Roman"/>
          <w:sz w:val="20"/>
          <w:szCs w:val="20"/>
        </w:rPr>
        <w:t>sri-lanka</w:t>
      </w:r>
      <w:proofErr w:type="spellEnd"/>
      <w:r w:rsidR="00587F4E" w:rsidRPr="00C44A09">
        <w:rPr>
          <w:rFonts w:ascii="Times New Roman" w:hAnsi="Times New Roman" w:cs="Times New Roman"/>
          <w:sz w:val="20"/>
          <w:szCs w:val="20"/>
        </w:rPr>
        <w:t xml:space="preserve"> and Vietnam. In case of market share, Bangladesh and </w:t>
      </w:r>
      <w:proofErr w:type="spellStart"/>
      <w:r w:rsidR="00587F4E" w:rsidRPr="00C44A09">
        <w:rPr>
          <w:rFonts w:ascii="Times New Roman" w:hAnsi="Times New Roman" w:cs="Times New Roman"/>
          <w:sz w:val="20"/>
          <w:szCs w:val="20"/>
        </w:rPr>
        <w:t>sri-lanka</w:t>
      </w:r>
      <w:proofErr w:type="spellEnd"/>
      <w:r w:rsidR="00587F4E" w:rsidRPr="00C44A09">
        <w:rPr>
          <w:rFonts w:ascii="Times New Roman" w:hAnsi="Times New Roman" w:cs="Times New Roman"/>
          <w:sz w:val="20"/>
          <w:szCs w:val="20"/>
        </w:rPr>
        <w:t xml:space="preserve"> are the lowest position i.e. </w:t>
      </w:r>
      <w:proofErr w:type="gramStart"/>
      <w:r w:rsidR="00587F4E" w:rsidRPr="00C44A09">
        <w:rPr>
          <w:rFonts w:ascii="Times New Roman" w:hAnsi="Times New Roman" w:cs="Times New Roman"/>
          <w:sz w:val="20"/>
          <w:szCs w:val="20"/>
        </w:rPr>
        <w:t>globally,</w:t>
      </w:r>
      <w:proofErr w:type="gramEnd"/>
      <w:r w:rsidR="00587F4E" w:rsidRPr="00C44A09">
        <w:rPr>
          <w:rFonts w:ascii="Times New Roman" w:hAnsi="Times New Roman" w:cs="Times New Roman"/>
          <w:sz w:val="20"/>
          <w:szCs w:val="20"/>
        </w:rPr>
        <w:t xml:space="preserve"> </w:t>
      </w:r>
      <w:proofErr w:type="spellStart"/>
      <w:r w:rsidR="00587F4E" w:rsidRPr="00C44A09">
        <w:rPr>
          <w:rFonts w:ascii="Times New Roman" w:hAnsi="Times New Roman" w:cs="Times New Roman"/>
          <w:sz w:val="20"/>
          <w:szCs w:val="20"/>
        </w:rPr>
        <w:t>both’s</w:t>
      </w:r>
      <w:proofErr w:type="spellEnd"/>
      <w:r w:rsidR="00587F4E" w:rsidRPr="00C44A09">
        <w:rPr>
          <w:rFonts w:ascii="Times New Roman" w:hAnsi="Times New Roman" w:cs="Times New Roman"/>
          <w:sz w:val="20"/>
          <w:szCs w:val="20"/>
        </w:rPr>
        <w:t xml:space="preserve"> market share was 0.02 percent. A lowest penetration rate was carried by Bangladesh in the world insurance market in 2019. Ind</w:t>
      </w:r>
      <w:r w:rsidR="00ED099B" w:rsidRPr="00C44A09">
        <w:rPr>
          <w:rFonts w:ascii="Times New Roman" w:hAnsi="Times New Roman" w:cs="Times New Roman"/>
          <w:sz w:val="20"/>
          <w:szCs w:val="20"/>
        </w:rPr>
        <w:t>ia carried 3.76 percent</w:t>
      </w:r>
      <w:r w:rsidR="00587F4E" w:rsidRPr="00C44A09">
        <w:rPr>
          <w:rFonts w:ascii="Times New Roman" w:hAnsi="Times New Roman" w:cs="Times New Roman"/>
          <w:sz w:val="20"/>
          <w:szCs w:val="20"/>
        </w:rPr>
        <w:t xml:space="preserve">, Malaysia carried </w:t>
      </w:r>
      <w:r w:rsidR="00ED099B" w:rsidRPr="00C44A09">
        <w:rPr>
          <w:rFonts w:ascii="Times New Roman" w:hAnsi="Times New Roman" w:cs="Times New Roman"/>
          <w:sz w:val="20"/>
          <w:szCs w:val="20"/>
        </w:rPr>
        <w:t xml:space="preserve">4.72 percent, Philippine carried 1.72 percent, </w:t>
      </w:r>
      <w:proofErr w:type="gramStart"/>
      <w:r w:rsidR="00ED099B" w:rsidRPr="00C44A09">
        <w:rPr>
          <w:rFonts w:ascii="Times New Roman" w:hAnsi="Times New Roman" w:cs="Times New Roman"/>
          <w:sz w:val="20"/>
          <w:szCs w:val="20"/>
        </w:rPr>
        <w:t>Sri</w:t>
      </w:r>
      <w:proofErr w:type="gramEnd"/>
      <w:r w:rsidR="00ED099B" w:rsidRPr="00C44A09">
        <w:rPr>
          <w:rFonts w:ascii="Times New Roman" w:hAnsi="Times New Roman" w:cs="Times New Roman"/>
          <w:sz w:val="20"/>
          <w:szCs w:val="20"/>
        </w:rPr>
        <w:t>-</w:t>
      </w:r>
      <w:proofErr w:type="spellStart"/>
      <w:r w:rsidR="00ED099B" w:rsidRPr="00C44A09">
        <w:rPr>
          <w:rFonts w:ascii="Times New Roman" w:hAnsi="Times New Roman" w:cs="Times New Roman"/>
          <w:sz w:val="20"/>
          <w:szCs w:val="20"/>
        </w:rPr>
        <w:t>lanka</w:t>
      </w:r>
      <w:proofErr w:type="spellEnd"/>
      <w:r w:rsidR="00ED099B" w:rsidRPr="00C44A09">
        <w:rPr>
          <w:rFonts w:ascii="Times New Roman" w:hAnsi="Times New Roman" w:cs="Times New Roman"/>
          <w:sz w:val="20"/>
          <w:szCs w:val="20"/>
        </w:rPr>
        <w:t xml:space="preserve"> &amp; Vietnam carried 1.25 and 2.24 percent respectively.</w:t>
      </w:r>
      <w:r w:rsidR="00F80344" w:rsidRPr="00C44A09">
        <w:rPr>
          <w:rFonts w:ascii="Times New Roman" w:hAnsi="Times New Roman" w:cs="Times New Roman"/>
          <w:sz w:val="20"/>
          <w:szCs w:val="20"/>
        </w:rPr>
        <w:t xml:space="preserve"> </w:t>
      </w:r>
      <w:r w:rsidR="00471290" w:rsidRPr="00C44A09">
        <w:rPr>
          <w:rFonts w:ascii="Times New Roman" w:hAnsi="Times New Roman" w:cs="Times New Roman"/>
          <w:sz w:val="20"/>
          <w:szCs w:val="20"/>
        </w:rPr>
        <w:t>The penetration rate of Bangladesh was .49 percent in 2019.</w:t>
      </w:r>
      <w:r w:rsidR="00FE37A8" w:rsidRPr="00C44A09">
        <w:rPr>
          <w:rFonts w:ascii="Times New Roman" w:hAnsi="Times New Roman" w:cs="Times New Roman"/>
          <w:color w:val="FF0000"/>
          <w:sz w:val="20"/>
          <w:szCs w:val="20"/>
        </w:rPr>
        <w:t xml:space="preserve"> </w:t>
      </w:r>
      <w:r w:rsidR="00FE37A8" w:rsidRPr="00C44A09">
        <w:rPr>
          <w:rFonts w:ascii="Times New Roman" w:hAnsi="Times New Roman" w:cs="Times New Roman"/>
          <w:sz w:val="20"/>
          <w:szCs w:val="20"/>
        </w:rPr>
        <w:t>The level of insurance density reached the maximum of USD 10.2 in the year 2016 from the level of USD 5.8 in 2010</w:t>
      </w:r>
      <w:r w:rsidR="00F80344" w:rsidRPr="00C44A09">
        <w:rPr>
          <w:rFonts w:ascii="Times New Roman" w:hAnsi="Times New Roman" w:cs="Times New Roman"/>
          <w:sz w:val="20"/>
          <w:szCs w:val="20"/>
        </w:rPr>
        <w:t>, but, during the year 2019,</w:t>
      </w:r>
      <w:r w:rsidR="00F75642" w:rsidRPr="00C44A09">
        <w:rPr>
          <w:rFonts w:ascii="Times New Roman" w:hAnsi="Times New Roman" w:cs="Times New Roman"/>
          <w:sz w:val="20"/>
          <w:szCs w:val="20"/>
        </w:rPr>
        <w:t xml:space="preserve"> </w:t>
      </w:r>
      <w:r w:rsidR="00F80344" w:rsidRPr="00C44A09">
        <w:rPr>
          <w:rFonts w:ascii="Times New Roman" w:hAnsi="Times New Roman" w:cs="Times New Roman"/>
          <w:sz w:val="20"/>
          <w:szCs w:val="20"/>
        </w:rPr>
        <w:t xml:space="preserve">the level insurance density </w:t>
      </w:r>
      <w:r w:rsidR="00F75642" w:rsidRPr="00C44A09">
        <w:rPr>
          <w:rFonts w:ascii="Times New Roman" w:hAnsi="Times New Roman" w:cs="Times New Roman"/>
          <w:sz w:val="20"/>
          <w:szCs w:val="20"/>
        </w:rPr>
        <w:t>decreased, it</w:t>
      </w:r>
      <w:r w:rsidR="00F80344" w:rsidRPr="00C44A09">
        <w:rPr>
          <w:rFonts w:ascii="Times New Roman" w:hAnsi="Times New Roman" w:cs="Times New Roman"/>
          <w:sz w:val="20"/>
          <w:szCs w:val="20"/>
        </w:rPr>
        <w:t xml:space="preserve"> was USD 9 in 2019</w:t>
      </w:r>
      <w:r w:rsidR="00B610D8" w:rsidRPr="00C44A09">
        <w:rPr>
          <w:rFonts w:ascii="Times New Roman" w:hAnsi="Times New Roman" w:cs="Times New Roman"/>
          <w:sz w:val="20"/>
          <w:szCs w:val="20"/>
        </w:rPr>
        <w:t xml:space="preserve">.But, premium growth rate of Bangladesh was </w:t>
      </w:r>
      <w:r w:rsidR="00F75642" w:rsidRPr="00C44A09">
        <w:rPr>
          <w:rFonts w:ascii="Times New Roman" w:hAnsi="Times New Roman" w:cs="Times New Roman"/>
          <w:sz w:val="20"/>
          <w:szCs w:val="20"/>
        </w:rPr>
        <w:t xml:space="preserve">13.4 percent which occupied </w:t>
      </w:r>
      <w:r w:rsidR="00B610D8" w:rsidRPr="00C44A09">
        <w:rPr>
          <w:rFonts w:ascii="Times New Roman" w:hAnsi="Times New Roman" w:cs="Times New Roman"/>
          <w:sz w:val="20"/>
          <w:szCs w:val="20"/>
        </w:rPr>
        <w:t>in second position in 2019.</w:t>
      </w:r>
      <w:r w:rsidR="00930A95" w:rsidRPr="00C44A09">
        <w:rPr>
          <w:rFonts w:ascii="Times New Roman" w:hAnsi="Times New Roman" w:cs="Times New Roman"/>
          <w:sz w:val="20"/>
          <w:szCs w:val="20"/>
        </w:rPr>
        <w:t xml:space="preserve"> India carried 9.7 percent which occupied third position and Vietnam carried 14.9 percent growth rate which occupied first position in the world insurance market in 2019.</w:t>
      </w:r>
    </w:p>
    <w:p w:rsidR="00B658D8" w:rsidRPr="005A23AE" w:rsidRDefault="0092746A" w:rsidP="00C44A09">
      <w:pPr>
        <w:pStyle w:val="ListParagraph"/>
        <w:numPr>
          <w:ilvl w:val="0"/>
          <w:numId w:val="29"/>
        </w:numPr>
        <w:spacing w:after="120" w:line="480" w:lineRule="auto"/>
        <w:jc w:val="both"/>
        <w:rPr>
          <w:rFonts w:ascii="Times New Roman" w:hAnsi="Times New Roman" w:cs="Times New Roman"/>
          <w:b/>
          <w:sz w:val="20"/>
          <w:szCs w:val="20"/>
        </w:rPr>
      </w:pPr>
      <w:r w:rsidRPr="005A23AE">
        <w:rPr>
          <w:rFonts w:ascii="Times New Roman" w:hAnsi="Times New Roman" w:cs="Times New Roman"/>
          <w:b/>
          <w:sz w:val="20"/>
          <w:szCs w:val="20"/>
        </w:rPr>
        <w:t>Insurance</w:t>
      </w:r>
      <w:r w:rsidR="00B658D8" w:rsidRPr="005A23AE">
        <w:rPr>
          <w:rFonts w:ascii="Times New Roman" w:hAnsi="Times New Roman" w:cs="Times New Roman"/>
          <w:b/>
          <w:sz w:val="20"/>
          <w:szCs w:val="20"/>
        </w:rPr>
        <w:t xml:space="preserve"> Penetration</w:t>
      </w:r>
      <w:r w:rsidRPr="005A23AE">
        <w:rPr>
          <w:rFonts w:ascii="Times New Roman" w:hAnsi="Times New Roman" w:cs="Times New Roman"/>
          <w:b/>
          <w:sz w:val="20"/>
          <w:szCs w:val="20"/>
        </w:rPr>
        <w:t xml:space="preserve"> </w:t>
      </w:r>
      <w:r w:rsidR="00EA1DB5" w:rsidRPr="005A23AE">
        <w:rPr>
          <w:rFonts w:ascii="Times New Roman" w:hAnsi="Times New Roman" w:cs="Times New Roman"/>
          <w:b/>
          <w:sz w:val="20"/>
          <w:szCs w:val="20"/>
        </w:rPr>
        <w:t xml:space="preserve">of </w:t>
      </w:r>
      <w:r w:rsidRPr="005A23AE">
        <w:rPr>
          <w:rFonts w:ascii="Times New Roman" w:hAnsi="Times New Roman" w:cs="Times New Roman"/>
          <w:b/>
          <w:sz w:val="20"/>
          <w:szCs w:val="20"/>
        </w:rPr>
        <w:t>both Life and Non-life insurance</w:t>
      </w:r>
      <w:r w:rsidR="00B658D8" w:rsidRPr="005A23AE">
        <w:rPr>
          <w:rFonts w:ascii="Times New Roman" w:hAnsi="Times New Roman" w:cs="Times New Roman"/>
          <w:b/>
          <w:sz w:val="20"/>
          <w:szCs w:val="20"/>
        </w:rPr>
        <w:t xml:space="preserve"> in Bangladesh</w:t>
      </w:r>
      <w:r w:rsidRPr="005A23AE">
        <w:rPr>
          <w:rFonts w:ascii="Times New Roman" w:hAnsi="Times New Roman" w:cs="Times New Roman"/>
          <w:b/>
          <w:sz w:val="20"/>
          <w:szCs w:val="20"/>
        </w:rPr>
        <w:t>.</w:t>
      </w:r>
    </w:p>
    <w:p w:rsidR="001B6342" w:rsidRPr="00C44A09" w:rsidRDefault="00C44A09" w:rsidP="00C44A09">
      <w:pPr>
        <w:spacing w:after="120" w:line="240" w:lineRule="auto"/>
        <w:jc w:val="both"/>
        <w:rPr>
          <w:rFonts w:ascii="Times New Roman" w:hAnsi="Times New Roman" w:cs="Times New Roman"/>
        </w:rPr>
      </w:pPr>
      <w:r>
        <w:rPr>
          <w:rFonts w:ascii="Times New Roman" w:hAnsi="Times New Roman" w:cs="Times New Roman"/>
        </w:rPr>
        <w:tab/>
      </w:r>
      <w:r w:rsidR="0092746A" w:rsidRPr="00C44A09">
        <w:rPr>
          <w:rFonts w:ascii="Times New Roman" w:hAnsi="Times New Roman" w:cs="Times New Roman"/>
        </w:rPr>
        <w:t>The insurance penetration means how much contribution of insurance sector is involved to national GDP in a country.</w:t>
      </w:r>
      <w:r w:rsidR="00346E14" w:rsidRPr="00C44A09">
        <w:rPr>
          <w:rFonts w:ascii="Times New Roman" w:hAnsi="Times New Roman" w:cs="Times New Roman"/>
        </w:rPr>
        <w:t xml:space="preserve"> </w:t>
      </w:r>
      <w:r w:rsidR="0092746A" w:rsidRPr="00C44A09">
        <w:rPr>
          <w:rFonts w:ascii="Times New Roman" w:hAnsi="Times New Roman" w:cs="Times New Roman"/>
        </w:rPr>
        <w:t xml:space="preserve">Insurance penetration </w:t>
      </w:r>
      <w:r w:rsidR="00471290" w:rsidRPr="00C44A09">
        <w:rPr>
          <w:rFonts w:ascii="Times New Roman" w:hAnsi="Times New Roman" w:cs="Times New Roman"/>
        </w:rPr>
        <w:t>can be calculated by total insuranc</w:t>
      </w:r>
      <w:r w:rsidR="009818E4" w:rsidRPr="00C44A09">
        <w:rPr>
          <w:rFonts w:ascii="Times New Roman" w:hAnsi="Times New Roman" w:cs="Times New Roman"/>
        </w:rPr>
        <w:t>e payment obtained of a country</w:t>
      </w:r>
      <w:r w:rsidR="0092746A" w:rsidRPr="00C44A09">
        <w:rPr>
          <w:rFonts w:ascii="Times New Roman" w:hAnsi="Times New Roman" w:cs="Times New Roman"/>
        </w:rPr>
        <w:t xml:space="preserve"> to total GDP. Insurance penetration rate in both life and nonlife </w:t>
      </w:r>
      <w:r w:rsidR="00346E14" w:rsidRPr="00C44A09">
        <w:rPr>
          <w:rFonts w:ascii="Times New Roman" w:hAnsi="Times New Roman" w:cs="Times New Roman"/>
        </w:rPr>
        <w:t xml:space="preserve">insurance has shown </w:t>
      </w:r>
      <w:r w:rsidR="003949D7" w:rsidRPr="00C44A09">
        <w:rPr>
          <w:rFonts w:ascii="Times New Roman" w:hAnsi="Times New Roman" w:cs="Times New Roman"/>
        </w:rPr>
        <w:t xml:space="preserve">in Table 04 </w:t>
      </w:r>
      <w:r w:rsidR="00346E14" w:rsidRPr="00C44A09">
        <w:rPr>
          <w:rFonts w:ascii="Times New Roman" w:hAnsi="Times New Roman" w:cs="Times New Roman"/>
        </w:rPr>
        <w:t>from 2009 to 23018.</w:t>
      </w:r>
    </w:p>
    <w:p w:rsidR="003949D7" w:rsidRPr="00C44A09" w:rsidRDefault="00C44A09" w:rsidP="00C44A09">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 xml:space="preserve">Table </w:t>
      </w:r>
      <w:r w:rsidR="003949D7" w:rsidRPr="00C44A09">
        <w:rPr>
          <w:rFonts w:ascii="Times New Roman" w:hAnsi="Times New Roman" w:cs="Times New Roman"/>
          <w:b/>
          <w:sz w:val="20"/>
          <w:szCs w:val="20"/>
        </w:rPr>
        <w:t>4</w:t>
      </w:r>
      <w:r w:rsidR="00122D46" w:rsidRPr="00C44A09">
        <w:rPr>
          <w:rFonts w:ascii="Times New Roman" w:hAnsi="Times New Roman" w:cs="Times New Roman"/>
          <w:b/>
          <w:sz w:val="20"/>
          <w:szCs w:val="20"/>
        </w:rPr>
        <w:t>: Gross</w:t>
      </w:r>
      <w:r w:rsidR="003949D7" w:rsidRPr="00C44A09">
        <w:rPr>
          <w:rFonts w:ascii="Times New Roman" w:hAnsi="Times New Roman" w:cs="Times New Roman"/>
          <w:b/>
          <w:sz w:val="20"/>
          <w:szCs w:val="20"/>
        </w:rPr>
        <w:t xml:space="preserve"> Domestic Product (GDP), Premium &amp; Penetration in Bangladesh (2009-2018)</w:t>
      </w:r>
    </w:p>
    <w:tbl>
      <w:tblPr>
        <w:tblStyle w:val="TableGrid"/>
        <w:tblW w:w="0" w:type="auto"/>
        <w:tblInd w:w="468" w:type="dxa"/>
        <w:tblLook w:val="04A0" w:firstRow="1" w:lastRow="0" w:firstColumn="1" w:lastColumn="0" w:noHBand="0" w:noVBand="1"/>
      </w:tblPr>
      <w:tblGrid>
        <w:gridCol w:w="867"/>
        <w:gridCol w:w="1335"/>
        <w:gridCol w:w="1336"/>
        <w:gridCol w:w="1336"/>
        <w:gridCol w:w="1336"/>
        <w:gridCol w:w="1336"/>
        <w:gridCol w:w="1336"/>
      </w:tblGrid>
      <w:tr w:rsidR="003949D7" w:rsidRPr="00C44A09" w:rsidTr="003949D7">
        <w:tc>
          <w:tcPr>
            <w:tcW w:w="867" w:type="dxa"/>
            <w:vMerge w:val="restart"/>
          </w:tcPr>
          <w:p w:rsidR="003949D7" w:rsidRPr="00C44A09" w:rsidRDefault="003949D7" w:rsidP="00C44A09">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Year</w:t>
            </w:r>
          </w:p>
        </w:tc>
        <w:tc>
          <w:tcPr>
            <w:tcW w:w="1335" w:type="dxa"/>
            <w:vMerge w:val="restart"/>
          </w:tcPr>
          <w:p w:rsidR="003949D7" w:rsidRPr="00C44A09" w:rsidRDefault="003949D7" w:rsidP="00C44A09">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GDP</w:t>
            </w:r>
          </w:p>
          <w:p w:rsidR="003949D7" w:rsidRPr="00C44A09" w:rsidRDefault="003949D7" w:rsidP="00C44A09">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w:t>
            </w:r>
            <w:proofErr w:type="spellStart"/>
            <w:r w:rsidRPr="00C44A09">
              <w:rPr>
                <w:rFonts w:ascii="Times New Roman" w:hAnsi="Times New Roman" w:cs="Times New Roman"/>
                <w:b/>
                <w:sz w:val="20"/>
                <w:szCs w:val="20"/>
              </w:rPr>
              <w:t>Tk</w:t>
            </w:r>
            <w:proofErr w:type="spellEnd"/>
            <w:r w:rsidRPr="00C44A09">
              <w:rPr>
                <w:rFonts w:ascii="Times New Roman" w:hAnsi="Times New Roman" w:cs="Times New Roman"/>
                <w:b/>
                <w:sz w:val="20"/>
                <w:szCs w:val="20"/>
              </w:rPr>
              <w:t xml:space="preserve"> Crore)</w:t>
            </w:r>
          </w:p>
        </w:tc>
        <w:tc>
          <w:tcPr>
            <w:tcW w:w="2672" w:type="dxa"/>
            <w:gridSpan w:val="2"/>
          </w:tcPr>
          <w:p w:rsidR="003949D7" w:rsidRPr="00C44A09" w:rsidRDefault="003949D7" w:rsidP="00C44A09">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Gross Premium</w:t>
            </w:r>
          </w:p>
          <w:p w:rsidR="003949D7" w:rsidRPr="00C44A09" w:rsidRDefault="003949D7" w:rsidP="00C44A09">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Tk. In Crore</w:t>
            </w:r>
          </w:p>
        </w:tc>
        <w:tc>
          <w:tcPr>
            <w:tcW w:w="4008" w:type="dxa"/>
            <w:gridSpan w:val="3"/>
          </w:tcPr>
          <w:p w:rsidR="003949D7" w:rsidRPr="00C44A09" w:rsidRDefault="003949D7" w:rsidP="00C44A09">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Penetration (%)</w:t>
            </w:r>
          </w:p>
        </w:tc>
      </w:tr>
      <w:tr w:rsidR="003949D7" w:rsidRPr="00C44A09" w:rsidTr="003949D7">
        <w:tc>
          <w:tcPr>
            <w:tcW w:w="867" w:type="dxa"/>
            <w:vMerge/>
          </w:tcPr>
          <w:p w:rsidR="003949D7" w:rsidRPr="00C44A09" w:rsidRDefault="003949D7" w:rsidP="00C44A09">
            <w:pPr>
              <w:spacing w:after="120"/>
              <w:rPr>
                <w:rFonts w:ascii="Times New Roman" w:hAnsi="Times New Roman" w:cs="Times New Roman"/>
                <w:b/>
                <w:sz w:val="20"/>
                <w:szCs w:val="20"/>
              </w:rPr>
            </w:pPr>
          </w:p>
        </w:tc>
        <w:tc>
          <w:tcPr>
            <w:tcW w:w="1335" w:type="dxa"/>
            <w:vMerge/>
          </w:tcPr>
          <w:p w:rsidR="003949D7" w:rsidRPr="00C44A09" w:rsidRDefault="003949D7" w:rsidP="00C44A09">
            <w:pPr>
              <w:spacing w:after="120"/>
              <w:rPr>
                <w:rFonts w:ascii="Times New Roman" w:hAnsi="Times New Roman" w:cs="Times New Roman"/>
                <w:b/>
                <w:sz w:val="20"/>
                <w:szCs w:val="20"/>
              </w:rPr>
            </w:pPr>
          </w:p>
        </w:tc>
        <w:tc>
          <w:tcPr>
            <w:tcW w:w="1336" w:type="dxa"/>
          </w:tcPr>
          <w:p w:rsidR="003949D7" w:rsidRPr="00C44A09" w:rsidRDefault="003949D7" w:rsidP="00C44A09">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 xml:space="preserve">Life </w:t>
            </w:r>
          </w:p>
        </w:tc>
        <w:tc>
          <w:tcPr>
            <w:tcW w:w="1336" w:type="dxa"/>
          </w:tcPr>
          <w:p w:rsidR="003949D7" w:rsidRPr="00C44A09" w:rsidRDefault="003949D7" w:rsidP="00C44A09">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 xml:space="preserve">Non-life </w:t>
            </w:r>
          </w:p>
        </w:tc>
        <w:tc>
          <w:tcPr>
            <w:tcW w:w="1336" w:type="dxa"/>
          </w:tcPr>
          <w:p w:rsidR="003949D7" w:rsidRPr="00C44A09" w:rsidRDefault="003949D7" w:rsidP="00C44A09">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 xml:space="preserve">Life </w:t>
            </w:r>
          </w:p>
        </w:tc>
        <w:tc>
          <w:tcPr>
            <w:tcW w:w="1336" w:type="dxa"/>
          </w:tcPr>
          <w:p w:rsidR="003949D7" w:rsidRPr="00C44A09" w:rsidRDefault="003949D7" w:rsidP="00C44A09">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 xml:space="preserve">Non-life </w:t>
            </w:r>
          </w:p>
        </w:tc>
        <w:tc>
          <w:tcPr>
            <w:tcW w:w="1336" w:type="dxa"/>
          </w:tcPr>
          <w:p w:rsidR="003949D7" w:rsidRPr="00C44A09" w:rsidRDefault="003949D7" w:rsidP="00C44A09">
            <w:pPr>
              <w:spacing w:after="120"/>
              <w:jc w:val="center"/>
              <w:rPr>
                <w:rFonts w:ascii="Times New Roman" w:hAnsi="Times New Roman" w:cs="Times New Roman"/>
                <w:b/>
                <w:sz w:val="20"/>
                <w:szCs w:val="20"/>
              </w:rPr>
            </w:pPr>
            <w:r w:rsidRPr="00C44A09">
              <w:rPr>
                <w:rFonts w:ascii="Times New Roman" w:hAnsi="Times New Roman" w:cs="Times New Roman"/>
                <w:b/>
                <w:sz w:val="20"/>
                <w:szCs w:val="20"/>
              </w:rPr>
              <w:t>Life &amp; Nonlife</w:t>
            </w:r>
          </w:p>
        </w:tc>
      </w:tr>
      <w:tr w:rsidR="003949D7" w:rsidRPr="00C44A09" w:rsidTr="003949D7">
        <w:tc>
          <w:tcPr>
            <w:tcW w:w="867"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lastRenderedPageBreak/>
              <w:t>2009</w:t>
            </w:r>
          </w:p>
        </w:tc>
        <w:tc>
          <w:tcPr>
            <w:tcW w:w="1335"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705072</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4929</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1390</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0.699</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0.197</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0.896</w:t>
            </w:r>
          </w:p>
        </w:tc>
      </w:tr>
      <w:tr w:rsidR="003949D7" w:rsidRPr="00C44A09" w:rsidTr="003949D7">
        <w:tc>
          <w:tcPr>
            <w:tcW w:w="867"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2010</w:t>
            </w:r>
          </w:p>
        </w:tc>
        <w:tc>
          <w:tcPr>
            <w:tcW w:w="1335"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797539</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5835</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1658</w:t>
            </w:r>
          </w:p>
        </w:tc>
        <w:tc>
          <w:tcPr>
            <w:tcW w:w="1336"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0.73</w:t>
            </w:r>
            <w:r w:rsidR="0076202A" w:rsidRPr="00C44A09">
              <w:rPr>
                <w:rFonts w:ascii="Times New Roman" w:hAnsi="Times New Roman" w:cs="Times New Roman"/>
                <w:sz w:val="20"/>
                <w:szCs w:val="20"/>
              </w:rPr>
              <w:t>2</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0.207</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0.939</w:t>
            </w:r>
          </w:p>
        </w:tc>
      </w:tr>
      <w:tr w:rsidR="003949D7" w:rsidRPr="00C44A09" w:rsidTr="003949D7">
        <w:tc>
          <w:tcPr>
            <w:tcW w:w="867"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2011</w:t>
            </w:r>
          </w:p>
        </w:tc>
        <w:tc>
          <w:tcPr>
            <w:tcW w:w="1335"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915829</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6255</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1967</w:t>
            </w:r>
          </w:p>
        </w:tc>
        <w:tc>
          <w:tcPr>
            <w:tcW w:w="1336"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0.68</w:t>
            </w:r>
            <w:r w:rsidR="0076202A" w:rsidRPr="00C44A09">
              <w:rPr>
                <w:rFonts w:ascii="Times New Roman" w:hAnsi="Times New Roman" w:cs="Times New Roman"/>
                <w:sz w:val="20"/>
                <w:szCs w:val="20"/>
              </w:rPr>
              <w:t>2</w:t>
            </w:r>
          </w:p>
        </w:tc>
        <w:tc>
          <w:tcPr>
            <w:tcW w:w="1336"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0.21</w:t>
            </w:r>
            <w:r w:rsidR="000D6126" w:rsidRPr="00C44A09">
              <w:rPr>
                <w:rFonts w:ascii="Times New Roman" w:hAnsi="Times New Roman" w:cs="Times New Roman"/>
                <w:sz w:val="20"/>
                <w:szCs w:val="20"/>
              </w:rPr>
              <w:t>4</w:t>
            </w:r>
          </w:p>
        </w:tc>
        <w:tc>
          <w:tcPr>
            <w:tcW w:w="1336" w:type="dxa"/>
          </w:tcPr>
          <w:p w:rsidR="003949D7" w:rsidRPr="00C44A09" w:rsidRDefault="000D6126"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0.896</w:t>
            </w:r>
          </w:p>
        </w:tc>
      </w:tr>
      <w:tr w:rsidR="003949D7" w:rsidRPr="00C44A09" w:rsidTr="003949D7">
        <w:tc>
          <w:tcPr>
            <w:tcW w:w="867"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2012</w:t>
            </w:r>
          </w:p>
        </w:tc>
        <w:tc>
          <w:tcPr>
            <w:tcW w:w="1335"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1055204</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6587</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2167</w:t>
            </w:r>
          </w:p>
        </w:tc>
        <w:tc>
          <w:tcPr>
            <w:tcW w:w="1336"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0.62</w:t>
            </w:r>
            <w:r w:rsidR="000A574B" w:rsidRPr="00C44A09">
              <w:rPr>
                <w:rFonts w:ascii="Times New Roman" w:hAnsi="Times New Roman" w:cs="Times New Roman"/>
                <w:sz w:val="20"/>
                <w:szCs w:val="20"/>
              </w:rPr>
              <w:t>4</w:t>
            </w:r>
          </w:p>
        </w:tc>
        <w:tc>
          <w:tcPr>
            <w:tcW w:w="1336" w:type="dxa"/>
          </w:tcPr>
          <w:p w:rsidR="003949D7" w:rsidRPr="00C44A09" w:rsidRDefault="000A574B"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0.205</w:t>
            </w:r>
          </w:p>
        </w:tc>
        <w:tc>
          <w:tcPr>
            <w:tcW w:w="1336" w:type="dxa"/>
          </w:tcPr>
          <w:p w:rsidR="003949D7" w:rsidRPr="00C44A09" w:rsidRDefault="000A574B"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0.829</w:t>
            </w:r>
          </w:p>
        </w:tc>
      </w:tr>
      <w:tr w:rsidR="003949D7" w:rsidRPr="00C44A09" w:rsidTr="003949D7">
        <w:tc>
          <w:tcPr>
            <w:tcW w:w="867"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2013</w:t>
            </w:r>
          </w:p>
        </w:tc>
        <w:tc>
          <w:tcPr>
            <w:tcW w:w="1335"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1198923</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6840</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2293</w:t>
            </w:r>
          </w:p>
        </w:tc>
        <w:tc>
          <w:tcPr>
            <w:tcW w:w="1336"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0.57</w:t>
            </w:r>
            <w:r w:rsidR="00FE1144" w:rsidRPr="00C44A09">
              <w:rPr>
                <w:rFonts w:ascii="Times New Roman" w:hAnsi="Times New Roman" w:cs="Times New Roman"/>
                <w:sz w:val="20"/>
                <w:szCs w:val="20"/>
              </w:rPr>
              <w:t>1</w:t>
            </w:r>
          </w:p>
        </w:tc>
        <w:tc>
          <w:tcPr>
            <w:tcW w:w="1336"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0.19</w:t>
            </w:r>
            <w:r w:rsidR="00FE1144" w:rsidRPr="00C44A09">
              <w:rPr>
                <w:rFonts w:ascii="Times New Roman" w:hAnsi="Times New Roman" w:cs="Times New Roman"/>
                <w:sz w:val="20"/>
                <w:szCs w:val="20"/>
              </w:rPr>
              <w:t>2</w:t>
            </w:r>
          </w:p>
        </w:tc>
        <w:tc>
          <w:tcPr>
            <w:tcW w:w="1336"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0.76</w:t>
            </w:r>
            <w:r w:rsidR="00FE1144" w:rsidRPr="00C44A09">
              <w:rPr>
                <w:rFonts w:ascii="Times New Roman" w:hAnsi="Times New Roman" w:cs="Times New Roman"/>
                <w:sz w:val="20"/>
                <w:szCs w:val="20"/>
              </w:rPr>
              <w:t>4</w:t>
            </w:r>
          </w:p>
        </w:tc>
      </w:tr>
      <w:tr w:rsidR="003949D7" w:rsidRPr="00C44A09" w:rsidTr="003949D7">
        <w:tc>
          <w:tcPr>
            <w:tcW w:w="867"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2014</w:t>
            </w:r>
          </w:p>
        </w:tc>
        <w:tc>
          <w:tcPr>
            <w:tcW w:w="1335"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1343674</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7077</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1446</w:t>
            </w:r>
          </w:p>
        </w:tc>
        <w:tc>
          <w:tcPr>
            <w:tcW w:w="1336" w:type="dxa"/>
          </w:tcPr>
          <w:p w:rsidR="003949D7" w:rsidRPr="00C44A09" w:rsidRDefault="008C769B"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0.527</w:t>
            </w:r>
          </w:p>
        </w:tc>
        <w:tc>
          <w:tcPr>
            <w:tcW w:w="1336" w:type="dxa"/>
          </w:tcPr>
          <w:p w:rsidR="003949D7" w:rsidRPr="00C44A09" w:rsidRDefault="008C769B"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0.108</w:t>
            </w:r>
          </w:p>
        </w:tc>
        <w:tc>
          <w:tcPr>
            <w:tcW w:w="1336" w:type="dxa"/>
          </w:tcPr>
          <w:p w:rsidR="003949D7" w:rsidRPr="00C44A09" w:rsidRDefault="008C769B"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0.634</w:t>
            </w:r>
          </w:p>
        </w:tc>
      </w:tr>
      <w:tr w:rsidR="003949D7" w:rsidRPr="00C44A09" w:rsidTr="003949D7">
        <w:tc>
          <w:tcPr>
            <w:tcW w:w="867"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2015</w:t>
            </w:r>
          </w:p>
        </w:tc>
        <w:tc>
          <w:tcPr>
            <w:tcW w:w="1335"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1515802</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7316</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2643</w:t>
            </w:r>
          </w:p>
        </w:tc>
        <w:tc>
          <w:tcPr>
            <w:tcW w:w="1336"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0.48</w:t>
            </w:r>
            <w:r w:rsidR="00F4704E" w:rsidRPr="00C44A09">
              <w:rPr>
                <w:rFonts w:ascii="Times New Roman" w:hAnsi="Times New Roman" w:cs="Times New Roman"/>
                <w:sz w:val="20"/>
                <w:szCs w:val="20"/>
              </w:rPr>
              <w:t>3</w:t>
            </w:r>
          </w:p>
        </w:tc>
        <w:tc>
          <w:tcPr>
            <w:tcW w:w="1336"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0.17</w:t>
            </w:r>
            <w:r w:rsidR="00F4704E" w:rsidRPr="00C44A09">
              <w:rPr>
                <w:rFonts w:ascii="Times New Roman" w:hAnsi="Times New Roman" w:cs="Times New Roman"/>
                <w:sz w:val="20"/>
                <w:szCs w:val="20"/>
              </w:rPr>
              <w:t>4</w:t>
            </w:r>
          </w:p>
        </w:tc>
        <w:tc>
          <w:tcPr>
            <w:tcW w:w="1336" w:type="dxa"/>
          </w:tcPr>
          <w:p w:rsidR="003949D7" w:rsidRPr="00C44A09" w:rsidRDefault="00F4704E"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0.657</w:t>
            </w:r>
          </w:p>
        </w:tc>
      </w:tr>
      <w:tr w:rsidR="003949D7" w:rsidRPr="00C44A09" w:rsidTr="003949D7">
        <w:tc>
          <w:tcPr>
            <w:tcW w:w="867"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2016</w:t>
            </w:r>
          </w:p>
        </w:tc>
        <w:tc>
          <w:tcPr>
            <w:tcW w:w="1335"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1732864</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7589</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2773</w:t>
            </w:r>
          </w:p>
        </w:tc>
        <w:tc>
          <w:tcPr>
            <w:tcW w:w="1336" w:type="dxa"/>
          </w:tcPr>
          <w:p w:rsidR="003949D7" w:rsidRPr="00C44A09" w:rsidRDefault="00F4704E"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0.438</w:t>
            </w:r>
          </w:p>
        </w:tc>
        <w:tc>
          <w:tcPr>
            <w:tcW w:w="1336"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0.16</w:t>
            </w:r>
            <w:r w:rsidR="00F4704E" w:rsidRPr="00C44A09">
              <w:rPr>
                <w:rFonts w:ascii="Times New Roman" w:hAnsi="Times New Roman" w:cs="Times New Roman"/>
                <w:sz w:val="20"/>
                <w:szCs w:val="20"/>
              </w:rPr>
              <w:t>0</w:t>
            </w:r>
          </w:p>
        </w:tc>
        <w:tc>
          <w:tcPr>
            <w:tcW w:w="1336" w:type="dxa"/>
          </w:tcPr>
          <w:p w:rsidR="003949D7" w:rsidRPr="00C44A09" w:rsidRDefault="00F4704E"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0.598</w:t>
            </w:r>
          </w:p>
        </w:tc>
      </w:tr>
      <w:tr w:rsidR="003949D7" w:rsidRPr="00C44A09" w:rsidTr="003949D7">
        <w:tc>
          <w:tcPr>
            <w:tcW w:w="867"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2017</w:t>
            </w:r>
          </w:p>
        </w:tc>
        <w:tc>
          <w:tcPr>
            <w:tcW w:w="1335"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1975815</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8199</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2982</w:t>
            </w:r>
          </w:p>
        </w:tc>
        <w:tc>
          <w:tcPr>
            <w:tcW w:w="1336"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0.41</w:t>
            </w:r>
            <w:r w:rsidR="002F0647" w:rsidRPr="00C44A09">
              <w:rPr>
                <w:rFonts w:ascii="Times New Roman" w:hAnsi="Times New Roman" w:cs="Times New Roman"/>
                <w:sz w:val="20"/>
                <w:szCs w:val="20"/>
              </w:rPr>
              <w:t>4</w:t>
            </w:r>
          </w:p>
        </w:tc>
        <w:tc>
          <w:tcPr>
            <w:tcW w:w="1336"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0.15</w:t>
            </w:r>
            <w:r w:rsidR="002F0647" w:rsidRPr="00C44A09">
              <w:rPr>
                <w:rFonts w:ascii="Times New Roman" w:hAnsi="Times New Roman" w:cs="Times New Roman"/>
                <w:sz w:val="20"/>
                <w:szCs w:val="20"/>
              </w:rPr>
              <w:t>0</w:t>
            </w:r>
          </w:p>
        </w:tc>
        <w:tc>
          <w:tcPr>
            <w:tcW w:w="1336"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0.56</w:t>
            </w:r>
            <w:r w:rsidR="002F0647" w:rsidRPr="00C44A09">
              <w:rPr>
                <w:rFonts w:ascii="Times New Roman" w:hAnsi="Times New Roman" w:cs="Times New Roman"/>
                <w:sz w:val="20"/>
                <w:szCs w:val="20"/>
              </w:rPr>
              <w:t>5</w:t>
            </w:r>
          </w:p>
        </w:tc>
      </w:tr>
      <w:tr w:rsidR="003949D7" w:rsidRPr="00C44A09" w:rsidTr="003949D7">
        <w:tc>
          <w:tcPr>
            <w:tcW w:w="867"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2018</w:t>
            </w:r>
          </w:p>
        </w:tc>
        <w:tc>
          <w:tcPr>
            <w:tcW w:w="1335" w:type="dxa"/>
          </w:tcPr>
          <w:p w:rsidR="003949D7" w:rsidRPr="00C44A09" w:rsidRDefault="0076202A" w:rsidP="00C44A09">
            <w:pPr>
              <w:spacing w:after="120"/>
              <w:rPr>
                <w:rFonts w:ascii="Times New Roman" w:hAnsi="Times New Roman" w:cs="Times New Roman"/>
                <w:sz w:val="20"/>
                <w:szCs w:val="20"/>
              </w:rPr>
            </w:pPr>
            <w:r w:rsidRPr="00C44A09">
              <w:rPr>
                <w:rFonts w:ascii="Times New Roman" w:hAnsi="Times New Roman" w:cs="Times New Roman"/>
                <w:sz w:val="20"/>
                <w:szCs w:val="20"/>
              </w:rPr>
              <w:t>2250479</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8985</w:t>
            </w:r>
          </w:p>
        </w:tc>
        <w:tc>
          <w:tcPr>
            <w:tcW w:w="1336" w:type="dxa"/>
          </w:tcPr>
          <w:p w:rsidR="003949D7" w:rsidRPr="00C44A09" w:rsidRDefault="0076202A"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4179</w:t>
            </w:r>
          </w:p>
        </w:tc>
        <w:tc>
          <w:tcPr>
            <w:tcW w:w="1336" w:type="dxa"/>
          </w:tcPr>
          <w:p w:rsidR="003949D7" w:rsidRPr="00C44A09" w:rsidRDefault="002F064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0.399</w:t>
            </w:r>
          </w:p>
        </w:tc>
        <w:tc>
          <w:tcPr>
            <w:tcW w:w="1336"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0.18</w:t>
            </w:r>
            <w:r w:rsidR="002F0647" w:rsidRPr="00C44A09">
              <w:rPr>
                <w:rFonts w:ascii="Times New Roman" w:hAnsi="Times New Roman" w:cs="Times New Roman"/>
                <w:sz w:val="20"/>
                <w:szCs w:val="20"/>
              </w:rPr>
              <w:t>5</w:t>
            </w:r>
          </w:p>
        </w:tc>
        <w:tc>
          <w:tcPr>
            <w:tcW w:w="1336" w:type="dxa"/>
          </w:tcPr>
          <w:p w:rsidR="003949D7" w:rsidRPr="00C44A09" w:rsidRDefault="003949D7" w:rsidP="00C44A09">
            <w:pPr>
              <w:spacing w:after="120"/>
              <w:jc w:val="center"/>
              <w:rPr>
                <w:rFonts w:ascii="Times New Roman" w:hAnsi="Times New Roman" w:cs="Times New Roman"/>
                <w:sz w:val="20"/>
                <w:szCs w:val="20"/>
              </w:rPr>
            </w:pPr>
            <w:r w:rsidRPr="00C44A09">
              <w:rPr>
                <w:rFonts w:ascii="Times New Roman" w:hAnsi="Times New Roman" w:cs="Times New Roman"/>
                <w:sz w:val="20"/>
                <w:szCs w:val="20"/>
              </w:rPr>
              <w:t>0.58</w:t>
            </w:r>
            <w:r w:rsidR="002F0647" w:rsidRPr="00C44A09">
              <w:rPr>
                <w:rFonts w:ascii="Times New Roman" w:hAnsi="Times New Roman" w:cs="Times New Roman"/>
                <w:sz w:val="20"/>
                <w:szCs w:val="20"/>
              </w:rPr>
              <w:t>5</w:t>
            </w:r>
          </w:p>
        </w:tc>
      </w:tr>
    </w:tbl>
    <w:p w:rsidR="003949D7" w:rsidRPr="00C44A09" w:rsidRDefault="003949D7" w:rsidP="003949D7">
      <w:pPr>
        <w:spacing w:after="120"/>
        <w:rPr>
          <w:rFonts w:ascii="Times New Roman" w:hAnsi="Times New Roman" w:cs="Times New Roman"/>
          <w:b/>
          <w:sz w:val="20"/>
          <w:szCs w:val="20"/>
        </w:rPr>
      </w:pPr>
      <w:r>
        <w:rPr>
          <w:rFonts w:ascii="Times New Roman" w:hAnsi="Times New Roman" w:cs="Times New Roman"/>
          <w:sz w:val="20"/>
          <w:szCs w:val="20"/>
        </w:rPr>
        <w:t xml:space="preserve">       </w:t>
      </w:r>
      <w:r w:rsidRPr="00C44A09">
        <w:rPr>
          <w:rFonts w:ascii="Times New Roman" w:hAnsi="Times New Roman" w:cs="Times New Roman"/>
          <w:b/>
          <w:sz w:val="20"/>
          <w:szCs w:val="20"/>
        </w:rPr>
        <w:t>Source: Bangladesh Insurance Association</w:t>
      </w:r>
    </w:p>
    <w:p w:rsidR="0008020F" w:rsidRPr="00C44A09" w:rsidRDefault="0089720C" w:rsidP="0089720C">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ab/>
      </w:r>
      <w:r w:rsidR="0092746A" w:rsidRPr="00C44A09">
        <w:rPr>
          <w:rFonts w:ascii="Times New Roman" w:hAnsi="Times New Roman" w:cs="Times New Roman"/>
          <w:sz w:val="20"/>
          <w:szCs w:val="20"/>
        </w:rPr>
        <w:t>It is seen in the</w:t>
      </w:r>
      <w:r w:rsidR="003949D7" w:rsidRPr="00C44A09">
        <w:rPr>
          <w:rFonts w:ascii="Times New Roman" w:hAnsi="Times New Roman" w:cs="Times New Roman"/>
          <w:sz w:val="20"/>
          <w:szCs w:val="20"/>
        </w:rPr>
        <w:t xml:space="preserve"> </w:t>
      </w:r>
      <w:r w:rsidR="0092746A" w:rsidRPr="00C44A09">
        <w:rPr>
          <w:rFonts w:ascii="Times New Roman" w:hAnsi="Times New Roman" w:cs="Times New Roman"/>
          <w:sz w:val="20"/>
          <w:szCs w:val="20"/>
        </w:rPr>
        <w:t xml:space="preserve">table </w:t>
      </w:r>
      <w:r w:rsidR="003949D7" w:rsidRPr="00C44A09">
        <w:rPr>
          <w:rFonts w:ascii="Times New Roman" w:hAnsi="Times New Roman" w:cs="Times New Roman"/>
          <w:sz w:val="20"/>
          <w:szCs w:val="20"/>
        </w:rPr>
        <w:t>04</w:t>
      </w:r>
      <w:r w:rsidR="00A92048" w:rsidRPr="00C44A09">
        <w:rPr>
          <w:rFonts w:ascii="Times New Roman" w:hAnsi="Times New Roman" w:cs="Times New Roman"/>
          <w:sz w:val="20"/>
          <w:szCs w:val="20"/>
        </w:rPr>
        <w:t>, there is a downward trend of insu</w:t>
      </w:r>
      <w:r w:rsidR="00325341" w:rsidRPr="00C44A09">
        <w:rPr>
          <w:rFonts w:ascii="Times New Roman" w:hAnsi="Times New Roman" w:cs="Times New Roman"/>
          <w:sz w:val="20"/>
          <w:szCs w:val="20"/>
        </w:rPr>
        <w:t xml:space="preserve">rance penetration in both </w:t>
      </w:r>
      <w:r w:rsidR="009B28DD" w:rsidRPr="00C44A09">
        <w:rPr>
          <w:rFonts w:ascii="Times New Roman" w:hAnsi="Times New Roman" w:cs="Times New Roman"/>
          <w:sz w:val="20"/>
          <w:szCs w:val="20"/>
        </w:rPr>
        <w:t>life and</w:t>
      </w:r>
      <w:r w:rsidR="00325341" w:rsidRPr="00C44A09">
        <w:rPr>
          <w:rFonts w:ascii="Times New Roman" w:hAnsi="Times New Roman" w:cs="Times New Roman"/>
          <w:sz w:val="20"/>
          <w:szCs w:val="20"/>
        </w:rPr>
        <w:t xml:space="preserve"> non-</w:t>
      </w:r>
      <w:r w:rsidR="009A6B6B" w:rsidRPr="00C44A09">
        <w:rPr>
          <w:rFonts w:ascii="Times New Roman" w:hAnsi="Times New Roman" w:cs="Times New Roman"/>
          <w:sz w:val="20"/>
          <w:szCs w:val="20"/>
        </w:rPr>
        <w:t>life sector</w:t>
      </w:r>
      <w:r w:rsidR="00A92048" w:rsidRPr="00C44A09">
        <w:rPr>
          <w:rFonts w:ascii="Times New Roman" w:hAnsi="Times New Roman" w:cs="Times New Roman"/>
          <w:sz w:val="20"/>
          <w:szCs w:val="20"/>
        </w:rPr>
        <w:t>. In 2009, insurance penetration rate of life sector was .70 percent and .20 percent against nonlife sector. Penetration rate of life insurance was .62 percent and .21 percent was against nonlife sector in 2012</w:t>
      </w:r>
      <w:r w:rsidR="006971F1" w:rsidRPr="00C44A09">
        <w:rPr>
          <w:rFonts w:ascii="Times New Roman" w:hAnsi="Times New Roman" w:cs="Times New Roman"/>
          <w:sz w:val="20"/>
          <w:szCs w:val="20"/>
        </w:rPr>
        <w:t>. A continuous downward trend of insurance penetration rate is observing from 2012 to 2018.</w:t>
      </w:r>
      <w:r w:rsidR="00392002" w:rsidRPr="00C44A09">
        <w:rPr>
          <w:rFonts w:ascii="Times New Roman" w:hAnsi="Times New Roman" w:cs="Times New Roman"/>
          <w:sz w:val="20"/>
          <w:szCs w:val="20"/>
        </w:rPr>
        <w:t>Penetration rate of life insurance sector downward from .62 percent</w:t>
      </w:r>
      <w:r w:rsidR="0036397D" w:rsidRPr="00C44A09">
        <w:rPr>
          <w:rFonts w:ascii="Times New Roman" w:hAnsi="Times New Roman" w:cs="Times New Roman"/>
          <w:sz w:val="20"/>
          <w:szCs w:val="20"/>
        </w:rPr>
        <w:t xml:space="preserve"> to .40 percent from 2012 to 2018. </w:t>
      </w:r>
      <w:proofErr w:type="gramStart"/>
      <w:r w:rsidR="0036397D" w:rsidRPr="00C44A09">
        <w:rPr>
          <w:rFonts w:ascii="Times New Roman" w:hAnsi="Times New Roman" w:cs="Times New Roman"/>
          <w:sz w:val="20"/>
          <w:szCs w:val="20"/>
        </w:rPr>
        <w:t>Penetration rate of non-life insurance sector downward from .21 percent to .18 percent from 2012 to 2018.</w:t>
      </w:r>
      <w:proofErr w:type="gramEnd"/>
      <w:r w:rsidR="0036397D" w:rsidRPr="00C44A09">
        <w:rPr>
          <w:rFonts w:ascii="Times New Roman" w:hAnsi="Times New Roman" w:cs="Times New Roman"/>
          <w:sz w:val="20"/>
          <w:szCs w:val="20"/>
        </w:rPr>
        <w:t xml:space="preserve"> The main reason of this downward trend is</w:t>
      </w:r>
      <w:r w:rsidR="0066443F" w:rsidRPr="00C44A09">
        <w:rPr>
          <w:rFonts w:ascii="Times New Roman" w:hAnsi="Times New Roman" w:cs="Times New Roman"/>
          <w:sz w:val="20"/>
          <w:szCs w:val="20"/>
        </w:rPr>
        <w:t xml:space="preserve"> that </w:t>
      </w:r>
      <w:r w:rsidR="0036397D" w:rsidRPr="00C44A09">
        <w:rPr>
          <w:rFonts w:ascii="Times New Roman" w:hAnsi="Times New Roman" w:cs="Times New Roman"/>
          <w:sz w:val="20"/>
          <w:szCs w:val="20"/>
        </w:rPr>
        <w:t xml:space="preserve">growth rate </w:t>
      </w:r>
      <w:r w:rsidR="0066443F" w:rsidRPr="00C44A09">
        <w:rPr>
          <w:rFonts w:ascii="Times New Roman" w:hAnsi="Times New Roman" w:cs="Times New Roman"/>
          <w:sz w:val="20"/>
          <w:szCs w:val="20"/>
        </w:rPr>
        <w:t xml:space="preserve">of </w:t>
      </w:r>
      <w:r w:rsidR="0036397D" w:rsidRPr="00C44A09">
        <w:rPr>
          <w:rFonts w:ascii="Times New Roman" w:hAnsi="Times New Roman" w:cs="Times New Roman"/>
          <w:sz w:val="20"/>
          <w:szCs w:val="20"/>
        </w:rPr>
        <w:t>GDP is higher than growth rate of insurance industry.</w:t>
      </w:r>
      <w:r w:rsidR="006138E4" w:rsidRPr="00C44A09">
        <w:rPr>
          <w:rFonts w:ascii="Times New Roman" w:hAnsi="Times New Roman" w:cs="Times New Roman"/>
          <w:sz w:val="20"/>
          <w:szCs w:val="20"/>
        </w:rPr>
        <w:t xml:space="preserve"> A reflection of the trend of insurance penetration in Bangladesh has been shown in chart 03.</w:t>
      </w:r>
    </w:p>
    <w:p w:rsidR="006138E4" w:rsidRPr="00C44A09" w:rsidRDefault="00C44A09" w:rsidP="00C44A09">
      <w:pPr>
        <w:spacing w:after="120" w:line="240" w:lineRule="auto"/>
        <w:ind w:left="446" w:firstLine="634"/>
        <w:jc w:val="center"/>
        <w:rPr>
          <w:rFonts w:ascii="Times New Roman" w:hAnsi="Times New Roman" w:cs="Times New Roman"/>
          <w:b/>
          <w:szCs w:val="28"/>
        </w:rPr>
      </w:pPr>
      <w:r w:rsidRPr="00C44A09">
        <w:rPr>
          <w:rFonts w:ascii="Times New Roman" w:hAnsi="Times New Roman" w:cs="Times New Roman"/>
          <w:b/>
          <w:sz w:val="20"/>
          <w:szCs w:val="20"/>
        </w:rPr>
        <w:t xml:space="preserve">Chart </w:t>
      </w:r>
      <w:r w:rsidR="006138E4" w:rsidRPr="00C44A09">
        <w:rPr>
          <w:rFonts w:ascii="Times New Roman" w:hAnsi="Times New Roman" w:cs="Times New Roman"/>
          <w:b/>
          <w:sz w:val="20"/>
          <w:szCs w:val="20"/>
        </w:rPr>
        <w:t>3</w:t>
      </w:r>
      <w:r w:rsidRPr="00C44A09">
        <w:rPr>
          <w:rFonts w:ascii="Times New Roman" w:hAnsi="Times New Roman" w:cs="Times New Roman"/>
          <w:b/>
          <w:sz w:val="20"/>
          <w:szCs w:val="20"/>
        </w:rPr>
        <w:t>: Insurance</w:t>
      </w:r>
      <w:r w:rsidR="003417B3" w:rsidRPr="00C44A09">
        <w:rPr>
          <w:rFonts w:ascii="Times New Roman" w:hAnsi="Times New Roman" w:cs="Times New Roman"/>
          <w:b/>
          <w:sz w:val="20"/>
          <w:szCs w:val="20"/>
        </w:rPr>
        <w:t xml:space="preserve"> Penetration Rate of Life and Nonlife insurance in Bangladesh</w:t>
      </w:r>
    </w:p>
    <w:p w:rsidR="00BA1173" w:rsidRPr="00551751" w:rsidRDefault="00BA1173" w:rsidP="00D843A0">
      <w:pPr>
        <w:spacing w:after="120" w:line="480" w:lineRule="auto"/>
        <w:ind w:left="450" w:firstLine="630"/>
        <w:jc w:val="center"/>
        <w:rPr>
          <w:rFonts w:ascii="Times New Roman" w:hAnsi="Times New Roman" w:cs="Times New Roman"/>
          <w:szCs w:val="28"/>
        </w:rPr>
      </w:pPr>
      <w:r>
        <w:rPr>
          <w:noProof/>
        </w:rPr>
        <w:drawing>
          <wp:inline distT="0" distB="0" distL="0" distR="0" wp14:anchorId="18CC3E2B" wp14:editId="6E79A999">
            <wp:extent cx="3714750" cy="2581275"/>
            <wp:effectExtent l="0" t="0" r="1905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22D46" w:rsidRPr="00F06D41" w:rsidRDefault="0089720C" w:rsidP="0089720C">
      <w:pPr>
        <w:spacing w:after="120"/>
        <w:rPr>
          <w:rFonts w:ascii="Times New Roman" w:hAnsi="Times New Roman" w:cs="Times New Roman"/>
          <w:b/>
          <w:sz w:val="20"/>
          <w:szCs w:val="20"/>
        </w:rPr>
      </w:pPr>
      <w:proofErr w:type="spellStart"/>
      <w:proofErr w:type="gramStart"/>
      <w:r w:rsidRPr="00F06D41">
        <w:rPr>
          <w:rFonts w:ascii="Times New Roman" w:hAnsi="Times New Roman" w:cs="Times New Roman"/>
          <w:b/>
          <w:sz w:val="20"/>
          <w:szCs w:val="20"/>
        </w:rPr>
        <w:t>a.</w:t>
      </w:r>
      <w:r w:rsidR="00B658D8" w:rsidRPr="00F06D41">
        <w:rPr>
          <w:rFonts w:ascii="Times New Roman" w:hAnsi="Times New Roman" w:cs="Times New Roman"/>
          <w:b/>
          <w:sz w:val="20"/>
          <w:szCs w:val="20"/>
        </w:rPr>
        <w:t>I</w:t>
      </w:r>
      <w:bookmarkStart w:id="0" w:name="_GoBack"/>
      <w:bookmarkEnd w:id="0"/>
      <w:r w:rsidR="00B658D8" w:rsidRPr="00F06D41">
        <w:rPr>
          <w:rFonts w:ascii="Times New Roman" w:hAnsi="Times New Roman" w:cs="Times New Roman"/>
          <w:b/>
          <w:sz w:val="20"/>
          <w:szCs w:val="20"/>
        </w:rPr>
        <w:t>nsurance</w:t>
      </w:r>
      <w:proofErr w:type="spellEnd"/>
      <w:proofErr w:type="gramEnd"/>
      <w:r w:rsidR="00B658D8" w:rsidRPr="00F06D41">
        <w:rPr>
          <w:rFonts w:ascii="Times New Roman" w:hAnsi="Times New Roman" w:cs="Times New Roman"/>
          <w:b/>
          <w:sz w:val="20"/>
          <w:szCs w:val="20"/>
        </w:rPr>
        <w:t xml:space="preserve"> density of life and nonlife insurance in Bangladesh</w:t>
      </w:r>
    </w:p>
    <w:p w:rsidR="00015286" w:rsidRPr="0089720C" w:rsidRDefault="0089720C" w:rsidP="0089720C">
      <w:pPr>
        <w:spacing w:after="120"/>
        <w:rPr>
          <w:rFonts w:ascii="Times New Roman" w:hAnsi="Times New Roman" w:cs="Times New Roman"/>
          <w:b/>
          <w:sz w:val="24"/>
          <w:szCs w:val="24"/>
        </w:rPr>
      </w:pPr>
      <w:r>
        <w:rPr>
          <w:rFonts w:ascii="Times New Roman" w:hAnsi="Times New Roman" w:cs="Times New Roman"/>
          <w:sz w:val="24"/>
          <w:szCs w:val="24"/>
        </w:rPr>
        <w:tab/>
      </w:r>
      <w:r w:rsidR="00EA1DB5" w:rsidRPr="00F06D41">
        <w:rPr>
          <w:rFonts w:ascii="Times New Roman" w:hAnsi="Times New Roman" w:cs="Times New Roman"/>
          <w:sz w:val="20"/>
          <w:szCs w:val="20"/>
        </w:rPr>
        <w:t>Insurance density means</w:t>
      </w:r>
      <w:r w:rsidR="001F1A5D" w:rsidRPr="00F06D41">
        <w:rPr>
          <w:rFonts w:ascii="Times New Roman" w:hAnsi="Times New Roman" w:cs="Times New Roman"/>
          <w:sz w:val="20"/>
          <w:szCs w:val="20"/>
        </w:rPr>
        <w:t xml:space="preserve"> the per capita premium of the total population in a country. Insurance density</w:t>
      </w:r>
      <w:r w:rsidR="00E42CEF" w:rsidRPr="00F06D41">
        <w:rPr>
          <w:rFonts w:ascii="Times New Roman" w:hAnsi="Times New Roman" w:cs="Times New Roman"/>
          <w:sz w:val="20"/>
          <w:szCs w:val="20"/>
        </w:rPr>
        <w:t xml:space="preserve"> can be calculated by   total insurance payment obtained of a country </w:t>
      </w:r>
      <w:proofErr w:type="gramStart"/>
      <w:r w:rsidR="00E42CEF" w:rsidRPr="00F06D41">
        <w:rPr>
          <w:rFonts w:ascii="Times New Roman" w:hAnsi="Times New Roman" w:cs="Times New Roman"/>
          <w:sz w:val="20"/>
          <w:szCs w:val="20"/>
        </w:rPr>
        <w:t xml:space="preserve">to </w:t>
      </w:r>
      <w:r w:rsidR="001F1A5D" w:rsidRPr="00F06D41">
        <w:rPr>
          <w:rFonts w:ascii="Times New Roman" w:hAnsi="Times New Roman" w:cs="Times New Roman"/>
          <w:sz w:val="20"/>
          <w:szCs w:val="20"/>
        </w:rPr>
        <w:t xml:space="preserve"> total</w:t>
      </w:r>
      <w:proofErr w:type="gramEnd"/>
      <w:r w:rsidR="001F1A5D" w:rsidRPr="00F06D41">
        <w:rPr>
          <w:rFonts w:ascii="Times New Roman" w:hAnsi="Times New Roman" w:cs="Times New Roman"/>
          <w:sz w:val="20"/>
          <w:szCs w:val="20"/>
        </w:rPr>
        <w:t xml:space="preserve"> population. Insurance density of Bangladesh in both life a</w:t>
      </w:r>
      <w:r w:rsidR="003949D7" w:rsidRPr="00F06D41">
        <w:rPr>
          <w:rFonts w:ascii="Times New Roman" w:hAnsi="Times New Roman" w:cs="Times New Roman"/>
          <w:sz w:val="20"/>
          <w:szCs w:val="20"/>
        </w:rPr>
        <w:t>nd nonlife has shown in Table</w:t>
      </w:r>
      <w:r w:rsidR="003949D7" w:rsidRPr="0089720C">
        <w:rPr>
          <w:rFonts w:ascii="Times New Roman" w:hAnsi="Times New Roman" w:cs="Times New Roman"/>
          <w:sz w:val="24"/>
          <w:szCs w:val="24"/>
        </w:rPr>
        <w:t xml:space="preserve"> 05</w:t>
      </w:r>
      <w:r w:rsidR="001F1A5D" w:rsidRPr="0089720C">
        <w:rPr>
          <w:rFonts w:ascii="Times New Roman" w:hAnsi="Times New Roman" w:cs="Times New Roman"/>
          <w:sz w:val="24"/>
          <w:szCs w:val="24"/>
        </w:rPr>
        <w:t xml:space="preserve"> from 2009 to2018.</w:t>
      </w:r>
    </w:p>
    <w:p w:rsidR="00C876B3" w:rsidRPr="00122D46" w:rsidRDefault="00122D46" w:rsidP="00122D46">
      <w:pPr>
        <w:spacing w:after="120" w:line="240" w:lineRule="auto"/>
        <w:jc w:val="center"/>
        <w:rPr>
          <w:rFonts w:ascii="Times New Roman" w:hAnsi="Times New Roman" w:cs="Times New Roman"/>
          <w:b/>
          <w:sz w:val="20"/>
          <w:szCs w:val="20"/>
        </w:rPr>
      </w:pPr>
      <w:r w:rsidRPr="00122D46">
        <w:rPr>
          <w:rFonts w:ascii="Times New Roman" w:hAnsi="Times New Roman" w:cs="Times New Roman"/>
          <w:b/>
          <w:sz w:val="20"/>
          <w:szCs w:val="20"/>
        </w:rPr>
        <w:t xml:space="preserve">Table </w:t>
      </w:r>
      <w:r w:rsidR="003949D7" w:rsidRPr="00122D46">
        <w:rPr>
          <w:rFonts w:ascii="Times New Roman" w:hAnsi="Times New Roman" w:cs="Times New Roman"/>
          <w:b/>
          <w:sz w:val="20"/>
          <w:szCs w:val="20"/>
        </w:rPr>
        <w:t>5</w:t>
      </w:r>
      <w:proofErr w:type="gramStart"/>
      <w:r w:rsidRPr="00122D46">
        <w:rPr>
          <w:rFonts w:ascii="Times New Roman" w:hAnsi="Times New Roman" w:cs="Times New Roman"/>
          <w:b/>
          <w:sz w:val="20"/>
          <w:szCs w:val="20"/>
        </w:rPr>
        <w:t>:</w:t>
      </w:r>
      <w:r w:rsidR="001853F9" w:rsidRPr="00122D46">
        <w:rPr>
          <w:rFonts w:ascii="Times New Roman" w:hAnsi="Times New Roman" w:cs="Times New Roman"/>
          <w:b/>
          <w:sz w:val="20"/>
          <w:szCs w:val="20"/>
        </w:rPr>
        <w:t>Population</w:t>
      </w:r>
      <w:proofErr w:type="gramEnd"/>
      <w:r w:rsidR="001853F9" w:rsidRPr="00122D46">
        <w:rPr>
          <w:rFonts w:ascii="Times New Roman" w:hAnsi="Times New Roman" w:cs="Times New Roman"/>
          <w:b/>
          <w:sz w:val="20"/>
          <w:szCs w:val="20"/>
        </w:rPr>
        <w:t xml:space="preserve"> and Density of Insurance</w:t>
      </w:r>
    </w:p>
    <w:tbl>
      <w:tblPr>
        <w:tblStyle w:val="TableGrid"/>
        <w:tblW w:w="0" w:type="auto"/>
        <w:tblInd w:w="468" w:type="dxa"/>
        <w:tblLook w:val="04A0" w:firstRow="1" w:lastRow="0" w:firstColumn="1" w:lastColumn="0" w:noHBand="0" w:noVBand="1"/>
      </w:tblPr>
      <w:tblGrid>
        <w:gridCol w:w="1067"/>
        <w:gridCol w:w="1817"/>
        <w:gridCol w:w="1545"/>
        <w:gridCol w:w="1545"/>
        <w:gridCol w:w="1545"/>
        <w:gridCol w:w="1589"/>
      </w:tblGrid>
      <w:tr w:rsidR="00C876B3" w:rsidTr="00D44F89">
        <w:tc>
          <w:tcPr>
            <w:tcW w:w="1067" w:type="dxa"/>
            <w:vMerge w:val="restart"/>
          </w:tcPr>
          <w:p w:rsidR="00C876B3" w:rsidRPr="00122D46" w:rsidRDefault="00C876B3"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Year</w:t>
            </w:r>
          </w:p>
        </w:tc>
        <w:tc>
          <w:tcPr>
            <w:tcW w:w="1817" w:type="dxa"/>
            <w:vMerge w:val="restart"/>
          </w:tcPr>
          <w:p w:rsidR="00C876B3" w:rsidRPr="00122D46" w:rsidRDefault="00C876B3"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Population(Crore)</w:t>
            </w:r>
          </w:p>
        </w:tc>
        <w:tc>
          <w:tcPr>
            <w:tcW w:w="4635" w:type="dxa"/>
            <w:gridSpan w:val="3"/>
          </w:tcPr>
          <w:p w:rsidR="00C876B3" w:rsidRPr="00122D46" w:rsidRDefault="00C876B3"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Insurance Density(Tk.)</w:t>
            </w:r>
          </w:p>
        </w:tc>
        <w:tc>
          <w:tcPr>
            <w:tcW w:w="1589" w:type="dxa"/>
            <w:vMerge w:val="restart"/>
          </w:tcPr>
          <w:p w:rsidR="00C876B3" w:rsidRPr="00122D46" w:rsidRDefault="00C876B3"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Density(USD)</w:t>
            </w:r>
          </w:p>
        </w:tc>
      </w:tr>
      <w:tr w:rsidR="00C876B3" w:rsidTr="00D44F89">
        <w:tc>
          <w:tcPr>
            <w:tcW w:w="1067" w:type="dxa"/>
            <w:vMerge/>
          </w:tcPr>
          <w:p w:rsidR="00C876B3" w:rsidRPr="00122D46" w:rsidRDefault="00C876B3" w:rsidP="00B13FB9">
            <w:pPr>
              <w:spacing w:after="120"/>
              <w:jc w:val="center"/>
              <w:rPr>
                <w:rFonts w:ascii="Times New Roman" w:hAnsi="Times New Roman" w:cs="Times New Roman"/>
                <w:sz w:val="20"/>
                <w:szCs w:val="20"/>
              </w:rPr>
            </w:pPr>
          </w:p>
        </w:tc>
        <w:tc>
          <w:tcPr>
            <w:tcW w:w="1817" w:type="dxa"/>
            <w:vMerge/>
          </w:tcPr>
          <w:p w:rsidR="00C876B3" w:rsidRPr="00122D46" w:rsidRDefault="00C876B3" w:rsidP="00B13FB9">
            <w:pPr>
              <w:spacing w:after="120"/>
              <w:jc w:val="center"/>
              <w:rPr>
                <w:rFonts w:ascii="Times New Roman" w:hAnsi="Times New Roman" w:cs="Times New Roman"/>
                <w:sz w:val="20"/>
                <w:szCs w:val="20"/>
              </w:rPr>
            </w:pPr>
          </w:p>
        </w:tc>
        <w:tc>
          <w:tcPr>
            <w:tcW w:w="1545" w:type="dxa"/>
          </w:tcPr>
          <w:p w:rsidR="00C876B3" w:rsidRPr="00122D46" w:rsidRDefault="00576974"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Life</w:t>
            </w:r>
          </w:p>
        </w:tc>
        <w:tc>
          <w:tcPr>
            <w:tcW w:w="1545" w:type="dxa"/>
          </w:tcPr>
          <w:p w:rsidR="00C876B3" w:rsidRPr="00122D46" w:rsidRDefault="00576974"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Non-Life</w:t>
            </w:r>
          </w:p>
        </w:tc>
        <w:tc>
          <w:tcPr>
            <w:tcW w:w="1545" w:type="dxa"/>
          </w:tcPr>
          <w:p w:rsidR="00C876B3" w:rsidRPr="00122D46" w:rsidRDefault="00576974"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Total</w:t>
            </w:r>
          </w:p>
        </w:tc>
        <w:tc>
          <w:tcPr>
            <w:tcW w:w="1589" w:type="dxa"/>
            <w:vMerge/>
          </w:tcPr>
          <w:p w:rsidR="00C876B3" w:rsidRPr="00122D46" w:rsidRDefault="00C876B3" w:rsidP="00B13FB9">
            <w:pPr>
              <w:spacing w:after="120"/>
              <w:jc w:val="center"/>
              <w:rPr>
                <w:rFonts w:ascii="Times New Roman" w:hAnsi="Times New Roman" w:cs="Times New Roman"/>
                <w:sz w:val="20"/>
                <w:szCs w:val="20"/>
              </w:rPr>
            </w:pPr>
          </w:p>
        </w:tc>
      </w:tr>
      <w:tr w:rsidR="00C876B3" w:rsidTr="00D44F89">
        <w:tc>
          <w:tcPr>
            <w:tcW w:w="1067" w:type="dxa"/>
          </w:tcPr>
          <w:p w:rsidR="00C876B3" w:rsidRPr="00122D46" w:rsidRDefault="00C876B3"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2009</w:t>
            </w:r>
          </w:p>
        </w:tc>
        <w:tc>
          <w:tcPr>
            <w:tcW w:w="1817" w:type="dxa"/>
          </w:tcPr>
          <w:p w:rsidR="00C876B3" w:rsidRPr="00122D46" w:rsidRDefault="00576974"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15.05</w:t>
            </w:r>
          </w:p>
        </w:tc>
        <w:tc>
          <w:tcPr>
            <w:tcW w:w="1545" w:type="dxa"/>
          </w:tcPr>
          <w:p w:rsidR="00C876B3" w:rsidRPr="00122D46" w:rsidRDefault="00BC1959"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327.57</w:t>
            </w:r>
          </w:p>
        </w:tc>
        <w:tc>
          <w:tcPr>
            <w:tcW w:w="1545" w:type="dxa"/>
          </w:tcPr>
          <w:p w:rsidR="00C876B3" w:rsidRPr="00122D46" w:rsidRDefault="00AC4CC7"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92.36</w:t>
            </w:r>
          </w:p>
        </w:tc>
        <w:tc>
          <w:tcPr>
            <w:tcW w:w="1545" w:type="dxa"/>
          </w:tcPr>
          <w:p w:rsidR="00C876B3" w:rsidRPr="00122D46" w:rsidRDefault="004D136F"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419.94</w:t>
            </w:r>
          </w:p>
        </w:tc>
        <w:tc>
          <w:tcPr>
            <w:tcW w:w="1589" w:type="dxa"/>
          </w:tcPr>
          <w:p w:rsidR="00C876B3" w:rsidRPr="00122D46" w:rsidRDefault="004D136F"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6.10</w:t>
            </w:r>
          </w:p>
        </w:tc>
      </w:tr>
      <w:tr w:rsidR="00C876B3" w:rsidTr="00D44F89">
        <w:tc>
          <w:tcPr>
            <w:tcW w:w="1067" w:type="dxa"/>
          </w:tcPr>
          <w:p w:rsidR="00C876B3" w:rsidRPr="00122D46" w:rsidRDefault="00C876B3"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2010</w:t>
            </w:r>
          </w:p>
        </w:tc>
        <w:tc>
          <w:tcPr>
            <w:tcW w:w="1817" w:type="dxa"/>
          </w:tcPr>
          <w:p w:rsidR="00C876B3" w:rsidRPr="00122D46" w:rsidRDefault="00576974"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15.21</w:t>
            </w:r>
          </w:p>
        </w:tc>
        <w:tc>
          <w:tcPr>
            <w:tcW w:w="1545" w:type="dxa"/>
          </w:tcPr>
          <w:p w:rsidR="00C876B3" w:rsidRPr="00122D46" w:rsidRDefault="00BC1959"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383.51</w:t>
            </w:r>
          </w:p>
        </w:tc>
        <w:tc>
          <w:tcPr>
            <w:tcW w:w="1545" w:type="dxa"/>
          </w:tcPr>
          <w:p w:rsidR="00C876B3" w:rsidRPr="00122D46" w:rsidRDefault="00AC4CC7"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108.94</w:t>
            </w:r>
          </w:p>
        </w:tc>
        <w:tc>
          <w:tcPr>
            <w:tcW w:w="1545" w:type="dxa"/>
          </w:tcPr>
          <w:p w:rsidR="00C876B3" w:rsidRPr="00122D46" w:rsidRDefault="004D136F"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492.45</w:t>
            </w:r>
          </w:p>
        </w:tc>
        <w:tc>
          <w:tcPr>
            <w:tcW w:w="1589" w:type="dxa"/>
          </w:tcPr>
          <w:p w:rsidR="00C876B3" w:rsidRPr="00122D46" w:rsidRDefault="004D136F"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7.12</w:t>
            </w:r>
          </w:p>
        </w:tc>
      </w:tr>
      <w:tr w:rsidR="00C876B3" w:rsidTr="00D44F89">
        <w:tc>
          <w:tcPr>
            <w:tcW w:w="1067" w:type="dxa"/>
          </w:tcPr>
          <w:p w:rsidR="00C876B3" w:rsidRPr="00122D46" w:rsidRDefault="00C876B3"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2011</w:t>
            </w:r>
          </w:p>
        </w:tc>
        <w:tc>
          <w:tcPr>
            <w:tcW w:w="1817" w:type="dxa"/>
          </w:tcPr>
          <w:p w:rsidR="00C876B3" w:rsidRPr="00122D46" w:rsidRDefault="00576974"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15.39</w:t>
            </w:r>
          </w:p>
        </w:tc>
        <w:tc>
          <w:tcPr>
            <w:tcW w:w="1545" w:type="dxa"/>
          </w:tcPr>
          <w:p w:rsidR="00C876B3" w:rsidRPr="00122D46" w:rsidRDefault="00BC1959"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406.38</w:t>
            </w:r>
          </w:p>
        </w:tc>
        <w:tc>
          <w:tcPr>
            <w:tcW w:w="1545" w:type="dxa"/>
          </w:tcPr>
          <w:p w:rsidR="00C876B3" w:rsidRPr="00122D46" w:rsidRDefault="00AC4CC7"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127.82</w:t>
            </w:r>
          </w:p>
        </w:tc>
        <w:tc>
          <w:tcPr>
            <w:tcW w:w="1545" w:type="dxa"/>
          </w:tcPr>
          <w:p w:rsidR="00C876B3" w:rsidRPr="00122D46" w:rsidRDefault="004D136F"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534.21</w:t>
            </w:r>
          </w:p>
        </w:tc>
        <w:tc>
          <w:tcPr>
            <w:tcW w:w="1589" w:type="dxa"/>
          </w:tcPr>
          <w:p w:rsidR="00C876B3" w:rsidRPr="00122D46" w:rsidRDefault="004D136F"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7.50</w:t>
            </w:r>
          </w:p>
        </w:tc>
      </w:tr>
      <w:tr w:rsidR="00C876B3" w:rsidTr="00D44F89">
        <w:tc>
          <w:tcPr>
            <w:tcW w:w="1067" w:type="dxa"/>
          </w:tcPr>
          <w:p w:rsidR="00C876B3" w:rsidRPr="00122D46" w:rsidRDefault="00C876B3"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2012</w:t>
            </w:r>
          </w:p>
        </w:tc>
        <w:tc>
          <w:tcPr>
            <w:tcW w:w="1817" w:type="dxa"/>
          </w:tcPr>
          <w:p w:rsidR="00C876B3" w:rsidRPr="00122D46" w:rsidRDefault="00576974"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15.57</w:t>
            </w:r>
          </w:p>
        </w:tc>
        <w:tc>
          <w:tcPr>
            <w:tcW w:w="1545" w:type="dxa"/>
          </w:tcPr>
          <w:p w:rsidR="00C876B3" w:rsidRPr="00122D46" w:rsidRDefault="00BC1959"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422.99</w:t>
            </w:r>
          </w:p>
        </w:tc>
        <w:tc>
          <w:tcPr>
            <w:tcW w:w="1545" w:type="dxa"/>
          </w:tcPr>
          <w:p w:rsidR="00C876B3" w:rsidRPr="00122D46" w:rsidRDefault="00AC4CC7"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139.17</w:t>
            </w:r>
          </w:p>
        </w:tc>
        <w:tc>
          <w:tcPr>
            <w:tcW w:w="1545" w:type="dxa"/>
          </w:tcPr>
          <w:p w:rsidR="00C876B3" w:rsidRPr="00122D46" w:rsidRDefault="004D136F"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562.16</w:t>
            </w:r>
          </w:p>
        </w:tc>
        <w:tc>
          <w:tcPr>
            <w:tcW w:w="1589" w:type="dxa"/>
          </w:tcPr>
          <w:p w:rsidR="00C876B3" w:rsidRPr="00122D46" w:rsidRDefault="004D136F"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7.10</w:t>
            </w:r>
          </w:p>
        </w:tc>
      </w:tr>
      <w:tr w:rsidR="00C876B3" w:rsidTr="00D44F89">
        <w:tc>
          <w:tcPr>
            <w:tcW w:w="1067" w:type="dxa"/>
          </w:tcPr>
          <w:p w:rsidR="00C876B3" w:rsidRPr="00122D46" w:rsidRDefault="00C876B3"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2013</w:t>
            </w:r>
          </w:p>
        </w:tc>
        <w:tc>
          <w:tcPr>
            <w:tcW w:w="1817" w:type="dxa"/>
          </w:tcPr>
          <w:p w:rsidR="00C876B3" w:rsidRPr="00122D46" w:rsidRDefault="00576974"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15.76</w:t>
            </w:r>
          </w:p>
        </w:tc>
        <w:tc>
          <w:tcPr>
            <w:tcW w:w="1545" w:type="dxa"/>
          </w:tcPr>
          <w:p w:rsidR="00C876B3" w:rsidRPr="00122D46" w:rsidRDefault="00BC1959"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434.07</w:t>
            </w:r>
          </w:p>
        </w:tc>
        <w:tc>
          <w:tcPr>
            <w:tcW w:w="1545" w:type="dxa"/>
          </w:tcPr>
          <w:p w:rsidR="00C876B3" w:rsidRPr="00122D46" w:rsidRDefault="00AC4CC7"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145.51</w:t>
            </w:r>
          </w:p>
        </w:tc>
        <w:tc>
          <w:tcPr>
            <w:tcW w:w="1545" w:type="dxa"/>
          </w:tcPr>
          <w:p w:rsidR="00C876B3" w:rsidRPr="00122D46" w:rsidRDefault="004D136F"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579.58</w:t>
            </w:r>
          </w:p>
        </w:tc>
        <w:tc>
          <w:tcPr>
            <w:tcW w:w="1589" w:type="dxa"/>
          </w:tcPr>
          <w:p w:rsidR="00C876B3" w:rsidRPr="00122D46" w:rsidRDefault="004D136F"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7.25</w:t>
            </w:r>
          </w:p>
        </w:tc>
      </w:tr>
      <w:tr w:rsidR="00C876B3" w:rsidTr="00D44F89">
        <w:tc>
          <w:tcPr>
            <w:tcW w:w="1067" w:type="dxa"/>
          </w:tcPr>
          <w:p w:rsidR="00C876B3" w:rsidRPr="00122D46" w:rsidRDefault="00C876B3"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2014</w:t>
            </w:r>
          </w:p>
        </w:tc>
        <w:tc>
          <w:tcPr>
            <w:tcW w:w="1817" w:type="dxa"/>
          </w:tcPr>
          <w:p w:rsidR="00C876B3" w:rsidRPr="00122D46" w:rsidRDefault="00576974"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15.94</w:t>
            </w:r>
          </w:p>
        </w:tc>
        <w:tc>
          <w:tcPr>
            <w:tcW w:w="1545" w:type="dxa"/>
          </w:tcPr>
          <w:p w:rsidR="00C876B3" w:rsidRPr="00122D46" w:rsidRDefault="00BC1959"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443.92</w:t>
            </w:r>
          </w:p>
        </w:tc>
        <w:tc>
          <w:tcPr>
            <w:tcW w:w="1545" w:type="dxa"/>
          </w:tcPr>
          <w:p w:rsidR="00C876B3" w:rsidRPr="00122D46" w:rsidRDefault="00AC4CC7"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153.43</w:t>
            </w:r>
          </w:p>
        </w:tc>
        <w:tc>
          <w:tcPr>
            <w:tcW w:w="1545" w:type="dxa"/>
          </w:tcPr>
          <w:p w:rsidR="00C876B3" w:rsidRPr="00122D46" w:rsidRDefault="004D136F"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597.35</w:t>
            </w:r>
          </w:p>
        </w:tc>
        <w:tc>
          <w:tcPr>
            <w:tcW w:w="1589" w:type="dxa"/>
          </w:tcPr>
          <w:p w:rsidR="00C876B3" w:rsidRPr="00122D46" w:rsidRDefault="004D136F"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7.69</w:t>
            </w:r>
          </w:p>
        </w:tc>
      </w:tr>
      <w:tr w:rsidR="00C876B3" w:rsidTr="00D44F89">
        <w:tc>
          <w:tcPr>
            <w:tcW w:w="1067" w:type="dxa"/>
          </w:tcPr>
          <w:p w:rsidR="00C876B3" w:rsidRPr="00122D46" w:rsidRDefault="00C876B3"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2015</w:t>
            </w:r>
          </w:p>
        </w:tc>
        <w:tc>
          <w:tcPr>
            <w:tcW w:w="1817" w:type="dxa"/>
          </w:tcPr>
          <w:p w:rsidR="00C876B3" w:rsidRPr="00122D46" w:rsidRDefault="00576974"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16.12</w:t>
            </w:r>
          </w:p>
        </w:tc>
        <w:tc>
          <w:tcPr>
            <w:tcW w:w="1545" w:type="dxa"/>
          </w:tcPr>
          <w:p w:rsidR="00C876B3" w:rsidRPr="00122D46" w:rsidRDefault="00BC1959"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453.85</w:t>
            </w:r>
          </w:p>
        </w:tc>
        <w:tc>
          <w:tcPr>
            <w:tcW w:w="1545" w:type="dxa"/>
          </w:tcPr>
          <w:p w:rsidR="00C876B3" w:rsidRPr="00122D46" w:rsidRDefault="00AC4CC7"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163.96</w:t>
            </w:r>
          </w:p>
        </w:tc>
        <w:tc>
          <w:tcPr>
            <w:tcW w:w="1545" w:type="dxa"/>
          </w:tcPr>
          <w:p w:rsidR="00C876B3" w:rsidRPr="00122D46" w:rsidRDefault="004D136F"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617.81</w:t>
            </w:r>
          </w:p>
        </w:tc>
        <w:tc>
          <w:tcPr>
            <w:tcW w:w="1589" w:type="dxa"/>
          </w:tcPr>
          <w:p w:rsidR="00C876B3" w:rsidRPr="00122D46" w:rsidRDefault="004D136F"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7.95</w:t>
            </w:r>
          </w:p>
        </w:tc>
      </w:tr>
      <w:tr w:rsidR="00C876B3" w:rsidTr="00D44F89">
        <w:tc>
          <w:tcPr>
            <w:tcW w:w="1067" w:type="dxa"/>
          </w:tcPr>
          <w:p w:rsidR="00C876B3" w:rsidRPr="00122D46" w:rsidRDefault="00C876B3"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2016</w:t>
            </w:r>
          </w:p>
        </w:tc>
        <w:tc>
          <w:tcPr>
            <w:tcW w:w="1817" w:type="dxa"/>
          </w:tcPr>
          <w:p w:rsidR="00C876B3" w:rsidRPr="00122D46" w:rsidRDefault="00576974"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16.30</w:t>
            </w:r>
          </w:p>
        </w:tc>
        <w:tc>
          <w:tcPr>
            <w:tcW w:w="1545" w:type="dxa"/>
          </w:tcPr>
          <w:p w:rsidR="00C876B3" w:rsidRPr="00122D46" w:rsidRDefault="00BC1959"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465.69</w:t>
            </w:r>
          </w:p>
        </w:tc>
        <w:tc>
          <w:tcPr>
            <w:tcW w:w="1545" w:type="dxa"/>
          </w:tcPr>
          <w:p w:rsidR="00C876B3" w:rsidRPr="00122D46" w:rsidRDefault="00AC4CC7"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170.17</w:t>
            </w:r>
          </w:p>
        </w:tc>
        <w:tc>
          <w:tcPr>
            <w:tcW w:w="1545" w:type="dxa"/>
          </w:tcPr>
          <w:p w:rsidR="00C876B3" w:rsidRPr="00122D46" w:rsidRDefault="004D136F"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635.85</w:t>
            </w:r>
          </w:p>
        </w:tc>
        <w:tc>
          <w:tcPr>
            <w:tcW w:w="1589" w:type="dxa"/>
          </w:tcPr>
          <w:p w:rsidR="00C876B3" w:rsidRPr="00122D46" w:rsidRDefault="004D136F"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8.12</w:t>
            </w:r>
          </w:p>
        </w:tc>
      </w:tr>
      <w:tr w:rsidR="00C876B3" w:rsidTr="00D44F89">
        <w:tc>
          <w:tcPr>
            <w:tcW w:w="1067" w:type="dxa"/>
          </w:tcPr>
          <w:p w:rsidR="00C876B3" w:rsidRPr="00122D46" w:rsidRDefault="00C876B3"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2017</w:t>
            </w:r>
          </w:p>
        </w:tc>
        <w:tc>
          <w:tcPr>
            <w:tcW w:w="1817" w:type="dxa"/>
          </w:tcPr>
          <w:p w:rsidR="00C876B3" w:rsidRPr="00122D46" w:rsidRDefault="00576974"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16.47</w:t>
            </w:r>
          </w:p>
        </w:tc>
        <w:tc>
          <w:tcPr>
            <w:tcW w:w="1545" w:type="dxa"/>
          </w:tcPr>
          <w:p w:rsidR="00C876B3" w:rsidRPr="00122D46" w:rsidRDefault="00BC1959"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497.87</w:t>
            </w:r>
          </w:p>
        </w:tc>
        <w:tc>
          <w:tcPr>
            <w:tcW w:w="1545" w:type="dxa"/>
          </w:tcPr>
          <w:p w:rsidR="00C876B3" w:rsidRPr="00122D46" w:rsidRDefault="00AC4CC7"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181.06</w:t>
            </w:r>
          </w:p>
        </w:tc>
        <w:tc>
          <w:tcPr>
            <w:tcW w:w="1545" w:type="dxa"/>
          </w:tcPr>
          <w:p w:rsidR="00C876B3" w:rsidRPr="00122D46" w:rsidRDefault="004D136F"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678.93</w:t>
            </w:r>
          </w:p>
        </w:tc>
        <w:tc>
          <w:tcPr>
            <w:tcW w:w="1589" w:type="dxa"/>
          </w:tcPr>
          <w:p w:rsidR="00C876B3" w:rsidRPr="00122D46" w:rsidRDefault="004D136F"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8.58</w:t>
            </w:r>
          </w:p>
        </w:tc>
      </w:tr>
      <w:tr w:rsidR="00C876B3" w:rsidTr="00D44F89">
        <w:tc>
          <w:tcPr>
            <w:tcW w:w="1067" w:type="dxa"/>
          </w:tcPr>
          <w:p w:rsidR="00C876B3" w:rsidRPr="00122D46" w:rsidRDefault="00C876B3"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2018</w:t>
            </w:r>
          </w:p>
        </w:tc>
        <w:tc>
          <w:tcPr>
            <w:tcW w:w="1817" w:type="dxa"/>
          </w:tcPr>
          <w:p w:rsidR="00C876B3" w:rsidRPr="00122D46" w:rsidRDefault="00327302"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16.14</w:t>
            </w:r>
          </w:p>
        </w:tc>
        <w:tc>
          <w:tcPr>
            <w:tcW w:w="1545" w:type="dxa"/>
          </w:tcPr>
          <w:p w:rsidR="00C876B3" w:rsidRPr="00122D46" w:rsidRDefault="001D7481"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556.69</w:t>
            </w:r>
          </w:p>
        </w:tc>
        <w:tc>
          <w:tcPr>
            <w:tcW w:w="1545" w:type="dxa"/>
          </w:tcPr>
          <w:p w:rsidR="00C876B3" w:rsidRPr="00122D46" w:rsidRDefault="00773696"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285.93</w:t>
            </w:r>
          </w:p>
        </w:tc>
        <w:tc>
          <w:tcPr>
            <w:tcW w:w="1545" w:type="dxa"/>
          </w:tcPr>
          <w:p w:rsidR="00C876B3" w:rsidRPr="00122D46" w:rsidRDefault="00773696"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842.62</w:t>
            </w:r>
          </w:p>
        </w:tc>
        <w:tc>
          <w:tcPr>
            <w:tcW w:w="1589" w:type="dxa"/>
          </w:tcPr>
          <w:p w:rsidR="00C876B3" w:rsidRPr="00122D46" w:rsidRDefault="00773696" w:rsidP="00B13FB9">
            <w:pPr>
              <w:spacing w:after="120"/>
              <w:jc w:val="center"/>
              <w:rPr>
                <w:rFonts w:ascii="Times New Roman" w:hAnsi="Times New Roman" w:cs="Times New Roman"/>
                <w:sz w:val="20"/>
                <w:szCs w:val="20"/>
              </w:rPr>
            </w:pPr>
            <w:r w:rsidRPr="00122D46">
              <w:rPr>
                <w:rFonts w:ascii="Times New Roman" w:hAnsi="Times New Roman" w:cs="Times New Roman"/>
                <w:sz w:val="20"/>
                <w:szCs w:val="20"/>
              </w:rPr>
              <w:t>9.79</w:t>
            </w:r>
          </w:p>
        </w:tc>
      </w:tr>
    </w:tbl>
    <w:p w:rsidR="00122D46" w:rsidRDefault="0085578B" w:rsidP="00122D46">
      <w:pPr>
        <w:spacing w:after="120"/>
        <w:rPr>
          <w:rFonts w:ascii="Times New Roman" w:hAnsi="Times New Roman" w:cs="Times New Roman"/>
          <w:b/>
          <w:szCs w:val="28"/>
        </w:rPr>
      </w:pPr>
      <w:r>
        <w:rPr>
          <w:rFonts w:ascii="Times New Roman" w:hAnsi="Times New Roman" w:cs="Times New Roman"/>
          <w:sz w:val="20"/>
          <w:szCs w:val="20"/>
        </w:rPr>
        <w:t xml:space="preserve">       </w:t>
      </w:r>
      <w:r w:rsidR="00BC07EC" w:rsidRPr="00122D46">
        <w:rPr>
          <w:rFonts w:ascii="Times New Roman" w:hAnsi="Times New Roman" w:cs="Times New Roman"/>
          <w:b/>
          <w:sz w:val="20"/>
          <w:szCs w:val="20"/>
        </w:rPr>
        <w:t>Source: Bangladesh Insurance Association</w:t>
      </w:r>
    </w:p>
    <w:p w:rsidR="00392765" w:rsidRPr="00122D46" w:rsidRDefault="00122D46" w:rsidP="00122D46">
      <w:pPr>
        <w:spacing w:after="120"/>
        <w:rPr>
          <w:rFonts w:ascii="Times New Roman" w:hAnsi="Times New Roman" w:cs="Times New Roman"/>
          <w:b/>
          <w:szCs w:val="28"/>
        </w:rPr>
      </w:pPr>
      <w:r>
        <w:rPr>
          <w:rFonts w:ascii="Times New Roman" w:hAnsi="Times New Roman" w:cs="Times New Roman"/>
          <w:b/>
          <w:szCs w:val="28"/>
        </w:rPr>
        <w:tab/>
      </w:r>
      <w:r w:rsidR="00184926" w:rsidRPr="00122D46">
        <w:rPr>
          <w:rFonts w:ascii="Times New Roman" w:hAnsi="Times New Roman" w:cs="Times New Roman"/>
          <w:sz w:val="20"/>
          <w:szCs w:val="20"/>
        </w:rPr>
        <w:t>It</w:t>
      </w:r>
      <w:r w:rsidR="008A1B1F" w:rsidRPr="00122D46">
        <w:rPr>
          <w:rFonts w:ascii="Times New Roman" w:hAnsi="Times New Roman" w:cs="Times New Roman"/>
          <w:sz w:val="20"/>
          <w:szCs w:val="20"/>
        </w:rPr>
        <w:t xml:space="preserve"> is seen in the table 05</w:t>
      </w:r>
      <w:r w:rsidR="00DD4306" w:rsidRPr="00122D46">
        <w:rPr>
          <w:rFonts w:ascii="Times New Roman" w:hAnsi="Times New Roman" w:cs="Times New Roman"/>
          <w:sz w:val="20"/>
          <w:szCs w:val="20"/>
        </w:rPr>
        <w:t>, there is an up</w:t>
      </w:r>
      <w:r w:rsidR="00184926" w:rsidRPr="00122D46">
        <w:rPr>
          <w:rFonts w:ascii="Times New Roman" w:hAnsi="Times New Roman" w:cs="Times New Roman"/>
          <w:sz w:val="20"/>
          <w:szCs w:val="20"/>
        </w:rPr>
        <w:t>war</w:t>
      </w:r>
      <w:r w:rsidR="00DD4306" w:rsidRPr="00122D46">
        <w:rPr>
          <w:rFonts w:ascii="Times New Roman" w:hAnsi="Times New Roman" w:cs="Times New Roman"/>
          <w:sz w:val="20"/>
          <w:szCs w:val="20"/>
        </w:rPr>
        <w:t>d trend of insurance density</w:t>
      </w:r>
      <w:r w:rsidR="00184926" w:rsidRPr="00122D46">
        <w:rPr>
          <w:rFonts w:ascii="Times New Roman" w:hAnsi="Times New Roman" w:cs="Times New Roman"/>
          <w:sz w:val="20"/>
          <w:szCs w:val="20"/>
        </w:rPr>
        <w:t xml:space="preserve"> in b</w:t>
      </w:r>
      <w:r w:rsidR="009B28DD" w:rsidRPr="00122D46">
        <w:rPr>
          <w:rFonts w:ascii="Times New Roman" w:hAnsi="Times New Roman" w:cs="Times New Roman"/>
          <w:sz w:val="20"/>
          <w:szCs w:val="20"/>
        </w:rPr>
        <w:t xml:space="preserve">oth life and nonlife </w:t>
      </w:r>
      <w:r w:rsidR="00184926" w:rsidRPr="00122D46">
        <w:rPr>
          <w:rFonts w:ascii="Times New Roman" w:hAnsi="Times New Roman" w:cs="Times New Roman"/>
          <w:sz w:val="20"/>
          <w:szCs w:val="20"/>
        </w:rPr>
        <w:t>sec</w:t>
      </w:r>
      <w:r w:rsidR="00DD4306" w:rsidRPr="00122D46">
        <w:rPr>
          <w:rFonts w:ascii="Times New Roman" w:hAnsi="Times New Roman" w:cs="Times New Roman"/>
          <w:sz w:val="20"/>
          <w:szCs w:val="20"/>
        </w:rPr>
        <w:t>tor. In 2009, insurance density of life sector was Tk. 327.57 and Tk.92.36</w:t>
      </w:r>
      <w:r w:rsidR="00184926" w:rsidRPr="00122D46">
        <w:rPr>
          <w:rFonts w:ascii="Times New Roman" w:hAnsi="Times New Roman" w:cs="Times New Roman"/>
          <w:sz w:val="20"/>
          <w:szCs w:val="20"/>
        </w:rPr>
        <w:t xml:space="preserve"> against nonlife sector.</w:t>
      </w:r>
      <w:r w:rsidR="00DD4306" w:rsidRPr="00122D46">
        <w:rPr>
          <w:rFonts w:ascii="Times New Roman" w:hAnsi="Times New Roman" w:cs="Times New Roman"/>
          <w:sz w:val="20"/>
          <w:szCs w:val="20"/>
        </w:rPr>
        <w:t xml:space="preserve"> The combine insurance density was Tk.</w:t>
      </w:r>
      <w:r w:rsidR="00131C1A" w:rsidRPr="00122D46">
        <w:rPr>
          <w:rFonts w:ascii="Times New Roman" w:hAnsi="Times New Roman" w:cs="Times New Roman"/>
          <w:sz w:val="20"/>
          <w:szCs w:val="20"/>
        </w:rPr>
        <w:t>419.94 and USD 6.10.</w:t>
      </w:r>
      <w:r w:rsidR="00184926" w:rsidRPr="00122D46">
        <w:rPr>
          <w:rFonts w:ascii="Times New Roman" w:hAnsi="Times New Roman" w:cs="Times New Roman"/>
          <w:sz w:val="20"/>
          <w:szCs w:val="20"/>
        </w:rPr>
        <w:t xml:space="preserve"> </w:t>
      </w:r>
      <w:r w:rsidR="00131C1A" w:rsidRPr="00122D46">
        <w:rPr>
          <w:rFonts w:ascii="Times New Roman" w:hAnsi="Times New Roman" w:cs="Times New Roman"/>
          <w:sz w:val="20"/>
          <w:szCs w:val="20"/>
        </w:rPr>
        <w:t xml:space="preserve">Insurance density </w:t>
      </w:r>
      <w:r w:rsidR="00184926" w:rsidRPr="00122D46">
        <w:rPr>
          <w:rFonts w:ascii="Times New Roman" w:hAnsi="Times New Roman" w:cs="Times New Roman"/>
          <w:sz w:val="20"/>
          <w:szCs w:val="20"/>
        </w:rPr>
        <w:t>o</w:t>
      </w:r>
      <w:r w:rsidR="00131C1A" w:rsidRPr="00122D46">
        <w:rPr>
          <w:rFonts w:ascii="Times New Roman" w:hAnsi="Times New Roman" w:cs="Times New Roman"/>
          <w:sz w:val="20"/>
          <w:szCs w:val="20"/>
        </w:rPr>
        <w:t>f life insurance was Tk.422.99 and Tk.139.17</w:t>
      </w:r>
      <w:r w:rsidR="00184926" w:rsidRPr="00122D46">
        <w:rPr>
          <w:rFonts w:ascii="Times New Roman" w:hAnsi="Times New Roman" w:cs="Times New Roman"/>
          <w:sz w:val="20"/>
          <w:szCs w:val="20"/>
        </w:rPr>
        <w:t xml:space="preserve"> was against nonlife sector in 2012. </w:t>
      </w:r>
      <w:r w:rsidR="00131C1A" w:rsidRPr="00122D46">
        <w:rPr>
          <w:rFonts w:ascii="Times New Roman" w:hAnsi="Times New Roman" w:cs="Times New Roman"/>
          <w:sz w:val="20"/>
          <w:szCs w:val="20"/>
        </w:rPr>
        <w:t xml:space="preserve">The combine density was Tk. 562.16 and USD 7.10. </w:t>
      </w:r>
      <w:r w:rsidR="00184926" w:rsidRPr="00122D46">
        <w:rPr>
          <w:rFonts w:ascii="Times New Roman" w:hAnsi="Times New Roman" w:cs="Times New Roman"/>
          <w:sz w:val="20"/>
          <w:szCs w:val="20"/>
        </w:rPr>
        <w:t xml:space="preserve">A continuous </w:t>
      </w:r>
      <w:r w:rsidR="00131C1A" w:rsidRPr="00122D46">
        <w:rPr>
          <w:rFonts w:ascii="Times New Roman" w:hAnsi="Times New Roman" w:cs="Times New Roman"/>
          <w:sz w:val="20"/>
          <w:szCs w:val="20"/>
        </w:rPr>
        <w:t>up</w:t>
      </w:r>
      <w:r w:rsidR="00184926" w:rsidRPr="00122D46">
        <w:rPr>
          <w:rFonts w:ascii="Times New Roman" w:hAnsi="Times New Roman" w:cs="Times New Roman"/>
          <w:sz w:val="20"/>
          <w:szCs w:val="20"/>
        </w:rPr>
        <w:t>ward tre</w:t>
      </w:r>
      <w:r w:rsidR="00131C1A" w:rsidRPr="00122D46">
        <w:rPr>
          <w:rFonts w:ascii="Times New Roman" w:hAnsi="Times New Roman" w:cs="Times New Roman"/>
          <w:sz w:val="20"/>
          <w:szCs w:val="20"/>
        </w:rPr>
        <w:t>nd of insurance density is</w:t>
      </w:r>
      <w:r w:rsidR="00184926" w:rsidRPr="00122D46">
        <w:rPr>
          <w:rFonts w:ascii="Times New Roman" w:hAnsi="Times New Roman" w:cs="Times New Roman"/>
          <w:sz w:val="20"/>
          <w:szCs w:val="20"/>
        </w:rPr>
        <w:t xml:space="preserve"> ob</w:t>
      </w:r>
      <w:r w:rsidR="00F205C1" w:rsidRPr="00122D46">
        <w:rPr>
          <w:rFonts w:ascii="Times New Roman" w:hAnsi="Times New Roman" w:cs="Times New Roman"/>
          <w:sz w:val="20"/>
          <w:szCs w:val="20"/>
        </w:rPr>
        <w:t>serving from 20009</w:t>
      </w:r>
      <w:r w:rsidR="00184926" w:rsidRPr="00122D46">
        <w:rPr>
          <w:rFonts w:ascii="Times New Roman" w:hAnsi="Times New Roman" w:cs="Times New Roman"/>
          <w:sz w:val="20"/>
          <w:szCs w:val="20"/>
        </w:rPr>
        <w:t xml:space="preserve"> to 2018.</w:t>
      </w:r>
      <w:r w:rsidR="00131C1A" w:rsidRPr="00122D46">
        <w:rPr>
          <w:rFonts w:ascii="Times New Roman" w:hAnsi="Times New Roman" w:cs="Times New Roman"/>
          <w:sz w:val="20"/>
          <w:szCs w:val="20"/>
        </w:rPr>
        <w:t xml:space="preserve"> </w:t>
      </w:r>
      <w:proofErr w:type="gramStart"/>
      <w:r w:rsidR="00131C1A" w:rsidRPr="00122D46">
        <w:rPr>
          <w:rFonts w:ascii="Times New Roman" w:hAnsi="Times New Roman" w:cs="Times New Roman"/>
          <w:sz w:val="20"/>
          <w:szCs w:val="20"/>
        </w:rPr>
        <w:t xml:space="preserve">Insurance density of life insurance sector upward from Tk. 422.99 to Tk.556.69 </w:t>
      </w:r>
      <w:r w:rsidR="00184926" w:rsidRPr="00122D46">
        <w:rPr>
          <w:rFonts w:ascii="Times New Roman" w:hAnsi="Times New Roman" w:cs="Times New Roman"/>
          <w:sz w:val="20"/>
          <w:szCs w:val="20"/>
        </w:rPr>
        <w:t>from 2012 to 2018.</w:t>
      </w:r>
      <w:proofErr w:type="gramEnd"/>
      <w:r w:rsidR="00184926" w:rsidRPr="00122D46">
        <w:rPr>
          <w:rFonts w:ascii="Times New Roman" w:hAnsi="Times New Roman" w:cs="Times New Roman"/>
          <w:sz w:val="20"/>
          <w:szCs w:val="20"/>
        </w:rPr>
        <w:t xml:space="preserve"> </w:t>
      </w:r>
      <w:proofErr w:type="gramStart"/>
      <w:r w:rsidR="00131C1A" w:rsidRPr="00122D46">
        <w:rPr>
          <w:rFonts w:ascii="Times New Roman" w:hAnsi="Times New Roman" w:cs="Times New Roman"/>
          <w:sz w:val="20"/>
          <w:szCs w:val="20"/>
        </w:rPr>
        <w:t xml:space="preserve">Insurance density </w:t>
      </w:r>
      <w:r w:rsidR="00184926" w:rsidRPr="00122D46">
        <w:rPr>
          <w:rFonts w:ascii="Times New Roman" w:hAnsi="Times New Roman" w:cs="Times New Roman"/>
          <w:sz w:val="20"/>
          <w:szCs w:val="20"/>
        </w:rPr>
        <w:t>of non-life in</w:t>
      </w:r>
      <w:r w:rsidR="00131C1A" w:rsidRPr="00122D46">
        <w:rPr>
          <w:rFonts w:ascii="Times New Roman" w:hAnsi="Times New Roman" w:cs="Times New Roman"/>
          <w:sz w:val="20"/>
          <w:szCs w:val="20"/>
        </w:rPr>
        <w:t xml:space="preserve">surance sector upward from Tk.139.17 to </w:t>
      </w:r>
      <w:proofErr w:type="spellStart"/>
      <w:r w:rsidR="00131C1A" w:rsidRPr="00122D46">
        <w:rPr>
          <w:rFonts w:ascii="Times New Roman" w:hAnsi="Times New Roman" w:cs="Times New Roman"/>
          <w:sz w:val="20"/>
          <w:szCs w:val="20"/>
        </w:rPr>
        <w:t>Tk</w:t>
      </w:r>
      <w:proofErr w:type="spellEnd"/>
      <w:r w:rsidR="00131C1A" w:rsidRPr="00122D46">
        <w:rPr>
          <w:rFonts w:ascii="Times New Roman" w:hAnsi="Times New Roman" w:cs="Times New Roman"/>
          <w:sz w:val="20"/>
          <w:szCs w:val="20"/>
        </w:rPr>
        <w:t xml:space="preserve"> 285.93 </w:t>
      </w:r>
      <w:r w:rsidR="00184926" w:rsidRPr="00122D46">
        <w:rPr>
          <w:rFonts w:ascii="Times New Roman" w:hAnsi="Times New Roman" w:cs="Times New Roman"/>
          <w:sz w:val="20"/>
          <w:szCs w:val="20"/>
        </w:rPr>
        <w:t>from 2012 to 2018.</w:t>
      </w:r>
      <w:proofErr w:type="gramEnd"/>
      <w:r w:rsidR="00184926" w:rsidRPr="00122D46">
        <w:rPr>
          <w:rFonts w:ascii="Times New Roman" w:hAnsi="Times New Roman" w:cs="Times New Roman"/>
          <w:sz w:val="20"/>
          <w:szCs w:val="20"/>
        </w:rPr>
        <w:t xml:space="preserve"> </w:t>
      </w:r>
      <w:r w:rsidR="00064564" w:rsidRPr="00122D46">
        <w:rPr>
          <w:rFonts w:ascii="Times New Roman" w:hAnsi="Times New Roman" w:cs="Times New Roman"/>
          <w:sz w:val="20"/>
          <w:szCs w:val="20"/>
        </w:rPr>
        <w:t xml:space="preserve">There is an upward trend </w:t>
      </w:r>
      <w:r w:rsidR="00131C1A" w:rsidRPr="00122D46">
        <w:rPr>
          <w:rFonts w:ascii="Times New Roman" w:hAnsi="Times New Roman" w:cs="Times New Roman"/>
          <w:sz w:val="20"/>
          <w:szCs w:val="20"/>
        </w:rPr>
        <w:t xml:space="preserve">of insurance industry </w:t>
      </w:r>
      <w:r w:rsidR="00064564" w:rsidRPr="00122D46">
        <w:rPr>
          <w:rFonts w:ascii="Times New Roman" w:hAnsi="Times New Roman" w:cs="Times New Roman"/>
          <w:sz w:val="20"/>
          <w:szCs w:val="20"/>
        </w:rPr>
        <w:t xml:space="preserve">of Bangladesh </w:t>
      </w:r>
      <w:r w:rsidR="00214AFC" w:rsidRPr="00122D46">
        <w:rPr>
          <w:rFonts w:ascii="Times New Roman" w:hAnsi="Times New Roman" w:cs="Times New Roman"/>
          <w:sz w:val="20"/>
          <w:szCs w:val="20"/>
        </w:rPr>
        <w:t>from Tk. 562.16 to Tk.842.62</w:t>
      </w:r>
      <w:r w:rsidR="00F205C1" w:rsidRPr="00122D46">
        <w:rPr>
          <w:rFonts w:ascii="Times New Roman" w:hAnsi="Times New Roman" w:cs="Times New Roman"/>
          <w:sz w:val="20"/>
          <w:szCs w:val="20"/>
        </w:rPr>
        <w:t xml:space="preserve"> and USD 7.10 to USD 9.79 from 2012 to 2018.</w:t>
      </w:r>
      <w:r w:rsidR="00131C1A" w:rsidRPr="00122D46">
        <w:rPr>
          <w:rFonts w:ascii="Times New Roman" w:hAnsi="Times New Roman" w:cs="Times New Roman"/>
          <w:sz w:val="20"/>
          <w:szCs w:val="20"/>
        </w:rPr>
        <w:t xml:space="preserve"> </w:t>
      </w:r>
      <w:r w:rsidR="00064564" w:rsidRPr="00122D46">
        <w:rPr>
          <w:rFonts w:ascii="Times New Roman" w:hAnsi="Times New Roman" w:cs="Times New Roman"/>
          <w:sz w:val="20"/>
          <w:szCs w:val="20"/>
        </w:rPr>
        <w:t xml:space="preserve">Due to a better progress portion of premium is higher than population progress rate, insurance density is upward trend. </w:t>
      </w:r>
      <w:r w:rsidR="00233F74" w:rsidRPr="00122D46">
        <w:rPr>
          <w:rFonts w:ascii="Times New Roman" w:hAnsi="Times New Roman" w:cs="Times New Roman"/>
          <w:sz w:val="20"/>
          <w:szCs w:val="20"/>
        </w:rPr>
        <w:t>A reflection of trend of insurance den</w:t>
      </w:r>
      <w:r w:rsidR="00392765" w:rsidRPr="00122D46">
        <w:rPr>
          <w:rFonts w:ascii="Times New Roman" w:hAnsi="Times New Roman" w:cs="Times New Roman"/>
          <w:sz w:val="20"/>
          <w:szCs w:val="20"/>
        </w:rPr>
        <w:t xml:space="preserve">sity has been shown in chart 04 </w:t>
      </w:r>
    </w:p>
    <w:p w:rsidR="003417B3" w:rsidRPr="00122D46" w:rsidRDefault="00122D46" w:rsidP="00122D46">
      <w:pPr>
        <w:spacing w:after="120" w:line="240" w:lineRule="auto"/>
        <w:ind w:left="450" w:firstLine="630"/>
        <w:jc w:val="center"/>
        <w:rPr>
          <w:rFonts w:ascii="Times New Roman" w:hAnsi="Times New Roman" w:cs="Times New Roman"/>
          <w:sz w:val="20"/>
          <w:szCs w:val="20"/>
        </w:rPr>
      </w:pPr>
      <w:r w:rsidRPr="00122D46">
        <w:rPr>
          <w:rFonts w:ascii="Times New Roman" w:hAnsi="Times New Roman" w:cs="Times New Roman"/>
          <w:b/>
          <w:sz w:val="20"/>
          <w:szCs w:val="20"/>
        </w:rPr>
        <w:t xml:space="preserve">Chart </w:t>
      </w:r>
      <w:r w:rsidR="003417B3" w:rsidRPr="00122D46">
        <w:rPr>
          <w:rFonts w:ascii="Times New Roman" w:hAnsi="Times New Roman" w:cs="Times New Roman"/>
          <w:b/>
          <w:sz w:val="20"/>
          <w:szCs w:val="20"/>
        </w:rPr>
        <w:t>4</w:t>
      </w:r>
      <w:proofErr w:type="gramStart"/>
      <w:r w:rsidRPr="00122D46">
        <w:rPr>
          <w:rFonts w:ascii="Times New Roman" w:hAnsi="Times New Roman" w:cs="Times New Roman"/>
          <w:b/>
          <w:sz w:val="20"/>
          <w:szCs w:val="20"/>
        </w:rPr>
        <w:t>:</w:t>
      </w:r>
      <w:r w:rsidR="003417B3" w:rsidRPr="00122D46">
        <w:rPr>
          <w:rFonts w:ascii="Times New Roman" w:hAnsi="Times New Roman" w:cs="Times New Roman"/>
          <w:b/>
          <w:sz w:val="20"/>
          <w:szCs w:val="20"/>
        </w:rPr>
        <w:t>Insurance</w:t>
      </w:r>
      <w:proofErr w:type="gramEnd"/>
      <w:r w:rsidR="003417B3" w:rsidRPr="00122D46">
        <w:rPr>
          <w:rFonts w:ascii="Times New Roman" w:hAnsi="Times New Roman" w:cs="Times New Roman"/>
          <w:b/>
          <w:sz w:val="20"/>
          <w:szCs w:val="20"/>
        </w:rPr>
        <w:t xml:space="preserve"> Density of Life and Nonlife insurance in Bangladesh</w:t>
      </w:r>
      <w:r w:rsidR="003417B3" w:rsidRPr="00122D46">
        <w:rPr>
          <w:rFonts w:ascii="Times New Roman" w:hAnsi="Times New Roman" w:cs="Times New Roman"/>
          <w:sz w:val="20"/>
          <w:szCs w:val="20"/>
        </w:rPr>
        <w:t>.</w:t>
      </w:r>
    </w:p>
    <w:p w:rsidR="00BE61EE" w:rsidRPr="003758B3" w:rsidRDefault="00BA1173" w:rsidP="00392765">
      <w:pPr>
        <w:spacing w:after="120" w:line="480" w:lineRule="auto"/>
        <w:ind w:left="450" w:firstLine="630"/>
        <w:jc w:val="both"/>
        <w:rPr>
          <w:rFonts w:ascii="Times New Roman" w:hAnsi="Times New Roman" w:cs="Times New Roman"/>
          <w:szCs w:val="28"/>
        </w:rPr>
      </w:pPr>
      <w:r>
        <w:rPr>
          <w:noProof/>
        </w:rPr>
        <w:drawing>
          <wp:inline distT="0" distB="0" distL="0" distR="0" wp14:anchorId="4C6C3257" wp14:editId="6DD412B0">
            <wp:extent cx="4848225" cy="2271395"/>
            <wp:effectExtent l="0" t="0" r="9525" b="146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22D46" w:rsidRPr="0089720C" w:rsidRDefault="0089720C" w:rsidP="0089720C">
      <w:pPr>
        <w:spacing w:after="120"/>
        <w:rPr>
          <w:rFonts w:ascii="Times New Roman" w:hAnsi="Times New Roman" w:cs="Times New Roman"/>
          <w:b/>
          <w:color w:val="0070C0"/>
          <w:sz w:val="24"/>
          <w:szCs w:val="24"/>
        </w:rPr>
      </w:pPr>
      <w:proofErr w:type="spellStart"/>
      <w:proofErr w:type="gramStart"/>
      <w:r>
        <w:rPr>
          <w:rFonts w:ascii="Times New Roman" w:hAnsi="Times New Roman" w:cs="Times New Roman"/>
          <w:b/>
          <w:sz w:val="20"/>
          <w:szCs w:val="20"/>
        </w:rPr>
        <w:t>b.</w:t>
      </w:r>
      <w:r w:rsidR="003F5A78" w:rsidRPr="0089720C">
        <w:rPr>
          <w:rFonts w:ascii="Times New Roman" w:hAnsi="Times New Roman" w:cs="Times New Roman"/>
          <w:b/>
          <w:sz w:val="20"/>
          <w:szCs w:val="20"/>
        </w:rPr>
        <w:t>Total</w:t>
      </w:r>
      <w:proofErr w:type="spellEnd"/>
      <w:proofErr w:type="gramEnd"/>
      <w:r w:rsidR="003F5A78" w:rsidRPr="0089720C">
        <w:rPr>
          <w:rFonts w:ascii="Times New Roman" w:hAnsi="Times New Roman" w:cs="Times New Roman"/>
          <w:b/>
          <w:sz w:val="20"/>
          <w:szCs w:val="20"/>
        </w:rPr>
        <w:t xml:space="preserve"> Asset, Premium&amp; Investment of Insurance Industry in Bangladesh</w:t>
      </w:r>
    </w:p>
    <w:p w:rsidR="00184190" w:rsidRPr="00122D46" w:rsidRDefault="0089720C" w:rsidP="00122D46">
      <w:pPr>
        <w:spacing w:after="120"/>
        <w:jc w:val="both"/>
        <w:rPr>
          <w:rFonts w:ascii="Times New Roman" w:hAnsi="Times New Roman" w:cs="Times New Roman"/>
          <w:b/>
          <w:color w:val="0070C0"/>
          <w:sz w:val="20"/>
          <w:szCs w:val="20"/>
        </w:rPr>
      </w:pPr>
      <w:r>
        <w:rPr>
          <w:rFonts w:ascii="Times New Roman" w:hAnsi="Times New Roman" w:cs="Times New Roman"/>
          <w:sz w:val="20"/>
          <w:szCs w:val="20"/>
        </w:rPr>
        <w:tab/>
      </w:r>
      <w:r w:rsidR="004E3047" w:rsidRPr="00122D46">
        <w:rPr>
          <w:rFonts w:ascii="Times New Roman" w:hAnsi="Times New Roman" w:cs="Times New Roman"/>
          <w:sz w:val="20"/>
          <w:szCs w:val="20"/>
        </w:rPr>
        <w:t xml:space="preserve">Premium income, investment and assets are correlated to each other’s. If premium increases, investment will increase, also assets. The economy of Bangladesh is growing up day by day due to the infrastructural development. </w:t>
      </w:r>
      <w:proofErr w:type="gramStart"/>
      <w:r w:rsidR="004E3047" w:rsidRPr="00122D46">
        <w:rPr>
          <w:rFonts w:ascii="Times New Roman" w:hAnsi="Times New Roman" w:cs="Times New Roman"/>
          <w:sz w:val="20"/>
          <w:szCs w:val="20"/>
        </w:rPr>
        <w:t>As the consequence of this development, premium income, investment and assets of insurance industry increasing day by day.</w:t>
      </w:r>
      <w:proofErr w:type="gramEnd"/>
      <w:r w:rsidR="004E3047" w:rsidRPr="00122D46">
        <w:rPr>
          <w:rFonts w:ascii="Times New Roman" w:hAnsi="Times New Roman" w:cs="Times New Roman"/>
          <w:sz w:val="20"/>
          <w:szCs w:val="20"/>
        </w:rPr>
        <w:t xml:space="preserve"> </w:t>
      </w:r>
      <w:r w:rsidR="00F30E23" w:rsidRPr="00122D46">
        <w:rPr>
          <w:rFonts w:ascii="Times New Roman" w:hAnsi="Times New Roman" w:cs="Times New Roman"/>
          <w:sz w:val="20"/>
          <w:szCs w:val="20"/>
        </w:rPr>
        <w:t>The growth of insurance industry is an up word trend during the study period</w:t>
      </w:r>
      <w:proofErr w:type="gramStart"/>
      <w:r w:rsidR="00F30E23" w:rsidRPr="00122D46">
        <w:rPr>
          <w:rFonts w:ascii="Times New Roman" w:hAnsi="Times New Roman" w:cs="Times New Roman"/>
          <w:sz w:val="20"/>
          <w:szCs w:val="20"/>
        </w:rPr>
        <w:t>.</w:t>
      </w:r>
      <w:r w:rsidR="004E3047" w:rsidRPr="00122D46">
        <w:rPr>
          <w:rFonts w:ascii="Times New Roman" w:hAnsi="Times New Roman" w:cs="Times New Roman"/>
          <w:sz w:val="20"/>
          <w:szCs w:val="20"/>
        </w:rPr>
        <w:t>.</w:t>
      </w:r>
      <w:proofErr w:type="gramEnd"/>
      <w:r w:rsidR="00AA5C59" w:rsidRPr="00122D46">
        <w:rPr>
          <w:rFonts w:ascii="Times New Roman" w:hAnsi="Times New Roman" w:cs="Times New Roman"/>
          <w:sz w:val="20"/>
          <w:szCs w:val="20"/>
        </w:rPr>
        <w:t xml:space="preserve"> </w:t>
      </w:r>
      <w:r w:rsidR="004E3047" w:rsidRPr="00122D46">
        <w:rPr>
          <w:rFonts w:ascii="Times New Roman" w:hAnsi="Times New Roman" w:cs="Times New Roman"/>
          <w:sz w:val="20"/>
          <w:szCs w:val="20"/>
        </w:rPr>
        <w:t xml:space="preserve">This scenario </w:t>
      </w:r>
      <w:r w:rsidR="00AA5C59" w:rsidRPr="00122D46">
        <w:rPr>
          <w:rFonts w:ascii="Times New Roman" w:hAnsi="Times New Roman" w:cs="Times New Roman"/>
          <w:sz w:val="20"/>
          <w:szCs w:val="20"/>
        </w:rPr>
        <w:t>has gi</w:t>
      </w:r>
      <w:r w:rsidR="008A1B1F" w:rsidRPr="00122D46">
        <w:rPr>
          <w:rFonts w:ascii="Times New Roman" w:hAnsi="Times New Roman" w:cs="Times New Roman"/>
          <w:sz w:val="20"/>
          <w:szCs w:val="20"/>
        </w:rPr>
        <w:t>ven in Table 06</w:t>
      </w:r>
      <w:r w:rsidR="00AA5C59" w:rsidRPr="00122D46">
        <w:rPr>
          <w:rFonts w:ascii="Times New Roman" w:hAnsi="Times New Roman" w:cs="Times New Roman"/>
          <w:sz w:val="20"/>
          <w:szCs w:val="20"/>
        </w:rPr>
        <w:t xml:space="preserve"> from 2009 to 2018</w:t>
      </w:r>
    </w:p>
    <w:p w:rsidR="00BC450E" w:rsidRPr="00122D46" w:rsidRDefault="00122D46" w:rsidP="00122D46">
      <w:pPr>
        <w:spacing w:after="120"/>
        <w:jc w:val="center"/>
        <w:rPr>
          <w:rFonts w:ascii="Times New Roman" w:hAnsi="Times New Roman" w:cs="Times New Roman"/>
          <w:b/>
          <w:sz w:val="20"/>
          <w:szCs w:val="20"/>
        </w:rPr>
      </w:pPr>
      <w:r w:rsidRPr="00122D46">
        <w:rPr>
          <w:rFonts w:ascii="Times New Roman" w:hAnsi="Times New Roman" w:cs="Times New Roman"/>
          <w:b/>
          <w:sz w:val="20"/>
          <w:szCs w:val="20"/>
        </w:rPr>
        <w:lastRenderedPageBreak/>
        <w:t xml:space="preserve">Table </w:t>
      </w:r>
      <w:r w:rsidR="008A1B1F" w:rsidRPr="00122D46">
        <w:rPr>
          <w:rFonts w:ascii="Times New Roman" w:hAnsi="Times New Roman" w:cs="Times New Roman"/>
          <w:b/>
          <w:sz w:val="20"/>
          <w:szCs w:val="20"/>
        </w:rPr>
        <w:t>6</w:t>
      </w:r>
      <w:proofErr w:type="gramStart"/>
      <w:r w:rsidRPr="00122D46">
        <w:rPr>
          <w:rFonts w:ascii="Times New Roman" w:hAnsi="Times New Roman" w:cs="Times New Roman"/>
          <w:b/>
          <w:sz w:val="20"/>
          <w:szCs w:val="20"/>
        </w:rPr>
        <w:t>:</w:t>
      </w:r>
      <w:r w:rsidR="00B13FB9" w:rsidRPr="00122D46">
        <w:rPr>
          <w:rFonts w:ascii="Times New Roman" w:hAnsi="Times New Roman" w:cs="Times New Roman"/>
          <w:b/>
          <w:sz w:val="20"/>
          <w:szCs w:val="20"/>
        </w:rPr>
        <w:t>Total</w:t>
      </w:r>
      <w:proofErr w:type="gramEnd"/>
      <w:r w:rsidR="00B13FB9" w:rsidRPr="00122D46">
        <w:rPr>
          <w:rFonts w:ascii="Times New Roman" w:hAnsi="Times New Roman" w:cs="Times New Roman"/>
          <w:b/>
          <w:sz w:val="20"/>
          <w:szCs w:val="20"/>
        </w:rPr>
        <w:t xml:space="preserve"> </w:t>
      </w:r>
      <w:r w:rsidR="00624CAD" w:rsidRPr="00122D46">
        <w:rPr>
          <w:rFonts w:ascii="Times New Roman" w:hAnsi="Times New Roman" w:cs="Times New Roman"/>
          <w:b/>
          <w:sz w:val="20"/>
          <w:szCs w:val="20"/>
        </w:rPr>
        <w:t>Premium</w:t>
      </w:r>
      <w:r w:rsidR="00AA5C59" w:rsidRPr="00122D46">
        <w:rPr>
          <w:rFonts w:ascii="Times New Roman" w:hAnsi="Times New Roman" w:cs="Times New Roman"/>
          <w:b/>
          <w:sz w:val="20"/>
          <w:szCs w:val="20"/>
        </w:rPr>
        <w:t xml:space="preserve">, Asset and Investment </w:t>
      </w:r>
      <w:r w:rsidR="00624CAD" w:rsidRPr="00122D46">
        <w:rPr>
          <w:rFonts w:ascii="Times New Roman" w:hAnsi="Times New Roman" w:cs="Times New Roman"/>
          <w:b/>
          <w:sz w:val="20"/>
          <w:szCs w:val="20"/>
        </w:rPr>
        <w:t>of Insurance Industry</w:t>
      </w:r>
      <w:r w:rsidR="00BC450E" w:rsidRPr="00122D46">
        <w:rPr>
          <w:rFonts w:ascii="Times New Roman" w:hAnsi="Times New Roman" w:cs="Times New Roman"/>
          <w:b/>
          <w:sz w:val="20"/>
          <w:szCs w:val="20"/>
        </w:rPr>
        <w:t xml:space="preserve"> in </w:t>
      </w:r>
      <w:r w:rsidR="009F61D3" w:rsidRPr="00122D46">
        <w:rPr>
          <w:rFonts w:ascii="Times New Roman" w:hAnsi="Times New Roman" w:cs="Times New Roman"/>
          <w:b/>
          <w:sz w:val="20"/>
          <w:szCs w:val="20"/>
        </w:rPr>
        <w:t xml:space="preserve">Bangladesh </w:t>
      </w:r>
    </w:p>
    <w:p w:rsidR="00B13FB9" w:rsidRPr="00153A91" w:rsidRDefault="00BC450E" w:rsidP="00BC450E">
      <w:pPr>
        <w:spacing w:after="120"/>
        <w:jc w:val="center"/>
        <w:rPr>
          <w:rFonts w:ascii="Times New Roman" w:hAnsi="Times New Roman" w:cs="Times New Roman"/>
          <w:b/>
          <w:sz w:val="24"/>
          <w:szCs w:val="24"/>
        </w:rPr>
      </w:pPr>
      <w:r w:rsidRPr="00153A91">
        <w:rPr>
          <w:rFonts w:ascii="Times New Roman" w:hAnsi="Times New Roman" w:cs="Times New Roman"/>
          <w:b/>
          <w:sz w:val="24"/>
          <w:szCs w:val="24"/>
        </w:rPr>
        <w:t xml:space="preserve">                                                                                              </w:t>
      </w:r>
      <w:r w:rsidR="009F61D3" w:rsidRPr="00153A91">
        <w:rPr>
          <w:rFonts w:ascii="Times New Roman" w:hAnsi="Times New Roman" w:cs="Times New Roman"/>
          <w:b/>
          <w:sz w:val="20"/>
          <w:szCs w:val="20"/>
        </w:rPr>
        <w:t>(</w:t>
      </w:r>
      <w:r w:rsidR="00B13FB9" w:rsidRPr="00153A91">
        <w:rPr>
          <w:rFonts w:ascii="Times New Roman" w:hAnsi="Times New Roman" w:cs="Times New Roman"/>
          <w:b/>
          <w:sz w:val="20"/>
          <w:szCs w:val="20"/>
        </w:rPr>
        <w:t>TK.</w:t>
      </w:r>
      <w:r w:rsidR="009F61D3" w:rsidRPr="00153A91">
        <w:rPr>
          <w:rFonts w:ascii="Times New Roman" w:hAnsi="Times New Roman" w:cs="Times New Roman"/>
          <w:b/>
          <w:sz w:val="20"/>
          <w:szCs w:val="20"/>
        </w:rPr>
        <w:t>in Crore</w:t>
      </w:r>
      <w:r w:rsidR="00B13FB9" w:rsidRPr="00153A91">
        <w:rPr>
          <w:rFonts w:ascii="Times New Roman" w:hAnsi="Times New Roman" w:cs="Times New Roman"/>
          <w:b/>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1530"/>
        <w:gridCol w:w="2070"/>
        <w:gridCol w:w="2250"/>
      </w:tblGrid>
      <w:tr w:rsidR="007A7ED9" w:rsidRPr="00E10B2A" w:rsidTr="00AE1002">
        <w:trPr>
          <w:trHeight w:val="206"/>
          <w:jc w:val="center"/>
        </w:trPr>
        <w:tc>
          <w:tcPr>
            <w:tcW w:w="1692" w:type="dxa"/>
            <w:vAlign w:val="bottom"/>
          </w:tcPr>
          <w:p w:rsidR="007A7ED9" w:rsidRPr="00122D46" w:rsidRDefault="007A7ED9" w:rsidP="00785653">
            <w:pPr>
              <w:jc w:val="center"/>
              <w:rPr>
                <w:rFonts w:ascii="Times New Roman" w:hAnsi="Times New Roman" w:cs="Times New Roman"/>
                <w:sz w:val="20"/>
                <w:szCs w:val="20"/>
              </w:rPr>
            </w:pPr>
            <w:r w:rsidRPr="00122D46">
              <w:rPr>
                <w:rFonts w:ascii="Times New Roman" w:hAnsi="Times New Roman" w:cs="Times New Roman"/>
                <w:sz w:val="20"/>
                <w:szCs w:val="20"/>
              </w:rPr>
              <w:t>Year</w:t>
            </w:r>
          </w:p>
        </w:tc>
        <w:tc>
          <w:tcPr>
            <w:tcW w:w="1530" w:type="dxa"/>
            <w:vAlign w:val="bottom"/>
          </w:tcPr>
          <w:p w:rsidR="007A7ED9" w:rsidRPr="00122D46" w:rsidRDefault="007A7ED9" w:rsidP="00785653">
            <w:pPr>
              <w:jc w:val="center"/>
              <w:rPr>
                <w:rFonts w:ascii="Times New Roman" w:hAnsi="Times New Roman" w:cs="Times New Roman"/>
                <w:sz w:val="20"/>
                <w:szCs w:val="20"/>
              </w:rPr>
            </w:pPr>
            <w:r w:rsidRPr="00122D46">
              <w:rPr>
                <w:rFonts w:ascii="Times New Roman" w:hAnsi="Times New Roman" w:cs="Times New Roman"/>
                <w:sz w:val="20"/>
                <w:szCs w:val="20"/>
              </w:rPr>
              <w:t>Total Asset</w:t>
            </w:r>
          </w:p>
        </w:tc>
        <w:tc>
          <w:tcPr>
            <w:tcW w:w="2070" w:type="dxa"/>
            <w:vAlign w:val="bottom"/>
          </w:tcPr>
          <w:p w:rsidR="007A7ED9" w:rsidRPr="00122D46" w:rsidRDefault="007A7ED9" w:rsidP="00785653">
            <w:pPr>
              <w:jc w:val="center"/>
              <w:rPr>
                <w:rFonts w:ascii="Times New Roman" w:hAnsi="Times New Roman" w:cs="Times New Roman"/>
                <w:sz w:val="20"/>
                <w:szCs w:val="20"/>
              </w:rPr>
            </w:pPr>
            <w:r w:rsidRPr="00122D46">
              <w:rPr>
                <w:rFonts w:ascii="Times New Roman" w:hAnsi="Times New Roman" w:cs="Times New Roman"/>
                <w:sz w:val="20"/>
                <w:szCs w:val="20"/>
              </w:rPr>
              <w:t>Total Premium Income</w:t>
            </w:r>
          </w:p>
        </w:tc>
        <w:tc>
          <w:tcPr>
            <w:tcW w:w="2250" w:type="dxa"/>
            <w:vAlign w:val="bottom"/>
          </w:tcPr>
          <w:p w:rsidR="007A7ED9" w:rsidRPr="00122D46" w:rsidRDefault="007A7ED9" w:rsidP="00785653">
            <w:pPr>
              <w:jc w:val="center"/>
              <w:rPr>
                <w:rFonts w:ascii="Times New Roman" w:hAnsi="Times New Roman" w:cs="Times New Roman"/>
                <w:sz w:val="20"/>
                <w:szCs w:val="20"/>
              </w:rPr>
            </w:pPr>
            <w:r w:rsidRPr="00122D46">
              <w:rPr>
                <w:rFonts w:ascii="Times New Roman" w:hAnsi="Times New Roman" w:cs="Times New Roman"/>
                <w:sz w:val="20"/>
                <w:szCs w:val="20"/>
              </w:rPr>
              <w:t>Total Investment</w:t>
            </w:r>
          </w:p>
        </w:tc>
      </w:tr>
      <w:tr w:rsidR="00520E1E" w:rsidRPr="00E10B2A" w:rsidTr="00AE1002">
        <w:trPr>
          <w:trHeight w:val="221"/>
          <w:jc w:val="center"/>
        </w:trPr>
        <w:tc>
          <w:tcPr>
            <w:tcW w:w="1692"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2009</w:t>
            </w:r>
          </w:p>
        </w:tc>
        <w:tc>
          <w:tcPr>
            <w:tcW w:w="1530"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17369.57</w:t>
            </w:r>
          </w:p>
        </w:tc>
        <w:tc>
          <w:tcPr>
            <w:tcW w:w="2070"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6320.24</w:t>
            </w:r>
          </w:p>
        </w:tc>
        <w:tc>
          <w:tcPr>
            <w:tcW w:w="2250" w:type="dxa"/>
            <w:vAlign w:val="bottom"/>
          </w:tcPr>
          <w:p w:rsidR="00520E1E" w:rsidRPr="00122D46" w:rsidRDefault="00520E1E" w:rsidP="00682FF7">
            <w:pPr>
              <w:jc w:val="center"/>
              <w:rPr>
                <w:rFonts w:ascii="Times New Roman" w:hAnsi="Times New Roman" w:cs="Times New Roman"/>
                <w:sz w:val="20"/>
                <w:szCs w:val="20"/>
              </w:rPr>
            </w:pPr>
            <w:r w:rsidRPr="00122D46">
              <w:rPr>
                <w:rFonts w:ascii="Times New Roman" w:hAnsi="Times New Roman" w:cs="Times New Roman"/>
                <w:sz w:val="20"/>
                <w:szCs w:val="20"/>
              </w:rPr>
              <w:t>11496.25</w:t>
            </w:r>
          </w:p>
        </w:tc>
      </w:tr>
      <w:tr w:rsidR="00520E1E" w:rsidRPr="00E10B2A" w:rsidTr="00AE1002">
        <w:trPr>
          <w:trHeight w:val="221"/>
          <w:jc w:val="center"/>
        </w:trPr>
        <w:tc>
          <w:tcPr>
            <w:tcW w:w="1692"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2010</w:t>
            </w:r>
          </w:p>
        </w:tc>
        <w:tc>
          <w:tcPr>
            <w:tcW w:w="1530"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21205.29</w:t>
            </w:r>
          </w:p>
        </w:tc>
        <w:tc>
          <w:tcPr>
            <w:tcW w:w="2070"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7473.24</w:t>
            </w:r>
          </w:p>
        </w:tc>
        <w:tc>
          <w:tcPr>
            <w:tcW w:w="2250" w:type="dxa"/>
            <w:vAlign w:val="bottom"/>
          </w:tcPr>
          <w:p w:rsidR="00520E1E" w:rsidRPr="00122D46" w:rsidRDefault="00520E1E" w:rsidP="00682FF7">
            <w:pPr>
              <w:jc w:val="center"/>
              <w:rPr>
                <w:rFonts w:ascii="Times New Roman" w:hAnsi="Times New Roman" w:cs="Times New Roman"/>
                <w:sz w:val="20"/>
                <w:szCs w:val="20"/>
              </w:rPr>
            </w:pPr>
            <w:r w:rsidRPr="00122D46">
              <w:rPr>
                <w:rFonts w:ascii="Times New Roman" w:hAnsi="Times New Roman" w:cs="Times New Roman"/>
                <w:sz w:val="20"/>
                <w:szCs w:val="20"/>
              </w:rPr>
              <w:t>14702.85</w:t>
            </w:r>
          </w:p>
        </w:tc>
      </w:tr>
      <w:tr w:rsidR="00520E1E" w:rsidRPr="00E10B2A" w:rsidTr="00AE1002">
        <w:trPr>
          <w:trHeight w:val="221"/>
          <w:jc w:val="center"/>
        </w:trPr>
        <w:tc>
          <w:tcPr>
            <w:tcW w:w="1692"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2011</w:t>
            </w:r>
          </w:p>
        </w:tc>
        <w:tc>
          <w:tcPr>
            <w:tcW w:w="1530"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25973.77</w:t>
            </w:r>
          </w:p>
        </w:tc>
        <w:tc>
          <w:tcPr>
            <w:tcW w:w="2070"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8206.28</w:t>
            </w:r>
          </w:p>
        </w:tc>
        <w:tc>
          <w:tcPr>
            <w:tcW w:w="2250" w:type="dxa"/>
            <w:vAlign w:val="bottom"/>
          </w:tcPr>
          <w:p w:rsidR="00520E1E" w:rsidRPr="00122D46" w:rsidRDefault="00520E1E" w:rsidP="00682FF7">
            <w:pPr>
              <w:jc w:val="center"/>
              <w:rPr>
                <w:rFonts w:ascii="Times New Roman" w:hAnsi="Times New Roman" w:cs="Times New Roman"/>
                <w:sz w:val="20"/>
                <w:szCs w:val="20"/>
              </w:rPr>
            </w:pPr>
            <w:r w:rsidRPr="00122D46">
              <w:rPr>
                <w:rFonts w:ascii="Times New Roman" w:hAnsi="Times New Roman" w:cs="Times New Roman"/>
                <w:sz w:val="20"/>
                <w:szCs w:val="20"/>
              </w:rPr>
              <w:t>18167.91</w:t>
            </w:r>
          </w:p>
        </w:tc>
      </w:tr>
      <w:tr w:rsidR="00520E1E" w:rsidRPr="00E10B2A" w:rsidTr="00AE1002">
        <w:trPr>
          <w:trHeight w:val="221"/>
          <w:jc w:val="center"/>
        </w:trPr>
        <w:tc>
          <w:tcPr>
            <w:tcW w:w="1692"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2012</w:t>
            </w:r>
          </w:p>
        </w:tc>
        <w:tc>
          <w:tcPr>
            <w:tcW w:w="1530"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30371.36</w:t>
            </w:r>
          </w:p>
        </w:tc>
        <w:tc>
          <w:tcPr>
            <w:tcW w:w="2070"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8751.69</w:t>
            </w:r>
          </w:p>
        </w:tc>
        <w:tc>
          <w:tcPr>
            <w:tcW w:w="2250" w:type="dxa"/>
            <w:vAlign w:val="bottom"/>
          </w:tcPr>
          <w:p w:rsidR="00520E1E" w:rsidRPr="00122D46" w:rsidRDefault="00520E1E" w:rsidP="00682FF7">
            <w:pPr>
              <w:jc w:val="center"/>
              <w:rPr>
                <w:rFonts w:ascii="Times New Roman" w:hAnsi="Times New Roman" w:cs="Times New Roman"/>
                <w:sz w:val="20"/>
                <w:szCs w:val="20"/>
              </w:rPr>
            </w:pPr>
            <w:r w:rsidRPr="00122D46">
              <w:rPr>
                <w:rFonts w:ascii="Times New Roman" w:hAnsi="Times New Roman" w:cs="Times New Roman"/>
                <w:sz w:val="20"/>
                <w:szCs w:val="20"/>
              </w:rPr>
              <w:t>21685.46</w:t>
            </w:r>
          </w:p>
        </w:tc>
      </w:tr>
      <w:tr w:rsidR="00520E1E" w:rsidRPr="00E10B2A" w:rsidTr="00AE1002">
        <w:trPr>
          <w:trHeight w:val="221"/>
          <w:jc w:val="center"/>
        </w:trPr>
        <w:tc>
          <w:tcPr>
            <w:tcW w:w="1692"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2013</w:t>
            </w:r>
          </w:p>
        </w:tc>
        <w:tc>
          <w:tcPr>
            <w:tcW w:w="1530"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34984.50</w:t>
            </w:r>
          </w:p>
        </w:tc>
        <w:tc>
          <w:tcPr>
            <w:tcW w:w="2070"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8902.74</w:t>
            </w:r>
          </w:p>
        </w:tc>
        <w:tc>
          <w:tcPr>
            <w:tcW w:w="2250" w:type="dxa"/>
            <w:vAlign w:val="bottom"/>
          </w:tcPr>
          <w:p w:rsidR="00520E1E" w:rsidRPr="00122D46" w:rsidRDefault="00520E1E" w:rsidP="00682FF7">
            <w:pPr>
              <w:jc w:val="center"/>
              <w:rPr>
                <w:rFonts w:ascii="Times New Roman" w:hAnsi="Times New Roman" w:cs="Times New Roman"/>
                <w:sz w:val="20"/>
                <w:szCs w:val="20"/>
              </w:rPr>
            </w:pPr>
            <w:r w:rsidRPr="00122D46">
              <w:rPr>
                <w:rFonts w:ascii="Times New Roman" w:hAnsi="Times New Roman" w:cs="Times New Roman"/>
                <w:sz w:val="20"/>
                <w:szCs w:val="20"/>
              </w:rPr>
              <w:t>23686.45</w:t>
            </w:r>
          </w:p>
        </w:tc>
      </w:tr>
      <w:tr w:rsidR="00520E1E" w:rsidRPr="00E10B2A" w:rsidTr="00AE1002">
        <w:trPr>
          <w:trHeight w:val="221"/>
          <w:jc w:val="center"/>
        </w:trPr>
        <w:tc>
          <w:tcPr>
            <w:tcW w:w="1692"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2014</w:t>
            </w:r>
          </w:p>
        </w:tc>
        <w:tc>
          <w:tcPr>
            <w:tcW w:w="1530"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39615.57</w:t>
            </w:r>
          </w:p>
        </w:tc>
        <w:tc>
          <w:tcPr>
            <w:tcW w:w="2070" w:type="dxa"/>
            <w:vAlign w:val="bottom"/>
          </w:tcPr>
          <w:p w:rsidR="00520E1E" w:rsidRPr="00122D46" w:rsidRDefault="00343162" w:rsidP="00520E1E">
            <w:pPr>
              <w:jc w:val="center"/>
              <w:rPr>
                <w:rFonts w:ascii="Times New Roman" w:hAnsi="Times New Roman" w:cs="Times New Roman"/>
                <w:sz w:val="20"/>
                <w:szCs w:val="20"/>
              </w:rPr>
            </w:pPr>
            <w:r w:rsidRPr="00122D46">
              <w:rPr>
                <w:rFonts w:ascii="Times New Roman" w:hAnsi="Times New Roman" w:cs="Times New Roman"/>
                <w:sz w:val="20"/>
                <w:szCs w:val="20"/>
              </w:rPr>
              <w:t>9</w:t>
            </w:r>
            <w:r w:rsidR="00520E1E" w:rsidRPr="00122D46">
              <w:rPr>
                <w:rFonts w:ascii="Times New Roman" w:hAnsi="Times New Roman" w:cs="Times New Roman"/>
                <w:sz w:val="20"/>
                <w:szCs w:val="20"/>
              </w:rPr>
              <w:t>520.14</w:t>
            </w:r>
          </w:p>
        </w:tc>
        <w:tc>
          <w:tcPr>
            <w:tcW w:w="2250" w:type="dxa"/>
            <w:vAlign w:val="bottom"/>
          </w:tcPr>
          <w:p w:rsidR="00520E1E" w:rsidRPr="00122D46" w:rsidRDefault="00520E1E" w:rsidP="00682FF7">
            <w:pPr>
              <w:jc w:val="center"/>
              <w:rPr>
                <w:rFonts w:ascii="Times New Roman" w:hAnsi="Times New Roman" w:cs="Times New Roman"/>
                <w:sz w:val="20"/>
                <w:szCs w:val="20"/>
              </w:rPr>
            </w:pPr>
            <w:r w:rsidRPr="00122D46">
              <w:rPr>
                <w:rFonts w:ascii="Times New Roman" w:hAnsi="Times New Roman" w:cs="Times New Roman"/>
                <w:sz w:val="20"/>
                <w:szCs w:val="20"/>
              </w:rPr>
              <w:t>26703.43</w:t>
            </w:r>
          </w:p>
        </w:tc>
      </w:tr>
      <w:tr w:rsidR="00520E1E" w:rsidRPr="00E10B2A" w:rsidTr="00AE1002">
        <w:trPr>
          <w:trHeight w:val="221"/>
          <w:jc w:val="center"/>
        </w:trPr>
        <w:tc>
          <w:tcPr>
            <w:tcW w:w="1692"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2015</w:t>
            </w:r>
          </w:p>
        </w:tc>
        <w:tc>
          <w:tcPr>
            <w:tcW w:w="1530"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41774.20</w:t>
            </w:r>
          </w:p>
        </w:tc>
        <w:tc>
          <w:tcPr>
            <w:tcW w:w="2070"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12597.20</w:t>
            </w:r>
          </w:p>
        </w:tc>
        <w:tc>
          <w:tcPr>
            <w:tcW w:w="2250" w:type="dxa"/>
            <w:vAlign w:val="bottom"/>
          </w:tcPr>
          <w:p w:rsidR="00520E1E" w:rsidRPr="00122D46" w:rsidRDefault="00520E1E" w:rsidP="00682FF7">
            <w:pPr>
              <w:jc w:val="center"/>
              <w:rPr>
                <w:rFonts w:ascii="Times New Roman" w:hAnsi="Times New Roman" w:cs="Times New Roman"/>
                <w:sz w:val="20"/>
                <w:szCs w:val="20"/>
              </w:rPr>
            </w:pPr>
            <w:r w:rsidRPr="00122D46">
              <w:rPr>
                <w:rFonts w:ascii="Times New Roman" w:hAnsi="Times New Roman" w:cs="Times New Roman"/>
                <w:sz w:val="20"/>
                <w:szCs w:val="20"/>
              </w:rPr>
              <w:t>28474.37</w:t>
            </w:r>
          </w:p>
        </w:tc>
      </w:tr>
      <w:tr w:rsidR="00520E1E" w:rsidRPr="00E10B2A" w:rsidTr="00AE1002">
        <w:trPr>
          <w:trHeight w:val="221"/>
          <w:jc w:val="center"/>
        </w:trPr>
        <w:tc>
          <w:tcPr>
            <w:tcW w:w="1692"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2016</w:t>
            </w:r>
          </w:p>
        </w:tc>
        <w:tc>
          <w:tcPr>
            <w:tcW w:w="1530"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44328.04</w:t>
            </w:r>
          </w:p>
        </w:tc>
        <w:tc>
          <w:tcPr>
            <w:tcW w:w="2070"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13124.07</w:t>
            </w:r>
          </w:p>
        </w:tc>
        <w:tc>
          <w:tcPr>
            <w:tcW w:w="2250" w:type="dxa"/>
            <w:vAlign w:val="bottom"/>
          </w:tcPr>
          <w:p w:rsidR="00520E1E" w:rsidRPr="00122D46" w:rsidRDefault="00520E1E" w:rsidP="00682FF7">
            <w:pPr>
              <w:jc w:val="center"/>
              <w:rPr>
                <w:rFonts w:ascii="Times New Roman" w:hAnsi="Times New Roman" w:cs="Times New Roman"/>
                <w:sz w:val="20"/>
                <w:szCs w:val="20"/>
              </w:rPr>
            </w:pPr>
            <w:r w:rsidRPr="00122D46">
              <w:rPr>
                <w:rFonts w:ascii="Times New Roman" w:hAnsi="Times New Roman" w:cs="Times New Roman"/>
                <w:sz w:val="20"/>
                <w:szCs w:val="20"/>
              </w:rPr>
              <w:t>28575.84</w:t>
            </w:r>
          </w:p>
        </w:tc>
      </w:tr>
      <w:tr w:rsidR="00520E1E" w:rsidRPr="00E10B2A" w:rsidTr="00AE1002">
        <w:trPr>
          <w:trHeight w:val="221"/>
          <w:jc w:val="center"/>
        </w:trPr>
        <w:tc>
          <w:tcPr>
            <w:tcW w:w="1692"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2017</w:t>
            </w:r>
          </w:p>
        </w:tc>
        <w:tc>
          <w:tcPr>
            <w:tcW w:w="1530"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47612.00</w:t>
            </w:r>
          </w:p>
        </w:tc>
        <w:tc>
          <w:tcPr>
            <w:tcW w:w="2070"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11794.19</w:t>
            </w:r>
          </w:p>
        </w:tc>
        <w:tc>
          <w:tcPr>
            <w:tcW w:w="2250" w:type="dxa"/>
            <w:vAlign w:val="bottom"/>
          </w:tcPr>
          <w:p w:rsidR="00520E1E" w:rsidRPr="00122D46" w:rsidRDefault="00520E1E" w:rsidP="00682FF7">
            <w:pPr>
              <w:jc w:val="center"/>
              <w:rPr>
                <w:rFonts w:ascii="Times New Roman" w:hAnsi="Times New Roman" w:cs="Times New Roman"/>
                <w:sz w:val="20"/>
                <w:szCs w:val="20"/>
              </w:rPr>
            </w:pPr>
            <w:r w:rsidRPr="00122D46">
              <w:rPr>
                <w:rFonts w:ascii="Times New Roman" w:hAnsi="Times New Roman" w:cs="Times New Roman"/>
                <w:sz w:val="20"/>
                <w:szCs w:val="20"/>
              </w:rPr>
              <w:t>32272.78</w:t>
            </w:r>
          </w:p>
        </w:tc>
      </w:tr>
      <w:tr w:rsidR="00520E1E" w:rsidRPr="00E10B2A" w:rsidTr="00AE1002">
        <w:trPr>
          <w:trHeight w:val="170"/>
          <w:jc w:val="center"/>
        </w:trPr>
        <w:tc>
          <w:tcPr>
            <w:tcW w:w="1692"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2018</w:t>
            </w:r>
          </w:p>
        </w:tc>
        <w:tc>
          <w:tcPr>
            <w:tcW w:w="1530"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49793.09</w:t>
            </w:r>
          </w:p>
        </w:tc>
        <w:tc>
          <w:tcPr>
            <w:tcW w:w="2070" w:type="dxa"/>
            <w:vAlign w:val="bottom"/>
          </w:tcPr>
          <w:p w:rsidR="00520E1E" w:rsidRPr="00122D46" w:rsidRDefault="00520E1E" w:rsidP="00520E1E">
            <w:pPr>
              <w:jc w:val="center"/>
              <w:rPr>
                <w:rFonts w:ascii="Times New Roman" w:hAnsi="Times New Roman" w:cs="Times New Roman"/>
                <w:sz w:val="20"/>
                <w:szCs w:val="20"/>
              </w:rPr>
            </w:pPr>
            <w:r w:rsidRPr="00122D46">
              <w:rPr>
                <w:rFonts w:ascii="Times New Roman" w:hAnsi="Times New Roman" w:cs="Times New Roman"/>
                <w:sz w:val="20"/>
                <w:szCs w:val="20"/>
              </w:rPr>
              <w:t>13164.23</w:t>
            </w:r>
          </w:p>
        </w:tc>
        <w:tc>
          <w:tcPr>
            <w:tcW w:w="2250" w:type="dxa"/>
            <w:vAlign w:val="bottom"/>
          </w:tcPr>
          <w:p w:rsidR="00520E1E" w:rsidRPr="00122D46" w:rsidRDefault="00520E1E" w:rsidP="00682FF7">
            <w:pPr>
              <w:jc w:val="center"/>
              <w:rPr>
                <w:rFonts w:ascii="Times New Roman" w:hAnsi="Times New Roman" w:cs="Times New Roman"/>
                <w:sz w:val="20"/>
                <w:szCs w:val="20"/>
              </w:rPr>
            </w:pPr>
            <w:r w:rsidRPr="00122D46">
              <w:rPr>
                <w:rFonts w:ascii="Times New Roman" w:hAnsi="Times New Roman" w:cs="Times New Roman"/>
                <w:sz w:val="20"/>
                <w:szCs w:val="20"/>
              </w:rPr>
              <w:t>32675.79</w:t>
            </w:r>
          </w:p>
        </w:tc>
      </w:tr>
      <w:tr w:rsidR="00520E1E" w:rsidRPr="00E10B2A" w:rsidTr="00AE1002">
        <w:trPr>
          <w:trHeight w:val="70"/>
          <w:jc w:val="center"/>
        </w:trPr>
        <w:tc>
          <w:tcPr>
            <w:tcW w:w="1692" w:type="dxa"/>
            <w:vAlign w:val="bottom"/>
          </w:tcPr>
          <w:p w:rsidR="00520E1E" w:rsidRPr="00122D46" w:rsidRDefault="00520E1E" w:rsidP="00E1697D">
            <w:pPr>
              <w:jc w:val="center"/>
              <w:rPr>
                <w:rFonts w:ascii="Times New Roman" w:hAnsi="Times New Roman" w:cs="Times New Roman"/>
                <w:sz w:val="20"/>
                <w:szCs w:val="20"/>
              </w:rPr>
            </w:pPr>
            <w:r w:rsidRPr="00122D46">
              <w:rPr>
                <w:rFonts w:ascii="Times New Roman" w:hAnsi="Times New Roman" w:cs="Times New Roman"/>
                <w:sz w:val="20"/>
                <w:szCs w:val="20"/>
              </w:rPr>
              <w:t>Mean</w:t>
            </w:r>
          </w:p>
        </w:tc>
        <w:tc>
          <w:tcPr>
            <w:tcW w:w="1530" w:type="dxa"/>
            <w:vAlign w:val="bottom"/>
          </w:tcPr>
          <w:p w:rsidR="00520E1E" w:rsidRPr="00122D46" w:rsidRDefault="007A5DCC" w:rsidP="00E1697D">
            <w:pPr>
              <w:autoSpaceDE w:val="0"/>
              <w:autoSpaceDN w:val="0"/>
              <w:adjustRightInd w:val="0"/>
              <w:jc w:val="center"/>
              <w:rPr>
                <w:rFonts w:ascii="Times New Roman" w:hAnsi="Times New Roman" w:cs="Times New Roman"/>
                <w:sz w:val="20"/>
                <w:szCs w:val="20"/>
                <w:lang w:bidi="bn-BD"/>
              </w:rPr>
            </w:pPr>
            <w:r w:rsidRPr="00122D46">
              <w:rPr>
                <w:rFonts w:ascii="Times New Roman" w:eastAsia="Times New Roman" w:hAnsi="Times New Roman" w:cs="Times New Roman"/>
                <w:b/>
                <w:bCs/>
                <w:color w:val="000000"/>
                <w:sz w:val="20"/>
                <w:szCs w:val="20"/>
              </w:rPr>
              <w:t>35302.73</w:t>
            </w:r>
          </w:p>
        </w:tc>
        <w:tc>
          <w:tcPr>
            <w:tcW w:w="2070" w:type="dxa"/>
            <w:vAlign w:val="bottom"/>
          </w:tcPr>
          <w:p w:rsidR="00520E1E" w:rsidRPr="00122D46" w:rsidRDefault="002451EC" w:rsidP="00E1697D">
            <w:pPr>
              <w:autoSpaceDE w:val="0"/>
              <w:autoSpaceDN w:val="0"/>
              <w:adjustRightInd w:val="0"/>
              <w:jc w:val="center"/>
              <w:rPr>
                <w:rFonts w:ascii="Times New Roman" w:hAnsi="Times New Roman" w:cs="Times New Roman"/>
                <w:sz w:val="20"/>
                <w:szCs w:val="20"/>
                <w:lang w:bidi="bn-BD"/>
              </w:rPr>
            </w:pPr>
            <w:r w:rsidRPr="00122D46">
              <w:rPr>
                <w:rFonts w:ascii="Times New Roman" w:eastAsia="Times New Roman" w:hAnsi="Times New Roman" w:cs="Times New Roman"/>
                <w:b/>
                <w:bCs/>
                <w:color w:val="000000"/>
                <w:sz w:val="20"/>
                <w:szCs w:val="20"/>
              </w:rPr>
              <w:t>99</w:t>
            </w:r>
            <w:r w:rsidR="007A5DCC" w:rsidRPr="00122D46">
              <w:rPr>
                <w:rFonts w:ascii="Times New Roman" w:eastAsia="Times New Roman" w:hAnsi="Times New Roman" w:cs="Times New Roman"/>
                <w:b/>
                <w:bCs/>
                <w:color w:val="000000"/>
                <w:sz w:val="20"/>
                <w:szCs w:val="20"/>
              </w:rPr>
              <w:t>85.40</w:t>
            </w:r>
          </w:p>
        </w:tc>
        <w:tc>
          <w:tcPr>
            <w:tcW w:w="2250" w:type="dxa"/>
            <w:vAlign w:val="bottom"/>
          </w:tcPr>
          <w:p w:rsidR="00520E1E" w:rsidRPr="00122D46" w:rsidRDefault="007A5DCC" w:rsidP="00E1697D">
            <w:pPr>
              <w:spacing w:after="0" w:line="480" w:lineRule="auto"/>
              <w:jc w:val="center"/>
              <w:rPr>
                <w:rFonts w:ascii="Times New Roman" w:eastAsia="Times New Roman" w:hAnsi="Times New Roman" w:cs="Times New Roman"/>
                <w:b/>
                <w:bCs/>
                <w:color w:val="000000"/>
                <w:sz w:val="20"/>
                <w:szCs w:val="20"/>
              </w:rPr>
            </w:pPr>
            <w:r w:rsidRPr="00122D46">
              <w:rPr>
                <w:rFonts w:ascii="Times New Roman" w:eastAsia="Times New Roman" w:hAnsi="Times New Roman" w:cs="Times New Roman"/>
                <w:b/>
                <w:bCs/>
                <w:color w:val="000000"/>
                <w:sz w:val="20"/>
                <w:szCs w:val="20"/>
              </w:rPr>
              <w:t>23844.11</w:t>
            </w:r>
          </w:p>
        </w:tc>
      </w:tr>
      <w:tr w:rsidR="00520E1E" w:rsidRPr="00E10B2A" w:rsidTr="00AE1002">
        <w:trPr>
          <w:trHeight w:val="144"/>
          <w:jc w:val="center"/>
        </w:trPr>
        <w:tc>
          <w:tcPr>
            <w:tcW w:w="1692" w:type="dxa"/>
            <w:vAlign w:val="bottom"/>
          </w:tcPr>
          <w:p w:rsidR="00520E1E" w:rsidRPr="00122D46" w:rsidRDefault="00AE1002" w:rsidP="00E1697D">
            <w:pPr>
              <w:jc w:val="center"/>
              <w:rPr>
                <w:rFonts w:ascii="Times New Roman" w:hAnsi="Times New Roman" w:cs="Times New Roman"/>
                <w:sz w:val="20"/>
                <w:szCs w:val="20"/>
              </w:rPr>
            </w:pPr>
            <w:r w:rsidRPr="00122D46">
              <w:rPr>
                <w:rFonts w:ascii="Times New Roman" w:hAnsi="Times New Roman" w:cs="Times New Roman"/>
                <w:sz w:val="20"/>
                <w:szCs w:val="20"/>
              </w:rPr>
              <w:t>AAGR</w:t>
            </w:r>
          </w:p>
        </w:tc>
        <w:tc>
          <w:tcPr>
            <w:tcW w:w="1530" w:type="dxa"/>
            <w:vAlign w:val="bottom"/>
          </w:tcPr>
          <w:p w:rsidR="00520E1E" w:rsidRPr="00122D46" w:rsidRDefault="00AE1002" w:rsidP="00E1697D">
            <w:pPr>
              <w:autoSpaceDE w:val="0"/>
              <w:autoSpaceDN w:val="0"/>
              <w:adjustRightInd w:val="0"/>
              <w:jc w:val="center"/>
              <w:rPr>
                <w:rFonts w:ascii="Times New Roman" w:hAnsi="Times New Roman" w:cs="Times New Roman"/>
                <w:b/>
                <w:sz w:val="20"/>
                <w:szCs w:val="20"/>
                <w:lang w:bidi="bn-BD"/>
              </w:rPr>
            </w:pPr>
            <w:r w:rsidRPr="00122D46">
              <w:rPr>
                <w:rFonts w:ascii="Times New Roman" w:hAnsi="Times New Roman" w:cs="Times New Roman"/>
                <w:b/>
                <w:sz w:val="20"/>
                <w:szCs w:val="20"/>
                <w:lang w:bidi="bn-BD"/>
              </w:rPr>
              <w:t>12.68%</w:t>
            </w:r>
          </w:p>
        </w:tc>
        <w:tc>
          <w:tcPr>
            <w:tcW w:w="2070" w:type="dxa"/>
            <w:vAlign w:val="bottom"/>
          </w:tcPr>
          <w:p w:rsidR="00520E1E" w:rsidRPr="00122D46" w:rsidRDefault="00AE1002" w:rsidP="00E1697D">
            <w:pPr>
              <w:autoSpaceDE w:val="0"/>
              <w:autoSpaceDN w:val="0"/>
              <w:adjustRightInd w:val="0"/>
              <w:jc w:val="center"/>
              <w:rPr>
                <w:rFonts w:ascii="Times New Roman" w:hAnsi="Times New Roman" w:cs="Times New Roman"/>
                <w:b/>
                <w:sz w:val="20"/>
                <w:szCs w:val="20"/>
                <w:lang w:bidi="bn-BD"/>
              </w:rPr>
            </w:pPr>
            <w:r w:rsidRPr="00122D46">
              <w:rPr>
                <w:rFonts w:ascii="Times New Roman" w:hAnsi="Times New Roman" w:cs="Times New Roman"/>
                <w:b/>
                <w:sz w:val="20"/>
                <w:szCs w:val="20"/>
                <w:lang w:bidi="bn-BD"/>
              </w:rPr>
              <w:t>8.63%</w:t>
            </w:r>
          </w:p>
        </w:tc>
        <w:tc>
          <w:tcPr>
            <w:tcW w:w="2250" w:type="dxa"/>
            <w:vAlign w:val="bottom"/>
          </w:tcPr>
          <w:p w:rsidR="00520E1E" w:rsidRPr="00122D46" w:rsidRDefault="00AE1002" w:rsidP="00E1697D">
            <w:pPr>
              <w:autoSpaceDE w:val="0"/>
              <w:autoSpaceDN w:val="0"/>
              <w:adjustRightInd w:val="0"/>
              <w:jc w:val="center"/>
              <w:rPr>
                <w:rFonts w:ascii="Times New Roman" w:hAnsi="Times New Roman" w:cs="Times New Roman"/>
                <w:b/>
                <w:sz w:val="20"/>
                <w:szCs w:val="20"/>
                <w:lang w:bidi="bn-BD"/>
              </w:rPr>
            </w:pPr>
            <w:r w:rsidRPr="00122D46">
              <w:rPr>
                <w:rFonts w:ascii="Times New Roman" w:hAnsi="Times New Roman" w:cs="Times New Roman"/>
                <w:b/>
                <w:sz w:val="20"/>
                <w:szCs w:val="20"/>
                <w:lang w:bidi="bn-BD"/>
              </w:rPr>
              <w:t>12.67%</w:t>
            </w:r>
          </w:p>
        </w:tc>
      </w:tr>
    </w:tbl>
    <w:p w:rsidR="00B13FB9" w:rsidRPr="00122D46" w:rsidRDefault="009F4A03" w:rsidP="005503E6">
      <w:pPr>
        <w:spacing w:after="120"/>
        <w:jc w:val="both"/>
        <w:rPr>
          <w:rFonts w:ascii="Times New Roman" w:hAnsi="Times New Roman" w:cs="Times New Roman"/>
          <w:b/>
          <w:sz w:val="20"/>
          <w:szCs w:val="20"/>
        </w:rPr>
      </w:pPr>
      <w:r w:rsidRPr="00A22A4F">
        <w:rPr>
          <w:rFonts w:ascii="Times New Roman" w:hAnsi="Times New Roman" w:cs="Times New Roman"/>
          <w:sz w:val="20"/>
          <w:szCs w:val="20"/>
        </w:rPr>
        <w:t xml:space="preserve">   </w:t>
      </w:r>
      <w:r w:rsidR="00A22A4F">
        <w:rPr>
          <w:rFonts w:ascii="Times New Roman" w:hAnsi="Times New Roman" w:cs="Times New Roman"/>
          <w:sz w:val="20"/>
          <w:szCs w:val="20"/>
        </w:rPr>
        <w:t xml:space="preserve">                </w:t>
      </w:r>
      <w:r w:rsidR="00B22D5D" w:rsidRPr="00122D46">
        <w:rPr>
          <w:rFonts w:ascii="Times New Roman" w:hAnsi="Times New Roman" w:cs="Times New Roman"/>
          <w:b/>
          <w:sz w:val="20"/>
          <w:szCs w:val="20"/>
        </w:rPr>
        <w:t>Source:</w:t>
      </w:r>
      <w:r w:rsidR="007A7ED9" w:rsidRPr="00122D46">
        <w:rPr>
          <w:rFonts w:ascii="Times New Roman" w:hAnsi="Times New Roman" w:cs="Times New Roman"/>
          <w:b/>
          <w:sz w:val="20"/>
          <w:szCs w:val="20"/>
        </w:rPr>
        <w:t xml:space="preserve"> Bangladesh</w:t>
      </w:r>
      <w:r w:rsidR="00B13FB9" w:rsidRPr="00122D46">
        <w:rPr>
          <w:rFonts w:ascii="Times New Roman" w:hAnsi="Times New Roman" w:cs="Times New Roman"/>
          <w:b/>
          <w:sz w:val="20"/>
          <w:szCs w:val="20"/>
        </w:rPr>
        <w:t xml:space="preserve"> Insurance Association</w:t>
      </w:r>
    </w:p>
    <w:p w:rsidR="005503E6" w:rsidRPr="004E6D65" w:rsidRDefault="00A22A4F" w:rsidP="005503E6">
      <w:pPr>
        <w:jc w:val="both"/>
        <w:rPr>
          <w:rFonts w:ascii="Times New Roman" w:hAnsi="Times New Roman" w:cs="Times New Roman"/>
          <w:w w:val="105"/>
          <w:sz w:val="16"/>
          <w:szCs w:val="16"/>
        </w:rPr>
      </w:pPr>
      <w:r w:rsidRPr="004E6D65">
        <w:rPr>
          <w:rFonts w:ascii="Times New Roman" w:hAnsi="Times New Roman" w:cs="Times New Roman"/>
          <w:w w:val="105"/>
          <w:sz w:val="16"/>
          <w:szCs w:val="16"/>
        </w:rPr>
        <w:t xml:space="preserve">            </w:t>
      </w:r>
      <w:r w:rsidR="004E6D65" w:rsidRPr="004E6D65">
        <w:rPr>
          <w:rFonts w:ascii="Times New Roman" w:hAnsi="Times New Roman" w:cs="Times New Roman"/>
          <w:w w:val="105"/>
          <w:sz w:val="16"/>
          <w:szCs w:val="16"/>
        </w:rPr>
        <w:t>1.</w:t>
      </w:r>
      <w:r w:rsidR="005503E6" w:rsidRPr="004E6D65">
        <w:rPr>
          <w:rFonts w:ascii="Times New Roman" w:hAnsi="Times New Roman" w:cs="Times New Roman"/>
          <w:w w:val="105"/>
          <w:sz w:val="16"/>
          <w:szCs w:val="16"/>
        </w:rPr>
        <w:t xml:space="preserve"> AAGR = Annual Average Growth Rate</w:t>
      </w:r>
    </w:p>
    <w:p w:rsidR="00015286" w:rsidRPr="003758B3" w:rsidRDefault="00A22A4F" w:rsidP="00872424">
      <w:pPr>
        <w:jc w:val="both"/>
        <w:rPr>
          <w:rFonts w:ascii="Times New Roman" w:hAnsi="Times New Roman" w:cs="Times New Roman"/>
          <w:w w:val="105"/>
          <w:sz w:val="16"/>
          <w:szCs w:val="16"/>
        </w:rPr>
      </w:pPr>
      <w:r w:rsidRPr="004E6D65">
        <w:rPr>
          <w:rFonts w:ascii="Times New Roman" w:hAnsi="Times New Roman" w:cs="Times New Roman"/>
          <w:w w:val="105"/>
          <w:sz w:val="16"/>
          <w:szCs w:val="16"/>
        </w:rPr>
        <w:t xml:space="preserve">             </w:t>
      </w:r>
      <w:r w:rsidR="004E6D65" w:rsidRPr="004E6D65">
        <w:rPr>
          <w:rFonts w:ascii="Times New Roman" w:hAnsi="Times New Roman" w:cs="Times New Roman"/>
          <w:w w:val="105"/>
          <w:sz w:val="16"/>
          <w:szCs w:val="16"/>
        </w:rPr>
        <w:t>2.</w:t>
      </w:r>
      <w:r w:rsidR="005503E6" w:rsidRPr="004E6D65">
        <w:rPr>
          <w:rFonts w:ascii="Times New Roman" w:hAnsi="Times New Roman" w:cs="Times New Roman"/>
          <w:w w:val="105"/>
          <w:sz w:val="16"/>
          <w:szCs w:val="16"/>
        </w:rPr>
        <w:t xml:space="preserve"> AAGR= (Ending Value /Beginning Value – 1) +2</w:t>
      </w:r>
      <w:r w:rsidR="005503E6" w:rsidRPr="004E6D65">
        <w:rPr>
          <w:rFonts w:ascii="Times New Roman" w:hAnsi="Times New Roman" w:cs="Times New Roman"/>
          <w:w w:val="105"/>
          <w:sz w:val="16"/>
          <w:szCs w:val="16"/>
          <w:vertAlign w:val="superscript"/>
        </w:rPr>
        <w:t>nd</w:t>
      </w:r>
      <w:r w:rsidR="005503E6" w:rsidRPr="004E6D65">
        <w:rPr>
          <w:rFonts w:ascii="Times New Roman" w:hAnsi="Times New Roman" w:cs="Times New Roman"/>
          <w:w w:val="105"/>
          <w:sz w:val="16"/>
          <w:szCs w:val="16"/>
        </w:rPr>
        <w:t xml:space="preserve"> year+3</w:t>
      </w:r>
      <w:r w:rsidR="005503E6" w:rsidRPr="004E6D65">
        <w:rPr>
          <w:rFonts w:ascii="Times New Roman" w:hAnsi="Times New Roman" w:cs="Times New Roman"/>
          <w:w w:val="105"/>
          <w:sz w:val="16"/>
          <w:szCs w:val="16"/>
          <w:vertAlign w:val="superscript"/>
        </w:rPr>
        <w:t>rd</w:t>
      </w:r>
      <w:r w:rsidR="005503E6" w:rsidRPr="004E6D65">
        <w:rPr>
          <w:rFonts w:ascii="Times New Roman" w:hAnsi="Times New Roman" w:cs="Times New Roman"/>
          <w:w w:val="105"/>
          <w:sz w:val="16"/>
          <w:szCs w:val="16"/>
        </w:rPr>
        <w:t xml:space="preserve"> year+--Last year)/Total Number of Years</w:t>
      </w:r>
    </w:p>
    <w:p w:rsidR="00DB5725" w:rsidRPr="00122D46" w:rsidRDefault="004E6D65" w:rsidP="00122D46">
      <w:pPr>
        <w:spacing w:after="120" w:line="240" w:lineRule="auto"/>
        <w:ind w:right="187"/>
        <w:jc w:val="both"/>
        <w:rPr>
          <w:rFonts w:ascii="Times New Roman" w:hAnsi="Times New Roman" w:cs="Times New Roman"/>
          <w:sz w:val="20"/>
          <w:szCs w:val="20"/>
        </w:rPr>
      </w:pPr>
      <w:r w:rsidRPr="00122D46">
        <w:rPr>
          <w:rFonts w:ascii="Times New Roman" w:hAnsi="Times New Roman" w:cs="Times New Roman"/>
          <w:sz w:val="20"/>
          <w:szCs w:val="20"/>
        </w:rPr>
        <w:t xml:space="preserve"> </w:t>
      </w:r>
      <w:r w:rsidR="00122D46">
        <w:rPr>
          <w:rFonts w:ascii="Times New Roman" w:hAnsi="Times New Roman" w:cs="Times New Roman"/>
          <w:sz w:val="20"/>
          <w:szCs w:val="20"/>
        </w:rPr>
        <w:tab/>
      </w:r>
      <w:r w:rsidR="008A1B1F" w:rsidRPr="00122D46">
        <w:rPr>
          <w:rFonts w:ascii="Times New Roman" w:hAnsi="Times New Roman" w:cs="Times New Roman"/>
          <w:sz w:val="20"/>
          <w:szCs w:val="20"/>
        </w:rPr>
        <w:t>In table 06</w:t>
      </w:r>
      <w:r w:rsidRPr="00122D46">
        <w:rPr>
          <w:rFonts w:ascii="Times New Roman" w:hAnsi="Times New Roman" w:cs="Times New Roman"/>
          <w:sz w:val="20"/>
          <w:szCs w:val="20"/>
        </w:rPr>
        <w:t xml:space="preserve">, it noticed that </w:t>
      </w:r>
      <w:r w:rsidR="0094469E" w:rsidRPr="00122D46">
        <w:rPr>
          <w:rFonts w:ascii="Times New Roman" w:hAnsi="Times New Roman" w:cs="Times New Roman"/>
          <w:sz w:val="20"/>
          <w:szCs w:val="20"/>
        </w:rPr>
        <w:t>premium income of all types of insurance companies in 2009 was Tk. 6320.24</w:t>
      </w:r>
      <w:r w:rsidRPr="00122D46">
        <w:rPr>
          <w:rFonts w:ascii="Times New Roman" w:hAnsi="Times New Roman" w:cs="Times New Roman"/>
          <w:sz w:val="20"/>
          <w:szCs w:val="20"/>
        </w:rPr>
        <w:t xml:space="preserve"> </w:t>
      </w:r>
      <w:r w:rsidR="0094469E" w:rsidRPr="00122D46">
        <w:rPr>
          <w:rFonts w:ascii="Times New Roman" w:hAnsi="Times New Roman" w:cs="Times New Roman"/>
          <w:sz w:val="20"/>
          <w:szCs w:val="20"/>
        </w:rPr>
        <w:t xml:space="preserve">crore and went up to Tk. 13164.23 crore   </w:t>
      </w:r>
      <w:r w:rsidRPr="00122D46">
        <w:rPr>
          <w:rFonts w:ascii="Times New Roman" w:hAnsi="Times New Roman" w:cs="Times New Roman"/>
          <w:sz w:val="20"/>
          <w:szCs w:val="20"/>
        </w:rPr>
        <w:t>in 2018</w:t>
      </w:r>
      <w:r w:rsidR="0094469E" w:rsidRPr="00122D46">
        <w:rPr>
          <w:rFonts w:ascii="Times New Roman" w:hAnsi="Times New Roman" w:cs="Times New Roman"/>
          <w:sz w:val="20"/>
          <w:szCs w:val="20"/>
        </w:rPr>
        <w:t>.  The ave</w:t>
      </w:r>
      <w:r w:rsidRPr="00122D46">
        <w:rPr>
          <w:rFonts w:ascii="Times New Roman" w:hAnsi="Times New Roman" w:cs="Times New Roman"/>
          <w:sz w:val="20"/>
          <w:szCs w:val="20"/>
        </w:rPr>
        <w:t xml:space="preserve">rage premium income of </w:t>
      </w:r>
      <w:r w:rsidR="0094469E" w:rsidRPr="00122D46">
        <w:rPr>
          <w:rFonts w:ascii="Times New Roman" w:hAnsi="Times New Roman" w:cs="Times New Roman"/>
          <w:sz w:val="20"/>
          <w:szCs w:val="20"/>
        </w:rPr>
        <w:t>whole</w:t>
      </w:r>
      <w:r w:rsidRPr="00122D46">
        <w:rPr>
          <w:rFonts w:ascii="Times New Roman" w:hAnsi="Times New Roman" w:cs="Times New Roman"/>
          <w:sz w:val="20"/>
          <w:szCs w:val="20"/>
        </w:rPr>
        <w:t xml:space="preserve"> insurance</w:t>
      </w:r>
      <w:r w:rsidR="0094469E" w:rsidRPr="00122D46">
        <w:rPr>
          <w:rFonts w:ascii="Times New Roman" w:hAnsi="Times New Roman" w:cs="Times New Roman"/>
          <w:sz w:val="20"/>
          <w:szCs w:val="20"/>
        </w:rPr>
        <w:t xml:space="preserve"> industry was Tk. </w:t>
      </w:r>
      <w:r w:rsidR="0094469E" w:rsidRPr="00122D46">
        <w:rPr>
          <w:rFonts w:ascii="Times New Roman" w:eastAsia="Times New Roman" w:hAnsi="Times New Roman" w:cs="Times New Roman"/>
          <w:bCs/>
          <w:color w:val="000000"/>
          <w:sz w:val="20"/>
          <w:szCs w:val="20"/>
        </w:rPr>
        <w:t xml:space="preserve">9885.402 </w:t>
      </w:r>
      <w:r w:rsidR="0094469E" w:rsidRPr="00122D46">
        <w:rPr>
          <w:rFonts w:ascii="Times New Roman" w:hAnsi="Times New Roman" w:cs="Times New Roman"/>
          <w:sz w:val="20"/>
          <w:szCs w:val="20"/>
        </w:rPr>
        <w:t xml:space="preserve">and Annual Average Growth Rate (AAGR) was </w:t>
      </w:r>
      <w:r w:rsidR="0094469E" w:rsidRPr="00122D46">
        <w:rPr>
          <w:rFonts w:ascii="Times New Roman" w:hAnsi="Times New Roman" w:cs="Times New Roman"/>
          <w:sz w:val="20"/>
          <w:szCs w:val="20"/>
          <w:lang w:bidi="bn-BD"/>
        </w:rPr>
        <w:t>8.63%</w:t>
      </w:r>
      <w:r w:rsidR="0094469E" w:rsidRPr="00122D46">
        <w:rPr>
          <w:rFonts w:ascii="Times New Roman" w:hAnsi="Times New Roman" w:cs="Times New Roman"/>
          <w:sz w:val="20"/>
          <w:szCs w:val="20"/>
        </w:rPr>
        <w:t xml:space="preserve">. The total </w:t>
      </w:r>
      <w:proofErr w:type="gramStart"/>
      <w:r w:rsidR="0094469E" w:rsidRPr="00122D46">
        <w:rPr>
          <w:rFonts w:ascii="Times New Roman" w:hAnsi="Times New Roman" w:cs="Times New Roman"/>
          <w:sz w:val="20"/>
          <w:szCs w:val="20"/>
        </w:rPr>
        <w:t>assets of whole insurance industry was</w:t>
      </w:r>
      <w:proofErr w:type="gramEnd"/>
      <w:r w:rsidR="0094469E" w:rsidRPr="00122D46">
        <w:rPr>
          <w:rFonts w:ascii="Times New Roman" w:hAnsi="Times New Roman" w:cs="Times New Roman"/>
          <w:sz w:val="20"/>
          <w:szCs w:val="20"/>
        </w:rPr>
        <w:t xml:space="preserve"> Tk. 17369.57 crores in 2009 and went up to Tk. 49793.09 crores   in 2018. The average total </w:t>
      </w:r>
      <w:proofErr w:type="gramStart"/>
      <w:r w:rsidR="0094469E" w:rsidRPr="00122D46">
        <w:rPr>
          <w:rFonts w:ascii="Times New Roman" w:hAnsi="Times New Roman" w:cs="Times New Roman"/>
          <w:sz w:val="20"/>
          <w:szCs w:val="20"/>
        </w:rPr>
        <w:t>assets of insurance industry was</w:t>
      </w:r>
      <w:proofErr w:type="gramEnd"/>
      <w:r w:rsidR="0094469E" w:rsidRPr="00122D46">
        <w:rPr>
          <w:rFonts w:ascii="Times New Roman" w:hAnsi="Times New Roman" w:cs="Times New Roman"/>
          <w:sz w:val="20"/>
          <w:szCs w:val="20"/>
        </w:rPr>
        <w:t xml:space="preserve"> </w:t>
      </w:r>
      <w:proofErr w:type="spellStart"/>
      <w:r w:rsidR="0094469E" w:rsidRPr="00122D46">
        <w:rPr>
          <w:rFonts w:ascii="Times New Roman" w:hAnsi="Times New Roman" w:cs="Times New Roman"/>
          <w:sz w:val="20"/>
          <w:szCs w:val="20"/>
        </w:rPr>
        <w:t>Tk</w:t>
      </w:r>
      <w:proofErr w:type="spellEnd"/>
      <w:r w:rsidR="0094469E" w:rsidRPr="00122D46">
        <w:rPr>
          <w:rFonts w:ascii="Times New Roman" w:hAnsi="Times New Roman" w:cs="Times New Roman"/>
          <w:sz w:val="20"/>
          <w:szCs w:val="20"/>
        </w:rPr>
        <w:t xml:space="preserve"> </w:t>
      </w:r>
      <w:r w:rsidR="0094469E" w:rsidRPr="00122D46">
        <w:rPr>
          <w:rFonts w:ascii="Times New Roman" w:eastAsia="Times New Roman" w:hAnsi="Times New Roman" w:cs="Times New Roman"/>
          <w:bCs/>
          <w:color w:val="000000"/>
          <w:sz w:val="20"/>
          <w:szCs w:val="20"/>
        </w:rPr>
        <w:t xml:space="preserve">35302.73 </w:t>
      </w:r>
      <w:r w:rsidR="0094469E" w:rsidRPr="00122D46">
        <w:rPr>
          <w:rFonts w:ascii="Times New Roman" w:hAnsi="Times New Roman" w:cs="Times New Roman"/>
          <w:sz w:val="20"/>
          <w:szCs w:val="20"/>
        </w:rPr>
        <w:t xml:space="preserve">and AAGR was   </w:t>
      </w:r>
      <w:r w:rsidR="0094469E" w:rsidRPr="00122D46">
        <w:rPr>
          <w:rFonts w:ascii="Times New Roman" w:hAnsi="Times New Roman" w:cs="Times New Roman"/>
          <w:sz w:val="20"/>
          <w:szCs w:val="20"/>
          <w:lang w:bidi="bn-BD"/>
        </w:rPr>
        <w:t xml:space="preserve">12.68% </w:t>
      </w:r>
      <w:r w:rsidR="0094469E" w:rsidRPr="00122D46">
        <w:rPr>
          <w:rFonts w:ascii="Times New Roman" w:hAnsi="Times New Roman" w:cs="Times New Roman"/>
          <w:sz w:val="20"/>
          <w:szCs w:val="20"/>
        </w:rPr>
        <w:t xml:space="preserve">during the study period. The total investment of the insurance industry was amounting to Tk. 11496.25 crores in 2009 and went up to Tk. 32675.79 crores in 2018. The average total investment was Tk. </w:t>
      </w:r>
      <w:r w:rsidR="0094469E" w:rsidRPr="00122D46">
        <w:rPr>
          <w:rFonts w:ascii="Times New Roman" w:eastAsia="Times New Roman" w:hAnsi="Times New Roman" w:cs="Times New Roman"/>
          <w:bCs/>
          <w:color w:val="000000"/>
          <w:sz w:val="20"/>
          <w:szCs w:val="20"/>
        </w:rPr>
        <w:t xml:space="preserve">23844.11 </w:t>
      </w:r>
      <w:r w:rsidR="0094469E" w:rsidRPr="00122D46">
        <w:rPr>
          <w:rFonts w:ascii="Times New Roman" w:hAnsi="Times New Roman" w:cs="Times New Roman"/>
          <w:sz w:val="20"/>
          <w:szCs w:val="20"/>
        </w:rPr>
        <w:t xml:space="preserve">and   AAGR was </w:t>
      </w:r>
      <w:r w:rsidR="0094469E" w:rsidRPr="00122D46">
        <w:rPr>
          <w:rFonts w:ascii="Times New Roman" w:hAnsi="Times New Roman" w:cs="Times New Roman"/>
          <w:sz w:val="20"/>
          <w:szCs w:val="20"/>
          <w:lang w:bidi="bn-BD"/>
        </w:rPr>
        <w:t xml:space="preserve">12.67% </w:t>
      </w:r>
      <w:r w:rsidR="00BE3137" w:rsidRPr="00122D46">
        <w:rPr>
          <w:rFonts w:ascii="Times New Roman" w:hAnsi="Times New Roman" w:cs="Times New Roman"/>
          <w:sz w:val="20"/>
          <w:szCs w:val="20"/>
        </w:rPr>
        <w:t xml:space="preserve">during the concern time. </w:t>
      </w:r>
      <w:r w:rsidR="0095199A" w:rsidRPr="00122D46">
        <w:rPr>
          <w:rFonts w:ascii="Times New Roman" w:hAnsi="Times New Roman" w:cs="Times New Roman"/>
          <w:sz w:val="20"/>
          <w:szCs w:val="20"/>
        </w:rPr>
        <w:t xml:space="preserve">A trend of premium, investment and assets of insurance industry of </w:t>
      </w:r>
      <w:r w:rsidR="009D1FF6" w:rsidRPr="00122D46">
        <w:rPr>
          <w:rFonts w:ascii="Times New Roman" w:hAnsi="Times New Roman" w:cs="Times New Roman"/>
          <w:sz w:val="20"/>
          <w:szCs w:val="20"/>
        </w:rPr>
        <w:t>Bangladesh has</w:t>
      </w:r>
      <w:r w:rsidR="0095199A" w:rsidRPr="00122D46">
        <w:rPr>
          <w:rFonts w:ascii="Times New Roman" w:hAnsi="Times New Roman" w:cs="Times New Roman"/>
          <w:sz w:val="20"/>
          <w:szCs w:val="20"/>
        </w:rPr>
        <w:t xml:space="preserve"> been sh</w:t>
      </w:r>
      <w:r w:rsidR="00BE7394" w:rsidRPr="00122D46">
        <w:rPr>
          <w:rFonts w:ascii="Times New Roman" w:hAnsi="Times New Roman" w:cs="Times New Roman"/>
          <w:sz w:val="20"/>
          <w:szCs w:val="20"/>
        </w:rPr>
        <w:t>own in Chart 05</w:t>
      </w:r>
      <w:r w:rsidR="0095199A" w:rsidRPr="00122D46">
        <w:rPr>
          <w:rFonts w:ascii="Times New Roman" w:hAnsi="Times New Roman" w:cs="Times New Roman"/>
          <w:sz w:val="20"/>
          <w:szCs w:val="20"/>
        </w:rPr>
        <w:t>.</w:t>
      </w:r>
      <w:r w:rsidRPr="00122D46">
        <w:rPr>
          <w:rFonts w:ascii="Times New Roman" w:hAnsi="Times New Roman" w:cs="Times New Roman"/>
          <w:sz w:val="20"/>
          <w:szCs w:val="20"/>
        </w:rPr>
        <w:t xml:space="preserve"> </w:t>
      </w:r>
    </w:p>
    <w:p w:rsidR="006C3696" w:rsidRPr="00122D46" w:rsidRDefault="00122D46" w:rsidP="00122D46">
      <w:pPr>
        <w:spacing w:after="120" w:line="240" w:lineRule="auto"/>
        <w:ind w:left="446" w:firstLine="634"/>
        <w:jc w:val="center"/>
        <w:rPr>
          <w:rFonts w:ascii="Times New Roman" w:hAnsi="Times New Roman" w:cs="Times New Roman"/>
          <w:b/>
          <w:sz w:val="20"/>
          <w:szCs w:val="20"/>
        </w:rPr>
      </w:pPr>
      <w:r w:rsidRPr="00122D46">
        <w:rPr>
          <w:rFonts w:ascii="Times New Roman" w:hAnsi="Times New Roman" w:cs="Times New Roman"/>
          <w:b/>
          <w:sz w:val="20"/>
          <w:szCs w:val="20"/>
        </w:rPr>
        <w:t xml:space="preserve">Chart </w:t>
      </w:r>
      <w:r w:rsidR="006C3696" w:rsidRPr="00122D46">
        <w:rPr>
          <w:rFonts w:ascii="Times New Roman" w:hAnsi="Times New Roman" w:cs="Times New Roman"/>
          <w:b/>
          <w:sz w:val="20"/>
          <w:szCs w:val="20"/>
        </w:rPr>
        <w:t>5</w:t>
      </w:r>
      <w:r w:rsidRPr="00122D46">
        <w:rPr>
          <w:rFonts w:ascii="Times New Roman" w:hAnsi="Times New Roman" w:cs="Times New Roman"/>
          <w:b/>
          <w:sz w:val="20"/>
          <w:szCs w:val="20"/>
        </w:rPr>
        <w:t>: Trend</w:t>
      </w:r>
      <w:r w:rsidR="006C3696" w:rsidRPr="00122D46">
        <w:rPr>
          <w:rFonts w:ascii="Times New Roman" w:hAnsi="Times New Roman" w:cs="Times New Roman"/>
          <w:b/>
          <w:sz w:val="20"/>
          <w:szCs w:val="20"/>
        </w:rPr>
        <w:t xml:space="preserve"> of Insurance Assets, Premium and investment of insurance industry in Bangladesh</w:t>
      </w:r>
      <w:r w:rsidR="006C3696" w:rsidRPr="00122D46">
        <w:rPr>
          <w:rFonts w:ascii="Times New Roman" w:hAnsi="Times New Roman" w:cs="Times New Roman"/>
          <w:sz w:val="20"/>
          <w:szCs w:val="20"/>
        </w:rPr>
        <w:t>.</w:t>
      </w:r>
    </w:p>
    <w:p w:rsidR="006C3696" w:rsidRDefault="006C3696" w:rsidP="004E6D65">
      <w:pPr>
        <w:spacing w:after="120" w:line="480" w:lineRule="auto"/>
        <w:ind w:left="810" w:right="180" w:firstLine="360"/>
        <w:jc w:val="both"/>
        <w:rPr>
          <w:rFonts w:ascii="Times New Roman" w:hAnsi="Times New Roman" w:cs="Times New Roman"/>
          <w:sz w:val="24"/>
          <w:szCs w:val="24"/>
        </w:rPr>
      </w:pPr>
    </w:p>
    <w:p w:rsidR="003758B3" w:rsidRDefault="00EF373F" w:rsidP="003758B3">
      <w:pPr>
        <w:spacing w:after="120" w:line="480" w:lineRule="auto"/>
        <w:ind w:left="810" w:right="180" w:firstLine="360"/>
        <w:rPr>
          <w:rFonts w:ascii="Times New Roman" w:hAnsi="Times New Roman" w:cs="Times New Roman"/>
          <w:sz w:val="24"/>
          <w:szCs w:val="24"/>
        </w:rPr>
      </w:pPr>
      <w:r>
        <w:rPr>
          <w:noProof/>
        </w:rPr>
        <w:drawing>
          <wp:anchor distT="0" distB="0" distL="114300" distR="114300" simplePos="0" relativeHeight="251635200" behindDoc="0" locked="0" layoutInCell="1" allowOverlap="1" wp14:anchorId="7BDDD708" wp14:editId="088F39BB">
            <wp:simplePos x="0" y="0"/>
            <wp:positionH relativeFrom="column">
              <wp:posOffset>809625</wp:posOffset>
            </wp:positionH>
            <wp:positionV relativeFrom="paragraph">
              <wp:posOffset>109855</wp:posOffset>
            </wp:positionV>
            <wp:extent cx="4676775" cy="2305050"/>
            <wp:effectExtent l="0" t="0" r="9525" b="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3758B3" w:rsidRDefault="003758B3" w:rsidP="003758B3">
      <w:pPr>
        <w:spacing w:after="120" w:line="480" w:lineRule="auto"/>
        <w:ind w:left="810" w:right="180" w:firstLine="360"/>
        <w:rPr>
          <w:rFonts w:ascii="Times New Roman" w:hAnsi="Times New Roman" w:cs="Times New Roman"/>
          <w:sz w:val="24"/>
          <w:szCs w:val="24"/>
        </w:rPr>
      </w:pPr>
    </w:p>
    <w:p w:rsidR="0095199A" w:rsidRDefault="003758B3" w:rsidP="003758B3">
      <w:pPr>
        <w:spacing w:after="120" w:line="240" w:lineRule="auto"/>
        <w:ind w:left="806" w:right="187" w:firstLine="360"/>
        <w:jc w:val="center"/>
        <w:rPr>
          <w:rFonts w:ascii="Times New Roman" w:hAnsi="Times New Roman" w:cs="Times New Roman"/>
          <w:sz w:val="24"/>
          <w:szCs w:val="24"/>
        </w:rPr>
      </w:pPr>
      <w:r>
        <w:rPr>
          <w:rFonts w:ascii="Times New Roman" w:hAnsi="Times New Roman" w:cs="Times New Roman"/>
          <w:sz w:val="24"/>
          <w:szCs w:val="24"/>
        </w:rPr>
        <w:br w:type="textWrapping" w:clear="all"/>
      </w:r>
    </w:p>
    <w:p w:rsidR="001B6342" w:rsidRDefault="001B6342" w:rsidP="003758B3">
      <w:pPr>
        <w:spacing w:after="120" w:line="240" w:lineRule="auto"/>
        <w:ind w:left="806" w:right="187" w:firstLine="360"/>
        <w:jc w:val="center"/>
        <w:rPr>
          <w:rFonts w:ascii="Times New Roman" w:hAnsi="Times New Roman" w:cs="Times New Roman"/>
          <w:sz w:val="24"/>
          <w:szCs w:val="24"/>
        </w:rPr>
      </w:pPr>
    </w:p>
    <w:p w:rsidR="001B6342" w:rsidRPr="004E6D65" w:rsidRDefault="001B6342" w:rsidP="003758B3">
      <w:pPr>
        <w:spacing w:after="120" w:line="240" w:lineRule="auto"/>
        <w:ind w:left="806" w:right="187" w:firstLine="360"/>
        <w:jc w:val="center"/>
        <w:rPr>
          <w:rFonts w:ascii="Times New Roman" w:hAnsi="Times New Roman" w:cs="Times New Roman"/>
          <w:sz w:val="24"/>
          <w:szCs w:val="24"/>
        </w:rPr>
      </w:pPr>
    </w:p>
    <w:p w:rsidR="007A7ED9" w:rsidRPr="0089720C" w:rsidRDefault="0089720C" w:rsidP="0089720C">
      <w:pPr>
        <w:spacing w:after="120"/>
        <w:rPr>
          <w:rFonts w:ascii="Times New Roman" w:hAnsi="Times New Roman" w:cs="Times New Roman"/>
          <w:b/>
          <w:sz w:val="20"/>
          <w:szCs w:val="20"/>
        </w:rPr>
      </w:pPr>
      <w:r w:rsidRPr="0089720C">
        <w:rPr>
          <w:rFonts w:ascii="Times New Roman" w:hAnsi="Times New Roman" w:cs="Times New Roman"/>
          <w:b/>
          <w:sz w:val="20"/>
          <w:szCs w:val="20"/>
        </w:rPr>
        <w:t>c.</w:t>
      </w:r>
      <w:r w:rsidR="00BB22F1" w:rsidRPr="0089720C">
        <w:rPr>
          <w:rFonts w:ascii="Times New Roman" w:hAnsi="Times New Roman" w:cs="Times New Roman"/>
          <w:b/>
          <w:sz w:val="20"/>
          <w:szCs w:val="20"/>
        </w:rPr>
        <w:t xml:space="preserve"> S</w:t>
      </w:r>
      <w:r w:rsidR="00184190" w:rsidRPr="0089720C">
        <w:rPr>
          <w:rFonts w:ascii="Times New Roman" w:hAnsi="Times New Roman" w:cs="Times New Roman"/>
          <w:b/>
          <w:sz w:val="20"/>
          <w:szCs w:val="20"/>
        </w:rPr>
        <w:t xml:space="preserve">cenario of </w:t>
      </w:r>
      <w:r w:rsidR="004E6D65" w:rsidRPr="0089720C">
        <w:rPr>
          <w:rFonts w:ascii="Times New Roman" w:hAnsi="Times New Roman" w:cs="Times New Roman"/>
          <w:b/>
          <w:sz w:val="20"/>
          <w:szCs w:val="20"/>
        </w:rPr>
        <w:t>total premium (public &amp; Private</w:t>
      </w:r>
      <w:r w:rsidR="00184190" w:rsidRPr="0089720C">
        <w:rPr>
          <w:rFonts w:ascii="Times New Roman" w:hAnsi="Times New Roman" w:cs="Times New Roman"/>
          <w:b/>
          <w:sz w:val="20"/>
          <w:szCs w:val="20"/>
        </w:rPr>
        <w:t>) of Insurance industry in Bangladesh</w:t>
      </w:r>
    </w:p>
    <w:p w:rsidR="00BB22F1" w:rsidRPr="00397391" w:rsidRDefault="00BB22F1" w:rsidP="00BB22F1">
      <w:pPr>
        <w:pStyle w:val="ListParagraph"/>
        <w:spacing w:after="120"/>
        <w:rPr>
          <w:rFonts w:ascii="Times New Roman" w:hAnsi="Times New Roman" w:cs="Times New Roman"/>
          <w:b/>
          <w:sz w:val="24"/>
          <w:szCs w:val="24"/>
        </w:rPr>
      </w:pPr>
    </w:p>
    <w:p w:rsidR="004E6D65" w:rsidRPr="0089720C" w:rsidRDefault="0089720C" w:rsidP="0089720C">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ab/>
      </w:r>
      <w:r w:rsidR="00327754" w:rsidRPr="0089720C">
        <w:rPr>
          <w:rFonts w:ascii="Times New Roman" w:hAnsi="Times New Roman" w:cs="Times New Roman"/>
          <w:sz w:val="20"/>
          <w:szCs w:val="20"/>
        </w:rPr>
        <w:t>The main blood of insurance industry is premium</w:t>
      </w:r>
      <w:r w:rsidR="0059475A" w:rsidRPr="0089720C">
        <w:rPr>
          <w:rFonts w:ascii="Times New Roman" w:hAnsi="Times New Roman" w:cs="Times New Roman"/>
          <w:sz w:val="20"/>
          <w:szCs w:val="20"/>
        </w:rPr>
        <w:t>. This premium earns from the direct underwriting and reinsurance business .There are 46 nonlife insurance private insurance companies  and one  state own Corporation are functioning nonlife insurance business  and 32 life insurance private companies and one state own corporation are functioning life insurance business in Bangladesh. The scenario of Premium of insurance ind</w:t>
      </w:r>
      <w:r w:rsidR="008A1B1F" w:rsidRPr="0089720C">
        <w:rPr>
          <w:rFonts w:ascii="Times New Roman" w:hAnsi="Times New Roman" w:cs="Times New Roman"/>
          <w:sz w:val="20"/>
          <w:szCs w:val="20"/>
        </w:rPr>
        <w:t>ustry has been shown in Table 07</w:t>
      </w:r>
      <w:r w:rsidR="0059475A" w:rsidRPr="0089720C">
        <w:rPr>
          <w:rFonts w:ascii="Times New Roman" w:hAnsi="Times New Roman" w:cs="Times New Roman"/>
          <w:sz w:val="20"/>
          <w:szCs w:val="20"/>
        </w:rPr>
        <w:t>.</w:t>
      </w:r>
    </w:p>
    <w:p w:rsidR="00065476" w:rsidRPr="009F5261" w:rsidRDefault="004514E3" w:rsidP="009F5261">
      <w:pPr>
        <w:spacing w:after="120"/>
        <w:ind w:left="1080" w:hanging="360"/>
        <w:jc w:val="center"/>
        <w:rPr>
          <w:rFonts w:ascii="Times New Roman" w:hAnsi="Times New Roman" w:cs="Times New Roman"/>
          <w:b/>
          <w:sz w:val="20"/>
          <w:szCs w:val="20"/>
        </w:rPr>
      </w:pPr>
      <w:r w:rsidRPr="009F5261">
        <w:rPr>
          <w:rFonts w:ascii="Times New Roman" w:hAnsi="Times New Roman" w:cs="Times New Roman"/>
          <w:b/>
          <w:sz w:val="20"/>
          <w:szCs w:val="20"/>
        </w:rPr>
        <w:t xml:space="preserve">Table </w:t>
      </w:r>
      <w:r w:rsidR="00BE61EE" w:rsidRPr="009F5261">
        <w:rPr>
          <w:rFonts w:ascii="Times New Roman" w:hAnsi="Times New Roman" w:cs="Times New Roman"/>
          <w:b/>
          <w:sz w:val="20"/>
          <w:szCs w:val="20"/>
        </w:rPr>
        <w:t>5</w:t>
      </w:r>
      <w:r w:rsidR="009F5261" w:rsidRPr="009F5261">
        <w:rPr>
          <w:rFonts w:ascii="Times New Roman" w:hAnsi="Times New Roman" w:cs="Times New Roman"/>
          <w:b/>
          <w:sz w:val="20"/>
          <w:szCs w:val="20"/>
        </w:rPr>
        <w:t xml:space="preserve">: </w:t>
      </w:r>
      <w:r w:rsidR="00065476" w:rsidRPr="009F5261">
        <w:rPr>
          <w:rFonts w:ascii="Times New Roman" w:hAnsi="Times New Roman" w:cs="Times New Roman"/>
          <w:b/>
          <w:sz w:val="20"/>
          <w:szCs w:val="20"/>
        </w:rPr>
        <w:t xml:space="preserve">Premium Scenario of Insurance Industry in Bangladesh (TK. </w:t>
      </w:r>
      <w:r w:rsidR="00EF5D3E" w:rsidRPr="009F5261">
        <w:rPr>
          <w:rFonts w:ascii="Times New Roman" w:hAnsi="Times New Roman" w:cs="Times New Roman"/>
          <w:b/>
          <w:sz w:val="20"/>
          <w:szCs w:val="20"/>
        </w:rPr>
        <w:t>in Crore</w:t>
      </w:r>
      <w:r w:rsidR="00065476" w:rsidRPr="009F5261">
        <w:rPr>
          <w:rFonts w:ascii="Times New Roman" w:hAnsi="Times New Roman" w:cs="Times New Roman"/>
          <w:b/>
          <w:sz w:val="20"/>
          <w:szCs w:val="20"/>
        </w:rPr>
        <w:t>)</w:t>
      </w: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1051"/>
        <w:gridCol w:w="974"/>
        <w:gridCol w:w="1046"/>
        <w:gridCol w:w="1171"/>
        <w:gridCol w:w="840"/>
        <w:gridCol w:w="1045"/>
        <w:gridCol w:w="1060"/>
      </w:tblGrid>
      <w:tr w:rsidR="0002776C" w:rsidRPr="009F5261" w:rsidTr="0002776C">
        <w:trPr>
          <w:trHeight w:val="356"/>
          <w:jc w:val="center"/>
        </w:trPr>
        <w:tc>
          <w:tcPr>
            <w:tcW w:w="805" w:type="dxa"/>
          </w:tcPr>
          <w:p w:rsidR="0002776C" w:rsidRPr="009F5261" w:rsidRDefault="0002776C" w:rsidP="009F5261">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Year</w:t>
            </w:r>
          </w:p>
        </w:tc>
        <w:tc>
          <w:tcPr>
            <w:tcW w:w="1051" w:type="dxa"/>
            <w:vAlign w:val="bottom"/>
          </w:tcPr>
          <w:p w:rsidR="0002776C" w:rsidRPr="009F5261" w:rsidRDefault="0002776C" w:rsidP="009F5261">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Nonlife Private</w:t>
            </w:r>
          </w:p>
        </w:tc>
        <w:tc>
          <w:tcPr>
            <w:tcW w:w="974" w:type="dxa"/>
          </w:tcPr>
          <w:p w:rsidR="0002776C" w:rsidRPr="009F5261" w:rsidRDefault="0002776C" w:rsidP="009F5261">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Nonlife Public</w:t>
            </w:r>
          </w:p>
        </w:tc>
        <w:tc>
          <w:tcPr>
            <w:tcW w:w="1046" w:type="dxa"/>
          </w:tcPr>
          <w:p w:rsidR="0002776C" w:rsidRPr="009F5261" w:rsidRDefault="0002776C" w:rsidP="009F5261">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Nonlife Total</w:t>
            </w:r>
          </w:p>
        </w:tc>
        <w:tc>
          <w:tcPr>
            <w:tcW w:w="1171" w:type="dxa"/>
            <w:vAlign w:val="bottom"/>
          </w:tcPr>
          <w:p w:rsidR="0002776C" w:rsidRPr="009F5261" w:rsidRDefault="0002776C" w:rsidP="009F5261">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Life Private</w:t>
            </w:r>
          </w:p>
        </w:tc>
        <w:tc>
          <w:tcPr>
            <w:tcW w:w="840" w:type="dxa"/>
            <w:vAlign w:val="bottom"/>
          </w:tcPr>
          <w:p w:rsidR="0002776C" w:rsidRPr="009F5261" w:rsidRDefault="0002776C" w:rsidP="009F5261">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Life Public</w:t>
            </w:r>
          </w:p>
        </w:tc>
        <w:tc>
          <w:tcPr>
            <w:tcW w:w="1045" w:type="dxa"/>
          </w:tcPr>
          <w:p w:rsidR="0002776C" w:rsidRPr="009F5261" w:rsidRDefault="0002776C" w:rsidP="009F5261">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Life Total</w:t>
            </w:r>
          </w:p>
        </w:tc>
        <w:tc>
          <w:tcPr>
            <w:tcW w:w="1060" w:type="dxa"/>
          </w:tcPr>
          <w:p w:rsidR="0002776C" w:rsidRPr="009F5261" w:rsidRDefault="0002776C" w:rsidP="009F5261">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Industry</w:t>
            </w:r>
          </w:p>
        </w:tc>
      </w:tr>
      <w:tr w:rsidR="0002776C" w:rsidRPr="009F5261" w:rsidTr="0002776C">
        <w:trPr>
          <w:trHeight w:val="249"/>
          <w:jc w:val="center"/>
        </w:trPr>
        <w:tc>
          <w:tcPr>
            <w:tcW w:w="805"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hAnsi="Times New Roman" w:cs="Times New Roman"/>
                <w:sz w:val="20"/>
                <w:szCs w:val="20"/>
              </w:rPr>
              <w:t>2009</w:t>
            </w:r>
          </w:p>
        </w:tc>
        <w:tc>
          <w:tcPr>
            <w:tcW w:w="1051"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12,28.42</w:t>
            </w:r>
          </w:p>
        </w:tc>
        <w:tc>
          <w:tcPr>
            <w:tcW w:w="974"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1,61.35</w:t>
            </w:r>
          </w:p>
        </w:tc>
        <w:tc>
          <w:tcPr>
            <w:tcW w:w="1046" w:type="dxa"/>
          </w:tcPr>
          <w:p w:rsidR="0002776C" w:rsidRPr="009F5261" w:rsidRDefault="0002776C" w:rsidP="009F5261">
            <w:pPr>
              <w:spacing w:after="120"/>
              <w:jc w:val="center"/>
              <w:rPr>
                <w:rFonts w:ascii="Times New Roman" w:hAnsi="Times New Roman" w:cs="Times New Roman"/>
                <w:sz w:val="20"/>
                <w:szCs w:val="20"/>
              </w:rPr>
            </w:pPr>
            <w:r w:rsidRPr="009F5261">
              <w:rPr>
                <w:rFonts w:ascii="Times New Roman" w:hAnsi="Times New Roman" w:cs="Times New Roman"/>
                <w:sz w:val="20"/>
                <w:szCs w:val="20"/>
              </w:rPr>
              <w:t>1389.77</w:t>
            </w:r>
          </w:p>
        </w:tc>
        <w:tc>
          <w:tcPr>
            <w:tcW w:w="1171"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45,95.79</w:t>
            </w:r>
          </w:p>
        </w:tc>
        <w:tc>
          <w:tcPr>
            <w:tcW w:w="840"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3,34.68</w:t>
            </w:r>
          </w:p>
        </w:tc>
        <w:tc>
          <w:tcPr>
            <w:tcW w:w="1045" w:type="dxa"/>
          </w:tcPr>
          <w:p w:rsidR="0002776C" w:rsidRPr="009F5261" w:rsidRDefault="0002776C" w:rsidP="009F5261">
            <w:pPr>
              <w:spacing w:after="120"/>
              <w:jc w:val="center"/>
              <w:rPr>
                <w:rFonts w:ascii="Times New Roman" w:hAnsi="Times New Roman" w:cs="Times New Roman"/>
                <w:sz w:val="20"/>
                <w:szCs w:val="20"/>
              </w:rPr>
            </w:pPr>
            <w:r w:rsidRPr="009F5261">
              <w:rPr>
                <w:rFonts w:ascii="Times New Roman" w:hAnsi="Times New Roman" w:cs="Times New Roman"/>
                <w:sz w:val="20"/>
                <w:szCs w:val="20"/>
              </w:rPr>
              <w:t>4930.47</w:t>
            </w:r>
          </w:p>
        </w:tc>
        <w:tc>
          <w:tcPr>
            <w:tcW w:w="1060"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hAnsi="Times New Roman" w:cs="Times New Roman"/>
                <w:sz w:val="20"/>
                <w:szCs w:val="20"/>
              </w:rPr>
              <w:t>6320.24</w:t>
            </w:r>
          </w:p>
        </w:tc>
      </w:tr>
      <w:tr w:rsidR="0002776C" w:rsidRPr="009F5261" w:rsidTr="0002776C">
        <w:trPr>
          <w:trHeight w:val="249"/>
          <w:jc w:val="center"/>
        </w:trPr>
        <w:tc>
          <w:tcPr>
            <w:tcW w:w="805"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hAnsi="Times New Roman" w:cs="Times New Roman"/>
                <w:sz w:val="20"/>
                <w:szCs w:val="20"/>
              </w:rPr>
              <w:t>2010</w:t>
            </w:r>
          </w:p>
        </w:tc>
        <w:tc>
          <w:tcPr>
            <w:tcW w:w="1051"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14,88.39</w:t>
            </w:r>
          </w:p>
        </w:tc>
        <w:tc>
          <w:tcPr>
            <w:tcW w:w="974"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1,65.99</w:t>
            </w:r>
          </w:p>
        </w:tc>
        <w:tc>
          <w:tcPr>
            <w:tcW w:w="1046" w:type="dxa"/>
          </w:tcPr>
          <w:p w:rsidR="0002776C" w:rsidRPr="009F5261" w:rsidRDefault="0002776C" w:rsidP="009F5261">
            <w:pPr>
              <w:spacing w:after="120"/>
              <w:jc w:val="center"/>
              <w:rPr>
                <w:rFonts w:ascii="Times New Roman" w:hAnsi="Times New Roman" w:cs="Times New Roman"/>
                <w:sz w:val="20"/>
                <w:szCs w:val="20"/>
              </w:rPr>
            </w:pPr>
            <w:r w:rsidRPr="009F5261">
              <w:rPr>
                <w:rFonts w:ascii="Times New Roman" w:hAnsi="Times New Roman" w:cs="Times New Roman"/>
                <w:sz w:val="20"/>
                <w:szCs w:val="20"/>
              </w:rPr>
              <w:t>1657.38</w:t>
            </w:r>
          </w:p>
        </w:tc>
        <w:tc>
          <w:tcPr>
            <w:tcW w:w="1171"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54,69.91</w:t>
            </w:r>
          </w:p>
        </w:tc>
        <w:tc>
          <w:tcPr>
            <w:tcW w:w="840"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3,45.95</w:t>
            </w:r>
          </w:p>
        </w:tc>
        <w:tc>
          <w:tcPr>
            <w:tcW w:w="1045" w:type="dxa"/>
          </w:tcPr>
          <w:p w:rsidR="0002776C" w:rsidRPr="009F5261" w:rsidRDefault="0002776C" w:rsidP="009F5261">
            <w:pPr>
              <w:spacing w:after="120"/>
              <w:jc w:val="center"/>
              <w:rPr>
                <w:rFonts w:ascii="Times New Roman" w:hAnsi="Times New Roman" w:cs="Times New Roman"/>
                <w:sz w:val="20"/>
                <w:szCs w:val="20"/>
              </w:rPr>
            </w:pPr>
            <w:r w:rsidRPr="009F5261">
              <w:rPr>
                <w:rFonts w:ascii="Times New Roman" w:hAnsi="Times New Roman" w:cs="Times New Roman"/>
                <w:sz w:val="20"/>
                <w:szCs w:val="20"/>
              </w:rPr>
              <w:t>5815.86</w:t>
            </w:r>
          </w:p>
        </w:tc>
        <w:tc>
          <w:tcPr>
            <w:tcW w:w="1060"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hAnsi="Times New Roman" w:cs="Times New Roman"/>
                <w:sz w:val="20"/>
                <w:szCs w:val="20"/>
              </w:rPr>
              <w:t>7473.24</w:t>
            </w:r>
          </w:p>
        </w:tc>
      </w:tr>
      <w:tr w:rsidR="004E3963" w:rsidRPr="009F5261" w:rsidTr="0002776C">
        <w:trPr>
          <w:trHeight w:val="249"/>
          <w:jc w:val="center"/>
        </w:trPr>
        <w:tc>
          <w:tcPr>
            <w:tcW w:w="805" w:type="dxa"/>
            <w:vAlign w:val="bottom"/>
          </w:tcPr>
          <w:p w:rsidR="004E3963" w:rsidRPr="009F5261" w:rsidRDefault="004E3963" w:rsidP="009F5261">
            <w:pPr>
              <w:jc w:val="center"/>
              <w:rPr>
                <w:rFonts w:ascii="Times New Roman" w:hAnsi="Times New Roman" w:cs="Times New Roman"/>
                <w:sz w:val="20"/>
                <w:szCs w:val="20"/>
              </w:rPr>
            </w:pPr>
            <w:r w:rsidRPr="009F5261">
              <w:rPr>
                <w:rFonts w:ascii="Times New Roman" w:hAnsi="Times New Roman" w:cs="Times New Roman"/>
                <w:sz w:val="20"/>
                <w:szCs w:val="20"/>
              </w:rPr>
              <w:t>2011</w:t>
            </w:r>
          </w:p>
        </w:tc>
        <w:tc>
          <w:tcPr>
            <w:tcW w:w="1051" w:type="dxa"/>
            <w:vAlign w:val="bottom"/>
          </w:tcPr>
          <w:p w:rsidR="004E3963" w:rsidRPr="009F5261" w:rsidRDefault="004E3963" w:rsidP="009F5261">
            <w:pPr>
              <w:jc w:val="center"/>
              <w:rPr>
                <w:rFonts w:ascii="Times New Roman" w:eastAsia="Times New Roman" w:hAnsi="Times New Roman" w:cs="Times New Roman"/>
                <w:sz w:val="20"/>
                <w:szCs w:val="20"/>
              </w:rPr>
            </w:pPr>
            <w:r w:rsidRPr="009F5261">
              <w:rPr>
                <w:rFonts w:ascii="Times New Roman" w:eastAsia="Times New Roman" w:hAnsi="Times New Roman" w:cs="Times New Roman"/>
                <w:sz w:val="20"/>
                <w:szCs w:val="20"/>
              </w:rPr>
              <w:t>172741</w:t>
            </w:r>
          </w:p>
        </w:tc>
        <w:tc>
          <w:tcPr>
            <w:tcW w:w="974" w:type="dxa"/>
            <w:vAlign w:val="bottom"/>
          </w:tcPr>
          <w:p w:rsidR="004E3963" w:rsidRPr="009F5261" w:rsidRDefault="004E3963" w:rsidP="009F5261">
            <w:pPr>
              <w:jc w:val="center"/>
              <w:rPr>
                <w:rFonts w:ascii="Times New Roman" w:eastAsia="Times New Roman" w:hAnsi="Times New Roman" w:cs="Times New Roman"/>
                <w:sz w:val="20"/>
                <w:szCs w:val="20"/>
              </w:rPr>
            </w:pPr>
            <w:r w:rsidRPr="009F5261">
              <w:rPr>
                <w:rFonts w:ascii="Times New Roman" w:eastAsia="Times New Roman" w:hAnsi="Times New Roman" w:cs="Times New Roman"/>
                <w:sz w:val="20"/>
                <w:szCs w:val="20"/>
              </w:rPr>
              <w:t>19747</w:t>
            </w:r>
          </w:p>
        </w:tc>
        <w:tc>
          <w:tcPr>
            <w:tcW w:w="1046" w:type="dxa"/>
          </w:tcPr>
          <w:p w:rsidR="004E3963" w:rsidRPr="009F5261" w:rsidRDefault="004E3963" w:rsidP="009F5261">
            <w:pPr>
              <w:spacing w:after="120"/>
              <w:jc w:val="center"/>
              <w:rPr>
                <w:rFonts w:ascii="Times New Roman" w:hAnsi="Times New Roman" w:cs="Times New Roman"/>
                <w:sz w:val="20"/>
                <w:szCs w:val="20"/>
              </w:rPr>
            </w:pPr>
            <w:r w:rsidRPr="009F5261">
              <w:rPr>
                <w:rFonts w:ascii="Times New Roman" w:hAnsi="Times New Roman" w:cs="Times New Roman"/>
                <w:sz w:val="20"/>
                <w:szCs w:val="20"/>
              </w:rPr>
              <w:t>1924.88</w:t>
            </w:r>
          </w:p>
        </w:tc>
        <w:tc>
          <w:tcPr>
            <w:tcW w:w="1171" w:type="dxa"/>
            <w:vAlign w:val="bottom"/>
          </w:tcPr>
          <w:p w:rsidR="004E3963" w:rsidRPr="009F5261" w:rsidRDefault="004E3963" w:rsidP="009F5261">
            <w:pPr>
              <w:jc w:val="center"/>
              <w:rPr>
                <w:rFonts w:ascii="Times New Roman" w:eastAsia="Times New Roman" w:hAnsi="Times New Roman" w:cs="Times New Roman"/>
                <w:sz w:val="20"/>
                <w:szCs w:val="20"/>
              </w:rPr>
            </w:pPr>
            <w:r w:rsidRPr="009F5261">
              <w:rPr>
                <w:rFonts w:ascii="Times New Roman" w:eastAsia="Times New Roman" w:hAnsi="Times New Roman" w:cs="Times New Roman"/>
                <w:sz w:val="20"/>
                <w:szCs w:val="20"/>
              </w:rPr>
              <w:t>5973.52</w:t>
            </w:r>
          </w:p>
        </w:tc>
        <w:tc>
          <w:tcPr>
            <w:tcW w:w="840" w:type="dxa"/>
            <w:vAlign w:val="bottom"/>
          </w:tcPr>
          <w:p w:rsidR="004E3963" w:rsidRPr="009F5261" w:rsidRDefault="004E3963" w:rsidP="009F5261">
            <w:pPr>
              <w:jc w:val="center"/>
              <w:rPr>
                <w:rFonts w:ascii="Times New Roman" w:eastAsia="Times New Roman" w:hAnsi="Times New Roman" w:cs="Times New Roman"/>
                <w:sz w:val="20"/>
                <w:szCs w:val="20"/>
              </w:rPr>
            </w:pPr>
            <w:r w:rsidRPr="009F5261">
              <w:rPr>
                <w:rFonts w:ascii="Times New Roman" w:eastAsia="Times New Roman" w:hAnsi="Times New Roman" w:cs="Times New Roman"/>
                <w:sz w:val="20"/>
                <w:szCs w:val="20"/>
              </w:rPr>
              <w:t>307.88</w:t>
            </w:r>
          </w:p>
        </w:tc>
        <w:tc>
          <w:tcPr>
            <w:tcW w:w="1045" w:type="dxa"/>
          </w:tcPr>
          <w:p w:rsidR="004E3963" w:rsidRPr="009F5261" w:rsidRDefault="004E3963" w:rsidP="009F5261">
            <w:pPr>
              <w:spacing w:after="120"/>
              <w:jc w:val="center"/>
              <w:rPr>
                <w:rFonts w:ascii="Times New Roman" w:hAnsi="Times New Roman" w:cs="Times New Roman"/>
                <w:sz w:val="20"/>
                <w:szCs w:val="20"/>
              </w:rPr>
            </w:pPr>
            <w:r w:rsidRPr="009F5261">
              <w:rPr>
                <w:rFonts w:ascii="Times New Roman" w:hAnsi="Times New Roman" w:cs="Times New Roman"/>
                <w:sz w:val="20"/>
                <w:szCs w:val="20"/>
              </w:rPr>
              <w:t>6281.40</w:t>
            </w:r>
          </w:p>
        </w:tc>
        <w:tc>
          <w:tcPr>
            <w:tcW w:w="1060" w:type="dxa"/>
            <w:vAlign w:val="bottom"/>
          </w:tcPr>
          <w:p w:rsidR="004E3963" w:rsidRPr="009F5261" w:rsidRDefault="004E3963" w:rsidP="009F5261">
            <w:pPr>
              <w:jc w:val="center"/>
              <w:rPr>
                <w:rFonts w:ascii="Times New Roman" w:hAnsi="Times New Roman" w:cs="Times New Roman"/>
                <w:sz w:val="20"/>
                <w:szCs w:val="20"/>
              </w:rPr>
            </w:pPr>
            <w:r w:rsidRPr="009F5261">
              <w:rPr>
                <w:rFonts w:ascii="Times New Roman" w:hAnsi="Times New Roman" w:cs="Times New Roman"/>
                <w:sz w:val="20"/>
                <w:szCs w:val="20"/>
              </w:rPr>
              <w:t>8206.28</w:t>
            </w:r>
          </w:p>
        </w:tc>
      </w:tr>
      <w:tr w:rsidR="0002776C" w:rsidRPr="009F5261" w:rsidTr="0002776C">
        <w:trPr>
          <w:trHeight w:val="249"/>
          <w:jc w:val="center"/>
        </w:trPr>
        <w:tc>
          <w:tcPr>
            <w:tcW w:w="805"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hAnsi="Times New Roman" w:cs="Times New Roman"/>
                <w:sz w:val="20"/>
                <w:szCs w:val="20"/>
              </w:rPr>
              <w:t>2012</w:t>
            </w:r>
          </w:p>
        </w:tc>
        <w:tc>
          <w:tcPr>
            <w:tcW w:w="1051"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19,45.67</w:t>
            </w:r>
          </w:p>
        </w:tc>
        <w:tc>
          <w:tcPr>
            <w:tcW w:w="974"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2,18.92</w:t>
            </w:r>
          </w:p>
        </w:tc>
        <w:tc>
          <w:tcPr>
            <w:tcW w:w="1046" w:type="dxa"/>
          </w:tcPr>
          <w:p w:rsidR="0002776C" w:rsidRPr="009F5261" w:rsidRDefault="0002776C" w:rsidP="009F5261">
            <w:pPr>
              <w:spacing w:after="120"/>
              <w:jc w:val="center"/>
              <w:rPr>
                <w:rFonts w:ascii="Times New Roman" w:hAnsi="Times New Roman" w:cs="Times New Roman"/>
                <w:sz w:val="20"/>
                <w:szCs w:val="20"/>
              </w:rPr>
            </w:pPr>
            <w:r w:rsidRPr="009F5261">
              <w:rPr>
                <w:rFonts w:ascii="Times New Roman" w:hAnsi="Times New Roman" w:cs="Times New Roman"/>
                <w:sz w:val="20"/>
                <w:szCs w:val="20"/>
              </w:rPr>
              <w:t>2164.59</w:t>
            </w:r>
          </w:p>
        </w:tc>
        <w:tc>
          <w:tcPr>
            <w:tcW w:w="1171" w:type="dxa"/>
            <w:vAlign w:val="center"/>
          </w:tcPr>
          <w:p w:rsidR="0002776C" w:rsidRPr="009F5261" w:rsidRDefault="0002776C" w:rsidP="009F5261">
            <w:pPr>
              <w:spacing w:after="0" w:line="240" w:lineRule="auto"/>
              <w:jc w:val="center"/>
              <w:rPr>
                <w:rFonts w:ascii="Times New Roman" w:eastAsia="Times New Roman" w:hAnsi="Times New Roman" w:cs="Times New Roman"/>
                <w:sz w:val="20"/>
                <w:szCs w:val="20"/>
              </w:rPr>
            </w:pPr>
            <w:r w:rsidRPr="009F5261">
              <w:rPr>
                <w:rFonts w:ascii="Times New Roman" w:eastAsia="Times New Roman" w:hAnsi="Times New Roman" w:cs="Times New Roman"/>
                <w:sz w:val="20"/>
                <w:szCs w:val="20"/>
              </w:rPr>
              <w:t>62,43.89</w:t>
            </w:r>
          </w:p>
        </w:tc>
        <w:tc>
          <w:tcPr>
            <w:tcW w:w="840"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3,43.20</w:t>
            </w:r>
          </w:p>
        </w:tc>
        <w:tc>
          <w:tcPr>
            <w:tcW w:w="1045" w:type="dxa"/>
          </w:tcPr>
          <w:p w:rsidR="0002776C" w:rsidRPr="009F5261" w:rsidRDefault="0002776C" w:rsidP="009F5261">
            <w:pPr>
              <w:spacing w:after="120"/>
              <w:jc w:val="center"/>
              <w:rPr>
                <w:rFonts w:ascii="Times New Roman" w:hAnsi="Times New Roman" w:cs="Times New Roman"/>
                <w:sz w:val="20"/>
                <w:szCs w:val="20"/>
              </w:rPr>
            </w:pPr>
            <w:r w:rsidRPr="009F5261">
              <w:rPr>
                <w:rFonts w:ascii="Times New Roman" w:hAnsi="Times New Roman" w:cs="Times New Roman"/>
                <w:sz w:val="20"/>
                <w:szCs w:val="20"/>
              </w:rPr>
              <w:t>6587.10</w:t>
            </w:r>
          </w:p>
        </w:tc>
        <w:tc>
          <w:tcPr>
            <w:tcW w:w="1060"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hAnsi="Times New Roman" w:cs="Times New Roman"/>
                <w:sz w:val="20"/>
                <w:szCs w:val="20"/>
              </w:rPr>
              <w:t>8751.69</w:t>
            </w:r>
          </w:p>
        </w:tc>
      </w:tr>
      <w:tr w:rsidR="0002776C" w:rsidRPr="009F5261" w:rsidTr="0002776C">
        <w:trPr>
          <w:trHeight w:val="249"/>
          <w:jc w:val="center"/>
        </w:trPr>
        <w:tc>
          <w:tcPr>
            <w:tcW w:w="805"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hAnsi="Times New Roman" w:cs="Times New Roman"/>
                <w:sz w:val="20"/>
                <w:szCs w:val="20"/>
              </w:rPr>
              <w:t>2013</w:t>
            </w:r>
          </w:p>
        </w:tc>
        <w:tc>
          <w:tcPr>
            <w:tcW w:w="1051"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21,03.75</w:t>
            </w:r>
          </w:p>
        </w:tc>
        <w:tc>
          <w:tcPr>
            <w:tcW w:w="974"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1,90.96</w:t>
            </w:r>
          </w:p>
        </w:tc>
        <w:tc>
          <w:tcPr>
            <w:tcW w:w="1046" w:type="dxa"/>
          </w:tcPr>
          <w:p w:rsidR="0002776C" w:rsidRPr="009F5261" w:rsidRDefault="0002776C" w:rsidP="009F5261">
            <w:pPr>
              <w:spacing w:after="120"/>
              <w:jc w:val="center"/>
              <w:rPr>
                <w:rFonts w:ascii="Times New Roman" w:hAnsi="Times New Roman" w:cs="Times New Roman"/>
                <w:sz w:val="20"/>
                <w:szCs w:val="20"/>
              </w:rPr>
            </w:pPr>
            <w:r w:rsidRPr="009F5261">
              <w:rPr>
                <w:rFonts w:ascii="Times New Roman" w:hAnsi="Times New Roman" w:cs="Times New Roman"/>
                <w:sz w:val="20"/>
                <w:szCs w:val="20"/>
              </w:rPr>
              <w:t>2294.71</w:t>
            </w:r>
          </w:p>
        </w:tc>
        <w:tc>
          <w:tcPr>
            <w:tcW w:w="1171"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62,42.92</w:t>
            </w:r>
          </w:p>
        </w:tc>
        <w:tc>
          <w:tcPr>
            <w:tcW w:w="840"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3,65.11</w:t>
            </w:r>
          </w:p>
        </w:tc>
        <w:tc>
          <w:tcPr>
            <w:tcW w:w="1045" w:type="dxa"/>
          </w:tcPr>
          <w:p w:rsidR="0002776C" w:rsidRPr="009F5261" w:rsidRDefault="0002776C" w:rsidP="009F5261">
            <w:pPr>
              <w:spacing w:after="120"/>
              <w:jc w:val="center"/>
              <w:rPr>
                <w:rFonts w:ascii="Times New Roman" w:hAnsi="Times New Roman" w:cs="Times New Roman"/>
                <w:sz w:val="20"/>
                <w:szCs w:val="20"/>
              </w:rPr>
            </w:pPr>
            <w:r w:rsidRPr="009F5261">
              <w:rPr>
                <w:rFonts w:ascii="Times New Roman" w:hAnsi="Times New Roman" w:cs="Times New Roman"/>
                <w:sz w:val="20"/>
                <w:szCs w:val="20"/>
              </w:rPr>
              <w:t>6608.03</w:t>
            </w:r>
          </w:p>
        </w:tc>
        <w:tc>
          <w:tcPr>
            <w:tcW w:w="1060" w:type="dxa"/>
            <w:vAlign w:val="bottom"/>
          </w:tcPr>
          <w:p w:rsidR="0002776C" w:rsidRPr="009F5261" w:rsidRDefault="0002776C" w:rsidP="009F5261">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8902.74</w:t>
            </w:r>
          </w:p>
        </w:tc>
      </w:tr>
      <w:tr w:rsidR="0002776C" w:rsidRPr="009F5261" w:rsidTr="0002776C">
        <w:trPr>
          <w:trHeight w:val="249"/>
          <w:jc w:val="center"/>
        </w:trPr>
        <w:tc>
          <w:tcPr>
            <w:tcW w:w="805"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hAnsi="Times New Roman" w:cs="Times New Roman"/>
                <w:sz w:val="20"/>
                <w:szCs w:val="20"/>
              </w:rPr>
              <w:t>2014</w:t>
            </w:r>
          </w:p>
        </w:tc>
        <w:tc>
          <w:tcPr>
            <w:tcW w:w="1051"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22,67.92</w:t>
            </w:r>
          </w:p>
        </w:tc>
        <w:tc>
          <w:tcPr>
            <w:tcW w:w="974"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1,76.11</w:t>
            </w:r>
          </w:p>
        </w:tc>
        <w:tc>
          <w:tcPr>
            <w:tcW w:w="1046" w:type="dxa"/>
          </w:tcPr>
          <w:p w:rsidR="0002776C" w:rsidRPr="009F5261" w:rsidRDefault="0002776C" w:rsidP="009F5261">
            <w:pPr>
              <w:spacing w:after="120"/>
              <w:jc w:val="center"/>
              <w:rPr>
                <w:rFonts w:ascii="Times New Roman" w:hAnsi="Times New Roman" w:cs="Times New Roman"/>
                <w:sz w:val="20"/>
                <w:szCs w:val="20"/>
              </w:rPr>
            </w:pPr>
            <w:r w:rsidRPr="009F5261">
              <w:rPr>
                <w:rFonts w:ascii="Times New Roman" w:hAnsi="Times New Roman" w:cs="Times New Roman"/>
                <w:sz w:val="20"/>
                <w:szCs w:val="20"/>
              </w:rPr>
              <w:t>2444.03</w:t>
            </w:r>
          </w:p>
        </w:tc>
        <w:tc>
          <w:tcPr>
            <w:tcW w:w="1171"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66,86.19</w:t>
            </w:r>
          </w:p>
        </w:tc>
        <w:tc>
          <w:tcPr>
            <w:tcW w:w="840"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3,89.92</w:t>
            </w:r>
          </w:p>
        </w:tc>
        <w:tc>
          <w:tcPr>
            <w:tcW w:w="1045" w:type="dxa"/>
          </w:tcPr>
          <w:p w:rsidR="0002776C" w:rsidRPr="009F5261" w:rsidRDefault="0002776C" w:rsidP="009F5261">
            <w:pPr>
              <w:spacing w:after="120"/>
              <w:jc w:val="center"/>
              <w:rPr>
                <w:rFonts w:ascii="Times New Roman" w:hAnsi="Times New Roman" w:cs="Times New Roman"/>
                <w:sz w:val="20"/>
                <w:szCs w:val="20"/>
              </w:rPr>
            </w:pPr>
            <w:r w:rsidRPr="009F5261">
              <w:rPr>
                <w:rFonts w:ascii="Times New Roman" w:hAnsi="Times New Roman" w:cs="Times New Roman"/>
                <w:sz w:val="20"/>
                <w:szCs w:val="20"/>
              </w:rPr>
              <w:t>7076.11</w:t>
            </w:r>
          </w:p>
        </w:tc>
        <w:tc>
          <w:tcPr>
            <w:tcW w:w="1060"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hAnsi="Times New Roman" w:cs="Times New Roman"/>
                <w:sz w:val="20"/>
                <w:szCs w:val="20"/>
              </w:rPr>
              <w:t>9520.14</w:t>
            </w:r>
          </w:p>
        </w:tc>
      </w:tr>
      <w:tr w:rsidR="0002776C" w:rsidRPr="009F5261" w:rsidTr="0002776C">
        <w:trPr>
          <w:trHeight w:val="249"/>
          <w:jc w:val="center"/>
        </w:trPr>
        <w:tc>
          <w:tcPr>
            <w:tcW w:w="805"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hAnsi="Times New Roman" w:cs="Times New Roman"/>
                <w:sz w:val="20"/>
                <w:szCs w:val="20"/>
              </w:rPr>
              <w:t>2015</w:t>
            </w:r>
          </w:p>
        </w:tc>
        <w:tc>
          <w:tcPr>
            <w:tcW w:w="1051"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24,30.79</w:t>
            </w:r>
          </w:p>
        </w:tc>
        <w:tc>
          <w:tcPr>
            <w:tcW w:w="974"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2,07.31</w:t>
            </w:r>
          </w:p>
        </w:tc>
        <w:tc>
          <w:tcPr>
            <w:tcW w:w="1046" w:type="dxa"/>
          </w:tcPr>
          <w:p w:rsidR="0002776C" w:rsidRPr="009F5261" w:rsidRDefault="0002776C" w:rsidP="009F5261">
            <w:pPr>
              <w:spacing w:after="120"/>
              <w:jc w:val="center"/>
              <w:rPr>
                <w:rFonts w:ascii="Times New Roman" w:hAnsi="Times New Roman" w:cs="Times New Roman"/>
                <w:sz w:val="20"/>
                <w:szCs w:val="20"/>
              </w:rPr>
            </w:pPr>
            <w:r w:rsidRPr="009F5261">
              <w:rPr>
                <w:rFonts w:ascii="Times New Roman" w:hAnsi="Times New Roman" w:cs="Times New Roman"/>
                <w:sz w:val="20"/>
                <w:szCs w:val="20"/>
              </w:rPr>
              <w:t>2638.10</w:t>
            </w:r>
          </w:p>
        </w:tc>
        <w:tc>
          <w:tcPr>
            <w:tcW w:w="1171"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79,25.96</w:t>
            </w:r>
          </w:p>
        </w:tc>
        <w:tc>
          <w:tcPr>
            <w:tcW w:w="840"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4,02.85</w:t>
            </w:r>
          </w:p>
        </w:tc>
        <w:tc>
          <w:tcPr>
            <w:tcW w:w="1045" w:type="dxa"/>
          </w:tcPr>
          <w:p w:rsidR="0002776C" w:rsidRPr="009F5261" w:rsidRDefault="0002776C" w:rsidP="009F5261">
            <w:pPr>
              <w:spacing w:after="120"/>
              <w:jc w:val="center"/>
              <w:rPr>
                <w:rFonts w:ascii="Times New Roman" w:hAnsi="Times New Roman" w:cs="Times New Roman"/>
                <w:sz w:val="20"/>
                <w:szCs w:val="20"/>
              </w:rPr>
            </w:pPr>
            <w:r w:rsidRPr="009F5261">
              <w:rPr>
                <w:rFonts w:ascii="Times New Roman" w:hAnsi="Times New Roman" w:cs="Times New Roman"/>
                <w:sz w:val="20"/>
                <w:szCs w:val="20"/>
              </w:rPr>
              <w:t>8328.81</w:t>
            </w:r>
          </w:p>
        </w:tc>
        <w:tc>
          <w:tcPr>
            <w:tcW w:w="1060"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hAnsi="Times New Roman" w:cs="Times New Roman"/>
                <w:sz w:val="20"/>
                <w:szCs w:val="20"/>
              </w:rPr>
              <w:t>12597.20</w:t>
            </w:r>
          </w:p>
        </w:tc>
      </w:tr>
      <w:tr w:rsidR="0002776C" w:rsidRPr="009F5261" w:rsidTr="0002776C">
        <w:trPr>
          <w:trHeight w:val="249"/>
          <w:jc w:val="center"/>
        </w:trPr>
        <w:tc>
          <w:tcPr>
            <w:tcW w:w="805"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hAnsi="Times New Roman" w:cs="Times New Roman"/>
                <w:sz w:val="20"/>
                <w:szCs w:val="20"/>
              </w:rPr>
              <w:t>2016</w:t>
            </w:r>
          </w:p>
        </w:tc>
        <w:tc>
          <w:tcPr>
            <w:tcW w:w="1051"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25,39.25</w:t>
            </w:r>
          </w:p>
        </w:tc>
        <w:tc>
          <w:tcPr>
            <w:tcW w:w="974"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2,23.49</w:t>
            </w:r>
          </w:p>
        </w:tc>
        <w:tc>
          <w:tcPr>
            <w:tcW w:w="1046" w:type="dxa"/>
          </w:tcPr>
          <w:p w:rsidR="0002776C" w:rsidRPr="009F5261" w:rsidRDefault="0002776C" w:rsidP="009F5261">
            <w:pPr>
              <w:spacing w:after="120"/>
              <w:jc w:val="center"/>
              <w:rPr>
                <w:rFonts w:ascii="Times New Roman" w:hAnsi="Times New Roman" w:cs="Times New Roman"/>
                <w:sz w:val="20"/>
                <w:szCs w:val="20"/>
              </w:rPr>
            </w:pPr>
            <w:r w:rsidRPr="009F5261">
              <w:rPr>
                <w:rFonts w:ascii="Times New Roman" w:hAnsi="Times New Roman" w:cs="Times New Roman"/>
                <w:sz w:val="20"/>
                <w:szCs w:val="20"/>
              </w:rPr>
              <w:t>2762.74</w:t>
            </w:r>
          </w:p>
        </w:tc>
        <w:tc>
          <w:tcPr>
            <w:tcW w:w="1171"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70,95.38</w:t>
            </w:r>
          </w:p>
        </w:tc>
        <w:tc>
          <w:tcPr>
            <w:tcW w:w="840" w:type="dxa"/>
            <w:vAlign w:val="center"/>
          </w:tcPr>
          <w:p w:rsidR="0002776C" w:rsidRPr="009F5261" w:rsidRDefault="0002776C" w:rsidP="009F5261">
            <w:pPr>
              <w:spacing w:after="0" w:line="240" w:lineRule="auto"/>
              <w:jc w:val="center"/>
              <w:rPr>
                <w:rFonts w:ascii="Times New Roman" w:eastAsia="Times New Roman" w:hAnsi="Times New Roman" w:cs="Times New Roman"/>
                <w:sz w:val="20"/>
                <w:szCs w:val="20"/>
              </w:rPr>
            </w:pPr>
            <w:r w:rsidRPr="009F5261">
              <w:rPr>
                <w:rFonts w:ascii="Times New Roman" w:eastAsia="Times New Roman" w:hAnsi="Times New Roman" w:cs="Times New Roman"/>
                <w:sz w:val="20"/>
                <w:szCs w:val="20"/>
              </w:rPr>
              <w:t>4,10.95</w:t>
            </w:r>
          </w:p>
        </w:tc>
        <w:tc>
          <w:tcPr>
            <w:tcW w:w="1045" w:type="dxa"/>
          </w:tcPr>
          <w:p w:rsidR="0002776C" w:rsidRPr="009F5261" w:rsidRDefault="0002776C" w:rsidP="009F5261">
            <w:pPr>
              <w:spacing w:after="120"/>
              <w:jc w:val="center"/>
              <w:rPr>
                <w:rFonts w:ascii="Times New Roman" w:hAnsi="Times New Roman" w:cs="Times New Roman"/>
                <w:sz w:val="20"/>
                <w:szCs w:val="20"/>
              </w:rPr>
            </w:pPr>
            <w:r w:rsidRPr="009F5261">
              <w:rPr>
                <w:rFonts w:ascii="Times New Roman" w:hAnsi="Times New Roman" w:cs="Times New Roman"/>
                <w:sz w:val="20"/>
                <w:szCs w:val="20"/>
              </w:rPr>
              <w:t>7506.33</w:t>
            </w:r>
          </w:p>
        </w:tc>
        <w:tc>
          <w:tcPr>
            <w:tcW w:w="1060"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hAnsi="Times New Roman" w:cs="Times New Roman"/>
                <w:sz w:val="20"/>
                <w:szCs w:val="20"/>
              </w:rPr>
              <w:t>13124.07</w:t>
            </w:r>
          </w:p>
        </w:tc>
      </w:tr>
      <w:tr w:rsidR="0002776C" w:rsidRPr="009F5261" w:rsidTr="0002776C">
        <w:trPr>
          <w:trHeight w:val="249"/>
          <w:jc w:val="center"/>
        </w:trPr>
        <w:tc>
          <w:tcPr>
            <w:tcW w:w="805"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hAnsi="Times New Roman" w:cs="Times New Roman"/>
                <w:sz w:val="20"/>
                <w:szCs w:val="20"/>
              </w:rPr>
              <w:t>2017</w:t>
            </w:r>
          </w:p>
        </w:tc>
        <w:tc>
          <w:tcPr>
            <w:tcW w:w="1051"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27,37.32</w:t>
            </w:r>
          </w:p>
        </w:tc>
        <w:tc>
          <w:tcPr>
            <w:tcW w:w="974"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9,31.53</w:t>
            </w:r>
          </w:p>
        </w:tc>
        <w:tc>
          <w:tcPr>
            <w:tcW w:w="1046" w:type="dxa"/>
          </w:tcPr>
          <w:p w:rsidR="0002776C" w:rsidRPr="009F5261" w:rsidRDefault="0002776C" w:rsidP="009F5261">
            <w:pPr>
              <w:spacing w:after="120"/>
              <w:jc w:val="center"/>
              <w:rPr>
                <w:rFonts w:ascii="Times New Roman" w:hAnsi="Times New Roman" w:cs="Times New Roman"/>
                <w:sz w:val="20"/>
                <w:szCs w:val="20"/>
              </w:rPr>
            </w:pPr>
            <w:r w:rsidRPr="009F5261">
              <w:rPr>
                <w:rFonts w:ascii="Times New Roman" w:hAnsi="Times New Roman" w:cs="Times New Roman"/>
                <w:sz w:val="20"/>
                <w:szCs w:val="20"/>
              </w:rPr>
              <w:t>3668.85</w:t>
            </w:r>
          </w:p>
        </w:tc>
        <w:tc>
          <w:tcPr>
            <w:tcW w:w="1171"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76,54.00</w:t>
            </w:r>
          </w:p>
        </w:tc>
        <w:tc>
          <w:tcPr>
            <w:tcW w:w="840"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4,71.34</w:t>
            </w:r>
          </w:p>
        </w:tc>
        <w:tc>
          <w:tcPr>
            <w:tcW w:w="1045" w:type="dxa"/>
          </w:tcPr>
          <w:p w:rsidR="0002776C" w:rsidRPr="009F5261" w:rsidRDefault="0002776C" w:rsidP="009F5261">
            <w:pPr>
              <w:spacing w:after="120"/>
              <w:jc w:val="center"/>
              <w:rPr>
                <w:rFonts w:ascii="Times New Roman" w:hAnsi="Times New Roman" w:cs="Times New Roman"/>
                <w:sz w:val="20"/>
                <w:szCs w:val="20"/>
              </w:rPr>
            </w:pPr>
            <w:r w:rsidRPr="009F5261">
              <w:rPr>
                <w:rFonts w:ascii="Times New Roman" w:hAnsi="Times New Roman" w:cs="Times New Roman"/>
                <w:sz w:val="20"/>
                <w:szCs w:val="20"/>
              </w:rPr>
              <w:t>8125.34</w:t>
            </w:r>
          </w:p>
        </w:tc>
        <w:tc>
          <w:tcPr>
            <w:tcW w:w="1060"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hAnsi="Times New Roman" w:cs="Times New Roman"/>
                <w:sz w:val="20"/>
                <w:szCs w:val="20"/>
              </w:rPr>
              <w:t>11794.19</w:t>
            </w:r>
          </w:p>
        </w:tc>
      </w:tr>
      <w:tr w:rsidR="0002776C" w:rsidRPr="009F5261" w:rsidTr="0002776C">
        <w:trPr>
          <w:trHeight w:val="249"/>
          <w:jc w:val="center"/>
        </w:trPr>
        <w:tc>
          <w:tcPr>
            <w:tcW w:w="805"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hAnsi="Times New Roman" w:cs="Times New Roman"/>
                <w:sz w:val="20"/>
                <w:szCs w:val="20"/>
              </w:rPr>
              <w:t>2018</w:t>
            </w:r>
          </w:p>
        </w:tc>
        <w:tc>
          <w:tcPr>
            <w:tcW w:w="1051"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30,34.69</w:t>
            </w:r>
          </w:p>
        </w:tc>
        <w:tc>
          <w:tcPr>
            <w:tcW w:w="974"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11,44.53</w:t>
            </w:r>
          </w:p>
        </w:tc>
        <w:tc>
          <w:tcPr>
            <w:tcW w:w="1046" w:type="dxa"/>
          </w:tcPr>
          <w:p w:rsidR="0002776C" w:rsidRPr="009F5261" w:rsidRDefault="0002776C" w:rsidP="009F5261">
            <w:pPr>
              <w:spacing w:after="120"/>
              <w:jc w:val="center"/>
              <w:rPr>
                <w:rFonts w:ascii="Times New Roman" w:hAnsi="Times New Roman" w:cs="Times New Roman"/>
                <w:sz w:val="20"/>
                <w:szCs w:val="20"/>
              </w:rPr>
            </w:pPr>
            <w:r w:rsidRPr="009F5261">
              <w:rPr>
                <w:rFonts w:ascii="Times New Roman" w:hAnsi="Times New Roman" w:cs="Times New Roman"/>
                <w:sz w:val="20"/>
                <w:szCs w:val="20"/>
              </w:rPr>
              <w:t>4179.22</w:t>
            </w:r>
          </w:p>
        </w:tc>
        <w:tc>
          <w:tcPr>
            <w:tcW w:w="1171"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84,75.77</w:t>
            </w:r>
          </w:p>
        </w:tc>
        <w:tc>
          <w:tcPr>
            <w:tcW w:w="840"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5,09.24</w:t>
            </w:r>
          </w:p>
        </w:tc>
        <w:tc>
          <w:tcPr>
            <w:tcW w:w="1045" w:type="dxa"/>
          </w:tcPr>
          <w:p w:rsidR="0002776C" w:rsidRPr="009F5261" w:rsidRDefault="0002776C" w:rsidP="009F5261">
            <w:pPr>
              <w:spacing w:after="120"/>
              <w:jc w:val="center"/>
              <w:rPr>
                <w:rFonts w:ascii="Times New Roman" w:hAnsi="Times New Roman" w:cs="Times New Roman"/>
                <w:sz w:val="20"/>
                <w:szCs w:val="20"/>
              </w:rPr>
            </w:pPr>
            <w:r w:rsidRPr="009F5261">
              <w:rPr>
                <w:rFonts w:ascii="Times New Roman" w:hAnsi="Times New Roman" w:cs="Times New Roman"/>
                <w:sz w:val="20"/>
                <w:szCs w:val="20"/>
              </w:rPr>
              <w:t>8985.01</w:t>
            </w:r>
          </w:p>
        </w:tc>
        <w:tc>
          <w:tcPr>
            <w:tcW w:w="1060" w:type="dxa"/>
            <w:vAlign w:val="bottom"/>
          </w:tcPr>
          <w:p w:rsidR="0002776C" w:rsidRPr="009F5261" w:rsidRDefault="0002776C" w:rsidP="009F5261">
            <w:pPr>
              <w:jc w:val="center"/>
              <w:rPr>
                <w:rFonts w:ascii="Times New Roman" w:hAnsi="Times New Roman" w:cs="Times New Roman"/>
                <w:sz w:val="20"/>
                <w:szCs w:val="20"/>
              </w:rPr>
            </w:pPr>
            <w:r w:rsidRPr="009F5261">
              <w:rPr>
                <w:rFonts w:ascii="Times New Roman" w:hAnsi="Times New Roman" w:cs="Times New Roman"/>
                <w:sz w:val="20"/>
                <w:szCs w:val="20"/>
              </w:rPr>
              <w:t>13164.23</w:t>
            </w:r>
          </w:p>
        </w:tc>
      </w:tr>
      <w:tr w:rsidR="0002776C" w:rsidRPr="009F5261" w:rsidTr="0002776C">
        <w:trPr>
          <w:trHeight w:val="249"/>
          <w:jc w:val="center"/>
        </w:trPr>
        <w:tc>
          <w:tcPr>
            <w:tcW w:w="805" w:type="dxa"/>
            <w:vAlign w:val="bottom"/>
          </w:tcPr>
          <w:p w:rsidR="0002776C" w:rsidRPr="009F5261" w:rsidRDefault="0002776C" w:rsidP="009F5261">
            <w:pPr>
              <w:jc w:val="center"/>
              <w:rPr>
                <w:rFonts w:ascii="Times New Roman" w:hAnsi="Times New Roman" w:cs="Times New Roman"/>
                <w:b/>
                <w:sz w:val="20"/>
                <w:szCs w:val="20"/>
              </w:rPr>
            </w:pPr>
            <w:r w:rsidRPr="009F5261">
              <w:rPr>
                <w:rFonts w:ascii="Times New Roman" w:hAnsi="Times New Roman" w:cs="Times New Roman"/>
                <w:b/>
                <w:sz w:val="20"/>
                <w:szCs w:val="20"/>
              </w:rPr>
              <w:t>Mean</w:t>
            </w:r>
          </w:p>
        </w:tc>
        <w:tc>
          <w:tcPr>
            <w:tcW w:w="1051" w:type="dxa"/>
            <w:vAlign w:val="bottom"/>
          </w:tcPr>
          <w:p w:rsidR="0002776C" w:rsidRPr="009F5261" w:rsidRDefault="0002776C" w:rsidP="009F5261">
            <w:pPr>
              <w:jc w:val="center"/>
              <w:rPr>
                <w:rFonts w:ascii="Times New Roman" w:hAnsi="Times New Roman" w:cs="Times New Roman"/>
                <w:b/>
                <w:sz w:val="20"/>
                <w:szCs w:val="20"/>
              </w:rPr>
            </w:pPr>
          </w:p>
        </w:tc>
        <w:tc>
          <w:tcPr>
            <w:tcW w:w="974" w:type="dxa"/>
            <w:vAlign w:val="bottom"/>
          </w:tcPr>
          <w:p w:rsidR="0002776C" w:rsidRPr="009F5261" w:rsidRDefault="0002776C" w:rsidP="009F5261">
            <w:pPr>
              <w:jc w:val="center"/>
              <w:rPr>
                <w:rFonts w:ascii="Times New Roman" w:hAnsi="Times New Roman" w:cs="Times New Roman"/>
                <w:b/>
                <w:sz w:val="20"/>
                <w:szCs w:val="20"/>
              </w:rPr>
            </w:pPr>
          </w:p>
        </w:tc>
        <w:tc>
          <w:tcPr>
            <w:tcW w:w="1046" w:type="dxa"/>
          </w:tcPr>
          <w:p w:rsidR="0002776C" w:rsidRPr="009F5261" w:rsidRDefault="0002776C" w:rsidP="009F5261">
            <w:pPr>
              <w:jc w:val="center"/>
              <w:rPr>
                <w:rFonts w:ascii="Times New Roman" w:hAnsi="Times New Roman" w:cs="Times New Roman"/>
                <w:b/>
                <w:sz w:val="20"/>
                <w:szCs w:val="20"/>
              </w:rPr>
            </w:pPr>
            <w:r w:rsidRPr="009F5261">
              <w:rPr>
                <w:rFonts w:ascii="Calibri" w:eastAsia="Times New Roman" w:hAnsi="Calibri" w:cs="Calibri"/>
                <w:b/>
                <w:color w:val="000000"/>
                <w:sz w:val="20"/>
                <w:szCs w:val="20"/>
              </w:rPr>
              <w:t>2512.42</w:t>
            </w:r>
          </w:p>
        </w:tc>
        <w:tc>
          <w:tcPr>
            <w:tcW w:w="1171" w:type="dxa"/>
            <w:vAlign w:val="bottom"/>
          </w:tcPr>
          <w:p w:rsidR="0002776C" w:rsidRPr="009F5261" w:rsidRDefault="0002776C" w:rsidP="009F5261">
            <w:pPr>
              <w:jc w:val="center"/>
              <w:rPr>
                <w:rFonts w:ascii="Times New Roman" w:hAnsi="Times New Roman" w:cs="Times New Roman"/>
                <w:b/>
                <w:sz w:val="20"/>
                <w:szCs w:val="20"/>
              </w:rPr>
            </w:pPr>
          </w:p>
        </w:tc>
        <w:tc>
          <w:tcPr>
            <w:tcW w:w="840" w:type="dxa"/>
            <w:vAlign w:val="bottom"/>
          </w:tcPr>
          <w:p w:rsidR="0002776C" w:rsidRPr="009F5261" w:rsidRDefault="0002776C" w:rsidP="009F5261">
            <w:pPr>
              <w:jc w:val="center"/>
              <w:rPr>
                <w:rFonts w:ascii="Times New Roman" w:hAnsi="Times New Roman" w:cs="Times New Roman"/>
                <w:b/>
                <w:sz w:val="20"/>
                <w:szCs w:val="20"/>
              </w:rPr>
            </w:pPr>
          </w:p>
        </w:tc>
        <w:tc>
          <w:tcPr>
            <w:tcW w:w="1045" w:type="dxa"/>
            <w:vAlign w:val="bottom"/>
          </w:tcPr>
          <w:p w:rsidR="0002776C" w:rsidRPr="009F5261" w:rsidRDefault="0002776C" w:rsidP="009F5261">
            <w:pPr>
              <w:jc w:val="center"/>
              <w:rPr>
                <w:rFonts w:ascii="Times New Roman" w:hAnsi="Times New Roman" w:cs="Times New Roman"/>
                <w:b/>
                <w:sz w:val="20"/>
                <w:szCs w:val="20"/>
              </w:rPr>
            </w:pPr>
            <w:r w:rsidRPr="009F5261">
              <w:rPr>
                <w:rFonts w:ascii="Calibri" w:eastAsia="Times New Roman" w:hAnsi="Calibri" w:cs="Calibri"/>
                <w:b/>
                <w:color w:val="000000"/>
                <w:sz w:val="20"/>
                <w:szCs w:val="20"/>
              </w:rPr>
              <w:t>7024.44</w:t>
            </w:r>
          </w:p>
        </w:tc>
        <w:tc>
          <w:tcPr>
            <w:tcW w:w="1060" w:type="dxa"/>
            <w:vAlign w:val="bottom"/>
          </w:tcPr>
          <w:p w:rsidR="0002776C" w:rsidRPr="009F5261" w:rsidRDefault="0002776C" w:rsidP="009F5261">
            <w:pPr>
              <w:jc w:val="center"/>
              <w:rPr>
                <w:rFonts w:ascii="Times New Roman" w:hAnsi="Times New Roman" w:cs="Times New Roman"/>
                <w:b/>
                <w:sz w:val="20"/>
                <w:szCs w:val="20"/>
              </w:rPr>
            </w:pPr>
            <w:r w:rsidRPr="009F5261">
              <w:rPr>
                <w:rFonts w:ascii="Calibri" w:eastAsia="Times New Roman" w:hAnsi="Calibri" w:cs="Calibri"/>
                <w:b/>
                <w:color w:val="000000"/>
                <w:sz w:val="20"/>
                <w:szCs w:val="20"/>
              </w:rPr>
              <w:t>9985.40</w:t>
            </w:r>
          </w:p>
        </w:tc>
      </w:tr>
      <w:tr w:rsidR="0002776C" w:rsidRPr="009F5261" w:rsidTr="0002776C">
        <w:trPr>
          <w:trHeight w:val="249"/>
          <w:jc w:val="center"/>
        </w:trPr>
        <w:tc>
          <w:tcPr>
            <w:tcW w:w="805" w:type="dxa"/>
            <w:vAlign w:val="bottom"/>
          </w:tcPr>
          <w:p w:rsidR="0002776C" w:rsidRPr="009F5261" w:rsidRDefault="0002776C" w:rsidP="0002776C">
            <w:pPr>
              <w:rPr>
                <w:rFonts w:ascii="Times New Roman" w:hAnsi="Times New Roman" w:cs="Times New Roman"/>
                <w:b/>
                <w:sz w:val="20"/>
                <w:szCs w:val="20"/>
              </w:rPr>
            </w:pPr>
            <w:r w:rsidRPr="009F5261">
              <w:rPr>
                <w:rFonts w:ascii="Times New Roman" w:hAnsi="Times New Roman" w:cs="Times New Roman"/>
                <w:b/>
                <w:sz w:val="20"/>
                <w:szCs w:val="20"/>
              </w:rPr>
              <w:t>AAGR</w:t>
            </w:r>
          </w:p>
        </w:tc>
        <w:tc>
          <w:tcPr>
            <w:tcW w:w="1051" w:type="dxa"/>
            <w:vAlign w:val="bottom"/>
          </w:tcPr>
          <w:p w:rsidR="0002776C" w:rsidRPr="009F5261" w:rsidRDefault="0002776C" w:rsidP="0002776C">
            <w:pPr>
              <w:rPr>
                <w:rFonts w:ascii="Times New Roman" w:hAnsi="Times New Roman" w:cs="Times New Roman"/>
                <w:b/>
                <w:sz w:val="20"/>
                <w:szCs w:val="20"/>
              </w:rPr>
            </w:pPr>
          </w:p>
        </w:tc>
        <w:tc>
          <w:tcPr>
            <w:tcW w:w="974" w:type="dxa"/>
            <w:vAlign w:val="bottom"/>
          </w:tcPr>
          <w:p w:rsidR="0002776C" w:rsidRPr="009F5261" w:rsidRDefault="0002776C" w:rsidP="0002776C">
            <w:pPr>
              <w:rPr>
                <w:rFonts w:ascii="Times New Roman" w:hAnsi="Times New Roman" w:cs="Times New Roman"/>
                <w:b/>
                <w:sz w:val="20"/>
                <w:szCs w:val="20"/>
              </w:rPr>
            </w:pPr>
          </w:p>
        </w:tc>
        <w:tc>
          <w:tcPr>
            <w:tcW w:w="1046" w:type="dxa"/>
          </w:tcPr>
          <w:p w:rsidR="0002776C" w:rsidRPr="009F5261" w:rsidRDefault="0002776C" w:rsidP="0002776C">
            <w:pPr>
              <w:rPr>
                <w:rFonts w:ascii="Times New Roman" w:hAnsi="Times New Roman" w:cs="Times New Roman"/>
                <w:b/>
                <w:sz w:val="20"/>
                <w:szCs w:val="20"/>
              </w:rPr>
            </w:pPr>
            <w:r w:rsidRPr="009F5261">
              <w:rPr>
                <w:rFonts w:ascii="Times New Roman" w:hAnsi="Times New Roman" w:cs="Times New Roman"/>
                <w:b/>
                <w:sz w:val="20"/>
                <w:szCs w:val="20"/>
              </w:rPr>
              <w:t>13.30%</w:t>
            </w:r>
          </w:p>
        </w:tc>
        <w:tc>
          <w:tcPr>
            <w:tcW w:w="1171" w:type="dxa"/>
            <w:vAlign w:val="bottom"/>
          </w:tcPr>
          <w:p w:rsidR="0002776C" w:rsidRPr="009F5261" w:rsidRDefault="0002776C" w:rsidP="0002776C">
            <w:pPr>
              <w:rPr>
                <w:rFonts w:ascii="Times New Roman" w:hAnsi="Times New Roman" w:cs="Times New Roman"/>
                <w:b/>
                <w:sz w:val="20"/>
                <w:szCs w:val="20"/>
              </w:rPr>
            </w:pPr>
          </w:p>
        </w:tc>
        <w:tc>
          <w:tcPr>
            <w:tcW w:w="840" w:type="dxa"/>
            <w:vAlign w:val="bottom"/>
          </w:tcPr>
          <w:p w:rsidR="0002776C" w:rsidRPr="009F5261" w:rsidRDefault="0002776C" w:rsidP="0002776C">
            <w:pPr>
              <w:rPr>
                <w:rFonts w:ascii="Times New Roman" w:hAnsi="Times New Roman" w:cs="Times New Roman"/>
                <w:b/>
                <w:sz w:val="20"/>
                <w:szCs w:val="20"/>
              </w:rPr>
            </w:pPr>
          </w:p>
        </w:tc>
        <w:tc>
          <w:tcPr>
            <w:tcW w:w="1045" w:type="dxa"/>
            <w:vAlign w:val="bottom"/>
          </w:tcPr>
          <w:p w:rsidR="0002776C" w:rsidRPr="009F5261" w:rsidRDefault="0002776C" w:rsidP="0002776C">
            <w:pPr>
              <w:rPr>
                <w:rFonts w:ascii="Times New Roman" w:hAnsi="Times New Roman" w:cs="Times New Roman"/>
                <w:b/>
                <w:sz w:val="20"/>
                <w:szCs w:val="20"/>
              </w:rPr>
            </w:pPr>
            <w:r w:rsidRPr="009F5261">
              <w:rPr>
                <w:rFonts w:ascii="Times New Roman" w:hAnsi="Times New Roman" w:cs="Times New Roman"/>
                <w:b/>
                <w:sz w:val="20"/>
                <w:szCs w:val="20"/>
              </w:rPr>
              <w:t>7.21%</w:t>
            </w:r>
          </w:p>
        </w:tc>
        <w:tc>
          <w:tcPr>
            <w:tcW w:w="1060" w:type="dxa"/>
            <w:vAlign w:val="bottom"/>
          </w:tcPr>
          <w:p w:rsidR="0002776C" w:rsidRPr="009F5261" w:rsidRDefault="0002776C" w:rsidP="0002776C">
            <w:pPr>
              <w:rPr>
                <w:rFonts w:ascii="Times New Roman" w:hAnsi="Times New Roman" w:cs="Times New Roman"/>
                <w:b/>
                <w:sz w:val="20"/>
                <w:szCs w:val="20"/>
              </w:rPr>
            </w:pPr>
            <w:r w:rsidRPr="009F5261">
              <w:rPr>
                <w:rFonts w:ascii="Times New Roman" w:hAnsi="Times New Roman" w:cs="Times New Roman"/>
                <w:b/>
                <w:sz w:val="20"/>
                <w:szCs w:val="20"/>
              </w:rPr>
              <w:t>8.63%</w:t>
            </w:r>
          </w:p>
        </w:tc>
      </w:tr>
    </w:tbl>
    <w:p w:rsidR="00B13FB9" w:rsidRPr="009F5261" w:rsidRDefault="00785653" w:rsidP="00785653">
      <w:pPr>
        <w:spacing w:after="120"/>
        <w:rPr>
          <w:rFonts w:ascii="Times New Roman" w:hAnsi="Times New Roman" w:cs="Times New Roman"/>
          <w:b/>
          <w:sz w:val="16"/>
          <w:szCs w:val="16"/>
        </w:rPr>
      </w:pPr>
      <w:r>
        <w:rPr>
          <w:rFonts w:ascii="Times New Roman" w:hAnsi="Times New Roman" w:cs="Times New Roman"/>
          <w:sz w:val="18"/>
          <w:szCs w:val="18"/>
        </w:rPr>
        <w:t xml:space="preserve">               </w:t>
      </w:r>
      <w:r w:rsidR="00B13FB9" w:rsidRPr="009F5261">
        <w:rPr>
          <w:rFonts w:ascii="Times New Roman" w:hAnsi="Times New Roman" w:cs="Times New Roman"/>
          <w:b/>
          <w:sz w:val="16"/>
          <w:szCs w:val="16"/>
        </w:rPr>
        <w:t>Source: Bangladesh Insurance Association</w:t>
      </w:r>
      <w:r w:rsidR="002816DA" w:rsidRPr="009F5261">
        <w:rPr>
          <w:rFonts w:ascii="Times New Roman" w:hAnsi="Times New Roman" w:cs="Times New Roman"/>
          <w:b/>
          <w:sz w:val="16"/>
          <w:szCs w:val="16"/>
        </w:rPr>
        <w:t xml:space="preserve"> </w:t>
      </w:r>
      <w:r w:rsidR="007F220F" w:rsidRPr="009F5261">
        <w:rPr>
          <w:rFonts w:ascii="Times New Roman" w:hAnsi="Times New Roman" w:cs="Times New Roman"/>
          <w:b/>
          <w:sz w:val="16"/>
          <w:szCs w:val="16"/>
        </w:rPr>
        <w:t>(BIA)</w:t>
      </w:r>
    </w:p>
    <w:p w:rsidR="00363127" w:rsidRPr="004E6D65" w:rsidRDefault="00363127" w:rsidP="00363127">
      <w:pPr>
        <w:spacing w:line="240" w:lineRule="auto"/>
        <w:jc w:val="both"/>
        <w:rPr>
          <w:rFonts w:ascii="Times New Roman" w:hAnsi="Times New Roman" w:cs="Times New Roman"/>
          <w:w w:val="105"/>
          <w:sz w:val="16"/>
          <w:szCs w:val="16"/>
        </w:rPr>
      </w:pPr>
      <w:r>
        <w:rPr>
          <w:rFonts w:ascii="Times New Roman" w:hAnsi="Times New Roman" w:cs="Times New Roman"/>
          <w:w w:val="105"/>
          <w:sz w:val="16"/>
          <w:szCs w:val="16"/>
        </w:rPr>
        <w:t xml:space="preserve">             </w:t>
      </w:r>
      <w:r w:rsidRPr="004E6D65">
        <w:rPr>
          <w:rFonts w:ascii="Times New Roman" w:hAnsi="Times New Roman" w:cs="Times New Roman"/>
          <w:w w:val="105"/>
          <w:sz w:val="16"/>
          <w:szCs w:val="16"/>
        </w:rPr>
        <w:t>1. AAGR = Annual Average Growth Rate</w:t>
      </w:r>
    </w:p>
    <w:p w:rsidR="00363127" w:rsidRPr="004E6D65" w:rsidRDefault="00363127" w:rsidP="00363127">
      <w:pPr>
        <w:spacing w:line="240" w:lineRule="auto"/>
        <w:jc w:val="both"/>
        <w:rPr>
          <w:rFonts w:ascii="Times New Roman" w:hAnsi="Times New Roman" w:cs="Times New Roman"/>
          <w:w w:val="105"/>
          <w:sz w:val="16"/>
          <w:szCs w:val="16"/>
        </w:rPr>
      </w:pPr>
      <w:r w:rsidRPr="004E6D65">
        <w:rPr>
          <w:rFonts w:ascii="Times New Roman" w:hAnsi="Times New Roman" w:cs="Times New Roman"/>
          <w:w w:val="105"/>
          <w:sz w:val="16"/>
          <w:szCs w:val="16"/>
        </w:rPr>
        <w:t xml:space="preserve">             2. AAGR= (Ending Value /Beginning Value – 1) +2</w:t>
      </w:r>
      <w:r w:rsidRPr="004E6D65">
        <w:rPr>
          <w:rFonts w:ascii="Times New Roman" w:hAnsi="Times New Roman" w:cs="Times New Roman"/>
          <w:w w:val="105"/>
          <w:sz w:val="16"/>
          <w:szCs w:val="16"/>
          <w:vertAlign w:val="superscript"/>
        </w:rPr>
        <w:t>nd</w:t>
      </w:r>
      <w:r w:rsidRPr="004E6D65">
        <w:rPr>
          <w:rFonts w:ascii="Times New Roman" w:hAnsi="Times New Roman" w:cs="Times New Roman"/>
          <w:w w:val="105"/>
          <w:sz w:val="16"/>
          <w:szCs w:val="16"/>
        </w:rPr>
        <w:t xml:space="preserve"> year+3</w:t>
      </w:r>
      <w:r w:rsidRPr="004E6D65">
        <w:rPr>
          <w:rFonts w:ascii="Times New Roman" w:hAnsi="Times New Roman" w:cs="Times New Roman"/>
          <w:w w:val="105"/>
          <w:sz w:val="16"/>
          <w:szCs w:val="16"/>
          <w:vertAlign w:val="superscript"/>
        </w:rPr>
        <w:t>rd</w:t>
      </w:r>
      <w:r w:rsidRPr="004E6D65">
        <w:rPr>
          <w:rFonts w:ascii="Times New Roman" w:hAnsi="Times New Roman" w:cs="Times New Roman"/>
          <w:w w:val="105"/>
          <w:sz w:val="16"/>
          <w:szCs w:val="16"/>
        </w:rPr>
        <w:t xml:space="preserve"> year+--Last year)/Total Number of Years</w:t>
      </w:r>
    </w:p>
    <w:p w:rsidR="00DB5725" w:rsidRPr="009F5261" w:rsidRDefault="009F5261" w:rsidP="009F5261">
      <w:pPr>
        <w:spacing w:line="360" w:lineRule="auto"/>
        <w:jc w:val="both"/>
        <w:rPr>
          <w:rFonts w:ascii="Times New Roman" w:hAnsi="Times New Roman" w:cs="Times New Roman"/>
          <w:sz w:val="20"/>
          <w:szCs w:val="20"/>
        </w:rPr>
      </w:pPr>
      <w:r>
        <w:rPr>
          <w:rFonts w:ascii="Times New Roman" w:hAnsi="Times New Roman" w:cs="Times New Roman"/>
          <w:sz w:val="24"/>
          <w:szCs w:val="24"/>
        </w:rPr>
        <w:tab/>
      </w:r>
      <w:r w:rsidR="001245BC">
        <w:rPr>
          <w:rFonts w:ascii="Times New Roman" w:hAnsi="Times New Roman" w:cs="Times New Roman"/>
          <w:sz w:val="24"/>
          <w:szCs w:val="24"/>
        </w:rPr>
        <w:t xml:space="preserve"> </w:t>
      </w:r>
      <w:r w:rsidR="0059475A" w:rsidRPr="009F5261">
        <w:rPr>
          <w:rFonts w:ascii="Times New Roman" w:hAnsi="Times New Roman" w:cs="Times New Roman"/>
          <w:sz w:val="20"/>
          <w:szCs w:val="20"/>
        </w:rPr>
        <w:t>It i</w:t>
      </w:r>
      <w:r w:rsidR="008A1B1F" w:rsidRPr="009F5261">
        <w:rPr>
          <w:rFonts w:ascii="Times New Roman" w:hAnsi="Times New Roman" w:cs="Times New Roman"/>
          <w:sz w:val="20"/>
          <w:szCs w:val="20"/>
        </w:rPr>
        <w:t>s observed from table 07</w:t>
      </w:r>
      <w:r w:rsidR="00BB22F1" w:rsidRPr="009F5261">
        <w:rPr>
          <w:rFonts w:ascii="Times New Roman" w:hAnsi="Times New Roman" w:cs="Times New Roman"/>
          <w:sz w:val="20"/>
          <w:szCs w:val="20"/>
        </w:rPr>
        <w:t xml:space="preserve"> that 45</w:t>
      </w:r>
      <w:r w:rsidR="0059475A" w:rsidRPr="009F5261">
        <w:rPr>
          <w:rFonts w:ascii="Times New Roman" w:hAnsi="Times New Roman" w:cs="Times New Roman"/>
          <w:sz w:val="20"/>
          <w:szCs w:val="20"/>
        </w:rPr>
        <w:t xml:space="preserve"> nonlife private insurance companies and one state own corporation earned premium around Tk. </w:t>
      </w:r>
      <w:r w:rsidR="006F1000" w:rsidRPr="009F5261">
        <w:rPr>
          <w:rFonts w:ascii="Times New Roman" w:hAnsi="Times New Roman" w:cs="Times New Roman"/>
          <w:sz w:val="20"/>
          <w:szCs w:val="20"/>
        </w:rPr>
        <w:t>1389.77 crores in 2009, an increase of 13.91percent from Tk.3668.85 crores in 2017.The average premium earns Tk. 2512.42 and AAGR was 13.30 percent.</w:t>
      </w:r>
      <w:r w:rsidR="002F0781" w:rsidRPr="009F5261">
        <w:rPr>
          <w:rFonts w:ascii="Times New Roman" w:hAnsi="Times New Roman" w:cs="Times New Roman"/>
          <w:sz w:val="20"/>
          <w:szCs w:val="20"/>
        </w:rPr>
        <w:t xml:space="preserve"> The 32 private life insurers and one state own life insurance corporation earned premium amounting to Tk. </w:t>
      </w:r>
      <w:r w:rsidR="001245BC" w:rsidRPr="009F5261">
        <w:rPr>
          <w:rFonts w:ascii="Times New Roman" w:hAnsi="Times New Roman" w:cs="Times New Roman"/>
          <w:sz w:val="20"/>
          <w:szCs w:val="20"/>
        </w:rPr>
        <w:t>4930.47 crores in 2009, an increasing of 10.58 percent from Tk. 8125.34 crores in 2017.The average premium</w:t>
      </w:r>
      <w:r w:rsidR="00C253E9" w:rsidRPr="009F5261">
        <w:rPr>
          <w:rFonts w:ascii="Times New Roman" w:hAnsi="Times New Roman" w:cs="Times New Roman"/>
          <w:sz w:val="20"/>
          <w:szCs w:val="20"/>
        </w:rPr>
        <w:t xml:space="preserve"> </w:t>
      </w:r>
      <w:r w:rsidR="001245BC" w:rsidRPr="009F5261">
        <w:rPr>
          <w:rFonts w:ascii="Times New Roman" w:hAnsi="Times New Roman" w:cs="Times New Roman"/>
          <w:sz w:val="20"/>
          <w:szCs w:val="20"/>
        </w:rPr>
        <w:t>earns Tk.7024.44 AAGR was 7.21 percent during the study period. Table 07 also shows that during the last decade the average gross premium of insurance industry in Bangladesh was about Tk. 9985.40 crores and AAGR was 8.6 percent.</w:t>
      </w:r>
      <w:r w:rsidR="006B16AB" w:rsidRPr="009F5261">
        <w:rPr>
          <w:rFonts w:ascii="Times New Roman" w:hAnsi="Times New Roman" w:cs="Times New Roman"/>
          <w:sz w:val="20"/>
          <w:szCs w:val="20"/>
        </w:rPr>
        <w:t xml:space="preserve"> </w:t>
      </w:r>
      <w:r w:rsidR="00F40AB8" w:rsidRPr="009F5261">
        <w:rPr>
          <w:rFonts w:ascii="Times New Roman" w:hAnsi="Times New Roman" w:cs="Times New Roman"/>
          <w:sz w:val="20"/>
          <w:szCs w:val="20"/>
        </w:rPr>
        <w:t xml:space="preserve">A reflection of premium scenario of life and non-life insurance sector in Bangladesh has been shown in chart </w:t>
      </w:r>
      <w:r w:rsidR="001B2D02" w:rsidRPr="009F5261">
        <w:rPr>
          <w:rFonts w:ascii="Times New Roman" w:hAnsi="Times New Roman" w:cs="Times New Roman"/>
          <w:sz w:val="20"/>
          <w:szCs w:val="20"/>
        </w:rPr>
        <w:t>06</w:t>
      </w:r>
      <w:r w:rsidR="008509CC" w:rsidRPr="009F5261">
        <w:rPr>
          <w:rFonts w:ascii="Times New Roman" w:hAnsi="Times New Roman" w:cs="Times New Roman"/>
          <w:sz w:val="20"/>
          <w:szCs w:val="20"/>
        </w:rPr>
        <w:t>.</w:t>
      </w:r>
    </w:p>
    <w:p w:rsidR="00BC215C" w:rsidRPr="009F5261" w:rsidRDefault="009F5261" w:rsidP="009F5261">
      <w:pPr>
        <w:spacing w:after="120" w:line="240" w:lineRule="auto"/>
        <w:ind w:left="446" w:firstLine="634"/>
        <w:jc w:val="center"/>
        <w:rPr>
          <w:rFonts w:ascii="Times New Roman" w:hAnsi="Times New Roman" w:cs="Times New Roman"/>
          <w:b/>
          <w:sz w:val="20"/>
          <w:szCs w:val="20"/>
        </w:rPr>
      </w:pPr>
      <w:r w:rsidRPr="009F5261">
        <w:rPr>
          <w:rFonts w:ascii="Times New Roman" w:hAnsi="Times New Roman" w:cs="Times New Roman"/>
          <w:b/>
          <w:sz w:val="20"/>
          <w:szCs w:val="20"/>
        </w:rPr>
        <w:lastRenderedPageBreak/>
        <w:t xml:space="preserve">Chart </w:t>
      </w:r>
      <w:r w:rsidR="009C403F" w:rsidRPr="009F5261">
        <w:rPr>
          <w:rFonts w:ascii="Times New Roman" w:hAnsi="Times New Roman" w:cs="Times New Roman"/>
          <w:b/>
          <w:sz w:val="20"/>
          <w:szCs w:val="20"/>
        </w:rPr>
        <w:t>6</w:t>
      </w:r>
      <w:proofErr w:type="gramStart"/>
      <w:r w:rsidRPr="009F5261">
        <w:rPr>
          <w:rFonts w:ascii="Times New Roman" w:hAnsi="Times New Roman" w:cs="Times New Roman"/>
          <w:b/>
          <w:sz w:val="20"/>
          <w:szCs w:val="20"/>
        </w:rPr>
        <w:t>:</w:t>
      </w:r>
      <w:r w:rsidR="009C403F" w:rsidRPr="009F5261">
        <w:rPr>
          <w:rFonts w:ascii="Times New Roman" w:hAnsi="Times New Roman" w:cs="Times New Roman"/>
          <w:b/>
          <w:sz w:val="20"/>
          <w:szCs w:val="20"/>
        </w:rPr>
        <w:t>Premium</w:t>
      </w:r>
      <w:proofErr w:type="gramEnd"/>
      <w:r w:rsidR="009C403F" w:rsidRPr="009F5261">
        <w:rPr>
          <w:rFonts w:ascii="Times New Roman" w:hAnsi="Times New Roman" w:cs="Times New Roman"/>
          <w:b/>
          <w:sz w:val="20"/>
          <w:szCs w:val="20"/>
        </w:rPr>
        <w:t xml:space="preserve"> scenario of Life and Nonlife Insurance in Bangladesh</w:t>
      </w:r>
    </w:p>
    <w:p w:rsidR="009C403F" w:rsidRDefault="009C403F" w:rsidP="00C6691B">
      <w:pPr>
        <w:spacing w:after="120" w:line="240" w:lineRule="auto"/>
        <w:ind w:left="446" w:firstLine="634"/>
        <w:jc w:val="center"/>
        <w:rPr>
          <w:rFonts w:ascii="Times New Roman" w:hAnsi="Times New Roman" w:cs="Times New Roman"/>
          <w:b/>
          <w:szCs w:val="28"/>
        </w:rPr>
      </w:pPr>
    </w:p>
    <w:p w:rsidR="00C6691B" w:rsidRDefault="00C6691B" w:rsidP="00FA02DA">
      <w:pPr>
        <w:spacing w:after="120" w:line="480" w:lineRule="auto"/>
        <w:jc w:val="center"/>
        <w:rPr>
          <w:rFonts w:ascii="Times New Roman" w:hAnsi="Times New Roman" w:cs="Times New Roman"/>
          <w:sz w:val="24"/>
          <w:szCs w:val="24"/>
        </w:rPr>
      </w:pPr>
      <w:r>
        <w:rPr>
          <w:noProof/>
        </w:rPr>
        <w:drawing>
          <wp:anchor distT="0" distB="0" distL="114300" distR="114300" simplePos="0" relativeHeight="251683328" behindDoc="0" locked="0" layoutInCell="1" allowOverlap="1" wp14:anchorId="79A67D18" wp14:editId="0319EA79">
            <wp:simplePos x="0" y="0"/>
            <wp:positionH relativeFrom="column">
              <wp:posOffset>933450</wp:posOffset>
            </wp:positionH>
            <wp:positionV relativeFrom="paragraph">
              <wp:posOffset>0</wp:posOffset>
            </wp:positionV>
            <wp:extent cx="4829175" cy="2667000"/>
            <wp:effectExtent l="0" t="0" r="9525" b="0"/>
            <wp:wrapSquare wrapText="bothSides"/>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C6691B" w:rsidRDefault="00C6691B" w:rsidP="00FA02DA">
      <w:pPr>
        <w:spacing w:after="120" w:line="480" w:lineRule="auto"/>
        <w:jc w:val="center"/>
        <w:rPr>
          <w:rFonts w:ascii="Times New Roman" w:hAnsi="Times New Roman" w:cs="Times New Roman"/>
          <w:sz w:val="24"/>
          <w:szCs w:val="24"/>
        </w:rPr>
      </w:pPr>
    </w:p>
    <w:p w:rsidR="00C6691B" w:rsidRDefault="00C6691B" w:rsidP="00FA02DA">
      <w:pPr>
        <w:spacing w:after="120" w:line="480" w:lineRule="auto"/>
        <w:jc w:val="center"/>
        <w:rPr>
          <w:rFonts w:ascii="Times New Roman" w:hAnsi="Times New Roman" w:cs="Times New Roman"/>
          <w:sz w:val="24"/>
          <w:szCs w:val="24"/>
        </w:rPr>
      </w:pPr>
    </w:p>
    <w:p w:rsidR="00015286" w:rsidRDefault="00015286" w:rsidP="00FA02DA">
      <w:pPr>
        <w:spacing w:after="120" w:line="480" w:lineRule="auto"/>
        <w:jc w:val="center"/>
        <w:rPr>
          <w:rFonts w:ascii="Times New Roman" w:hAnsi="Times New Roman" w:cs="Times New Roman"/>
          <w:sz w:val="24"/>
          <w:szCs w:val="24"/>
        </w:rPr>
      </w:pPr>
    </w:p>
    <w:p w:rsidR="0093598E" w:rsidRDefault="0093598E" w:rsidP="0093598E">
      <w:pPr>
        <w:spacing w:after="120" w:line="480" w:lineRule="auto"/>
        <w:rPr>
          <w:rFonts w:ascii="Times New Roman" w:hAnsi="Times New Roman" w:cs="Times New Roman"/>
          <w:sz w:val="24"/>
          <w:szCs w:val="24"/>
        </w:rPr>
      </w:pPr>
    </w:p>
    <w:p w:rsidR="00FA02DA" w:rsidRDefault="0093598E" w:rsidP="00FA02DA">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93598E" w:rsidRDefault="0093598E" w:rsidP="005B3008">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br w:type="textWrapping" w:clear="all"/>
      </w:r>
    </w:p>
    <w:p w:rsidR="009F5261" w:rsidRDefault="00FA197B" w:rsidP="009D5C49">
      <w:pPr>
        <w:spacing w:after="120" w:line="480" w:lineRule="auto"/>
        <w:jc w:val="both"/>
        <w:rPr>
          <w:rFonts w:ascii="Times New Roman" w:hAnsi="Times New Roman" w:cs="Times New Roman"/>
          <w:b/>
        </w:rPr>
      </w:pPr>
      <w:r>
        <w:rPr>
          <w:rFonts w:ascii="Times New Roman" w:hAnsi="Times New Roman" w:cs="Times New Roman"/>
          <w:sz w:val="24"/>
          <w:szCs w:val="24"/>
        </w:rPr>
        <w:t xml:space="preserve">.  </w:t>
      </w:r>
      <w:r w:rsidR="009F5261" w:rsidRPr="009F5261">
        <w:rPr>
          <w:rFonts w:ascii="Times New Roman" w:hAnsi="Times New Roman" w:cs="Times New Roman"/>
          <w:b/>
          <w:color w:val="0070C0"/>
          <w:sz w:val="20"/>
          <w:szCs w:val="20"/>
        </w:rPr>
        <w:t>D.</w:t>
      </w:r>
      <w:r w:rsidR="00184190" w:rsidRPr="009F5261">
        <w:rPr>
          <w:rFonts w:ascii="Times New Roman" w:hAnsi="Times New Roman" w:cs="Times New Roman"/>
          <w:b/>
          <w:color w:val="0070C0"/>
          <w:sz w:val="20"/>
          <w:szCs w:val="20"/>
        </w:rPr>
        <w:t xml:space="preserve"> </w:t>
      </w:r>
      <w:r w:rsidR="00184190" w:rsidRPr="009F5261">
        <w:rPr>
          <w:rFonts w:ascii="Times New Roman" w:hAnsi="Times New Roman" w:cs="Times New Roman"/>
          <w:b/>
          <w:sz w:val="20"/>
          <w:szCs w:val="20"/>
        </w:rPr>
        <w:t>The scenario of total asset of Insurance industry in Bangladesh</w:t>
      </w:r>
    </w:p>
    <w:p w:rsidR="005B3008" w:rsidRPr="009F5261" w:rsidRDefault="009F5261" w:rsidP="009F5261">
      <w:pPr>
        <w:spacing w:after="120" w:line="240" w:lineRule="auto"/>
        <w:jc w:val="both"/>
        <w:rPr>
          <w:rFonts w:ascii="Times New Roman" w:hAnsi="Times New Roman" w:cs="Times New Roman"/>
          <w:b/>
          <w:sz w:val="20"/>
          <w:szCs w:val="20"/>
        </w:rPr>
      </w:pPr>
      <w:r>
        <w:rPr>
          <w:rFonts w:ascii="Times New Roman" w:hAnsi="Times New Roman" w:cs="Times New Roman"/>
          <w:sz w:val="20"/>
          <w:szCs w:val="20"/>
        </w:rPr>
        <w:tab/>
      </w:r>
      <w:r w:rsidRPr="009F5261">
        <w:rPr>
          <w:rFonts w:ascii="Times New Roman" w:hAnsi="Times New Roman" w:cs="Times New Roman"/>
          <w:sz w:val="20"/>
          <w:szCs w:val="20"/>
        </w:rPr>
        <w:t>Assets are</w:t>
      </w:r>
      <w:r w:rsidR="009859B3" w:rsidRPr="009F5261">
        <w:rPr>
          <w:rFonts w:ascii="Times New Roman" w:hAnsi="Times New Roman" w:cs="Times New Roman"/>
          <w:sz w:val="20"/>
          <w:szCs w:val="20"/>
        </w:rPr>
        <w:t xml:space="preserve"> the pillar of all organization. Insurance industry is not exceptional from this concept.</w:t>
      </w:r>
      <w:r w:rsidR="00C253E9" w:rsidRPr="009F5261">
        <w:rPr>
          <w:rFonts w:ascii="Times New Roman" w:hAnsi="Times New Roman" w:cs="Times New Roman"/>
          <w:sz w:val="20"/>
          <w:szCs w:val="20"/>
        </w:rPr>
        <w:t xml:space="preserve"> There are two types of assets in an organization. One is movable asset and another is immovable.</w:t>
      </w:r>
      <w:r w:rsidR="00C31ED8" w:rsidRPr="009F5261">
        <w:rPr>
          <w:rFonts w:ascii="Times New Roman" w:hAnsi="Times New Roman" w:cs="Times New Roman"/>
          <w:sz w:val="20"/>
          <w:szCs w:val="20"/>
        </w:rPr>
        <w:t xml:space="preserve"> </w:t>
      </w:r>
      <w:proofErr w:type="gramStart"/>
      <w:r w:rsidR="00C31ED8" w:rsidRPr="009F5261">
        <w:rPr>
          <w:rFonts w:ascii="Times New Roman" w:hAnsi="Times New Roman" w:cs="Times New Roman"/>
          <w:sz w:val="20"/>
          <w:szCs w:val="20"/>
        </w:rPr>
        <w:t>High volume assets indicates</w:t>
      </w:r>
      <w:proofErr w:type="gramEnd"/>
      <w:r w:rsidR="00C31ED8" w:rsidRPr="009F5261">
        <w:rPr>
          <w:rFonts w:ascii="Times New Roman" w:hAnsi="Times New Roman" w:cs="Times New Roman"/>
          <w:sz w:val="20"/>
          <w:szCs w:val="20"/>
        </w:rPr>
        <w:t xml:space="preserve"> strong financial based and low volume assets indicates weak financial based in an organization.</w:t>
      </w:r>
      <w:r w:rsidR="00C253E9" w:rsidRPr="009F5261">
        <w:rPr>
          <w:rFonts w:ascii="Times New Roman" w:hAnsi="Times New Roman" w:cs="Times New Roman"/>
          <w:sz w:val="20"/>
          <w:szCs w:val="20"/>
        </w:rPr>
        <w:t xml:space="preserve"> </w:t>
      </w:r>
      <w:r w:rsidR="009859B3" w:rsidRPr="009F5261">
        <w:rPr>
          <w:rFonts w:ascii="Times New Roman" w:hAnsi="Times New Roman" w:cs="Times New Roman"/>
          <w:sz w:val="20"/>
          <w:szCs w:val="20"/>
        </w:rPr>
        <w:t xml:space="preserve"> The scenario of assets of insurance industry has been shown in Table 08. </w:t>
      </w:r>
    </w:p>
    <w:p w:rsidR="00065476" w:rsidRPr="009F5261" w:rsidRDefault="009F5261" w:rsidP="009F5261">
      <w:pPr>
        <w:spacing w:after="120"/>
        <w:jc w:val="center"/>
        <w:rPr>
          <w:rFonts w:ascii="Times New Roman" w:hAnsi="Times New Roman" w:cs="Times New Roman"/>
          <w:b/>
          <w:sz w:val="20"/>
          <w:szCs w:val="20"/>
        </w:rPr>
      </w:pPr>
      <w:r w:rsidRPr="009F5261">
        <w:rPr>
          <w:rFonts w:ascii="Times New Roman" w:hAnsi="Times New Roman" w:cs="Times New Roman"/>
          <w:b/>
          <w:sz w:val="20"/>
          <w:szCs w:val="20"/>
        </w:rPr>
        <w:t xml:space="preserve">Table </w:t>
      </w:r>
      <w:r w:rsidR="008A1B1F" w:rsidRPr="009F5261">
        <w:rPr>
          <w:rFonts w:ascii="Times New Roman" w:hAnsi="Times New Roman" w:cs="Times New Roman"/>
          <w:b/>
          <w:sz w:val="20"/>
          <w:szCs w:val="20"/>
        </w:rPr>
        <w:t>8</w:t>
      </w:r>
      <w:proofErr w:type="gramStart"/>
      <w:r w:rsidRPr="009F5261">
        <w:rPr>
          <w:rFonts w:ascii="Times New Roman" w:hAnsi="Times New Roman" w:cs="Times New Roman"/>
          <w:b/>
          <w:sz w:val="20"/>
          <w:szCs w:val="20"/>
        </w:rPr>
        <w:t>:</w:t>
      </w:r>
      <w:r w:rsidR="00065476" w:rsidRPr="009F5261">
        <w:rPr>
          <w:rFonts w:ascii="Times New Roman" w:hAnsi="Times New Roman" w:cs="Times New Roman"/>
          <w:b/>
          <w:sz w:val="20"/>
          <w:szCs w:val="20"/>
        </w:rPr>
        <w:t>Assets</w:t>
      </w:r>
      <w:proofErr w:type="gramEnd"/>
      <w:r w:rsidR="00065476" w:rsidRPr="009F5261">
        <w:rPr>
          <w:rFonts w:ascii="Times New Roman" w:hAnsi="Times New Roman" w:cs="Times New Roman"/>
          <w:b/>
          <w:sz w:val="20"/>
          <w:szCs w:val="20"/>
        </w:rPr>
        <w:t xml:space="preserve"> Scenario of Insurance Industry in Bangl</w:t>
      </w:r>
      <w:r w:rsidR="00B668F3" w:rsidRPr="009F5261">
        <w:rPr>
          <w:rFonts w:ascii="Times New Roman" w:hAnsi="Times New Roman" w:cs="Times New Roman"/>
          <w:b/>
          <w:sz w:val="20"/>
          <w:szCs w:val="20"/>
        </w:rPr>
        <w:t>adesh (TK. in Crore</w:t>
      </w:r>
      <w:r w:rsidR="00065476" w:rsidRPr="009F5261">
        <w:rPr>
          <w:rFonts w:ascii="Times New Roman" w:hAnsi="Times New Roman" w:cs="Times New Roman"/>
          <w:b/>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1095"/>
        <w:gridCol w:w="1217"/>
        <w:gridCol w:w="1041"/>
        <w:gridCol w:w="1096"/>
        <w:gridCol w:w="1094"/>
        <w:gridCol w:w="1097"/>
        <w:gridCol w:w="1325"/>
      </w:tblGrid>
      <w:tr w:rsidR="00B13FB9" w:rsidRPr="009F5261" w:rsidTr="006B08A2">
        <w:trPr>
          <w:jc w:val="center"/>
        </w:trPr>
        <w:tc>
          <w:tcPr>
            <w:tcW w:w="805" w:type="dxa"/>
          </w:tcPr>
          <w:p w:rsidR="00B13FB9" w:rsidRPr="009F5261" w:rsidRDefault="006B08A2" w:rsidP="006B08A2">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Year</w:t>
            </w:r>
          </w:p>
        </w:tc>
        <w:tc>
          <w:tcPr>
            <w:tcW w:w="1095" w:type="dxa"/>
            <w:vAlign w:val="bottom"/>
          </w:tcPr>
          <w:p w:rsidR="005B3008" w:rsidRPr="009F5261" w:rsidRDefault="006B08A2" w:rsidP="006B08A2">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Nonlife Private</w:t>
            </w:r>
          </w:p>
        </w:tc>
        <w:tc>
          <w:tcPr>
            <w:tcW w:w="1217" w:type="dxa"/>
          </w:tcPr>
          <w:p w:rsidR="005B3008" w:rsidRPr="009F5261" w:rsidRDefault="006B08A2" w:rsidP="006B08A2">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Nonlife Public</w:t>
            </w:r>
          </w:p>
        </w:tc>
        <w:tc>
          <w:tcPr>
            <w:tcW w:w="1041" w:type="dxa"/>
          </w:tcPr>
          <w:p w:rsidR="00B13FB9" w:rsidRPr="009F5261" w:rsidRDefault="006B08A2" w:rsidP="006B08A2">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Nonlife Total</w:t>
            </w:r>
          </w:p>
        </w:tc>
        <w:tc>
          <w:tcPr>
            <w:tcW w:w="1096" w:type="dxa"/>
            <w:vAlign w:val="bottom"/>
          </w:tcPr>
          <w:p w:rsidR="00B13FB9" w:rsidRPr="009F5261" w:rsidRDefault="006B08A2" w:rsidP="006B08A2">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Life Private</w:t>
            </w:r>
          </w:p>
        </w:tc>
        <w:tc>
          <w:tcPr>
            <w:tcW w:w="1094" w:type="dxa"/>
            <w:vAlign w:val="bottom"/>
          </w:tcPr>
          <w:p w:rsidR="00B13FB9" w:rsidRPr="009F5261" w:rsidRDefault="006B08A2" w:rsidP="006B08A2">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Life Public</w:t>
            </w:r>
          </w:p>
        </w:tc>
        <w:tc>
          <w:tcPr>
            <w:tcW w:w="1097" w:type="dxa"/>
          </w:tcPr>
          <w:p w:rsidR="00B13FB9" w:rsidRPr="009F5261" w:rsidRDefault="006B08A2" w:rsidP="006B08A2">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Life Total</w:t>
            </w:r>
          </w:p>
        </w:tc>
        <w:tc>
          <w:tcPr>
            <w:tcW w:w="1325" w:type="dxa"/>
          </w:tcPr>
          <w:p w:rsidR="00B13FB9" w:rsidRPr="009F5261" w:rsidRDefault="006B08A2" w:rsidP="006B08A2">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Industry</w:t>
            </w:r>
          </w:p>
        </w:tc>
      </w:tr>
      <w:tr w:rsidR="000732E8" w:rsidRPr="009F5261" w:rsidTr="006B08A2">
        <w:trPr>
          <w:jc w:val="center"/>
        </w:trPr>
        <w:tc>
          <w:tcPr>
            <w:tcW w:w="805" w:type="dxa"/>
            <w:vAlign w:val="bottom"/>
          </w:tcPr>
          <w:p w:rsidR="000732E8" w:rsidRPr="009F5261" w:rsidRDefault="000732E8" w:rsidP="00400DFE">
            <w:pPr>
              <w:jc w:val="center"/>
              <w:rPr>
                <w:rFonts w:ascii="Times New Roman" w:hAnsi="Times New Roman" w:cs="Times New Roman"/>
                <w:sz w:val="20"/>
                <w:szCs w:val="20"/>
              </w:rPr>
            </w:pPr>
            <w:r w:rsidRPr="009F5261">
              <w:rPr>
                <w:rFonts w:ascii="Times New Roman" w:hAnsi="Times New Roman" w:cs="Times New Roman"/>
                <w:sz w:val="20"/>
                <w:szCs w:val="20"/>
              </w:rPr>
              <w:t>2009</w:t>
            </w:r>
          </w:p>
        </w:tc>
        <w:tc>
          <w:tcPr>
            <w:tcW w:w="1095" w:type="dxa"/>
            <w:vAlign w:val="bottom"/>
          </w:tcPr>
          <w:p w:rsidR="000732E8" w:rsidRPr="009F5261" w:rsidRDefault="000732E8"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32,67</w:t>
            </w:r>
            <w:r w:rsidR="00BA2E03" w:rsidRPr="009F5261">
              <w:rPr>
                <w:rFonts w:ascii="Times New Roman" w:eastAsia="Times New Roman" w:hAnsi="Times New Roman" w:cs="Times New Roman"/>
                <w:sz w:val="20"/>
                <w:szCs w:val="20"/>
              </w:rPr>
              <w:t>.66</w:t>
            </w:r>
          </w:p>
        </w:tc>
        <w:tc>
          <w:tcPr>
            <w:tcW w:w="1217" w:type="dxa"/>
            <w:vAlign w:val="bottom"/>
          </w:tcPr>
          <w:p w:rsidR="000732E8" w:rsidRPr="009F5261" w:rsidRDefault="00B93571"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9,94</w:t>
            </w:r>
            <w:r w:rsidR="00BA2E03" w:rsidRPr="009F5261">
              <w:rPr>
                <w:rFonts w:ascii="Times New Roman" w:eastAsia="Times New Roman" w:hAnsi="Times New Roman" w:cs="Times New Roman"/>
                <w:sz w:val="20"/>
                <w:szCs w:val="20"/>
              </w:rPr>
              <w:t>.62</w:t>
            </w:r>
          </w:p>
        </w:tc>
        <w:tc>
          <w:tcPr>
            <w:tcW w:w="1041" w:type="dxa"/>
            <w:vAlign w:val="bottom"/>
          </w:tcPr>
          <w:p w:rsidR="000732E8" w:rsidRPr="009F5261" w:rsidRDefault="00805EF4" w:rsidP="00400DFE">
            <w:pPr>
              <w:jc w:val="center"/>
              <w:rPr>
                <w:rFonts w:ascii="Times New Roman" w:hAnsi="Times New Roman" w:cs="Times New Roman"/>
                <w:sz w:val="20"/>
                <w:szCs w:val="20"/>
              </w:rPr>
            </w:pPr>
            <w:r w:rsidRPr="009F5261">
              <w:rPr>
                <w:rFonts w:ascii="Times New Roman" w:hAnsi="Times New Roman" w:cs="Times New Roman"/>
                <w:sz w:val="20"/>
                <w:szCs w:val="20"/>
              </w:rPr>
              <w:t>4262.28</w:t>
            </w:r>
          </w:p>
        </w:tc>
        <w:tc>
          <w:tcPr>
            <w:tcW w:w="1096" w:type="dxa"/>
            <w:vAlign w:val="bottom"/>
          </w:tcPr>
          <w:p w:rsidR="000732E8" w:rsidRPr="009F5261" w:rsidRDefault="00BA2E03"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118,02.15</w:t>
            </w:r>
          </w:p>
        </w:tc>
        <w:tc>
          <w:tcPr>
            <w:tcW w:w="1094" w:type="dxa"/>
            <w:vAlign w:val="bottom"/>
          </w:tcPr>
          <w:p w:rsidR="000732E8" w:rsidRPr="009F5261" w:rsidRDefault="00BA2E03"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13,05.</w:t>
            </w:r>
            <w:r w:rsidR="00805EF4" w:rsidRPr="009F5261">
              <w:rPr>
                <w:rFonts w:ascii="Times New Roman" w:eastAsia="Times New Roman" w:hAnsi="Times New Roman" w:cs="Times New Roman"/>
                <w:sz w:val="20"/>
                <w:szCs w:val="20"/>
              </w:rPr>
              <w:t>14</w:t>
            </w:r>
          </w:p>
        </w:tc>
        <w:tc>
          <w:tcPr>
            <w:tcW w:w="1097" w:type="dxa"/>
            <w:vAlign w:val="bottom"/>
          </w:tcPr>
          <w:p w:rsidR="000732E8" w:rsidRPr="009F5261" w:rsidRDefault="00400DFE" w:rsidP="00400DFE">
            <w:pPr>
              <w:jc w:val="center"/>
              <w:rPr>
                <w:rFonts w:ascii="Times New Roman" w:hAnsi="Times New Roman" w:cs="Times New Roman"/>
                <w:sz w:val="20"/>
                <w:szCs w:val="20"/>
              </w:rPr>
            </w:pPr>
            <w:r w:rsidRPr="009F5261">
              <w:rPr>
                <w:rFonts w:ascii="Times New Roman" w:hAnsi="Times New Roman" w:cs="Times New Roman"/>
                <w:sz w:val="20"/>
                <w:szCs w:val="20"/>
              </w:rPr>
              <w:t>13107.29</w:t>
            </w:r>
          </w:p>
        </w:tc>
        <w:tc>
          <w:tcPr>
            <w:tcW w:w="1325" w:type="dxa"/>
            <w:vAlign w:val="bottom"/>
          </w:tcPr>
          <w:p w:rsidR="000732E8" w:rsidRPr="009F5261" w:rsidRDefault="00400DFE" w:rsidP="00400DFE">
            <w:pPr>
              <w:jc w:val="center"/>
              <w:rPr>
                <w:rFonts w:ascii="Times New Roman" w:hAnsi="Times New Roman" w:cs="Times New Roman"/>
                <w:sz w:val="20"/>
                <w:szCs w:val="20"/>
              </w:rPr>
            </w:pPr>
            <w:r w:rsidRPr="009F5261">
              <w:rPr>
                <w:rFonts w:ascii="Times New Roman" w:hAnsi="Times New Roman" w:cs="Times New Roman"/>
                <w:sz w:val="20"/>
                <w:szCs w:val="20"/>
              </w:rPr>
              <w:t>17369.57</w:t>
            </w:r>
          </w:p>
        </w:tc>
      </w:tr>
      <w:tr w:rsidR="000732E8" w:rsidRPr="009F5261" w:rsidTr="006B08A2">
        <w:trPr>
          <w:jc w:val="center"/>
        </w:trPr>
        <w:tc>
          <w:tcPr>
            <w:tcW w:w="805" w:type="dxa"/>
            <w:vAlign w:val="bottom"/>
          </w:tcPr>
          <w:p w:rsidR="000732E8" w:rsidRPr="009F5261" w:rsidRDefault="000732E8" w:rsidP="00400DFE">
            <w:pPr>
              <w:jc w:val="center"/>
              <w:rPr>
                <w:rFonts w:ascii="Times New Roman" w:hAnsi="Times New Roman" w:cs="Times New Roman"/>
                <w:sz w:val="20"/>
                <w:szCs w:val="20"/>
              </w:rPr>
            </w:pPr>
            <w:r w:rsidRPr="009F5261">
              <w:rPr>
                <w:rFonts w:ascii="Times New Roman" w:hAnsi="Times New Roman" w:cs="Times New Roman"/>
                <w:sz w:val="20"/>
                <w:szCs w:val="20"/>
              </w:rPr>
              <w:t>2010</w:t>
            </w:r>
          </w:p>
        </w:tc>
        <w:tc>
          <w:tcPr>
            <w:tcW w:w="1095" w:type="dxa"/>
            <w:vAlign w:val="bottom"/>
          </w:tcPr>
          <w:p w:rsidR="000732E8" w:rsidRPr="009F5261" w:rsidRDefault="000732E8"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33,36</w:t>
            </w:r>
            <w:r w:rsidR="00BA2E03" w:rsidRPr="009F5261">
              <w:rPr>
                <w:rFonts w:ascii="Times New Roman" w:eastAsia="Times New Roman" w:hAnsi="Times New Roman" w:cs="Times New Roman"/>
                <w:sz w:val="20"/>
                <w:szCs w:val="20"/>
              </w:rPr>
              <w:t>.86</w:t>
            </w:r>
          </w:p>
        </w:tc>
        <w:tc>
          <w:tcPr>
            <w:tcW w:w="1217" w:type="dxa"/>
            <w:vAlign w:val="bottom"/>
          </w:tcPr>
          <w:p w:rsidR="000732E8" w:rsidRPr="009F5261" w:rsidRDefault="00B93571"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11,21</w:t>
            </w:r>
            <w:r w:rsidR="00BA2E03" w:rsidRPr="009F5261">
              <w:rPr>
                <w:rFonts w:ascii="Times New Roman" w:eastAsia="Times New Roman" w:hAnsi="Times New Roman" w:cs="Times New Roman"/>
                <w:sz w:val="20"/>
                <w:szCs w:val="20"/>
              </w:rPr>
              <w:t>.11</w:t>
            </w:r>
          </w:p>
        </w:tc>
        <w:tc>
          <w:tcPr>
            <w:tcW w:w="1041" w:type="dxa"/>
            <w:vAlign w:val="bottom"/>
          </w:tcPr>
          <w:p w:rsidR="000732E8" w:rsidRPr="009F5261" w:rsidRDefault="00805EF4" w:rsidP="00400DFE">
            <w:pPr>
              <w:jc w:val="center"/>
              <w:rPr>
                <w:rFonts w:ascii="Times New Roman" w:hAnsi="Times New Roman" w:cs="Times New Roman"/>
                <w:sz w:val="20"/>
                <w:szCs w:val="20"/>
              </w:rPr>
            </w:pPr>
            <w:r w:rsidRPr="009F5261">
              <w:rPr>
                <w:rFonts w:ascii="Times New Roman" w:hAnsi="Times New Roman" w:cs="Times New Roman"/>
                <w:sz w:val="20"/>
                <w:szCs w:val="20"/>
              </w:rPr>
              <w:t>4457.97</w:t>
            </w:r>
          </w:p>
        </w:tc>
        <w:tc>
          <w:tcPr>
            <w:tcW w:w="1096" w:type="dxa"/>
            <w:vAlign w:val="bottom"/>
          </w:tcPr>
          <w:p w:rsidR="000732E8" w:rsidRPr="009F5261" w:rsidRDefault="00BA2E03"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152,92.</w:t>
            </w:r>
            <w:r w:rsidR="00805EF4" w:rsidRPr="009F5261">
              <w:rPr>
                <w:rFonts w:ascii="Times New Roman" w:eastAsia="Times New Roman" w:hAnsi="Times New Roman" w:cs="Times New Roman"/>
                <w:sz w:val="20"/>
                <w:szCs w:val="20"/>
              </w:rPr>
              <w:t>62</w:t>
            </w:r>
          </w:p>
        </w:tc>
        <w:tc>
          <w:tcPr>
            <w:tcW w:w="1094" w:type="dxa"/>
            <w:vAlign w:val="bottom"/>
          </w:tcPr>
          <w:p w:rsidR="000732E8" w:rsidRPr="009F5261" w:rsidRDefault="00BA2E03"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14,54.</w:t>
            </w:r>
            <w:r w:rsidR="00805EF4" w:rsidRPr="009F5261">
              <w:rPr>
                <w:rFonts w:ascii="Times New Roman" w:eastAsia="Times New Roman" w:hAnsi="Times New Roman" w:cs="Times New Roman"/>
                <w:sz w:val="20"/>
                <w:szCs w:val="20"/>
              </w:rPr>
              <w:t>70</w:t>
            </w:r>
          </w:p>
        </w:tc>
        <w:tc>
          <w:tcPr>
            <w:tcW w:w="1097" w:type="dxa"/>
            <w:vAlign w:val="bottom"/>
          </w:tcPr>
          <w:p w:rsidR="000732E8" w:rsidRPr="009F5261" w:rsidRDefault="00400DFE" w:rsidP="00400DFE">
            <w:pPr>
              <w:jc w:val="center"/>
              <w:rPr>
                <w:rFonts w:ascii="Times New Roman" w:hAnsi="Times New Roman" w:cs="Times New Roman"/>
                <w:sz w:val="20"/>
                <w:szCs w:val="20"/>
              </w:rPr>
            </w:pPr>
            <w:r w:rsidRPr="009F5261">
              <w:rPr>
                <w:rFonts w:ascii="Times New Roman" w:hAnsi="Times New Roman" w:cs="Times New Roman"/>
                <w:sz w:val="20"/>
                <w:szCs w:val="20"/>
              </w:rPr>
              <w:t>16747.32</w:t>
            </w:r>
          </w:p>
        </w:tc>
        <w:tc>
          <w:tcPr>
            <w:tcW w:w="1325" w:type="dxa"/>
            <w:vAlign w:val="bottom"/>
          </w:tcPr>
          <w:p w:rsidR="000732E8" w:rsidRPr="009F5261" w:rsidRDefault="00400DFE" w:rsidP="00400DFE">
            <w:pPr>
              <w:jc w:val="center"/>
              <w:rPr>
                <w:rFonts w:ascii="Times New Roman" w:hAnsi="Times New Roman" w:cs="Times New Roman"/>
                <w:sz w:val="20"/>
                <w:szCs w:val="20"/>
              </w:rPr>
            </w:pPr>
            <w:r w:rsidRPr="009F5261">
              <w:rPr>
                <w:rFonts w:ascii="Times New Roman" w:hAnsi="Times New Roman" w:cs="Times New Roman"/>
                <w:sz w:val="20"/>
                <w:szCs w:val="20"/>
              </w:rPr>
              <w:t>21205.29</w:t>
            </w:r>
          </w:p>
        </w:tc>
      </w:tr>
      <w:tr w:rsidR="000732E8" w:rsidRPr="009F5261" w:rsidTr="006B08A2">
        <w:trPr>
          <w:jc w:val="center"/>
        </w:trPr>
        <w:tc>
          <w:tcPr>
            <w:tcW w:w="805" w:type="dxa"/>
            <w:vAlign w:val="bottom"/>
          </w:tcPr>
          <w:p w:rsidR="000732E8" w:rsidRPr="009F5261" w:rsidRDefault="000732E8" w:rsidP="00400DFE">
            <w:pPr>
              <w:jc w:val="center"/>
              <w:rPr>
                <w:rFonts w:ascii="Times New Roman" w:hAnsi="Times New Roman" w:cs="Times New Roman"/>
                <w:sz w:val="20"/>
                <w:szCs w:val="20"/>
              </w:rPr>
            </w:pPr>
            <w:r w:rsidRPr="009F5261">
              <w:rPr>
                <w:rFonts w:ascii="Times New Roman" w:hAnsi="Times New Roman" w:cs="Times New Roman"/>
                <w:sz w:val="20"/>
                <w:szCs w:val="20"/>
              </w:rPr>
              <w:t>2011</w:t>
            </w:r>
          </w:p>
        </w:tc>
        <w:tc>
          <w:tcPr>
            <w:tcW w:w="1095" w:type="dxa"/>
            <w:vAlign w:val="bottom"/>
          </w:tcPr>
          <w:p w:rsidR="000732E8" w:rsidRPr="009F5261" w:rsidRDefault="000732E8"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42,05</w:t>
            </w:r>
            <w:r w:rsidR="00BA2E03" w:rsidRPr="009F5261">
              <w:rPr>
                <w:rFonts w:ascii="Times New Roman" w:eastAsia="Times New Roman" w:hAnsi="Times New Roman" w:cs="Times New Roman"/>
                <w:sz w:val="20"/>
                <w:szCs w:val="20"/>
              </w:rPr>
              <w:t>.97</w:t>
            </w:r>
          </w:p>
        </w:tc>
        <w:tc>
          <w:tcPr>
            <w:tcW w:w="1217" w:type="dxa"/>
            <w:vAlign w:val="bottom"/>
          </w:tcPr>
          <w:p w:rsidR="000732E8" w:rsidRPr="009F5261" w:rsidRDefault="00B93571"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13,38</w:t>
            </w:r>
            <w:r w:rsidR="00BA2E03" w:rsidRPr="009F5261">
              <w:rPr>
                <w:rFonts w:ascii="Times New Roman" w:eastAsia="Times New Roman" w:hAnsi="Times New Roman" w:cs="Times New Roman"/>
                <w:sz w:val="20"/>
                <w:szCs w:val="20"/>
              </w:rPr>
              <w:t>.37</w:t>
            </w:r>
          </w:p>
        </w:tc>
        <w:tc>
          <w:tcPr>
            <w:tcW w:w="1041" w:type="dxa"/>
            <w:vAlign w:val="bottom"/>
          </w:tcPr>
          <w:p w:rsidR="000732E8" w:rsidRPr="009F5261" w:rsidRDefault="00805EF4" w:rsidP="00400DFE">
            <w:pPr>
              <w:jc w:val="center"/>
              <w:rPr>
                <w:rFonts w:ascii="Times New Roman" w:hAnsi="Times New Roman" w:cs="Times New Roman"/>
                <w:sz w:val="20"/>
                <w:szCs w:val="20"/>
              </w:rPr>
            </w:pPr>
            <w:r w:rsidRPr="009F5261">
              <w:rPr>
                <w:rFonts w:ascii="Times New Roman" w:hAnsi="Times New Roman" w:cs="Times New Roman"/>
                <w:sz w:val="20"/>
                <w:szCs w:val="20"/>
              </w:rPr>
              <w:t>5544.34</w:t>
            </w:r>
          </w:p>
        </w:tc>
        <w:tc>
          <w:tcPr>
            <w:tcW w:w="1096" w:type="dxa"/>
            <w:vAlign w:val="bottom"/>
          </w:tcPr>
          <w:p w:rsidR="000732E8" w:rsidRPr="009F5261" w:rsidRDefault="00BA2E03"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189,89.</w:t>
            </w:r>
            <w:r w:rsidR="00805EF4" w:rsidRPr="009F5261">
              <w:rPr>
                <w:rFonts w:ascii="Times New Roman" w:eastAsia="Times New Roman" w:hAnsi="Times New Roman" w:cs="Times New Roman"/>
                <w:sz w:val="20"/>
                <w:szCs w:val="20"/>
              </w:rPr>
              <w:t>60</w:t>
            </w:r>
          </w:p>
        </w:tc>
        <w:tc>
          <w:tcPr>
            <w:tcW w:w="1094" w:type="dxa"/>
            <w:vAlign w:val="bottom"/>
          </w:tcPr>
          <w:p w:rsidR="000732E8" w:rsidRPr="009F5261" w:rsidRDefault="00BA2E03"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14,39.</w:t>
            </w:r>
            <w:r w:rsidR="00805EF4" w:rsidRPr="009F5261">
              <w:rPr>
                <w:rFonts w:ascii="Times New Roman" w:eastAsia="Times New Roman" w:hAnsi="Times New Roman" w:cs="Times New Roman"/>
                <w:sz w:val="20"/>
                <w:szCs w:val="20"/>
              </w:rPr>
              <w:t>83</w:t>
            </w:r>
          </w:p>
        </w:tc>
        <w:tc>
          <w:tcPr>
            <w:tcW w:w="1097" w:type="dxa"/>
            <w:vAlign w:val="bottom"/>
          </w:tcPr>
          <w:p w:rsidR="000732E8" w:rsidRPr="009F5261" w:rsidRDefault="00400DFE" w:rsidP="00400DFE">
            <w:pPr>
              <w:jc w:val="center"/>
              <w:rPr>
                <w:rFonts w:ascii="Times New Roman" w:hAnsi="Times New Roman" w:cs="Times New Roman"/>
                <w:sz w:val="20"/>
                <w:szCs w:val="20"/>
              </w:rPr>
            </w:pPr>
            <w:r w:rsidRPr="009F5261">
              <w:rPr>
                <w:rFonts w:ascii="Times New Roman" w:hAnsi="Times New Roman" w:cs="Times New Roman"/>
                <w:sz w:val="20"/>
                <w:szCs w:val="20"/>
              </w:rPr>
              <w:t>20429.43</w:t>
            </w:r>
          </w:p>
        </w:tc>
        <w:tc>
          <w:tcPr>
            <w:tcW w:w="1325" w:type="dxa"/>
            <w:vAlign w:val="bottom"/>
          </w:tcPr>
          <w:p w:rsidR="000732E8" w:rsidRPr="009F5261" w:rsidRDefault="00400DFE" w:rsidP="00400DFE">
            <w:pPr>
              <w:jc w:val="center"/>
              <w:rPr>
                <w:rFonts w:ascii="Times New Roman" w:hAnsi="Times New Roman" w:cs="Times New Roman"/>
                <w:sz w:val="20"/>
                <w:szCs w:val="20"/>
              </w:rPr>
            </w:pPr>
            <w:r w:rsidRPr="009F5261">
              <w:rPr>
                <w:rFonts w:ascii="Times New Roman" w:hAnsi="Times New Roman" w:cs="Times New Roman"/>
                <w:sz w:val="20"/>
                <w:szCs w:val="20"/>
              </w:rPr>
              <w:t>25973.77</w:t>
            </w:r>
          </w:p>
        </w:tc>
      </w:tr>
      <w:tr w:rsidR="000732E8" w:rsidRPr="009F5261" w:rsidTr="006B08A2">
        <w:trPr>
          <w:jc w:val="center"/>
        </w:trPr>
        <w:tc>
          <w:tcPr>
            <w:tcW w:w="805" w:type="dxa"/>
            <w:vAlign w:val="bottom"/>
          </w:tcPr>
          <w:p w:rsidR="000732E8" w:rsidRPr="009F5261" w:rsidRDefault="000732E8" w:rsidP="00400DFE">
            <w:pPr>
              <w:jc w:val="center"/>
              <w:rPr>
                <w:rFonts w:ascii="Times New Roman" w:hAnsi="Times New Roman" w:cs="Times New Roman"/>
                <w:sz w:val="20"/>
                <w:szCs w:val="20"/>
              </w:rPr>
            </w:pPr>
            <w:r w:rsidRPr="009F5261">
              <w:rPr>
                <w:rFonts w:ascii="Times New Roman" w:hAnsi="Times New Roman" w:cs="Times New Roman"/>
                <w:sz w:val="20"/>
                <w:szCs w:val="20"/>
              </w:rPr>
              <w:t>2012</w:t>
            </w:r>
          </w:p>
        </w:tc>
        <w:tc>
          <w:tcPr>
            <w:tcW w:w="1095" w:type="dxa"/>
            <w:vAlign w:val="center"/>
          </w:tcPr>
          <w:p w:rsidR="000732E8" w:rsidRPr="009F5261" w:rsidRDefault="000732E8" w:rsidP="00400DFE">
            <w:pPr>
              <w:spacing w:after="0" w:line="240" w:lineRule="auto"/>
              <w:jc w:val="center"/>
              <w:rPr>
                <w:rFonts w:ascii="Times New Roman" w:eastAsia="Times New Roman" w:hAnsi="Times New Roman" w:cs="Times New Roman"/>
                <w:sz w:val="20"/>
                <w:szCs w:val="20"/>
              </w:rPr>
            </w:pPr>
            <w:r w:rsidRPr="009F5261">
              <w:rPr>
                <w:rFonts w:ascii="Times New Roman" w:eastAsia="Times New Roman" w:hAnsi="Times New Roman" w:cs="Times New Roman"/>
                <w:sz w:val="20"/>
                <w:szCs w:val="20"/>
              </w:rPr>
              <w:t>48,34</w:t>
            </w:r>
            <w:r w:rsidR="00BA2E03" w:rsidRPr="009F5261">
              <w:rPr>
                <w:rFonts w:ascii="Times New Roman" w:eastAsia="Times New Roman" w:hAnsi="Times New Roman" w:cs="Times New Roman"/>
                <w:sz w:val="20"/>
                <w:szCs w:val="20"/>
              </w:rPr>
              <w:t>.7</w:t>
            </w:r>
            <w:r w:rsidRPr="009F5261">
              <w:rPr>
                <w:rFonts w:ascii="Times New Roman" w:eastAsia="Times New Roman" w:hAnsi="Times New Roman" w:cs="Times New Roman"/>
                <w:sz w:val="20"/>
                <w:szCs w:val="20"/>
              </w:rPr>
              <w:t>2</w:t>
            </w:r>
          </w:p>
        </w:tc>
        <w:tc>
          <w:tcPr>
            <w:tcW w:w="1217" w:type="dxa"/>
            <w:vAlign w:val="bottom"/>
          </w:tcPr>
          <w:p w:rsidR="000732E8" w:rsidRPr="009F5261" w:rsidRDefault="00B93571"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15,73</w:t>
            </w:r>
            <w:r w:rsidR="00BA2E03" w:rsidRPr="009F5261">
              <w:rPr>
                <w:rFonts w:ascii="Times New Roman" w:eastAsia="Times New Roman" w:hAnsi="Times New Roman" w:cs="Times New Roman"/>
                <w:sz w:val="20"/>
                <w:szCs w:val="20"/>
              </w:rPr>
              <w:t>.27</w:t>
            </w:r>
          </w:p>
        </w:tc>
        <w:tc>
          <w:tcPr>
            <w:tcW w:w="1041" w:type="dxa"/>
            <w:vAlign w:val="bottom"/>
          </w:tcPr>
          <w:p w:rsidR="000732E8" w:rsidRPr="009F5261" w:rsidRDefault="00805EF4" w:rsidP="00400DFE">
            <w:pPr>
              <w:jc w:val="center"/>
              <w:rPr>
                <w:rFonts w:ascii="Times New Roman" w:hAnsi="Times New Roman" w:cs="Times New Roman"/>
                <w:sz w:val="20"/>
                <w:szCs w:val="20"/>
              </w:rPr>
            </w:pPr>
            <w:r w:rsidRPr="009F5261">
              <w:rPr>
                <w:rFonts w:ascii="Times New Roman" w:hAnsi="Times New Roman" w:cs="Times New Roman"/>
                <w:sz w:val="20"/>
                <w:szCs w:val="20"/>
              </w:rPr>
              <w:t>6407.99</w:t>
            </w:r>
          </w:p>
        </w:tc>
        <w:tc>
          <w:tcPr>
            <w:tcW w:w="1096" w:type="dxa"/>
            <w:vAlign w:val="bottom"/>
          </w:tcPr>
          <w:p w:rsidR="000732E8" w:rsidRPr="009F5261" w:rsidRDefault="00BA2E03"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224,08.</w:t>
            </w:r>
            <w:r w:rsidR="00805EF4" w:rsidRPr="009F5261">
              <w:rPr>
                <w:rFonts w:ascii="Times New Roman" w:eastAsia="Times New Roman" w:hAnsi="Times New Roman" w:cs="Times New Roman"/>
                <w:sz w:val="20"/>
                <w:szCs w:val="20"/>
              </w:rPr>
              <w:t>98</w:t>
            </w:r>
          </w:p>
        </w:tc>
        <w:tc>
          <w:tcPr>
            <w:tcW w:w="1094" w:type="dxa"/>
            <w:vAlign w:val="bottom"/>
          </w:tcPr>
          <w:p w:rsidR="000732E8" w:rsidRPr="009F5261" w:rsidRDefault="00BA2E03"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15,54.</w:t>
            </w:r>
            <w:r w:rsidR="00805EF4" w:rsidRPr="009F5261">
              <w:rPr>
                <w:rFonts w:ascii="Times New Roman" w:eastAsia="Times New Roman" w:hAnsi="Times New Roman" w:cs="Times New Roman"/>
                <w:sz w:val="20"/>
                <w:szCs w:val="20"/>
              </w:rPr>
              <w:t>39</w:t>
            </w:r>
          </w:p>
        </w:tc>
        <w:tc>
          <w:tcPr>
            <w:tcW w:w="1097" w:type="dxa"/>
            <w:vAlign w:val="bottom"/>
          </w:tcPr>
          <w:p w:rsidR="000732E8" w:rsidRPr="009F5261" w:rsidRDefault="00400DFE" w:rsidP="00400DFE">
            <w:pPr>
              <w:jc w:val="center"/>
              <w:rPr>
                <w:rFonts w:ascii="Times New Roman" w:hAnsi="Times New Roman" w:cs="Times New Roman"/>
                <w:sz w:val="20"/>
                <w:szCs w:val="20"/>
              </w:rPr>
            </w:pPr>
            <w:r w:rsidRPr="009F5261">
              <w:rPr>
                <w:rFonts w:ascii="Times New Roman" w:hAnsi="Times New Roman" w:cs="Times New Roman"/>
                <w:sz w:val="20"/>
                <w:szCs w:val="20"/>
              </w:rPr>
              <w:t>23963.37</w:t>
            </w:r>
          </w:p>
        </w:tc>
        <w:tc>
          <w:tcPr>
            <w:tcW w:w="1325" w:type="dxa"/>
            <w:vAlign w:val="bottom"/>
          </w:tcPr>
          <w:p w:rsidR="000732E8" w:rsidRPr="009F5261" w:rsidRDefault="00400DFE" w:rsidP="00400DFE">
            <w:pPr>
              <w:jc w:val="center"/>
              <w:rPr>
                <w:rFonts w:ascii="Times New Roman" w:hAnsi="Times New Roman" w:cs="Times New Roman"/>
                <w:sz w:val="20"/>
                <w:szCs w:val="20"/>
              </w:rPr>
            </w:pPr>
            <w:r w:rsidRPr="009F5261">
              <w:rPr>
                <w:rFonts w:ascii="Times New Roman" w:hAnsi="Times New Roman" w:cs="Times New Roman"/>
                <w:sz w:val="20"/>
                <w:szCs w:val="20"/>
              </w:rPr>
              <w:t>30371.36</w:t>
            </w:r>
          </w:p>
        </w:tc>
      </w:tr>
      <w:tr w:rsidR="000732E8" w:rsidRPr="009F5261" w:rsidTr="006B08A2">
        <w:trPr>
          <w:jc w:val="center"/>
        </w:trPr>
        <w:tc>
          <w:tcPr>
            <w:tcW w:w="805" w:type="dxa"/>
            <w:vAlign w:val="bottom"/>
          </w:tcPr>
          <w:p w:rsidR="000732E8" w:rsidRPr="009F5261" w:rsidRDefault="000732E8" w:rsidP="00400DFE">
            <w:pPr>
              <w:jc w:val="center"/>
              <w:rPr>
                <w:rFonts w:ascii="Times New Roman" w:hAnsi="Times New Roman" w:cs="Times New Roman"/>
                <w:sz w:val="20"/>
                <w:szCs w:val="20"/>
              </w:rPr>
            </w:pPr>
            <w:r w:rsidRPr="009F5261">
              <w:rPr>
                <w:rFonts w:ascii="Times New Roman" w:hAnsi="Times New Roman" w:cs="Times New Roman"/>
                <w:sz w:val="20"/>
                <w:szCs w:val="20"/>
              </w:rPr>
              <w:t>2013</w:t>
            </w:r>
          </w:p>
        </w:tc>
        <w:tc>
          <w:tcPr>
            <w:tcW w:w="1095" w:type="dxa"/>
            <w:vAlign w:val="bottom"/>
          </w:tcPr>
          <w:p w:rsidR="000732E8" w:rsidRPr="009F5261" w:rsidRDefault="000732E8"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54,87</w:t>
            </w:r>
            <w:r w:rsidR="00BA2E03" w:rsidRPr="009F5261">
              <w:rPr>
                <w:rFonts w:ascii="Times New Roman" w:eastAsia="Times New Roman" w:hAnsi="Times New Roman" w:cs="Times New Roman"/>
                <w:sz w:val="20"/>
                <w:szCs w:val="20"/>
              </w:rPr>
              <w:t>.49</w:t>
            </w:r>
          </w:p>
        </w:tc>
        <w:tc>
          <w:tcPr>
            <w:tcW w:w="1217" w:type="dxa"/>
            <w:vAlign w:val="bottom"/>
          </w:tcPr>
          <w:p w:rsidR="000732E8" w:rsidRPr="009F5261" w:rsidRDefault="00B93571"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18,47</w:t>
            </w:r>
            <w:r w:rsidR="00BA2E03" w:rsidRPr="009F5261">
              <w:rPr>
                <w:rFonts w:ascii="Times New Roman" w:eastAsia="Times New Roman" w:hAnsi="Times New Roman" w:cs="Times New Roman"/>
                <w:sz w:val="20"/>
                <w:szCs w:val="20"/>
              </w:rPr>
              <w:t>.10</w:t>
            </w:r>
          </w:p>
        </w:tc>
        <w:tc>
          <w:tcPr>
            <w:tcW w:w="1041" w:type="dxa"/>
            <w:vAlign w:val="bottom"/>
          </w:tcPr>
          <w:p w:rsidR="000732E8" w:rsidRPr="009F5261" w:rsidRDefault="00805EF4" w:rsidP="00400DFE">
            <w:pPr>
              <w:jc w:val="center"/>
              <w:rPr>
                <w:rFonts w:ascii="Times New Roman" w:hAnsi="Times New Roman" w:cs="Times New Roman"/>
                <w:sz w:val="20"/>
                <w:szCs w:val="20"/>
              </w:rPr>
            </w:pPr>
            <w:r w:rsidRPr="009F5261">
              <w:rPr>
                <w:rFonts w:ascii="Times New Roman" w:hAnsi="Times New Roman" w:cs="Times New Roman"/>
                <w:sz w:val="20"/>
                <w:szCs w:val="20"/>
              </w:rPr>
              <w:t>7334.59</w:t>
            </w:r>
          </w:p>
        </w:tc>
        <w:tc>
          <w:tcPr>
            <w:tcW w:w="1096" w:type="dxa"/>
            <w:vAlign w:val="bottom"/>
          </w:tcPr>
          <w:p w:rsidR="000732E8" w:rsidRPr="009F5261" w:rsidRDefault="00BA2E03"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259,82.</w:t>
            </w:r>
            <w:r w:rsidR="00805EF4" w:rsidRPr="009F5261">
              <w:rPr>
                <w:rFonts w:ascii="Times New Roman" w:eastAsia="Times New Roman" w:hAnsi="Times New Roman" w:cs="Times New Roman"/>
                <w:sz w:val="20"/>
                <w:szCs w:val="20"/>
              </w:rPr>
              <w:t>7</w:t>
            </w:r>
            <w:r w:rsidRPr="009F5261">
              <w:rPr>
                <w:rFonts w:ascii="Times New Roman" w:eastAsia="Times New Roman" w:hAnsi="Times New Roman" w:cs="Times New Roman"/>
                <w:sz w:val="20"/>
                <w:szCs w:val="20"/>
              </w:rPr>
              <w:t>2</w:t>
            </w:r>
          </w:p>
        </w:tc>
        <w:tc>
          <w:tcPr>
            <w:tcW w:w="1094" w:type="dxa"/>
            <w:vAlign w:val="bottom"/>
          </w:tcPr>
          <w:p w:rsidR="000732E8" w:rsidRPr="009F5261" w:rsidRDefault="00BA2E03"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16,67.</w:t>
            </w:r>
            <w:r w:rsidR="00805EF4" w:rsidRPr="009F5261">
              <w:rPr>
                <w:rFonts w:ascii="Times New Roman" w:eastAsia="Times New Roman" w:hAnsi="Times New Roman" w:cs="Times New Roman"/>
                <w:sz w:val="20"/>
                <w:szCs w:val="20"/>
              </w:rPr>
              <w:t>19</w:t>
            </w:r>
          </w:p>
        </w:tc>
        <w:tc>
          <w:tcPr>
            <w:tcW w:w="1097" w:type="dxa"/>
            <w:vAlign w:val="bottom"/>
          </w:tcPr>
          <w:p w:rsidR="000732E8" w:rsidRPr="009F5261" w:rsidRDefault="00400DFE" w:rsidP="00400DFE">
            <w:pPr>
              <w:jc w:val="center"/>
              <w:rPr>
                <w:rFonts w:ascii="Times New Roman" w:hAnsi="Times New Roman" w:cs="Times New Roman"/>
                <w:sz w:val="20"/>
                <w:szCs w:val="20"/>
              </w:rPr>
            </w:pPr>
            <w:r w:rsidRPr="009F5261">
              <w:rPr>
                <w:rFonts w:ascii="Times New Roman" w:hAnsi="Times New Roman" w:cs="Times New Roman"/>
                <w:sz w:val="20"/>
                <w:szCs w:val="20"/>
              </w:rPr>
              <w:t>27649.91</w:t>
            </w:r>
          </w:p>
        </w:tc>
        <w:tc>
          <w:tcPr>
            <w:tcW w:w="1325" w:type="dxa"/>
            <w:vAlign w:val="bottom"/>
          </w:tcPr>
          <w:p w:rsidR="000732E8" w:rsidRPr="009F5261" w:rsidRDefault="007662E3" w:rsidP="00400DFE">
            <w:pPr>
              <w:jc w:val="center"/>
              <w:rPr>
                <w:rFonts w:ascii="Times New Roman" w:hAnsi="Times New Roman" w:cs="Times New Roman"/>
                <w:sz w:val="20"/>
                <w:szCs w:val="20"/>
              </w:rPr>
            </w:pPr>
            <w:r w:rsidRPr="009F5261">
              <w:rPr>
                <w:rFonts w:ascii="Times New Roman" w:hAnsi="Times New Roman" w:cs="Times New Roman"/>
                <w:sz w:val="20"/>
                <w:szCs w:val="20"/>
              </w:rPr>
              <w:t>34984.50</w:t>
            </w:r>
          </w:p>
        </w:tc>
      </w:tr>
      <w:tr w:rsidR="000732E8" w:rsidRPr="009F5261" w:rsidTr="006B08A2">
        <w:trPr>
          <w:jc w:val="center"/>
        </w:trPr>
        <w:tc>
          <w:tcPr>
            <w:tcW w:w="805" w:type="dxa"/>
            <w:vAlign w:val="bottom"/>
          </w:tcPr>
          <w:p w:rsidR="000732E8" w:rsidRPr="009F5261" w:rsidRDefault="000732E8" w:rsidP="00400DFE">
            <w:pPr>
              <w:jc w:val="center"/>
              <w:rPr>
                <w:rFonts w:ascii="Times New Roman" w:hAnsi="Times New Roman" w:cs="Times New Roman"/>
                <w:sz w:val="20"/>
                <w:szCs w:val="20"/>
              </w:rPr>
            </w:pPr>
            <w:r w:rsidRPr="009F5261">
              <w:rPr>
                <w:rFonts w:ascii="Times New Roman" w:hAnsi="Times New Roman" w:cs="Times New Roman"/>
                <w:sz w:val="20"/>
                <w:szCs w:val="20"/>
              </w:rPr>
              <w:t>2014</w:t>
            </w:r>
          </w:p>
        </w:tc>
        <w:tc>
          <w:tcPr>
            <w:tcW w:w="1095" w:type="dxa"/>
            <w:vAlign w:val="bottom"/>
          </w:tcPr>
          <w:p w:rsidR="000732E8" w:rsidRPr="009F5261" w:rsidRDefault="000732E8"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59,36</w:t>
            </w:r>
            <w:r w:rsidR="00BA2E03" w:rsidRPr="009F5261">
              <w:rPr>
                <w:rFonts w:ascii="Times New Roman" w:eastAsia="Times New Roman" w:hAnsi="Times New Roman" w:cs="Times New Roman"/>
                <w:sz w:val="20"/>
                <w:szCs w:val="20"/>
              </w:rPr>
              <w:t>.56</w:t>
            </w:r>
          </w:p>
        </w:tc>
        <w:tc>
          <w:tcPr>
            <w:tcW w:w="1217" w:type="dxa"/>
            <w:vAlign w:val="bottom"/>
          </w:tcPr>
          <w:p w:rsidR="000732E8" w:rsidRPr="009F5261" w:rsidRDefault="00B93571"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21,35</w:t>
            </w:r>
            <w:r w:rsidR="00BA2E03" w:rsidRPr="009F5261">
              <w:rPr>
                <w:rFonts w:ascii="Times New Roman" w:eastAsia="Times New Roman" w:hAnsi="Times New Roman" w:cs="Times New Roman"/>
                <w:sz w:val="20"/>
                <w:szCs w:val="20"/>
              </w:rPr>
              <w:t>.81</w:t>
            </w:r>
          </w:p>
        </w:tc>
        <w:tc>
          <w:tcPr>
            <w:tcW w:w="1041" w:type="dxa"/>
            <w:vAlign w:val="bottom"/>
          </w:tcPr>
          <w:p w:rsidR="000732E8" w:rsidRPr="009F5261" w:rsidRDefault="00805EF4" w:rsidP="00400DFE">
            <w:pPr>
              <w:jc w:val="center"/>
              <w:rPr>
                <w:rFonts w:ascii="Times New Roman" w:hAnsi="Times New Roman" w:cs="Times New Roman"/>
                <w:sz w:val="20"/>
                <w:szCs w:val="20"/>
              </w:rPr>
            </w:pPr>
            <w:r w:rsidRPr="009F5261">
              <w:rPr>
                <w:rFonts w:ascii="Times New Roman" w:hAnsi="Times New Roman" w:cs="Times New Roman"/>
                <w:sz w:val="20"/>
                <w:szCs w:val="20"/>
              </w:rPr>
              <w:t>8072.37</w:t>
            </w:r>
          </w:p>
        </w:tc>
        <w:tc>
          <w:tcPr>
            <w:tcW w:w="1096" w:type="dxa"/>
            <w:vAlign w:val="bottom"/>
          </w:tcPr>
          <w:p w:rsidR="000732E8" w:rsidRPr="009F5261" w:rsidRDefault="00BA2E03"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297,81.</w:t>
            </w:r>
            <w:r w:rsidR="00805EF4" w:rsidRPr="009F5261">
              <w:rPr>
                <w:rFonts w:ascii="Times New Roman" w:eastAsia="Times New Roman" w:hAnsi="Times New Roman" w:cs="Times New Roman"/>
                <w:sz w:val="20"/>
                <w:szCs w:val="20"/>
              </w:rPr>
              <w:t>90</w:t>
            </w:r>
          </w:p>
        </w:tc>
        <w:tc>
          <w:tcPr>
            <w:tcW w:w="1094" w:type="dxa"/>
            <w:vAlign w:val="bottom"/>
          </w:tcPr>
          <w:p w:rsidR="000732E8" w:rsidRPr="009F5261" w:rsidRDefault="00BA2E03"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17,61.</w:t>
            </w:r>
            <w:r w:rsidR="00805EF4" w:rsidRPr="009F5261">
              <w:rPr>
                <w:rFonts w:ascii="Times New Roman" w:eastAsia="Times New Roman" w:hAnsi="Times New Roman" w:cs="Times New Roman"/>
                <w:sz w:val="20"/>
                <w:szCs w:val="20"/>
              </w:rPr>
              <w:t>30</w:t>
            </w:r>
          </w:p>
        </w:tc>
        <w:tc>
          <w:tcPr>
            <w:tcW w:w="1097" w:type="dxa"/>
            <w:vAlign w:val="bottom"/>
          </w:tcPr>
          <w:p w:rsidR="000732E8" w:rsidRPr="009F5261" w:rsidRDefault="00400DFE" w:rsidP="00400DFE">
            <w:pPr>
              <w:jc w:val="center"/>
              <w:rPr>
                <w:rFonts w:ascii="Times New Roman" w:hAnsi="Times New Roman" w:cs="Times New Roman"/>
                <w:sz w:val="20"/>
                <w:szCs w:val="20"/>
              </w:rPr>
            </w:pPr>
            <w:r w:rsidRPr="009F5261">
              <w:rPr>
                <w:rFonts w:ascii="Times New Roman" w:hAnsi="Times New Roman" w:cs="Times New Roman"/>
                <w:sz w:val="20"/>
                <w:szCs w:val="20"/>
              </w:rPr>
              <w:t>31543.20</w:t>
            </w:r>
          </w:p>
        </w:tc>
        <w:tc>
          <w:tcPr>
            <w:tcW w:w="1325" w:type="dxa"/>
            <w:vAlign w:val="bottom"/>
          </w:tcPr>
          <w:p w:rsidR="000732E8" w:rsidRPr="009F5261" w:rsidRDefault="007662E3" w:rsidP="00400DFE">
            <w:pPr>
              <w:jc w:val="center"/>
              <w:rPr>
                <w:rFonts w:ascii="Times New Roman" w:hAnsi="Times New Roman" w:cs="Times New Roman"/>
                <w:sz w:val="20"/>
                <w:szCs w:val="20"/>
              </w:rPr>
            </w:pPr>
            <w:r w:rsidRPr="009F5261">
              <w:rPr>
                <w:rFonts w:ascii="Times New Roman" w:hAnsi="Times New Roman" w:cs="Times New Roman"/>
                <w:sz w:val="20"/>
                <w:szCs w:val="20"/>
              </w:rPr>
              <w:t>39615.57</w:t>
            </w:r>
          </w:p>
        </w:tc>
      </w:tr>
      <w:tr w:rsidR="000732E8" w:rsidRPr="009F5261" w:rsidTr="006B08A2">
        <w:trPr>
          <w:jc w:val="center"/>
        </w:trPr>
        <w:tc>
          <w:tcPr>
            <w:tcW w:w="805" w:type="dxa"/>
            <w:vAlign w:val="bottom"/>
          </w:tcPr>
          <w:p w:rsidR="000732E8" w:rsidRPr="009F5261" w:rsidRDefault="000732E8" w:rsidP="00400DFE">
            <w:pPr>
              <w:jc w:val="center"/>
              <w:rPr>
                <w:rFonts w:ascii="Times New Roman" w:hAnsi="Times New Roman" w:cs="Times New Roman"/>
                <w:sz w:val="20"/>
                <w:szCs w:val="20"/>
              </w:rPr>
            </w:pPr>
            <w:r w:rsidRPr="009F5261">
              <w:rPr>
                <w:rFonts w:ascii="Times New Roman" w:hAnsi="Times New Roman" w:cs="Times New Roman"/>
                <w:sz w:val="20"/>
                <w:szCs w:val="20"/>
              </w:rPr>
              <w:t>2015</w:t>
            </w:r>
          </w:p>
        </w:tc>
        <w:tc>
          <w:tcPr>
            <w:tcW w:w="1095" w:type="dxa"/>
            <w:vAlign w:val="center"/>
          </w:tcPr>
          <w:p w:rsidR="000732E8" w:rsidRPr="009F5261" w:rsidRDefault="000732E8" w:rsidP="00400DFE">
            <w:pPr>
              <w:spacing w:after="0" w:line="240" w:lineRule="auto"/>
              <w:jc w:val="center"/>
              <w:rPr>
                <w:rFonts w:ascii="Times New Roman" w:eastAsia="Times New Roman" w:hAnsi="Times New Roman" w:cs="Times New Roman"/>
                <w:sz w:val="20"/>
                <w:szCs w:val="20"/>
              </w:rPr>
            </w:pPr>
            <w:r w:rsidRPr="009F5261">
              <w:rPr>
                <w:rFonts w:ascii="Times New Roman" w:eastAsia="Times New Roman" w:hAnsi="Times New Roman" w:cs="Times New Roman"/>
                <w:sz w:val="20"/>
                <w:szCs w:val="20"/>
              </w:rPr>
              <w:t>63,03</w:t>
            </w:r>
            <w:r w:rsidR="00BA2E03" w:rsidRPr="009F5261">
              <w:rPr>
                <w:rFonts w:ascii="Times New Roman" w:eastAsia="Times New Roman" w:hAnsi="Times New Roman" w:cs="Times New Roman"/>
                <w:sz w:val="20"/>
                <w:szCs w:val="20"/>
              </w:rPr>
              <w:t>.59</w:t>
            </w:r>
          </w:p>
        </w:tc>
        <w:tc>
          <w:tcPr>
            <w:tcW w:w="1217" w:type="dxa"/>
            <w:vAlign w:val="bottom"/>
          </w:tcPr>
          <w:p w:rsidR="000732E8" w:rsidRPr="009F5261" w:rsidRDefault="00B93571"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24,72</w:t>
            </w:r>
            <w:r w:rsidR="00BA2E03" w:rsidRPr="009F5261">
              <w:rPr>
                <w:rFonts w:ascii="Times New Roman" w:eastAsia="Times New Roman" w:hAnsi="Times New Roman" w:cs="Times New Roman"/>
                <w:sz w:val="20"/>
                <w:szCs w:val="20"/>
              </w:rPr>
              <w:t>.5</w:t>
            </w:r>
            <w:r w:rsidRPr="009F5261">
              <w:rPr>
                <w:rFonts w:ascii="Times New Roman" w:eastAsia="Times New Roman" w:hAnsi="Times New Roman" w:cs="Times New Roman"/>
                <w:sz w:val="20"/>
                <w:szCs w:val="20"/>
              </w:rPr>
              <w:t>0</w:t>
            </w:r>
          </w:p>
        </w:tc>
        <w:tc>
          <w:tcPr>
            <w:tcW w:w="1041" w:type="dxa"/>
            <w:vAlign w:val="bottom"/>
          </w:tcPr>
          <w:p w:rsidR="000732E8" w:rsidRPr="009F5261" w:rsidRDefault="00805EF4" w:rsidP="00400DFE">
            <w:pPr>
              <w:jc w:val="center"/>
              <w:rPr>
                <w:rFonts w:ascii="Times New Roman" w:hAnsi="Times New Roman" w:cs="Times New Roman"/>
                <w:sz w:val="20"/>
                <w:szCs w:val="20"/>
              </w:rPr>
            </w:pPr>
            <w:r w:rsidRPr="009F5261">
              <w:rPr>
                <w:rFonts w:ascii="Times New Roman" w:hAnsi="Times New Roman" w:cs="Times New Roman"/>
                <w:sz w:val="20"/>
                <w:szCs w:val="20"/>
              </w:rPr>
              <w:t>8776.09</w:t>
            </w:r>
          </w:p>
        </w:tc>
        <w:tc>
          <w:tcPr>
            <w:tcW w:w="1096" w:type="dxa"/>
            <w:vAlign w:val="bottom"/>
          </w:tcPr>
          <w:p w:rsidR="000732E8" w:rsidRPr="009F5261" w:rsidRDefault="00BA2E03"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311,12.</w:t>
            </w:r>
            <w:r w:rsidR="00805EF4" w:rsidRPr="009F5261">
              <w:rPr>
                <w:rFonts w:ascii="Times New Roman" w:eastAsia="Times New Roman" w:hAnsi="Times New Roman" w:cs="Times New Roman"/>
                <w:sz w:val="20"/>
                <w:szCs w:val="20"/>
              </w:rPr>
              <w:t>58</w:t>
            </w:r>
          </w:p>
        </w:tc>
        <w:tc>
          <w:tcPr>
            <w:tcW w:w="1094" w:type="dxa"/>
            <w:vAlign w:val="bottom"/>
          </w:tcPr>
          <w:p w:rsidR="000732E8" w:rsidRPr="009F5261" w:rsidRDefault="00BA2E03"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18,85.</w:t>
            </w:r>
            <w:r w:rsidR="00805EF4" w:rsidRPr="009F5261">
              <w:rPr>
                <w:rFonts w:ascii="Times New Roman" w:eastAsia="Times New Roman" w:hAnsi="Times New Roman" w:cs="Times New Roman"/>
                <w:sz w:val="20"/>
                <w:szCs w:val="20"/>
              </w:rPr>
              <w:t>53</w:t>
            </w:r>
          </w:p>
        </w:tc>
        <w:tc>
          <w:tcPr>
            <w:tcW w:w="1097" w:type="dxa"/>
            <w:vAlign w:val="bottom"/>
          </w:tcPr>
          <w:p w:rsidR="000732E8" w:rsidRPr="009F5261" w:rsidRDefault="00400DFE" w:rsidP="00400DFE">
            <w:pPr>
              <w:jc w:val="center"/>
              <w:rPr>
                <w:rFonts w:ascii="Times New Roman" w:hAnsi="Times New Roman" w:cs="Times New Roman"/>
                <w:sz w:val="20"/>
                <w:szCs w:val="20"/>
              </w:rPr>
            </w:pPr>
            <w:r w:rsidRPr="009F5261">
              <w:rPr>
                <w:rFonts w:ascii="Times New Roman" w:hAnsi="Times New Roman" w:cs="Times New Roman"/>
                <w:sz w:val="20"/>
                <w:szCs w:val="20"/>
              </w:rPr>
              <w:t>32998.11</w:t>
            </w:r>
          </w:p>
        </w:tc>
        <w:tc>
          <w:tcPr>
            <w:tcW w:w="1325" w:type="dxa"/>
            <w:vAlign w:val="bottom"/>
          </w:tcPr>
          <w:p w:rsidR="000732E8" w:rsidRPr="009F5261" w:rsidRDefault="007662E3" w:rsidP="00400DFE">
            <w:pPr>
              <w:jc w:val="center"/>
              <w:rPr>
                <w:rFonts w:ascii="Times New Roman" w:hAnsi="Times New Roman" w:cs="Times New Roman"/>
                <w:sz w:val="20"/>
                <w:szCs w:val="20"/>
              </w:rPr>
            </w:pPr>
            <w:r w:rsidRPr="009F5261">
              <w:rPr>
                <w:rFonts w:ascii="Times New Roman" w:hAnsi="Times New Roman" w:cs="Times New Roman"/>
                <w:sz w:val="20"/>
                <w:szCs w:val="20"/>
              </w:rPr>
              <w:t>41774.20</w:t>
            </w:r>
          </w:p>
        </w:tc>
      </w:tr>
      <w:tr w:rsidR="00B93571" w:rsidRPr="009F5261" w:rsidTr="006B08A2">
        <w:trPr>
          <w:jc w:val="center"/>
        </w:trPr>
        <w:tc>
          <w:tcPr>
            <w:tcW w:w="805" w:type="dxa"/>
            <w:vAlign w:val="bottom"/>
          </w:tcPr>
          <w:p w:rsidR="00B93571" w:rsidRPr="009F5261" w:rsidRDefault="00B93571" w:rsidP="00400DFE">
            <w:pPr>
              <w:jc w:val="center"/>
              <w:rPr>
                <w:rFonts w:ascii="Times New Roman" w:hAnsi="Times New Roman" w:cs="Times New Roman"/>
                <w:sz w:val="20"/>
                <w:szCs w:val="20"/>
              </w:rPr>
            </w:pPr>
            <w:r w:rsidRPr="009F5261">
              <w:rPr>
                <w:rFonts w:ascii="Times New Roman" w:hAnsi="Times New Roman" w:cs="Times New Roman"/>
                <w:sz w:val="20"/>
                <w:szCs w:val="20"/>
              </w:rPr>
              <w:t>2016</w:t>
            </w:r>
          </w:p>
        </w:tc>
        <w:tc>
          <w:tcPr>
            <w:tcW w:w="1095" w:type="dxa"/>
            <w:vAlign w:val="bottom"/>
          </w:tcPr>
          <w:p w:rsidR="00B93571" w:rsidRPr="009F5261" w:rsidRDefault="00B93571"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67,84</w:t>
            </w:r>
            <w:r w:rsidR="00BA2E03" w:rsidRPr="009F5261">
              <w:rPr>
                <w:rFonts w:ascii="Times New Roman" w:eastAsia="Times New Roman" w:hAnsi="Times New Roman" w:cs="Times New Roman"/>
                <w:sz w:val="20"/>
                <w:szCs w:val="20"/>
              </w:rPr>
              <w:t>.66</w:t>
            </w:r>
          </w:p>
        </w:tc>
        <w:tc>
          <w:tcPr>
            <w:tcW w:w="1217" w:type="dxa"/>
            <w:vAlign w:val="center"/>
          </w:tcPr>
          <w:p w:rsidR="00B93571" w:rsidRPr="009F5261" w:rsidRDefault="00B93571" w:rsidP="00400DFE">
            <w:pPr>
              <w:spacing w:after="0" w:line="240" w:lineRule="auto"/>
              <w:jc w:val="center"/>
              <w:rPr>
                <w:rFonts w:ascii="Times New Roman" w:eastAsia="Times New Roman" w:hAnsi="Times New Roman" w:cs="Times New Roman"/>
                <w:sz w:val="20"/>
                <w:szCs w:val="20"/>
              </w:rPr>
            </w:pPr>
            <w:r w:rsidRPr="009F5261">
              <w:rPr>
                <w:rFonts w:ascii="Times New Roman" w:eastAsia="Times New Roman" w:hAnsi="Times New Roman" w:cs="Times New Roman"/>
                <w:sz w:val="20"/>
                <w:szCs w:val="20"/>
              </w:rPr>
              <w:t>28,14</w:t>
            </w:r>
            <w:r w:rsidR="00BA2E03" w:rsidRPr="009F5261">
              <w:rPr>
                <w:rFonts w:ascii="Times New Roman" w:eastAsia="Times New Roman" w:hAnsi="Times New Roman" w:cs="Times New Roman"/>
                <w:sz w:val="20"/>
                <w:szCs w:val="20"/>
              </w:rPr>
              <w:t>.72</w:t>
            </w:r>
          </w:p>
        </w:tc>
        <w:tc>
          <w:tcPr>
            <w:tcW w:w="1041" w:type="dxa"/>
            <w:vAlign w:val="bottom"/>
          </w:tcPr>
          <w:p w:rsidR="00B93571" w:rsidRPr="009F5261" w:rsidRDefault="00805EF4" w:rsidP="00400DFE">
            <w:pPr>
              <w:jc w:val="center"/>
              <w:rPr>
                <w:rFonts w:ascii="Times New Roman" w:hAnsi="Times New Roman" w:cs="Times New Roman"/>
                <w:sz w:val="20"/>
                <w:szCs w:val="20"/>
              </w:rPr>
            </w:pPr>
            <w:r w:rsidRPr="009F5261">
              <w:rPr>
                <w:rFonts w:ascii="Times New Roman" w:hAnsi="Times New Roman" w:cs="Times New Roman"/>
                <w:sz w:val="20"/>
                <w:szCs w:val="20"/>
              </w:rPr>
              <w:t>9599.38</w:t>
            </w:r>
          </w:p>
        </w:tc>
        <w:tc>
          <w:tcPr>
            <w:tcW w:w="1096" w:type="dxa"/>
            <w:vAlign w:val="bottom"/>
          </w:tcPr>
          <w:p w:rsidR="00B93571" w:rsidRPr="009F5261" w:rsidRDefault="00BA2E03"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327,67.</w:t>
            </w:r>
            <w:r w:rsidR="00805EF4" w:rsidRPr="009F5261">
              <w:rPr>
                <w:rFonts w:ascii="Times New Roman" w:eastAsia="Times New Roman" w:hAnsi="Times New Roman" w:cs="Times New Roman"/>
                <w:sz w:val="20"/>
                <w:szCs w:val="20"/>
              </w:rPr>
              <w:t>57</w:t>
            </w:r>
          </w:p>
        </w:tc>
        <w:tc>
          <w:tcPr>
            <w:tcW w:w="1094" w:type="dxa"/>
            <w:vAlign w:val="bottom"/>
          </w:tcPr>
          <w:p w:rsidR="00B93571" w:rsidRPr="009F5261" w:rsidRDefault="00BA2E03"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19,61.</w:t>
            </w:r>
            <w:r w:rsidR="00805EF4" w:rsidRPr="009F5261">
              <w:rPr>
                <w:rFonts w:ascii="Times New Roman" w:eastAsia="Times New Roman" w:hAnsi="Times New Roman" w:cs="Times New Roman"/>
                <w:sz w:val="20"/>
                <w:szCs w:val="20"/>
              </w:rPr>
              <w:t>09</w:t>
            </w:r>
          </w:p>
        </w:tc>
        <w:tc>
          <w:tcPr>
            <w:tcW w:w="1097" w:type="dxa"/>
            <w:vAlign w:val="bottom"/>
          </w:tcPr>
          <w:p w:rsidR="00B93571" w:rsidRPr="009F5261" w:rsidRDefault="00400DFE" w:rsidP="00400DFE">
            <w:pPr>
              <w:jc w:val="center"/>
              <w:rPr>
                <w:rFonts w:ascii="Times New Roman" w:hAnsi="Times New Roman" w:cs="Times New Roman"/>
                <w:sz w:val="20"/>
                <w:szCs w:val="20"/>
              </w:rPr>
            </w:pPr>
            <w:r w:rsidRPr="009F5261">
              <w:rPr>
                <w:rFonts w:ascii="Times New Roman" w:hAnsi="Times New Roman" w:cs="Times New Roman"/>
                <w:sz w:val="20"/>
                <w:szCs w:val="20"/>
              </w:rPr>
              <w:t>34728.66</w:t>
            </w:r>
          </w:p>
        </w:tc>
        <w:tc>
          <w:tcPr>
            <w:tcW w:w="1325" w:type="dxa"/>
            <w:vAlign w:val="bottom"/>
          </w:tcPr>
          <w:p w:rsidR="00B93571" w:rsidRPr="009F5261" w:rsidRDefault="007662E3" w:rsidP="00400DFE">
            <w:pPr>
              <w:jc w:val="center"/>
              <w:rPr>
                <w:rFonts w:ascii="Times New Roman" w:hAnsi="Times New Roman" w:cs="Times New Roman"/>
                <w:sz w:val="20"/>
                <w:szCs w:val="20"/>
              </w:rPr>
            </w:pPr>
            <w:r w:rsidRPr="009F5261">
              <w:rPr>
                <w:rFonts w:ascii="Times New Roman" w:hAnsi="Times New Roman" w:cs="Times New Roman"/>
                <w:sz w:val="20"/>
                <w:szCs w:val="20"/>
              </w:rPr>
              <w:t>44328.04</w:t>
            </w:r>
          </w:p>
        </w:tc>
      </w:tr>
      <w:tr w:rsidR="00B93571" w:rsidRPr="009F5261" w:rsidTr="006B08A2">
        <w:trPr>
          <w:jc w:val="center"/>
        </w:trPr>
        <w:tc>
          <w:tcPr>
            <w:tcW w:w="805" w:type="dxa"/>
            <w:vAlign w:val="bottom"/>
          </w:tcPr>
          <w:p w:rsidR="00B93571" w:rsidRPr="009F5261" w:rsidRDefault="00B93571" w:rsidP="00400DFE">
            <w:pPr>
              <w:jc w:val="center"/>
              <w:rPr>
                <w:rFonts w:ascii="Times New Roman" w:hAnsi="Times New Roman" w:cs="Times New Roman"/>
                <w:sz w:val="20"/>
                <w:szCs w:val="20"/>
              </w:rPr>
            </w:pPr>
            <w:r w:rsidRPr="009F5261">
              <w:rPr>
                <w:rFonts w:ascii="Times New Roman" w:hAnsi="Times New Roman" w:cs="Times New Roman"/>
                <w:sz w:val="20"/>
                <w:szCs w:val="20"/>
              </w:rPr>
              <w:t>2017</w:t>
            </w:r>
          </w:p>
        </w:tc>
        <w:tc>
          <w:tcPr>
            <w:tcW w:w="1095" w:type="dxa"/>
            <w:vAlign w:val="bottom"/>
          </w:tcPr>
          <w:p w:rsidR="00B93571" w:rsidRPr="009F5261" w:rsidRDefault="00B93571"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75,30</w:t>
            </w:r>
            <w:r w:rsidR="00BA2E03" w:rsidRPr="009F5261">
              <w:rPr>
                <w:rFonts w:ascii="Times New Roman" w:eastAsia="Times New Roman" w:hAnsi="Times New Roman" w:cs="Times New Roman"/>
                <w:sz w:val="20"/>
                <w:szCs w:val="20"/>
              </w:rPr>
              <w:t>.75</w:t>
            </w:r>
          </w:p>
        </w:tc>
        <w:tc>
          <w:tcPr>
            <w:tcW w:w="1217" w:type="dxa"/>
            <w:vAlign w:val="bottom"/>
          </w:tcPr>
          <w:p w:rsidR="00B93571" w:rsidRPr="009F5261" w:rsidRDefault="00B93571"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33,98</w:t>
            </w:r>
            <w:r w:rsidR="00BA2E03" w:rsidRPr="009F5261">
              <w:rPr>
                <w:rFonts w:ascii="Times New Roman" w:eastAsia="Times New Roman" w:hAnsi="Times New Roman" w:cs="Times New Roman"/>
                <w:sz w:val="20"/>
                <w:szCs w:val="20"/>
              </w:rPr>
              <w:t>.44</w:t>
            </w:r>
          </w:p>
        </w:tc>
        <w:tc>
          <w:tcPr>
            <w:tcW w:w="1041" w:type="dxa"/>
            <w:vAlign w:val="bottom"/>
          </w:tcPr>
          <w:p w:rsidR="00B93571" w:rsidRPr="009F5261" w:rsidRDefault="00805EF4" w:rsidP="00400DFE">
            <w:pPr>
              <w:jc w:val="center"/>
              <w:rPr>
                <w:rFonts w:ascii="Times New Roman" w:hAnsi="Times New Roman" w:cs="Times New Roman"/>
                <w:sz w:val="20"/>
                <w:szCs w:val="20"/>
              </w:rPr>
            </w:pPr>
            <w:r w:rsidRPr="009F5261">
              <w:rPr>
                <w:rFonts w:ascii="Times New Roman" w:hAnsi="Times New Roman" w:cs="Times New Roman"/>
                <w:sz w:val="20"/>
                <w:szCs w:val="20"/>
              </w:rPr>
              <w:t>10929.19</w:t>
            </w:r>
          </w:p>
        </w:tc>
        <w:tc>
          <w:tcPr>
            <w:tcW w:w="1096" w:type="dxa"/>
            <w:vAlign w:val="bottom"/>
          </w:tcPr>
          <w:p w:rsidR="00B93571" w:rsidRPr="009F5261" w:rsidRDefault="00BA2E03"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346,52.</w:t>
            </w:r>
            <w:r w:rsidR="00805EF4" w:rsidRPr="009F5261">
              <w:rPr>
                <w:rFonts w:ascii="Times New Roman" w:eastAsia="Times New Roman" w:hAnsi="Times New Roman" w:cs="Times New Roman"/>
                <w:sz w:val="20"/>
                <w:szCs w:val="20"/>
              </w:rPr>
              <w:t>13</w:t>
            </w:r>
          </w:p>
        </w:tc>
        <w:tc>
          <w:tcPr>
            <w:tcW w:w="1094" w:type="dxa"/>
            <w:vAlign w:val="bottom"/>
          </w:tcPr>
          <w:p w:rsidR="00B93571" w:rsidRPr="009F5261" w:rsidRDefault="00BA2E03"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20,30.</w:t>
            </w:r>
            <w:r w:rsidR="00805EF4" w:rsidRPr="009F5261">
              <w:rPr>
                <w:rFonts w:ascii="Times New Roman" w:eastAsia="Times New Roman" w:hAnsi="Times New Roman" w:cs="Times New Roman"/>
                <w:sz w:val="20"/>
                <w:szCs w:val="20"/>
              </w:rPr>
              <w:t>68</w:t>
            </w:r>
          </w:p>
        </w:tc>
        <w:tc>
          <w:tcPr>
            <w:tcW w:w="1097" w:type="dxa"/>
            <w:vAlign w:val="bottom"/>
          </w:tcPr>
          <w:p w:rsidR="00B93571" w:rsidRPr="009F5261" w:rsidRDefault="00400DFE" w:rsidP="00400DFE">
            <w:pPr>
              <w:jc w:val="center"/>
              <w:rPr>
                <w:rFonts w:ascii="Times New Roman" w:hAnsi="Times New Roman" w:cs="Times New Roman"/>
                <w:sz w:val="20"/>
                <w:szCs w:val="20"/>
              </w:rPr>
            </w:pPr>
            <w:r w:rsidRPr="009F5261">
              <w:rPr>
                <w:rFonts w:ascii="Times New Roman" w:hAnsi="Times New Roman" w:cs="Times New Roman"/>
                <w:sz w:val="20"/>
                <w:szCs w:val="20"/>
              </w:rPr>
              <w:t>36682.81</w:t>
            </w:r>
          </w:p>
        </w:tc>
        <w:tc>
          <w:tcPr>
            <w:tcW w:w="1325" w:type="dxa"/>
            <w:vAlign w:val="bottom"/>
          </w:tcPr>
          <w:p w:rsidR="00B93571" w:rsidRPr="009F5261" w:rsidRDefault="007662E3" w:rsidP="00400DFE">
            <w:pPr>
              <w:jc w:val="center"/>
              <w:rPr>
                <w:rFonts w:ascii="Times New Roman" w:hAnsi="Times New Roman" w:cs="Times New Roman"/>
                <w:sz w:val="20"/>
                <w:szCs w:val="20"/>
              </w:rPr>
            </w:pPr>
            <w:r w:rsidRPr="009F5261">
              <w:rPr>
                <w:rFonts w:ascii="Times New Roman" w:hAnsi="Times New Roman" w:cs="Times New Roman"/>
                <w:sz w:val="20"/>
                <w:szCs w:val="20"/>
              </w:rPr>
              <w:t>47612.00</w:t>
            </w:r>
          </w:p>
        </w:tc>
      </w:tr>
      <w:tr w:rsidR="00B93571" w:rsidRPr="009F5261" w:rsidTr="006B08A2">
        <w:trPr>
          <w:jc w:val="center"/>
        </w:trPr>
        <w:tc>
          <w:tcPr>
            <w:tcW w:w="805" w:type="dxa"/>
            <w:vAlign w:val="bottom"/>
          </w:tcPr>
          <w:p w:rsidR="00B93571" w:rsidRPr="009F5261" w:rsidRDefault="00B93571" w:rsidP="00400DFE">
            <w:pPr>
              <w:jc w:val="center"/>
              <w:rPr>
                <w:rFonts w:ascii="Times New Roman" w:hAnsi="Times New Roman" w:cs="Times New Roman"/>
                <w:sz w:val="20"/>
                <w:szCs w:val="20"/>
              </w:rPr>
            </w:pPr>
            <w:r w:rsidRPr="009F5261">
              <w:rPr>
                <w:rFonts w:ascii="Times New Roman" w:hAnsi="Times New Roman" w:cs="Times New Roman"/>
                <w:sz w:val="20"/>
                <w:szCs w:val="20"/>
              </w:rPr>
              <w:t>2018</w:t>
            </w:r>
          </w:p>
        </w:tc>
        <w:tc>
          <w:tcPr>
            <w:tcW w:w="1095" w:type="dxa"/>
            <w:vAlign w:val="bottom"/>
          </w:tcPr>
          <w:p w:rsidR="00B93571" w:rsidRPr="009F5261" w:rsidRDefault="00B93571"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79,77</w:t>
            </w:r>
            <w:r w:rsidR="00BA2E03" w:rsidRPr="009F5261">
              <w:rPr>
                <w:rFonts w:ascii="Times New Roman" w:eastAsia="Times New Roman" w:hAnsi="Times New Roman" w:cs="Times New Roman"/>
                <w:sz w:val="20"/>
                <w:szCs w:val="20"/>
              </w:rPr>
              <w:t>.36</w:t>
            </w:r>
          </w:p>
        </w:tc>
        <w:tc>
          <w:tcPr>
            <w:tcW w:w="1217" w:type="dxa"/>
            <w:vAlign w:val="bottom"/>
          </w:tcPr>
          <w:p w:rsidR="00B93571" w:rsidRPr="009F5261" w:rsidRDefault="00B93571"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33,28</w:t>
            </w:r>
            <w:r w:rsidR="00BA2E03" w:rsidRPr="009F5261">
              <w:rPr>
                <w:rFonts w:ascii="Times New Roman" w:eastAsia="Times New Roman" w:hAnsi="Times New Roman" w:cs="Times New Roman"/>
                <w:sz w:val="20"/>
                <w:szCs w:val="20"/>
              </w:rPr>
              <w:t>..70</w:t>
            </w:r>
          </w:p>
        </w:tc>
        <w:tc>
          <w:tcPr>
            <w:tcW w:w="1041" w:type="dxa"/>
            <w:vAlign w:val="bottom"/>
          </w:tcPr>
          <w:p w:rsidR="00B93571" w:rsidRPr="009F5261" w:rsidRDefault="00805EF4" w:rsidP="00400DFE">
            <w:pPr>
              <w:jc w:val="center"/>
              <w:rPr>
                <w:rFonts w:ascii="Times New Roman" w:hAnsi="Times New Roman" w:cs="Times New Roman"/>
                <w:sz w:val="20"/>
                <w:szCs w:val="20"/>
              </w:rPr>
            </w:pPr>
            <w:r w:rsidRPr="009F5261">
              <w:rPr>
                <w:rFonts w:ascii="Times New Roman" w:hAnsi="Times New Roman" w:cs="Times New Roman"/>
                <w:sz w:val="20"/>
                <w:szCs w:val="20"/>
              </w:rPr>
              <w:t>11306.06</w:t>
            </w:r>
          </w:p>
        </w:tc>
        <w:tc>
          <w:tcPr>
            <w:tcW w:w="1096" w:type="dxa"/>
            <w:vAlign w:val="bottom"/>
          </w:tcPr>
          <w:p w:rsidR="00B93571" w:rsidRPr="009F5261" w:rsidRDefault="00BA2E03"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363,94.</w:t>
            </w:r>
            <w:r w:rsidR="00805EF4" w:rsidRPr="009F5261">
              <w:rPr>
                <w:rFonts w:ascii="Times New Roman" w:eastAsia="Times New Roman" w:hAnsi="Times New Roman" w:cs="Times New Roman"/>
                <w:sz w:val="20"/>
                <w:szCs w:val="20"/>
              </w:rPr>
              <w:t>22</w:t>
            </w:r>
          </w:p>
        </w:tc>
        <w:tc>
          <w:tcPr>
            <w:tcW w:w="1094" w:type="dxa"/>
            <w:vAlign w:val="bottom"/>
          </w:tcPr>
          <w:p w:rsidR="00B93571" w:rsidRPr="009F5261" w:rsidRDefault="00BA2E03" w:rsidP="00400DFE">
            <w:pPr>
              <w:jc w:val="center"/>
              <w:rPr>
                <w:rFonts w:ascii="Times New Roman" w:hAnsi="Times New Roman" w:cs="Times New Roman"/>
                <w:sz w:val="20"/>
                <w:szCs w:val="20"/>
              </w:rPr>
            </w:pPr>
            <w:r w:rsidRPr="009F5261">
              <w:rPr>
                <w:rFonts w:ascii="Times New Roman" w:eastAsia="Times New Roman" w:hAnsi="Times New Roman" w:cs="Times New Roman"/>
                <w:sz w:val="20"/>
                <w:szCs w:val="20"/>
              </w:rPr>
              <w:t>20,92.</w:t>
            </w:r>
            <w:r w:rsidR="00805EF4" w:rsidRPr="009F5261">
              <w:rPr>
                <w:rFonts w:ascii="Times New Roman" w:eastAsia="Times New Roman" w:hAnsi="Times New Roman" w:cs="Times New Roman"/>
                <w:sz w:val="20"/>
                <w:szCs w:val="20"/>
              </w:rPr>
              <w:t>81</w:t>
            </w:r>
          </w:p>
        </w:tc>
        <w:tc>
          <w:tcPr>
            <w:tcW w:w="1097" w:type="dxa"/>
            <w:vAlign w:val="bottom"/>
          </w:tcPr>
          <w:p w:rsidR="00B93571" w:rsidRPr="009F5261" w:rsidRDefault="00400DFE" w:rsidP="00400DFE">
            <w:pPr>
              <w:jc w:val="center"/>
              <w:rPr>
                <w:rFonts w:ascii="Times New Roman" w:hAnsi="Times New Roman" w:cs="Times New Roman"/>
                <w:sz w:val="20"/>
                <w:szCs w:val="20"/>
              </w:rPr>
            </w:pPr>
            <w:r w:rsidRPr="009F5261">
              <w:rPr>
                <w:rFonts w:ascii="Times New Roman" w:hAnsi="Times New Roman" w:cs="Times New Roman"/>
                <w:sz w:val="20"/>
                <w:szCs w:val="20"/>
              </w:rPr>
              <w:t>38487.03</w:t>
            </w:r>
          </w:p>
        </w:tc>
        <w:tc>
          <w:tcPr>
            <w:tcW w:w="1325" w:type="dxa"/>
            <w:vAlign w:val="bottom"/>
          </w:tcPr>
          <w:p w:rsidR="00B93571" w:rsidRPr="009F5261" w:rsidRDefault="00A57DD8" w:rsidP="00400DFE">
            <w:pPr>
              <w:jc w:val="center"/>
              <w:rPr>
                <w:rFonts w:ascii="Times New Roman" w:hAnsi="Times New Roman" w:cs="Times New Roman"/>
                <w:sz w:val="20"/>
                <w:szCs w:val="20"/>
              </w:rPr>
            </w:pPr>
            <w:r w:rsidRPr="009F5261">
              <w:rPr>
                <w:rFonts w:ascii="Times New Roman" w:hAnsi="Times New Roman" w:cs="Times New Roman"/>
                <w:sz w:val="20"/>
                <w:szCs w:val="20"/>
              </w:rPr>
              <w:t>49793.09</w:t>
            </w:r>
          </w:p>
        </w:tc>
      </w:tr>
      <w:tr w:rsidR="00B93571" w:rsidRPr="009F5261" w:rsidTr="006B08A2">
        <w:trPr>
          <w:jc w:val="center"/>
        </w:trPr>
        <w:tc>
          <w:tcPr>
            <w:tcW w:w="805" w:type="dxa"/>
            <w:vAlign w:val="bottom"/>
          </w:tcPr>
          <w:p w:rsidR="00B93571" w:rsidRPr="009F5261" w:rsidRDefault="00B93571" w:rsidP="00C5764A">
            <w:pPr>
              <w:rPr>
                <w:rFonts w:ascii="Times New Roman" w:hAnsi="Times New Roman" w:cs="Times New Roman"/>
                <w:b/>
                <w:sz w:val="20"/>
                <w:szCs w:val="20"/>
              </w:rPr>
            </w:pPr>
            <w:r w:rsidRPr="009F5261">
              <w:rPr>
                <w:rFonts w:ascii="Times New Roman" w:hAnsi="Times New Roman" w:cs="Times New Roman"/>
                <w:b/>
                <w:sz w:val="20"/>
                <w:szCs w:val="20"/>
              </w:rPr>
              <w:t>Mean</w:t>
            </w:r>
          </w:p>
        </w:tc>
        <w:tc>
          <w:tcPr>
            <w:tcW w:w="1095" w:type="dxa"/>
            <w:vAlign w:val="bottom"/>
          </w:tcPr>
          <w:p w:rsidR="00B93571" w:rsidRPr="009F5261" w:rsidRDefault="00B93571" w:rsidP="00C5764A">
            <w:pPr>
              <w:rPr>
                <w:rFonts w:ascii="Times New Roman" w:hAnsi="Times New Roman" w:cs="Times New Roman"/>
                <w:b/>
                <w:sz w:val="20"/>
                <w:szCs w:val="20"/>
              </w:rPr>
            </w:pPr>
          </w:p>
        </w:tc>
        <w:tc>
          <w:tcPr>
            <w:tcW w:w="1217" w:type="dxa"/>
            <w:vAlign w:val="bottom"/>
          </w:tcPr>
          <w:p w:rsidR="00B93571" w:rsidRPr="009F5261" w:rsidRDefault="00B93571" w:rsidP="00C5764A">
            <w:pPr>
              <w:rPr>
                <w:rFonts w:ascii="Times New Roman" w:hAnsi="Times New Roman" w:cs="Times New Roman"/>
                <w:b/>
                <w:sz w:val="20"/>
                <w:szCs w:val="20"/>
              </w:rPr>
            </w:pPr>
          </w:p>
        </w:tc>
        <w:tc>
          <w:tcPr>
            <w:tcW w:w="1041" w:type="dxa"/>
            <w:vAlign w:val="bottom"/>
          </w:tcPr>
          <w:p w:rsidR="00B93571" w:rsidRPr="009F5261" w:rsidRDefault="004C0D8D" w:rsidP="00C5764A">
            <w:pPr>
              <w:rPr>
                <w:rFonts w:ascii="Times New Roman" w:hAnsi="Times New Roman" w:cs="Times New Roman"/>
                <w:b/>
                <w:sz w:val="20"/>
                <w:szCs w:val="20"/>
              </w:rPr>
            </w:pPr>
            <w:r w:rsidRPr="009F5261">
              <w:rPr>
                <w:rFonts w:ascii="Times New Roman" w:hAnsi="Times New Roman" w:cs="Times New Roman"/>
                <w:b/>
                <w:sz w:val="20"/>
                <w:szCs w:val="20"/>
              </w:rPr>
              <w:t>7669.03</w:t>
            </w:r>
          </w:p>
        </w:tc>
        <w:tc>
          <w:tcPr>
            <w:tcW w:w="1096" w:type="dxa"/>
            <w:vAlign w:val="bottom"/>
          </w:tcPr>
          <w:p w:rsidR="00B93571" w:rsidRPr="009F5261" w:rsidRDefault="00B93571" w:rsidP="00C5764A">
            <w:pPr>
              <w:rPr>
                <w:rFonts w:ascii="Times New Roman" w:hAnsi="Times New Roman" w:cs="Times New Roman"/>
                <w:b/>
                <w:sz w:val="20"/>
                <w:szCs w:val="20"/>
              </w:rPr>
            </w:pPr>
          </w:p>
        </w:tc>
        <w:tc>
          <w:tcPr>
            <w:tcW w:w="1094" w:type="dxa"/>
            <w:vAlign w:val="bottom"/>
          </w:tcPr>
          <w:p w:rsidR="00B93571" w:rsidRPr="009F5261" w:rsidRDefault="00B93571" w:rsidP="00C5764A">
            <w:pPr>
              <w:rPr>
                <w:rFonts w:ascii="Times New Roman" w:hAnsi="Times New Roman" w:cs="Times New Roman"/>
                <w:b/>
                <w:sz w:val="20"/>
                <w:szCs w:val="20"/>
              </w:rPr>
            </w:pPr>
          </w:p>
        </w:tc>
        <w:tc>
          <w:tcPr>
            <w:tcW w:w="1097" w:type="dxa"/>
            <w:vAlign w:val="bottom"/>
          </w:tcPr>
          <w:p w:rsidR="00B93571" w:rsidRPr="009F5261" w:rsidRDefault="004C0D8D" w:rsidP="00C5764A">
            <w:pPr>
              <w:rPr>
                <w:rFonts w:ascii="Times New Roman" w:hAnsi="Times New Roman" w:cs="Times New Roman"/>
                <w:b/>
                <w:sz w:val="20"/>
                <w:szCs w:val="20"/>
              </w:rPr>
            </w:pPr>
            <w:r w:rsidRPr="009F5261">
              <w:rPr>
                <w:rFonts w:ascii="Times New Roman" w:hAnsi="Times New Roman" w:cs="Times New Roman"/>
                <w:b/>
                <w:sz w:val="20"/>
                <w:szCs w:val="20"/>
              </w:rPr>
              <w:t>27633.71</w:t>
            </w:r>
          </w:p>
        </w:tc>
        <w:tc>
          <w:tcPr>
            <w:tcW w:w="1325" w:type="dxa"/>
            <w:vAlign w:val="bottom"/>
          </w:tcPr>
          <w:p w:rsidR="00B93571" w:rsidRPr="009F5261" w:rsidRDefault="004C0D8D" w:rsidP="00C5764A">
            <w:pPr>
              <w:rPr>
                <w:rFonts w:ascii="Times New Roman" w:hAnsi="Times New Roman" w:cs="Times New Roman"/>
                <w:b/>
                <w:sz w:val="20"/>
                <w:szCs w:val="20"/>
              </w:rPr>
            </w:pPr>
            <w:r w:rsidRPr="009F5261">
              <w:rPr>
                <w:rFonts w:ascii="Times New Roman" w:hAnsi="Times New Roman" w:cs="Times New Roman"/>
                <w:b/>
                <w:sz w:val="20"/>
                <w:szCs w:val="20"/>
              </w:rPr>
              <w:t>35302.74</w:t>
            </w:r>
          </w:p>
        </w:tc>
      </w:tr>
      <w:tr w:rsidR="00FF40B7" w:rsidRPr="009F5261" w:rsidTr="006B08A2">
        <w:trPr>
          <w:jc w:val="center"/>
        </w:trPr>
        <w:tc>
          <w:tcPr>
            <w:tcW w:w="805" w:type="dxa"/>
            <w:vAlign w:val="bottom"/>
          </w:tcPr>
          <w:p w:rsidR="00FF40B7" w:rsidRPr="009F5261" w:rsidRDefault="00FF40B7" w:rsidP="00C5764A">
            <w:pPr>
              <w:rPr>
                <w:rFonts w:ascii="Times New Roman" w:hAnsi="Times New Roman" w:cs="Times New Roman"/>
                <w:b/>
                <w:sz w:val="20"/>
                <w:szCs w:val="20"/>
              </w:rPr>
            </w:pPr>
            <w:r w:rsidRPr="009F5261">
              <w:rPr>
                <w:rFonts w:ascii="Times New Roman" w:hAnsi="Times New Roman" w:cs="Times New Roman"/>
                <w:b/>
                <w:sz w:val="20"/>
                <w:szCs w:val="20"/>
              </w:rPr>
              <w:lastRenderedPageBreak/>
              <w:t>AAGR</w:t>
            </w:r>
          </w:p>
        </w:tc>
        <w:tc>
          <w:tcPr>
            <w:tcW w:w="1095" w:type="dxa"/>
            <w:vAlign w:val="bottom"/>
          </w:tcPr>
          <w:p w:rsidR="00FF40B7" w:rsidRPr="009F5261" w:rsidRDefault="00FF40B7" w:rsidP="00C5764A">
            <w:pPr>
              <w:rPr>
                <w:rFonts w:ascii="Times New Roman" w:hAnsi="Times New Roman" w:cs="Times New Roman"/>
                <w:b/>
                <w:sz w:val="20"/>
                <w:szCs w:val="20"/>
              </w:rPr>
            </w:pPr>
          </w:p>
        </w:tc>
        <w:tc>
          <w:tcPr>
            <w:tcW w:w="1217" w:type="dxa"/>
            <w:vAlign w:val="bottom"/>
          </w:tcPr>
          <w:p w:rsidR="00FF40B7" w:rsidRPr="009F5261" w:rsidRDefault="00FF40B7" w:rsidP="00C5764A">
            <w:pPr>
              <w:rPr>
                <w:rFonts w:ascii="Times New Roman" w:hAnsi="Times New Roman" w:cs="Times New Roman"/>
                <w:b/>
                <w:sz w:val="20"/>
                <w:szCs w:val="20"/>
              </w:rPr>
            </w:pPr>
          </w:p>
        </w:tc>
        <w:tc>
          <w:tcPr>
            <w:tcW w:w="1041" w:type="dxa"/>
            <w:vAlign w:val="bottom"/>
          </w:tcPr>
          <w:p w:rsidR="00FF40B7" w:rsidRPr="009F5261" w:rsidRDefault="009E5307" w:rsidP="00C5764A">
            <w:pPr>
              <w:rPr>
                <w:rFonts w:ascii="Times New Roman" w:hAnsi="Times New Roman" w:cs="Times New Roman"/>
                <w:b/>
                <w:sz w:val="20"/>
                <w:szCs w:val="20"/>
              </w:rPr>
            </w:pPr>
            <w:r w:rsidRPr="009F5261">
              <w:rPr>
                <w:rFonts w:ascii="Times New Roman" w:hAnsi="Times New Roman" w:cs="Times New Roman"/>
                <w:b/>
                <w:sz w:val="20"/>
                <w:szCs w:val="20"/>
              </w:rPr>
              <w:t>11.60%</w:t>
            </w:r>
          </w:p>
        </w:tc>
        <w:tc>
          <w:tcPr>
            <w:tcW w:w="1096" w:type="dxa"/>
            <w:vAlign w:val="bottom"/>
          </w:tcPr>
          <w:p w:rsidR="00FF40B7" w:rsidRPr="009F5261" w:rsidRDefault="00FF40B7" w:rsidP="00C5764A">
            <w:pPr>
              <w:rPr>
                <w:rFonts w:ascii="Times New Roman" w:hAnsi="Times New Roman" w:cs="Times New Roman"/>
                <w:b/>
                <w:sz w:val="20"/>
                <w:szCs w:val="20"/>
              </w:rPr>
            </w:pPr>
          </w:p>
        </w:tc>
        <w:tc>
          <w:tcPr>
            <w:tcW w:w="1094" w:type="dxa"/>
            <w:vAlign w:val="bottom"/>
          </w:tcPr>
          <w:p w:rsidR="00FF40B7" w:rsidRPr="009F5261" w:rsidRDefault="00FF40B7" w:rsidP="00C5764A">
            <w:pPr>
              <w:rPr>
                <w:rFonts w:ascii="Times New Roman" w:hAnsi="Times New Roman" w:cs="Times New Roman"/>
                <w:b/>
                <w:sz w:val="20"/>
                <w:szCs w:val="20"/>
              </w:rPr>
            </w:pPr>
          </w:p>
        </w:tc>
        <w:tc>
          <w:tcPr>
            <w:tcW w:w="1097" w:type="dxa"/>
            <w:vAlign w:val="bottom"/>
          </w:tcPr>
          <w:p w:rsidR="00FF40B7" w:rsidRPr="009F5261" w:rsidRDefault="009E5307" w:rsidP="00C5764A">
            <w:pPr>
              <w:rPr>
                <w:rFonts w:ascii="Times New Roman" w:hAnsi="Times New Roman" w:cs="Times New Roman"/>
                <w:b/>
                <w:sz w:val="20"/>
                <w:szCs w:val="20"/>
              </w:rPr>
            </w:pPr>
            <w:r w:rsidRPr="009F5261">
              <w:rPr>
                <w:rFonts w:ascii="Times New Roman" w:hAnsi="Times New Roman" w:cs="Times New Roman"/>
                <w:b/>
                <w:sz w:val="20"/>
                <w:szCs w:val="20"/>
              </w:rPr>
              <w:t>12.99%</w:t>
            </w:r>
          </w:p>
        </w:tc>
        <w:tc>
          <w:tcPr>
            <w:tcW w:w="1325" w:type="dxa"/>
            <w:vAlign w:val="bottom"/>
          </w:tcPr>
          <w:p w:rsidR="00FF40B7" w:rsidRPr="009F5261" w:rsidRDefault="009E5307" w:rsidP="00C5764A">
            <w:pPr>
              <w:rPr>
                <w:rFonts w:ascii="Times New Roman" w:hAnsi="Times New Roman" w:cs="Times New Roman"/>
                <w:b/>
                <w:sz w:val="20"/>
                <w:szCs w:val="20"/>
              </w:rPr>
            </w:pPr>
            <w:r w:rsidRPr="009F5261">
              <w:rPr>
                <w:rFonts w:ascii="Times New Roman" w:hAnsi="Times New Roman" w:cs="Times New Roman"/>
                <w:b/>
                <w:sz w:val="20"/>
                <w:szCs w:val="20"/>
                <w:lang w:bidi="bn-BD"/>
              </w:rPr>
              <w:t>12.68%</w:t>
            </w:r>
          </w:p>
        </w:tc>
      </w:tr>
    </w:tbl>
    <w:p w:rsidR="007F220F" w:rsidRPr="009F5261" w:rsidRDefault="007F220F" w:rsidP="007F220F">
      <w:pPr>
        <w:spacing w:after="120"/>
        <w:rPr>
          <w:rFonts w:ascii="Times New Roman" w:hAnsi="Times New Roman" w:cs="Times New Roman"/>
          <w:b/>
          <w:sz w:val="16"/>
          <w:szCs w:val="16"/>
        </w:rPr>
      </w:pPr>
      <w:r w:rsidRPr="009F5261">
        <w:rPr>
          <w:rFonts w:ascii="Times New Roman" w:hAnsi="Times New Roman" w:cs="Times New Roman"/>
          <w:b/>
          <w:sz w:val="16"/>
          <w:szCs w:val="16"/>
        </w:rPr>
        <w:t xml:space="preserve">      Source: Bangladesh Insurance Association (BIA)</w:t>
      </w:r>
    </w:p>
    <w:p w:rsidR="00363127" w:rsidRPr="004E6D65" w:rsidRDefault="00363127" w:rsidP="00363127">
      <w:pPr>
        <w:spacing w:line="240" w:lineRule="auto"/>
        <w:jc w:val="both"/>
        <w:rPr>
          <w:rFonts w:ascii="Times New Roman" w:hAnsi="Times New Roman" w:cs="Times New Roman"/>
          <w:w w:val="105"/>
          <w:sz w:val="16"/>
          <w:szCs w:val="16"/>
        </w:rPr>
      </w:pPr>
      <w:r>
        <w:rPr>
          <w:rFonts w:ascii="Times New Roman" w:hAnsi="Times New Roman" w:cs="Times New Roman"/>
          <w:sz w:val="20"/>
          <w:szCs w:val="20"/>
        </w:rPr>
        <w:t xml:space="preserve">           </w:t>
      </w:r>
      <w:r w:rsidRPr="004E6D65">
        <w:rPr>
          <w:rFonts w:ascii="Times New Roman" w:hAnsi="Times New Roman" w:cs="Times New Roman"/>
          <w:w w:val="105"/>
          <w:sz w:val="16"/>
          <w:szCs w:val="16"/>
        </w:rPr>
        <w:t>1. AAGR = Annual Average Growth Rate</w:t>
      </w:r>
    </w:p>
    <w:p w:rsidR="009F5261" w:rsidRDefault="00363127" w:rsidP="009F5261">
      <w:pPr>
        <w:spacing w:line="240" w:lineRule="auto"/>
        <w:jc w:val="both"/>
        <w:rPr>
          <w:rFonts w:ascii="Times New Roman" w:hAnsi="Times New Roman" w:cs="Times New Roman"/>
          <w:w w:val="105"/>
          <w:sz w:val="16"/>
          <w:szCs w:val="16"/>
        </w:rPr>
      </w:pPr>
      <w:r w:rsidRPr="004E6D65">
        <w:rPr>
          <w:rFonts w:ascii="Times New Roman" w:hAnsi="Times New Roman" w:cs="Times New Roman"/>
          <w:w w:val="105"/>
          <w:sz w:val="16"/>
          <w:szCs w:val="16"/>
        </w:rPr>
        <w:t xml:space="preserve">             2. AAGR= (Ending Value /Beginning Value – 1) +2</w:t>
      </w:r>
      <w:r w:rsidRPr="004E6D65">
        <w:rPr>
          <w:rFonts w:ascii="Times New Roman" w:hAnsi="Times New Roman" w:cs="Times New Roman"/>
          <w:w w:val="105"/>
          <w:sz w:val="16"/>
          <w:szCs w:val="16"/>
          <w:vertAlign w:val="superscript"/>
        </w:rPr>
        <w:t>nd</w:t>
      </w:r>
      <w:r w:rsidRPr="004E6D65">
        <w:rPr>
          <w:rFonts w:ascii="Times New Roman" w:hAnsi="Times New Roman" w:cs="Times New Roman"/>
          <w:w w:val="105"/>
          <w:sz w:val="16"/>
          <w:szCs w:val="16"/>
        </w:rPr>
        <w:t xml:space="preserve"> year+3</w:t>
      </w:r>
      <w:r w:rsidRPr="004E6D65">
        <w:rPr>
          <w:rFonts w:ascii="Times New Roman" w:hAnsi="Times New Roman" w:cs="Times New Roman"/>
          <w:w w:val="105"/>
          <w:sz w:val="16"/>
          <w:szCs w:val="16"/>
          <w:vertAlign w:val="superscript"/>
        </w:rPr>
        <w:t>rd</w:t>
      </w:r>
      <w:r w:rsidRPr="004E6D65">
        <w:rPr>
          <w:rFonts w:ascii="Times New Roman" w:hAnsi="Times New Roman" w:cs="Times New Roman"/>
          <w:w w:val="105"/>
          <w:sz w:val="16"/>
          <w:szCs w:val="16"/>
        </w:rPr>
        <w:t xml:space="preserve"> year+--Last year)/Total Number of Years</w:t>
      </w:r>
      <w:r w:rsidR="005B3008">
        <w:rPr>
          <w:rFonts w:ascii="Times New Roman" w:hAnsi="Times New Roman" w:cs="Times New Roman"/>
          <w:w w:val="105"/>
          <w:sz w:val="16"/>
          <w:szCs w:val="16"/>
        </w:rPr>
        <w:t>.</w:t>
      </w:r>
    </w:p>
    <w:p w:rsidR="000E519E" w:rsidRPr="009F5261" w:rsidRDefault="009F5261" w:rsidP="009F5261">
      <w:pPr>
        <w:spacing w:line="240" w:lineRule="auto"/>
        <w:jc w:val="both"/>
        <w:rPr>
          <w:rFonts w:ascii="Times New Roman" w:hAnsi="Times New Roman" w:cs="Times New Roman"/>
          <w:w w:val="105"/>
          <w:sz w:val="20"/>
          <w:szCs w:val="20"/>
        </w:rPr>
      </w:pPr>
      <w:r>
        <w:rPr>
          <w:rFonts w:ascii="Times New Roman" w:hAnsi="Times New Roman" w:cs="Times New Roman"/>
          <w:sz w:val="24"/>
          <w:szCs w:val="24"/>
        </w:rPr>
        <w:tab/>
      </w:r>
      <w:r w:rsidR="0094469E" w:rsidRPr="009F5261">
        <w:rPr>
          <w:rFonts w:ascii="Times New Roman" w:hAnsi="Times New Roman" w:cs="Times New Roman"/>
          <w:sz w:val="20"/>
          <w:szCs w:val="20"/>
        </w:rPr>
        <w:t>It is n</w:t>
      </w:r>
      <w:r w:rsidR="008A1B1F" w:rsidRPr="009F5261">
        <w:rPr>
          <w:rFonts w:ascii="Times New Roman" w:hAnsi="Times New Roman" w:cs="Times New Roman"/>
          <w:sz w:val="20"/>
          <w:szCs w:val="20"/>
        </w:rPr>
        <w:t>oticed from table 08</w:t>
      </w:r>
      <w:r w:rsidR="0094469E" w:rsidRPr="009F5261">
        <w:rPr>
          <w:rFonts w:ascii="Times New Roman" w:hAnsi="Times New Roman" w:cs="Times New Roman"/>
          <w:sz w:val="20"/>
          <w:szCs w:val="20"/>
        </w:rPr>
        <w:t xml:space="preserve">   that 46   nonlife  private insurance companies and one state owned corporation shown total assets  amounting to  Tk. 4262.28 crores in 2009, an increase of 3.45% from Tk. 10929.19 Crores  in 2017. The average assets value of nonlife   insurance   sector was Tk. 7669.03 and AAGR was 11.60%. </w:t>
      </w:r>
      <w:proofErr w:type="gramStart"/>
      <w:r w:rsidR="0094469E" w:rsidRPr="009F5261">
        <w:rPr>
          <w:rFonts w:ascii="Times New Roman" w:hAnsi="Times New Roman" w:cs="Times New Roman"/>
          <w:sz w:val="20"/>
          <w:szCs w:val="20"/>
        </w:rPr>
        <w:t>The 32 private life insurers and one state owned life corporation shown assets   value   amounting   to Tk. 13107.29 crores in 2009, an increase of 4.92% from Tk. 36682.81crores in 2017.</w:t>
      </w:r>
      <w:proofErr w:type="gramEnd"/>
      <w:r w:rsidR="0094469E" w:rsidRPr="009F5261">
        <w:rPr>
          <w:rFonts w:ascii="Times New Roman" w:hAnsi="Times New Roman" w:cs="Times New Roman"/>
          <w:sz w:val="20"/>
          <w:szCs w:val="20"/>
        </w:rPr>
        <w:t xml:space="preserve"> The average   assets   value   of life insurance sector   was Tk. 27633.71   and AAGR was 12.99% during the study period. Table 08 also shows that during the last decade the average total assets value   of Bangladesh insurance industry   was about Tk. 35302.74 and AAGR was   </w:t>
      </w:r>
      <w:r w:rsidR="0094469E" w:rsidRPr="009F5261">
        <w:rPr>
          <w:rFonts w:ascii="Times New Roman" w:hAnsi="Times New Roman" w:cs="Times New Roman"/>
          <w:sz w:val="20"/>
          <w:szCs w:val="20"/>
          <w:lang w:bidi="bn-BD"/>
        </w:rPr>
        <w:t>12.68%</w:t>
      </w:r>
      <w:r w:rsidR="0094469E" w:rsidRPr="009F5261">
        <w:rPr>
          <w:rFonts w:ascii="Times New Roman" w:hAnsi="Times New Roman" w:cs="Times New Roman"/>
          <w:sz w:val="20"/>
          <w:szCs w:val="20"/>
        </w:rPr>
        <w:t>.</w:t>
      </w:r>
      <w:r w:rsidR="00997508" w:rsidRPr="009F5261">
        <w:rPr>
          <w:rFonts w:ascii="Times New Roman" w:hAnsi="Times New Roman" w:cs="Times New Roman"/>
          <w:sz w:val="20"/>
          <w:szCs w:val="20"/>
        </w:rPr>
        <w:t xml:space="preserve"> A reflection of asset</w:t>
      </w:r>
      <w:r w:rsidR="005B3008" w:rsidRPr="009F5261">
        <w:rPr>
          <w:rFonts w:ascii="Times New Roman" w:hAnsi="Times New Roman" w:cs="Times New Roman"/>
          <w:sz w:val="20"/>
          <w:szCs w:val="20"/>
        </w:rPr>
        <w:t>’</w:t>
      </w:r>
      <w:r w:rsidR="00997508" w:rsidRPr="009F5261">
        <w:rPr>
          <w:rFonts w:ascii="Times New Roman" w:hAnsi="Times New Roman" w:cs="Times New Roman"/>
          <w:sz w:val="20"/>
          <w:szCs w:val="20"/>
        </w:rPr>
        <w:t xml:space="preserve">s scenario of life and non-life insurance sector in Bangladesh has been shown in chart </w:t>
      </w:r>
      <w:r w:rsidR="00D521E4" w:rsidRPr="009F5261">
        <w:rPr>
          <w:rFonts w:ascii="Times New Roman" w:hAnsi="Times New Roman" w:cs="Times New Roman"/>
          <w:sz w:val="20"/>
          <w:szCs w:val="20"/>
        </w:rPr>
        <w:t>07</w:t>
      </w:r>
      <w:r w:rsidR="00C81700" w:rsidRPr="009F5261">
        <w:rPr>
          <w:rFonts w:ascii="Times New Roman" w:hAnsi="Times New Roman" w:cs="Times New Roman"/>
          <w:sz w:val="20"/>
          <w:szCs w:val="20"/>
        </w:rPr>
        <w:t>.</w:t>
      </w:r>
    </w:p>
    <w:p w:rsidR="00BC215C" w:rsidRPr="009F5261" w:rsidRDefault="009F5261" w:rsidP="009F5261">
      <w:pPr>
        <w:spacing w:after="120" w:line="240" w:lineRule="auto"/>
        <w:ind w:left="446" w:firstLine="634"/>
        <w:jc w:val="center"/>
        <w:rPr>
          <w:rFonts w:ascii="Times New Roman" w:hAnsi="Times New Roman" w:cs="Times New Roman"/>
          <w:b/>
          <w:szCs w:val="28"/>
        </w:rPr>
      </w:pPr>
      <w:r w:rsidRPr="009F5261">
        <w:rPr>
          <w:rFonts w:ascii="Times New Roman" w:hAnsi="Times New Roman" w:cs="Times New Roman"/>
          <w:b/>
          <w:sz w:val="20"/>
          <w:szCs w:val="20"/>
        </w:rPr>
        <w:t xml:space="preserve">Chart </w:t>
      </w:r>
      <w:r w:rsidR="00BC215C" w:rsidRPr="009F5261">
        <w:rPr>
          <w:rFonts w:ascii="Times New Roman" w:hAnsi="Times New Roman" w:cs="Times New Roman"/>
          <w:b/>
          <w:sz w:val="20"/>
          <w:szCs w:val="20"/>
        </w:rPr>
        <w:t>7</w:t>
      </w:r>
      <w:r w:rsidRPr="009F5261">
        <w:rPr>
          <w:rFonts w:ascii="Times New Roman" w:hAnsi="Times New Roman" w:cs="Times New Roman"/>
          <w:b/>
          <w:sz w:val="20"/>
          <w:szCs w:val="20"/>
        </w:rPr>
        <w:t xml:space="preserve">: </w:t>
      </w:r>
      <w:r w:rsidR="008157CA" w:rsidRPr="009F5261">
        <w:rPr>
          <w:rFonts w:ascii="Times New Roman" w:hAnsi="Times New Roman" w:cs="Times New Roman"/>
          <w:b/>
          <w:sz w:val="20"/>
          <w:szCs w:val="20"/>
        </w:rPr>
        <w:t>Assets</w:t>
      </w:r>
      <w:r w:rsidR="00BC215C" w:rsidRPr="009F5261">
        <w:rPr>
          <w:rFonts w:ascii="Times New Roman" w:hAnsi="Times New Roman" w:cs="Times New Roman"/>
          <w:b/>
          <w:sz w:val="20"/>
          <w:szCs w:val="20"/>
        </w:rPr>
        <w:t xml:space="preserve"> scenario of Life and Nonlife insurance in Bangladesh</w:t>
      </w:r>
    </w:p>
    <w:p w:rsidR="009859B3" w:rsidRDefault="00BE3137" w:rsidP="009859B3">
      <w:pPr>
        <w:spacing w:after="120" w:line="480" w:lineRule="auto"/>
        <w:jc w:val="both"/>
        <w:rPr>
          <w:rFonts w:ascii="Times New Roman" w:hAnsi="Times New Roman" w:cs="Times New Roman"/>
        </w:rPr>
      </w:pPr>
      <w:r>
        <w:rPr>
          <w:noProof/>
        </w:rPr>
        <w:drawing>
          <wp:anchor distT="0" distB="0" distL="114300" distR="114300" simplePos="0" relativeHeight="251678208" behindDoc="0" locked="0" layoutInCell="1" allowOverlap="1" wp14:anchorId="1444D4E3" wp14:editId="2FA7D366">
            <wp:simplePos x="0" y="0"/>
            <wp:positionH relativeFrom="column">
              <wp:posOffset>885825</wp:posOffset>
            </wp:positionH>
            <wp:positionV relativeFrom="paragraph">
              <wp:posOffset>111760</wp:posOffset>
            </wp:positionV>
            <wp:extent cx="4076700" cy="2171700"/>
            <wp:effectExtent l="0" t="0" r="0" b="0"/>
            <wp:wrapSquare wrapText="bothSides"/>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93598E" w:rsidRDefault="0093598E" w:rsidP="0093598E">
      <w:pPr>
        <w:spacing w:after="120" w:line="480" w:lineRule="auto"/>
        <w:rPr>
          <w:rFonts w:ascii="Times New Roman" w:hAnsi="Times New Roman" w:cs="Times New Roman"/>
        </w:rPr>
      </w:pPr>
    </w:p>
    <w:p w:rsidR="00392765" w:rsidRDefault="0093598E" w:rsidP="0093598E">
      <w:pPr>
        <w:spacing w:after="120" w:line="480" w:lineRule="auto"/>
        <w:jc w:val="center"/>
        <w:rPr>
          <w:rFonts w:ascii="Times New Roman" w:hAnsi="Times New Roman" w:cs="Times New Roman"/>
        </w:rPr>
      </w:pPr>
      <w:r>
        <w:rPr>
          <w:rFonts w:ascii="Times New Roman" w:hAnsi="Times New Roman" w:cs="Times New Roman"/>
        </w:rPr>
        <w:br w:type="textWrapping" w:clear="all"/>
      </w:r>
    </w:p>
    <w:p w:rsidR="006B16AB" w:rsidRPr="009859B3" w:rsidRDefault="0093598E" w:rsidP="0093598E">
      <w:pPr>
        <w:spacing w:after="120" w:line="480" w:lineRule="auto"/>
        <w:jc w:val="center"/>
        <w:rPr>
          <w:rFonts w:ascii="Times New Roman" w:hAnsi="Times New Roman" w:cs="Times New Roman"/>
        </w:rPr>
      </w:pPr>
      <w:r>
        <w:rPr>
          <w:rFonts w:ascii="Times New Roman" w:hAnsi="Times New Roman" w:cs="Times New Roman"/>
        </w:rPr>
        <w:t xml:space="preserve">                                                        </w:t>
      </w:r>
    </w:p>
    <w:p w:rsidR="00165A89" w:rsidRPr="009F5261" w:rsidRDefault="009F5261" w:rsidP="00990DC4">
      <w:pPr>
        <w:spacing w:line="480" w:lineRule="auto"/>
        <w:jc w:val="both"/>
        <w:rPr>
          <w:rFonts w:ascii="Times New Roman" w:hAnsi="Times New Roman" w:cs="Times New Roman"/>
          <w:b/>
          <w:sz w:val="20"/>
          <w:szCs w:val="20"/>
        </w:rPr>
      </w:pPr>
      <w:r w:rsidRPr="009F5261">
        <w:rPr>
          <w:rFonts w:ascii="Times New Roman" w:hAnsi="Times New Roman" w:cs="Times New Roman"/>
          <w:b/>
          <w:sz w:val="20"/>
          <w:szCs w:val="20"/>
        </w:rPr>
        <w:t>E.</w:t>
      </w:r>
      <w:r w:rsidR="00BB22F1" w:rsidRPr="009F5261">
        <w:rPr>
          <w:rFonts w:ascii="Times New Roman" w:hAnsi="Times New Roman" w:cs="Times New Roman"/>
          <w:b/>
          <w:sz w:val="20"/>
          <w:szCs w:val="20"/>
        </w:rPr>
        <w:t xml:space="preserve">  S</w:t>
      </w:r>
      <w:r w:rsidR="005A1C59" w:rsidRPr="009F5261">
        <w:rPr>
          <w:rFonts w:ascii="Times New Roman" w:hAnsi="Times New Roman" w:cs="Times New Roman"/>
          <w:b/>
          <w:sz w:val="20"/>
          <w:szCs w:val="20"/>
        </w:rPr>
        <w:t>cenario of total Investment of Insurance industry in Bangladesh</w:t>
      </w:r>
    </w:p>
    <w:p w:rsidR="00153A91" w:rsidRPr="009F5261" w:rsidRDefault="009F5261" w:rsidP="009F5261">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4C3AB6" w:rsidRPr="009F5261">
        <w:rPr>
          <w:rFonts w:ascii="Times New Roman" w:hAnsi="Times New Roman" w:cs="Times New Roman"/>
          <w:sz w:val="20"/>
          <w:szCs w:val="20"/>
        </w:rPr>
        <w:t xml:space="preserve">Investment is </w:t>
      </w:r>
      <w:r w:rsidR="009859B3" w:rsidRPr="009F5261">
        <w:rPr>
          <w:rFonts w:ascii="Times New Roman" w:hAnsi="Times New Roman" w:cs="Times New Roman"/>
          <w:sz w:val="20"/>
          <w:szCs w:val="20"/>
        </w:rPr>
        <w:t xml:space="preserve">another pillar of all organization including insurance industry. A high profitability </w:t>
      </w:r>
      <w:r w:rsidR="004C3AB6" w:rsidRPr="009F5261">
        <w:rPr>
          <w:rFonts w:ascii="Times New Roman" w:hAnsi="Times New Roman" w:cs="Times New Roman"/>
          <w:sz w:val="20"/>
          <w:szCs w:val="20"/>
        </w:rPr>
        <w:t>of an organization depends on a high volume of proper investment.  Return on investment is an important factor, which influence on profitability. The investment scenario of insurance industry in Bangl</w:t>
      </w:r>
      <w:r w:rsidR="008A1B1F" w:rsidRPr="009F5261">
        <w:rPr>
          <w:rFonts w:ascii="Times New Roman" w:hAnsi="Times New Roman" w:cs="Times New Roman"/>
          <w:sz w:val="20"/>
          <w:szCs w:val="20"/>
        </w:rPr>
        <w:t>adesh has been given in Table 09</w:t>
      </w:r>
      <w:r w:rsidR="004C3AB6" w:rsidRPr="009F5261">
        <w:rPr>
          <w:rFonts w:ascii="Times New Roman" w:hAnsi="Times New Roman" w:cs="Times New Roman"/>
          <w:sz w:val="20"/>
          <w:szCs w:val="20"/>
        </w:rPr>
        <w:t>.</w:t>
      </w:r>
    </w:p>
    <w:p w:rsidR="00B13FB9" w:rsidRPr="009F5261" w:rsidRDefault="009F5261" w:rsidP="009F5261">
      <w:pPr>
        <w:spacing w:after="120"/>
        <w:jc w:val="center"/>
        <w:rPr>
          <w:rFonts w:ascii="Times New Roman" w:hAnsi="Times New Roman" w:cs="Times New Roman"/>
          <w:b/>
          <w:sz w:val="20"/>
          <w:szCs w:val="20"/>
        </w:rPr>
      </w:pPr>
      <w:r w:rsidRPr="009F5261">
        <w:rPr>
          <w:rFonts w:ascii="Times New Roman" w:hAnsi="Times New Roman" w:cs="Times New Roman"/>
          <w:b/>
          <w:sz w:val="20"/>
          <w:szCs w:val="20"/>
        </w:rPr>
        <w:t xml:space="preserve">Table </w:t>
      </w:r>
      <w:r w:rsidR="008A1B1F" w:rsidRPr="009F5261">
        <w:rPr>
          <w:rFonts w:ascii="Times New Roman" w:hAnsi="Times New Roman" w:cs="Times New Roman"/>
          <w:b/>
          <w:sz w:val="20"/>
          <w:szCs w:val="20"/>
        </w:rPr>
        <w:t>9</w:t>
      </w:r>
      <w:r w:rsidRPr="009F5261">
        <w:rPr>
          <w:rFonts w:ascii="Times New Roman" w:hAnsi="Times New Roman" w:cs="Times New Roman"/>
          <w:b/>
          <w:sz w:val="20"/>
          <w:szCs w:val="20"/>
        </w:rPr>
        <w:t>:</w:t>
      </w:r>
      <w:r w:rsidR="00B13FB9" w:rsidRPr="009F5261">
        <w:rPr>
          <w:rFonts w:ascii="Times New Roman" w:hAnsi="Times New Roman" w:cs="Times New Roman"/>
          <w:b/>
          <w:sz w:val="20"/>
          <w:szCs w:val="20"/>
        </w:rPr>
        <w:t xml:space="preserve"> </w:t>
      </w:r>
      <w:r w:rsidR="00065476" w:rsidRPr="009F5261">
        <w:rPr>
          <w:rFonts w:ascii="Times New Roman" w:hAnsi="Times New Roman" w:cs="Times New Roman"/>
          <w:b/>
          <w:sz w:val="20"/>
          <w:szCs w:val="20"/>
        </w:rPr>
        <w:t>Investment Scenario of Insurance Industry in Bangladesh (</w:t>
      </w:r>
      <w:r w:rsidR="00B13FB9" w:rsidRPr="009F5261">
        <w:rPr>
          <w:rFonts w:ascii="Times New Roman" w:hAnsi="Times New Roman" w:cs="Times New Roman"/>
          <w:b/>
          <w:sz w:val="20"/>
          <w:szCs w:val="20"/>
        </w:rPr>
        <w:t>TK.</w:t>
      </w:r>
      <w:r w:rsidR="00065476" w:rsidRPr="009F5261">
        <w:rPr>
          <w:rFonts w:ascii="Times New Roman" w:hAnsi="Times New Roman" w:cs="Times New Roman"/>
          <w:b/>
          <w:sz w:val="20"/>
          <w:szCs w:val="20"/>
        </w:rPr>
        <w:t xml:space="preserve"> in Crores</w:t>
      </w:r>
      <w:r w:rsidR="00B13FB9" w:rsidRPr="009F5261">
        <w:rPr>
          <w:rFonts w:ascii="Times New Roman" w:hAnsi="Times New Roman" w:cs="Times New Roman"/>
          <w:b/>
          <w:sz w:val="20"/>
          <w:szCs w:val="20"/>
        </w:rPr>
        <w:t>)</w:t>
      </w:r>
    </w:p>
    <w:tbl>
      <w:tblPr>
        <w:tblW w:w="7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57"/>
        <w:gridCol w:w="922"/>
        <w:gridCol w:w="934"/>
        <w:gridCol w:w="1016"/>
        <w:gridCol w:w="922"/>
        <w:gridCol w:w="966"/>
        <w:gridCol w:w="1071"/>
      </w:tblGrid>
      <w:tr w:rsidR="00582B14" w:rsidRPr="00E10B2A" w:rsidTr="00582B14">
        <w:trPr>
          <w:jc w:val="center"/>
        </w:trPr>
        <w:tc>
          <w:tcPr>
            <w:tcW w:w="805" w:type="dxa"/>
          </w:tcPr>
          <w:p w:rsidR="00582B14" w:rsidRPr="009F5261" w:rsidRDefault="00582B14" w:rsidP="00582B14">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Year</w:t>
            </w:r>
          </w:p>
        </w:tc>
        <w:tc>
          <w:tcPr>
            <w:tcW w:w="957" w:type="dxa"/>
            <w:vAlign w:val="bottom"/>
          </w:tcPr>
          <w:p w:rsidR="00582B14" w:rsidRPr="009F5261" w:rsidRDefault="00582B14" w:rsidP="00582B14">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Nonlife Private</w:t>
            </w:r>
          </w:p>
        </w:tc>
        <w:tc>
          <w:tcPr>
            <w:tcW w:w="922" w:type="dxa"/>
          </w:tcPr>
          <w:p w:rsidR="00582B14" w:rsidRPr="009F5261" w:rsidRDefault="00582B14" w:rsidP="00582B14">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Nonlife Public</w:t>
            </w:r>
          </w:p>
        </w:tc>
        <w:tc>
          <w:tcPr>
            <w:tcW w:w="934" w:type="dxa"/>
          </w:tcPr>
          <w:p w:rsidR="00582B14" w:rsidRPr="009F5261" w:rsidRDefault="00582B14" w:rsidP="00582B14">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Nonlife Total</w:t>
            </w:r>
          </w:p>
        </w:tc>
        <w:tc>
          <w:tcPr>
            <w:tcW w:w="1016" w:type="dxa"/>
            <w:vAlign w:val="bottom"/>
          </w:tcPr>
          <w:p w:rsidR="00582B14" w:rsidRPr="009F5261" w:rsidRDefault="00582B14" w:rsidP="00582B14">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Life Private</w:t>
            </w:r>
          </w:p>
        </w:tc>
        <w:tc>
          <w:tcPr>
            <w:tcW w:w="922" w:type="dxa"/>
            <w:vAlign w:val="bottom"/>
          </w:tcPr>
          <w:p w:rsidR="00582B14" w:rsidRPr="009F5261" w:rsidRDefault="00582B14" w:rsidP="00582B14">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Life Public</w:t>
            </w:r>
          </w:p>
        </w:tc>
        <w:tc>
          <w:tcPr>
            <w:tcW w:w="966" w:type="dxa"/>
          </w:tcPr>
          <w:p w:rsidR="00582B14" w:rsidRPr="009F5261" w:rsidRDefault="00582B14" w:rsidP="00582B14">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Life Total</w:t>
            </w:r>
          </w:p>
        </w:tc>
        <w:tc>
          <w:tcPr>
            <w:tcW w:w="1071" w:type="dxa"/>
          </w:tcPr>
          <w:p w:rsidR="00582B14" w:rsidRPr="009F5261" w:rsidRDefault="00582B14" w:rsidP="00582B14">
            <w:pPr>
              <w:spacing w:line="240" w:lineRule="auto"/>
              <w:jc w:val="center"/>
              <w:rPr>
                <w:rFonts w:ascii="Times New Roman" w:hAnsi="Times New Roman" w:cs="Times New Roman"/>
                <w:sz w:val="20"/>
                <w:szCs w:val="20"/>
              </w:rPr>
            </w:pPr>
            <w:r w:rsidRPr="009F5261">
              <w:rPr>
                <w:rFonts w:ascii="Times New Roman" w:hAnsi="Times New Roman" w:cs="Times New Roman"/>
                <w:sz w:val="20"/>
                <w:szCs w:val="20"/>
              </w:rPr>
              <w:t>Industry</w:t>
            </w:r>
          </w:p>
        </w:tc>
      </w:tr>
      <w:tr w:rsidR="00582B14" w:rsidRPr="00E10B2A" w:rsidTr="00582B14">
        <w:trPr>
          <w:jc w:val="center"/>
        </w:trPr>
        <w:tc>
          <w:tcPr>
            <w:tcW w:w="805" w:type="dxa"/>
            <w:vAlign w:val="bottom"/>
          </w:tcPr>
          <w:p w:rsidR="00582B14" w:rsidRPr="009F5261" w:rsidRDefault="00582B14" w:rsidP="00582B14">
            <w:pPr>
              <w:jc w:val="center"/>
              <w:rPr>
                <w:rFonts w:ascii="Times New Roman" w:hAnsi="Times New Roman" w:cs="Times New Roman"/>
                <w:sz w:val="20"/>
                <w:szCs w:val="20"/>
              </w:rPr>
            </w:pPr>
            <w:r w:rsidRPr="009F5261">
              <w:rPr>
                <w:rFonts w:ascii="Times New Roman" w:hAnsi="Times New Roman" w:cs="Times New Roman"/>
                <w:sz w:val="20"/>
                <w:szCs w:val="20"/>
              </w:rPr>
              <w:t>2009</w:t>
            </w:r>
          </w:p>
        </w:tc>
        <w:tc>
          <w:tcPr>
            <w:tcW w:w="957"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12,76.51</w:t>
            </w:r>
          </w:p>
        </w:tc>
        <w:tc>
          <w:tcPr>
            <w:tcW w:w="922"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5,03.47</w:t>
            </w:r>
          </w:p>
        </w:tc>
        <w:tc>
          <w:tcPr>
            <w:tcW w:w="934"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1779.98</w:t>
            </w:r>
          </w:p>
        </w:tc>
        <w:tc>
          <w:tcPr>
            <w:tcW w:w="1016"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87,05.35</w:t>
            </w:r>
          </w:p>
        </w:tc>
        <w:tc>
          <w:tcPr>
            <w:tcW w:w="922"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10,10.92</w:t>
            </w:r>
          </w:p>
        </w:tc>
        <w:tc>
          <w:tcPr>
            <w:tcW w:w="966"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9716.27</w:t>
            </w:r>
          </w:p>
        </w:tc>
        <w:tc>
          <w:tcPr>
            <w:tcW w:w="1071"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11496.25</w:t>
            </w:r>
          </w:p>
        </w:tc>
      </w:tr>
      <w:tr w:rsidR="00582B14" w:rsidRPr="00E10B2A" w:rsidTr="00582B14">
        <w:trPr>
          <w:jc w:val="center"/>
        </w:trPr>
        <w:tc>
          <w:tcPr>
            <w:tcW w:w="805" w:type="dxa"/>
            <w:vAlign w:val="bottom"/>
          </w:tcPr>
          <w:p w:rsidR="00582B14" w:rsidRPr="009F5261" w:rsidRDefault="00582B14" w:rsidP="00582B14">
            <w:pPr>
              <w:jc w:val="center"/>
              <w:rPr>
                <w:rFonts w:ascii="Times New Roman" w:hAnsi="Times New Roman" w:cs="Times New Roman"/>
                <w:sz w:val="20"/>
                <w:szCs w:val="20"/>
              </w:rPr>
            </w:pPr>
            <w:r w:rsidRPr="009F5261">
              <w:rPr>
                <w:rFonts w:ascii="Times New Roman" w:hAnsi="Times New Roman" w:cs="Times New Roman"/>
                <w:sz w:val="20"/>
                <w:szCs w:val="20"/>
              </w:rPr>
              <w:t>2010</w:t>
            </w:r>
          </w:p>
        </w:tc>
        <w:tc>
          <w:tcPr>
            <w:tcW w:w="957"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17,10.73</w:t>
            </w:r>
          </w:p>
        </w:tc>
        <w:tc>
          <w:tcPr>
            <w:tcW w:w="922"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5,81.92</w:t>
            </w:r>
          </w:p>
        </w:tc>
        <w:tc>
          <w:tcPr>
            <w:tcW w:w="934"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2292.65</w:t>
            </w:r>
          </w:p>
        </w:tc>
        <w:tc>
          <w:tcPr>
            <w:tcW w:w="1016"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113,14.05</w:t>
            </w:r>
          </w:p>
        </w:tc>
        <w:tc>
          <w:tcPr>
            <w:tcW w:w="922" w:type="dxa"/>
            <w:vAlign w:val="center"/>
          </w:tcPr>
          <w:p w:rsidR="00582B14" w:rsidRPr="009F5261" w:rsidRDefault="00582B14" w:rsidP="00582B14">
            <w:pPr>
              <w:spacing w:after="0" w:line="240" w:lineRule="auto"/>
              <w:rPr>
                <w:rFonts w:ascii="Times New Roman" w:eastAsia="Times New Roman" w:hAnsi="Times New Roman" w:cs="Times New Roman"/>
                <w:sz w:val="20"/>
                <w:szCs w:val="20"/>
              </w:rPr>
            </w:pPr>
            <w:r w:rsidRPr="009F5261">
              <w:rPr>
                <w:rFonts w:ascii="Times New Roman" w:eastAsia="Times New Roman" w:hAnsi="Times New Roman" w:cs="Times New Roman"/>
                <w:sz w:val="20"/>
                <w:szCs w:val="20"/>
              </w:rPr>
              <w:t xml:space="preserve">10,96.15 </w:t>
            </w:r>
          </w:p>
        </w:tc>
        <w:tc>
          <w:tcPr>
            <w:tcW w:w="966"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12410.20</w:t>
            </w:r>
          </w:p>
        </w:tc>
        <w:tc>
          <w:tcPr>
            <w:tcW w:w="1071"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14702.85</w:t>
            </w:r>
          </w:p>
        </w:tc>
      </w:tr>
      <w:tr w:rsidR="00582B14" w:rsidRPr="00E10B2A" w:rsidTr="00582B14">
        <w:trPr>
          <w:jc w:val="center"/>
        </w:trPr>
        <w:tc>
          <w:tcPr>
            <w:tcW w:w="805" w:type="dxa"/>
            <w:vAlign w:val="bottom"/>
          </w:tcPr>
          <w:p w:rsidR="00582B14" w:rsidRPr="009F5261" w:rsidRDefault="00582B14" w:rsidP="00582B14">
            <w:pPr>
              <w:jc w:val="center"/>
              <w:rPr>
                <w:rFonts w:ascii="Times New Roman" w:hAnsi="Times New Roman" w:cs="Times New Roman"/>
                <w:sz w:val="20"/>
                <w:szCs w:val="20"/>
              </w:rPr>
            </w:pPr>
            <w:r w:rsidRPr="009F5261">
              <w:rPr>
                <w:rFonts w:ascii="Times New Roman" w:hAnsi="Times New Roman" w:cs="Times New Roman"/>
                <w:sz w:val="20"/>
                <w:szCs w:val="20"/>
              </w:rPr>
              <w:t>2011</w:t>
            </w:r>
          </w:p>
        </w:tc>
        <w:tc>
          <w:tcPr>
            <w:tcW w:w="957"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21,96.04</w:t>
            </w:r>
          </w:p>
        </w:tc>
        <w:tc>
          <w:tcPr>
            <w:tcW w:w="922" w:type="dxa"/>
            <w:vAlign w:val="center"/>
          </w:tcPr>
          <w:p w:rsidR="00582B14" w:rsidRPr="009F5261" w:rsidRDefault="00582B14" w:rsidP="00582B14">
            <w:pPr>
              <w:spacing w:after="0" w:line="240" w:lineRule="auto"/>
              <w:rPr>
                <w:rFonts w:ascii="Times New Roman" w:eastAsia="Times New Roman" w:hAnsi="Times New Roman" w:cs="Times New Roman"/>
                <w:sz w:val="20"/>
                <w:szCs w:val="20"/>
              </w:rPr>
            </w:pPr>
            <w:r w:rsidRPr="009F5261">
              <w:rPr>
                <w:rFonts w:ascii="Times New Roman" w:eastAsia="Times New Roman" w:hAnsi="Times New Roman" w:cs="Times New Roman"/>
                <w:sz w:val="20"/>
                <w:szCs w:val="20"/>
              </w:rPr>
              <w:t xml:space="preserve">     6,40.07</w:t>
            </w:r>
          </w:p>
        </w:tc>
        <w:tc>
          <w:tcPr>
            <w:tcW w:w="934"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2836.11</w:t>
            </w:r>
          </w:p>
        </w:tc>
        <w:tc>
          <w:tcPr>
            <w:tcW w:w="1016"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142,17.30</w:t>
            </w:r>
          </w:p>
        </w:tc>
        <w:tc>
          <w:tcPr>
            <w:tcW w:w="922"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11,14.50</w:t>
            </w:r>
          </w:p>
        </w:tc>
        <w:tc>
          <w:tcPr>
            <w:tcW w:w="966"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15331.80</w:t>
            </w:r>
          </w:p>
        </w:tc>
        <w:tc>
          <w:tcPr>
            <w:tcW w:w="1071"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18167.91</w:t>
            </w:r>
          </w:p>
        </w:tc>
      </w:tr>
      <w:tr w:rsidR="00582B14" w:rsidRPr="00E10B2A" w:rsidTr="00582B14">
        <w:trPr>
          <w:jc w:val="center"/>
        </w:trPr>
        <w:tc>
          <w:tcPr>
            <w:tcW w:w="805" w:type="dxa"/>
            <w:vAlign w:val="bottom"/>
          </w:tcPr>
          <w:p w:rsidR="00582B14" w:rsidRPr="009F5261" w:rsidRDefault="00582B14" w:rsidP="00582B14">
            <w:pPr>
              <w:jc w:val="center"/>
              <w:rPr>
                <w:rFonts w:ascii="Times New Roman" w:hAnsi="Times New Roman" w:cs="Times New Roman"/>
                <w:sz w:val="20"/>
                <w:szCs w:val="20"/>
              </w:rPr>
            </w:pPr>
            <w:r w:rsidRPr="009F5261">
              <w:rPr>
                <w:rFonts w:ascii="Times New Roman" w:hAnsi="Times New Roman" w:cs="Times New Roman"/>
                <w:sz w:val="20"/>
                <w:szCs w:val="20"/>
              </w:rPr>
              <w:t>2012</w:t>
            </w:r>
          </w:p>
        </w:tc>
        <w:tc>
          <w:tcPr>
            <w:tcW w:w="957"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25,51.35</w:t>
            </w:r>
          </w:p>
        </w:tc>
        <w:tc>
          <w:tcPr>
            <w:tcW w:w="922"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7,34.79</w:t>
            </w:r>
          </w:p>
        </w:tc>
        <w:tc>
          <w:tcPr>
            <w:tcW w:w="934"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3286.14</w:t>
            </w:r>
          </w:p>
        </w:tc>
        <w:tc>
          <w:tcPr>
            <w:tcW w:w="1016"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171,85.91</w:t>
            </w:r>
          </w:p>
        </w:tc>
        <w:tc>
          <w:tcPr>
            <w:tcW w:w="922"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12,13.41</w:t>
            </w:r>
          </w:p>
        </w:tc>
        <w:tc>
          <w:tcPr>
            <w:tcW w:w="966"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18399.32</w:t>
            </w:r>
          </w:p>
        </w:tc>
        <w:tc>
          <w:tcPr>
            <w:tcW w:w="1071"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21685.46</w:t>
            </w:r>
          </w:p>
        </w:tc>
      </w:tr>
      <w:tr w:rsidR="00582B14" w:rsidRPr="00E10B2A" w:rsidTr="00582B14">
        <w:trPr>
          <w:jc w:val="center"/>
        </w:trPr>
        <w:tc>
          <w:tcPr>
            <w:tcW w:w="805" w:type="dxa"/>
            <w:vAlign w:val="bottom"/>
          </w:tcPr>
          <w:p w:rsidR="00582B14" w:rsidRPr="009F5261" w:rsidRDefault="00582B14" w:rsidP="00582B14">
            <w:pPr>
              <w:jc w:val="center"/>
              <w:rPr>
                <w:rFonts w:ascii="Times New Roman" w:hAnsi="Times New Roman" w:cs="Times New Roman"/>
                <w:sz w:val="20"/>
                <w:szCs w:val="20"/>
              </w:rPr>
            </w:pPr>
            <w:r w:rsidRPr="009F5261">
              <w:rPr>
                <w:rFonts w:ascii="Times New Roman" w:hAnsi="Times New Roman" w:cs="Times New Roman"/>
                <w:sz w:val="20"/>
                <w:szCs w:val="20"/>
              </w:rPr>
              <w:lastRenderedPageBreak/>
              <w:t>2013</w:t>
            </w:r>
          </w:p>
        </w:tc>
        <w:tc>
          <w:tcPr>
            <w:tcW w:w="957"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29,11.92</w:t>
            </w:r>
          </w:p>
        </w:tc>
        <w:tc>
          <w:tcPr>
            <w:tcW w:w="922"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2,93.85</w:t>
            </w:r>
          </w:p>
        </w:tc>
        <w:tc>
          <w:tcPr>
            <w:tcW w:w="934"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3205.77</w:t>
            </w:r>
          </w:p>
        </w:tc>
        <w:tc>
          <w:tcPr>
            <w:tcW w:w="1016"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193,52.30</w:t>
            </w:r>
          </w:p>
        </w:tc>
        <w:tc>
          <w:tcPr>
            <w:tcW w:w="922"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11,28.38</w:t>
            </w:r>
          </w:p>
        </w:tc>
        <w:tc>
          <w:tcPr>
            <w:tcW w:w="966"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20480.68</w:t>
            </w:r>
          </w:p>
        </w:tc>
        <w:tc>
          <w:tcPr>
            <w:tcW w:w="1071"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23686.45</w:t>
            </w:r>
          </w:p>
        </w:tc>
      </w:tr>
      <w:tr w:rsidR="00582B14" w:rsidRPr="00E10B2A" w:rsidTr="00582B14">
        <w:trPr>
          <w:jc w:val="center"/>
        </w:trPr>
        <w:tc>
          <w:tcPr>
            <w:tcW w:w="805" w:type="dxa"/>
            <w:vAlign w:val="bottom"/>
          </w:tcPr>
          <w:p w:rsidR="00582B14" w:rsidRPr="009F5261" w:rsidRDefault="00582B14" w:rsidP="00582B14">
            <w:pPr>
              <w:jc w:val="center"/>
              <w:rPr>
                <w:rFonts w:ascii="Times New Roman" w:hAnsi="Times New Roman" w:cs="Times New Roman"/>
                <w:sz w:val="20"/>
                <w:szCs w:val="20"/>
              </w:rPr>
            </w:pPr>
            <w:r w:rsidRPr="009F5261">
              <w:rPr>
                <w:rFonts w:ascii="Times New Roman" w:hAnsi="Times New Roman" w:cs="Times New Roman"/>
                <w:sz w:val="20"/>
                <w:szCs w:val="20"/>
              </w:rPr>
              <w:t>2014</w:t>
            </w:r>
          </w:p>
        </w:tc>
        <w:tc>
          <w:tcPr>
            <w:tcW w:w="957"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30,00.97</w:t>
            </w:r>
          </w:p>
        </w:tc>
        <w:tc>
          <w:tcPr>
            <w:tcW w:w="922"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3,98.14</w:t>
            </w:r>
          </w:p>
        </w:tc>
        <w:tc>
          <w:tcPr>
            <w:tcW w:w="934"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3399.11</w:t>
            </w:r>
          </w:p>
        </w:tc>
        <w:tc>
          <w:tcPr>
            <w:tcW w:w="1016"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221,06.06</w:t>
            </w:r>
          </w:p>
        </w:tc>
        <w:tc>
          <w:tcPr>
            <w:tcW w:w="922"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11,98.26</w:t>
            </w:r>
          </w:p>
        </w:tc>
        <w:tc>
          <w:tcPr>
            <w:tcW w:w="966"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23304.32</w:t>
            </w:r>
          </w:p>
        </w:tc>
        <w:tc>
          <w:tcPr>
            <w:tcW w:w="1071"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26703.43</w:t>
            </w:r>
          </w:p>
        </w:tc>
      </w:tr>
      <w:tr w:rsidR="00582B14" w:rsidRPr="00E10B2A" w:rsidTr="00582B14">
        <w:trPr>
          <w:jc w:val="center"/>
        </w:trPr>
        <w:tc>
          <w:tcPr>
            <w:tcW w:w="805" w:type="dxa"/>
            <w:vAlign w:val="bottom"/>
          </w:tcPr>
          <w:p w:rsidR="00582B14" w:rsidRPr="009F5261" w:rsidRDefault="00582B14" w:rsidP="00582B14">
            <w:pPr>
              <w:jc w:val="center"/>
              <w:rPr>
                <w:rFonts w:ascii="Times New Roman" w:hAnsi="Times New Roman" w:cs="Times New Roman"/>
                <w:sz w:val="20"/>
                <w:szCs w:val="20"/>
              </w:rPr>
            </w:pPr>
            <w:r w:rsidRPr="009F5261">
              <w:rPr>
                <w:rFonts w:ascii="Times New Roman" w:hAnsi="Times New Roman" w:cs="Times New Roman"/>
                <w:sz w:val="20"/>
                <w:szCs w:val="20"/>
              </w:rPr>
              <w:t>2015</w:t>
            </w:r>
          </w:p>
        </w:tc>
        <w:tc>
          <w:tcPr>
            <w:tcW w:w="957"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32,16.41</w:t>
            </w:r>
          </w:p>
        </w:tc>
        <w:tc>
          <w:tcPr>
            <w:tcW w:w="922"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3,61.20</w:t>
            </w:r>
          </w:p>
        </w:tc>
        <w:tc>
          <w:tcPr>
            <w:tcW w:w="934"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3577.61</w:t>
            </w:r>
          </w:p>
        </w:tc>
        <w:tc>
          <w:tcPr>
            <w:tcW w:w="1016"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233,81.67</w:t>
            </w:r>
          </w:p>
        </w:tc>
        <w:tc>
          <w:tcPr>
            <w:tcW w:w="922"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15,15.09</w:t>
            </w:r>
          </w:p>
        </w:tc>
        <w:tc>
          <w:tcPr>
            <w:tcW w:w="966"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24896.76</w:t>
            </w:r>
          </w:p>
        </w:tc>
        <w:tc>
          <w:tcPr>
            <w:tcW w:w="1071"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28474.37</w:t>
            </w:r>
          </w:p>
        </w:tc>
      </w:tr>
      <w:tr w:rsidR="00582B14" w:rsidRPr="00E10B2A" w:rsidTr="00582B14">
        <w:trPr>
          <w:jc w:val="center"/>
        </w:trPr>
        <w:tc>
          <w:tcPr>
            <w:tcW w:w="805" w:type="dxa"/>
            <w:vAlign w:val="bottom"/>
          </w:tcPr>
          <w:p w:rsidR="00582B14" w:rsidRPr="009F5261" w:rsidRDefault="00582B14" w:rsidP="00582B14">
            <w:pPr>
              <w:jc w:val="center"/>
              <w:rPr>
                <w:rFonts w:ascii="Times New Roman" w:hAnsi="Times New Roman" w:cs="Times New Roman"/>
                <w:sz w:val="20"/>
                <w:szCs w:val="20"/>
              </w:rPr>
            </w:pPr>
            <w:r w:rsidRPr="009F5261">
              <w:rPr>
                <w:rFonts w:ascii="Times New Roman" w:hAnsi="Times New Roman" w:cs="Times New Roman"/>
                <w:sz w:val="20"/>
                <w:szCs w:val="20"/>
              </w:rPr>
              <w:t>2016</w:t>
            </w:r>
          </w:p>
        </w:tc>
        <w:tc>
          <w:tcPr>
            <w:tcW w:w="957"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34,01.68</w:t>
            </w:r>
          </w:p>
        </w:tc>
        <w:tc>
          <w:tcPr>
            <w:tcW w:w="922"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3,88.12</w:t>
            </w:r>
          </w:p>
        </w:tc>
        <w:tc>
          <w:tcPr>
            <w:tcW w:w="934"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3789.80</w:t>
            </w:r>
          </w:p>
        </w:tc>
        <w:tc>
          <w:tcPr>
            <w:tcW w:w="1016"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240,31.06</w:t>
            </w:r>
          </w:p>
        </w:tc>
        <w:tc>
          <w:tcPr>
            <w:tcW w:w="922"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7,54.98</w:t>
            </w:r>
          </w:p>
        </w:tc>
        <w:tc>
          <w:tcPr>
            <w:tcW w:w="966"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24786.04</w:t>
            </w:r>
          </w:p>
        </w:tc>
        <w:tc>
          <w:tcPr>
            <w:tcW w:w="1071"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28575.84</w:t>
            </w:r>
          </w:p>
        </w:tc>
      </w:tr>
      <w:tr w:rsidR="00582B14" w:rsidRPr="00E10B2A" w:rsidTr="00582B14">
        <w:trPr>
          <w:jc w:val="center"/>
        </w:trPr>
        <w:tc>
          <w:tcPr>
            <w:tcW w:w="805" w:type="dxa"/>
            <w:vAlign w:val="bottom"/>
          </w:tcPr>
          <w:p w:rsidR="00582B14" w:rsidRPr="009F5261" w:rsidRDefault="00582B14" w:rsidP="00582B14">
            <w:pPr>
              <w:jc w:val="center"/>
              <w:rPr>
                <w:rFonts w:ascii="Times New Roman" w:hAnsi="Times New Roman" w:cs="Times New Roman"/>
                <w:sz w:val="20"/>
                <w:szCs w:val="20"/>
              </w:rPr>
            </w:pPr>
            <w:r w:rsidRPr="009F5261">
              <w:rPr>
                <w:rFonts w:ascii="Times New Roman" w:hAnsi="Times New Roman" w:cs="Times New Roman"/>
                <w:sz w:val="20"/>
                <w:szCs w:val="20"/>
              </w:rPr>
              <w:t>2017</w:t>
            </w:r>
          </w:p>
        </w:tc>
        <w:tc>
          <w:tcPr>
            <w:tcW w:w="957"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38,55.00</w:t>
            </w:r>
          </w:p>
        </w:tc>
        <w:tc>
          <w:tcPr>
            <w:tcW w:w="922"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13,96.71</w:t>
            </w:r>
          </w:p>
        </w:tc>
        <w:tc>
          <w:tcPr>
            <w:tcW w:w="934"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5251.71</w:t>
            </w:r>
          </w:p>
        </w:tc>
        <w:tc>
          <w:tcPr>
            <w:tcW w:w="1016"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256,44.52</w:t>
            </w:r>
          </w:p>
        </w:tc>
        <w:tc>
          <w:tcPr>
            <w:tcW w:w="922"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13,76.55</w:t>
            </w:r>
          </w:p>
        </w:tc>
        <w:tc>
          <w:tcPr>
            <w:tcW w:w="966"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27021.07</w:t>
            </w:r>
          </w:p>
        </w:tc>
        <w:tc>
          <w:tcPr>
            <w:tcW w:w="1071"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32272.78</w:t>
            </w:r>
          </w:p>
        </w:tc>
      </w:tr>
      <w:tr w:rsidR="00582B14" w:rsidRPr="00E10B2A" w:rsidTr="00582B14">
        <w:trPr>
          <w:jc w:val="center"/>
        </w:trPr>
        <w:tc>
          <w:tcPr>
            <w:tcW w:w="805" w:type="dxa"/>
            <w:vAlign w:val="bottom"/>
          </w:tcPr>
          <w:p w:rsidR="00582B14" w:rsidRPr="009F5261" w:rsidRDefault="00582B14" w:rsidP="00582B14">
            <w:pPr>
              <w:jc w:val="center"/>
              <w:rPr>
                <w:rFonts w:ascii="Times New Roman" w:hAnsi="Times New Roman" w:cs="Times New Roman"/>
                <w:sz w:val="20"/>
                <w:szCs w:val="20"/>
              </w:rPr>
            </w:pPr>
            <w:r w:rsidRPr="009F5261">
              <w:rPr>
                <w:rFonts w:ascii="Times New Roman" w:hAnsi="Times New Roman" w:cs="Times New Roman"/>
                <w:sz w:val="20"/>
                <w:szCs w:val="20"/>
              </w:rPr>
              <w:t>2018</w:t>
            </w:r>
          </w:p>
        </w:tc>
        <w:tc>
          <w:tcPr>
            <w:tcW w:w="957"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38,03.62</w:t>
            </w:r>
          </w:p>
        </w:tc>
        <w:tc>
          <w:tcPr>
            <w:tcW w:w="922"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14,73.61</w:t>
            </w:r>
          </w:p>
        </w:tc>
        <w:tc>
          <w:tcPr>
            <w:tcW w:w="934"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5277.23</w:t>
            </w:r>
          </w:p>
        </w:tc>
        <w:tc>
          <w:tcPr>
            <w:tcW w:w="1016"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259,84.68</w:t>
            </w:r>
          </w:p>
        </w:tc>
        <w:tc>
          <w:tcPr>
            <w:tcW w:w="922" w:type="dxa"/>
            <w:vAlign w:val="bottom"/>
          </w:tcPr>
          <w:p w:rsidR="00582B14" w:rsidRPr="009F5261" w:rsidRDefault="00582B14" w:rsidP="00582B14">
            <w:pPr>
              <w:rPr>
                <w:rFonts w:ascii="Times New Roman" w:hAnsi="Times New Roman" w:cs="Times New Roman"/>
                <w:sz w:val="20"/>
                <w:szCs w:val="20"/>
              </w:rPr>
            </w:pPr>
            <w:r w:rsidRPr="009F5261">
              <w:rPr>
                <w:rFonts w:ascii="Times New Roman" w:eastAsia="Times New Roman" w:hAnsi="Times New Roman" w:cs="Times New Roman"/>
                <w:sz w:val="20"/>
                <w:szCs w:val="20"/>
              </w:rPr>
              <w:t>14,13.88</w:t>
            </w:r>
          </w:p>
        </w:tc>
        <w:tc>
          <w:tcPr>
            <w:tcW w:w="966"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27398.56</w:t>
            </w:r>
          </w:p>
        </w:tc>
        <w:tc>
          <w:tcPr>
            <w:tcW w:w="1071" w:type="dxa"/>
            <w:vAlign w:val="bottom"/>
          </w:tcPr>
          <w:p w:rsidR="00582B14" w:rsidRPr="009F5261" w:rsidRDefault="00582B14" w:rsidP="00582B14">
            <w:pPr>
              <w:rPr>
                <w:rFonts w:ascii="Times New Roman" w:hAnsi="Times New Roman" w:cs="Times New Roman"/>
                <w:sz w:val="20"/>
                <w:szCs w:val="20"/>
              </w:rPr>
            </w:pPr>
            <w:r w:rsidRPr="009F5261">
              <w:rPr>
                <w:rFonts w:ascii="Times New Roman" w:hAnsi="Times New Roman" w:cs="Times New Roman"/>
                <w:sz w:val="20"/>
                <w:szCs w:val="20"/>
              </w:rPr>
              <w:t>32675.79</w:t>
            </w:r>
          </w:p>
        </w:tc>
      </w:tr>
      <w:tr w:rsidR="00582B14" w:rsidRPr="00E10B2A" w:rsidTr="00582B14">
        <w:trPr>
          <w:jc w:val="center"/>
        </w:trPr>
        <w:tc>
          <w:tcPr>
            <w:tcW w:w="805" w:type="dxa"/>
            <w:vAlign w:val="bottom"/>
          </w:tcPr>
          <w:p w:rsidR="00582B14" w:rsidRPr="009F5261" w:rsidRDefault="00582B14" w:rsidP="00582B14">
            <w:pPr>
              <w:rPr>
                <w:rFonts w:ascii="Times New Roman" w:hAnsi="Times New Roman" w:cs="Times New Roman"/>
                <w:b/>
                <w:sz w:val="20"/>
                <w:szCs w:val="20"/>
              </w:rPr>
            </w:pPr>
            <w:r w:rsidRPr="009F5261">
              <w:rPr>
                <w:rFonts w:ascii="Times New Roman" w:hAnsi="Times New Roman" w:cs="Times New Roman"/>
                <w:b/>
                <w:sz w:val="20"/>
                <w:szCs w:val="20"/>
              </w:rPr>
              <w:t>Mean</w:t>
            </w:r>
          </w:p>
        </w:tc>
        <w:tc>
          <w:tcPr>
            <w:tcW w:w="957" w:type="dxa"/>
            <w:vAlign w:val="bottom"/>
          </w:tcPr>
          <w:p w:rsidR="00582B14" w:rsidRPr="009F5261" w:rsidRDefault="00582B14" w:rsidP="00582B14">
            <w:pPr>
              <w:rPr>
                <w:rFonts w:ascii="Times New Roman" w:hAnsi="Times New Roman" w:cs="Times New Roman"/>
                <w:b/>
                <w:sz w:val="20"/>
                <w:szCs w:val="20"/>
              </w:rPr>
            </w:pPr>
          </w:p>
        </w:tc>
        <w:tc>
          <w:tcPr>
            <w:tcW w:w="922" w:type="dxa"/>
            <w:vAlign w:val="bottom"/>
          </w:tcPr>
          <w:p w:rsidR="00582B14" w:rsidRPr="009F5261" w:rsidRDefault="00582B14" w:rsidP="00582B14">
            <w:pPr>
              <w:rPr>
                <w:rFonts w:ascii="Times New Roman" w:hAnsi="Times New Roman" w:cs="Times New Roman"/>
                <w:b/>
                <w:sz w:val="20"/>
                <w:szCs w:val="20"/>
              </w:rPr>
            </w:pPr>
          </w:p>
        </w:tc>
        <w:tc>
          <w:tcPr>
            <w:tcW w:w="934" w:type="dxa"/>
            <w:vAlign w:val="bottom"/>
          </w:tcPr>
          <w:p w:rsidR="00582B14" w:rsidRPr="009F5261" w:rsidRDefault="00582B14" w:rsidP="00582B14">
            <w:pPr>
              <w:rPr>
                <w:rFonts w:ascii="Times New Roman" w:hAnsi="Times New Roman" w:cs="Times New Roman"/>
                <w:b/>
                <w:sz w:val="20"/>
                <w:szCs w:val="20"/>
              </w:rPr>
            </w:pPr>
            <w:r w:rsidRPr="009F5261">
              <w:rPr>
                <w:rFonts w:ascii="Times New Roman" w:hAnsi="Times New Roman" w:cs="Times New Roman"/>
                <w:b/>
                <w:sz w:val="20"/>
                <w:szCs w:val="20"/>
              </w:rPr>
              <w:t>3469.61</w:t>
            </w:r>
          </w:p>
        </w:tc>
        <w:tc>
          <w:tcPr>
            <w:tcW w:w="1016" w:type="dxa"/>
            <w:vAlign w:val="bottom"/>
          </w:tcPr>
          <w:p w:rsidR="00582B14" w:rsidRPr="009F5261" w:rsidRDefault="00582B14" w:rsidP="00582B14">
            <w:pPr>
              <w:rPr>
                <w:rFonts w:ascii="Times New Roman" w:hAnsi="Times New Roman" w:cs="Times New Roman"/>
                <w:b/>
                <w:sz w:val="20"/>
                <w:szCs w:val="20"/>
              </w:rPr>
            </w:pPr>
          </w:p>
        </w:tc>
        <w:tc>
          <w:tcPr>
            <w:tcW w:w="922" w:type="dxa"/>
            <w:vAlign w:val="bottom"/>
          </w:tcPr>
          <w:p w:rsidR="00582B14" w:rsidRPr="009F5261" w:rsidRDefault="00582B14" w:rsidP="00582B14">
            <w:pPr>
              <w:rPr>
                <w:rFonts w:ascii="Times New Roman" w:hAnsi="Times New Roman" w:cs="Times New Roman"/>
                <w:b/>
                <w:sz w:val="20"/>
                <w:szCs w:val="20"/>
              </w:rPr>
            </w:pPr>
          </w:p>
        </w:tc>
        <w:tc>
          <w:tcPr>
            <w:tcW w:w="966" w:type="dxa"/>
            <w:vAlign w:val="bottom"/>
          </w:tcPr>
          <w:p w:rsidR="00582B14" w:rsidRPr="009F5261" w:rsidRDefault="00582B14" w:rsidP="00582B14">
            <w:pPr>
              <w:rPr>
                <w:rFonts w:ascii="Times New Roman" w:hAnsi="Times New Roman" w:cs="Times New Roman"/>
                <w:b/>
                <w:sz w:val="20"/>
                <w:szCs w:val="20"/>
              </w:rPr>
            </w:pPr>
            <w:r w:rsidRPr="009F5261">
              <w:rPr>
                <w:rFonts w:ascii="Times New Roman" w:hAnsi="Times New Roman" w:cs="Times New Roman"/>
                <w:b/>
                <w:sz w:val="20"/>
                <w:szCs w:val="20"/>
              </w:rPr>
              <w:t>20374.50</w:t>
            </w:r>
          </w:p>
        </w:tc>
        <w:tc>
          <w:tcPr>
            <w:tcW w:w="1071" w:type="dxa"/>
            <w:vAlign w:val="bottom"/>
          </w:tcPr>
          <w:p w:rsidR="00582B14" w:rsidRPr="009F5261" w:rsidRDefault="00582B14" w:rsidP="00582B14">
            <w:pPr>
              <w:rPr>
                <w:rFonts w:ascii="Times New Roman" w:hAnsi="Times New Roman" w:cs="Times New Roman"/>
                <w:b/>
                <w:sz w:val="20"/>
                <w:szCs w:val="20"/>
              </w:rPr>
            </w:pPr>
            <w:r w:rsidRPr="009F5261">
              <w:rPr>
                <w:rFonts w:ascii="Times New Roman" w:hAnsi="Times New Roman" w:cs="Times New Roman"/>
                <w:b/>
                <w:sz w:val="20"/>
                <w:szCs w:val="20"/>
              </w:rPr>
              <w:t>23844.11</w:t>
            </w:r>
          </w:p>
        </w:tc>
      </w:tr>
      <w:tr w:rsidR="00582B14" w:rsidRPr="00E10B2A" w:rsidTr="00582B14">
        <w:trPr>
          <w:jc w:val="center"/>
        </w:trPr>
        <w:tc>
          <w:tcPr>
            <w:tcW w:w="805" w:type="dxa"/>
            <w:vAlign w:val="bottom"/>
          </w:tcPr>
          <w:p w:rsidR="00582B14" w:rsidRPr="009F5261" w:rsidRDefault="00582B14" w:rsidP="00582B14">
            <w:pPr>
              <w:rPr>
                <w:rFonts w:ascii="Times New Roman" w:hAnsi="Times New Roman" w:cs="Times New Roman"/>
                <w:b/>
                <w:sz w:val="20"/>
                <w:szCs w:val="20"/>
              </w:rPr>
            </w:pPr>
            <w:r w:rsidRPr="009F5261">
              <w:rPr>
                <w:rFonts w:ascii="Times New Roman" w:hAnsi="Times New Roman" w:cs="Times New Roman"/>
                <w:b/>
                <w:sz w:val="20"/>
                <w:szCs w:val="20"/>
              </w:rPr>
              <w:t>AAGR</w:t>
            </w:r>
          </w:p>
        </w:tc>
        <w:tc>
          <w:tcPr>
            <w:tcW w:w="957" w:type="dxa"/>
            <w:vAlign w:val="bottom"/>
          </w:tcPr>
          <w:p w:rsidR="00582B14" w:rsidRPr="009F5261" w:rsidRDefault="00582B14" w:rsidP="00582B14">
            <w:pPr>
              <w:rPr>
                <w:rFonts w:ascii="Times New Roman" w:hAnsi="Times New Roman" w:cs="Times New Roman"/>
                <w:b/>
                <w:sz w:val="20"/>
                <w:szCs w:val="20"/>
              </w:rPr>
            </w:pPr>
          </w:p>
        </w:tc>
        <w:tc>
          <w:tcPr>
            <w:tcW w:w="922" w:type="dxa"/>
            <w:vAlign w:val="bottom"/>
          </w:tcPr>
          <w:p w:rsidR="00582B14" w:rsidRPr="009F5261" w:rsidRDefault="00582B14" w:rsidP="00582B14">
            <w:pPr>
              <w:rPr>
                <w:rFonts w:ascii="Times New Roman" w:hAnsi="Times New Roman" w:cs="Times New Roman"/>
                <w:b/>
                <w:sz w:val="20"/>
                <w:szCs w:val="20"/>
              </w:rPr>
            </w:pPr>
          </w:p>
        </w:tc>
        <w:tc>
          <w:tcPr>
            <w:tcW w:w="934" w:type="dxa"/>
            <w:vAlign w:val="bottom"/>
          </w:tcPr>
          <w:p w:rsidR="00582B14" w:rsidRPr="009F5261" w:rsidRDefault="00582B14" w:rsidP="00582B14">
            <w:pPr>
              <w:rPr>
                <w:rFonts w:ascii="Times New Roman" w:hAnsi="Times New Roman" w:cs="Times New Roman"/>
                <w:b/>
                <w:sz w:val="20"/>
                <w:szCs w:val="20"/>
              </w:rPr>
            </w:pPr>
            <w:r w:rsidRPr="009F5261">
              <w:rPr>
                <w:rFonts w:ascii="Times New Roman" w:hAnsi="Times New Roman" w:cs="Times New Roman"/>
                <w:b/>
                <w:sz w:val="20"/>
                <w:szCs w:val="20"/>
              </w:rPr>
              <w:t>13.58%</w:t>
            </w:r>
          </w:p>
        </w:tc>
        <w:tc>
          <w:tcPr>
            <w:tcW w:w="1016" w:type="dxa"/>
            <w:vAlign w:val="bottom"/>
          </w:tcPr>
          <w:p w:rsidR="00582B14" w:rsidRPr="009F5261" w:rsidRDefault="00582B14" w:rsidP="00582B14">
            <w:pPr>
              <w:rPr>
                <w:rFonts w:ascii="Times New Roman" w:hAnsi="Times New Roman" w:cs="Times New Roman"/>
                <w:b/>
                <w:sz w:val="20"/>
                <w:szCs w:val="20"/>
              </w:rPr>
            </w:pPr>
          </w:p>
        </w:tc>
        <w:tc>
          <w:tcPr>
            <w:tcW w:w="922" w:type="dxa"/>
            <w:vAlign w:val="bottom"/>
          </w:tcPr>
          <w:p w:rsidR="00582B14" w:rsidRPr="009F5261" w:rsidRDefault="00582B14" w:rsidP="00582B14">
            <w:pPr>
              <w:rPr>
                <w:rFonts w:ascii="Times New Roman" w:hAnsi="Times New Roman" w:cs="Times New Roman"/>
                <w:b/>
                <w:sz w:val="20"/>
                <w:szCs w:val="20"/>
              </w:rPr>
            </w:pPr>
          </w:p>
        </w:tc>
        <w:tc>
          <w:tcPr>
            <w:tcW w:w="966" w:type="dxa"/>
            <w:vAlign w:val="bottom"/>
          </w:tcPr>
          <w:p w:rsidR="00582B14" w:rsidRPr="009F5261" w:rsidRDefault="00582B14" w:rsidP="00582B14">
            <w:pPr>
              <w:rPr>
                <w:rFonts w:ascii="Times New Roman" w:hAnsi="Times New Roman" w:cs="Times New Roman"/>
                <w:b/>
                <w:sz w:val="20"/>
                <w:szCs w:val="20"/>
              </w:rPr>
            </w:pPr>
            <w:r w:rsidRPr="009F5261">
              <w:rPr>
                <w:rFonts w:ascii="Times New Roman" w:hAnsi="Times New Roman" w:cs="Times New Roman"/>
                <w:b/>
                <w:sz w:val="20"/>
                <w:szCs w:val="20"/>
              </w:rPr>
              <w:t>12.58%</w:t>
            </w:r>
          </w:p>
        </w:tc>
        <w:tc>
          <w:tcPr>
            <w:tcW w:w="1071" w:type="dxa"/>
            <w:vAlign w:val="bottom"/>
          </w:tcPr>
          <w:p w:rsidR="00582B14" w:rsidRPr="009F5261" w:rsidRDefault="00582B14" w:rsidP="00582B14">
            <w:pPr>
              <w:rPr>
                <w:rFonts w:ascii="Times New Roman" w:hAnsi="Times New Roman" w:cs="Times New Roman"/>
                <w:b/>
                <w:sz w:val="20"/>
                <w:szCs w:val="20"/>
              </w:rPr>
            </w:pPr>
            <w:r w:rsidRPr="009F5261">
              <w:rPr>
                <w:rFonts w:ascii="Times New Roman" w:hAnsi="Times New Roman" w:cs="Times New Roman"/>
                <w:b/>
                <w:sz w:val="20"/>
                <w:szCs w:val="20"/>
                <w:lang w:bidi="bn-BD"/>
              </w:rPr>
              <w:t>12.67%</w:t>
            </w:r>
          </w:p>
        </w:tc>
      </w:tr>
    </w:tbl>
    <w:p w:rsidR="007F220F" w:rsidRPr="009F5261" w:rsidRDefault="007F220F" w:rsidP="007F220F">
      <w:pPr>
        <w:spacing w:after="120"/>
        <w:rPr>
          <w:rFonts w:ascii="Times New Roman" w:hAnsi="Times New Roman" w:cs="Times New Roman"/>
          <w:b/>
          <w:sz w:val="16"/>
          <w:szCs w:val="16"/>
        </w:rPr>
      </w:pPr>
      <w:r>
        <w:rPr>
          <w:rFonts w:ascii="Times New Roman" w:hAnsi="Times New Roman" w:cs="Times New Roman"/>
          <w:sz w:val="18"/>
          <w:szCs w:val="18"/>
        </w:rPr>
        <w:t xml:space="preserve">                   </w:t>
      </w:r>
      <w:r w:rsidRPr="009F5261">
        <w:rPr>
          <w:rFonts w:ascii="Times New Roman" w:hAnsi="Times New Roman" w:cs="Times New Roman"/>
          <w:b/>
          <w:sz w:val="16"/>
          <w:szCs w:val="16"/>
        </w:rPr>
        <w:t>Source: Bangladesh Insurance Association (BIA)</w:t>
      </w:r>
    </w:p>
    <w:p w:rsidR="00D011EA" w:rsidRPr="004E6D65" w:rsidRDefault="00D011EA" w:rsidP="00D011EA">
      <w:pPr>
        <w:spacing w:line="240" w:lineRule="auto"/>
        <w:jc w:val="both"/>
        <w:rPr>
          <w:rFonts w:ascii="Times New Roman" w:hAnsi="Times New Roman" w:cs="Times New Roman"/>
          <w:w w:val="105"/>
          <w:sz w:val="16"/>
          <w:szCs w:val="16"/>
        </w:rPr>
      </w:pPr>
      <w:r>
        <w:rPr>
          <w:rFonts w:ascii="Times New Roman" w:hAnsi="Times New Roman" w:cs="Times New Roman"/>
          <w:w w:val="105"/>
          <w:sz w:val="16"/>
          <w:szCs w:val="16"/>
        </w:rPr>
        <w:t xml:space="preserve">              </w:t>
      </w:r>
      <w:r w:rsidRPr="004E6D65">
        <w:rPr>
          <w:rFonts w:ascii="Times New Roman" w:hAnsi="Times New Roman" w:cs="Times New Roman"/>
          <w:w w:val="105"/>
          <w:sz w:val="16"/>
          <w:szCs w:val="16"/>
        </w:rPr>
        <w:t>1. AAGR = Annual Average Growth Rate</w:t>
      </w:r>
    </w:p>
    <w:p w:rsidR="004C3AB6" w:rsidRPr="00BB0D76" w:rsidRDefault="00D011EA" w:rsidP="00BB0D76">
      <w:pPr>
        <w:spacing w:line="240" w:lineRule="auto"/>
        <w:jc w:val="both"/>
        <w:rPr>
          <w:rFonts w:ascii="Times New Roman" w:hAnsi="Times New Roman" w:cs="Times New Roman"/>
          <w:w w:val="105"/>
          <w:sz w:val="16"/>
          <w:szCs w:val="16"/>
        </w:rPr>
      </w:pPr>
      <w:r w:rsidRPr="004E6D65">
        <w:rPr>
          <w:rFonts w:ascii="Times New Roman" w:hAnsi="Times New Roman" w:cs="Times New Roman"/>
          <w:w w:val="105"/>
          <w:sz w:val="16"/>
          <w:szCs w:val="16"/>
        </w:rPr>
        <w:t xml:space="preserve">           </w:t>
      </w:r>
      <w:r>
        <w:rPr>
          <w:rFonts w:ascii="Times New Roman" w:hAnsi="Times New Roman" w:cs="Times New Roman"/>
          <w:w w:val="105"/>
          <w:sz w:val="16"/>
          <w:szCs w:val="16"/>
        </w:rPr>
        <w:t xml:space="preserve">  </w:t>
      </w:r>
      <w:r w:rsidRPr="004E6D65">
        <w:rPr>
          <w:rFonts w:ascii="Times New Roman" w:hAnsi="Times New Roman" w:cs="Times New Roman"/>
          <w:w w:val="105"/>
          <w:sz w:val="16"/>
          <w:szCs w:val="16"/>
        </w:rPr>
        <w:t xml:space="preserve">  2. AAGR= (Ending Value /Beginning Value – 1) +2</w:t>
      </w:r>
      <w:r w:rsidRPr="004E6D65">
        <w:rPr>
          <w:rFonts w:ascii="Times New Roman" w:hAnsi="Times New Roman" w:cs="Times New Roman"/>
          <w:w w:val="105"/>
          <w:sz w:val="16"/>
          <w:szCs w:val="16"/>
          <w:vertAlign w:val="superscript"/>
        </w:rPr>
        <w:t>nd</w:t>
      </w:r>
      <w:r w:rsidRPr="004E6D65">
        <w:rPr>
          <w:rFonts w:ascii="Times New Roman" w:hAnsi="Times New Roman" w:cs="Times New Roman"/>
          <w:w w:val="105"/>
          <w:sz w:val="16"/>
          <w:szCs w:val="16"/>
        </w:rPr>
        <w:t xml:space="preserve"> year+3</w:t>
      </w:r>
      <w:r w:rsidRPr="004E6D65">
        <w:rPr>
          <w:rFonts w:ascii="Times New Roman" w:hAnsi="Times New Roman" w:cs="Times New Roman"/>
          <w:w w:val="105"/>
          <w:sz w:val="16"/>
          <w:szCs w:val="16"/>
          <w:vertAlign w:val="superscript"/>
        </w:rPr>
        <w:t>rd</w:t>
      </w:r>
      <w:r w:rsidRPr="004E6D65">
        <w:rPr>
          <w:rFonts w:ascii="Times New Roman" w:hAnsi="Times New Roman" w:cs="Times New Roman"/>
          <w:w w:val="105"/>
          <w:sz w:val="16"/>
          <w:szCs w:val="16"/>
        </w:rPr>
        <w:t xml:space="preserve"> year+--L</w:t>
      </w:r>
      <w:r w:rsidR="00BB0D76">
        <w:rPr>
          <w:rFonts w:ascii="Times New Roman" w:hAnsi="Times New Roman" w:cs="Times New Roman"/>
          <w:w w:val="105"/>
          <w:sz w:val="16"/>
          <w:szCs w:val="16"/>
        </w:rPr>
        <w:t>ast year)/Total Number of Years</w:t>
      </w:r>
    </w:p>
    <w:p w:rsidR="0002776C" w:rsidRPr="009F5261" w:rsidRDefault="004C3AB6" w:rsidP="009F5261">
      <w:pPr>
        <w:spacing w:line="240" w:lineRule="auto"/>
        <w:jc w:val="both"/>
        <w:rPr>
          <w:rFonts w:ascii="Times New Roman" w:hAnsi="Times New Roman" w:cs="Times New Roman"/>
          <w:sz w:val="20"/>
          <w:szCs w:val="20"/>
        </w:rPr>
      </w:pPr>
      <w:r w:rsidRPr="009F5261">
        <w:rPr>
          <w:rFonts w:ascii="Times New Roman" w:hAnsi="Times New Roman" w:cs="Times New Roman"/>
          <w:sz w:val="20"/>
          <w:szCs w:val="20"/>
        </w:rPr>
        <w:t xml:space="preserve">           </w:t>
      </w:r>
      <w:r w:rsidR="008A1B1F" w:rsidRPr="009F5261">
        <w:rPr>
          <w:rFonts w:ascii="Times New Roman" w:hAnsi="Times New Roman" w:cs="Times New Roman"/>
          <w:sz w:val="20"/>
          <w:szCs w:val="20"/>
        </w:rPr>
        <w:t>It is evident from table 09</w:t>
      </w:r>
      <w:r w:rsidR="00CF567A" w:rsidRPr="009F5261">
        <w:rPr>
          <w:rFonts w:ascii="Times New Roman" w:hAnsi="Times New Roman" w:cs="Times New Roman"/>
          <w:sz w:val="20"/>
          <w:szCs w:val="20"/>
        </w:rPr>
        <w:t xml:space="preserve">, 46   nonlife </w:t>
      </w:r>
      <w:r w:rsidR="00015286" w:rsidRPr="009F5261">
        <w:rPr>
          <w:rFonts w:ascii="Times New Roman" w:hAnsi="Times New Roman" w:cs="Times New Roman"/>
          <w:sz w:val="20"/>
          <w:szCs w:val="20"/>
        </w:rPr>
        <w:t>private insurance companies and one state owned corp</w:t>
      </w:r>
      <w:r w:rsidR="00DC33F4" w:rsidRPr="009F5261">
        <w:rPr>
          <w:rFonts w:ascii="Times New Roman" w:hAnsi="Times New Roman" w:cs="Times New Roman"/>
          <w:sz w:val="20"/>
          <w:szCs w:val="20"/>
        </w:rPr>
        <w:t xml:space="preserve">oration shown total investment </w:t>
      </w:r>
      <w:r w:rsidR="007E2607" w:rsidRPr="009F5261">
        <w:rPr>
          <w:rFonts w:ascii="Times New Roman" w:hAnsi="Times New Roman" w:cs="Times New Roman"/>
          <w:sz w:val="20"/>
          <w:szCs w:val="20"/>
        </w:rPr>
        <w:t xml:space="preserve">amounting to </w:t>
      </w:r>
      <w:r w:rsidR="00015286" w:rsidRPr="009F5261">
        <w:rPr>
          <w:rFonts w:ascii="Times New Roman" w:hAnsi="Times New Roman" w:cs="Times New Roman"/>
          <w:sz w:val="20"/>
          <w:szCs w:val="20"/>
        </w:rPr>
        <w:t xml:space="preserve">Tk. 1779.98 crores in 2009, an increase of .49% from Tk. 5251.71 </w:t>
      </w:r>
      <w:r w:rsidR="00BB0D76" w:rsidRPr="009F5261">
        <w:rPr>
          <w:rFonts w:ascii="Times New Roman" w:hAnsi="Times New Roman" w:cs="Times New Roman"/>
          <w:sz w:val="20"/>
          <w:szCs w:val="20"/>
        </w:rPr>
        <w:t>Crores in</w:t>
      </w:r>
      <w:r w:rsidR="00015286" w:rsidRPr="009F5261">
        <w:rPr>
          <w:rFonts w:ascii="Times New Roman" w:hAnsi="Times New Roman" w:cs="Times New Roman"/>
          <w:sz w:val="20"/>
          <w:szCs w:val="20"/>
        </w:rPr>
        <w:t xml:space="preserve"> 2017. The average investment   amount of nonlife insurance sector   was Tk. 3469.61 and AAGR was 13.58%. </w:t>
      </w:r>
      <w:proofErr w:type="gramStart"/>
      <w:r w:rsidR="00015286" w:rsidRPr="009F5261">
        <w:rPr>
          <w:rFonts w:ascii="Times New Roman" w:hAnsi="Times New Roman" w:cs="Times New Roman"/>
          <w:sz w:val="20"/>
          <w:szCs w:val="20"/>
        </w:rPr>
        <w:t>The 32 private life insurers and one state owned life corporation shown investment   amounting to Tk. 9716.27 crores in 2009, an increase of 1.40 % from Tk. 27021.07 crores in 2017.</w:t>
      </w:r>
      <w:proofErr w:type="gramEnd"/>
      <w:r w:rsidR="00015286" w:rsidRPr="009F5261">
        <w:rPr>
          <w:rFonts w:ascii="Times New Roman" w:hAnsi="Times New Roman" w:cs="Times New Roman"/>
          <w:sz w:val="20"/>
          <w:szCs w:val="20"/>
        </w:rPr>
        <w:t xml:space="preserve"> The average investment value of life insurance sector    was Tk. 20374.50 and AAGR was 12.58% during the study period. Table 09 also shows that during the last decade the average total investment value of Bangladesh insurance industry was about Tk. 23844.11 and AAGR was </w:t>
      </w:r>
      <w:r w:rsidR="00015286" w:rsidRPr="009F5261">
        <w:rPr>
          <w:rFonts w:ascii="Times New Roman" w:hAnsi="Times New Roman" w:cs="Times New Roman"/>
          <w:sz w:val="20"/>
          <w:szCs w:val="20"/>
          <w:lang w:bidi="bn-BD"/>
        </w:rPr>
        <w:t>12.67%</w:t>
      </w:r>
      <w:r w:rsidR="00015286" w:rsidRPr="009F5261">
        <w:rPr>
          <w:rFonts w:ascii="Times New Roman" w:hAnsi="Times New Roman" w:cs="Times New Roman"/>
          <w:sz w:val="20"/>
          <w:szCs w:val="20"/>
        </w:rPr>
        <w:t xml:space="preserve">. </w:t>
      </w:r>
      <w:r w:rsidR="00997508" w:rsidRPr="009F5261">
        <w:rPr>
          <w:rFonts w:ascii="Times New Roman" w:hAnsi="Times New Roman" w:cs="Times New Roman"/>
          <w:sz w:val="20"/>
          <w:szCs w:val="20"/>
        </w:rPr>
        <w:t xml:space="preserve"> A reflection of investment scenario of life and non-life insurance sector in Bangladesh has been shown in chart </w:t>
      </w:r>
      <w:r w:rsidR="00D521E4" w:rsidRPr="009F5261">
        <w:rPr>
          <w:rFonts w:ascii="Times New Roman" w:hAnsi="Times New Roman" w:cs="Times New Roman"/>
          <w:sz w:val="20"/>
          <w:szCs w:val="20"/>
        </w:rPr>
        <w:t>08</w:t>
      </w:r>
      <w:r w:rsidR="00094282" w:rsidRPr="009F5261">
        <w:rPr>
          <w:rFonts w:ascii="Times New Roman" w:hAnsi="Times New Roman" w:cs="Times New Roman"/>
          <w:sz w:val="20"/>
          <w:szCs w:val="20"/>
        </w:rPr>
        <w:t>.</w:t>
      </w:r>
    </w:p>
    <w:p w:rsidR="00D521E4" w:rsidRPr="009F5261" w:rsidRDefault="009F5261" w:rsidP="009F5261">
      <w:pPr>
        <w:spacing w:after="120" w:line="240" w:lineRule="auto"/>
        <w:ind w:left="446" w:firstLine="634"/>
        <w:jc w:val="center"/>
        <w:rPr>
          <w:rFonts w:ascii="Times New Roman" w:hAnsi="Times New Roman" w:cs="Times New Roman"/>
          <w:b/>
          <w:sz w:val="20"/>
          <w:szCs w:val="20"/>
        </w:rPr>
      </w:pPr>
      <w:r w:rsidRPr="009F5261">
        <w:rPr>
          <w:rFonts w:ascii="Times New Roman" w:hAnsi="Times New Roman" w:cs="Times New Roman"/>
          <w:b/>
          <w:sz w:val="20"/>
          <w:szCs w:val="20"/>
        </w:rPr>
        <w:t xml:space="preserve">Chart </w:t>
      </w:r>
      <w:r w:rsidR="00D521E4" w:rsidRPr="009F5261">
        <w:rPr>
          <w:rFonts w:ascii="Times New Roman" w:hAnsi="Times New Roman" w:cs="Times New Roman"/>
          <w:b/>
          <w:sz w:val="20"/>
          <w:szCs w:val="20"/>
        </w:rPr>
        <w:t>8</w:t>
      </w:r>
      <w:r w:rsidRPr="009F5261">
        <w:rPr>
          <w:rFonts w:ascii="Times New Roman" w:hAnsi="Times New Roman" w:cs="Times New Roman"/>
          <w:b/>
          <w:sz w:val="20"/>
          <w:szCs w:val="20"/>
        </w:rPr>
        <w:t>:</w:t>
      </w:r>
      <w:r w:rsidR="00D521E4" w:rsidRPr="009F5261">
        <w:rPr>
          <w:rFonts w:ascii="Times New Roman" w:hAnsi="Times New Roman" w:cs="Times New Roman"/>
          <w:b/>
          <w:sz w:val="20"/>
          <w:szCs w:val="20"/>
        </w:rPr>
        <w:t xml:space="preserve"> Investment scenario of Life and Nonlife insurance in Bangladesh</w:t>
      </w:r>
      <w:r w:rsidR="00D521E4" w:rsidRPr="009F5261">
        <w:rPr>
          <w:rFonts w:ascii="Times New Roman" w:hAnsi="Times New Roman" w:cs="Times New Roman"/>
          <w:sz w:val="20"/>
          <w:szCs w:val="20"/>
        </w:rPr>
        <w:t>.</w:t>
      </w:r>
    </w:p>
    <w:p w:rsidR="00C406AE" w:rsidRPr="00C81700" w:rsidRDefault="00C406AE" w:rsidP="00C81700">
      <w:pPr>
        <w:spacing w:line="480" w:lineRule="auto"/>
        <w:jc w:val="center"/>
        <w:rPr>
          <w:rFonts w:ascii="Times New Roman" w:hAnsi="Times New Roman" w:cs="Times New Roman"/>
          <w:sz w:val="20"/>
          <w:szCs w:val="20"/>
        </w:rPr>
      </w:pPr>
      <w:r>
        <w:rPr>
          <w:noProof/>
        </w:rPr>
        <w:drawing>
          <wp:anchor distT="0" distB="0" distL="114300" distR="114300" simplePos="0" relativeHeight="251681280" behindDoc="0" locked="0" layoutInCell="1" allowOverlap="1" wp14:anchorId="5465ACBF" wp14:editId="5BA0FA2B">
            <wp:simplePos x="0" y="0"/>
            <wp:positionH relativeFrom="column">
              <wp:posOffset>981075</wp:posOffset>
            </wp:positionH>
            <wp:positionV relativeFrom="paragraph">
              <wp:posOffset>12700</wp:posOffset>
            </wp:positionV>
            <wp:extent cx="4343400" cy="2247900"/>
            <wp:effectExtent l="0" t="0" r="0" b="0"/>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835B3C" w:rsidRDefault="00835B3C" w:rsidP="00015286">
      <w:pPr>
        <w:spacing w:line="480" w:lineRule="auto"/>
        <w:jc w:val="both"/>
        <w:rPr>
          <w:rFonts w:ascii="Times New Roman" w:hAnsi="Times New Roman" w:cs="Times New Roman"/>
          <w:sz w:val="24"/>
          <w:szCs w:val="24"/>
        </w:rPr>
      </w:pPr>
    </w:p>
    <w:p w:rsidR="009F5261" w:rsidRDefault="009F5261" w:rsidP="009F5261">
      <w:pPr>
        <w:spacing w:after="120"/>
        <w:rPr>
          <w:rFonts w:ascii="Times New Roman" w:hAnsi="Times New Roman" w:cs="Times New Roman"/>
          <w:b/>
          <w:szCs w:val="28"/>
        </w:rPr>
      </w:pPr>
    </w:p>
    <w:p w:rsidR="009F5261" w:rsidRDefault="009F5261" w:rsidP="009F5261">
      <w:pPr>
        <w:spacing w:after="120"/>
        <w:rPr>
          <w:rFonts w:ascii="Times New Roman" w:hAnsi="Times New Roman" w:cs="Times New Roman"/>
          <w:b/>
          <w:szCs w:val="28"/>
        </w:rPr>
      </w:pPr>
    </w:p>
    <w:p w:rsidR="009F5261" w:rsidRDefault="009F5261" w:rsidP="009F5261">
      <w:pPr>
        <w:spacing w:after="120"/>
        <w:rPr>
          <w:rFonts w:ascii="Times New Roman" w:hAnsi="Times New Roman" w:cs="Times New Roman"/>
          <w:b/>
          <w:szCs w:val="28"/>
        </w:rPr>
      </w:pPr>
    </w:p>
    <w:p w:rsidR="009F5261" w:rsidRDefault="009F5261" w:rsidP="009F5261">
      <w:pPr>
        <w:spacing w:after="120"/>
        <w:rPr>
          <w:rFonts w:ascii="Times New Roman" w:hAnsi="Times New Roman" w:cs="Times New Roman"/>
          <w:b/>
          <w:szCs w:val="28"/>
        </w:rPr>
      </w:pPr>
    </w:p>
    <w:p w:rsidR="009F5261" w:rsidRDefault="009F5261" w:rsidP="009F5261">
      <w:pPr>
        <w:spacing w:after="120"/>
        <w:rPr>
          <w:rFonts w:ascii="Times New Roman" w:hAnsi="Times New Roman" w:cs="Times New Roman"/>
          <w:b/>
          <w:szCs w:val="28"/>
        </w:rPr>
      </w:pPr>
    </w:p>
    <w:p w:rsidR="009F5261" w:rsidRDefault="009F5261" w:rsidP="009F5261">
      <w:pPr>
        <w:spacing w:after="120"/>
        <w:rPr>
          <w:rFonts w:ascii="Times New Roman" w:hAnsi="Times New Roman" w:cs="Times New Roman"/>
          <w:b/>
          <w:szCs w:val="28"/>
        </w:rPr>
      </w:pPr>
    </w:p>
    <w:p w:rsidR="009F5261" w:rsidRDefault="009F5261" w:rsidP="009F5261">
      <w:pPr>
        <w:spacing w:after="120"/>
        <w:rPr>
          <w:rFonts w:ascii="Times New Roman" w:hAnsi="Times New Roman" w:cs="Times New Roman"/>
          <w:b/>
          <w:szCs w:val="28"/>
        </w:rPr>
      </w:pPr>
    </w:p>
    <w:p w:rsidR="00326911" w:rsidRPr="00CD1947" w:rsidRDefault="00326911" w:rsidP="00CD1947">
      <w:pPr>
        <w:pStyle w:val="ListParagraph"/>
        <w:numPr>
          <w:ilvl w:val="0"/>
          <w:numId w:val="32"/>
        </w:numPr>
        <w:spacing w:after="120" w:line="240" w:lineRule="auto"/>
        <w:jc w:val="center"/>
        <w:rPr>
          <w:rFonts w:ascii="Times New Roman" w:hAnsi="Times New Roman" w:cs="Times New Roman"/>
          <w:b/>
          <w:sz w:val="20"/>
          <w:szCs w:val="20"/>
        </w:rPr>
      </w:pPr>
      <w:r w:rsidRPr="00CD1947">
        <w:rPr>
          <w:rFonts w:ascii="Times New Roman" w:hAnsi="Times New Roman" w:cs="Times New Roman"/>
          <w:b/>
          <w:sz w:val="20"/>
          <w:szCs w:val="20"/>
        </w:rPr>
        <w:t>Findings of the Study</w:t>
      </w:r>
    </w:p>
    <w:p w:rsidR="00326911" w:rsidRPr="00CD1947" w:rsidRDefault="009F5261" w:rsidP="00CD1947">
      <w:pPr>
        <w:spacing w:after="120" w:line="240" w:lineRule="auto"/>
        <w:jc w:val="both"/>
        <w:rPr>
          <w:rFonts w:ascii="Times New Roman" w:hAnsi="Times New Roman" w:cs="Times New Roman"/>
          <w:sz w:val="20"/>
          <w:szCs w:val="20"/>
        </w:rPr>
      </w:pPr>
      <w:r w:rsidRPr="00CD1947">
        <w:rPr>
          <w:rFonts w:ascii="Times New Roman" w:hAnsi="Times New Roman" w:cs="Times New Roman"/>
          <w:sz w:val="20"/>
          <w:szCs w:val="20"/>
        </w:rPr>
        <w:tab/>
      </w:r>
      <w:r w:rsidR="00326911" w:rsidRPr="00CD1947">
        <w:rPr>
          <w:rFonts w:ascii="Times New Roman" w:hAnsi="Times New Roman" w:cs="Times New Roman"/>
          <w:sz w:val="20"/>
          <w:szCs w:val="20"/>
        </w:rPr>
        <w:t>Nominal premium growth rate of Bangladesh was 7.6 percent and growth rate with inflation adjusted was 3.1 percent and global market share was 0.02 percent in 2019.In case of India, nominal growth rate was 9.2 percent and inflation adjusted growth rate was 6.9 percent and world insurance market share was 1.69 percent.</w:t>
      </w:r>
      <w:r w:rsidR="00286715" w:rsidRPr="00CD1947">
        <w:rPr>
          <w:color w:val="FF0000"/>
          <w:sz w:val="20"/>
          <w:szCs w:val="20"/>
        </w:rPr>
        <w:t xml:space="preserve"> </w:t>
      </w:r>
      <w:r w:rsidR="00286715" w:rsidRPr="00CD1947">
        <w:rPr>
          <w:rFonts w:ascii="Times New Roman" w:hAnsi="Times New Roman" w:cs="Times New Roman"/>
          <w:sz w:val="20"/>
          <w:szCs w:val="20"/>
        </w:rPr>
        <w:t>In comparison to other South Asian countries, the insurance global market share is not favorable</w:t>
      </w:r>
      <w:r w:rsidR="007D2336" w:rsidRPr="00CD1947">
        <w:rPr>
          <w:rFonts w:ascii="Times New Roman" w:hAnsi="Times New Roman" w:cs="Times New Roman"/>
          <w:sz w:val="20"/>
          <w:szCs w:val="20"/>
        </w:rPr>
        <w:t xml:space="preserve"> (Sigma, 4/2020).</w:t>
      </w:r>
    </w:p>
    <w:p w:rsidR="00326911" w:rsidRPr="00CD1947" w:rsidRDefault="009F5261" w:rsidP="00CD1947">
      <w:pPr>
        <w:spacing w:after="120" w:line="240" w:lineRule="auto"/>
        <w:jc w:val="both"/>
        <w:rPr>
          <w:rFonts w:ascii="Times New Roman" w:hAnsi="Times New Roman" w:cs="Times New Roman"/>
          <w:sz w:val="20"/>
          <w:szCs w:val="20"/>
        </w:rPr>
      </w:pPr>
      <w:r w:rsidRPr="00CD1947">
        <w:rPr>
          <w:rFonts w:ascii="Times New Roman" w:hAnsi="Times New Roman" w:cs="Times New Roman"/>
          <w:sz w:val="20"/>
          <w:szCs w:val="20"/>
        </w:rPr>
        <w:lastRenderedPageBreak/>
        <w:tab/>
      </w:r>
      <w:r w:rsidR="00B567C1" w:rsidRPr="00CD1947">
        <w:rPr>
          <w:rFonts w:ascii="Times New Roman" w:hAnsi="Times New Roman" w:cs="Times New Roman"/>
          <w:sz w:val="20"/>
          <w:szCs w:val="20"/>
        </w:rPr>
        <w:t>Proportionate market share between life and nonlife insurance sector contained 70.03 percent against life insurance and 29.97 percent against nonlife insurance sector in 2019.</w:t>
      </w:r>
      <w:r w:rsidR="007D2336" w:rsidRPr="00CD1947">
        <w:rPr>
          <w:rFonts w:ascii="Times New Roman" w:hAnsi="Times New Roman" w:cs="Times New Roman"/>
          <w:sz w:val="20"/>
          <w:szCs w:val="20"/>
        </w:rPr>
        <w:t xml:space="preserve"> In case of India, market share of life insurance was 74.94 percent and 25.06 percent against nonlife insurance. (Sigma, 4/2020).</w:t>
      </w:r>
    </w:p>
    <w:p w:rsidR="007D2336" w:rsidRPr="00CD1947" w:rsidRDefault="00CD1947" w:rsidP="00CD1947">
      <w:pPr>
        <w:spacing w:after="120" w:line="240" w:lineRule="auto"/>
        <w:jc w:val="both"/>
        <w:rPr>
          <w:rFonts w:ascii="Times New Roman" w:hAnsi="Times New Roman" w:cs="Times New Roman"/>
          <w:sz w:val="20"/>
          <w:szCs w:val="20"/>
        </w:rPr>
      </w:pPr>
      <w:r w:rsidRPr="00CD1947">
        <w:rPr>
          <w:rFonts w:ascii="Times New Roman" w:hAnsi="Times New Roman" w:cs="Times New Roman"/>
          <w:sz w:val="20"/>
          <w:szCs w:val="20"/>
        </w:rPr>
        <w:tab/>
      </w:r>
      <w:r w:rsidR="007D2336" w:rsidRPr="00CD1947">
        <w:rPr>
          <w:rFonts w:ascii="Times New Roman" w:hAnsi="Times New Roman" w:cs="Times New Roman"/>
          <w:sz w:val="20"/>
          <w:szCs w:val="20"/>
        </w:rPr>
        <w:t>Insurance penetration rate of Bangladesh was 0.49 percent and insurance density was USD 9 and growth rate was 13.4 percent in 2019. In case of India, penetration was 3.76 percent and density was USD 78 and growth rate was 9.7percent (Sigma, 4/2020)</w:t>
      </w:r>
      <w:r w:rsidR="00B46ED4" w:rsidRPr="00CD1947">
        <w:rPr>
          <w:rFonts w:ascii="Times New Roman" w:hAnsi="Times New Roman" w:cs="Times New Roman"/>
          <w:sz w:val="20"/>
          <w:szCs w:val="20"/>
        </w:rPr>
        <w:t>.</w:t>
      </w:r>
    </w:p>
    <w:p w:rsidR="00B46ED4" w:rsidRPr="00CD1947" w:rsidRDefault="00CD1947" w:rsidP="00CD1947">
      <w:pPr>
        <w:spacing w:after="120" w:line="240" w:lineRule="auto"/>
        <w:jc w:val="both"/>
        <w:rPr>
          <w:rFonts w:ascii="Times New Roman" w:hAnsi="Times New Roman" w:cs="Times New Roman"/>
          <w:sz w:val="20"/>
          <w:szCs w:val="20"/>
        </w:rPr>
      </w:pPr>
      <w:r w:rsidRPr="00CD1947">
        <w:rPr>
          <w:rFonts w:ascii="Times New Roman" w:hAnsi="Times New Roman" w:cs="Times New Roman"/>
          <w:sz w:val="20"/>
          <w:szCs w:val="20"/>
        </w:rPr>
        <w:tab/>
      </w:r>
      <w:r w:rsidR="00B46ED4" w:rsidRPr="00CD1947">
        <w:rPr>
          <w:rFonts w:ascii="Times New Roman" w:hAnsi="Times New Roman" w:cs="Times New Roman"/>
          <w:sz w:val="20"/>
          <w:szCs w:val="20"/>
        </w:rPr>
        <w:t xml:space="preserve">As per information from Bangladesh Insurance Association, life insurance penetration was .40 percent and .18 percent against nonlife and combined rate was .58 percent in 2018. Life insurance density was Tk.556.69 and Tk. 285.93 against nonlife insurance and combined density was </w:t>
      </w:r>
      <w:r w:rsidR="00016855" w:rsidRPr="00CD1947">
        <w:rPr>
          <w:rFonts w:ascii="Times New Roman" w:hAnsi="Times New Roman" w:cs="Times New Roman"/>
          <w:sz w:val="20"/>
          <w:szCs w:val="20"/>
        </w:rPr>
        <w:t>Taka</w:t>
      </w:r>
      <w:r w:rsidR="00B46ED4" w:rsidRPr="00CD1947">
        <w:rPr>
          <w:rFonts w:ascii="Times New Roman" w:hAnsi="Times New Roman" w:cs="Times New Roman"/>
          <w:sz w:val="20"/>
          <w:szCs w:val="20"/>
        </w:rPr>
        <w:t xml:space="preserve"> 842.62 or USD 9.79.</w:t>
      </w:r>
    </w:p>
    <w:p w:rsidR="00016855" w:rsidRPr="00CD1947" w:rsidRDefault="00CD1947" w:rsidP="00CD1947">
      <w:pPr>
        <w:spacing w:after="120" w:line="240" w:lineRule="auto"/>
        <w:jc w:val="both"/>
        <w:rPr>
          <w:rFonts w:ascii="Times New Roman" w:hAnsi="Times New Roman" w:cs="Times New Roman"/>
          <w:sz w:val="20"/>
          <w:szCs w:val="20"/>
        </w:rPr>
      </w:pPr>
      <w:r w:rsidRPr="00CD1947">
        <w:rPr>
          <w:rFonts w:ascii="Times New Roman" w:hAnsi="Times New Roman" w:cs="Times New Roman"/>
          <w:sz w:val="20"/>
          <w:szCs w:val="20"/>
        </w:rPr>
        <w:tab/>
      </w:r>
      <w:r w:rsidR="00016855" w:rsidRPr="00CD1947">
        <w:rPr>
          <w:rFonts w:ascii="Times New Roman" w:hAnsi="Times New Roman" w:cs="Times New Roman"/>
          <w:sz w:val="20"/>
          <w:szCs w:val="20"/>
        </w:rPr>
        <w:t xml:space="preserve">The average total </w:t>
      </w:r>
      <w:proofErr w:type="gramStart"/>
      <w:r w:rsidR="00016855" w:rsidRPr="00CD1947">
        <w:rPr>
          <w:rFonts w:ascii="Times New Roman" w:hAnsi="Times New Roman" w:cs="Times New Roman"/>
          <w:sz w:val="20"/>
          <w:szCs w:val="20"/>
        </w:rPr>
        <w:t>assets of insurance industry in Bangladesh was</w:t>
      </w:r>
      <w:proofErr w:type="gramEnd"/>
      <w:r w:rsidR="00016855" w:rsidRPr="00CD1947">
        <w:rPr>
          <w:rFonts w:ascii="Times New Roman" w:hAnsi="Times New Roman" w:cs="Times New Roman"/>
          <w:sz w:val="20"/>
          <w:szCs w:val="20"/>
        </w:rPr>
        <w:t xml:space="preserve"> Tk. 35302.73 crores and annual average growth rate (AAGR) was 12.68 percent. The average gross premium was Tk. 9985.40 crore and AAGR was 8.63 percent. The average investment was Tk. 23844.11 crores and AAGR was 12.67 percent </w:t>
      </w:r>
    </w:p>
    <w:p w:rsidR="00A25DFC" w:rsidRPr="00CD1947" w:rsidRDefault="00CD1947" w:rsidP="00CD1947">
      <w:pPr>
        <w:spacing w:after="120" w:line="240" w:lineRule="auto"/>
        <w:jc w:val="both"/>
        <w:rPr>
          <w:rFonts w:ascii="Times New Roman" w:hAnsi="Times New Roman" w:cs="Times New Roman"/>
          <w:sz w:val="20"/>
          <w:szCs w:val="20"/>
        </w:rPr>
      </w:pPr>
      <w:r w:rsidRPr="00CD1947">
        <w:rPr>
          <w:rFonts w:ascii="Times New Roman" w:hAnsi="Times New Roman" w:cs="Times New Roman"/>
          <w:sz w:val="20"/>
          <w:szCs w:val="20"/>
        </w:rPr>
        <w:tab/>
      </w:r>
      <w:r w:rsidR="00B31C33" w:rsidRPr="00CD1947">
        <w:rPr>
          <w:rFonts w:ascii="Times New Roman" w:hAnsi="Times New Roman" w:cs="Times New Roman"/>
          <w:sz w:val="20"/>
          <w:szCs w:val="20"/>
        </w:rPr>
        <w:t>The average premium of nonlife insurance sector was Tk. 2512.42 crores and AAGR was 13.30 percent. The average premium of life insurance sector was Tk. 7024.44 and AAGR was 7.21 percent .The average assets of nonlife insurance was Tk. 7669.03 crores and AAGR was 11.60 percent. The average assets of life insurance sector was Tk. 27633.71 crore and AAGR was 12.99 percent. The average investment of life insurance sector was Tk. 20374.50 crore and AAGR was 12.58 percent during the study period from 2009 to 2018.</w:t>
      </w:r>
    </w:p>
    <w:p w:rsidR="00D5427C" w:rsidRPr="00CD1947" w:rsidRDefault="00CD1947" w:rsidP="00CD1947">
      <w:pPr>
        <w:pStyle w:val="ListParagraph"/>
        <w:spacing w:after="120" w:line="240" w:lineRule="auto"/>
        <w:ind w:left="1080"/>
        <w:jc w:val="center"/>
        <w:rPr>
          <w:rFonts w:ascii="Times New Roman" w:hAnsi="Times New Roman" w:cs="Times New Roman"/>
          <w:b/>
          <w:sz w:val="20"/>
          <w:szCs w:val="20"/>
        </w:rPr>
      </w:pPr>
      <w:proofErr w:type="spellStart"/>
      <w:r w:rsidRPr="00CD1947">
        <w:rPr>
          <w:rFonts w:ascii="Times New Roman" w:hAnsi="Times New Roman" w:cs="Times New Roman"/>
          <w:b/>
          <w:sz w:val="20"/>
          <w:szCs w:val="20"/>
        </w:rPr>
        <w:t>VII.</w:t>
      </w:r>
      <w:r w:rsidR="00D5427C" w:rsidRPr="00CD1947">
        <w:rPr>
          <w:rFonts w:ascii="Times New Roman" w:hAnsi="Times New Roman" w:cs="Times New Roman"/>
          <w:b/>
          <w:sz w:val="20"/>
          <w:szCs w:val="20"/>
        </w:rPr>
        <w:t>Threats</w:t>
      </w:r>
      <w:proofErr w:type="spellEnd"/>
      <w:r w:rsidR="00D5427C" w:rsidRPr="00CD1947">
        <w:rPr>
          <w:rFonts w:ascii="Times New Roman" w:hAnsi="Times New Roman" w:cs="Times New Roman"/>
          <w:b/>
          <w:sz w:val="20"/>
          <w:szCs w:val="20"/>
        </w:rPr>
        <w:t xml:space="preserve"> of Insurance Industry in Bangladesh</w:t>
      </w:r>
    </w:p>
    <w:p w:rsidR="00CD1947" w:rsidRPr="00CD1947" w:rsidRDefault="00CD1947" w:rsidP="00CD1947">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ab/>
      </w:r>
      <w:r w:rsidR="00941D23" w:rsidRPr="00CD1947">
        <w:rPr>
          <w:rFonts w:ascii="Times New Roman" w:hAnsi="Times New Roman" w:cs="Times New Roman"/>
          <w:sz w:val="20"/>
          <w:szCs w:val="20"/>
        </w:rPr>
        <w:t xml:space="preserve">It is evident from above analysis based on different parameters such as penetration rate, density rate, assets, investment and premium those indicated a suitable growth of </w:t>
      </w:r>
      <w:r w:rsidR="00C4302B" w:rsidRPr="00CD1947">
        <w:rPr>
          <w:rFonts w:ascii="Times New Roman" w:hAnsi="Times New Roman" w:cs="Times New Roman"/>
          <w:sz w:val="20"/>
          <w:szCs w:val="20"/>
        </w:rPr>
        <w:t>insurance</w:t>
      </w:r>
      <w:r w:rsidR="00941D23" w:rsidRPr="00CD1947">
        <w:rPr>
          <w:rFonts w:ascii="Times New Roman" w:hAnsi="Times New Roman" w:cs="Times New Roman"/>
          <w:sz w:val="20"/>
          <w:szCs w:val="20"/>
        </w:rPr>
        <w:t xml:space="preserve"> in Bangladesh. But, </w:t>
      </w:r>
      <w:r w:rsidR="004E11DC" w:rsidRPr="00CD1947">
        <w:rPr>
          <w:rFonts w:ascii="Times New Roman" w:hAnsi="Times New Roman" w:cs="Times New Roman"/>
          <w:sz w:val="20"/>
          <w:szCs w:val="20"/>
        </w:rPr>
        <w:t xml:space="preserve">the </w:t>
      </w:r>
      <w:r w:rsidR="00941D23" w:rsidRPr="00CD1947">
        <w:rPr>
          <w:rFonts w:ascii="Times New Roman" w:hAnsi="Times New Roman" w:cs="Times New Roman"/>
          <w:sz w:val="20"/>
          <w:szCs w:val="20"/>
        </w:rPr>
        <w:t>coverage</w:t>
      </w:r>
      <w:r w:rsidR="004E11DC" w:rsidRPr="00CD1947">
        <w:rPr>
          <w:rFonts w:ascii="Times New Roman" w:hAnsi="Times New Roman" w:cs="Times New Roman"/>
          <w:sz w:val="20"/>
          <w:szCs w:val="20"/>
        </w:rPr>
        <w:t xml:space="preserve"> of insurance is not at </w:t>
      </w:r>
      <w:proofErr w:type="gramStart"/>
      <w:r w:rsidR="004E11DC" w:rsidRPr="00CD1947">
        <w:rPr>
          <w:rFonts w:ascii="Times New Roman" w:hAnsi="Times New Roman" w:cs="Times New Roman"/>
          <w:sz w:val="20"/>
          <w:szCs w:val="20"/>
        </w:rPr>
        <w:t xml:space="preserve">the </w:t>
      </w:r>
      <w:r w:rsidR="00941D23" w:rsidRPr="00CD1947">
        <w:rPr>
          <w:rFonts w:ascii="Times New Roman" w:hAnsi="Times New Roman" w:cs="Times New Roman"/>
          <w:sz w:val="20"/>
          <w:szCs w:val="20"/>
        </w:rPr>
        <w:t xml:space="preserve"> level</w:t>
      </w:r>
      <w:proofErr w:type="gramEnd"/>
      <w:r w:rsidR="00941D23" w:rsidRPr="00CD1947">
        <w:rPr>
          <w:rFonts w:ascii="Times New Roman" w:hAnsi="Times New Roman" w:cs="Times New Roman"/>
          <w:sz w:val="20"/>
          <w:szCs w:val="20"/>
        </w:rPr>
        <w:t xml:space="preserve">. Insurance industry of Bangladesh has been facing </w:t>
      </w:r>
      <w:r w:rsidR="00C4302B" w:rsidRPr="00CD1947">
        <w:rPr>
          <w:rFonts w:ascii="Times New Roman" w:hAnsi="Times New Roman" w:cs="Times New Roman"/>
          <w:sz w:val="20"/>
          <w:szCs w:val="20"/>
        </w:rPr>
        <w:t>variety</w:t>
      </w:r>
      <w:r w:rsidR="00941D23" w:rsidRPr="00CD1947">
        <w:rPr>
          <w:rFonts w:ascii="Times New Roman" w:hAnsi="Times New Roman" w:cs="Times New Roman"/>
          <w:sz w:val="20"/>
          <w:szCs w:val="20"/>
        </w:rPr>
        <w:t xml:space="preserve"> of threats to operate the insuranc</w:t>
      </w:r>
      <w:r w:rsidR="00C4302B" w:rsidRPr="00CD1947">
        <w:rPr>
          <w:rFonts w:ascii="Times New Roman" w:hAnsi="Times New Roman" w:cs="Times New Roman"/>
          <w:sz w:val="20"/>
          <w:szCs w:val="20"/>
        </w:rPr>
        <w:t>e activities smoothly</w:t>
      </w:r>
      <w:r w:rsidR="00787CBF" w:rsidRPr="00CD1947">
        <w:rPr>
          <w:sz w:val="20"/>
          <w:szCs w:val="20"/>
        </w:rPr>
        <w:t xml:space="preserve"> </w:t>
      </w:r>
      <w:r w:rsidR="00787CBF" w:rsidRPr="00CD1947">
        <w:rPr>
          <w:rFonts w:ascii="Times New Roman" w:hAnsi="Times New Roman" w:cs="Times New Roman"/>
          <w:sz w:val="20"/>
          <w:szCs w:val="20"/>
        </w:rPr>
        <w:t>and to gain a competitive sustainable development.</w:t>
      </w:r>
    </w:p>
    <w:p w:rsidR="000E34F7" w:rsidRPr="00CD1947" w:rsidRDefault="00CD1947" w:rsidP="00CD1947">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ab/>
      </w:r>
      <w:r w:rsidR="00C2366F" w:rsidRPr="00CD1947">
        <w:rPr>
          <w:rFonts w:ascii="Times New Roman" w:hAnsi="Times New Roman" w:cs="Times New Roman"/>
          <w:sz w:val="20"/>
          <w:szCs w:val="20"/>
        </w:rPr>
        <w:t xml:space="preserve">Rashid (2019) refers a </w:t>
      </w:r>
      <w:r w:rsidR="003549A5" w:rsidRPr="00CD1947">
        <w:rPr>
          <w:rFonts w:ascii="Times New Roman" w:hAnsi="Times New Roman" w:cs="Times New Roman"/>
          <w:sz w:val="20"/>
          <w:szCs w:val="20"/>
        </w:rPr>
        <w:t xml:space="preserve">recent study by PwC, </w:t>
      </w:r>
      <w:r w:rsidR="00C52649" w:rsidRPr="00CD1947">
        <w:rPr>
          <w:rFonts w:ascii="Times New Roman" w:hAnsi="Times New Roman" w:cs="Times New Roman"/>
          <w:sz w:val="20"/>
          <w:szCs w:val="20"/>
        </w:rPr>
        <w:t>most of the people of Bangladesh do not believe to insurance service provider like agent</w:t>
      </w:r>
      <w:r w:rsidR="00594CE0" w:rsidRPr="00CD1947">
        <w:rPr>
          <w:rFonts w:ascii="Times New Roman" w:hAnsi="Times New Roman" w:cs="Times New Roman"/>
          <w:sz w:val="20"/>
          <w:szCs w:val="20"/>
        </w:rPr>
        <w:t xml:space="preserve">s and they are not aware about different segment of insurance products. </w:t>
      </w:r>
      <w:proofErr w:type="gramStart"/>
      <w:r w:rsidR="00594CE0" w:rsidRPr="00CD1947">
        <w:rPr>
          <w:rFonts w:ascii="Times New Roman" w:hAnsi="Times New Roman" w:cs="Times New Roman"/>
          <w:sz w:val="20"/>
          <w:szCs w:val="20"/>
        </w:rPr>
        <w:t>Due to the problem</w:t>
      </w:r>
      <w:r w:rsidR="000E34F7" w:rsidRPr="00CD1947">
        <w:rPr>
          <w:rFonts w:ascii="Times New Roman" w:hAnsi="Times New Roman" w:cs="Times New Roman"/>
          <w:sz w:val="20"/>
          <w:szCs w:val="20"/>
        </w:rPr>
        <w:t xml:space="preserve">s of claims settlement also the </w:t>
      </w:r>
      <w:r w:rsidR="00594CE0" w:rsidRPr="00CD1947">
        <w:rPr>
          <w:rFonts w:ascii="Times New Roman" w:hAnsi="Times New Roman" w:cs="Times New Roman"/>
          <w:sz w:val="20"/>
          <w:szCs w:val="20"/>
        </w:rPr>
        <w:t>deteriorate</w:t>
      </w:r>
      <w:r w:rsidR="000E34F7" w:rsidRPr="00CD1947">
        <w:rPr>
          <w:rFonts w:ascii="Times New Roman" w:hAnsi="Times New Roman" w:cs="Times New Roman"/>
          <w:sz w:val="20"/>
          <w:szCs w:val="20"/>
        </w:rPr>
        <w:t>d</w:t>
      </w:r>
      <w:r w:rsidR="00594CE0" w:rsidRPr="00CD1947">
        <w:rPr>
          <w:rFonts w:ascii="Times New Roman" w:hAnsi="Times New Roman" w:cs="Times New Roman"/>
          <w:sz w:val="20"/>
          <w:szCs w:val="20"/>
        </w:rPr>
        <w:t xml:space="preserve"> the </w:t>
      </w:r>
      <w:r w:rsidR="00B90CEC" w:rsidRPr="00CD1947">
        <w:rPr>
          <w:rFonts w:ascii="Times New Roman" w:hAnsi="Times New Roman" w:cs="Times New Roman"/>
          <w:sz w:val="20"/>
          <w:szCs w:val="20"/>
        </w:rPr>
        <w:t>relationship between the insured and insurer.</w:t>
      </w:r>
      <w:proofErr w:type="gramEnd"/>
      <w:r w:rsidR="00C52649" w:rsidRPr="00CD1947">
        <w:rPr>
          <w:rFonts w:ascii="Times New Roman" w:hAnsi="Times New Roman" w:cs="Times New Roman"/>
          <w:sz w:val="20"/>
          <w:szCs w:val="20"/>
        </w:rPr>
        <w:t xml:space="preserve"> </w:t>
      </w:r>
      <w:r w:rsidR="00B90CEC" w:rsidRPr="00CD1947">
        <w:rPr>
          <w:rFonts w:ascii="Times New Roman" w:hAnsi="Times New Roman" w:cs="Times New Roman"/>
          <w:sz w:val="20"/>
          <w:szCs w:val="20"/>
        </w:rPr>
        <w:t>There is a shortage of adequate skill professional to provide insurance services of the optimum level. Most of the people of B</w:t>
      </w:r>
      <w:r w:rsidR="00FB1925" w:rsidRPr="00CD1947">
        <w:rPr>
          <w:rFonts w:ascii="Times New Roman" w:hAnsi="Times New Roman" w:cs="Times New Roman"/>
          <w:sz w:val="20"/>
          <w:szCs w:val="20"/>
        </w:rPr>
        <w:t xml:space="preserve">angladesh are </w:t>
      </w:r>
      <w:r w:rsidR="000E34F7" w:rsidRPr="00CD1947">
        <w:rPr>
          <w:rFonts w:ascii="Times New Roman" w:hAnsi="Times New Roman" w:cs="Times New Roman"/>
          <w:sz w:val="20"/>
          <w:szCs w:val="20"/>
        </w:rPr>
        <w:t>poor,</w:t>
      </w:r>
      <w:r w:rsidR="00FB1925" w:rsidRPr="00CD1947">
        <w:rPr>
          <w:rFonts w:ascii="Times New Roman" w:hAnsi="Times New Roman" w:cs="Times New Roman"/>
          <w:sz w:val="20"/>
          <w:szCs w:val="20"/>
        </w:rPr>
        <w:t xml:space="preserve"> due to the uneven income distribution and they have no disposable income for buying insurance product. This uneven income level hampers the growth of overall insurance penetration and density.</w:t>
      </w:r>
      <w:r w:rsidR="00F95715" w:rsidRPr="00CD1947">
        <w:rPr>
          <w:rFonts w:ascii="Times New Roman" w:hAnsi="Times New Roman" w:cs="Times New Roman"/>
          <w:sz w:val="20"/>
          <w:szCs w:val="20"/>
        </w:rPr>
        <w:t xml:space="preserve"> </w:t>
      </w:r>
      <w:r w:rsidR="00FB1925" w:rsidRPr="00CD1947">
        <w:rPr>
          <w:rFonts w:ascii="Times New Roman" w:hAnsi="Times New Roman" w:cs="Times New Roman"/>
          <w:sz w:val="20"/>
          <w:szCs w:val="20"/>
        </w:rPr>
        <w:t>Globally,</w:t>
      </w:r>
      <w:r w:rsidR="00F95715" w:rsidRPr="00CD1947">
        <w:rPr>
          <w:rFonts w:ascii="Times New Roman" w:hAnsi="Times New Roman" w:cs="Times New Roman"/>
          <w:sz w:val="20"/>
          <w:szCs w:val="20"/>
        </w:rPr>
        <w:t xml:space="preserve"> automation has been adapted for providing </w:t>
      </w:r>
      <w:proofErr w:type="gramStart"/>
      <w:r w:rsidR="00F95715" w:rsidRPr="00CD1947">
        <w:rPr>
          <w:rFonts w:ascii="Times New Roman" w:hAnsi="Times New Roman" w:cs="Times New Roman"/>
          <w:sz w:val="20"/>
          <w:szCs w:val="20"/>
        </w:rPr>
        <w:t>optimize</w:t>
      </w:r>
      <w:proofErr w:type="gramEnd"/>
      <w:r w:rsidR="00F95715" w:rsidRPr="00CD1947">
        <w:rPr>
          <w:rFonts w:ascii="Times New Roman" w:hAnsi="Times New Roman" w:cs="Times New Roman"/>
          <w:sz w:val="20"/>
          <w:szCs w:val="20"/>
        </w:rPr>
        <w:t xml:space="preserve"> customer service and streamline process. But, in </w:t>
      </w:r>
      <w:r w:rsidR="000E34F7" w:rsidRPr="00CD1947">
        <w:rPr>
          <w:rFonts w:ascii="Times New Roman" w:hAnsi="Times New Roman" w:cs="Times New Roman"/>
          <w:sz w:val="20"/>
          <w:szCs w:val="20"/>
        </w:rPr>
        <w:t>Bangladesh</w:t>
      </w:r>
      <w:r w:rsidR="00F95715" w:rsidRPr="00CD1947">
        <w:rPr>
          <w:rFonts w:ascii="Times New Roman" w:hAnsi="Times New Roman" w:cs="Times New Roman"/>
          <w:sz w:val="20"/>
          <w:szCs w:val="20"/>
        </w:rPr>
        <w:t>, there is</w:t>
      </w:r>
      <w:r w:rsidR="0098704A" w:rsidRPr="00CD1947">
        <w:rPr>
          <w:rFonts w:ascii="Times New Roman" w:hAnsi="Times New Roman" w:cs="Times New Roman"/>
          <w:sz w:val="20"/>
          <w:szCs w:val="20"/>
        </w:rPr>
        <w:t xml:space="preserve"> no vast scope for utilizing IT support. </w:t>
      </w:r>
      <w:r w:rsidR="00F95715" w:rsidRPr="00CD1947">
        <w:rPr>
          <w:rFonts w:ascii="Times New Roman" w:hAnsi="Times New Roman" w:cs="Times New Roman"/>
          <w:sz w:val="20"/>
          <w:szCs w:val="20"/>
        </w:rPr>
        <w:t>As a result, insurance firms do not</w:t>
      </w:r>
      <w:r w:rsidR="00DF41A8" w:rsidRPr="00CD1947">
        <w:rPr>
          <w:rFonts w:ascii="Times New Roman" w:hAnsi="Times New Roman" w:cs="Times New Roman"/>
          <w:sz w:val="20"/>
          <w:szCs w:val="20"/>
        </w:rPr>
        <w:t xml:space="preserve"> preserve the actual and </w:t>
      </w:r>
      <w:r w:rsidR="00DB5725" w:rsidRPr="00CD1947">
        <w:rPr>
          <w:rFonts w:ascii="Times New Roman" w:hAnsi="Times New Roman" w:cs="Times New Roman"/>
          <w:sz w:val="20"/>
          <w:szCs w:val="20"/>
        </w:rPr>
        <w:t>recent statistical</w:t>
      </w:r>
      <w:r w:rsidR="00F95715" w:rsidRPr="00CD1947">
        <w:rPr>
          <w:rFonts w:ascii="Times New Roman" w:hAnsi="Times New Roman" w:cs="Times New Roman"/>
          <w:sz w:val="20"/>
          <w:szCs w:val="20"/>
        </w:rPr>
        <w:t xml:space="preserve"> information, which is very important factor to provide better quality services in the modern world</w:t>
      </w:r>
      <w:r w:rsidR="00DB5725" w:rsidRPr="00CD1947">
        <w:rPr>
          <w:rFonts w:ascii="Times New Roman" w:hAnsi="Times New Roman" w:cs="Times New Roman"/>
          <w:sz w:val="20"/>
          <w:szCs w:val="20"/>
          <w:vertAlign w:val="superscript"/>
        </w:rPr>
        <w:t>13</w:t>
      </w:r>
      <w:r w:rsidR="000E34F7" w:rsidRPr="00CD1947">
        <w:rPr>
          <w:rFonts w:ascii="Times New Roman" w:hAnsi="Times New Roman" w:cs="Times New Roman"/>
          <w:sz w:val="20"/>
          <w:szCs w:val="20"/>
        </w:rPr>
        <w:t>.</w:t>
      </w:r>
      <w:r w:rsidR="00C2366F" w:rsidRPr="00CD1947">
        <w:rPr>
          <w:rFonts w:ascii="Times New Roman" w:hAnsi="Times New Roman" w:cs="Times New Roman"/>
          <w:sz w:val="20"/>
          <w:szCs w:val="20"/>
        </w:rPr>
        <w:t xml:space="preserve"> </w:t>
      </w:r>
    </w:p>
    <w:p w:rsidR="009E14A5" w:rsidRPr="00BC1661" w:rsidRDefault="00CD1947" w:rsidP="00BC1661">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ab/>
      </w:r>
      <w:proofErr w:type="spellStart"/>
      <w:r w:rsidR="000E34F7" w:rsidRPr="00CD1947">
        <w:rPr>
          <w:rFonts w:ascii="Times New Roman" w:hAnsi="Times New Roman" w:cs="Times New Roman"/>
          <w:sz w:val="20"/>
          <w:szCs w:val="20"/>
        </w:rPr>
        <w:t>Mamun</w:t>
      </w:r>
      <w:proofErr w:type="spellEnd"/>
      <w:r w:rsidR="000E34F7" w:rsidRPr="00CD1947">
        <w:rPr>
          <w:rFonts w:ascii="Times New Roman" w:hAnsi="Times New Roman" w:cs="Times New Roman"/>
          <w:sz w:val="20"/>
          <w:szCs w:val="20"/>
        </w:rPr>
        <w:t xml:space="preserve"> (2016) defined four main aspects of threats on insurance sector of Bangladesh. </w:t>
      </w:r>
      <w:proofErr w:type="gramStart"/>
      <w:r w:rsidR="000E34F7" w:rsidRPr="00CD1947">
        <w:rPr>
          <w:rFonts w:ascii="Times New Roman" w:hAnsi="Times New Roman" w:cs="Times New Roman"/>
          <w:sz w:val="20"/>
          <w:szCs w:val="20"/>
        </w:rPr>
        <w:t>Marketing problems in very strong position to the growth of insurance industry further more.</w:t>
      </w:r>
      <w:proofErr w:type="gramEnd"/>
      <w:r w:rsidR="000E34F7" w:rsidRPr="00CD1947">
        <w:rPr>
          <w:rFonts w:ascii="Times New Roman" w:hAnsi="Times New Roman" w:cs="Times New Roman"/>
          <w:sz w:val="20"/>
          <w:szCs w:val="20"/>
        </w:rPr>
        <w:t xml:space="preserve">  Another three threats are consisted to the human </w:t>
      </w:r>
      <w:r w:rsidR="007A252F" w:rsidRPr="00CD1947">
        <w:rPr>
          <w:rFonts w:ascii="Times New Roman" w:hAnsi="Times New Roman" w:cs="Times New Roman"/>
          <w:sz w:val="20"/>
          <w:szCs w:val="20"/>
        </w:rPr>
        <w:t>resource</w:t>
      </w:r>
      <w:r w:rsidR="000E34F7" w:rsidRPr="00CD1947">
        <w:rPr>
          <w:rFonts w:ascii="Times New Roman" w:hAnsi="Times New Roman" w:cs="Times New Roman"/>
          <w:sz w:val="20"/>
          <w:szCs w:val="20"/>
        </w:rPr>
        <w:t xml:space="preserve"> management operations and ethical aspects. Lack of qualified insurance personnel is the most significant problem</w:t>
      </w:r>
      <w:r w:rsidR="007A252F" w:rsidRPr="00CD1947">
        <w:rPr>
          <w:rFonts w:ascii="Times New Roman" w:hAnsi="Times New Roman" w:cs="Times New Roman"/>
          <w:sz w:val="20"/>
          <w:szCs w:val="20"/>
        </w:rPr>
        <w:t xml:space="preserve"> among human resource management </w:t>
      </w:r>
      <w:proofErr w:type="spellStart"/>
      <w:r w:rsidR="007A252F" w:rsidRPr="00CD1947">
        <w:rPr>
          <w:rFonts w:ascii="Times New Roman" w:hAnsi="Times New Roman" w:cs="Times New Roman"/>
          <w:sz w:val="20"/>
          <w:szCs w:val="20"/>
        </w:rPr>
        <w:t>threats.Major</w:t>
      </w:r>
      <w:proofErr w:type="spellEnd"/>
      <w:r w:rsidR="007A252F" w:rsidRPr="00CD1947">
        <w:rPr>
          <w:rFonts w:ascii="Times New Roman" w:hAnsi="Times New Roman" w:cs="Times New Roman"/>
          <w:sz w:val="20"/>
          <w:szCs w:val="20"/>
        </w:rPr>
        <w:t xml:space="preserve"> marketing problems are</w:t>
      </w:r>
      <w:r w:rsidR="002F5C46" w:rsidRPr="00CD1947">
        <w:rPr>
          <w:rFonts w:ascii="Times New Roman" w:hAnsi="Times New Roman" w:cs="Times New Roman"/>
          <w:sz w:val="20"/>
          <w:szCs w:val="20"/>
        </w:rPr>
        <w:t xml:space="preserve"> shortage of awareness about wording of policies and advantages which will come from </w:t>
      </w:r>
      <w:proofErr w:type="spellStart"/>
      <w:r w:rsidR="002F5C46" w:rsidRPr="00CD1947">
        <w:rPr>
          <w:rFonts w:ascii="Times New Roman" w:hAnsi="Times New Roman" w:cs="Times New Roman"/>
          <w:sz w:val="20"/>
          <w:szCs w:val="20"/>
        </w:rPr>
        <w:t>policies.</w:t>
      </w:r>
      <w:r w:rsidR="007A252F" w:rsidRPr="00CD1947">
        <w:rPr>
          <w:rFonts w:ascii="Times New Roman" w:hAnsi="Times New Roman" w:cs="Times New Roman"/>
          <w:sz w:val="20"/>
          <w:szCs w:val="20"/>
        </w:rPr>
        <w:t>.Lack</w:t>
      </w:r>
      <w:proofErr w:type="spellEnd"/>
      <w:r w:rsidR="007A252F" w:rsidRPr="00CD1947">
        <w:rPr>
          <w:rFonts w:ascii="Times New Roman" w:hAnsi="Times New Roman" w:cs="Times New Roman"/>
          <w:sz w:val="20"/>
          <w:szCs w:val="20"/>
        </w:rPr>
        <w:t xml:space="preserve"> of professional knowledge of the staff, inadequate IT supports </w:t>
      </w:r>
      <w:proofErr w:type="gramStart"/>
      <w:r w:rsidR="007A252F" w:rsidRPr="00CD1947">
        <w:rPr>
          <w:rFonts w:ascii="Times New Roman" w:hAnsi="Times New Roman" w:cs="Times New Roman"/>
          <w:sz w:val="20"/>
          <w:szCs w:val="20"/>
        </w:rPr>
        <w:t>are</w:t>
      </w:r>
      <w:proofErr w:type="gramEnd"/>
      <w:r w:rsidR="007A252F" w:rsidRPr="00CD1947">
        <w:rPr>
          <w:rFonts w:ascii="Times New Roman" w:hAnsi="Times New Roman" w:cs="Times New Roman"/>
          <w:sz w:val="20"/>
          <w:szCs w:val="20"/>
        </w:rPr>
        <w:t xml:space="preserve"> the marketing problems.</w:t>
      </w:r>
      <w:r w:rsidR="000E34F7" w:rsidRPr="00CD1947">
        <w:rPr>
          <w:rFonts w:ascii="Times New Roman" w:hAnsi="Times New Roman" w:cs="Times New Roman"/>
          <w:sz w:val="20"/>
          <w:szCs w:val="20"/>
        </w:rPr>
        <w:t xml:space="preserve"> </w:t>
      </w:r>
      <w:r w:rsidR="00667E74" w:rsidRPr="00CD1947">
        <w:rPr>
          <w:rFonts w:ascii="Times New Roman" w:hAnsi="Times New Roman" w:cs="Times New Roman"/>
          <w:sz w:val="20"/>
          <w:szCs w:val="20"/>
        </w:rPr>
        <w:t xml:space="preserve">Ethical problems are unhealthy competition and agent’s </w:t>
      </w:r>
      <w:r w:rsidR="00BF0522" w:rsidRPr="00CD1947">
        <w:rPr>
          <w:rFonts w:ascii="Times New Roman" w:hAnsi="Times New Roman" w:cs="Times New Roman"/>
          <w:sz w:val="20"/>
          <w:szCs w:val="20"/>
        </w:rPr>
        <w:t>malpractices</w:t>
      </w:r>
      <w:r w:rsidR="00DB5725" w:rsidRPr="00CD1947">
        <w:rPr>
          <w:rFonts w:ascii="Times New Roman" w:hAnsi="Times New Roman" w:cs="Times New Roman"/>
          <w:sz w:val="20"/>
          <w:szCs w:val="20"/>
          <w:vertAlign w:val="superscript"/>
        </w:rPr>
        <w:t>14</w:t>
      </w:r>
      <w:r w:rsidR="00BF0522" w:rsidRPr="00CD1947">
        <w:rPr>
          <w:rFonts w:ascii="Times New Roman" w:hAnsi="Times New Roman" w:cs="Times New Roman"/>
          <w:sz w:val="20"/>
          <w:szCs w:val="20"/>
        </w:rPr>
        <w:t>.</w:t>
      </w:r>
    </w:p>
    <w:p w:rsidR="00DB5725" w:rsidRPr="00CD1947" w:rsidRDefault="00CD1947" w:rsidP="00CD1947">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ab/>
      </w:r>
      <w:r w:rsidR="00BF0522" w:rsidRPr="00CD1947">
        <w:rPr>
          <w:rFonts w:ascii="Times New Roman" w:hAnsi="Times New Roman" w:cs="Times New Roman"/>
          <w:sz w:val="20"/>
          <w:szCs w:val="20"/>
        </w:rPr>
        <w:t>Due to the uncomfortable nature of capital market, insurance firms are not interest to invest in stock market and shortage of qualified manpower and legal bindings are intertwine with this sector for making unpopular insurance in Bangladesh (Ali,2018)</w:t>
      </w:r>
      <w:r w:rsidR="00DB5725" w:rsidRPr="00CD1947">
        <w:rPr>
          <w:rFonts w:ascii="Times New Roman" w:hAnsi="Times New Roman" w:cs="Times New Roman"/>
          <w:sz w:val="20"/>
          <w:szCs w:val="20"/>
          <w:vertAlign w:val="superscript"/>
        </w:rPr>
        <w:t>15</w:t>
      </w:r>
      <w:r w:rsidR="00BF0522" w:rsidRPr="00CD1947">
        <w:rPr>
          <w:rFonts w:ascii="Times New Roman" w:hAnsi="Times New Roman" w:cs="Times New Roman"/>
          <w:sz w:val="20"/>
          <w:szCs w:val="20"/>
        </w:rPr>
        <w:t>.</w:t>
      </w:r>
    </w:p>
    <w:p w:rsidR="00BF0522" w:rsidRPr="00CD1947" w:rsidRDefault="00CD1947" w:rsidP="00CD1947">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ab/>
      </w:r>
      <w:r w:rsidR="00BF0522" w:rsidRPr="00CD1947">
        <w:rPr>
          <w:rFonts w:ascii="Times New Roman" w:hAnsi="Times New Roman" w:cs="Times New Roman"/>
          <w:sz w:val="20"/>
          <w:szCs w:val="20"/>
        </w:rPr>
        <w:t>Khan and Uddin,(2009 ) identified that , low return on investment in stock,</w:t>
      </w:r>
      <w:r w:rsidR="00EB5F38" w:rsidRPr="00CD1947">
        <w:rPr>
          <w:rFonts w:ascii="Times New Roman" w:hAnsi="Times New Roman" w:cs="Times New Roman"/>
          <w:sz w:val="20"/>
          <w:szCs w:val="20"/>
        </w:rPr>
        <w:t xml:space="preserve"> </w:t>
      </w:r>
      <w:r w:rsidR="00BF0522" w:rsidRPr="00CD1947">
        <w:rPr>
          <w:rFonts w:ascii="Times New Roman" w:hAnsi="Times New Roman" w:cs="Times New Roman"/>
          <w:sz w:val="20"/>
          <w:szCs w:val="20"/>
        </w:rPr>
        <w:t xml:space="preserve">lack of </w:t>
      </w:r>
      <w:r w:rsidR="00EB5F38" w:rsidRPr="00CD1947">
        <w:rPr>
          <w:rFonts w:ascii="Times New Roman" w:hAnsi="Times New Roman" w:cs="Times New Roman"/>
          <w:sz w:val="20"/>
          <w:szCs w:val="20"/>
        </w:rPr>
        <w:t>transference</w:t>
      </w:r>
      <w:r w:rsidR="00BF0522" w:rsidRPr="00CD1947">
        <w:rPr>
          <w:rFonts w:ascii="Times New Roman" w:hAnsi="Times New Roman" w:cs="Times New Roman"/>
          <w:sz w:val="20"/>
          <w:szCs w:val="20"/>
        </w:rPr>
        <w:t xml:space="preserve"> , tendency to invest in fixed assets and government securities are the obstacles or threats of this sector.</w:t>
      </w:r>
      <w:r w:rsidR="00935319" w:rsidRPr="00CD1947">
        <w:rPr>
          <w:rFonts w:ascii="Times New Roman" w:hAnsi="Times New Roman" w:cs="Times New Roman"/>
          <w:sz w:val="20"/>
          <w:szCs w:val="20"/>
        </w:rPr>
        <w:t xml:space="preserve"> Imperfect marketing </w:t>
      </w:r>
      <w:r w:rsidR="0056066C" w:rsidRPr="00CD1947">
        <w:rPr>
          <w:rFonts w:ascii="Times New Roman" w:hAnsi="Times New Roman" w:cs="Times New Roman"/>
          <w:sz w:val="20"/>
          <w:szCs w:val="20"/>
        </w:rPr>
        <w:t>techniques, shortage</w:t>
      </w:r>
      <w:r w:rsidR="00935319" w:rsidRPr="00CD1947">
        <w:rPr>
          <w:rFonts w:ascii="Times New Roman" w:hAnsi="Times New Roman" w:cs="Times New Roman"/>
          <w:sz w:val="20"/>
          <w:szCs w:val="20"/>
        </w:rPr>
        <w:t xml:space="preserve"> of </w:t>
      </w:r>
      <w:r w:rsidR="0056066C" w:rsidRPr="00CD1947">
        <w:rPr>
          <w:rFonts w:ascii="Times New Roman" w:hAnsi="Times New Roman" w:cs="Times New Roman"/>
          <w:sz w:val="20"/>
          <w:szCs w:val="20"/>
        </w:rPr>
        <w:t>advertisement</w:t>
      </w:r>
      <w:r w:rsidR="00935319" w:rsidRPr="00CD1947">
        <w:rPr>
          <w:rFonts w:ascii="Times New Roman" w:hAnsi="Times New Roman" w:cs="Times New Roman"/>
          <w:sz w:val="20"/>
          <w:szCs w:val="20"/>
        </w:rPr>
        <w:t>, improper market segmentation and bureaucratic procedure are significant existing threats of insurance industry in Bangladesh</w:t>
      </w:r>
      <w:r w:rsidR="00DB5725" w:rsidRPr="00CD1947">
        <w:rPr>
          <w:rFonts w:ascii="Times New Roman" w:hAnsi="Times New Roman" w:cs="Times New Roman"/>
          <w:sz w:val="20"/>
          <w:szCs w:val="20"/>
          <w:vertAlign w:val="superscript"/>
        </w:rPr>
        <w:t>16</w:t>
      </w:r>
      <w:r w:rsidR="00935319" w:rsidRPr="00CD1947">
        <w:rPr>
          <w:rFonts w:ascii="Times New Roman" w:hAnsi="Times New Roman" w:cs="Times New Roman"/>
          <w:sz w:val="20"/>
          <w:szCs w:val="20"/>
        </w:rPr>
        <w:t xml:space="preserve">. </w:t>
      </w:r>
    </w:p>
    <w:p w:rsidR="00952611" w:rsidRPr="00CD1947" w:rsidRDefault="00CD1947" w:rsidP="00CD1947">
      <w:pPr>
        <w:spacing w:after="12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ab/>
      </w:r>
      <w:r w:rsidR="002336D7" w:rsidRPr="00CD1947">
        <w:rPr>
          <w:rFonts w:ascii="Times New Roman" w:eastAsia="Times New Roman" w:hAnsi="Times New Roman" w:cs="Times New Roman"/>
          <w:sz w:val="20"/>
          <w:szCs w:val="20"/>
        </w:rPr>
        <w:t>Ali (2020) found that core threats of this sector are shortages of advertisement, shortage of skill manpower, scarcity of marketing policy, nonappearance of business ethics, legal complexity, inefficient agent, poor IT support, inadequate return on investment, shortage of transparency, shortage of public awareness and traditional management</w:t>
      </w:r>
      <w:r w:rsidR="00DB5725" w:rsidRPr="00CD1947">
        <w:rPr>
          <w:rFonts w:ascii="Times New Roman" w:eastAsia="Times New Roman" w:hAnsi="Times New Roman" w:cs="Times New Roman"/>
          <w:sz w:val="20"/>
          <w:szCs w:val="20"/>
          <w:vertAlign w:val="superscript"/>
        </w:rPr>
        <w:t>17</w:t>
      </w:r>
      <w:r w:rsidR="002336D7" w:rsidRPr="00CD1947">
        <w:rPr>
          <w:rFonts w:ascii="Times New Roman" w:eastAsia="Times New Roman" w:hAnsi="Times New Roman" w:cs="Times New Roman"/>
          <w:b/>
          <w:sz w:val="20"/>
          <w:szCs w:val="20"/>
        </w:rPr>
        <w:t>.</w:t>
      </w:r>
    </w:p>
    <w:p w:rsidR="00A25DFC" w:rsidRPr="00CD1947" w:rsidRDefault="00CD1947" w:rsidP="00371A21">
      <w:pPr>
        <w:pStyle w:val="ListParagraph"/>
        <w:spacing w:after="120" w:line="240" w:lineRule="auto"/>
        <w:ind w:left="450"/>
        <w:jc w:val="center"/>
        <w:rPr>
          <w:rFonts w:ascii="Times New Roman" w:eastAsia="Times New Roman" w:hAnsi="Times New Roman" w:cs="Times New Roman"/>
          <w:sz w:val="20"/>
          <w:szCs w:val="20"/>
        </w:rPr>
      </w:pPr>
      <w:r w:rsidRPr="00CD1947">
        <w:rPr>
          <w:rFonts w:ascii="Times New Roman" w:hAnsi="Times New Roman" w:cs="Times New Roman"/>
          <w:b/>
          <w:sz w:val="20"/>
          <w:szCs w:val="20"/>
        </w:rPr>
        <w:lastRenderedPageBreak/>
        <w:t>VIII.</w:t>
      </w:r>
      <w:r w:rsidR="00A25DFC" w:rsidRPr="00CD1947">
        <w:rPr>
          <w:rFonts w:ascii="Times New Roman" w:hAnsi="Times New Roman" w:cs="Times New Roman"/>
          <w:sz w:val="20"/>
          <w:szCs w:val="20"/>
        </w:rPr>
        <w:t xml:space="preserve"> </w:t>
      </w:r>
      <w:r w:rsidR="00A25DFC" w:rsidRPr="00CD1947">
        <w:rPr>
          <w:rFonts w:ascii="Times New Roman" w:hAnsi="Times New Roman" w:cs="Times New Roman"/>
          <w:b/>
          <w:sz w:val="20"/>
          <w:szCs w:val="20"/>
        </w:rPr>
        <w:t>Opportunities of Insurance Industry in Bangladesh</w:t>
      </w:r>
    </w:p>
    <w:p w:rsidR="00397391" w:rsidRPr="00CD1947" w:rsidRDefault="004C40EE" w:rsidP="0076371B">
      <w:pPr>
        <w:spacing w:after="120" w:line="240" w:lineRule="auto"/>
        <w:ind w:left="90" w:hanging="1357"/>
        <w:jc w:val="both"/>
        <w:rPr>
          <w:rFonts w:ascii="Times New Roman" w:hAnsi="Times New Roman" w:cs="Times New Roman"/>
          <w:sz w:val="20"/>
          <w:szCs w:val="20"/>
        </w:rPr>
      </w:pPr>
      <w:r w:rsidRPr="00392765">
        <w:rPr>
          <w:rFonts w:ascii="Times New Roman" w:hAnsi="Times New Roman" w:cs="Times New Roman"/>
          <w:color w:val="00B050"/>
          <w:sz w:val="24"/>
          <w:szCs w:val="24"/>
        </w:rPr>
        <w:t xml:space="preserve"> </w:t>
      </w:r>
      <w:r w:rsidR="00CD1947">
        <w:rPr>
          <w:rFonts w:ascii="Times New Roman" w:hAnsi="Times New Roman" w:cs="Times New Roman"/>
          <w:color w:val="00B050"/>
          <w:sz w:val="24"/>
          <w:szCs w:val="24"/>
        </w:rPr>
        <w:t xml:space="preserve">                    </w:t>
      </w:r>
      <w:r w:rsidR="00CD1947">
        <w:rPr>
          <w:rFonts w:ascii="Times New Roman" w:hAnsi="Times New Roman" w:cs="Times New Roman"/>
          <w:color w:val="00B050"/>
          <w:sz w:val="24"/>
          <w:szCs w:val="24"/>
        </w:rPr>
        <w:tab/>
      </w:r>
      <w:r w:rsidR="00CD1947">
        <w:rPr>
          <w:rFonts w:ascii="Times New Roman" w:hAnsi="Times New Roman" w:cs="Times New Roman"/>
          <w:color w:val="00B050"/>
          <w:sz w:val="24"/>
          <w:szCs w:val="24"/>
        </w:rPr>
        <w:tab/>
      </w:r>
      <w:r w:rsidR="00CD1947" w:rsidRPr="00CD1947">
        <w:rPr>
          <w:rFonts w:ascii="Times New Roman" w:hAnsi="Times New Roman" w:cs="Times New Roman"/>
          <w:sz w:val="20"/>
          <w:szCs w:val="20"/>
        </w:rPr>
        <w:t xml:space="preserve">Bangladesh obtained an annual GDP growth rate of 8.2% in FY2019-20 whereas in India 4.2% and </w:t>
      </w:r>
      <w:r w:rsidR="00CD1947">
        <w:rPr>
          <w:rFonts w:ascii="Times New Roman" w:hAnsi="Times New Roman" w:cs="Times New Roman"/>
          <w:sz w:val="20"/>
          <w:szCs w:val="20"/>
        </w:rPr>
        <w:t xml:space="preserve">    </w:t>
      </w:r>
      <w:r w:rsidR="00CD1947" w:rsidRPr="00CD1947">
        <w:rPr>
          <w:rFonts w:ascii="Times New Roman" w:hAnsi="Times New Roman" w:cs="Times New Roman"/>
          <w:sz w:val="20"/>
          <w:szCs w:val="20"/>
        </w:rPr>
        <w:t xml:space="preserve">Pakistan 1.05% (BBS, 2020). The growth rate of GDP of Bangladesh has been increasing fixedly for the last ten years and has taken initiative for the infrastructural development. Some mega projects are implementing under this  government i.e. Padma bridge, Dhaka metro rail, </w:t>
      </w:r>
      <w:proofErr w:type="spellStart"/>
      <w:r w:rsidR="00CD1947" w:rsidRPr="00CD1947">
        <w:rPr>
          <w:rFonts w:ascii="Times New Roman" w:hAnsi="Times New Roman" w:cs="Times New Roman"/>
          <w:sz w:val="20"/>
          <w:szCs w:val="20"/>
        </w:rPr>
        <w:t>Ruppur</w:t>
      </w:r>
      <w:proofErr w:type="spellEnd"/>
      <w:r w:rsidR="00CD1947" w:rsidRPr="00CD1947">
        <w:rPr>
          <w:rFonts w:ascii="Times New Roman" w:hAnsi="Times New Roman" w:cs="Times New Roman"/>
          <w:sz w:val="20"/>
          <w:szCs w:val="20"/>
        </w:rPr>
        <w:t xml:space="preserve"> Nuclear power plant, </w:t>
      </w:r>
      <w:proofErr w:type="spellStart"/>
      <w:r w:rsidR="00CD1947" w:rsidRPr="00CD1947">
        <w:rPr>
          <w:rFonts w:ascii="Times New Roman" w:hAnsi="Times New Roman" w:cs="Times New Roman"/>
          <w:sz w:val="20"/>
          <w:szCs w:val="20"/>
        </w:rPr>
        <w:t>Bangabandhu</w:t>
      </w:r>
      <w:proofErr w:type="spellEnd"/>
      <w:r w:rsidR="00CD1947" w:rsidRPr="00CD1947">
        <w:rPr>
          <w:rFonts w:ascii="Times New Roman" w:hAnsi="Times New Roman" w:cs="Times New Roman"/>
          <w:sz w:val="20"/>
          <w:szCs w:val="20"/>
        </w:rPr>
        <w:t xml:space="preserve"> Satellite-1 and </w:t>
      </w:r>
      <w:proofErr w:type="spellStart"/>
      <w:r w:rsidR="00CD1947" w:rsidRPr="00CD1947">
        <w:rPr>
          <w:rFonts w:ascii="Times New Roman" w:hAnsi="Times New Roman" w:cs="Times New Roman"/>
          <w:sz w:val="20"/>
          <w:szCs w:val="20"/>
        </w:rPr>
        <w:t>Karnophuli</w:t>
      </w:r>
      <w:proofErr w:type="spellEnd"/>
      <w:r w:rsidR="00CD1947" w:rsidRPr="00CD1947">
        <w:rPr>
          <w:rFonts w:ascii="Times New Roman" w:hAnsi="Times New Roman" w:cs="Times New Roman"/>
          <w:sz w:val="20"/>
          <w:szCs w:val="20"/>
        </w:rPr>
        <w:t xml:space="preserve"> Tunnel etc. For this reason many opportunities has been created for the insurance industry in Bangladesh. </w:t>
      </w:r>
      <w:proofErr w:type="gramStart"/>
      <w:r w:rsidR="00CD1947" w:rsidRPr="00CD1947">
        <w:rPr>
          <w:rFonts w:ascii="Times New Roman" w:hAnsi="Times New Roman" w:cs="Times New Roman"/>
          <w:sz w:val="20"/>
          <w:szCs w:val="20"/>
        </w:rPr>
        <w:t>Besides, a huge consumption, government investment, export of readymade garments (RMG) high growth of remittance which supporting the increase in individual earnings and growth of midlevel people.</w:t>
      </w:r>
      <w:proofErr w:type="gramEnd"/>
    </w:p>
    <w:p w:rsidR="0076371B" w:rsidRDefault="0076371B" w:rsidP="0076371B">
      <w:pPr>
        <w:spacing w:after="120" w:line="240" w:lineRule="auto"/>
        <w:ind w:left="90"/>
        <w:jc w:val="both"/>
        <w:rPr>
          <w:rFonts w:ascii="Times New Roman" w:hAnsi="Times New Roman" w:cs="Times New Roman"/>
          <w:sz w:val="20"/>
          <w:szCs w:val="20"/>
        </w:rPr>
      </w:pPr>
      <w:r>
        <w:rPr>
          <w:rFonts w:ascii="Times New Roman" w:hAnsi="Times New Roman" w:cs="Times New Roman"/>
          <w:sz w:val="20"/>
          <w:szCs w:val="20"/>
        </w:rPr>
        <w:tab/>
      </w:r>
      <w:r w:rsidR="00371A21" w:rsidRPr="0076371B">
        <w:rPr>
          <w:rFonts w:ascii="Times New Roman" w:hAnsi="Times New Roman" w:cs="Times New Roman"/>
          <w:sz w:val="20"/>
          <w:szCs w:val="20"/>
        </w:rPr>
        <w:t xml:space="preserve">  </w:t>
      </w:r>
      <w:r w:rsidR="00FE735A" w:rsidRPr="0076371B">
        <w:rPr>
          <w:rFonts w:ascii="Times New Roman" w:hAnsi="Times New Roman" w:cs="Times New Roman"/>
          <w:sz w:val="20"/>
          <w:szCs w:val="20"/>
        </w:rPr>
        <w:t>Rashid (2019</w:t>
      </w:r>
      <w:proofErr w:type="gramStart"/>
      <w:r w:rsidR="00FE735A" w:rsidRPr="0076371B">
        <w:rPr>
          <w:rFonts w:ascii="Times New Roman" w:hAnsi="Times New Roman" w:cs="Times New Roman"/>
          <w:sz w:val="20"/>
          <w:szCs w:val="20"/>
        </w:rPr>
        <w:t>),</w:t>
      </w:r>
      <w:proofErr w:type="gramEnd"/>
      <w:r w:rsidR="005B5465" w:rsidRPr="0076371B">
        <w:rPr>
          <w:rFonts w:ascii="Times New Roman" w:hAnsi="Times New Roman" w:cs="Times New Roman"/>
          <w:sz w:val="20"/>
          <w:szCs w:val="20"/>
        </w:rPr>
        <w:t xml:space="preserve"> </w:t>
      </w:r>
      <w:r w:rsidR="00FE735A" w:rsidRPr="0076371B">
        <w:rPr>
          <w:rFonts w:ascii="Times New Roman" w:hAnsi="Times New Roman" w:cs="Times New Roman"/>
          <w:sz w:val="20"/>
          <w:szCs w:val="20"/>
        </w:rPr>
        <w:t>seems that there is a potential growth of insurance sector as pe</w:t>
      </w:r>
      <w:r w:rsidR="00371A21" w:rsidRPr="0076371B">
        <w:rPr>
          <w:rFonts w:ascii="Times New Roman" w:hAnsi="Times New Roman" w:cs="Times New Roman"/>
          <w:sz w:val="20"/>
          <w:szCs w:val="20"/>
        </w:rPr>
        <w:t xml:space="preserve">r Asian’s unprecedented growth </w:t>
      </w:r>
      <w:r w:rsidR="00FE735A" w:rsidRPr="0076371B">
        <w:rPr>
          <w:rFonts w:ascii="Times New Roman" w:hAnsi="Times New Roman" w:cs="Times New Roman"/>
          <w:sz w:val="20"/>
          <w:szCs w:val="20"/>
        </w:rPr>
        <w:t>which represents a high share of overall life insuranc</w:t>
      </w:r>
      <w:r w:rsidR="00851AC9" w:rsidRPr="0076371B">
        <w:rPr>
          <w:rFonts w:ascii="Times New Roman" w:hAnsi="Times New Roman" w:cs="Times New Roman"/>
          <w:sz w:val="20"/>
          <w:szCs w:val="20"/>
        </w:rPr>
        <w:t>e premium between 2016 and 2025and this growth was rising from 11.6% to 21.7%</w:t>
      </w:r>
      <w:r w:rsidR="00A25DFC" w:rsidRPr="0076371B">
        <w:rPr>
          <w:rFonts w:ascii="Times New Roman" w:hAnsi="Times New Roman" w:cs="Times New Roman"/>
          <w:sz w:val="20"/>
          <w:szCs w:val="20"/>
          <w:vertAlign w:val="superscript"/>
        </w:rPr>
        <w:t>18</w:t>
      </w:r>
      <w:r w:rsidR="00851AC9" w:rsidRPr="0076371B">
        <w:rPr>
          <w:rFonts w:ascii="Times New Roman" w:hAnsi="Times New Roman" w:cs="Times New Roman"/>
          <w:sz w:val="20"/>
          <w:szCs w:val="20"/>
        </w:rPr>
        <w:t>.</w:t>
      </w:r>
      <w:r w:rsidR="00FE735A" w:rsidRPr="0076371B">
        <w:rPr>
          <w:rFonts w:ascii="Times New Roman" w:hAnsi="Times New Roman" w:cs="Times New Roman"/>
          <w:sz w:val="20"/>
          <w:szCs w:val="20"/>
        </w:rPr>
        <w:t xml:space="preserve"> </w:t>
      </w:r>
      <w:proofErr w:type="spellStart"/>
      <w:r w:rsidR="00851AC9" w:rsidRPr="0076371B">
        <w:rPr>
          <w:rFonts w:ascii="Times New Roman" w:hAnsi="Times New Roman" w:cs="Times New Roman"/>
          <w:sz w:val="20"/>
          <w:szCs w:val="20"/>
        </w:rPr>
        <w:t>Mamun</w:t>
      </w:r>
      <w:proofErr w:type="spellEnd"/>
      <w:r w:rsidR="00851AC9" w:rsidRPr="0076371B">
        <w:rPr>
          <w:rFonts w:ascii="Times New Roman" w:hAnsi="Times New Roman" w:cs="Times New Roman"/>
          <w:sz w:val="20"/>
          <w:szCs w:val="20"/>
        </w:rPr>
        <w:t xml:space="preserve"> (2016) suggest that </w:t>
      </w:r>
      <w:r w:rsidR="00252B3F" w:rsidRPr="0076371B">
        <w:rPr>
          <w:rFonts w:ascii="Times New Roman" w:hAnsi="Times New Roman" w:cs="Times New Roman"/>
          <w:sz w:val="20"/>
          <w:szCs w:val="20"/>
        </w:rPr>
        <w:t>since</w:t>
      </w:r>
      <w:r w:rsidR="00FE735A" w:rsidRPr="0076371B">
        <w:rPr>
          <w:rFonts w:ascii="Times New Roman" w:hAnsi="Times New Roman" w:cs="Times New Roman"/>
          <w:sz w:val="20"/>
          <w:szCs w:val="20"/>
        </w:rPr>
        <w:t xml:space="preserve"> economic expansion is happening </w:t>
      </w:r>
      <w:r w:rsidR="00851AC9" w:rsidRPr="0076371B">
        <w:rPr>
          <w:rFonts w:ascii="Times New Roman" w:hAnsi="Times New Roman" w:cs="Times New Roman"/>
          <w:sz w:val="20"/>
          <w:szCs w:val="20"/>
        </w:rPr>
        <w:t>in Bangladesh, so there is a big scope of growing fire insurance, marine insurance and micro finance insurance in Bangladesh</w:t>
      </w:r>
      <w:r w:rsidR="00A25DFC" w:rsidRPr="0076371B">
        <w:rPr>
          <w:rFonts w:ascii="Times New Roman" w:hAnsi="Times New Roman" w:cs="Times New Roman"/>
          <w:sz w:val="20"/>
          <w:szCs w:val="20"/>
          <w:vertAlign w:val="superscript"/>
        </w:rPr>
        <w:t>19</w:t>
      </w:r>
      <w:r w:rsidR="00851AC9" w:rsidRPr="0076371B">
        <w:rPr>
          <w:rFonts w:ascii="Times New Roman" w:hAnsi="Times New Roman" w:cs="Times New Roman"/>
          <w:sz w:val="20"/>
          <w:szCs w:val="20"/>
        </w:rPr>
        <w:t>.</w:t>
      </w:r>
    </w:p>
    <w:p w:rsidR="00371A21" w:rsidRPr="0076371B" w:rsidRDefault="0076371B" w:rsidP="0076371B">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ab/>
      </w:r>
      <w:r w:rsidR="009C52DC" w:rsidRPr="0076371B">
        <w:rPr>
          <w:rFonts w:ascii="Times New Roman" w:hAnsi="Times New Roman" w:cs="Times New Roman"/>
          <w:sz w:val="20"/>
          <w:szCs w:val="20"/>
        </w:rPr>
        <w:t xml:space="preserve">Most of the cities of Bangladesh will be decorated by the mid and rich classes </w:t>
      </w:r>
      <w:r w:rsidR="0022581D" w:rsidRPr="0076371B">
        <w:rPr>
          <w:rFonts w:ascii="Times New Roman" w:hAnsi="Times New Roman" w:cs="Times New Roman"/>
          <w:sz w:val="20"/>
          <w:szCs w:val="20"/>
        </w:rPr>
        <w:t>people, which</w:t>
      </w:r>
      <w:r w:rsidR="009C52DC" w:rsidRPr="0076371B">
        <w:rPr>
          <w:rFonts w:ascii="Times New Roman" w:hAnsi="Times New Roman" w:cs="Times New Roman"/>
          <w:sz w:val="20"/>
          <w:szCs w:val="20"/>
        </w:rPr>
        <w:t xml:space="preserve"> is the future target of the current government.</w:t>
      </w:r>
      <w:r w:rsidR="007F4AA8" w:rsidRPr="0076371B">
        <w:rPr>
          <w:rFonts w:ascii="Times New Roman" w:hAnsi="Times New Roman" w:cs="Times New Roman"/>
          <w:sz w:val="20"/>
          <w:szCs w:val="20"/>
        </w:rPr>
        <w:t xml:space="preserve"> </w:t>
      </w:r>
      <w:r w:rsidR="00770DFA" w:rsidRPr="0076371B">
        <w:rPr>
          <w:rFonts w:ascii="Times New Roman" w:hAnsi="Times New Roman" w:cs="Times New Roman"/>
          <w:sz w:val="20"/>
          <w:szCs w:val="20"/>
        </w:rPr>
        <w:t xml:space="preserve">For </w:t>
      </w:r>
      <w:r w:rsidR="004C0F22" w:rsidRPr="0076371B">
        <w:rPr>
          <w:rFonts w:ascii="Times New Roman" w:hAnsi="Times New Roman" w:cs="Times New Roman"/>
          <w:sz w:val="20"/>
          <w:szCs w:val="20"/>
        </w:rPr>
        <w:t>that reason,</w:t>
      </w:r>
      <w:r w:rsidR="00770DFA" w:rsidRPr="0076371B">
        <w:rPr>
          <w:rFonts w:ascii="Times New Roman" w:hAnsi="Times New Roman" w:cs="Times New Roman"/>
          <w:sz w:val="20"/>
          <w:szCs w:val="20"/>
        </w:rPr>
        <w:t xml:space="preserve"> there is a scope to increase the demand for the insurance policies.</w:t>
      </w:r>
      <w:r w:rsidR="004C0F22" w:rsidRPr="0076371B">
        <w:rPr>
          <w:rFonts w:ascii="Times New Roman" w:hAnsi="Times New Roman" w:cs="Times New Roman"/>
          <w:sz w:val="20"/>
          <w:szCs w:val="20"/>
        </w:rPr>
        <w:t xml:space="preserve">  Bangladesh is suspecting a growth</w:t>
      </w:r>
      <w:r w:rsidR="00FC132E" w:rsidRPr="0076371B">
        <w:rPr>
          <w:rFonts w:ascii="Times New Roman" w:hAnsi="Times New Roman" w:cs="Times New Roman"/>
          <w:sz w:val="20"/>
          <w:szCs w:val="20"/>
        </w:rPr>
        <w:t xml:space="preserve"> at 7.04 %</w:t>
      </w:r>
      <w:r w:rsidR="004C0F22" w:rsidRPr="0076371B">
        <w:rPr>
          <w:rFonts w:ascii="Times New Roman" w:hAnsi="Times New Roman" w:cs="Times New Roman"/>
          <w:sz w:val="20"/>
          <w:szCs w:val="20"/>
        </w:rPr>
        <w:t xml:space="preserve"> of insurance penetration</w:t>
      </w:r>
      <w:r w:rsidR="00FC132E" w:rsidRPr="0076371B">
        <w:rPr>
          <w:rFonts w:ascii="Times New Roman" w:hAnsi="Times New Roman" w:cs="Times New Roman"/>
          <w:sz w:val="20"/>
          <w:szCs w:val="20"/>
        </w:rPr>
        <w:t xml:space="preserve"> by the year 2020. </w:t>
      </w:r>
      <w:r w:rsidR="00252B3F" w:rsidRPr="0076371B">
        <w:rPr>
          <w:rFonts w:ascii="Times New Roman" w:hAnsi="Times New Roman" w:cs="Times New Roman"/>
          <w:sz w:val="20"/>
          <w:szCs w:val="20"/>
        </w:rPr>
        <w:t>Life insurance area estimated a growth by 6.45% in 2020 (Rashid, 2019)</w:t>
      </w:r>
      <w:r w:rsidR="00252B3F" w:rsidRPr="0076371B">
        <w:rPr>
          <w:rFonts w:ascii="Times New Roman" w:hAnsi="Times New Roman" w:cs="Times New Roman"/>
          <w:sz w:val="20"/>
          <w:szCs w:val="20"/>
          <w:vertAlign w:val="superscript"/>
        </w:rPr>
        <w:t>20</w:t>
      </w:r>
      <w:r w:rsidR="00252B3F" w:rsidRPr="0076371B">
        <w:rPr>
          <w:rFonts w:ascii="Times New Roman" w:hAnsi="Times New Roman" w:cs="Times New Roman"/>
          <w:sz w:val="20"/>
          <w:szCs w:val="20"/>
        </w:rPr>
        <w:t>.</w:t>
      </w:r>
    </w:p>
    <w:p w:rsidR="00324D79" w:rsidRPr="00371A21" w:rsidRDefault="00371A21" w:rsidP="00371A21">
      <w:pPr>
        <w:spacing w:after="120" w:line="240" w:lineRule="auto"/>
        <w:jc w:val="both"/>
        <w:rPr>
          <w:rFonts w:ascii="Times New Roman" w:hAnsi="Times New Roman" w:cs="Times New Roman"/>
          <w:sz w:val="20"/>
          <w:szCs w:val="20"/>
        </w:rPr>
      </w:pPr>
      <w:r>
        <w:rPr>
          <w:rFonts w:ascii="Times New Roman" w:hAnsi="Times New Roman" w:cs="Times New Roman"/>
          <w:sz w:val="24"/>
          <w:szCs w:val="24"/>
        </w:rPr>
        <w:tab/>
      </w:r>
      <w:proofErr w:type="spellStart"/>
      <w:r w:rsidR="00787CBF" w:rsidRPr="00371A21">
        <w:rPr>
          <w:rFonts w:ascii="Times New Roman" w:hAnsi="Times New Roman" w:cs="Times New Roman"/>
          <w:sz w:val="20"/>
          <w:szCs w:val="20"/>
        </w:rPr>
        <w:t>Mamun</w:t>
      </w:r>
      <w:proofErr w:type="spellEnd"/>
      <w:r w:rsidR="00787CBF" w:rsidRPr="00371A21">
        <w:rPr>
          <w:rFonts w:ascii="Times New Roman" w:hAnsi="Times New Roman" w:cs="Times New Roman"/>
          <w:sz w:val="20"/>
          <w:szCs w:val="20"/>
        </w:rPr>
        <w:t xml:space="preserve"> (2016) suggested that taking some initiatives may improve the current condition of this sector in Bangladesh which includes attracting and retaining qualified professionals, organizing frequent training programs, focusing on IT development, adapting creative marketing strategies, eliminating unhealthy competition, increasing return on investment and going for merger and acquisition if required. Besides, developing and implementing creative marketing strategies, adoption of uniform policies, focusing on innovation, logical need based segmentation of clients, increasing awareness among mass people, more investment in research and development and implementation of dynamic management style can improve the performance of this sector and assist to acquire sustainable competitive position</w:t>
      </w:r>
      <w:r w:rsidR="00A25DFC" w:rsidRPr="00371A21">
        <w:rPr>
          <w:rFonts w:ascii="Times New Roman" w:hAnsi="Times New Roman" w:cs="Times New Roman"/>
          <w:sz w:val="20"/>
          <w:szCs w:val="20"/>
          <w:vertAlign w:val="superscript"/>
        </w:rPr>
        <w:t>21</w:t>
      </w:r>
      <w:r w:rsidR="007F4AA8" w:rsidRPr="00371A21">
        <w:rPr>
          <w:rFonts w:ascii="Times New Roman" w:hAnsi="Times New Roman" w:cs="Times New Roman"/>
          <w:sz w:val="20"/>
          <w:szCs w:val="20"/>
        </w:rPr>
        <w:t>.</w:t>
      </w:r>
    </w:p>
    <w:p w:rsidR="00371A21" w:rsidRPr="0076371B" w:rsidRDefault="0076371B" w:rsidP="0076371B">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ab/>
      </w:r>
      <w:proofErr w:type="gramStart"/>
      <w:r w:rsidR="00DA711F" w:rsidRPr="0076371B">
        <w:rPr>
          <w:rFonts w:ascii="Times New Roman" w:hAnsi="Times New Roman" w:cs="Times New Roman"/>
          <w:sz w:val="20"/>
          <w:szCs w:val="20"/>
        </w:rPr>
        <w:t xml:space="preserve">In Bangladesh, </w:t>
      </w:r>
      <w:r w:rsidR="00770DFA" w:rsidRPr="0076371B">
        <w:rPr>
          <w:rFonts w:ascii="Times New Roman" w:hAnsi="Times New Roman" w:cs="Times New Roman"/>
          <w:sz w:val="20"/>
          <w:szCs w:val="20"/>
        </w:rPr>
        <w:t>agro-based economy containing a portion of one third employment in all aspect of our national economy.</w:t>
      </w:r>
      <w:proofErr w:type="gramEnd"/>
      <w:r w:rsidR="00DA711F" w:rsidRPr="0076371B">
        <w:rPr>
          <w:rFonts w:ascii="Times New Roman" w:hAnsi="Times New Roman" w:cs="Times New Roman"/>
          <w:sz w:val="20"/>
          <w:szCs w:val="20"/>
        </w:rPr>
        <w:t xml:space="preserve"> The natural calamity is </w:t>
      </w:r>
      <w:proofErr w:type="gramStart"/>
      <w:r w:rsidR="00DA711F" w:rsidRPr="0076371B">
        <w:rPr>
          <w:rFonts w:ascii="Times New Roman" w:hAnsi="Times New Roman" w:cs="Times New Roman"/>
          <w:sz w:val="20"/>
          <w:szCs w:val="20"/>
        </w:rPr>
        <w:t>a common event which occur</w:t>
      </w:r>
      <w:proofErr w:type="gramEnd"/>
      <w:r w:rsidR="00DA711F" w:rsidRPr="0076371B">
        <w:rPr>
          <w:rFonts w:ascii="Times New Roman" w:hAnsi="Times New Roman" w:cs="Times New Roman"/>
          <w:sz w:val="20"/>
          <w:szCs w:val="20"/>
        </w:rPr>
        <w:t xml:space="preserve"> in every year. Agriculture productions are affected by natural calamity like flood, cyclone, over rain fall, short rain fall etc. In average, 50% crops are deducted from rural house due to the natural calamity. There are a few agriculture insurance product providers in Bangladesh. </w:t>
      </w:r>
      <w:r w:rsidR="00B6508F" w:rsidRPr="0076371B">
        <w:rPr>
          <w:rFonts w:ascii="Times New Roman" w:hAnsi="Times New Roman" w:cs="Times New Roman"/>
          <w:sz w:val="20"/>
          <w:szCs w:val="20"/>
        </w:rPr>
        <w:t>To provide crops insurance and cattle insurance products for the rural people is an opportunity of insurance industry in Bangladesh. If it can be covered to agriculture crops by the product of crops insurance, the penetration and density of insurance will be increased. .</w:t>
      </w:r>
    </w:p>
    <w:p w:rsidR="00E25037" w:rsidRDefault="0076371B" w:rsidP="0076371B">
      <w:pPr>
        <w:spacing w:after="120" w:line="240" w:lineRule="auto"/>
        <w:jc w:val="both"/>
        <w:rPr>
          <w:rFonts w:ascii="Times New Roman" w:hAnsi="Times New Roman" w:cs="Times New Roman"/>
          <w:sz w:val="24"/>
          <w:szCs w:val="24"/>
        </w:rPr>
      </w:pPr>
      <w:r>
        <w:rPr>
          <w:rFonts w:ascii="Times New Roman" w:hAnsi="Times New Roman" w:cs="Times New Roman"/>
          <w:sz w:val="20"/>
          <w:szCs w:val="20"/>
        </w:rPr>
        <w:tab/>
      </w:r>
      <w:r w:rsidR="00B6508F" w:rsidRPr="0076371B">
        <w:rPr>
          <w:rFonts w:ascii="Times New Roman" w:hAnsi="Times New Roman" w:cs="Times New Roman"/>
          <w:sz w:val="20"/>
          <w:szCs w:val="20"/>
        </w:rPr>
        <w:t xml:space="preserve">For instance, Weather Index Based Crops Insurance (WIBCI) project was implemented under the supervision of Saharan </w:t>
      </w:r>
      <w:proofErr w:type="spellStart"/>
      <w:r w:rsidR="00B6508F" w:rsidRPr="0076371B">
        <w:rPr>
          <w:rFonts w:ascii="Times New Roman" w:hAnsi="Times New Roman" w:cs="Times New Roman"/>
          <w:sz w:val="20"/>
          <w:szCs w:val="20"/>
        </w:rPr>
        <w:t>Bima</w:t>
      </w:r>
      <w:proofErr w:type="spellEnd"/>
      <w:r w:rsidR="00B6508F" w:rsidRPr="0076371B">
        <w:rPr>
          <w:rFonts w:ascii="Times New Roman" w:hAnsi="Times New Roman" w:cs="Times New Roman"/>
          <w:sz w:val="20"/>
          <w:szCs w:val="20"/>
        </w:rPr>
        <w:t xml:space="preserve"> Corporation</w:t>
      </w:r>
      <w:r w:rsidR="007A2C41" w:rsidRPr="0076371B">
        <w:rPr>
          <w:rFonts w:ascii="Times New Roman" w:hAnsi="Times New Roman" w:cs="Times New Roman"/>
          <w:sz w:val="20"/>
          <w:szCs w:val="20"/>
        </w:rPr>
        <w:t xml:space="preserve"> </w:t>
      </w:r>
      <w:r w:rsidR="00B6508F" w:rsidRPr="0076371B">
        <w:rPr>
          <w:rFonts w:ascii="Times New Roman" w:hAnsi="Times New Roman" w:cs="Times New Roman"/>
          <w:sz w:val="20"/>
          <w:szCs w:val="20"/>
        </w:rPr>
        <w:t xml:space="preserve">(SBC) and Asian Development Bank (ADB). If this experience is implemented </w:t>
      </w:r>
      <w:r w:rsidR="00680AA4" w:rsidRPr="0076371B">
        <w:rPr>
          <w:rFonts w:ascii="Times New Roman" w:hAnsi="Times New Roman" w:cs="Times New Roman"/>
          <w:sz w:val="20"/>
          <w:szCs w:val="20"/>
        </w:rPr>
        <w:t>whole over</w:t>
      </w:r>
      <w:r w:rsidR="00680AA4" w:rsidRPr="0076371B">
        <w:rPr>
          <w:rFonts w:ascii="Times New Roman" w:hAnsi="Times New Roman" w:cs="Times New Roman"/>
          <w:sz w:val="24"/>
          <w:szCs w:val="24"/>
        </w:rPr>
        <w:t xml:space="preserve"> the country, the scenario of both agriculture sector and insurance industry</w:t>
      </w:r>
    </w:p>
    <w:p w:rsidR="00E25037" w:rsidRPr="00621A8C" w:rsidRDefault="00E25037" w:rsidP="00E25037">
      <w:pPr>
        <w:spacing w:after="120" w:line="240" w:lineRule="auto"/>
        <w:ind w:left="360" w:hanging="1267"/>
        <w:jc w:val="both"/>
        <w:rPr>
          <w:rFonts w:ascii="Times New Roman" w:hAnsi="Times New Roman" w:cs="Times New Roman"/>
          <w:sz w:val="16"/>
          <w:szCs w:val="16"/>
        </w:rPr>
      </w:pPr>
      <w:r>
        <w:rPr>
          <w:rFonts w:ascii="Times New Roman" w:hAnsi="Times New Roman" w:cs="Times New Roman"/>
          <w:sz w:val="20"/>
          <w:szCs w:val="20"/>
        </w:rPr>
        <w:t xml:space="preserve">                         </w:t>
      </w:r>
      <w:r w:rsidRPr="00621A8C">
        <w:rPr>
          <w:rFonts w:ascii="Times New Roman" w:hAnsi="Times New Roman" w:cs="Times New Roman"/>
          <w:sz w:val="16"/>
          <w:szCs w:val="16"/>
        </w:rPr>
        <w:t xml:space="preserve">[13] </w:t>
      </w:r>
      <w:proofErr w:type="spellStart"/>
      <w:r w:rsidRPr="00621A8C">
        <w:rPr>
          <w:rFonts w:ascii="Times New Roman" w:hAnsi="Times New Roman" w:cs="Times New Roman"/>
          <w:sz w:val="16"/>
          <w:szCs w:val="16"/>
        </w:rPr>
        <w:t>Rashid</w:t>
      </w:r>
      <w:proofErr w:type="gramStart"/>
      <w:r w:rsidRPr="00621A8C">
        <w:rPr>
          <w:rFonts w:ascii="Times New Roman" w:hAnsi="Times New Roman" w:cs="Times New Roman"/>
          <w:sz w:val="16"/>
          <w:szCs w:val="16"/>
        </w:rPr>
        <w:t>,M</w:t>
      </w:r>
      <w:proofErr w:type="spellEnd"/>
      <w:proofErr w:type="gramEnd"/>
      <w:r w:rsidRPr="00621A8C">
        <w:rPr>
          <w:rFonts w:ascii="Times New Roman" w:hAnsi="Times New Roman" w:cs="Times New Roman"/>
          <w:sz w:val="16"/>
          <w:szCs w:val="16"/>
        </w:rPr>
        <w:t xml:space="preserve"> 2019), “Transforming our insurance sector”, </w:t>
      </w:r>
      <w:r w:rsidRPr="00621A8C">
        <w:rPr>
          <w:rFonts w:ascii="Times New Roman" w:hAnsi="Times New Roman" w:cs="Times New Roman"/>
          <w:i/>
          <w:sz w:val="16"/>
          <w:szCs w:val="16"/>
        </w:rPr>
        <w:t>Dhaka Tribune</w:t>
      </w:r>
      <w:r w:rsidRPr="00621A8C">
        <w:rPr>
          <w:rFonts w:ascii="Times New Roman" w:hAnsi="Times New Roman" w:cs="Times New Roman"/>
          <w:sz w:val="16"/>
          <w:szCs w:val="16"/>
        </w:rPr>
        <w:t>. Retrieved from https://www.dhakatribune.com/opinion/op-ed/2019/04/28/ transforming-our-</w:t>
      </w:r>
      <w:proofErr w:type="spellStart"/>
      <w:r w:rsidRPr="00621A8C">
        <w:rPr>
          <w:rFonts w:ascii="Times New Roman" w:hAnsi="Times New Roman" w:cs="Times New Roman"/>
          <w:sz w:val="16"/>
          <w:szCs w:val="16"/>
        </w:rPr>
        <w:t>insurancesector</w:t>
      </w:r>
      <w:proofErr w:type="spellEnd"/>
      <w:r w:rsidRPr="00621A8C">
        <w:rPr>
          <w:rFonts w:ascii="Times New Roman" w:hAnsi="Times New Roman" w:cs="Times New Roman"/>
          <w:sz w:val="16"/>
          <w:szCs w:val="16"/>
        </w:rPr>
        <w:t xml:space="preserve"> Reza</w:t>
      </w:r>
    </w:p>
    <w:p w:rsidR="00E25037" w:rsidRPr="00621A8C" w:rsidRDefault="00E25037" w:rsidP="00E25037">
      <w:pPr>
        <w:spacing w:after="120" w:line="240" w:lineRule="auto"/>
        <w:ind w:left="360" w:hanging="1714"/>
        <w:jc w:val="both"/>
        <w:rPr>
          <w:rFonts w:ascii="Times New Roman" w:hAnsi="Times New Roman" w:cs="Times New Roman"/>
          <w:sz w:val="16"/>
          <w:szCs w:val="16"/>
        </w:rPr>
      </w:pPr>
      <w:r w:rsidRPr="00621A8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21A8C">
        <w:rPr>
          <w:rFonts w:ascii="Times New Roman" w:hAnsi="Times New Roman" w:cs="Times New Roman"/>
          <w:sz w:val="16"/>
          <w:szCs w:val="16"/>
        </w:rPr>
        <w:t xml:space="preserve"> [14] </w:t>
      </w:r>
      <w:proofErr w:type="spellStart"/>
      <w:r w:rsidRPr="00621A8C">
        <w:rPr>
          <w:rFonts w:ascii="Times New Roman" w:hAnsi="Times New Roman" w:cs="Times New Roman"/>
          <w:sz w:val="16"/>
          <w:szCs w:val="16"/>
        </w:rPr>
        <w:t>Mamun</w:t>
      </w:r>
      <w:proofErr w:type="spellEnd"/>
      <w:r w:rsidRPr="00621A8C">
        <w:rPr>
          <w:rFonts w:ascii="Times New Roman" w:hAnsi="Times New Roman" w:cs="Times New Roman"/>
          <w:sz w:val="16"/>
          <w:szCs w:val="16"/>
        </w:rPr>
        <w:t xml:space="preserve">, D. M. Z. (2016), “Problems and prospects of insurance business in Bangladesh from the companies’ perspective”, </w:t>
      </w:r>
      <w:r w:rsidRPr="00621A8C">
        <w:rPr>
          <w:rFonts w:ascii="Times New Roman" w:hAnsi="Times New Roman" w:cs="Times New Roman"/>
          <w:i/>
          <w:sz w:val="16"/>
          <w:szCs w:val="16"/>
        </w:rPr>
        <w:t>Insurance Journal,</w:t>
      </w:r>
      <w:r w:rsidRPr="00621A8C">
        <w:rPr>
          <w:rFonts w:ascii="Times New Roman" w:hAnsi="Times New Roman" w:cs="Times New Roman"/>
          <w:sz w:val="16"/>
          <w:szCs w:val="16"/>
        </w:rPr>
        <w:t xml:space="preserve"> Bangladesh Insurance Academy, Vol 62, 5-48</w:t>
      </w:r>
    </w:p>
    <w:p w:rsidR="00E25037" w:rsidRPr="00621A8C" w:rsidRDefault="00E25037" w:rsidP="00E25037">
      <w:pPr>
        <w:spacing w:after="120" w:line="240" w:lineRule="auto"/>
        <w:ind w:left="360" w:hanging="1714"/>
        <w:jc w:val="both"/>
        <w:rPr>
          <w:rFonts w:ascii="Times New Roman" w:hAnsi="Times New Roman" w:cs="Times New Roman"/>
          <w:sz w:val="16"/>
          <w:szCs w:val="16"/>
        </w:rPr>
      </w:pPr>
      <w:r w:rsidRPr="00621A8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21A8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21A8C">
        <w:rPr>
          <w:rFonts w:ascii="Times New Roman" w:hAnsi="Times New Roman" w:cs="Times New Roman"/>
          <w:sz w:val="16"/>
          <w:szCs w:val="16"/>
        </w:rPr>
        <w:t xml:space="preserve"> [15] Ali, K. M. (2018), “Prospects &amp; problems of life insurance in Bangladesh: Challenges ahead,” </w:t>
      </w:r>
      <w:r w:rsidRPr="00621A8C">
        <w:rPr>
          <w:rFonts w:ascii="Times New Roman" w:hAnsi="Times New Roman" w:cs="Times New Roman"/>
          <w:i/>
          <w:sz w:val="16"/>
          <w:szCs w:val="16"/>
        </w:rPr>
        <w:t>Fair Review</w:t>
      </w:r>
      <w:r w:rsidRPr="00621A8C">
        <w:rPr>
          <w:rFonts w:ascii="Times New Roman" w:hAnsi="Times New Roman" w:cs="Times New Roman"/>
          <w:sz w:val="16"/>
          <w:szCs w:val="16"/>
        </w:rPr>
        <w:t>, (1569).</w:t>
      </w:r>
    </w:p>
    <w:p w:rsidR="00E25037" w:rsidRDefault="00E25037" w:rsidP="00E25037">
      <w:pPr>
        <w:spacing w:after="120" w:line="240" w:lineRule="auto"/>
        <w:ind w:left="360" w:hanging="1714"/>
        <w:jc w:val="both"/>
        <w:rPr>
          <w:rFonts w:ascii="Times New Roman" w:hAnsi="Times New Roman" w:cs="Times New Roman"/>
          <w:sz w:val="16"/>
          <w:szCs w:val="16"/>
        </w:rPr>
      </w:pPr>
      <w:r w:rsidRPr="00621A8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21A8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21A8C">
        <w:rPr>
          <w:rFonts w:ascii="Times New Roman" w:hAnsi="Times New Roman" w:cs="Times New Roman"/>
          <w:sz w:val="16"/>
          <w:szCs w:val="16"/>
        </w:rPr>
        <w:t xml:space="preserve">[16]. Uddin, M.N. and Khan, M.S.U. (2005), “Performance Evaluation of Some Private Sector General Insurance Companies in Bangladesh”, </w:t>
      </w:r>
      <w:proofErr w:type="gramStart"/>
      <w:r w:rsidRPr="00621A8C">
        <w:rPr>
          <w:rFonts w:ascii="Times New Roman" w:hAnsi="Times New Roman" w:cs="Times New Roman"/>
          <w:i/>
          <w:iCs/>
          <w:sz w:val="16"/>
          <w:szCs w:val="16"/>
        </w:rPr>
        <w:t>The</w:t>
      </w:r>
      <w:proofErr w:type="gramEnd"/>
      <w:r w:rsidRPr="00621A8C">
        <w:rPr>
          <w:rFonts w:ascii="Times New Roman" w:hAnsi="Times New Roman" w:cs="Times New Roman"/>
          <w:i/>
          <w:iCs/>
          <w:sz w:val="16"/>
          <w:szCs w:val="16"/>
        </w:rPr>
        <w:t xml:space="preserve"> Chittagong University Journal of Business Administration</w:t>
      </w:r>
      <w:r w:rsidRPr="00621A8C">
        <w:rPr>
          <w:rFonts w:ascii="Times New Roman" w:hAnsi="Times New Roman" w:cs="Times New Roman"/>
          <w:sz w:val="16"/>
          <w:szCs w:val="16"/>
        </w:rPr>
        <w:t>,</w:t>
      </w:r>
      <w:r w:rsidRPr="00621A8C">
        <w:rPr>
          <w:rFonts w:ascii="Times New Roman" w:hAnsi="Times New Roman" w:cs="Times New Roman"/>
          <w:i/>
          <w:iCs/>
          <w:sz w:val="16"/>
          <w:szCs w:val="16"/>
        </w:rPr>
        <w:t xml:space="preserve"> </w:t>
      </w:r>
      <w:r w:rsidRPr="00621A8C">
        <w:rPr>
          <w:rFonts w:ascii="Times New Roman" w:hAnsi="Times New Roman" w:cs="Times New Roman"/>
          <w:sz w:val="16"/>
          <w:szCs w:val="16"/>
        </w:rPr>
        <w:t>Vol.20, pp</w:t>
      </w:r>
    </w:p>
    <w:p w:rsidR="00E25037" w:rsidRDefault="00E25037" w:rsidP="00E25037">
      <w:pPr>
        <w:spacing w:after="120" w:line="240" w:lineRule="auto"/>
        <w:ind w:left="360" w:hanging="1714"/>
        <w:jc w:val="both"/>
        <w:rPr>
          <w:rFonts w:ascii="Times New Roman" w:hAnsi="Times New Roman" w:cs="Times New Roman"/>
          <w:sz w:val="16"/>
          <w:szCs w:val="16"/>
        </w:rPr>
      </w:pPr>
      <w:r>
        <w:rPr>
          <w:rFonts w:ascii="Times New Roman" w:hAnsi="Times New Roman" w:cs="Times New Roman"/>
          <w:sz w:val="16"/>
          <w:szCs w:val="16"/>
        </w:rPr>
        <w:t xml:space="preserve">                                              </w:t>
      </w:r>
      <w:r w:rsidRPr="00621A8C">
        <w:rPr>
          <w:rFonts w:ascii="Times New Roman" w:hAnsi="Times New Roman" w:cs="Times New Roman"/>
          <w:sz w:val="16"/>
          <w:szCs w:val="16"/>
        </w:rPr>
        <w:t>[17]. Ali, M. (2020), “Challenges, Prospects and Role of Insurance on Economic Growth in Bangladesh”</w:t>
      </w:r>
      <w:r w:rsidRPr="00621A8C">
        <w:rPr>
          <w:rFonts w:ascii="Times New Roman" w:hAnsi="Times New Roman" w:cs="Times New Roman"/>
          <w:i/>
          <w:sz w:val="16"/>
          <w:szCs w:val="16"/>
        </w:rPr>
        <w:t>, IIUM Journal of Case   Studies in Management</w:t>
      </w:r>
      <w:r w:rsidRPr="00621A8C">
        <w:rPr>
          <w:i/>
          <w:sz w:val="16"/>
          <w:szCs w:val="16"/>
        </w:rPr>
        <w:t>,</w:t>
      </w:r>
      <w:r w:rsidRPr="00621A8C">
        <w:rPr>
          <w:sz w:val="16"/>
          <w:szCs w:val="16"/>
        </w:rPr>
        <w:t xml:space="preserve"> </w:t>
      </w:r>
      <w:r w:rsidRPr="00621A8C">
        <w:rPr>
          <w:rFonts w:ascii="Times New Roman" w:hAnsi="Times New Roman" w:cs="Times New Roman"/>
          <w:sz w:val="16"/>
          <w:szCs w:val="16"/>
        </w:rPr>
        <w:t>Vol. 11(1), Pp 20-27</w:t>
      </w:r>
    </w:p>
    <w:p w:rsidR="00E25037" w:rsidRDefault="00E25037" w:rsidP="00E25037">
      <w:pPr>
        <w:spacing w:after="120" w:line="240" w:lineRule="auto"/>
        <w:ind w:left="360" w:hanging="1714"/>
        <w:jc w:val="both"/>
        <w:rPr>
          <w:rFonts w:ascii="Times New Roman" w:hAnsi="Times New Roman" w:cs="Times New Roman"/>
          <w:sz w:val="16"/>
          <w:szCs w:val="16"/>
        </w:rPr>
      </w:pPr>
      <w:r>
        <w:rPr>
          <w:rFonts w:ascii="Times New Roman" w:hAnsi="Times New Roman" w:cs="Times New Roman"/>
          <w:sz w:val="16"/>
          <w:szCs w:val="16"/>
        </w:rPr>
        <w:t xml:space="preserve">                                              [18]</w:t>
      </w:r>
      <w:r w:rsidRPr="00ED6DEA">
        <w:rPr>
          <w:rFonts w:ascii="Times New Roman" w:hAnsi="Times New Roman" w:cs="Times New Roman"/>
          <w:sz w:val="16"/>
          <w:szCs w:val="16"/>
        </w:rPr>
        <w:t xml:space="preserve"> Rashid, M. (2019), “Transforming our insurance sector”, </w:t>
      </w:r>
      <w:r w:rsidRPr="00ED6DEA">
        <w:rPr>
          <w:rFonts w:ascii="Times New Roman" w:hAnsi="Times New Roman" w:cs="Times New Roman"/>
          <w:i/>
          <w:sz w:val="16"/>
          <w:szCs w:val="16"/>
        </w:rPr>
        <w:t>Dhaka Tribune</w:t>
      </w:r>
      <w:r w:rsidRPr="00ED6DEA">
        <w:rPr>
          <w:rFonts w:ascii="Times New Roman" w:hAnsi="Times New Roman" w:cs="Times New Roman"/>
          <w:sz w:val="16"/>
          <w:szCs w:val="16"/>
        </w:rPr>
        <w:t>. Retrieved from https://www.dhakatribune.com/opinion/op-ed/2019/04/28/ transforming-our-</w:t>
      </w:r>
      <w:proofErr w:type="spellStart"/>
      <w:r w:rsidRPr="00ED6DEA">
        <w:rPr>
          <w:rFonts w:ascii="Times New Roman" w:hAnsi="Times New Roman" w:cs="Times New Roman"/>
          <w:sz w:val="16"/>
          <w:szCs w:val="16"/>
        </w:rPr>
        <w:t>insurancesector</w:t>
      </w:r>
      <w:proofErr w:type="spellEnd"/>
      <w:r w:rsidRPr="00ED6DEA">
        <w:rPr>
          <w:rFonts w:ascii="Times New Roman" w:hAnsi="Times New Roman" w:cs="Times New Roman"/>
          <w:sz w:val="16"/>
          <w:szCs w:val="16"/>
        </w:rPr>
        <w:t xml:space="preserve"> Reza, </w:t>
      </w:r>
    </w:p>
    <w:p w:rsidR="00E25037" w:rsidRPr="00CC0A78" w:rsidRDefault="00E25037" w:rsidP="00E25037">
      <w:pPr>
        <w:spacing w:after="120" w:line="240" w:lineRule="auto"/>
        <w:ind w:left="360" w:hanging="1714"/>
        <w:jc w:val="both"/>
        <w:rPr>
          <w:rFonts w:ascii="Times New Roman" w:hAnsi="Times New Roman" w:cs="Times New Roman"/>
          <w:sz w:val="16"/>
          <w:szCs w:val="16"/>
        </w:rPr>
      </w:pPr>
      <w:r>
        <w:rPr>
          <w:rFonts w:ascii="Times New Roman" w:hAnsi="Times New Roman" w:cs="Times New Roman"/>
          <w:sz w:val="16"/>
          <w:szCs w:val="16"/>
        </w:rPr>
        <w:t xml:space="preserve">                                              [19]</w:t>
      </w:r>
      <w:r w:rsidRPr="00CC0A78">
        <w:rPr>
          <w:rFonts w:ascii="Times New Roman" w:hAnsi="Times New Roman" w:cs="Times New Roman"/>
          <w:sz w:val="16"/>
          <w:szCs w:val="16"/>
        </w:rPr>
        <w:t xml:space="preserve"> </w:t>
      </w:r>
      <w:proofErr w:type="spellStart"/>
      <w:r w:rsidRPr="00CC0A78">
        <w:rPr>
          <w:rFonts w:ascii="Times New Roman" w:hAnsi="Times New Roman" w:cs="Times New Roman"/>
          <w:sz w:val="16"/>
          <w:szCs w:val="16"/>
        </w:rPr>
        <w:t>Mamun</w:t>
      </w:r>
      <w:proofErr w:type="spellEnd"/>
      <w:r w:rsidRPr="00CC0A78">
        <w:rPr>
          <w:rFonts w:ascii="Times New Roman" w:hAnsi="Times New Roman" w:cs="Times New Roman"/>
          <w:sz w:val="16"/>
          <w:szCs w:val="16"/>
        </w:rPr>
        <w:t xml:space="preserve">, D. M. Z. (2016), “Problems and prospects of insurance business in Bangladesh from the companies’ perspective”, </w:t>
      </w:r>
      <w:r w:rsidRPr="00CC0A78">
        <w:rPr>
          <w:rFonts w:ascii="Times New Roman" w:hAnsi="Times New Roman" w:cs="Times New Roman"/>
          <w:i/>
          <w:sz w:val="16"/>
          <w:szCs w:val="16"/>
        </w:rPr>
        <w:t>Insurance Journal,</w:t>
      </w:r>
      <w:r w:rsidRPr="00CC0A78">
        <w:rPr>
          <w:rFonts w:ascii="Times New Roman" w:hAnsi="Times New Roman" w:cs="Times New Roman"/>
          <w:sz w:val="16"/>
          <w:szCs w:val="16"/>
        </w:rPr>
        <w:t xml:space="preserve"> Bangladesh Insurance Academy, Vol 62, 5-48.</w:t>
      </w:r>
    </w:p>
    <w:p w:rsidR="00E25037" w:rsidRDefault="00E25037" w:rsidP="00E25037">
      <w:pPr>
        <w:tabs>
          <w:tab w:val="right" w:pos="9360"/>
        </w:tabs>
        <w:spacing w:after="12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7E4594">
        <w:rPr>
          <w:rFonts w:ascii="Times New Roman" w:hAnsi="Times New Roman" w:cs="Times New Roman"/>
          <w:sz w:val="16"/>
          <w:szCs w:val="16"/>
        </w:rPr>
        <w:t xml:space="preserve"> </w:t>
      </w:r>
      <w:r>
        <w:rPr>
          <w:rFonts w:ascii="Times New Roman" w:hAnsi="Times New Roman" w:cs="Times New Roman"/>
          <w:sz w:val="16"/>
          <w:szCs w:val="16"/>
        </w:rPr>
        <w:t>[20]</w:t>
      </w:r>
      <w:r w:rsidRPr="00A210FA">
        <w:rPr>
          <w:rFonts w:ascii="Times New Roman" w:hAnsi="Times New Roman" w:cs="Times New Roman"/>
          <w:sz w:val="16"/>
          <w:szCs w:val="16"/>
        </w:rPr>
        <w:t xml:space="preserve"> See the foot note no 18</w:t>
      </w:r>
    </w:p>
    <w:p w:rsidR="00E25037" w:rsidRPr="00A210FA" w:rsidRDefault="002371E2" w:rsidP="00E25037">
      <w:pPr>
        <w:tabs>
          <w:tab w:val="right" w:pos="9360"/>
        </w:tabs>
        <w:spacing w:after="12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E25037">
        <w:rPr>
          <w:rFonts w:ascii="Times New Roman" w:hAnsi="Times New Roman" w:cs="Times New Roman"/>
          <w:sz w:val="16"/>
          <w:szCs w:val="16"/>
        </w:rPr>
        <w:t>[21]</w:t>
      </w:r>
      <w:r w:rsidR="00E25037" w:rsidRPr="00A210FA">
        <w:rPr>
          <w:rFonts w:ascii="Times New Roman" w:hAnsi="Times New Roman" w:cs="Times New Roman"/>
          <w:sz w:val="16"/>
          <w:szCs w:val="16"/>
        </w:rPr>
        <w:t xml:space="preserve"> See the foot no 19</w:t>
      </w:r>
    </w:p>
    <w:p w:rsidR="00E25037" w:rsidRDefault="00E25037" w:rsidP="00E25037">
      <w:pPr>
        <w:ind w:firstLine="720"/>
        <w:rPr>
          <w:rFonts w:ascii="Times New Roman" w:hAnsi="Times New Roman" w:cs="Times New Roman"/>
          <w:sz w:val="24"/>
          <w:szCs w:val="24"/>
        </w:rPr>
      </w:pPr>
    </w:p>
    <w:p w:rsidR="00E25037" w:rsidRPr="00E25037" w:rsidRDefault="00E25037" w:rsidP="00E25037">
      <w:pPr>
        <w:rPr>
          <w:rFonts w:ascii="Times New Roman" w:hAnsi="Times New Roman" w:cs="Times New Roman"/>
          <w:sz w:val="24"/>
          <w:szCs w:val="24"/>
        </w:rPr>
        <w:sectPr w:rsidR="00E25037" w:rsidRPr="00E25037" w:rsidSect="0076371B">
          <w:pgSz w:w="12240" w:h="15840"/>
          <w:pgMar w:top="1440" w:right="1440" w:bottom="1440" w:left="1440" w:header="720" w:footer="720" w:gutter="0"/>
          <w:cols w:space="720"/>
          <w:docGrid w:linePitch="360"/>
        </w:sectPr>
      </w:pPr>
    </w:p>
    <w:p w:rsidR="00E25037" w:rsidRPr="0076371B" w:rsidRDefault="00680AA4" w:rsidP="00E25037">
      <w:pPr>
        <w:spacing w:after="120" w:line="240" w:lineRule="auto"/>
        <w:jc w:val="both"/>
        <w:rPr>
          <w:rFonts w:ascii="Times New Roman" w:hAnsi="Times New Roman" w:cs="Times New Roman"/>
          <w:sz w:val="24"/>
          <w:szCs w:val="24"/>
        </w:rPr>
      </w:pPr>
      <w:proofErr w:type="gramStart"/>
      <w:r w:rsidRPr="0076371B">
        <w:rPr>
          <w:rFonts w:ascii="Times New Roman" w:hAnsi="Times New Roman" w:cs="Times New Roman"/>
          <w:sz w:val="24"/>
          <w:szCs w:val="24"/>
        </w:rPr>
        <w:lastRenderedPageBreak/>
        <w:t>will</w:t>
      </w:r>
      <w:proofErr w:type="gramEnd"/>
      <w:r w:rsidRPr="0076371B">
        <w:rPr>
          <w:rFonts w:ascii="Times New Roman" w:hAnsi="Times New Roman" w:cs="Times New Roman"/>
          <w:sz w:val="24"/>
          <w:szCs w:val="24"/>
        </w:rPr>
        <w:t xml:space="preserve"> developed.</w:t>
      </w:r>
      <w:r w:rsidR="00621A8C" w:rsidRPr="00621A8C">
        <w:rPr>
          <w:rFonts w:ascii="Times New Roman" w:hAnsi="Times New Roman" w:cs="Times New Roman"/>
          <w:sz w:val="20"/>
          <w:szCs w:val="20"/>
        </w:rPr>
        <w:t xml:space="preserve"> </w:t>
      </w:r>
      <w:r w:rsidR="00621A8C" w:rsidRPr="0076371B">
        <w:rPr>
          <w:rFonts w:ascii="Times New Roman" w:hAnsi="Times New Roman" w:cs="Times New Roman"/>
          <w:sz w:val="20"/>
          <w:szCs w:val="20"/>
        </w:rPr>
        <w:t>Bangladesh is an over populace country and carrying 8</w:t>
      </w:r>
      <w:r w:rsidR="00621A8C" w:rsidRPr="0076371B">
        <w:rPr>
          <w:rFonts w:ascii="Times New Roman" w:hAnsi="Times New Roman" w:cs="Times New Roman"/>
          <w:sz w:val="20"/>
          <w:szCs w:val="20"/>
          <w:vertAlign w:val="superscript"/>
        </w:rPr>
        <w:t>th</w:t>
      </w:r>
      <w:r w:rsidR="00621A8C" w:rsidRPr="0076371B">
        <w:rPr>
          <w:rFonts w:ascii="Times New Roman" w:hAnsi="Times New Roman" w:cs="Times New Roman"/>
          <w:sz w:val="20"/>
          <w:szCs w:val="20"/>
        </w:rPr>
        <w:t xml:space="preserve"> position in the world. The expenditure on health of Bangladesh is only 2.64% of its GDP which is the lowest in south Asia.</w:t>
      </w:r>
      <w:r w:rsidR="00621A8C" w:rsidRPr="00621A8C">
        <w:rPr>
          <w:rFonts w:ascii="Times New Roman" w:hAnsi="Times New Roman" w:cs="Times New Roman"/>
          <w:sz w:val="20"/>
          <w:szCs w:val="20"/>
        </w:rPr>
        <w:t xml:space="preserve"> </w:t>
      </w:r>
      <w:r w:rsidR="00E25037">
        <w:rPr>
          <w:rFonts w:ascii="Times New Roman" w:hAnsi="Times New Roman" w:cs="Times New Roman"/>
          <w:sz w:val="20"/>
          <w:szCs w:val="20"/>
        </w:rPr>
        <w:t>So, there is an opportunity to</w:t>
      </w:r>
      <w:r w:rsidR="00E25037" w:rsidRPr="00E25037">
        <w:rPr>
          <w:rFonts w:ascii="Times New Roman" w:hAnsi="Times New Roman" w:cs="Times New Roman"/>
          <w:sz w:val="20"/>
          <w:szCs w:val="20"/>
        </w:rPr>
        <w:t xml:space="preserve"> </w:t>
      </w:r>
      <w:r w:rsidR="00E25037" w:rsidRPr="0076371B">
        <w:rPr>
          <w:rFonts w:ascii="Times New Roman" w:hAnsi="Times New Roman" w:cs="Times New Roman"/>
          <w:sz w:val="20"/>
          <w:szCs w:val="20"/>
        </w:rPr>
        <w:t xml:space="preserve">introduce health insurance the people of Bangladesh. A huge volume of premium may </w:t>
      </w:r>
      <w:proofErr w:type="gramStart"/>
      <w:r w:rsidR="00E25037" w:rsidRPr="0076371B">
        <w:rPr>
          <w:rFonts w:ascii="Times New Roman" w:hAnsi="Times New Roman" w:cs="Times New Roman"/>
          <w:sz w:val="20"/>
          <w:szCs w:val="20"/>
        </w:rPr>
        <w:t>earns</w:t>
      </w:r>
      <w:proofErr w:type="gramEnd"/>
      <w:r w:rsidR="00E25037" w:rsidRPr="0076371B">
        <w:rPr>
          <w:rFonts w:ascii="Times New Roman" w:hAnsi="Times New Roman" w:cs="Times New Roman"/>
          <w:sz w:val="20"/>
          <w:szCs w:val="20"/>
        </w:rPr>
        <w:t xml:space="preserve"> by implementing health insurance for the people of Bangladesh.</w:t>
      </w:r>
      <w:r w:rsidR="00E25037" w:rsidRPr="00621A8C">
        <w:rPr>
          <w:rFonts w:ascii="Times New Roman" w:hAnsi="Times New Roman" w:cs="Times New Roman"/>
          <w:sz w:val="20"/>
          <w:szCs w:val="20"/>
        </w:rPr>
        <w:t xml:space="preserve"> </w:t>
      </w:r>
      <w:r w:rsidR="00E25037" w:rsidRPr="0076371B">
        <w:rPr>
          <w:rFonts w:ascii="Times New Roman" w:hAnsi="Times New Roman" w:cs="Times New Roman"/>
          <w:sz w:val="20"/>
          <w:szCs w:val="20"/>
        </w:rPr>
        <w:t>Bangladesh has projected that 60+ age of population will increase about 9.8 million which is the 6.5 % of total population in 2017.</w:t>
      </w:r>
    </w:p>
    <w:p w:rsidR="00E25037" w:rsidRPr="0076371B" w:rsidRDefault="00E25037" w:rsidP="00E25037">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ab/>
      </w:r>
      <w:r w:rsidRPr="0076371B">
        <w:rPr>
          <w:rFonts w:ascii="Times New Roman" w:hAnsi="Times New Roman" w:cs="Times New Roman"/>
          <w:sz w:val="20"/>
          <w:szCs w:val="20"/>
        </w:rPr>
        <w:t xml:space="preserve">Insurance penetration and density of Bangladesh insurance industry can be increased by introducing the concept of Banc assurance. </w:t>
      </w:r>
    </w:p>
    <w:p w:rsidR="00E25037" w:rsidRPr="00A041CB" w:rsidRDefault="00E25037" w:rsidP="00E25037">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ab/>
      </w:r>
      <w:r w:rsidRPr="0076371B">
        <w:rPr>
          <w:rFonts w:ascii="Times New Roman" w:hAnsi="Times New Roman" w:cs="Times New Roman"/>
          <w:sz w:val="20"/>
          <w:szCs w:val="20"/>
        </w:rPr>
        <w:t xml:space="preserve">Banc assurance means a partnership between an insurance institution and a bank where the bank sells the insurance product .This concept will bring the growth of insurance sector and </w:t>
      </w:r>
      <w:proofErr w:type="gramStart"/>
      <w:r w:rsidRPr="0076371B">
        <w:rPr>
          <w:rFonts w:ascii="Times New Roman" w:hAnsi="Times New Roman" w:cs="Times New Roman"/>
          <w:sz w:val="20"/>
          <w:szCs w:val="20"/>
        </w:rPr>
        <w:t>a mutual advantages</w:t>
      </w:r>
      <w:proofErr w:type="gramEnd"/>
      <w:r w:rsidRPr="0076371B">
        <w:rPr>
          <w:rFonts w:ascii="Times New Roman" w:hAnsi="Times New Roman" w:cs="Times New Roman"/>
          <w:sz w:val="20"/>
          <w:szCs w:val="20"/>
        </w:rPr>
        <w:t xml:space="preserve"> for banks, insurers, customers and regulators. Banking system has vast technology &amp; human skill knowledge for providing quality services for customer. Customer can get more customized product including overdraft insurance, depositor’s insurance and loan bundle insurance. Insurance institutions can be launched new financial product in collaboration with their banks.  Besides, it is a trend of customer that, they have more confidence on bank than insurance’s agents in Bangladesh.</w:t>
      </w:r>
    </w:p>
    <w:p w:rsidR="00E25037" w:rsidRDefault="00E25037" w:rsidP="00E25037">
      <w:pPr>
        <w:pStyle w:val="ListParagraph"/>
        <w:tabs>
          <w:tab w:val="right" w:pos="9360"/>
        </w:tabs>
        <w:spacing w:after="120"/>
        <w:ind w:left="990"/>
        <w:jc w:val="center"/>
        <w:rPr>
          <w:rFonts w:ascii="Times New Roman" w:hAnsi="Times New Roman" w:cs="Times New Roman"/>
          <w:b/>
          <w:sz w:val="20"/>
          <w:szCs w:val="20"/>
        </w:rPr>
      </w:pPr>
      <w:proofErr w:type="spellStart"/>
      <w:r>
        <w:rPr>
          <w:rFonts w:ascii="Times New Roman" w:hAnsi="Times New Roman" w:cs="Times New Roman"/>
          <w:b/>
          <w:sz w:val="20"/>
          <w:szCs w:val="20"/>
        </w:rPr>
        <w:t>IX.</w:t>
      </w:r>
      <w:r w:rsidRPr="000A43B8">
        <w:rPr>
          <w:rFonts w:ascii="Times New Roman" w:hAnsi="Times New Roman" w:cs="Times New Roman"/>
          <w:b/>
          <w:sz w:val="20"/>
          <w:szCs w:val="20"/>
        </w:rPr>
        <w:t>Conclusion</w:t>
      </w:r>
      <w:proofErr w:type="spellEnd"/>
      <w:r w:rsidRPr="000A43B8">
        <w:rPr>
          <w:rFonts w:ascii="Times New Roman" w:hAnsi="Times New Roman" w:cs="Times New Roman"/>
          <w:b/>
          <w:sz w:val="20"/>
          <w:szCs w:val="20"/>
        </w:rPr>
        <w:t xml:space="preserve"> and Recommendations</w:t>
      </w:r>
    </w:p>
    <w:p w:rsidR="00E25037" w:rsidRPr="00A041CB" w:rsidRDefault="00E25037" w:rsidP="00E25037">
      <w:pPr>
        <w:tabs>
          <w:tab w:val="right" w:pos="9360"/>
        </w:tabs>
        <w:spacing w:after="120"/>
        <w:jc w:val="both"/>
        <w:rPr>
          <w:rFonts w:ascii="Times New Roman" w:hAnsi="Times New Roman" w:cs="Times New Roman"/>
          <w:b/>
          <w:sz w:val="20"/>
          <w:szCs w:val="20"/>
        </w:rPr>
      </w:pPr>
      <w:r>
        <w:rPr>
          <w:rFonts w:ascii="Times New Roman" w:hAnsi="Times New Roman" w:cs="Times New Roman"/>
          <w:sz w:val="20"/>
          <w:szCs w:val="20"/>
        </w:rPr>
        <w:t xml:space="preserve">            </w:t>
      </w:r>
      <w:r w:rsidRPr="0076371B">
        <w:rPr>
          <w:rFonts w:ascii="Times New Roman" w:hAnsi="Times New Roman" w:cs="Times New Roman"/>
          <w:sz w:val="20"/>
          <w:szCs w:val="20"/>
        </w:rPr>
        <w:t xml:space="preserve"> The insurance industry of Bangladesh started its adventure after the independent in 1972.Fifty years already has passed but this industry does not developed as much as others financial sector like banks, leasing finance, cooperative body etc. After independent, government in power at that time nationalized all insurance companies except postal and foreign company and established five insurance corporations. </w:t>
      </w:r>
      <w:proofErr w:type="gramStart"/>
      <w:r w:rsidRPr="0076371B">
        <w:rPr>
          <w:rFonts w:ascii="Times New Roman" w:hAnsi="Times New Roman" w:cs="Times New Roman"/>
          <w:sz w:val="20"/>
          <w:szCs w:val="20"/>
        </w:rPr>
        <w:t>Two for transacting life insurance and two for transacting non-life insurance.</w:t>
      </w:r>
      <w:proofErr w:type="gramEnd"/>
      <w:r w:rsidRPr="0076371B">
        <w:rPr>
          <w:rFonts w:ascii="Times New Roman" w:hAnsi="Times New Roman" w:cs="Times New Roman"/>
          <w:sz w:val="20"/>
          <w:szCs w:val="20"/>
        </w:rPr>
        <w:t xml:space="preserve"> One for controlling four </w:t>
      </w:r>
      <w:proofErr w:type="gramStart"/>
      <w:r w:rsidRPr="0076371B">
        <w:rPr>
          <w:rFonts w:ascii="Times New Roman" w:hAnsi="Times New Roman" w:cs="Times New Roman"/>
          <w:sz w:val="20"/>
          <w:szCs w:val="20"/>
        </w:rPr>
        <w:t>corporation</w:t>
      </w:r>
      <w:proofErr w:type="gramEnd"/>
      <w:r w:rsidRPr="0076371B">
        <w:rPr>
          <w:rFonts w:ascii="Times New Roman" w:hAnsi="Times New Roman" w:cs="Times New Roman"/>
          <w:sz w:val="20"/>
          <w:szCs w:val="20"/>
        </w:rPr>
        <w:t xml:space="preserve"> as a </w:t>
      </w:r>
      <w:proofErr w:type="spellStart"/>
      <w:r w:rsidRPr="0076371B">
        <w:rPr>
          <w:rFonts w:ascii="Times New Roman" w:hAnsi="Times New Roman" w:cs="Times New Roman"/>
          <w:sz w:val="20"/>
          <w:szCs w:val="20"/>
        </w:rPr>
        <w:t>Jatya</w:t>
      </w:r>
      <w:proofErr w:type="spellEnd"/>
      <w:r w:rsidRPr="0076371B">
        <w:rPr>
          <w:rFonts w:ascii="Times New Roman" w:hAnsi="Times New Roman" w:cs="Times New Roman"/>
          <w:sz w:val="20"/>
          <w:szCs w:val="20"/>
        </w:rPr>
        <w:t xml:space="preserve"> </w:t>
      </w:r>
      <w:proofErr w:type="spellStart"/>
      <w:r w:rsidRPr="0076371B">
        <w:rPr>
          <w:rFonts w:ascii="Times New Roman" w:hAnsi="Times New Roman" w:cs="Times New Roman"/>
          <w:sz w:val="20"/>
          <w:szCs w:val="20"/>
        </w:rPr>
        <w:t>Bima</w:t>
      </w:r>
      <w:proofErr w:type="spellEnd"/>
      <w:r w:rsidRPr="0076371B">
        <w:rPr>
          <w:rFonts w:ascii="Times New Roman" w:hAnsi="Times New Roman" w:cs="Times New Roman"/>
          <w:sz w:val="20"/>
          <w:szCs w:val="20"/>
        </w:rPr>
        <w:t xml:space="preserve"> corporation. Anyway, the main aim of this study to expose the current scenario of insurance industry in Bangladesh where included some indicators such as global insurance market share of Bangladesh , growth rate , premium ranking of Bangladesh in the world insurance market, insurance penetration, insurance density, total premium, total investment ,total assets, threats and opportunities of insurance industry in Bangladesh. This industry is playing a vital role for social and economic development in all respect. As emerging Asian country the </w:t>
      </w:r>
      <w:proofErr w:type="spellStart"/>
      <w:r w:rsidRPr="0076371B">
        <w:rPr>
          <w:rFonts w:ascii="Times New Roman" w:hAnsi="Times New Roman" w:cs="Times New Roman"/>
          <w:sz w:val="20"/>
          <w:szCs w:val="20"/>
        </w:rPr>
        <w:t>gowth</w:t>
      </w:r>
      <w:proofErr w:type="spellEnd"/>
      <w:r w:rsidRPr="0076371B">
        <w:rPr>
          <w:rFonts w:ascii="Times New Roman" w:hAnsi="Times New Roman" w:cs="Times New Roman"/>
          <w:sz w:val="20"/>
          <w:szCs w:val="20"/>
        </w:rPr>
        <w:t xml:space="preserve"> rate of Bangladesh was 7.6% in 2019 but</w:t>
      </w:r>
      <w:r>
        <w:rPr>
          <w:rFonts w:ascii="Times New Roman" w:hAnsi="Times New Roman" w:cs="Times New Roman"/>
          <w:b/>
          <w:sz w:val="20"/>
          <w:szCs w:val="20"/>
        </w:rPr>
        <w:t xml:space="preserve"> </w:t>
      </w:r>
      <w:r w:rsidRPr="000A43B8">
        <w:rPr>
          <w:rFonts w:ascii="Times New Roman" w:hAnsi="Times New Roman" w:cs="Times New Roman"/>
          <w:sz w:val="20"/>
          <w:szCs w:val="20"/>
        </w:rPr>
        <w:t xml:space="preserve">penetration rate was .49 % and density was USD 9. It is notice able that there is far gap between growth rate and penetration rate.  The main cause for his gap is that insurance business of Bangladesh is an increasing trend but it could not </w:t>
      </w:r>
      <w:proofErr w:type="gramStart"/>
      <w:r w:rsidRPr="000A43B8">
        <w:rPr>
          <w:rFonts w:ascii="Times New Roman" w:hAnsi="Times New Roman" w:cs="Times New Roman"/>
          <w:sz w:val="20"/>
          <w:szCs w:val="20"/>
        </w:rPr>
        <w:t>matching</w:t>
      </w:r>
      <w:proofErr w:type="gramEnd"/>
      <w:r w:rsidRPr="000A43B8">
        <w:rPr>
          <w:rFonts w:ascii="Times New Roman" w:hAnsi="Times New Roman" w:cs="Times New Roman"/>
          <w:sz w:val="20"/>
          <w:szCs w:val="20"/>
        </w:rPr>
        <w:t xml:space="preserve"> with the ratio of increasing trend of GDP.    Premium volume of insurance industry of Bangladesh is also showing an increasing trend during the study period and AAGR was 8.6%. AAGR of Investment and assets were 12.67% and 12.68% respectively. For developing insurance industry, professional manpower should be generated, emphasized on IT support, adaptable marketing strategies, delete the unhealthy competition, to increase return on investment, proper utilization of assets, identify the needs and want of insured, provide quality services, to increase the awareness of mass people about insurance, insurance product should be diversified as per need of the clients, timing of claim procedure should be reduced for increasing the trust on insurance. Agriculture sector should be covered by crops insurance, mass people should come under the coverage of health insurance, Banc assurance concept should be implemented for providing better quality services to the client. If above mentioned initiatives can be implemented, the insurance industry will be a giant industry like others financial </w:t>
      </w:r>
      <w:proofErr w:type="spellStart"/>
      <w:r w:rsidRPr="000A43B8">
        <w:rPr>
          <w:rFonts w:ascii="Times New Roman" w:hAnsi="Times New Roman" w:cs="Times New Roman"/>
          <w:sz w:val="20"/>
          <w:szCs w:val="20"/>
        </w:rPr>
        <w:t>sector.As</w:t>
      </w:r>
      <w:proofErr w:type="spellEnd"/>
      <w:r w:rsidRPr="000A43B8">
        <w:rPr>
          <w:rFonts w:ascii="Times New Roman" w:hAnsi="Times New Roman" w:cs="Times New Roman"/>
          <w:sz w:val="20"/>
          <w:szCs w:val="20"/>
        </w:rPr>
        <w:t xml:space="preserve"> a result, growth rate, penetration rate and insurance density will be reached at the optimum level and will bring the social and economic benefit to the country.</w:t>
      </w:r>
    </w:p>
    <w:p w:rsidR="00E25037" w:rsidRDefault="00E25037" w:rsidP="0076371B">
      <w:pPr>
        <w:spacing w:after="120" w:line="240" w:lineRule="auto"/>
        <w:jc w:val="both"/>
        <w:rPr>
          <w:rFonts w:ascii="Times New Roman" w:hAnsi="Times New Roman" w:cs="Times New Roman"/>
          <w:sz w:val="20"/>
          <w:szCs w:val="20"/>
        </w:rPr>
      </w:pPr>
    </w:p>
    <w:p w:rsidR="00E25037" w:rsidRDefault="00E25037" w:rsidP="00E25037">
      <w:pPr>
        <w:rPr>
          <w:rFonts w:ascii="Times New Roman" w:hAnsi="Times New Roman" w:cs="Times New Roman"/>
          <w:sz w:val="20"/>
          <w:szCs w:val="20"/>
        </w:rPr>
      </w:pPr>
    </w:p>
    <w:p w:rsidR="00E25037" w:rsidRDefault="00E25037" w:rsidP="00E25037">
      <w:pPr>
        <w:rPr>
          <w:rFonts w:ascii="Times New Roman" w:hAnsi="Times New Roman" w:cs="Times New Roman"/>
          <w:sz w:val="20"/>
          <w:szCs w:val="20"/>
        </w:rPr>
      </w:pPr>
    </w:p>
    <w:p w:rsidR="00A609C0" w:rsidRPr="00E25037" w:rsidRDefault="00A609C0" w:rsidP="00E25037">
      <w:pPr>
        <w:rPr>
          <w:rFonts w:ascii="Times New Roman" w:hAnsi="Times New Roman" w:cs="Times New Roman"/>
          <w:sz w:val="20"/>
          <w:szCs w:val="20"/>
        </w:rPr>
        <w:sectPr w:rsidR="00A609C0" w:rsidRPr="00E25037" w:rsidSect="0076371B">
          <w:pgSz w:w="12240" w:h="15840"/>
          <w:pgMar w:top="1440" w:right="1440" w:bottom="1440" w:left="1440" w:header="720" w:footer="720" w:gutter="0"/>
          <w:cols w:space="720"/>
          <w:docGrid w:linePitch="360"/>
        </w:sectPr>
      </w:pPr>
    </w:p>
    <w:p w:rsidR="00A041CB" w:rsidRDefault="00A041CB" w:rsidP="000A43B8">
      <w:pPr>
        <w:tabs>
          <w:tab w:val="right" w:pos="9360"/>
        </w:tabs>
        <w:spacing w:after="120" w:line="240" w:lineRule="auto"/>
        <w:jc w:val="both"/>
        <w:rPr>
          <w:rFonts w:ascii="Times New Roman" w:hAnsi="Times New Roman" w:cs="Times New Roman"/>
          <w:sz w:val="20"/>
          <w:szCs w:val="20"/>
        </w:rPr>
      </w:pPr>
    </w:p>
    <w:p w:rsidR="00A041CB" w:rsidRDefault="00A041CB" w:rsidP="000A43B8">
      <w:pPr>
        <w:tabs>
          <w:tab w:val="right" w:pos="9360"/>
        </w:tabs>
        <w:spacing w:after="120" w:line="240" w:lineRule="auto"/>
        <w:jc w:val="both"/>
        <w:rPr>
          <w:rFonts w:ascii="Times New Roman" w:hAnsi="Times New Roman" w:cs="Times New Roman"/>
          <w:sz w:val="20"/>
          <w:szCs w:val="20"/>
        </w:rPr>
      </w:pPr>
    </w:p>
    <w:p w:rsidR="000A43B8" w:rsidRPr="000A43B8" w:rsidRDefault="00F06D41" w:rsidP="000A43B8">
      <w:pPr>
        <w:tabs>
          <w:tab w:val="right" w:pos="9360"/>
        </w:tabs>
        <w:spacing w:after="120" w:line="240" w:lineRule="auto"/>
        <w:ind w:left="274"/>
        <w:jc w:val="both"/>
        <w:rPr>
          <w:rFonts w:ascii="Times New Roman" w:hAnsi="Times New Roman" w:cs="Times New Roman"/>
          <w:sz w:val="20"/>
          <w:szCs w:val="20"/>
        </w:rPr>
      </w:pPr>
      <w:r>
        <w:rPr>
          <w:rFonts w:ascii="Times New Roman" w:hAnsi="Times New Roman" w:cs="Times New Roman"/>
          <w:sz w:val="20"/>
          <w:szCs w:val="20"/>
        </w:rPr>
        <w:t>---------------------------------------------------------------------------------------------------------------------------------</w:t>
      </w:r>
    </w:p>
    <w:p w:rsidR="00454512" w:rsidRDefault="00454512" w:rsidP="00905D05">
      <w:pPr>
        <w:spacing w:after="120"/>
        <w:ind w:left="270"/>
        <w:rPr>
          <w:rFonts w:ascii="Times New Roman" w:hAnsi="Times New Roman" w:cs="Times New Roman"/>
          <w:b/>
          <w:szCs w:val="28"/>
        </w:rPr>
      </w:pPr>
    </w:p>
    <w:p w:rsidR="00905D05" w:rsidRDefault="00905D05" w:rsidP="00D5427C">
      <w:pPr>
        <w:spacing w:after="120"/>
        <w:rPr>
          <w:rFonts w:ascii="Times New Roman" w:hAnsi="Times New Roman" w:cs="Times New Roman"/>
          <w:b/>
          <w:color w:val="0070C0"/>
          <w:sz w:val="24"/>
          <w:szCs w:val="24"/>
        </w:rPr>
      </w:pPr>
    </w:p>
    <w:p w:rsidR="00905D05" w:rsidRDefault="00905D05" w:rsidP="00D5427C">
      <w:pPr>
        <w:spacing w:after="120"/>
        <w:rPr>
          <w:rFonts w:ascii="Times New Roman" w:hAnsi="Times New Roman" w:cs="Times New Roman"/>
          <w:b/>
          <w:color w:val="0070C0"/>
          <w:sz w:val="24"/>
          <w:szCs w:val="24"/>
        </w:rPr>
      </w:pPr>
    </w:p>
    <w:p w:rsidR="00905D05" w:rsidRDefault="00905D05" w:rsidP="00D5427C">
      <w:pPr>
        <w:spacing w:after="120"/>
        <w:rPr>
          <w:rFonts w:ascii="Times New Roman" w:hAnsi="Times New Roman" w:cs="Times New Roman"/>
          <w:b/>
          <w:color w:val="0070C0"/>
          <w:sz w:val="24"/>
          <w:szCs w:val="24"/>
        </w:rPr>
      </w:pPr>
    </w:p>
    <w:sectPr w:rsidR="00905D05" w:rsidSect="007637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3A4" w:rsidRDefault="00FC13A4" w:rsidP="003758B3">
      <w:pPr>
        <w:spacing w:after="0" w:line="240" w:lineRule="auto"/>
      </w:pPr>
      <w:r>
        <w:separator/>
      </w:r>
    </w:p>
  </w:endnote>
  <w:endnote w:type="continuationSeparator" w:id="0">
    <w:p w:rsidR="00FC13A4" w:rsidRDefault="00FC13A4" w:rsidP="00375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3A4" w:rsidRDefault="00FC13A4" w:rsidP="003758B3">
      <w:pPr>
        <w:spacing w:after="0" w:line="240" w:lineRule="auto"/>
      </w:pPr>
      <w:r>
        <w:separator/>
      </w:r>
    </w:p>
  </w:footnote>
  <w:footnote w:type="continuationSeparator" w:id="0">
    <w:p w:rsidR="00FC13A4" w:rsidRDefault="00FC13A4" w:rsidP="003758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F26"/>
    <w:multiLevelType w:val="multilevel"/>
    <w:tmpl w:val="4246FA9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EA32325"/>
    <w:multiLevelType w:val="hybridMultilevel"/>
    <w:tmpl w:val="B20E4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E1F42"/>
    <w:multiLevelType w:val="hybridMultilevel"/>
    <w:tmpl w:val="DBFE5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2F1FB1"/>
    <w:multiLevelType w:val="hybridMultilevel"/>
    <w:tmpl w:val="09FEB690"/>
    <w:lvl w:ilvl="0" w:tplc="2B247A4A">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BCE684F"/>
    <w:multiLevelType w:val="hybridMultilevel"/>
    <w:tmpl w:val="67325B68"/>
    <w:lvl w:ilvl="0" w:tplc="E06AEFAE">
      <w:start w:val="5"/>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DAF7C3F"/>
    <w:multiLevelType w:val="hybridMultilevel"/>
    <w:tmpl w:val="02F0ED88"/>
    <w:lvl w:ilvl="0" w:tplc="CDEC836A">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6">
    <w:nsid w:val="22DF0E28"/>
    <w:multiLevelType w:val="hybridMultilevel"/>
    <w:tmpl w:val="7B444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E726A4"/>
    <w:multiLevelType w:val="hybridMultilevel"/>
    <w:tmpl w:val="3F0CFD68"/>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5F00F6"/>
    <w:multiLevelType w:val="hybridMultilevel"/>
    <w:tmpl w:val="A0349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F81466"/>
    <w:multiLevelType w:val="hybridMultilevel"/>
    <w:tmpl w:val="635082E2"/>
    <w:lvl w:ilvl="0" w:tplc="1C90359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3364303D"/>
    <w:multiLevelType w:val="hybridMultilevel"/>
    <w:tmpl w:val="1C368F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F2E60"/>
    <w:multiLevelType w:val="hybridMultilevel"/>
    <w:tmpl w:val="DA8EF84E"/>
    <w:lvl w:ilvl="0" w:tplc="C45A2976">
      <w:start w:val="9"/>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380D7EC3"/>
    <w:multiLevelType w:val="hybridMultilevel"/>
    <w:tmpl w:val="716E2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9606565"/>
    <w:multiLevelType w:val="hybridMultilevel"/>
    <w:tmpl w:val="92E00706"/>
    <w:lvl w:ilvl="0" w:tplc="9F40ED2E">
      <w:start w:val="1"/>
      <w:numFmt w:val="decimal"/>
      <w:lvlText w:val="%1."/>
      <w:lvlJc w:val="left"/>
      <w:pPr>
        <w:ind w:left="108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4">
    <w:nsid w:val="3C513242"/>
    <w:multiLevelType w:val="multilevel"/>
    <w:tmpl w:val="CA78EBEC"/>
    <w:lvl w:ilvl="0">
      <w:start w:val="4"/>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9795BF2"/>
    <w:multiLevelType w:val="hybridMultilevel"/>
    <w:tmpl w:val="0F404882"/>
    <w:lvl w:ilvl="0" w:tplc="8F44A30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11349D"/>
    <w:multiLevelType w:val="multilevel"/>
    <w:tmpl w:val="366662FA"/>
    <w:lvl w:ilvl="0">
      <w:start w:val="1"/>
      <w:numFmt w:val="decimal"/>
      <w:lvlText w:val="%1."/>
      <w:lvlJc w:val="left"/>
      <w:pPr>
        <w:ind w:left="675"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195" w:hanging="1800"/>
      </w:pPr>
      <w:rPr>
        <w:rFonts w:hint="default"/>
      </w:rPr>
    </w:lvl>
  </w:abstractNum>
  <w:abstractNum w:abstractNumId="17">
    <w:nsid w:val="4AFB35A3"/>
    <w:multiLevelType w:val="multilevel"/>
    <w:tmpl w:val="CD2465AA"/>
    <w:lvl w:ilvl="0">
      <w:start w:val="1"/>
      <w:numFmt w:val="decimal"/>
      <w:lvlText w:val="%1"/>
      <w:lvlJc w:val="left"/>
      <w:pPr>
        <w:ind w:left="360" w:hanging="360"/>
      </w:pPr>
      <w:rPr>
        <w:rFonts w:hint="default"/>
      </w:rPr>
    </w:lvl>
    <w:lvl w:ilvl="1">
      <w:start w:val="3"/>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8">
    <w:nsid w:val="4BBD4EF4"/>
    <w:multiLevelType w:val="hybridMultilevel"/>
    <w:tmpl w:val="790C622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nsid w:val="4D074C76"/>
    <w:multiLevelType w:val="hybridMultilevel"/>
    <w:tmpl w:val="92E00706"/>
    <w:lvl w:ilvl="0" w:tplc="9F40ED2E">
      <w:start w:val="1"/>
      <w:numFmt w:val="decimal"/>
      <w:lvlText w:val="%1."/>
      <w:lvlJc w:val="left"/>
      <w:pPr>
        <w:ind w:left="108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0">
    <w:nsid w:val="4DCD0875"/>
    <w:multiLevelType w:val="multilevel"/>
    <w:tmpl w:val="4A1205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33B4E83"/>
    <w:multiLevelType w:val="hybridMultilevel"/>
    <w:tmpl w:val="031C9864"/>
    <w:lvl w:ilvl="0" w:tplc="34F0245A">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54A50B39"/>
    <w:multiLevelType w:val="multilevel"/>
    <w:tmpl w:val="6220FF4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5A3F7B2E"/>
    <w:multiLevelType w:val="hybridMultilevel"/>
    <w:tmpl w:val="C3CCEB5E"/>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8B661A"/>
    <w:multiLevelType w:val="hybridMultilevel"/>
    <w:tmpl w:val="9528B6C6"/>
    <w:lvl w:ilvl="0" w:tplc="2E38A40A">
      <w:start w:val="5"/>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nsid w:val="5FBE5655"/>
    <w:multiLevelType w:val="multilevel"/>
    <w:tmpl w:val="A29E1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7A3BF1"/>
    <w:multiLevelType w:val="hybridMultilevel"/>
    <w:tmpl w:val="2AA0AD5A"/>
    <w:lvl w:ilvl="0" w:tplc="84E24D98">
      <w:start w:val="1"/>
      <w:numFmt w:val="upp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7">
    <w:nsid w:val="6A4935A0"/>
    <w:multiLevelType w:val="hybridMultilevel"/>
    <w:tmpl w:val="92E00706"/>
    <w:lvl w:ilvl="0" w:tplc="9F40ED2E">
      <w:start w:val="1"/>
      <w:numFmt w:val="decimal"/>
      <w:lvlText w:val="%1."/>
      <w:lvlJc w:val="left"/>
      <w:pPr>
        <w:ind w:left="108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8">
    <w:nsid w:val="6F6F543E"/>
    <w:multiLevelType w:val="hybridMultilevel"/>
    <w:tmpl w:val="7D2A1FDA"/>
    <w:lvl w:ilvl="0" w:tplc="63FC4446">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752F36"/>
    <w:multiLevelType w:val="hybridMultilevel"/>
    <w:tmpl w:val="DFF45862"/>
    <w:lvl w:ilvl="0" w:tplc="23605F2A">
      <w:start w:val="1"/>
      <w:numFmt w:val="lowerLetter"/>
      <w:lvlText w:val="(%1)"/>
      <w:lvlJc w:val="left"/>
      <w:pPr>
        <w:tabs>
          <w:tab w:val="num" w:pos="780"/>
        </w:tabs>
        <w:ind w:left="780" w:hanging="360"/>
      </w:pPr>
      <w:rPr>
        <w:rFonts w:ascii="Times New Roman" w:eastAsia="Times New Roman"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775374BC"/>
    <w:multiLevelType w:val="hybridMultilevel"/>
    <w:tmpl w:val="7F10EFA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1">
    <w:nsid w:val="79F02E62"/>
    <w:multiLevelType w:val="hybridMultilevel"/>
    <w:tmpl w:val="92E00706"/>
    <w:lvl w:ilvl="0" w:tplc="9F40ED2E">
      <w:start w:val="1"/>
      <w:numFmt w:val="decimal"/>
      <w:lvlText w:val="%1."/>
      <w:lvlJc w:val="left"/>
      <w:pPr>
        <w:ind w:left="108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abstractNumId w:val="8"/>
  </w:num>
  <w:num w:numId="2">
    <w:abstractNumId w:val="25"/>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7"/>
  </w:num>
  <w:num w:numId="6">
    <w:abstractNumId w:val="0"/>
  </w:num>
  <w:num w:numId="7">
    <w:abstractNumId w:val="22"/>
  </w:num>
  <w:num w:numId="8">
    <w:abstractNumId w:val="17"/>
  </w:num>
  <w:num w:numId="9">
    <w:abstractNumId w:val="20"/>
  </w:num>
  <w:num w:numId="10">
    <w:abstractNumId w:val="14"/>
  </w:num>
  <w:num w:numId="11">
    <w:abstractNumId w:val="16"/>
  </w:num>
  <w:num w:numId="12">
    <w:abstractNumId w:val="29"/>
  </w:num>
  <w:num w:numId="13">
    <w:abstractNumId w:val="23"/>
  </w:num>
  <w:num w:numId="14">
    <w:abstractNumId w:val="2"/>
  </w:num>
  <w:num w:numId="15">
    <w:abstractNumId w:val="30"/>
  </w:num>
  <w:num w:numId="16">
    <w:abstractNumId w:val="12"/>
  </w:num>
  <w:num w:numId="17">
    <w:abstractNumId w:val="18"/>
  </w:num>
  <w:num w:numId="18">
    <w:abstractNumId w:val="27"/>
  </w:num>
  <w:num w:numId="19">
    <w:abstractNumId w:val="31"/>
  </w:num>
  <w:num w:numId="20">
    <w:abstractNumId w:val="15"/>
  </w:num>
  <w:num w:numId="21">
    <w:abstractNumId w:val="6"/>
  </w:num>
  <w:num w:numId="22">
    <w:abstractNumId w:val="19"/>
  </w:num>
  <w:num w:numId="23">
    <w:abstractNumId w:val="26"/>
  </w:num>
  <w:num w:numId="24">
    <w:abstractNumId w:val="5"/>
  </w:num>
  <w:num w:numId="25">
    <w:abstractNumId w:val="9"/>
  </w:num>
  <w:num w:numId="26">
    <w:abstractNumId w:val="13"/>
  </w:num>
  <w:num w:numId="27">
    <w:abstractNumId w:val="4"/>
  </w:num>
  <w:num w:numId="28">
    <w:abstractNumId w:val="24"/>
  </w:num>
  <w:num w:numId="29">
    <w:abstractNumId w:val="3"/>
  </w:num>
  <w:num w:numId="30">
    <w:abstractNumId w:val="1"/>
  </w:num>
  <w:num w:numId="31">
    <w:abstractNumId w:val="10"/>
  </w:num>
  <w:num w:numId="32">
    <w:abstractNumId w:val="28"/>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CB"/>
    <w:rsid w:val="000030A3"/>
    <w:rsid w:val="000059D6"/>
    <w:rsid w:val="0001186F"/>
    <w:rsid w:val="000133AB"/>
    <w:rsid w:val="00015286"/>
    <w:rsid w:val="000152CC"/>
    <w:rsid w:val="00016855"/>
    <w:rsid w:val="000219A4"/>
    <w:rsid w:val="000229EB"/>
    <w:rsid w:val="000245C9"/>
    <w:rsid w:val="00024ABC"/>
    <w:rsid w:val="0002776C"/>
    <w:rsid w:val="000305AC"/>
    <w:rsid w:val="000444D5"/>
    <w:rsid w:val="0004697C"/>
    <w:rsid w:val="00047C13"/>
    <w:rsid w:val="0005256A"/>
    <w:rsid w:val="00054F07"/>
    <w:rsid w:val="00056F72"/>
    <w:rsid w:val="00064564"/>
    <w:rsid w:val="000650BD"/>
    <w:rsid w:val="00065476"/>
    <w:rsid w:val="00070F61"/>
    <w:rsid w:val="00070FE4"/>
    <w:rsid w:val="000732E8"/>
    <w:rsid w:val="000735F0"/>
    <w:rsid w:val="00073E73"/>
    <w:rsid w:val="00076C16"/>
    <w:rsid w:val="00077A0B"/>
    <w:rsid w:val="00077F19"/>
    <w:rsid w:val="0008020F"/>
    <w:rsid w:val="000807F8"/>
    <w:rsid w:val="00081403"/>
    <w:rsid w:val="00082881"/>
    <w:rsid w:val="00083AB0"/>
    <w:rsid w:val="00087094"/>
    <w:rsid w:val="00087135"/>
    <w:rsid w:val="0009258E"/>
    <w:rsid w:val="00092BD2"/>
    <w:rsid w:val="00094282"/>
    <w:rsid w:val="00095CEA"/>
    <w:rsid w:val="00097D58"/>
    <w:rsid w:val="000A1879"/>
    <w:rsid w:val="000A3959"/>
    <w:rsid w:val="000A43B8"/>
    <w:rsid w:val="000A4807"/>
    <w:rsid w:val="000A5702"/>
    <w:rsid w:val="000A574B"/>
    <w:rsid w:val="000A7792"/>
    <w:rsid w:val="000B3EFE"/>
    <w:rsid w:val="000B4747"/>
    <w:rsid w:val="000B7755"/>
    <w:rsid w:val="000C3251"/>
    <w:rsid w:val="000C518F"/>
    <w:rsid w:val="000C594B"/>
    <w:rsid w:val="000C5AD9"/>
    <w:rsid w:val="000C70D4"/>
    <w:rsid w:val="000D165E"/>
    <w:rsid w:val="000D236A"/>
    <w:rsid w:val="000D43F0"/>
    <w:rsid w:val="000D6126"/>
    <w:rsid w:val="000E1AAB"/>
    <w:rsid w:val="000E34F7"/>
    <w:rsid w:val="000E4A2B"/>
    <w:rsid w:val="000E519E"/>
    <w:rsid w:val="000E59B7"/>
    <w:rsid w:val="000F1C6A"/>
    <w:rsid w:val="000F31E6"/>
    <w:rsid w:val="000F43B8"/>
    <w:rsid w:val="00102A43"/>
    <w:rsid w:val="001034DE"/>
    <w:rsid w:val="001052FB"/>
    <w:rsid w:val="00112D3F"/>
    <w:rsid w:val="001202F0"/>
    <w:rsid w:val="00121A90"/>
    <w:rsid w:val="00122D46"/>
    <w:rsid w:val="00123153"/>
    <w:rsid w:val="001233E8"/>
    <w:rsid w:val="001245BC"/>
    <w:rsid w:val="00131C1A"/>
    <w:rsid w:val="00135AB3"/>
    <w:rsid w:val="00136DC3"/>
    <w:rsid w:val="001469E3"/>
    <w:rsid w:val="00147937"/>
    <w:rsid w:val="00152418"/>
    <w:rsid w:val="00152F5A"/>
    <w:rsid w:val="00153A91"/>
    <w:rsid w:val="00153F65"/>
    <w:rsid w:val="001574B6"/>
    <w:rsid w:val="00157671"/>
    <w:rsid w:val="00157B19"/>
    <w:rsid w:val="001618F1"/>
    <w:rsid w:val="00165A89"/>
    <w:rsid w:val="001663EA"/>
    <w:rsid w:val="00174C5B"/>
    <w:rsid w:val="001803A4"/>
    <w:rsid w:val="00180D20"/>
    <w:rsid w:val="00184190"/>
    <w:rsid w:val="00184926"/>
    <w:rsid w:val="001853F9"/>
    <w:rsid w:val="00186E70"/>
    <w:rsid w:val="00187413"/>
    <w:rsid w:val="00190BB1"/>
    <w:rsid w:val="00195B21"/>
    <w:rsid w:val="001977F2"/>
    <w:rsid w:val="001A2CEE"/>
    <w:rsid w:val="001A3A6A"/>
    <w:rsid w:val="001B1A88"/>
    <w:rsid w:val="001B2D02"/>
    <w:rsid w:val="001B30C4"/>
    <w:rsid w:val="001B361E"/>
    <w:rsid w:val="001B3699"/>
    <w:rsid w:val="001B6342"/>
    <w:rsid w:val="001B682F"/>
    <w:rsid w:val="001B7FBE"/>
    <w:rsid w:val="001C0E3A"/>
    <w:rsid w:val="001C6D73"/>
    <w:rsid w:val="001D0F1A"/>
    <w:rsid w:val="001D11E4"/>
    <w:rsid w:val="001D2403"/>
    <w:rsid w:val="001D2E76"/>
    <w:rsid w:val="001D4CB6"/>
    <w:rsid w:val="001D7481"/>
    <w:rsid w:val="001E5334"/>
    <w:rsid w:val="001F1A5D"/>
    <w:rsid w:val="001F4DEB"/>
    <w:rsid w:val="001F502C"/>
    <w:rsid w:val="001F5588"/>
    <w:rsid w:val="0020371D"/>
    <w:rsid w:val="002117FE"/>
    <w:rsid w:val="00212F84"/>
    <w:rsid w:val="00214AFC"/>
    <w:rsid w:val="0022324B"/>
    <w:rsid w:val="00223C64"/>
    <w:rsid w:val="0022581D"/>
    <w:rsid w:val="002267E6"/>
    <w:rsid w:val="00227BCF"/>
    <w:rsid w:val="002321DF"/>
    <w:rsid w:val="00233117"/>
    <w:rsid w:val="002336D7"/>
    <w:rsid w:val="00233F74"/>
    <w:rsid w:val="00235751"/>
    <w:rsid w:val="00236DBC"/>
    <w:rsid w:val="002371E2"/>
    <w:rsid w:val="002448AD"/>
    <w:rsid w:val="002451EC"/>
    <w:rsid w:val="002455D0"/>
    <w:rsid w:val="00252B3F"/>
    <w:rsid w:val="00252DFA"/>
    <w:rsid w:val="002573E6"/>
    <w:rsid w:val="002638D7"/>
    <w:rsid w:val="00264B8C"/>
    <w:rsid w:val="00265230"/>
    <w:rsid w:val="00271441"/>
    <w:rsid w:val="00280A50"/>
    <w:rsid w:val="00281601"/>
    <w:rsid w:val="002816DA"/>
    <w:rsid w:val="00282D14"/>
    <w:rsid w:val="00285FCE"/>
    <w:rsid w:val="00286715"/>
    <w:rsid w:val="00286D14"/>
    <w:rsid w:val="002902B3"/>
    <w:rsid w:val="002A62B6"/>
    <w:rsid w:val="002A6C5E"/>
    <w:rsid w:val="002B214D"/>
    <w:rsid w:val="002B6471"/>
    <w:rsid w:val="002C2319"/>
    <w:rsid w:val="002C2553"/>
    <w:rsid w:val="002C4D3B"/>
    <w:rsid w:val="002D0139"/>
    <w:rsid w:val="002D0289"/>
    <w:rsid w:val="002D2863"/>
    <w:rsid w:val="002D4EFA"/>
    <w:rsid w:val="002E056B"/>
    <w:rsid w:val="002E1DB3"/>
    <w:rsid w:val="002E3413"/>
    <w:rsid w:val="002E39E0"/>
    <w:rsid w:val="002E3B99"/>
    <w:rsid w:val="002E5EE1"/>
    <w:rsid w:val="002F0647"/>
    <w:rsid w:val="002F0781"/>
    <w:rsid w:val="002F43CA"/>
    <w:rsid w:val="002F5394"/>
    <w:rsid w:val="002F5728"/>
    <w:rsid w:val="002F5C46"/>
    <w:rsid w:val="00301E71"/>
    <w:rsid w:val="0030204A"/>
    <w:rsid w:val="003033C9"/>
    <w:rsid w:val="00304680"/>
    <w:rsid w:val="00307255"/>
    <w:rsid w:val="00311E1F"/>
    <w:rsid w:val="00324D79"/>
    <w:rsid w:val="00325341"/>
    <w:rsid w:val="00326911"/>
    <w:rsid w:val="00327302"/>
    <w:rsid w:val="00327754"/>
    <w:rsid w:val="0033059A"/>
    <w:rsid w:val="00331A2B"/>
    <w:rsid w:val="00332EB6"/>
    <w:rsid w:val="003417B3"/>
    <w:rsid w:val="00343162"/>
    <w:rsid w:val="0034379B"/>
    <w:rsid w:val="00345E20"/>
    <w:rsid w:val="00346E14"/>
    <w:rsid w:val="003476F0"/>
    <w:rsid w:val="003507B4"/>
    <w:rsid w:val="003549A5"/>
    <w:rsid w:val="0035715C"/>
    <w:rsid w:val="0036146D"/>
    <w:rsid w:val="00362998"/>
    <w:rsid w:val="00363127"/>
    <w:rsid w:val="0036397D"/>
    <w:rsid w:val="00364D6C"/>
    <w:rsid w:val="00366EA7"/>
    <w:rsid w:val="00370ACE"/>
    <w:rsid w:val="00371A21"/>
    <w:rsid w:val="00373EF3"/>
    <w:rsid w:val="003758B3"/>
    <w:rsid w:val="003851AA"/>
    <w:rsid w:val="00387936"/>
    <w:rsid w:val="003902AA"/>
    <w:rsid w:val="00392002"/>
    <w:rsid w:val="00392765"/>
    <w:rsid w:val="003949D7"/>
    <w:rsid w:val="00397229"/>
    <w:rsid w:val="00397391"/>
    <w:rsid w:val="003A500F"/>
    <w:rsid w:val="003C1E83"/>
    <w:rsid w:val="003D1810"/>
    <w:rsid w:val="003D7DFC"/>
    <w:rsid w:val="003E7942"/>
    <w:rsid w:val="003F5A78"/>
    <w:rsid w:val="004002AC"/>
    <w:rsid w:val="00400DFE"/>
    <w:rsid w:val="004023C1"/>
    <w:rsid w:val="004038A0"/>
    <w:rsid w:val="004053D1"/>
    <w:rsid w:val="00407275"/>
    <w:rsid w:val="00413ED9"/>
    <w:rsid w:val="004140C6"/>
    <w:rsid w:val="004142F1"/>
    <w:rsid w:val="00415C7E"/>
    <w:rsid w:val="00422BFC"/>
    <w:rsid w:val="00422C1F"/>
    <w:rsid w:val="004260C4"/>
    <w:rsid w:val="0042644F"/>
    <w:rsid w:val="00426B19"/>
    <w:rsid w:val="00427327"/>
    <w:rsid w:val="0043277A"/>
    <w:rsid w:val="00434346"/>
    <w:rsid w:val="00444065"/>
    <w:rsid w:val="00445E35"/>
    <w:rsid w:val="00445F27"/>
    <w:rsid w:val="00446E6B"/>
    <w:rsid w:val="00450004"/>
    <w:rsid w:val="004514E3"/>
    <w:rsid w:val="00454512"/>
    <w:rsid w:val="0046063C"/>
    <w:rsid w:val="00461903"/>
    <w:rsid w:val="00471290"/>
    <w:rsid w:val="004728FF"/>
    <w:rsid w:val="00477B83"/>
    <w:rsid w:val="004819D8"/>
    <w:rsid w:val="00483A15"/>
    <w:rsid w:val="004A0A22"/>
    <w:rsid w:val="004C0D7E"/>
    <w:rsid w:val="004C0D8D"/>
    <w:rsid w:val="004C0F22"/>
    <w:rsid w:val="004C3AB6"/>
    <w:rsid w:val="004C40EE"/>
    <w:rsid w:val="004C42F6"/>
    <w:rsid w:val="004D136F"/>
    <w:rsid w:val="004D641E"/>
    <w:rsid w:val="004E11DC"/>
    <w:rsid w:val="004E223A"/>
    <w:rsid w:val="004E3047"/>
    <w:rsid w:val="004E3242"/>
    <w:rsid w:val="004E3963"/>
    <w:rsid w:val="004E6D65"/>
    <w:rsid w:val="004F0251"/>
    <w:rsid w:val="004F457E"/>
    <w:rsid w:val="004F4623"/>
    <w:rsid w:val="004F594E"/>
    <w:rsid w:val="004F59B3"/>
    <w:rsid w:val="004F632F"/>
    <w:rsid w:val="004F764B"/>
    <w:rsid w:val="0050754C"/>
    <w:rsid w:val="00507A69"/>
    <w:rsid w:val="005102E9"/>
    <w:rsid w:val="0051049E"/>
    <w:rsid w:val="005134AD"/>
    <w:rsid w:val="00515BB0"/>
    <w:rsid w:val="00520E1E"/>
    <w:rsid w:val="00522BA0"/>
    <w:rsid w:val="00522F3B"/>
    <w:rsid w:val="0052304F"/>
    <w:rsid w:val="00525BB0"/>
    <w:rsid w:val="00531DC1"/>
    <w:rsid w:val="005335C0"/>
    <w:rsid w:val="00534495"/>
    <w:rsid w:val="005348EF"/>
    <w:rsid w:val="00534F9B"/>
    <w:rsid w:val="00541C4B"/>
    <w:rsid w:val="005424D5"/>
    <w:rsid w:val="00544ABE"/>
    <w:rsid w:val="00545441"/>
    <w:rsid w:val="005503E6"/>
    <w:rsid w:val="00551751"/>
    <w:rsid w:val="00551FC9"/>
    <w:rsid w:val="0055271F"/>
    <w:rsid w:val="00552BA2"/>
    <w:rsid w:val="0056066C"/>
    <w:rsid w:val="0056739E"/>
    <w:rsid w:val="00570BED"/>
    <w:rsid w:val="00574A76"/>
    <w:rsid w:val="00576974"/>
    <w:rsid w:val="00576F2C"/>
    <w:rsid w:val="00582B14"/>
    <w:rsid w:val="00583348"/>
    <w:rsid w:val="00587A28"/>
    <w:rsid w:val="00587A89"/>
    <w:rsid w:val="00587F4E"/>
    <w:rsid w:val="00587FA9"/>
    <w:rsid w:val="00590212"/>
    <w:rsid w:val="00591A84"/>
    <w:rsid w:val="0059308A"/>
    <w:rsid w:val="005938CC"/>
    <w:rsid w:val="0059475A"/>
    <w:rsid w:val="00594CE0"/>
    <w:rsid w:val="00596A56"/>
    <w:rsid w:val="005A0635"/>
    <w:rsid w:val="005A1C59"/>
    <w:rsid w:val="005A23AE"/>
    <w:rsid w:val="005A2ADC"/>
    <w:rsid w:val="005A3AE8"/>
    <w:rsid w:val="005A3D8D"/>
    <w:rsid w:val="005A7C6D"/>
    <w:rsid w:val="005B0C9F"/>
    <w:rsid w:val="005B11B1"/>
    <w:rsid w:val="005B3008"/>
    <w:rsid w:val="005B4BB5"/>
    <w:rsid w:val="005B5465"/>
    <w:rsid w:val="005C1850"/>
    <w:rsid w:val="005C30FF"/>
    <w:rsid w:val="005C3C83"/>
    <w:rsid w:val="005C4C80"/>
    <w:rsid w:val="005C4EDA"/>
    <w:rsid w:val="005C6F0C"/>
    <w:rsid w:val="005D01C0"/>
    <w:rsid w:val="005D6B51"/>
    <w:rsid w:val="005E3F93"/>
    <w:rsid w:val="005E4904"/>
    <w:rsid w:val="005F0BD6"/>
    <w:rsid w:val="005F1FAC"/>
    <w:rsid w:val="005F2AD0"/>
    <w:rsid w:val="005F7B74"/>
    <w:rsid w:val="00604D93"/>
    <w:rsid w:val="00606F99"/>
    <w:rsid w:val="006070B9"/>
    <w:rsid w:val="00611E74"/>
    <w:rsid w:val="006138E4"/>
    <w:rsid w:val="00614E27"/>
    <w:rsid w:val="006163CB"/>
    <w:rsid w:val="00616BAF"/>
    <w:rsid w:val="00620261"/>
    <w:rsid w:val="00621A8C"/>
    <w:rsid w:val="00624CAD"/>
    <w:rsid w:val="00624D9C"/>
    <w:rsid w:val="00625C04"/>
    <w:rsid w:val="00630304"/>
    <w:rsid w:val="00630B22"/>
    <w:rsid w:val="0064344C"/>
    <w:rsid w:val="00644C43"/>
    <w:rsid w:val="00653728"/>
    <w:rsid w:val="00654F22"/>
    <w:rsid w:val="006576BD"/>
    <w:rsid w:val="0066443F"/>
    <w:rsid w:val="00667E74"/>
    <w:rsid w:val="006710B4"/>
    <w:rsid w:val="0067646D"/>
    <w:rsid w:val="00680AA4"/>
    <w:rsid w:val="00682FF7"/>
    <w:rsid w:val="00683518"/>
    <w:rsid w:val="00684A8A"/>
    <w:rsid w:val="00691CB2"/>
    <w:rsid w:val="00695195"/>
    <w:rsid w:val="00696EC7"/>
    <w:rsid w:val="006971F1"/>
    <w:rsid w:val="006A02C0"/>
    <w:rsid w:val="006A1595"/>
    <w:rsid w:val="006A2432"/>
    <w:rsid w:val="006A3542"/>
    <w:rsid w:val="006B0173"/>
    <w:rsid w:val="006B058A"/>
    <w:rsid w:val="006B08A2"/>
    <w:rsid w:val="006B1566"/>
    <w:rsid w:val="006B16AB"/>
    <w:rsid w:val="006B3EA6"/>
    <w:rsid w:val="006C1F2A"/>
    <w:rsid w:val="006C3696"/>
    <w:rsid w:val="006C36BC"/>
    <w:rsid w:val="006C37C3"/>
    <w:rsid w:val="006C7009"/>
    <w:rsid w:val="006D2C52"/>
    <w:rsid w:val="006D2DAC"/>
    <w:rsid w:val="006D3CE2"/>
    <w:rsid w:val="006D545A"/>
    <w:rsid w:val="006E624F"/>
    <w:rsid w:val="006F1000"/>
    <w:rsid w:val="006F61A3"/>
    <w:rsid w:val="0070028D"/>
    <w:rsid w:val="007029B8"/>
    <w:rsid w:val="00705897"/>
    <w:rsid w:val="00710E10"/>
    <w:rsid w:val="00710E25"/>
    <w:rsid w:val="007206EB"/>
    <w:rsid w:val="00721AB9"/>
    <w:rsid w:val="00722FA7"/>
    <w:rsid w:val="00725620"/>
    <w:rsid w:val="00726BEA"/>
    <w:rsid w:val="00727BA7"/>
    <w:rsid w:val="007367FA"/>
    <w:rsid w:val="00746642"/>
    <w:rsid w:val="0076202A"/>
    <w:rsid w:val="007625AA"/>
    <w:rsid w:val="00762C36"/>
    <w:rsid w:val="00763312"/>
    <w:rsid w:val="0076371B"/>
    <w:rsid w:val="0076479A"/>
    <w:rsid w:val="007662E3"/>
    <w:rsid w:val="00766E21"/>
    <w:rsid w:val="00770DFA"/>
    <w:rsid w:val="00771938"/>
    <w:rsid w:val="00773696"/>
    <w:rsid w:val="00775810"/>
    <w:rsid w:val="00776B77"/>
    <w:rsid w:val="007773D2"/>
    <w:rsid w:val="00783554"/>
    <w:rsid w:val="00785653"/>
    <w:rsid w:val="00787CBF"/>
    <w:rsid w:val="007909B2"/>
    <w:rsid w:val="0079380F"/>
    <w:rsid w:val="007A1A3A"/>
    <w:rsid w:val="007A252F"/>
    <w:rsid w:val="007A2C41"/>
    <w:rsid w:val="007A5DCC"/>
    <w:rsid w:val="007A62A0"/>
    <w:rsid w:val="007A7117"/>
    <w:rsid w:val="007A7ED9"/>
    <w:rsid w:val="007B2E63"/>
    <w:rsid w:val="007B471E"/>
    <w:rsid w:val="007B5A9A"/>
    <w:rsid w:val="007C1CC8"/>
    <w:rsid w:val="007D0579"/>
    <w:rsid w:val="007D0DA5"/>
    <w:rsid w:val="007D2336"/>
    <w:rsid w:val="007D3258"/>
    <w:rsid w:val="007D7612"/>
    <w:rsid w:val="007D79C0"/>
    <w:rsid w:val="007D7E7D"/>
    <w:rsid w:val="007E2607"/>
    <w:rsid w:val="007E4594"/>
    <w:rsid w:val="007E5326"/>
    <w:rsid w:val="007E54D4"/>
    <w:rsid w:val="007F0791"/>
    <w:rsid w:val="007F0EC4"/>
    <w:rsid w:val="007F13E3"/>
    <w:rsid w:val="007F220F"/>
    <w:rsid w:val="007F2B37"/>
    <w:rsid w:val="007F4AA8"/>
    <w:rsid w:val="007F7B36"/>
    <w:rsid w:val="008002F8"/>
    <w:rsid w:val="00800E43"/>
    <w:rsid w:val="008027B5"/>
    <w:rsid w:val="00803B19"/>
    <w:rsid w:val="00805EF4"/>
    <w:rsid w:val="00807B57"/>
    <w:rsid w:val="00810EC9"/>
    <w:rsid w:val="008157CA"/>
    <w:rsid w:val="00815F94"/>
    <w:rsid w:val="0081602F"/>
    <w:rsid w:val="00816256"/>
    <w:rsid w:val="00822BE6"/>
    <w:rsid w:val="00823BA3"/>
    <w:rsid w:val="00824C09"/>
    <w:rsid w:val="008257C5"/>
    <w:rsid w:val="00826505"/>
    <w:rsid w:val="00827945"/>
    <w:rsid w:val="00832AA2"/>
    <w:rsid w:val="00835B3C"/>
    <w:rsid w:val="008413BF"/>
    <w:rsid w:val="00842726"/>
    <w:rsid w:val="00842AA1"/>
    <w:rsid w:val="00850547"/>
    <w:rsid w:val="008509CC"/>
    <w:rsid w:val="00850A03"/>
    <w:rsid w:val="00851AC9"/>
    <w:rsid w:val="00852798"/>
    <w:rsid w:val="00852F57"/>
    <w:rsid w:val="0085578B"/>
    <w:rsid w:val="00857CF1"/>
    <w:rsid w:val="00861C4B"/>
    <w:rsid w:val="00862F15"/>
    <w:rsid w:val="0086307E"/>
    <w:rsid w:val="00864A66"/>
    <w:rsid w:val="008721CD"/>
    <w:rsid w:val="00872424"/>
    <w:rsid w:val="0087401F"/>
    <w:rsid w:val="00874622"/>
    <w:rsid w:val="008822F1"/>
    <w:rsid w:val="00895152"/>
    <w:rsid w:val="00896048"/>
    <w:rsid w:val="0089720C"/>
    <w:rsid w:val="008973DB"/>
    <w:rsid w:val="008A1B1F"/>
    <w:rsid w:val="008A1DF5"/>
    <w:rsid w:val="008A230C"/>
    <w:rsid w:val="008A2E22"/>
    <w:rsid w:val="008A3010"/>
    <w:rsid w:val="008A5123"/>
    <w:rsid w:val="008A73C5"/>
    <w:rsid w:val="008B1407"/>
    <w:rsid w:val="008B2355"/>
    <w:rsid w:val="008B6893"/>
    <w:rsid w:val="008C5558"/>
    <w:rsid w:val="008C769B"/>
    <w:rsid w:val="008D02A2"/>
    <w:rsid w:val="008D0B28"/>
    <w:rsid w:val="008D2352"/>
    <w:rsid w:val="008E05CD"/>
    <w:rsid w:val="009028E9"/>
    <w:rsid w:val="00903514"/>
    <w:rsid w:val="00905D05"/>
    <w:rsid w:val="00910C8E"/>
    <w:rsid w:val="009136D0"/>
    <w:rsid w:val="009225D7"/>
    <w:rsid w:val="0092347D"/>
    <w:rsid w:val="0092385F"/>
    <w:rsid w:val="00926787"/>
    <w:rsid w:val="0092746A"/>
    <w:rsid w:val="00930A95"/>
    <w:rsid w:val="00930E0D"/>
    <w:rsid w:val="00931237"/>
    <w:rsid w:val="00932CBF"/>
    <w:rsid w:val="00935319"/>
    <w:rsid w:val="0093598E"/>
    <w:rsid w:val="00941D23"/>
    <w:rsid w:val="00942BB9"/>
    <w:rsid w:val="00942D8D"/>
    <w:rsid w:val="0094469E"/>
    <w:rsid w:val="00950318"/>
    <w:rsid w:val="0095199A"/>
    <w:rsid w:val="00952611"/>
    <w:rsid w:val="00956C13"/>
    <w:rsid w:val="00960A50"/>
    <w:rsid w:val="009629C8"/>
    <w:rsid w:val="00963BDC"/>
    <w:rsid w:val="009649A1"/>
    <w:rsid w:val="00967356"/>
    <w:rsid w:val="00970CCA"/>
    <w:rsid w:val="00974D51"/>
    <w:rsid w:val="009759A8"/>
    <w:rsid w:val="00975F6B"/>
    <w:rsid w:val="009818E4"/>
    <w:rsid w:val="009859B3"/>
    <w:rsid w:val="0098704A"/>
    <w:rsid w:val="00990DC4"/>
    <w:rsid w:val="00997508"/>
    <w:rsid w:val="009A08F7"/>
    <w:rsid w:val="009A3E63"/>
    <w:rsid w:val="009A6B6B"/>
    <w:rsid w:val="009B28DD"/>
    <w:rsid w:val="009B2BC3"/>
    <w:rsid w:val="009B3460"/>
    <w:rsid w:val="009B50D9"/>
    <w:rsid w:val="009B52DB"/>
    <w:rsid w:val="009C24FF"/>
    <w:rsid w:val="009C403F"/>
    <w:rsid w:val="009C52DC"/>
    <w:rsid w:val="009C5369"/>
    <w:rsid w:val="009C5D7D"/>
    <w:rsid w:val="009C7FF9"/>
    <w:rsid w:val="009D03C5"/>
    <w:rsid w:val="009D1FF6"/>
    <w:rsid w:val="009D395A"/>
    <w:rsid w:val="009D3BA9"/>
    <w:rsid w:val="009D5C49"/>
    <w:rsid w:val="009D6C1F"/>
    <w:rsid w:val="009E14A5"/>
    <w:rsid w:val="009E1913"/>
    <w:rsid w:val="009E4A04"/>
    <w:rsid w:val="009E5307"/>
    <w:rsid w:val="009F4A03"/>
    <w:rsid w:val="009F5261"/>
    <w:rsid w:val="009F542E"/>
    <w:rsid w:val="009F61D3"/>
    <w:rsid w:val="00A00BE2"/>
    <w:rsid w:val="00A01D7B"/>
    <w:rsid w:val="00A02A77"/>
    <w:rsid w:val="00A041CB"/>
    <w:rsid w:val="00A12109"/>
    <w:rsid w:val="00A210FA"/>
    <w:rsid w:val="00A22A4F"/>
    <w:rsid w:val="00A25DFC"/>
    <w:rsid w:val="00A26BD6"/>
    <w:rsid w:val="00A27EF7"/>
    <w:rsid w:val="00A326F2"/>
    <w:rsid w:val="00A378E9"/>
    <w:rsid w:val="00A4004D"/>
    <w:rsid w:val="00A4008C"/>
    <w:rsid w:val="00A453CD"/>
    <w:rsid w:val="00A46A1E"/>
    <w:rsid w:val="00A510AD"/>
    <w:rsid w:val="00A51445"/>
    <w:rsid w:val="00A52B5B"/>
    <w:rsid w:val="00A536C2"/>
    <w:rsid w:val="00A57DD8"/>
    <w:rsid w:val="00A609C0"/>
    <w:rsid w:val="00A700A8"/>
    <w:rsid w:val="00A76D7E"/>
    <w:rsid w:val="00A82255"/>
    <w:rsid w:val="00A85049"/>
    <w:rsid w:val="00A86399"/>
    <w:rsid w:val="00A901D1"/>
    <w:rsid w:val="00A92048"/>
    <w:rsid w:val="00A9625A"/>
    <w:rsid w:val="00AA1C25"/>
    <w:rsid w:val="00AA5C59"/>
    <w:rsid w:val="00AA696B"/>
    <w:rsid w:val="00AC1FD6"/>
    <w:rsid w:val="00AC4CC7"/>
    <w:rsid w:val="00AC60A8"/>
    <w:rsid w:val="00AC7718"/>
    <w:rsid w:val="00AE1002"/>
    <w:rsid w:val="00AE3D1B"/>
    <w:rsid w:val="00AE46DF"/>
    <w:rsid w:val="00AE5A33"/>
    <w:rsid w:val="00AF23B9"/>
    <w:rsid w:val="00AF58AE"/>
    <w:rsid w:val="00AF7D18"/>
    <w:rsid w:val="00B0314F"/>
    <w:rsid w:val="00B03AD2"/>
    <w:rsid w:val="00B066DA"/>
    <w:rsid w:val="00B06B5E"/>
    <w:rsid w:val="00B07407"/>
    <w:rsid w:val="00B12085"/>
    <w:rsid w:val="00B127EC"/>
    <w:rsid w:val="00B13FB9"/>
    <w:rsid w:val="00B17782"/>
    <w:rsid w:val="00B21655"/>
    <w:rsid w:val="00B22D5D"/>
    <w:rsid w:val="00B25D33"/>
    <w:rsid w:val="00B26B86"/>
    <w:rsid w:val="00B3073D"/>
    <w:rsid w:val="00B31C33"/>
    <w:rsid w:val="00B43C4D"/>
    <w:rsid w:val="00B442A6"/>
    <w:rsid w:val="00B46ED4"/>
    <w:rsid w:val="00B479C7"/>
    <w:rsid w:val="00B504FE"/>
    <w:rsid w:val="00B5168C"/>
    <w:rsid w:val="00B53A33"/>
    <w:rsid w:val="00B567C1"/>
    <w:rsid w:val="00B60A68"/>
    <w:rsid w:val="00B610D8"/>
    <w:rsid w:val="00B6508F"/>
    <w:rsid w:val="00B653EE"/>
    <w:rsid w:val="00B658D8"/>
    <w:rsid w:val="00B668F3"/>
    <w:rsid w:val="00B67088"/>
    <w:rsid w:val="00B81021"/>
    <w:rsid w:val="00B82976"/>
    <w:rsid w:val="00B90CEC"/>
    <w:rsid w:val="00B90D1B"/>
    <w:rsid w:val="00B93571"/>
    <w:rsid w:val="00BA008E"/>
    <w:rsid w:val="00BA087C"/>
    <w:rsid w:val="00BA0C01"/>
    <w:rsid w:val="00BA1173"/>
    <w:rsid w:val="00BA2E03"/>
    <w:rsid w:val="00BA35B6"/>
    <w:rsid w:val="00BB0D76"/>
    <w:rsid w:val="00BB1E7B"/>
    <w:rsid w:val="00BB22F1"/>
    <w:rsid w:val="00BB5009"/>
    <w:rsid w:val="00BC07EC"/>
    <w:rsid w:val="00BC0E6B"/>
    <w:rsid w:val="00BC1661"/>
    <w:rsid w:val="00BC1959"/>
    <w:rsid w:val="00BC215C"/>
    <w:rsid w:val="00BC4125"/>
    <w:rsid w:val="00BC450E"/>
    <w:rsid w:val="00BC494B"/>
    <w:rsid w:val="00BC49B7"/>
    <w:rsid w:val="00BC5C8A"/>
    <w:rsid w:val="00BC630D"/>
    <w:rsid w:val="00BD05ED"/>
    <w:rsid w:val="00BE27CD"/>
    <w:rsid w:val="00BE3137"/>
    <w:rsid w:val="00BE34BB"/>
    <w:rsid w:val="00BE61EE"/>
    <w:rsid w:val="00BE7394"/>
    <w:rsid w:val="00BF0522"/>
    <w:rsid w:val="00BF28E5"/>
    <w:rsid w:val="00C020CE"/>
    <w:rsid w:val="00C03D4F"/>
    <w:rsid w:val="00C06EE8"/>
    <w:rsid w:val="00C07838"/>
    <w:rsid w:val="00C11B81"/>
    <w:rsid w:val="00C14B6C"/>
    <w:rsid w:val="00C1517E"/>
    <w:rsid w:val="00C177A3"/>
    <w:rsid w:val="00C17E6E"/>
    <w:rsid w:val="00C17EED"/>
    <w:rsid w:val="00C20328"/>
    <w:rsid w:val="00C203BA"/>
    <w:rsid w:val="00C219C3"/>
    <w:rsid w:val="00C2366F"/>
    <w:rsid w:val="00C253E9"/>
    <w:rsid w:val="00C272F8"/>
    <w:rsid w:val="00C31ED8"/>
    <w:rsid w:val="00C3606B"/>
    <w:rsid w:val="00C3629C"/>
    <w:rsid w:val="00C376F9"/>
    <w:rsid w:val="00C37E12"/>
    <w:rsid w:val="00C40496"/>
    <w:rsid w:val="00C406AE"/>
    <w:rsid w:val="00C4302B"/>
    <w:rsid w:val="00C44321"/>
    <w:rsid w:val="00C4490F"/>
    <w:rsid w:val="00C44A09"/>
    <w:rsid w:val="00C44ECF"/>
    <w:rsid w:val="00C50425"/>
    <w:rsid w:val="00C508EC"/>
    <w:rsid w:val="00C50932"/>
    <w:rsid w:val="00C52649"/>
    <w:rsid w:val="00C5634E"/>
    <w:rsid w:val="00C5764A"/>
    <w:rsid w:val="00C57994"/>
    <w:rsid w:val="00C606B4"/>
    <w:rsid w:val="00C6691B"/>
    <w:rsid w:val="00C73BD3"/>
    <w:rsid w:val="00C759A8"/>
    <w:rsid w:val="00C75ADC"/>
    <w:rsid w:val="00C81700"/>
    <w:rsid w:val="00C822C9"/>
    <w:rsid w:val="00C8281A"/>
    <w:rsid w:val="00C86617"/>
    <w:rsid w:val="00C876B3"/>
    <w:rsid w:val="00C907DA"/>
    <w:rsid w:val="00C910FA"/>
    <w:rsid w:val="00C91AB1"/>
    <w:rsid w:val="00C92FC7"/>
    <w:rsid w:val="00C935CD"/>
    <w:rsid w:val="00C939C6"/>
    <w:rsid w:val="00C958B0"/>
    <w:rsid w:val="00CA4001"/>
    <w:rsid w:val="00CB3D80"/>
    <w:rsid w:val="00CB48B7"/>
    <w:rsid w:val="00CB4BB4"/>
    <w:rsid w:val="00CC2705"/>
    <w:rsid w:val="00CC6305"/>
    <w:rsid w:val="00CD0CCB"/>
    <w:rsid w:val="00CD155D"/>
    <w:rsid w:val="00CD1947"/>
    <w:rsid w:val="00CD1AD3"/>
    <w:rsid w:val="00CD38D0"/>
    <w:rsid w:val="00CE41A6"/>
    <w:rsid w:val="00CE6D93"/>
    <w:rsid w:val="00CF24D6"/>
    <w:rsid w:val="00CF443B"/>
    <w:rsid w:val="00CF567A"/>
    <w:rsid w:val="00CF5947"/>
    <w:rsid w:val="00CF5E9D"/>
    <w:rsid w:val="00CF6862"/>
    <w:rsid w:val="00D011EA"/>
    <w:rsid w:val="00D053A5"/>
    <w:rsid w:val="00D061BA"/>
    <w:rsid w:val="00D077B9"/>
    <w:rsid w:val="00D12456"/>
    <w:rsid w:val="00D12811"/>
    <w:rsid w:val="00D14BDF"/>
    <w:rsid w:val="00D15C8B"/>
    <w:rsid w:val="00D1750C"/>
    <w:rsid w:val="00D21EE1"/>
    <w:rsid w:val="00D239B7"/>
    <w:rsid w:val="00D239BF"/>
    <w:rsid w:val="00D243BC"/>
    <w:rsid w:val="00D2587D"/>
    <w:rsid w:val="00D2695F"/>
    <w:rsid w:val="00D2734C"/>
    <w:rsid w:val="00D3272E"/>
    <w:rsid w:val="00D36C7E"/>
    <w:rsid w:val="00D375E1"/>
    <w:rsid w:val="00D42C3C"/>
    <w:rsid w:val="00D44F89"/>
    <w:rsid w:val="00D470A5"/>
    <w:rsid w:val="00D521E4"/>
    <w:rsid w:val="00D52571"/>
    <w:rsid w:val="00D5427C"/>
    <w:rsid w:val="00D54A3D"/>
    <w:rsid w:val="00D55B17"/>
    <w:rsid w:val="00D6051D"/>
    <w:rsid w:val="00D63AB0"/>
    <w:rsid w:val="00D6446E"/>
    <w:rsid w:val="00D65C42"/>
    <w:rsid w:val="00D70777"/>
    <w:rsid w:val="00D718FF"/>
    <w:rsid w:val="00D8079B"/>
    <w:rsid w:val="00D843A0"/>
    <w:rsid w:val="00D8495F"/>
    <w:rsid w:val="00D86691"/>
    <w:rsid w:val="00D954B2"/>
    <w:rsid w:val="00DA06C4"/>
    <w:rsid w:val="00DA084C"/>
    <w:rsid w:val="00DA311C"/>
    <w:rsid w:val="00DA3FE8"/>
    <w:rsid w:val="00DA4855"/>
    <w:rsid w:val="00DA711F"/>
    <w:rsid w:val="00DA7D95"/>
    <w:rsid w:val="00DB5725"/>
    <w:rsid w:val="00DB5E6E"/>
    <w:rsid w:val="00DB68B1"/>
    <w:rsid w:val="00DC33F4"/>
    <w:rsid w:val="00DC3B16"/>
    <w:rsid w:val="00DC6BC7"/>
    <w:rsid w:val="00DD4306"/>
    <w:rsid w:val="00DD66AB"/>
    <w:rsid w:val="00DD7B8E"/>
    <w:rsid w:val="00DD7D65"/>
    <w:rsid w:val="00DE648F"/>
    <w:rsid w:val="00DE6578"/>
    <w:rsid w:val="00DF104C"/>
    <w:rsid w:val="00DF41A8"/>
    <w:rsid w:val="00DF4917"/>
    <w:rsid w:val="00DF49D6"/>
    <w:rsid w:val="00E03816"/>
    <w:rsid w:val="00E12CE8"/>
    <w:rsid w:val="00E1697D"/>
    <w:rsid w:val="00E16D4A"/>
    <w:rsid w:val="00E1757E"/>
    <w:rsid w:val="00E23EAE"/>
    <w:rsid w:val="00E24AE2"/>
    <w:rsid w:val="00E25037"/>
    <w:rsid w:val="00E25908"/>
    <w:rsid w:val="00E3124F"/>
    <w:rsid w:val="00E33616"/>
    <w:rsid w:val="00E34BED"/>
    <w:rsid w:val="00E3682A"/>
    <w:rsid w:val="00E37F19"/>
    <w:rsid w:val="00E42CEF"/>
    <w:rsid w:val="00E47226"/>
    <w:rsid w:val="00E47963"/>
    <w:rsid w:val="00E524C4"/>
    <w:rsid w:val="00E53DB8"/>
    <w:rsid w:val="00E53E28"/>
    <w:rsid w:val="00E562E2"/>
    <w:rsid w:val="00E66A43"/>
    <w:rsid w:val="00E71549"/>
    <w:rsid w:val="00E72790"/>
    <w:rsid w:val="00E766A2"/>
    <w:rsid w:val="00E776AE"/>
    <w:rsid w:val="00E80287"/>
    <w:rsid w:val="00E8374E"/>
    <w:rsid w:val="00E8524B"/>
    <w:rsid w:val="00E874B4"/>
    <w:rsid w:val="00E87E80"/>
    <w:rsid w:val="00E906D0"/>
    <w:rsid w:val="00E92448"/>
    <w:rsid w:val="00E94D0A"/>
    <w:rsid w:val="00EA1DB5"/>
    <w:rsid w:val="00EA33BB"/>
    <w:rsid w:val="00EA3E91"/>
    <w:rsid w:val="00EB35D8"/>
    <w:rsid w:val="00EB363B"/>
    <w:rsid w:val="00EB3E2D"/>
    <w:rsid w:val="00EB5F38"/>
    <w:rsid w:val="00EC22A2"/>
    <w:rsid w:val="00EC332D"/>
    <w:rsid w:val="00EC444F"/>
    <w:rsid w:val="00EC4FD1"/>
    <w:rsid w:val="00EC578F"/>
    <w:rsid w:val="00ED099B"/>
    <w:rsid w:val="00ED1714"/>
    <w:rsid w:val="00ED5351"/>
    <w:rsid w:val="00ED6AB8"/>
    <w:rsid w:val="00ED6DEA"/>
    <w:rsid w:val="00EE0C1A"/>
    <w:rsid w:val="00EE1364"/>
    <w:rsid w:val="00EE1A21"/>
    <w:rsid w:val="00EE2570"/>
    <w:rsid w:val="00EE3EC2"/>
    <w:rsid w:val="00EE4E7B"/>
    <w:rsid w:val="00EE50AB"/>
    <w:rsid w:val="00EF0310"/>
    <w:rsid w:val="00EF373F"/>
    <w:rsid w:val="00EF5D3E"/>
    <w:rsid w:val="00F018FE"/>
    <w:rsid w:val="00F03122"/>
    <w:rsid w:val="00F03275"/>
    <w:rsid w:val="00F06D41"/>
    <w:rsid w:val="00F0719C"/>
    <w:rsid w:val="00F13C3E"/>
    <w:rsid w:val="00F16BF9"/>
    <w:rsid w:val="00F17496"/>
    <w:rsid w:val="00F205C1"/>
    <w:rsid w:val="00F22C25"/>
    <w:rsid w:val="00F253F4"/>
    <w:rsid w:val="00F30E23"/>
    <w:rsid w:val="00F3142B"/>
    <w:rsid w:val="00F32670"/>
    <w:rsid w:val="00F33480"/>
    <w:rsid w:val="00F334CE"/>
    <w:rsid w:val="00F35DAC"/>
    <w:rsid w:val="00F36C71"/>
    <w:rsid w:val="00F40AB8"/>
    <w:rsid w:val="00F44F3D"/>
    <w:rsid w:val="00F4704E"/>
    <w:rsid w:val="00F51550"/>
    <w:rsid w:val="00F5490D"/>
    <w:rsid w:val="00F62998"/>
    <w:rsid w:val="00F66EEE"/>
    <w:rsid w:val="00F70A73"/>
    <w:rsid w:val="00F734BD"/>
    <w:rsid w:val="00F75642"/>
    <w:rsid w:val="00F77CD3"/>
    <w:rsid w:val="00F80328"/>
    <w:rsid w:val="00F80344"/>
    <w:rsid w:val="00F838A5"/>
    <w:rsid w:val="00F83DEB"/>
    <w:rsid w:val="00F92640"/>
    <w:rsid w:val="00F943E6"/>
    <w:rsid w:val="00F95715"/>
    <w:rsid w:val="00F95C85"/>
    <w:rsid w:val="00FA02DA"/>
    <w:rsid w:val="00FA06DD"/>
    <w:rsid w:val="00FA197B"/>
    <w:rsid w:val="00FA29D7"/>
    <w:rsid w:val="00FA5AD5"/>
    <w:rsid w:val="00FA6E72"/>
    <w:rsid w:val="00FA7670"/>
    <w:rsid w:val="00FB1925"/>
    <w:rsid w:val="00FC1152"/>
    <w:rsid w:val="00FC132E"/>
    <w:rsid w:val="00FC13A4"/>
    <w:rsid w:val="00FC502A"/>
    <w:rsid w:val="00FD43FE"/>
    <w:rsid w:val="00FE1144"/>
    <w:rsid w:val="00FE37A8"/>
    <w:rsid w:val="00FE735A"/>
    <w:rsid w:val="00FF2E2E"/>
    <w:rsid w:val="00FF3073"/>
    <w:rsid w:val="00FF4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455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CCB"/>
    <w:pPr>
      <w:ind w:left="720"/>
      <w:contextualSpacing/>
    </w:pPr>
  </w:style>
  <w:style w:type="paragraph" w:styleId="BodyText">
    <w:name w:val="Body Text"/>
    <w:basedOn w:val="Normal"/>
    <w:link w:val="BodyTextChar"/>
    <w:rsid w:val="00D954B2"/>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rsid w:val="00D954B2"/>
    <w:rPr>
      <w:rFonts w:ascii="Arial" w:eastAsia="Times New Roman" w:hAnsi="Arial" w:cs="Arial"/>
      <w:sz w:val="20"/>
      <w:szCs w:val="20"/>
    </w:rPr>
  </w:style>
  <w:style w:type="character" w:customStyle="1" w:styleId="Heading3Char">
    <w:name w:val="Heading 3 Char"/>
    <w:basedOn w:val="DefaultParagraphFont"/>
    <w:link w:val="Heading3"/>
    <w:uiPriority w:val="9"/>
    <w:rsid w:val="002455D0"/>
    <w:rPr>
      <w:rFonts w:ascii="Times New Roman" w:eastAsia="Times New Roman" w:hAnsi="Times New Roman" w:cs="Times New Roman"/>
      <w:b/>
      <w:bCs/>
      <w:sz w:val="27"/>
      <w:szCs w:val="27"/>
    </w:rPr>
  </w:style>
  <w:style w:type="paragraph" w:customStyle="1" w:styleId="USAIDBodytext">
    <w:name w:val="US AID Bodytext"/>
    <w:basedOn w:val="Normal"/>
    <w:next w:val="Normal"/>
    <w:rsid w:val="00D5427C"/>
    <w:pPr>
      <w:autoSpaceDE w:val="0"/>
      <w:autoSpaceDN w:val="0"/>
      <w:adjustRightInd w:val="0"/>
      <w:spacing w:after="0" w:line="240" w:lineRule="auto"/>
    </w:pPr>
    <w:rPr>
      <w:rFonts w:ascii="Garamond" w:eastAsia="Times New Roman" w:hAnsi="Garamond" w:cs="Times New Roman"/>
      <w:sz w:val="24"/>
      <w:szCs w:val="24"/>
    </w:rPr>
  </w:style>
  <w:style w:type="table" w:styleId="TableGrid">
    <w:name w:val="Table Grid"/>
    <w:basedOn w:val="TableNormal"/>
    <w:uiPriority w:val="39"/>
    <w:rsid w:val="0072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B3D80"/>
    <w:rPr>
      <w:color w:val="0000FF"/>
      <w:u w:val="single"/>
    </w:rPr>
  </w:style>
  <w:style w:type="paragraph" w:styleId="BalloonText">
    <w:name w:val="Balloon Text"/>
    <w:basedOn w:val="Normal"/>
    <w:link w:val="BalloonTextChar"/>
    <w:uiPriority w:val="99"/>
    <w:semiHidden/>
    <w:unhideWhenUsed/>
    <w:rsid w:val="00E66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A43"/>
    <w:rPr>
      <w:rFonts w:ascii="Tahoma" w:hAnsi="Tahoma" w:cs="Tahoma"/>
      <w:sz w:val="16"/>
      <w:szCs w:val="16"/>
    </w:rPr>
  </w:style>
  <w:style w:type="character" w:styleId="CommentReference">
    <w:name w:val="annotation reference"/>
    <w:basedOn w:val="DefaultParagraphFont"/>
    <w:uiPriority w:val="99"/>
    <w:semiHidden/>
    <w:unhideWhenUsed/>
    <w:rsid w:val="004023C1"/>
    <w:rPr>
      <w:sz w:val="16"/>
      <w:szCs w:val="16"/>
    </w:rPr>
  </w:style>
  <w:style w:type="paragraph" w:styleId="CommentText">
    <w:name w:val="annotation text"/>
    <w:basedOn w:val="Normal"/>
    <w:link w:val="CommentTextChar"/>
    <w:uiPriority w:val="99"/>
    <w:semiHidden/>
    <w:unhideWhenUsed/>
    <w:rsid w:val="004023C1"/>
    <w:pPr>
      <w:spacing w:line="240" w:lineRule="auto"/>
    </w:pPr>
    <w:rPr>
      <w:sz w:val="20"/>
      <w:szCs w:val="20"/>
    </w:rPr>
  </w:style>
  <w:style w:type="character" w:customStyle="1" w:styleId="CommentTextChar">
    <w:name w:val="Comment Text Char"/>
    <w:basedOn w:val="DefaultParagraphFont"/>
    <w:link w:val="CommentText"/>
    <w:uiPriority w:val="99"/>
    <w:semiHidden/>
    <w:rsid w:val="004023C1"/>
    <w:rPr>
      <w:sz w:val="20"/>
      <w:szCs w:val="20"/>
    </w:rPr>
  </w:style>
  <w:style w:type="paragraph" w:styleId="CommentSubject">
    <w:name w:val="annotation subject"/>
    <w:basedOn w:val="CommentText"/>
    <w:next w:val="CommentText"/>
    <w:link w:val="CommentSubjectChar"/>
    <w:uiPriority w:val="99"/>
    <w:semiHidden/>
    <w:unhideWhenUsed/>
    <w:rsid w:val="004023C1"/>
    <w:rPr>
      <w:b/>
      <w:bCs/>
    </w:rPr>
  </w:style>
  <w:style w:type="character" w:customStyle="1" w:styleId="CommentSubjectChar">
    <w:name w:val="Comment Subject Char"/>
    <w:basedOn w:val="CommentTextChar"/>
    <w:link w:val="CommentSubject"/>
    <w:uiPriority w:val="99"/>
    <w:semiHidden/>
    <w:rsid w:val="004023C1"/>
    <w:rPr>
      <w:b/>
      <w:bCs/>
      <w:sz w:val="20"/>
      <w:szCs w:val="20"/>
    </w:rPr>
  </w:style>
  <w:style w:type="paragraph" w:styleId="NoSpacing">
    <w:name w:val="No Spacing"/>
    <w:link w:val="NoSpacingChar"/>
    <w:uiPriority w:val="1"/>
    <w:qFormat/>
    <w:rsid w:val="00D6051D"/>
    <w:pPr>
      <w:spacing w:after="0" w:line="240" w:lineRule="auto"/>
    </w:pPr>
    <w:rPr>
      <w:rFonts w:eastAsiaTheme="minorEastAsia"/>
    </w:rPr>
  </w:style>
  <w:style w:type="character" w:customStyle="1" w:styleId="NoSpacingChar">
    <w:name w:val="No Spacing Char"/>
    <w:basedOn w:val="DefaultParagraphFont"/>
    <w:link w:val="NoSpacing"/>
    <w:uiPriority w:val="1"/>
    <w:rsid w:val="00D6051D"/>
    <w:rPr>
      <w:rFonts w:eastAsiaTheme="minorEastAsia"/>
    </w:rPr>
  </w:style>
  <w:style w:type="paragraph" w:styleId="Header">
    <w:name w:val="header"/>
    <w:basedOn w:val="Normal"/>
    <w:link w:val="HeaderChar"/>
    <w:uiPriority w:val="99"/>
    <w:unhideWhenUsed/>
    <w:rsid w:val="00375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8B3"/>
  </w:style>
  <w:style w:type="paragraph" w:styleId="Footer">
    <w:name w:val="footer"/>
    <w:basedOn w:val="Normal"/>
    <w:link w:val="FooterChar"/>
    <w:uiPriority w:val="99"/>
    <w:unhideWhenUsed/>
    <w:rsid w:val="00375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B3"/>
  </w:style>
  <w:style w:type="paragraph" w:styleId="FootnoteText">
    <w:name w:val="footnote text"/>
    <w:basedOn w:val="Normal"/>
    <w:link w:val="FootnoteTextChar"/>
    <w:uiPriority w:val="99"/>
    <w:semiHidden/>
    <w:unhideWhenUsed/>
    <w:rsid w:val="00C75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5ADC"/>
    <w:rPr>
      <w:sz w:val="20"/>
      <w:szCs w:val="20"/>
    </w:rPr>
  </w:style>
  <w:style w:type="character" w:styleId="FootnoteReference">
    <w:name w:val="footnote reference"/>
    <w:basedOn w:val="DefaultParagraphFont"/>
    <w:uiPriority w:val="99"/>
    <w:semiHidden/>
    <w:unhideWhenUsed/>
    <w:rsid w:val="00C75ADC"/>
    <w:rPr>
      <w:vertAlign w:val="superscript"/>
    </w:rPr>
  </w:style>
  <w:style w:type="character" w:styleId="LineNumber">
    <w:name w:val="line number"/>
    <w:basedOn w:val="DefaultParagraphFont"/>
    <w:uiPriority w:val="99"/>
    <w:semiHidden/>
    <w:unhideWhenUsed/>
    <w:rsid w:val="003851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455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CCB"/>
    <w:pPr>
      <w:ind w:left="720"/>
      <w:contextualSpacing/>
    </w:pPr>
  </w:style>
  <w:style w:type="paragraph" w:styleId="BodyText">
    <w:name w:val="Body Text"/>
    <w:basedOn w:val="Normal"/>
    <w:link w:val="BodyTextChar"/>
    <w:rsid w:val="00D954B2"/>
    <w:pPr>
      <w:spacing w:after="0" w:line="240" w:lineRule="auto"/>
    </w:pPr>
    <w:rPr>
      <w:rFonts w:ascii="Arial" w:eastAsia="Times New Roman" w:hAnsi="Arial" w:cs="Arial"/>
      <w:sz w:val="20"/>
      <w:szCs w:val="20"/>
    </w:rPr>
  </w:style>
  <w:style w:type="character" w:customStyle="1" w:styleId="BodyTextChar">
    <w:name w:val="Body Text Char"/>
    <w:basedOn w:val="DefaultParagraphFont"/>
    <w:link w:val="BodyText"/>
    <w:rsid w:val="00D954B2"/>
    <w:rPr>
      <w:rFonts w:ascii="Arial" w:eastAsia="Times New Roman" w:hAnsi="Arial" w:cs="Arial"/>
      <w:sz w:val="20"/>
      <w:szCs w:val="20"/>
    </w:rPr>
  </w:style>
  <w:style w:type="character" w:customStyle="1" w:styleId="Heading3Char">
    <w:name w:val="Heading 3 Char"/>
    <w:basedOn w:val="DefaultParagraphFont"/>
    <w:link w:val="Heading3"/>
    <w:uiPriority w:val="9"/>
    <w:rsid w:val="002455D0"/>
    <w:rPr>
      <w:rFonts w:ascii="Times New Roman" w:eastAsia="Times New Roman" w:hAnsi="Times New Roman" w:cs="Times New Roman"/>
      <w:b/>
      <w:bCs/>
      <w:sz w:val="27"/>
      <w:szCs w:val="27"/>
    </w:rPr>
  </w:style>
  <w:style w:type="paragraph" w:customStyle="1" w:styleId="USAIDBodytext">
    <w:name w:val="US AID Bodytext"/>
    <w:basedOn w:val="Normal"/>
    <w:next w:val="Normal"/>
    <w:rsid w:val="00D5427C"/>
    <w:pPr>
      <w:autoSpaceDE w:val="0"/>
      <w:autoSpaceDN w:val="0"/>
      <w:adjustRightInd w:val="0"/>
      <w:spacing w:after="0" w:line="240" w:lineRule="auto"/>
    </w:pPr>
    <w:rPr>
      <w:rFonts w:ascii="Garamond" w:eastAsia="Times New Roman" w:hAnsi="Garamond" w:cs="Times New Roman"/>
      <w:sz w:val="24"/>
      <w:szCs w:val="24"/>
    </w:rPr>
  </w:style>
  <w:style w:type="table" w:styleId="TableGrid">
    <w:name w:val="Table Grid"/>
    <w:basedOn w:val="TableNormal"/>
    <w:uiPriority w:val="39"/>
    <w:rsid w:val="00725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CB3D80"/>
    <w:rPr>
      <w:color w:val="0000FF"/>
      <w:u w:val="single"/>
    </w:rPr>
  </w:style>
  <w:style w:type="paragraph" w:styleId="BalloonText">
    <w:name w:val="Balloon Text"/>
    <w:basedOn w:val="Normal"/>
    <w:link w:val="BalloonTextChar"/>
    <w:uiPriority w:val="99"/>
    <w:semiHidden/>
    <w:unhideWhenUsed/>
    <w:rsid w:val="00E66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A43"/>
    <w:rPr>
      <w:rFonts w:ascii="Tahoma" w:hAnsi="Tahoma" w:cs="Tahoma"/>
      <w:sz w:val="16"/>
      <w:szCs w:val="16"/>
    </w:rPr>
  </w:style>
  <w:style w:type="character" w:styleId="CommentReference">
    <w:name w:val="annotation reference"/>
    <w:basedOn w:val="DefaultParagraphFont"/>
    <w:uiPriority w:val="99"/>
    <w:semiHidden/>
    <w:unhideWhenUsed/>
    <w:rsid w:val="004023C1"/>
    <w:rPr>
      <w:sz w:val="16"/>
      <w:szCs w:val="16"/>
    </w:rPr>
  </w:style>
  <w:style w:type="paragraph" w:styleId="CommentText">
    <w:name w:val="annotation text"/>
    <w:basedOn w:val="Normal"/>
    <w:link w:val="CommentTextChar"/>
    <w:uiPriority w:val="99"/>
    <w:semiHidden/>
    <w:unhideWhenUsed/>
    <w:rsid w:val="004023C1"/>
    <w:pPr>
      <w:spacing w:line="240" w:lineRule="auto"/>
    </w:pPr>
    <w:rPr>
      <w:sz w:val="20"/>
      <w:szCs w:val="20"/>
    </w:rPr>
  </w:style>
  <w:style w:type="character" w:customStyle="1" w:styleId="CommentTextChar">
    <w:name w:val="Comment Text Char"/>
    <w:basedOn w:val="DefaultParagraphFont"/>
    <w:link w:val="CommentText"/>
    <w:uiPriority w:val="99"/>
    <w:semiHidden/>
    <w:rsid w:val="004023C1"/>
    <w:rPr>
      <w:sz w:val="20"/>
      <w:szCs w:val="20"/>
    </w:rPr>
  </w:style>
  <w:style w:type="paragraph" w:styleId="CommentSubject">
    <w:name w:val="annotation subject"/>
    <w:basedOn w:val="CommentText"/>
    <w:next w:val="CommentText"/>
    <w:link w:val="CommentSubjectChar"/>
    <w:uiPriority w:val="99"/>
    <w:semiHidden/>
    <w:unhideWhenUsed/>
    <w:rsid w:val="004023C1"/>
    <w:rPr>
      <w:b/>
      <w:bCs/>
    </w:rPr>
  </w:style>
  <w:style w:type="character" w:customStyle="1" w:styleId="CommentSubjectChar">
    <w:name w:val="Comment Subject Char"/>
    <w:basedOn w:val="CommentTextChar"/>
    <w:link w:val="CommentSubject"/>
    <w:uiPriority w:val="99"/>
    <w:semiHidden/>
    <w:rsid w:val="004023C1"/>
    <w:rPr>
      <w:b/>
      <w:bCs/>
      <w:sz w:val="20"/>
      <w:szCs w:val="20"/>
    </w:rPr>
  </w:style>
  <w:style w:type="paragraph" w:styleId="NoSpacing">
    <w:name w:val="No Spacing"/>
    <w:link w:val="NoSpacingChar"/>
    <w:uiPriority w:val="1"/>
    <w:qFormat/>
    <w:rsid w:val="00D6051D"/>
    <w:pPr>
      <w:spacing w:after="0" w:line="240" w:lineRule="auto"/>
    </w:pPr>
    <w:rPr>
      <w:rFonts w:eastAsiaTheme="minorEastAsia"/>
    </w:rPr>
  </w:style>
  <w:style w:type="character" w:customStyle="1" w:styleId="NoSpacingChar">
    <w:name w:val="No Spacing Char"/>
    <w:basedOn w:val="DefaultParagraphFont"/>
    <w:link w:val="NoSpacing"/>
    <w:uiPriority w:val="1"/>
    <w:rsid w:val="00D6051D"/>
    <w:rPr>
      <w:rFonts w:eastAsiaTheme="minorEastAsia"/>
    </w:rPr>
  </w:style>
  <w:style w:type="paragraph" w:styleId="Header">
    <w:name w:val="header"/>
    <w:basedOn w:val="Normal"/>
    <w:link w:val="HeaderChar"/>
    <w:uiPriority w:val="99"/>
    <w:unhideWhenUsed/>
    <w:rsid w:val="00375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8B3"/>
  </w:style>
  <w:style w:type="paragraph" w:styleId="Footer">
    <w:name w:val="footer"/>
    <w:basedOn w:val="Normal"/>
    <w:link w:val="FooterChar"/>
    <w:uiPriority w:val="99"/>
    <w:unhideWhenUsed/>
    <w:rsid w:val="00375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B3"/>
  </w:style>
  <w:style w:type="paragraph" w:styleId="FootnoteText">
    <w:name w:val="footnote text"/>
    <w:basedOn w:val="Normal"/>
    <w:link w:val="FootnoteTextChar"/>
    <w:uiPriority w:val="99"/>
    <w:semiHidden/>
    <w:unhideWhenUsed/>
    <w:rsid w:val="00C75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5ADC"/>
    <w:rPr>
      <w:sz w:val="20"/>
      <w:szCs w:val="20"/>
    </w:rPr>
  </w:style>
  <w:style w:type="character" w:styleId="FootnoteReference">
    <w:name w:val="footnote reference"/>
    <w:basedOn w:val="DefaultParagraphFont"/>
    <w:uiPriority w:val="99"/>
    <w:semiHidden/>
    <w:unhideWhenUsed/>
    <w:rsid w:val="00C75ADC"/>
    <w:rPr>
      <w:vertAlign w:val="superscript"/>
    </w:rPr>
  </w:style>
  <w:style w:type="character" w:styleId="LineNumber">
    <w:name w:val="line number"/>
    <w:basedOn w:val="DefaultParagraphFont"/>
    <w:uiPriority w:val="99"/>
    <w:semiHidden/>
    <w:unhideWhenUsed/>
    <w:rsid w:val="00385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67918">
      <w:bodyDiv w:val="1"/>
      <w:marLeft w:val="0"/>
      <w:marRight w:val="0"/>
      <w:marTop w:val="0"/>
      <w:marBottom w:val="0"/>
      <w:divBdr>
        <w:top w:val="none" w:sz="0" w:space="0" w:color="auto"/>
        <w:left w:val="none" w:sz="0" w:space="0" w:color="auto"/>
        <w:bottom w:val="none" w:sz="0" w:space="0" w:color="auto"/>
        <w:right w:val="none" w:sz="0" w:space="0" w:color="auto"/>
      </w:divBdr>
    </w:div>
    <w:div w:id="106001778">
      <w:bodyDiv w:val="1"/>
      <w:marLeft w:val="0"/>
      <w:marRight w:val="0"/>
      <w:marTop w:val="0"/>
      <w:marBottom w:val="0"/>
      <w:divBdr>
        <w:top w:val="none" w:sz="0" w:space="0" w:color="auto"/>
        <w:left w:val="none" w:sz="0" w:space="0" w:color="auto"/>
        <w:bottom w:val="none" w:sz="0" w:space="0" w:color="auto"/>
        <w:right w:val="none" w:sz="0" w:space="0" w:color="auto"/>
      </w:divBdr>
    </w:div>
    <w:div w:id="252012534">
      <w:bodyDiv w:val="1"/>
      <w:marLeft w:val="0"/>
      <w:marRight w:val="0"/>
      <w:marTop w:val="0"/>
      <w:marBottom w:val="0"/>
      <w:divBdr>
        <w:top w:val="none" w:sz="0" w:space="0" w:color="auto"/>
        <w:left w:val="none" w:sz="0" w:space="0" w:color="auto"/>
        <w:bottom w:val="none" w:sz="0" w:space="0" w:color="auto"/>
        <w:right w:val="none" w:sz="0" w:space="0" w:color="auto"/>
      </w:divBdr>
    </w:div>
    <w:div w:id="303124650">
      <w:bodyDiv w:val="1"/>
      <w:marLeft w:val="0"/>
      <w:marRight w:val="0"/>
      <w:marTop w:val="0"/>
      <w:marBottom w:val="0"/>
      <w:divBdr>
        <w:top w:val="none" w:sz="0" w:space="0" w:color="auto"/>
        <w:left w:val="none" w:sz="0" w:space="0" w:color="auto"/>
        <w:bottom w:val="none" w:sz="0" w:space="0" w:color="auto"/>
        <w:right w:val="none" w:sz="0" w:space="0" w:color="auto"/>
      </w:divBdr>
    </w:div>
    <w:div w:id="304815464">
      <w:bodyDiv w:val="1"/>
      <w:marLeft w:val="0"/>
      <w:marRight w:val="0"/>
      <w:marTop w:val="0"/>
      <w:marBottom w:val="0"/>
      <w:divBdr>
        <w:top w:val="none" w:sz="0" w:space="0" w:color="auto"/>
        <w:left w:val="none" w:sz="0" w:space="0" w:color="auto"/>
        <w:bottom w:val="none" w:sz="0" w:space="0" w:color="auto"/>
        <w:right w:val="none" w:sz="0" w:space="0" w:color="auto"/>
      </w:divBdr>
    </w:div>
    <w:div w:id="327712449">
      <w:bodyDiv w:val="1"/>
      <w:marLeft w:val="0"/>
      <w:marRight w:val="0"/>
      <w:marTop w:val="0"/>
      <w:marBottom w:val="0"/>
      <w:divBdr>
        <w:top w:val="none" w:sz="0" w:space="0" w:color="auto"/>
        <w:left w:val="none" w:sz="0" w:space="0" w:color="auto"/>
        <w:bottom w:val="none" w:sz="0" w:space="0" w:color="auto"/>
        <w:right w:val="none" w:sz="0" w:space="0" w:color="auto"/>
      </w:divBdr>
    </w:div>
    <w:div w:id="369693267">
      <w:bodyDiv w:val="1"/>
      <w:marLeft w:val="0"/>
      <w:marRight w:val="0"/>
      <w:marTop w:val="0"/>
      <w:marBottom w:val="0"/>
      <w:divBdr>
        <w:top w:val="none" w:sz="0" w:space="0" w:color="auto"/>
        <w:left w:val="none" w:sz="0" w:space="0" w:color="auto"/>
        <w:bottom w:val="none" w:sz="0" w:space="0" w:color="auto"/>
        <w:right w:val="none" w:sz="0" w:space="0" w:color="auto"/>
      </w:divBdr>
    </w:div>
    <w:div w:id="440303415">
      <w:bodyDiv w:val="1"/>
      <w:marLeft w:val="0"/>
      <w:marRight w:val="0"/>
      <w:marTop w:val="0"/>
      <w:marBottom w:val="0"/>
      <w:divBdr>
        <w:top w:val="none" w:sz="0" w:space="0" w:color="auto"/>
        <w:left w:val="none" w:sz="0" w:space="0" w:color="auto"/>
        <w:bottom w:val="none" w:sz="0" w:space="0" w:color="auto"/>
        <w:right w:val="none" w:sz="0" w:space="0" w:color="auto"/>
      </w:divBdr>
    </w:div>
    <w:div w:id="455755386">
      <w:bodyDiv w:val="1"/>
      <w:marLeft w:val="0"/>
      <w:marRight w:val="0"/>
      <w:marTop w:val="0"/>
      <w:marBottom w:val="0"/>
      <w:divBdr>
        <w:top w:val="none" w:sz="0" w:space="0" w:color="auto"/>
        <w:left w:val="none" w:sz="0" w:space="0" w:color="auto"/>
        <w:bottom w:val="none" w:sz="0" w:space="0" w:color="auto"/>
        <w:right w:val="none" w:sz="0" w:space="0" w:color="auto"/>
      </w:divBdr>
    </w:div>
    <w:div w:id="491222056">
      <w:bodyDiv w:val="1"/>
      <w:marLeft w:val="0"/>
      <w:marRight w:val="0"/>
      <w:marTop w:val="0"/>
      <w:marBottom w:val="0"/>
      <w:divBdr>
        <w:top w:val="none" w:sz="0" w:space="0" w:color="auto"/>
        <w:left w:val="none" w:sz="0" w:space="0" w:color="auto"/>
        <w:bottom w:val="none" w:sz="0" w:space="0" w:color="auto"/>
        <w:right w:val="none" w:sz="0" w:space="0" w:color="auto"/>
      </w:divBdr>
    </w:div>
    <w:div w:id="492988073">
      <w:bodyDiv w:val="1"/>
      <w:marLeft w:val="0"/>
      <w:marRight w:val="0"/>
      <w:marTop w:val="0"/>
      <w:marBottom w:val="0"/>
      <w:divBdr>
        <w:top w:val="none" w:sz="0" w:space="0" w:color="auto"/>
        <w:left w:val="none" w:sz="0" w:space="0" w:color="auto"/>
        <w:bottom w:val="none" w:sz="0" w:space="0" w:color="auto"/>
        <w:right w:val="none" w:sz="0" w:space="0" w:color="auto"/>
      </w:divBdr>
    </w:div>
    <w:div w:id="584339222">
      <w:bodyDiv w:val="1"/>
      <w:marLeft w:val="0"/>
      <w:marRight w:val="0"/>
      <w:marTop w:val="0"/>
      <w:marBottom w:val="0"/>
      <w:divBdr>
        <w:top w:val="none" w:sz="0" w:space="0" w:color="auto"/>
        <w:left w:val="none" w:sz="0" w:space="0" w:color="auto"/>
        <w:bottom w:val="none" w:sz="0" w:space="0" w:color="auto"/>
        <w:right w:val="none" w:sz="0" w:space="0" w:color="auto"/>
      </w:divBdr>
    </w:div>
    <w:div w:id="822624808">
      <w:bodyDiv w:val="1"/>
      <w:marLeft w:val="0"/>
      <w:marRight w:val="0"/>
      <w:marTop w:val="0"/>
      <w:marBottom w:val="0"/>
      <w:divBdr>
        <w:top w:val="none" w:sz="0" w:space="0" w:color="auto"/>
        <w:left w:val="none" w:sz="0" w:space="0" w:color="auto"/>
        <w:bottom w:val="none" w:sz="0" w:space="0" w:color="auto"/>
        <w:right w:val="none" w:sz="0" w:space="0" w:color="auto"/>
      </w:divBdr>
    </w:div>
    <w:div w:id="832723709">
      <w:bodyDiv w:val="1"/>
      <w:marLeft w:val="0"/>
      <w:marRight w:val="0"/>
      <w:marTop w:val="0"/>
      <w:marBottom w:val="0"/>
      <w:divBdr>
        <w:top w:val="none" w:sz="0" w:space="0" w:color="auto"/>
        <w:left w:val="none" w:sz="0" w:space="0" w:color="auto"/>
        <w:bottom w:val="none" w:sz="0" w:space="0" w:color="auto"/>
        <w:right w:val="none" w:sz="0" w:space="0" w:color="auto"/>
      </w:divBdr>
    </w:div>
    <w:div w:id="837813555">
      <w:bodyDiv w:val="1"/>
      <w:marLeft w:val="0"/>
      <w:marRight w:val="0"/>
      <w:marTop w:val="0"/>
      <w:marBottom w:val="0"/>
      <w:divBdr>
        <w:top w:val="none" w:sz="0" w:space="0" w:color="auto"/>
        <w:left w:val="none" w:sz="0" w:space="0" w:color="auto"/>
        <w:bottom w:val="none" w:sz="0" w:space="0" w:color="auto"/>
        <w:right w:val="none" w:sz="0" w:space="0" w:color="auto"/>
      </w:divBdr>
    </w:div>
    <w:div w:id="972061588">
      <w:bodyDiv w:val="1"/>
      <w:marLeft w:val="0"/>
      <w:marRight w:val="0"/>
      <w:marTop w:val="0"/>
      <w:marBottom w:val="0"/>
      <w:divBdr>
        <w:top w:val="none" w:sz="0" w:space="0" w:color="auto"/>
        <w:left w:val="none" w:sz="0" w:space="0" w:color="auto"/>
        <w:bottom w:val="none" w:sz="0" w:space="0" w:color="auto"/>
        <w:right w:val="none" w:sz="0" w:space="0" w:color="auto"/>
      </w:divBdr>
    </w:div>
    <w:div w:id="1095589083">
      <w:bodyDiv w:val="1"/>
      <w:marLeft w:val="0"/>
      <w:marRight w:val="0"/>
      <w:marTop w:val="0"/>
      <w:marBottom w:val="0"/>
      <w:divBdr>
        <w:top w:val="none" w:sz="0" w:space="0" w:color="auto"/>
        <w:left w:val="none" w:sz="0" w:space="0" w:color="auto"/>
        <w:bottom w:val="none" w:sz="0" w:space="0" w:color="auto"/>
        <w:right w:val="none" w:sz="0" w:space="0" w:color="auto"/>
      </w:divBdr>
    </w:div>
    <w:div w:id="1102921479">
      <w:bodyDiv w:val="1"/>
      <w:marLeft w:val="0"/>
      <w:marRight w:val="0"/>
      <w:marTop w:val="0"/>
      <w:marBottom w:val="0"/>
      <w:divBdr>
        <w:top w:val="none" w:sz="0" w:space="0" w:color="auto"/>
        <w:left w:val="none" w:sz="0" w:space="0" w:color="auto"/>
        <w:bottom w:val="none" w:sz="0" w:space="0" w:color="auto"/>
        <w:right w:val="none" w:sz="0" w:space="0" w:color="auto"/>
      </w:divBdr>
    </w:div>
    <w:div w:id="1188446570">
      <w:bodyDiv w:val="1"/>
      <w:marLeft w:val="0"/>
      <w:marRight w:val="0"/>
      <w:marTop w:val="0"/>
      <w:marBottom w:val="0"/>
      <w:divBdr>
        <w:top w:val="none" w:sz="0" w:space="0" w:color="auto"/>
        <w:left w:val="none" w:sz="0" w:space="0" w:color="auto"/>
        <w:bottom w:val="none" w:sz="0" w:space="0" w:color="auto"/>
        <w:right w:val="none" w:sz="0" w:space="0" w:color="auto"/>
      </w:divBdr>
    </w:div>
    <w:div w:id="1373264792">
      <w:bodyDiv w:val="1"/>
      <w:marLeft w:val="0"/>
      <w:marRight w:val="0"/>
      <w:marTop w:val="0"/>
      <w:marBottom w:val="0"/>
      <w:divBdr>
        <w:top w:val="none" w:sz="0" w:space="0" w:color="auto"/>
        <w:left w:val="none" w:sz="0" w:space="0" w:color="auto"/>
        <w:bottom w:val="none" w:sz="0" w:space="0" w:color="auto"/>
        <w:right w:val="none" w:sz="0" w:space="0" w:color="auto"/>
      </w:divBdr>
    </w:div>
    <w:div w:id="1385178371">
      <w:bodyDiv w:val="1"/>
      <w:marLeft w:val="0"/>
      <w:marRight w:val="0"/>
      <w:marTop w:val="0"/>
      <w:marBottom w:val="0"/>
      <w:divBdr>
        <w:top w:val="none" w:sz="0" w:space="0" w:color="auto"/>
        <w:left w:val="none" w:sz="0" w:space="0" w:color="auto"/>
        <w:bottom w:val="none" w:sz="0" w:space="0" w:color="auto"/>
        <w:right w:val="none" w:sz="0" w:space="0" w:color="auto"/>
      </w:divBdr>
    </w:div>
    <w:div w:id="1462923180">
      <w:bodyDiv w:val="1"/>
      <w:marLeft w:val="0"/>
      <w:marRight w:val="0"/>
      <w:marTop w:val="0"/>
      <w:marBottom w:val="0"/>
      <w:divBdr>
        <w:top w:val="none" w:sz="0" w:space="0" w:color="auto"/>
        <w:left w:val="none" w:sz="0" w:space="0" w:color="auto"/>
        <w:bottom w:val="none" w:sz="0" w:space="0" w:color="auto"/>
        <w:right w:val="none" w:sz="0" w:space="0" w:color="auto"/>
      </w:divBdr>
    </w:div>
    <w:div w:id="1484347852">
      <w:bodyDiv w:val="1"/>
      <w:marLeft w:val="0"/>
      <w:marRight w:val="0"/>
      <w:marTop w:val="0"/>
      <w:marBottom w:val="0"/>
      <w:divBdr>
        <w:top w:val="none" w:sz="0" w:space="0" w:color="auto"/>
        <w:left w:val="none" w:sz="0" w:space="0" w:color="auto"/>
        <w:bottom w:val="none" w:sz="0" w:space="0" w:color="auto"/>
        <w:right w:val="none" w:sz="0" w:space="0" w:color="auto"/>
      </w:divBdr>
    </w:div>
    <w:div w:id="1595355075">
      <w:bodyDiv w:val="1"/>
      <w:marLeft w:val="0"/>
      <w:marRight w:val="0"/>
      <w:marTop w:val="0"/>
      <w:marBottom w:val="0"/>
      <w:divBdr>
        <w:top w:val="none" w:sz="0" w:space="0" w:color="auto"/>
        <w:left w:val="none" w:sz="0" w:space="0" w:color="auto"/>
        <w:bottom w:val="none" w:sz="0" w:space="0" w:color="auto"/>
        <w:right w:val="none" w:sz="0" w:space="0" w:color="auto"/>
      </w:divBdr>
    </w:div>
    <w:div w:id="1663579713">
      <w:bodyDiv w:val="1"/>
      <w:marLeft w:val="0"/>
      <w:marRight w:val="0"/>
      <w:marTop w:val="0"/>
      <w:marBottom w:val="0"/>
      <w:divBdr>
        <w:top w:val="none" w:sz="0" w:space="0" w:color="auto"/>
        <w:left w:val="none" w:sz="0" w:space="0" w:color="auto"/>
        <w:bottom w:val="none" w:sz="0" w:space="0" w:color="auto"/>
        <w:right w:val="none" w:sz="0" w:space="0" w:color="auto"/>
      </w:divBdr>
    </w:div>
    <w:div w:id="1747069680">
      <w:bodyDiv w:val="1"/>
      <w:marLeft w:val="0"/>
      <w:marRight w:val="0"/>
      <w:marTop w:val="0"/>
      <w:marBottom w:val="0"/>
      <w:divBdr>
        <w:top w:val="none" w:sz="0" w:space="0" w:color="auto"/>
        <w:left w:val="none" w:sz="0" w:space="0" w:color="auto"/>
        <w:bottom w:val="none" w:sz="0" w:space="0" w:color="auto"/>
        <w:right w:val="none" w:sz="0" w:space="0" w:color="auto"/>
      </w:divBdr>
    </w:div>
    <w:div w:id="1817531716">
      <w:bodyDiv w:val="1"/>
      <w:marLeft w:val="0"/>
      <w:marRight w:val="0"/>
      <w:marTop w:val="0"/>
      <w:marBottom w:val="0"/>
      <w:divBdr>
        <w:top w:val="none" w:sz="0" w:space="0" w:color="auto"/>
        <w:left w:val="none" w:sz="0" w:space="0" w:color="auto"/>
        <w:bottom w:val="none" w:sz="0" w:space="0" w:color="auto"/>
        <w:right w:val="none" w:sz="0" w:space="0" w:color="auto"/>
      </w:divBdr>
    </w:div>
    <w:div w:id="1837916146">
      <w:bodyDiv w:val="1"/>
      <w:marLeft w:val="0"/>
      <w:marRight w:val="0"/>
      <w:marTop w:val="0"/>
      <w:marBottom w:val="0"/>
      <w:divBdr>
        <w:top w:val="none" w:sz="0" w:space="0" w:color="auto"/>
        <w:left w:val="none" w:sz="0" w:space="0" w:color="auto"/>
        <w:bottom w:val="none" w:sz="0" w:space="0" w:color="auto"/>
        <w:right w:val="none" w:sz="0" w:space="0" w:color="auto"/>
      </w:divBdr>
    </w:div>
    <w:div w:id="200855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hyperlink" Target="https://www.bing.com/search?q=define+safeguard&amp;FORM=DCTRQY" TargetMode="External"/><Relationship Id="rId19" Type="http://schemas.openxmlformats.org/officeDocument/2006/relationships/chart" Target="charts/chart9.xml"/><Relationship Id="rId4" Type="http://schemas.microsoft.com/office/2007/relationships/stylesWithEffects" Target="stylesWithEffects.xml"/><Relationship Id="rId9" Type="http://schemas.openxmlformats.org/officeDocument/2006/relationships/hyperlink" Target="https://www.bing.com/search?q=define+tool&amp;FORM=DCTRQY" TargetMode="Externa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Data%20sheets\AAGR.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Data%20sheets\AAG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Data%20sheets\AAG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Data%20sheets\AAG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Data%20sheets\AAG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Data%20sheets\AAG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Data%20sheets\AAG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Data%20sheets\AAG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Data%20sheets\AAG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Data%20sheets\AAG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a:latin typeface="Arial Black" panose="020B0A04020102020204" pitchFamily="34" charset="0"/>
              </a:rPr>
              <a:t>Market share of world Insurance Business including India and Bangladesh</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84076990376203E-2"/>
          <c:y val="0.31470021617141386"/>
          <c:w val="0.72505164676996026"/>
          <c:h val="0.57863307086614169"/>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Pt>
            <c:idx val="5"/>
            <c:bubble3D val="0"/>
            <c:spPr>
              <a:solidFill>
                <a:schemeClr val="accent6"/>
              </a:solidFill>
              <a:ln w="25400">
                <a:solidFill>
                  <a:schemeClr val="lt1"/>
                </a:solidFill>
              </a:ln>
              <a:effectLst/>
              <a:sp3d contourW="25400">
                <a:contourClr>
                  <a:schemeClr val="lt1"/>
                </a:contourClr>
              </a:sp3d>
            </c:spPr>
          </c:dPt>
          <c:dPt>
            <c:idx val="6"/>
            <c:bubble3D val="0"/>
            <c:spPr>
              <a:solidFill>
                <a:schemeClr val="accent1">
                  <a:lumMod val="60000"/>
                </a:schemeClr>
              </a:solidFill>
              <a:ln w="25400">
                <a:solidFill>
                  <a:schemeClr val="lt1"/>
                </a:solidFill>
              </a:ln>
              <a:effectLst/>
              <a:sp3d contourW="25400">
                <a:contourClr>
                  <a:schemeClr val="lt1"/>
                </a:contourClr>
              </a:sp3d>
            </c:spPr>
          </c:dPt>
          <c:dPt>
            <c:idx val="7"/>
            <c:bubble3D val="0"/>
            <c:spPr>
              <a:solidFill>
                <a:schemeClr val="accent2">
                  <a:lumMod val="60000"/>
                </a:schemeClr>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Sheet1!$A$108:$H$108</c:f>
              <c:strCache>
                <c:ptCount val="8"/>
                <c:pt idx="0">
                  <c:v>USA&amp;Canada</c:v>
                </c:pt>
                <c:pt idx="1">
                  <c:v>Lat America</c:v>
                </c:pt>
                <c:pt idx="2">
                  <c:v>Adv Market</c:v>
                </c:pt>
                <c:pt idx="3">
                  <c:v>Emer Market</c:v>
                </c:pt>
                <c:pt idx="4">
                  <c:v>Advance Asia</c:v>
                </c:pt>
                <c:pt idx="5">
                  <c:v>Emerg Asia</c:v>
                </c:pt>
                <c:pt idx="6">
                  <c:v>India </c:v>
                </c:pt>
                <c:pt idx="7">
                  <c:v>Bangladesh</c:v>
                </c:pt>
              </c:strCache>
            </c:strRef>
          </c:cat>
          <c:val>
            <c:numRef>
              <c:f>Sheet1!$A$109:$H$109</c:f>
              <c:numCache>
                <c:formatCode>General</c:formatCode>
                <c:ptCount val="8"/>
                <c:pt idx="0">
                  <c:v>41.21</c:v>
                </c:pt>
                <c:pt idx="1">
                  <c:v>2.5</c:v>
                </c:pt>
                <c:pt idx="2">
                  <c:v>25.48</c:v>
                </c:pt>
                <c:pt idx="3">
                  <c:v>3.07</c:v>
                </c:pt>
                <c:pt idx="4">
                  <c:v>14.85</c:v>
                </c:pt>
                <c:pt idx="5">
                  <c:v>11.18</c:v>
                </c:pt>
                <c:pt idx="6">
                  <c:v>1.69</c:v>
                </c:pt>
                <c:pt idx="7">
                  <c:v>0.02</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Investment Scenario of Life and Non-life Insurance </a:t>
            </a:r>
          </a:p>
        </c:rich>
      </c:tx>
      <c:overlay val="0"/>
      <c:spPr>
        <a:noFill/>
        <a:ln>
          <a:noFill/>
        </a:ln>
        <a:effectLst/>
      </c:spPr>
    </c:title>
    <c:autoTitleDeleted val="0"/>
    <c:plotArea>
      <c:layout/>
      <c:lineChart>
        <c:grouping val="stacked"/>
        <c:varyColors val="0"/>
        <c:ser>
          <c:idx val="0"/>
          <c:order val="0"/>
          <c:tx>
            <c:strRef>
              <c:f>Sheet1!$B$152</c:f>
              <c:strCache>
                <c:ptCount val="1"/>
                <c:pt idx="0">
                  <c:v>Nonlife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Sheet1!$A$153:$A$162</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Sheet1!$B$153:$B$162</c:f>
              <c:numCache>
                <c:formatCode>General</c:formatCode>
                <c:ptCount val="10"/>
                <c:pt idx="0">
                  <c:v>1779.98</c:v>
                </c:pt>
                <c:pt idx="1">
                  <c:v>2292.65</c:v>
                </c:pt>
                <c:pt idx="2">
                  <c:v>2836.11</c:v>
                </c:pt>
                <c:pt idx="3">
                  <c:v>3286.14</c:v>
                </c:pt>
                <c:pt idx="4">
                  <c:v>3205.77</c:v>
                </c:pt>
                <c:pt idx="5">
                  <c:v>3399.11</c:v>
                </c:pt>
                <c:pt idx="6">
                  <c:v>3577.61</c:v>
                </c:pt>
                <c:pt idx="7">
                  <c:v>3789.8</c:v>
                </c:pt>
                <c:pt idx="8">
                  <c:v>5251.71</c:v>
                </c:pt>
                <c:pt idx="9">
                  <c:v>5277.23</c:v>
                </c:pt>
              </c:numCache>
            </c:numRef>
          </c:val>
          <c:smooth val="0"/>
        </c:ser>
        <c:ser>
          <c:idx val="1"/>
          <c:order val="1"/>
          <c:tx>
            <c:strRef>
              <c:f>Sheet1!$C$152</c:f>
              <c:strCache>
                <c:ptCount val="1"/>
                <c:pt idx="0">
                  <c:v> life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Sheet1!$A$153:$A$162</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Sheet1!$C$153:$C$162</c:f>
              <c:numCache>
                <c:formatCode>General</c:formatCode>
                <c:ptCount val="10"/>
                <c:pt idx="0">
                  <c:v>9716.27</c:v>
                </c:pt>
                <c:pt idx="1">
                  <c:v>12410.2</c:v>
                </c:pt>
                <c:pt idx="2">
                  <c:v>15331.8</c:v>
                </c:pt>
                <c:pt idx="3">
                  <c:v>18399.32</c:v>
                </c:pt>
                <c:pt idx="4">
                  <c:v>20480.68</c:v>
                </c:pt>
                <c:pt idx="5">
                  <c:v>23304.32</c:v>
                </c:pt>
                <c:pt idx="6">
                  <c:v>24896.76</c:v>
                </c:pt>
                <c:pt idx="7">
                  <c:v>24786.04</c:v>
                </c:pt>
                <c:pt idx="8">
                  <c:v>27021.07</c:v>
                </c:pt>
                <c:pt idx="9">
                  <c:v>27398.560000000001</c:v>
                </c:pt>
              </c:numCache>
            </c:numRef>
          </c:val>
          <c:smooth val="0"/>
        </c:ser>
        <c:dLbls>
          <c:showLegendKey val="0"/>
          <c:showVal val="0"/>
          <c:showCatName val="0"/>
          <c:showSerName val="0"/>
          <c:showPercent val="0"/>
          <c:showBubbleSize val="0"/>
        </c:dLbls>
        <c:marker val="1"/>
        <c:smooth val="0"/>
        <c:axId val="139128192"/>
        <c:axId val="139130752"/>
      </c:lineChart>
      <c:catAx>
        <c:axId val="13912819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130752"/>
        <c:crosses val="autoZero"/>
        <c:auto val="1"/>
        <c:lblAlgn val="ctr"/>
        <c:lblOffset val="100"/>
        <c:noMultiLvlLbl val="0"/>
      </c:catAx>
      <c:valAx>
        <c:axId val="13913075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Tk. in Crore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1281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Market Share of Life</a:t>
            </a:r>
            <a:r>
              <a:rPr lang="en-US" sz="1000" b="1" baseline="0">
                <a:latin typeface="Times New Roman" panose="02020603050405020304" pitchFamily="18" charset="0"/>
                <a:cs typeface="Times New Roman" panose="02020603050405020304" pitchFamily="18" charset="0"/>
              </a:rPr>
              <a:t> and Non-life insurance </a:t>
            </a:r>
            <a:r>
              <a:rPr lang="en-US" sz="1000" b="1">
                <a:latin typeface="Times New Roman" panose="02020603050405020304" pitchFamily="18" charset="0"/>
                <a:cs typeface="Times New Roman" panose="02020603050405020304" pitchFamily="18" charset="0"/>
              </a:rPr>
              <a:t>in the World (2019</a:t>
            </a:r>
            <a:r>
              <a:rPr lang="en-US" sz="1000"/>
              <a:t>)</a:t>
            </a:r>
          </a:p>
        </c:rich>
      </c:tx>
      <c:layout>
        <c:manualLayout>
          <c:xMode val="edge"/>
          <c:yMode val="edge"/>
          <c:x val="0.14266607645083546"/>
          <c:y val="5.4421768707482989E-3"/>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2332845958139389"/>
          <c:y val="0.2914384273394397"/>
          <c:w val="0.35574990945552587"/>
          <c:h val="0.38939975360222828"/>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dLbl>
              <c:idx val="0"/>
              <c:tx>
                <c:rich>
                  <a:bodyPr/>
                  <a:lstStyle/>
                  <a:p>
                    <a:r>
                      <a:rPr lang="en-US" baseline="0"/>
                      <a:t> </a:t>
                    </a:r>
                    <a:fld id="{95473723-C573-4F52-A70A-6A3CA0226442}" type="PERCENTAGE">
                      <a:rPr lang="en-US" baseline="0"/>
                      <a:pPr/>
                      <a:t>[PERCENTAGE]</a:t>
                    </a:fld>
                    <a:endParaRPr lang="en-US" baseline="0"/>
                  </a:p>
                </c:rich>
              </c:tx>
              <c:dLblPos val="ctr"/>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dLbl>
              <c:idx val="1"/>
              <c:tx>
                <c:rich>
                  <a:bodyPr/>
                  <a:lstStyle/>
                  <a:p>
                    <a:r>
                      <a:rPr lang="en-US" baseline="0"/>
                      <a:t> </a:t>
                    </a:r>
                    <a:fld id="{65B7B6DF-EA9A-4632-BB81-2DDBB6BB51EB}" type="PERCENTAGE">
                      <a:rPr lang="en-US" baseline="0"/>
                      <a:pPr/>
                      <a:t>[PERCENTAGE]</a:t>
                    </a:fld>
                    <a:endParaRPr lang="en-US" baseline="0"/>
                  </a:p>
                </c:rich>
              </c:tx>
              <c:dLblPos val="ctr"/>
              <c:showLegendKey val="0"/>
              <c:showVal val="1"/>
              <c:showCatName val="0"/>
              <c:showSerName val="0"/>
              <c:showPercent val="1"/>
              <c:showBubbleSize val="0"/>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Sheet1!$J$2:$K$2</c:f>
              <c:strCache>
                <c:ptCount val="2"/>
                <c:pt idx="0">
                  <c:v>Life </c:v>
                </c:pt>
                <c:pt idx="1">
                  <c:v>N/Life</c:v>
                </c:pt>
              </c:strCache>
            </c:strRef>
          </c:cat>
          <c:val>
            <c:numRef>
              <c:f>Sheet1!$J$3:$K$3</c:f>
              <c:numCache>
                <c:formatCode>General</c:formatCode>
                <c:ptCount val="2"/>
                <c:pt idx="0">
                  <c:v>46.34</c:v>
                </c:pt>
                <c:pt idx="1">
                  <c:v>53.66</c:v>
                </c:pt>
              </c:numCache>
            </c:numRef>
          </c:val>
        </c:ser>
        <c:dLbls>
          <c:dLblPos val="ctr"/>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82032882175929034"/>
          <c:y val="0.31781618005713885"/>
          <c:w val="0.1426831280978316"/>
          <c:h val="0.3702027733259006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000"/>
              <a:t>Market Share Of Life</a:t>
            </a:r>
            <a:r>
              <a:rPr lang="en-US" sz="1000" baseline="0"/>
              <a:t> and Non-life insurance </a:t>
            </a:r>
            <a:r>
              <a:rPr lang="en-US" sz="1000"/>
              <a:t> in India(2019)</a:t>
            </a:r>
          </a:p>
        </c:rich>
      </c:tx>
      <c:layout>
        <c:manualLayout>
          <c:xMode val="edge"/>
          <c:yMode val="edge"/>
          <c:x val="0.10335483870967742"/>
          <c:y val="0"/>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11826252093915"/>
          <c:y val="0.21642524414177963"/>
          <c:w val="0.48706171114276237"/>
          <c:h val="0.73524437823650424"/>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tx>
                <c:rich>
                  <a:bodyPr/>
                  <a:lstStyle/>
                  <a:p>
                    <a:r>
                      <a:rPr lang="en-US" baseline="0"/>
                      <a:t> 75%</a:t>
                    </a:r>
                  </a:p>
                </c:rich>
              </c:tx>
              <c:dLblPos val="ctr"/>
              <c:showLegendKey val="0"/>
              <c:showVal val="1"/>
              <c:showCatName val="0"/>
              <c:showSerName val="0"/>
              <c:showPercent val="1"/>
              <c:showBubbleSize val="0"/>
              <c:extLst>
                <c:ext xmlns:c15="http://schemas.microsoft.com/office/drawing/2012/chart" uri="{CE6537A1-D6FC-4f65-9D91-7224C49458BB}">
                  <c15:layout/>
                </c:ext>
              </c:extLst>
            </c:dLbl>
            <c:dLbl>
              <c:idx val="1"/>
              <c:tx>
                <c:rich>
                  <a:bodyPr/>
                  <a:lstStyle/>
                  <a:p>
                    <a:r>
                      <a:rPr lang="en-US" baseline="0"/>
                      <a:t> 25%</a:t>
                    </a:r>
                  </a:p>
                </c:rich>
              </c:tx>
              <c:dLblPos val="ctr"/>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Sheet1!$C$2:$D$2</c:f>
              <c:strCache>
                <c:ptCount val="2"/>
                <c:pt idx="0">
                  <c:v>Life</c:v>
                </c:pt>
                <c:pt idx="1">
                  <c:v>N/Life</c:v>
                </c:pt>
              </c:strCache>
            </c:strRef>
          </c:cat>
          <c:val>
            <c:numRef>
              <c:f>Sheet1!$C$3:$D$3</c:f>
              <c:numCache>
                <c:formatCode>General</c:formatCode>
                <c:ptCount val="2"/>
                <c:pt idx="0">
                  <c:v>70.03</c:v>
                </c:pt>
                <c:pt idx="1">
                  <c:v>29.97</c:v>
                </c:pt>
              </c:numCache>
            </c:numRef>
          </c:val>
        </c:ser>
        <c:dLbls>
          <c:dLblPos val="ctr"/>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000" b="1"/>
              <a:t>Market Share Of Life</a:t>
            </a:r>
            <a:r>
              <a:rPr lang="en-US" sz="1000" b="1" baseline="0"/>
              <a:t> and non-life insurance</a:t>
            </a:r>
            <a:r>
              <a:rPr lang="en-US" sz="1000" b="1"/>
              <a:t> in Bangladesh(2019</a:t>
            </a:r>
            <a:r>
              <a:rPr lang="en-US" sz="1200"/>
              <a:t>)</a:t>
            </a:r>
          </a:p>
        </c:rich>
      </c:tx>
      <c:layout>
        <c:manualLayout>
          <c:xMode val="edge"/>
          <c:yMode val="edge"/>
          <c:x val="0.10335483870967742"/>
          <c:y val="0"/>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11826252093915"/>
          <c:y val="0.21642524414177963"/>
          <c:w val="0.48706171114276237"/>
          <c:h val="0.73524437823650424"/>
        </c:manualLayout>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Pt>
          <c:dLbls>
            <c:dLbl>
              <c:idx val="0"/>
              <c:tx>
                <c:rich>
                  <a:bodyPr/>
                  <a:lstStyle/>
                  <a:p>
                    <a:r>
                      <a:rPr lang="en-US" baseline="0"/>
                      <a:t> 70%</a:t>
                    </a:r>
                  </a:p>
                </c:rich>
              </c:tx>
              <c:dLblPos val="ctr"/>
              <c:showLegendKey val="0"/>
              <c:showVal val="1"/>
              <c:showCatName val="0"/>
              <c:showSerName val="0"/>
              <c:showPercent val="1"/>
              <c:showBubbleSize val="0"/>
              <c:extLst>
                <c:ext xmlns:c15="http://schemas.microsoft.com/office/drawing/2012/chart" uri="{CE6537A1-D6FC-4f65-9D91-7224C49458BB}">
                  <c15:layout/>
                </c:ext>
              </c:extLst>
            </c:dLbl>
            <c:dLbl>
              <c:idx val="1"/>
              <c:tx>
                <c:rich>
                  <a:bodyPr/>
                  <a:lstStyle/>
                  <a:p>
                    <a:r>
                      <a:rPr lang="en-US" baseline="0"/>
                      <a:t> 30%</a:t>
                    </a:r>
                  </a:p>
                </c:rich>
              </c:tx>
              <c:dLblPos val="ctr"/>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Sheet1!$C$2:$D$2</c:f>
              <c:strCache>
                <c:ptCount val="2"/>
                <c:pt idx="0">
                  <c:v>Life</c:v>
                </c:pt>
                <c:pt idx="1">
                  <c:v>N/Life</c:v>
                </c:pt>
              </c:strCache>
            </c:strRef>
          </c:cat>
          <c:val>
            <c:numRef>
              <c:f>Sheet1!$C$3:$D$3</c:f>
              <c:numCache>
                <c:formatCode>General</c:formatCode>
                <c:ptCount val="2"/>
                <c:pt idx="0">
                  <c:v>70.03</c:v>
                </c:pt>
                <c:pt idx="1">
                  <c:v>29.97</c:v>
                </c:pt>
              </c:numCache>
            </c:numRef>
          </c:val>
        </c:ser>
        <c:dLbls>
          <c:dLblPos val="ctr"/>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a:t>Insurance</a:t>
            </a:r>
            <a:r>
              <a:rPr lang="en-US" sz="1000" baseline="0"/>
              <a:t> Penetration rate</a:t>
            </a:r>
            <a:r>
              <a:rPr lang="en-US" sz="1000"/>
              <a:t> of life and Nonlife</a:t>
            </a:r>
          </a:p>
          <a:p>
            <a:pPr algn="ctr" rtl="0">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000"/>
          </a:p>
        </c:rich>
      </c:tx>
      <c:layout>
        <c:manualLayout>
          <c:xMode val="edge"/>
          <c:yMode val="edge"/>
          <c:x val="0.2706702615480458"/>
          <c:y val="1.3605442176870748E-2"/>
        </c:manualLayout>
      </c:layout>
      <c:overlay val="0"/>
      <c:spPr>
        <a:noFill/>
        <a:ln>
          <a:noFill/>
        </a:ln>
        <a:effectLst/>
      </c:spPr>
    </c:title>
    <c:autoTitleDeleted val="0"/>
    <c:plotArea>
      <c:layout>
        <c:manualLayout>
          <c:layoutTarget val="inner"/>
          <c:xMode val="edge"/>
          <c:yMode val="edge"/>
          <c:x val="8.103931984578483E-2"/>
          <c:y val="0.32163509681771707"/>
          <c:w val="0.88387296085596956"/>
          <c:h val="0.5615689002730081"/>
        </c:manualLayout>
      </c:layout>
      <c:lineChart>
        <c:grouping val="stacked"/>
        <c:varyColors val="0"/>
        <c:ser>
          <c:idx val="0"/>
          <c:order val="0"/>
          <c:tx>
            <c:strRef>
              <c:f>Sheet1!$B$184</c:f>
              <c:strCache>
                <c:ptCount val="1"/>
                <c:pt idx="0">
                  <c:v>Life </c:v>
                </c:pt>
              </c:strCache>
            </c:strRef>
          </c:tx>
          <c:spPr>
            <a:ln w="28575" cap="rnd">
              <a:solidFill>
                <a:schemeClr val="accent1"/>
              </a:solidFill>
              <a:round/>
            </a:ln>
            <a:effectLst/>
          </c:spPr>
          <c:marker>
            <c:symbol val="none"/>
          </c:marker>
          <c:cat>
            <c:numRef>
              <c:f>Sheet1!$A$185:$A$194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Sheet1!$B$185:$B$194</c:f>
              <c:numCache>
                <c:formatCode>General</c:formatCode>
                <c:ptCount val="10"/>
                <c:pt idx="0">
                  <c:v>0.7</c:v>
                </c:pt>
                <c:pt idx="1">
                  <c:v>0.73</c:v>
                </c:pt>
                <c:pt idx="2">
                  <c:v>0.68</c:v>
                </c:pt>
                <c:pt idx="3">
                  <c:v>0.62</c:v>
                </c:pt>
                <c:pt idx="4">
                  <c:v>0.56999999999999995</c:v>
                </c:pt>
                <c:pt idx="5">
                  <c:v>0.53</c:v>
                </c:pt>
                <c:pt idx="6">
                  <c:v>0.48</c:v>
                </c:pt>
                <c:pt idx="7">
                  <c:v>0.44</c:v>
                </c:pt>
                <c:pt idx="8">
                  <c:v>0.41</c:v>
                </c:pt>
                <c:pt idx="9">
                  <c:v>0.4</c:v>
                </c:pt>
              </c:numCache>
            </c:numRef>
          </c:val>
          <c:smooth val="0"/>
        </c:ser>
        <c:ser>
          <c:idx val="1"/>
          <c:order val="1"/>
          <c:tx>
            <c:strRef>
              <c:f>Sheet1!$C$184</c:f>
              <c:strCache>
                <c:ptCount val="1"/>
                <c:pt idx="0">
                  <c:v>Non-life </c:v>
                </c:pt>
              </c:strCache>
            </c:strRef>
          </c:tx>
          <c:spPr>
            <a:ln w="28575" cap="rnd">
              <a:solidFill>
                <a:schemeClr val="accent2"/>
              </a:solidFill>
              <a:round/>
            </a:ln>
            <a:effectLst/>
          </c:spPr>
          <c:marker>
            <c:symbol val="none"/>
          </c:marker>
          <c:cat>
            <c:numRef>
              <c:f>Sheet1!$A$185:$A$194</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Sheet1!$C$185:$C$194</c:f>
              <c:numCache>
                <c:formatCode>General</c:formatCode>
                <c:ptCount val="10"/>
                <c:pt idx="0">
                  <c:v>0.2</c:v>
                </c:pt>
                <c:pt idx="1">
                  <c:v>0.21</c:v>
                </c:pt>
                <c:pt idx="2">
                  <c:v>0.21</c:v>
                </c:pt>
                <c:pt idx="3">
                  <c:v>0.21</c:v>
                </c:pt>
                <c:pt idx="4">
                  <c:v>0.19</c:v>
                </c:pt>
                <c:pt idx="5">
                  <c:v>0.18</c:v>
                </c:pt>
                <c:pt idx="6">
                  <c:v>0.17</c:v>
                </c:pt>
                <c:pt idx="7">
                  <c:v>0.16</c:v>
                </c:pt>
                <c:pt idx="8">
                  <c:v>0.15</c:v>
                </c:pt>
                <c:pt idx="9">
                  <c:v>0.18</c:v>
                </c:pt>
              </c:numCache>
            </c:numRef>
          </c:val>
          <c:smooth val="0"/>
        </c:ser>
        <c:dLbls>
          <c:showLegendKey val="0"/>
          <c:showVal val="0"/>
          <c:showCatName val="0"/>
          <c:showSerName val="0"/>
          <c:showPercent val="0"/>
          <c:showBubbleSize val="0"/>
        </c:dLbls>
        <c:marker val="1"/>
        <c:smooth val="0"/>
        <c:axId val="197230592"/>
        <c:axId val="197232512"/>
      </c:lineChart>
      <c:catAx>
        <c:axId val="19723059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7232512"/>
        <c:crosses val="autoZero"/>
        <c:auto val="1"/>
        <c:lblAlgn val="ctr"/>
        <c:lblOffset val="100"/>
        <c:noMultiLvlLbl val="0"/>
      </c:catAx>
      <c:valAx>
        <c:axId val="19723251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Percent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7230592"/>
        <c:crosses val="autoZero"/>
        <c:crossBetween val="between"/>
      </c:valAx>
      <c:spPr>
        <a:noFill/>
        <a:ln>
          <a:noFill/>
        </a:ln>
        <a:effectLst/>
      </c:spPr>
    </c:plotArea>
    <c:legend>
      <c:legendPos val="t"/>
      <c:layout>
        <c:manualLayout>
          <c:xMode val="edge"/>
          <c:yMode val="edge"/>
          <c:x val="0.33635604079435627"/>
          <c:y val="9.9107925880522418E-2"/>
          <c:w val="0.34655662571719015"/>
          <c:h val="6.8018668084495873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Insurance Density of life and Nonlife</a:t>
            </a:r>
          </a:p>
        </c:rich>
      </c:tx>
      <c:overlay val="0"/>
      <c:spPr>
        <a:noFill/>
        <a:ln>
          <a:noFill/>
        </a:ln>
        <a:effectLst/>
      </c:spPr>
    </c:title>
    <c:autoTitleDeleted val="0"/>
    <c:plotArea>
      <c:layout/>
      <c:lineChart>
        <c:grouping val="stacked"/>
        <c:varyColors val="0"/>
        <c:ser>
          <c:idx val="0"/>
          <c:order val="0"/>
          <c:tx>
            <c:strRef>
              <c:f>Sheet1!$B$197</c:f>
              <c:strCache>
                <c:ptCount val="1"/>
                <c:pt idx="0">
                  <c:v>Life</c:v>
                </c:pt>
              </c:strCache>
            </c:strRef>
          </c:tx>
          <c:spPr>
            <a:ln w="28575" cap="rnd">
              <a:solidFill>
                <a:schemeClr val="accent1"/>
              </a:solidFill>
              <a:round/>
            </a:ln>
            <a:effectLst/>
          </c:spPr>
          <c:marker>
            <c:symbol val="none"/>
          </c:marker>
          <c:cat>
            <c:numRef>
              <c:f>Sheet1!$A$198:$A$207</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Sheet1!$B$198:$B$207</c:f>
              <c:numCache>
                <c:formatCode>General</c:formatCode>
                <c:ptCount val="10"/>
                <c:pt idx="0">
                  <c:v>327.57</c:v>
                </c:pt>
                <c:pt idx="1">
                  <c:v>383.51</c:v>
                </c:pt>
                <c:pt idx="2">
                  <c:v>406.38</c:v>
                </c:pt>
                <c:pt idx="3">
                  <c:v>422.99</c:v>
                </c:pt>
                <c:pt idx="4">
                  <c:v>434.07</c:v>
                </c:pt>
                <c:pt idx="5">
                  <c:v>443.92</c:v>
                </c:pt>
                <c:pt idx="6">
                  <c:v>453.85</c:v>
                </c:pt>
                <c:pt idx="7">
                  <c:v>465.69</c:v>
                </c:pt>
                <c:pt idx="8">
                  <c:v>497.87</c:v>
                </c:pt>
                <c:pt idx="9">
                  <c:v>556.69000000000005</c:v>
                </c:pt>
              </c:numCache>
            </c:numRef>
          </c:val>
          <c:smooth val="0"/>
        </c:ser>
        <c:ser>
          <c:idx val="1"/>
          <c:order val="1"/>
          <c:tx>
            <c:strRef>
              <c:f>Sheet1!$C$197</c:f>
              <c:strCache>
                <c:ptCount val="1"/>
                <c:pt idx="0">
                  <c:v>Non-Life</c:v>
                </c:pt>
              </c:strCache>
            </c:strRef>
          </c:tx>
          <c:spPr>
            <a:ln w="28575" cap="rnd">
              <a:solidFill>
                <a:schemeClr val="accent2"/>
              </a:solidFill>
              <a:round/>
            </a:ln>
            <a:effectLst/>
          </c:spPr>
          <c:marker>
            <c:symbol val="none"/>
          </c:marker>
          <c:cat>
            <c:numRef>
              <c:f>Sheet1!$A$198:$A$207</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Sheet1!$C$198:$C$207</c:f>
              <c:numCache>
                <c:formatCode>General</c:formatCode>
                <c:ptCount val="10"/>
                <c:pt idx="0">
                  <c:v>92.36</c:v>
                </c:pt>
                <c:pt idx="1">
                  <c:v>108.94</c:v>
                </c:pt>
                <c:pt idx="2">
                  <c:v>127.82</c:v>
                </c:pt>
                <c:pt idx="3">
                  <c:v>139.16999999999999</c:v>
                </c:pt>
                <c:pt idx="4">
                  <c:v>145.51</c:v>
                </c:pt>
                <c:pt idx="5">
                  <c:v>153.43</c:v>
                </c:pt>
                <c:pt idx="6">
                  <c:v>163.96</c:v>
                </c:pt>
                <c:pt idx="7">
                  <c:v>170.17</c:v>
                </c:pt>
                <c:pt idx="8">
                  <c:v>181.06</c:v>
                </c:pt>
                <c:pt idx="9">
                  <c:v>285.93</c:v>
                </c:pt>
              </c:numCache>
            </c:numRef>
          </c:val>
          <c:smooth val="0"/>
        </c:ser>
        <c:dLbls>
          <c:showLegendKey val="0"/>
          <c:showVal val="0"/>
          <c:showCatName val="0"/>
          <c:showSerName val="0"/>
          <c:showPercent val="0"/>
          <c:showBubbleSize val="0"/>
        </c:dLbls>
        <c:marker val="1"/>
        <c:smooth val="0"/>
        <c:axId val="202664960"/>
        <c:axId val="202671232"/>
      </c:lineChart>
      <c:catAx>
        <c:axId val="20266496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671232"/>
        <c:crosses val="autoZero"/>
        <c:auto val="1"/>
        <c:lblAlgn val="ctr"/>
        <c:lblOffset val="100"/>
        <c:noMultiLvlLbl val="0"/>
      </c:catAx>
      <c:valAx>
        <c:axId val="2026712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Taka</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6649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1">
                <a:latin typeface="Times New Roman" panose="02020603050405020304" pitchFamily="18" charset="0"/>
                <a:cs typeface="Times New Roman" panose="02020603050405020304" pitchFamily="18" charset="0"/>
              </a:rPr>
              <a:t>The Trend of Total Assets,  Premium and Invest ment of Insurance Industry in Bangladesh</a:t>
            </a:r>
          </a:p>
        </c:rich>
      </c:tx>
      <c:layout>
        <c:manualLayout>
          <c:xMode val="edge"/>
          <c:yMode val="edge"/>
          <c:x val="0.17709011373578304"/>
          <c:y val="1.3888888888888888E-2"/>
        </c:manualLayout>
      </c:layout>
      <c:overlay val="0"/>
      <c:spPr>
        <a:noFill/>
        <a:ln>
          <a:noFill/>
        </a:ln>
        <a:effectLst/>
      </c:spPr>
    </c:title>
    <c:autoTitleDeleted val="0"/>
    <c:plotArea>
      <c:layout/>
      <c:barChart>
        <c:barDir val="col"/>
        <c:grouping val="clustered"/>
        <c:varyColors val="0"/>
        <c:ser>
          <c:idx val="0"/>
          <c:order val="0"/>
          <c:tx>
            <c:strRef>
              <c:f>Sheet1!$B$23</c:f>
              <c:strCache>
                <c:ptCount val="1"/>
                <c:pt idx="0">
                  <c:v>Total Asset</c:v>
                </c:pt>
              </c:strCache>
            </c:strRef>
          </c:tx>
          <c:spPr>
            <a:solidFill>
              <a:schemeClr val="accent1"/>
            </a:solidFill>
            <a:ln>
              <a:noFill/>
            </a:ln>
            <a:effectLst/>
          </c:spPr>
          <c:invertIfNegative val="0"/>
          <c:trendline>
            <c:trendlineType val="exp"/>
            <c:dispRSqr val="0"/>
            <c:dispEq val="0"/>
          </c:trendline>
          <c:cat>
            <c:numRef>
              <c:f>Sheet1!$A$24:$A$33</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Sheet1!$B$24:$B$33</c:f>
              <c:numCache>
                <c:formatCode>General</c:formatCode>
                <c:ptCount val="10"/>
                <c:pt idx="0">
                  <c:v>17369.57</c:v>
                </c:pt>
                <c:pt idx="1">
                  <c:v>21205.29</c:v>
                </c:pt>
                <c:pt idx="2">
                  <c:v>25973.77</c:v>
                </c:pt>
                <c:pt idx="3">
                  <c:v>30371.360000000001</c:v>
                </c:pt>
                <c:pt idx="4">
                  <c:v>34984.5</c:v>
                </c:pt>
                <c:pt idx="5">
                  <c:v>39615.57</c:v>
                </c:pt>
                <c:pt idx="6">
                  <c:v>41774.199999999997</c:v>
                </c:pt>
                <c:pt idx="7">
                  <c:v>44328.04</c:v>
                </c:pt>
                <c:pt idx="8">
                  <c:v>47612</c:v>
                </c:pt>
                <c:pt idx="9">
                  <c:v>49793.09</c:v>
                </c:pt>
              </c:numCache>
            </c:numRef>
          </c:val>
        </c:ser>
        <c:ser>
          <c:idx val="1"/>
          <c:order val="1"/>
          <c:tx>
            <c:strRef>
              <c:f>Sheet1!$C$23</c:f>
              <c:strCache>
                <c:ptCount val="1"/>
                <c:pt idx="0">
                  <c:v>Total Premium Income</c:v>
                </c:pt>
              </c:strCache>
            </c:strRef>
          </c:tx>
          <c:spPr>
            <a:solidFill>
              <a:schemeClr val="accent2"/>
            </a:solidFill>
            <a:ln>
              <a:noFill/>
            </a:ln>
            <a:effectLst/>
          </c:spPr>
          <c:invertIfNegative val="0"/>
          <c:trendline>
            <c:trendlineType val="exp"/>
            <c:dispRSqr val="0"/>
            <c:dispEq val="0"/>
          </c:trendline>
          <c:cat>
            <c:numRef>
              <c:f>Sheet1!$A$24:$A$33</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Sheet1!$C$24:$C$33</c:f>
              <c:numCache>
                <c:formatCode>General</c:formatCode>
                <c:ptCount val="10"/>
                <c:pt idx="0">
                  <c:v>6320.24</c:v>
                </c:pt>
                <c:pt idx="1">
                  <c:v>7473.24</c:v>
                </c:pt>
                <c:pt idx="2">
                  <c:v>8206.2800000000007</c:v>
                </c:pt>
                <c:pt idx="3">
                  <c:v>8751.69</c:v>
                </c:pt>
                <c:pt idx="4">
                  <c:v>8902.74</c:v>
                </c:pt>
                <c:pt idx="5">
                  <c:v>9520.14</c:v>
                </c:pt>
                <c:pt idx="6">
                  <c:v>12597.2</c:v>
                </c:pt>
                <c:pt idx="7">
                  <c:v>13124.07</c:v>
                </c:pt>
                <c:pt idx="8">
                  <c:v>11794.19</c:v>
                </c:pt>
                <c:pt idx="9">
                  <c:v>13164.23</c:v>
                </c:pt>
              </c:numCache>
            </c:numRef>
          </c:val>
        </c:ser>
        <c:ser>
          <c:idx val="2"/>
          <c:order val="2"/>
          <c:tx>
            <c:strRef>
              <c:f>Sheet1!$D$23</c:f>
              <c:strCache>
                <c:ptCount val="1"/>
                <c:pt idx="0">
                  <c:v>Total Investment</c:v>
                </c:pt>
              </c:strCache>
            </c:strRef>
          </c:tx>
          <c:spPr>
            <a:solidFill>
              <a:schemeClr val="accent3"/>
            </a:solidFill>
            <a:ln>
              <a:noFill/>
            </a:ln>
            <a:effectLst/>
          </c:spPr>
          <c:invertIfNegative val="0"/>
          <c:trendline>
            <c:trendlineType val="exp"/>
            <c:dispRSqr val="0"/>
            <c:dispEq val="0"/>
          </c:trendline>
          <c:cat>
            <c:numRef>
              <c:f>Sheet1!$A$24:$A$33</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Sheet1!$D$24:$D$33</c:f>
              <c:numCache>
                <c:formatCode>General</c:formatCode>
                <c:ptCount val="10"/>
                <c:pt idx="0">
                  <c:v>11496.25</c:v>
                </c:pt>
                <c:pt idx="1">
                  <c:v>14702.85</c:v>
                </c:pt>
                <c:pt idx="2">
                  <c:v>18167.91</c:v>
                </c:pt>
                <c:pt idx="3">
                  <c:v>21685.46</c:v>
                </c:pt>
                <c:pt idx="4">
                  <c:v>23686.45</c:v>
                </c:pt>
                <c:pt idx="5">
                  <c:v>26703.43</c:v>
                </c:pt>
                <c:pt idx="6">
                  <c:v>28474.37</c:v>
                </c:pt>
                <c:pt idx="7">
                  <c:v>28575.84</c:v>
                </c:pt>
                <c:pt idx="8">
                  <c:v>32272.78</c:v>
                </c:pt>
                <c:pt idx="9">
                  <c:v>32675.79</c:v>
                </c:pt>
              </c:numCache>
            </c:numRef>
          </c:val>
        </c:ser>
        <c:dLbls>
          <c:showLegendKey val="0"/>
          <c:showVal val="0"/>
          <c:showCatName val="0"/>
          <c:showSerName val="0"/>
          <c:showPercent val="0"/>
          <c:showBubbleSize val="0"/>
        </c:dLbls>
        <c:gapWidth val="219"/>
        <c:axId val="136201728"/>
        <c:axId val="136203648"/>
      </c:barChart>
      <c:catAx>
        <c:axId val="136201728"/>
        <c:scaling>
          <c:orientation val="minMax"/>
        </c:scaling>
        <c:delete val="0"/>
        <c:axPos val="b"/>
        <c:title>
          <c:tx>
            <c:rich>
              <a:bodyPr/>
              <a:lstStyle/>
              <a:p>
                <a:pPr>
                  <a:defRPr/>
                </a:pPr>
                <a:r>
                  <a:rPr lang="en-US"/>
                  <a:t>Year</a:t>
                </a:r>
              </a:p>
            </c:rich>
          </c:tx>
          <c:overlay val="0"/>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36203648"/>
        <c:crosses val="autoZero"/>
        <c:auto val="1"/>
        <c:lblAlgn val="ctr"/>
        <c:lblOffset val="100"/>
        <c:noMultiLvlLbl val="0"/>
      </c:catAx>
      <c:valAx>
        <c:axId val="136203648"/>
        <c:scaling>
          <c:orientation val="minMax"/>
        </c:scaling>
        <c:delete val="0"/>
        <c:axPos val="l"/>
        <c:title>
          <c:tx>
            <c:rich>
              <a:bodyPr/>
              <a:lstStyle/>
              <a:p>
                <a:pPr>
                  <a:defRPr/>
                </a:pPr>
                <a:r>
                  <a:rPr lang="en-US"/>
                  <a:t>Tk.in Crore</a:t>
                </a:r>
              </a:p>
              <a:p>
                <a:pPr>
                  <a:defRPr/>
                </a:pPr>
                <a:endParaRPr lang="en-US"/>
              </a:p>
            </c:rich>
          </c:tx>
          <c:overlay val="0"/>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201728"/>
        <c:crossesAt val="1"/>
        <c:crossBetween val="between"/>
      </c:valAx>
      <c:spPr>
        <a:noFill/>
        <a:ln>
          <a:noFill/>
        </a:ln>
        <a:effectLst/>
      </c:spPr>
    </c:plotArea>
    <c:legend>
      <c:legendPos val="r"/>
      <c:layout>
        <c:manualLayout>
          <c:xMode val="edge"/>
          <c:yMode val="edge"/>
          <c:x val="0.64258319561906618"/>
          <c:y val="0.25840689638565822"/>
          <c:w val="0.33766371796118078"/>
          <c:h val="0.74159310361434183"/>
        </c:manualLayout>
      </c:layout>
      <c:overlay val="0"/>
      <c:spPr>
        <a:noFill/>
        <a:ln>
          <a:noFill/>
        </a:ln>
        <a:effectLst/>
      </c:spPr>
      <c:txPr>
        <a:bodyPr rot="0" spcFirstLastPara="1" vertOverflow="ellipsis" vert="horz" wrap="square" anchor="ctr" anchorCtr="1"/>
        <a:lstStyle/>
        <a:p>
          <a:pPr>
            <a:defRPr sz="900" b="0" i="0" u="none" strike="noStrike" kern="1200" baseline="0">
              <a:ln>
                <a:solidFill>
                  <a:schemeClr val="tx1"/>
                </a:solidFill>
                <a:bevel/>
              </a:ln>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6350" cap="rnd" cmpd="sng" algn="ctr">
      <a:solidFill>
        <a:schemeClr val="tx1">
          <a:lumMod val="15000"/>
          <a:lumOff val="85000"/>
          <a:alpha val="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Premium Scenario of Life and Non-life Insurance </a:t>
            </a:r>
          </a:p>
        </c:rich>
      </c:tx>
      <c:layout>
        <c:manualLayout>
          <c:xMode val="edge"/>
          <c:yMode val="edge"/>
          <c:x val="0.20283286999273081"/>
          <c:y val="1.7021276595744681E-2"/>
        </c:manualLayout>
      </c:layout>
      <c:overlay val="0"/>
      <c:spPr>
        <a:noFill/>
        <a:ln>
          <a:noFill/>
        </a:ln>
        <a:effectLst/>
      </c:spPr>
    </c:title>
    <c:autoTitleDeleted val="0"/>
    <c:plotArea>
      <c:layout>
        <c:manualLayout>
          <c:layoutTarget val="inner"/>
          <c:xMode val="edge"/>
          <c:yMode val="edge"/>
          <c:x val="0.14895507989902218"/>
          <c:y val="0.29873417721518986"/>
          <c:w val="0.84518970928156656"/>
          <c:h val="0.53770247073546185"/>
        </c:manualLayout>
      </c:layout>
      <c:lineChart>
        <c:grouping val="standard"/>
        <c:varyColors val="0"/>
        <c:ser>
          <c:idx val="0"/>
          <c:order val="0"/>
          <c:tx>
            <c:strRef>
              <c:f>Sheet1!$B$140</c:f>
              <c:strCache>
                <c:ptCount val="1"/>
                <c:pt idx="0">
                  <c:v> Nonlife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Sheet1!$A$141:$A$150</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Sheet1!$B$141:$B$150</c:f>
              <c:numCache>
                <c:formatCode>General</c:formatCode>
                <c:ptCount val="10"/>
                <c:pt idx="0">
                  <c:v>1389.77</c:v>
                </c:pt>
                <c:pt idx="1">
                  <c:v>1657.38</c:v>
                </c:pt>
                <c:pt idx="2">
                  <c:v>1924.88</c:v>
                </c:pt>
                <c:pt idx="3">
                  <c:v>2164.59</c:v>
                </c:pt>
                <c:pt idx="4">
                  <c:v>2294.71</c:v>
                </c:pt>
                <c:pt idx="5">
                  <c:v>2444.0300000000002</c:v>
                </c:pt>
                <c:pt idx="6">
                  <c:v>2638.1</c:v>
                </c:pt>
                <c:pt idx="7">
                  <c:v>2762.74</c:v>
                </c:pt>
                <c:pt idx="8">
                  <c:v>3668.85</c:v>
                </c:pt>
                <c:pt idx="9">
                  <c:v>4179.22</c:v>
                </c:pt>
              </c:numCache>
            </c:numRef>
          </c:val>
          <c:smooth val="0"/>
        </c:ser>
        <c:ser>
          <c:idx val="1"/>
          <c:order val="1"/>
          <c:tx>
            <c:strRef>
              <c:f>Sheet1!$C$140</c:f>
              <c:strCache>
                <c:ptCount val="1"/>
                <c:pt idx="0">
                  <c:v> life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Sheet1!$A$141:$A$150</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Sheet1!$C$141:$C$150</c:f>
              <c:numCache>
                <c:formatCode>General</c:formatCode>
                <c:ptCount val="10"/>
                <c:pt idx="0">
                  <c:v>4930.47</c:v>
                </c:pt>
                <c:pt idx="1">
                  <c:v>5815.86</c:v>
                </c:pt>
                <c:pt idx="2">
                  <c:v>6281.4</c:v>
                </c:pt>
                <c:pt idx="3">
                  <c:v>6587.1</c:v>
                </c:pt>
                <c:pt idx="4">
                  <c:v>6608.03</c:v>
                </c:pt>
                <c:pt idx="5">
                  <c:v>7076.11</c:v>
                </c:pt>
                <c:pt idx="6">
                  <c:v>8328.81</c:v>
                </c:pt>
                <c:pt idx="7">
                  <c:v>7506.33</c:v>
                </c:pt>
                <c:pt idx="8">
                  <c:v>8125.34</c:v>
                </c:pt>
                <c:pt idx="9">
                  <c:v>8985.01</c:v>
                </c:pt>
              </c:numCache>
            </c:numRef>
          </c:val>
          <c:smooth val="0"/>
        </c:ser>
        <c:dLbls>
          <c:showLegendKey val="0"/>
          <c:showVal val="0"/>
          <c:showCatName val="0"/>
          <c:showSerName val="0"/>
          <c:showPercent val="0"/>
          <c:showBubbleSize val="0"/>
        </c:dLbls>
        <c:marker val="1"/>
        <c:smooth val="0"/>
        <c:axId val="136229632"/>
        <c:axId val="136231936"/>
      </c:lineChart>
      <c:catAx>
        <c:axId val="13622963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231936"/>
        <c:crosses val="autoZero"/>
        <c:auto val="1"/>
        <c:lblAlgn val="ctr"/>
        <c:lblOffset val="100"/>
        <c:noMultiLvlLbl val="0"/>
      </c:catAx>
      <c:valAx>
        <c:axId val="13623193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Tk.in Crore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2296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i="0" baseline="0">
                <a:effectLst/>
                <a:latin typeface="Times New Roman" panose="02020603050405020304" pitchFamily="18" charset="0"/>
                <a:cs typeface="Times New Roman" panose="02020603050405020304" pitchFamily="18" charset="0"/>
              </a:rPr>
              <a:t>Assets Scenario of Life and Non-life Insurance </a:t>
            </a:r>
            <a:endParaRPr lang="en-US" sz="1000">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lineChart>
        <c:grouping val="standard"/>
        <c:varyColors val="0"/>
        <c:ser>
          <c:idx val="0"/>
          <c:order val="0"/>
          <c:tx>
            <c:strRef>
              <c:f>Sheet1!$B$167</c:f>
              <c:strCache>
                <c:ptCount val="1"/>
                <c:pt idx="0">
                  <c:v> Nonlife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Sheet1!$A$168:$A$177</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Sheet1!$B$168:$B$177</c:f>
              <c:numCache>
                <c:formatCode>General</c:formatCode>
                <c:ptCount val="10"/>
                <c:pt idx="0">
                  <c:v>4262.28</c:v>
                </c:pt>
                <c:pt idx="1">
                  <c:v>4457.97</c:v>
                </c:pt>
                <c:pt idx="2">
                  <c:v>5544.34</c:v>
                </c:pt>
                <c:pt idx="3">
                  <c:v>6407.99</c:v>
                </c:pt>
                <c:pt idx="4">
                  <c:v>7334.59</c:v>
                </c:pt>
                <c:pt idx="5">
                  <c:v>8072.37</c:v>
                </c:pt>
                <c:pt idx="6">
                  <c:v>8776.09</c:v>
                </c:pt>
                <c:pt idx="7">
                  <c:v>9599.3799999999992</c:v>
                </c:pt>
                <c:pt idx="8">
                  <c:v>10929.19</c:v>
                </c:pt>
                <c:pt idx="9">
                  <c:v>11306.06</c:v>
                </c:pt>
              </c:numCache>
            </c:numRef>
          </c:val>
          <c:smooth val="0"/>
        </c:ser>
        <c:ser>
          <c:idx val="1"/>
          <c:order val="1"/>
          <c:tx>
            <c:strRef>
              <c:f>Sheet1!$C$167</c:f>
              <c:strCache>
                <c:ptCount val="1"/>
                <c:pt idx="0">
                  <c:v> life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Sheet1!$A$168:$A$177</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Sheet1!$C$168:$C$177</c:f>
              <c:numCache>
                <c:formatCode>General</c:formatCode>
                <c:ptCount val="10"/>
                <c:pt idx="0">
                  <c:v>13107.29</c:v>
                </c:pt>
                <c:pt idx="1">
                  <c:v>16747.32</c:v>
                </c:pt>
                <c:pt idx="2">
                  <c:v>20429.43</c:v>
                </c:pt>
                <c:pt idx="3">
                  <c:v>23963.37</c:v>
                </c:pt>
                <c:pt idx="4">
                  <c:v>27649.91</c:v>
                </c:pt>
                <c:pt idx="5">
                  <c:v>31543.200000000001</c:v>
                </c:pt>
                <c:pt idx="6">
                  <c:v>32998.11</c:v>
                </c:pt>
                <c:pt idx="7">
                  <c:v>34728.660000000003</c:v>
                </c:pt>
                <c:pt idx="8">
                  <c:v>36682.81</c:v>
                </c:pt>
                <c:pt idx="9">
                  <c:v>38487.03</c:v>
                </c:pt>
              </c:numCache>
            </c:numRef>
          </c:val>
          <c:smooth val="0"/>
        </c:ser>
        <c:dLbls>
          <c:showLegendKey val="0"/>
          <c:showVal val="0"/>
          <c:showCatName val="0"/>
          <c:showSerName val="0"/>
          <c:showPercent val="0"/>
          <c:showBubbleSize val="0"/>
        </c:dLbls>
        <c:marker val="1"/>
        <c:smooth val="0"/>
        <c:axId val="139084160"/>
        <c:axId val="139086080"/>
      </c:lineChart>
      <c:catAx>
        <c:axId val="139084160"/>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Year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086080"/>
        <c:crosses val="autoZero"/>
        <c:auto val="1"/>
        <c:lblAlgn val="ctr"/>
        <c:lblOffset val="100"/>
        <c:noMultiLvlLbl val="0"/>
      </c:catAx>
      <c:valAx>
        <c:axId val="13908608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Tk.in Crore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084160"/>
        <c:crosses val="autoZero"/>
        <c:crossBetween val="between"/>
      </c:valAx>
      <c:spPr>
        <a:noFill/>
        <a:ln>
          <a:noFill/>
        </a:ln>
        <a:effectLst/>
      </c:spPr>
    </c:plotArea>
    <c:legend>
      <c:legendPos val="t"/>
      <c:legendEntry>
        <c:idx val="1"/>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6C439-D560-4174-9ACD-82B9FD528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5849</TotalTime>
  <Pages>18</Pages>
  <Words>7348</Words>
  <Characters>41885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IBRAHIM</dc:creator>
  <cp:lastModifiedBy>User</cp:lastModifiedBy>
  <cp:revision>839</cp:revision>
  <cp:lastPrinted>2022-08-15T08:31:00Z</cp:lastPrinted>
  <dcterms:created xsi:type="dcterms:W3CDTF">2021-06-18T18:34:00Z</dcterms:created>
  <dcterms:modified xsi:type="dcterms:W3CDTF">2022-08-15T08:32:00Z</dcterms:modified>
</cp:coreProperties>
</file>