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D9D77"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Title: Literature Review of IoT in AI: An Overview of Recent Advances and Challenges</w:t>
      </w:r>
    </w:p>
    <w:p w14:paraId="391EA650" w14:textId="44A53200" w:rsidR="00193B28" w:rsidRDefault="004831DF" w:rsidP="001856F1">
      <w:pPr>
        <w:spacing w:line="360" w:lineRule="auto"/>
        <w:jc w:val="both"/>
        <w:rPr>
          <w:rFonts w:ascii="Times New Roman" w:eastAsia="Times New Roman" w:hAnsi="Times New Roman" w:cs="Times New Roman"/>
          <w:i/>
          <w:iCs/>
          <w:kern w:val="0"/>
          <w:lang w:eastAsia="en-IN"/>
        </w:rPr>
      </w:pPr>
      <w:r w:rsidRPr="004831DF">
        <w:rPr>
          <w:rFonts w:ascii="Times New Roman" w:eastAsia="Times New Roman" w:hAnsi="Times New Roman" w:cs="Times New Roman"/>
          <w:i/>
          <w:iCs/>
          <w:kern w:val="0"/>
          <w:lang w:eastAsia="en-IN"/>
        </w:rPr>
        <w:t>Saritha M</w:t>
      </w:r>
      <w:r>
        <w:rPr>
          <w:rFonts w:ascii="Times New Roman" w:eastAsia="Times New Roman" w:hAnsi="Times New Roman" w:cs="Times New Roman"/>
          <w:i/>
          <w:iCs/>
          <w:kern w:val="0"/>
          <w:vertAlign w:val="superscript"/>
          <w:lang w:eastAsia="en-IN"/>
        </w:rPr>
        <w:t>1</w:t>
      </w:r>
      <w:r w:rsidRPr="004831DF">
        <w:rPr>
          <w:rFonts w:ascii="Times New Roman" w:eastAsia="Times New Roman" w:hAnsi="Times New Roman" w:cs="Times New Roman"/>
          <w:i/>
          <w:iCs/>
          <w:kern w:val="0"/>
          <w:lang w:eastAsia="en-IN"/>
        </w:rPr>
        <w:t xml:space="preserve"> Assistant Professor</w:t>
      </w:r>
      <w:r>
        <w:rPr>
          <w:rFonts w:ascii="Times New Roman" w:eastAsia="Times New Roman" w:hAnsi="Times New Roman" w:cs="Times New Roman"/>
          <w:i/>
          <w:iCs/>
          <w:kern w:val="0"/>
          <w:lang w:eastAsia="en-IN"/>
        </w:rPr>
        <w:t xml:space="preserve"> Dept.,of CSE CEC Benjanapadavu</w:t>
      </w:r>
    </w:p>
    <w:p w14:paraId="6F65D6DE" w14:textId="279890C9" w:rsidR="004831DF" w:rsidRPr="004831DF" w:rsidRDefault="004831DF" w:rsidP="001856F1">
      <w:pPr>
        <w:spacing w:line="360" w:lineRule="auto"/>
        <w:jc w:val="both"/>
        <w:rPr>
          <w:rFonts w:ascii="Times New Roman" w:eastAsia="Times New Roman" w:hAnsi="Times New Roman" w:cs="Times New Roman"/>
          <w:i/>
          <w:iCs/>
          <w:kern w:val="0"/>
          <w:lang w:eastAsia="en-IN"/>
        </w:rPr>
      </w:pPr>
      <w:r>
        <w:rPr>
          <w:rFonts w:ascii="Times New Roman" w:eastAsia="Times New Roman" w:hAnsi="Times New Roman" w:cs="Times New Roman"/>
          <w:i/>
          <w:iCs/>
          <w:kern w:val="0"/>
          <w:lang w:eastAsia="en-IN"/>
        </w:rPr>
        <w:t>Dr.Niranjana Rai</w:t>
      </w:r>
      <w:r>
        <w:rPr>
          <w:rFonts w:ascii="Times New Roman" w:eastAsia="Times New Roman" w:hAnsi="Times New Roman" w:cs="Times New Roman"/>
          <w:i/>
          <w:iCs/>
          <w:kern w:val="0"/>
          <w:vertAlign w:val="superscript"/>
          <w:lang w:eastAsia="en-IN"/>
        </w:rPr>
        <w:t>2</w:t>
      </w:r>
      <w:r>
        <w:rPr>
          <w:rFonts w:ascii="Times New Roman" w:eastAsia="Times New Roman" w:hAnsi="Times New Roman" w:cs="Times New Roman"/>
          <w:i/>
          <w:iCs/>
          <w:kern w:val="0"/>
          <w:lang w:eastAsia="en-IN"/>
        </w:rPr>
        <w:t xml:space="preserve"> Assistant Professor Dept., of Mechanical CEC Benjanadapadvu</w:t>
      </w:r>
    </w:p>
    <w:p w14:paraId="523AB02A" w14:textId="77777777" w:rsidR="004831DF" w:rsidRDefault="004831DF" w:rsidP="001856F1">
      <w:pPr>
        <w:spacing w:line="360" w:lineRule="auto"/>
        <w:jc w:val="both"/>
        <w:rPr>
          <w:rFonts w:ascii="Times New Roman" w:eastAsia="Times New Roman" w:hAnsi="Times New Roman" w:cs="Times New Roman"/>
          <w:kern w:val="0"/>
          <w:lang w:eastAsia="en-IN"/>
        </w:rPr>
      </w:pPr>
    </w:p>
    <w:p w14:paraId="7CBDCF4B" w14:textId="77777777" w:rsidR="004831DF" w:rsidRPr="001856F1" w:rsidRDefault="004831DF" w:rsidP="001856F1">
      <w:pPr>
        <w:spacing w:line="360" w:lineRule="auto"/>
        <w:jc w:val="both"/>
        <w:rPr>
          <w:rFonts w:ascii="Times New Roman" w:eastAsia="Times New Roman" w:hAnsi="Times New Roman" w:cs="Times New Roman"/>
          <w:kern w:val="0"/>
          <w:lang w:eastAsia="en-IN"/>
        </w:rPr>
      </w:pPr>
    </w:p>
    <w:p w14:paraId="67DF1ADC"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Abstract:</w:t>
      </w:r>
    </w:p>
    <w:p w14:paraId="751654E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Internet of Things (IoT) and Artificial Intelligence (AI) has garnered significant attention in recent years, as it holds immense potential to revolutionize various domains, including healthcare, transportation, agriculture, and smart cities. This paper presents a comprehensive literature review of IoT in AI, aiming to provide an overview of the latest advancements, applications, and challenges in this rapidly evolving field. The review encompasses a wide range of research articles, conference proceedings, and scholarly publications, highlighting key findings, methodologies, and trends.</w:t>
      </w:r>
    </w:p>
    <w:p w14:paraId="36D07104" w14:textId="01A4E944" w:rsidR="00193B28" w:rsidRPr="001856F1" w:rsidRDefault="004831DF" w:rsidP="001856F1">
      <w:pPr>
        <w:spacing w:line="360" w:lineRule="auto"/>
        <w:jc w:val="both"/>
        <w:rPr>
          <w:rFonts w:ascii="Times New Roman" w:eastAsia="Times New Roman" w:hAnsi="Times New Roman" w:cs="Times New Roman"/>
          <w:b/>
          <w:bCs/>
          <w:kern w:val="0"/>
          <w:sz w:val="28"/>
          <w:szCs w:val="28"/>
          <w:lang w:eastAsia="en-IN"/>
        </w:rPr>
      </w:pPr>
      <w:r>
        <w:rPr>
          <w:rFonts w:ascii="Times New Roman" w:eastAsia="Times New Roman" w:hAnsi="Times New Roman" w:cs="Times New Roman"/>
          <w:b/>
          <w:bCs/>
          <w:kern w:val="0"/>
          <w:sz w:val="28"/>
          <w:szCs w:val="28"/>
          <w:lang w:eastAsia="en-IN"/>
        </w:rPr>
        <w:t>1.</w:t>
      </w:r>
      <w:r w:rsidR="00193B28" w:rsidRPr="001856F1">
        <w:rPr>
          <w:rFonts w:ascii="Times New Roman" w:eastAsia="Times New Roman" w:hAnsi="Times New Roman" w:cs="Times New Roman"/>
          <w:b/>
          <w:bCs/>
          <w:kern w:val="0"/>
          <w:sz w:val="28"/>
          <w:szCs w:val="28"/>
          <w:lang w:eastAsia="en-IN"/>
        </w:rPr>
        <w:t>Introduction</w:t>
      </w:r>
    </w:p>
    <w:p w14:paraId="571D8A31" w14:textId="77777777" w:rsidR="001856F1" w:rsidRDefault="001856F1" w:rsidP="001856F1">
      <w:pPr>
        <w:spacing w:line="360" w:lineRule="auto"/>
        <w:jc w:val="both"/>
        <w:rPr>
          <w:rFonts w:ascii="Times New Roman" w:eastAsia="Times New Roman" w:hAnsi="Times New Roman" w:cs="Times New Roman"/>
          <w:kern w:val="0"/>
          <w:lang w:eastAsia="en-IN"/>
        </w:rPr>
      </w:pPr>
    </w:p>
    <w:p w14:paraId="2ACF0729" w14:textId="170D6549" w:rsidR="00193B28" w:rsidRPr="001856F1" w:rsidRDefault="004831DF" w:rsidP="001856F1">
      <w:pPr>
        <w:spacing w:line="360" w:lineRule="auto"/>
        <w:jc w:val="both"/>
        <w:rPr>
          <w:rFonts w:ascii="Times New Roman" w:eastAsia="Times New Roman" w:hAnsi="Times New Roman" w:cs="Times New Roman"/>
          <w:b/>
          <w:bCs/>
          <w:kern w:val="0"/>
          <w:lang w:eastAsia="en-IN"/>
        </w:rPr>
      </w:pPr>
      <w:r>
        <w:rPr>
          <w:rFonts w:ascii="Times New Roman" w:eastAsia="Times New Roman" w:hAnsi="Times New Roman" w:cs="Times New Roman"/>
          <w:b/>
          <w:bCs/>
          <w:kern w:val="0"/>
          <w:lang w:eastAsia="en-IN"/>
        </w:rPr>
        <w:t>1.1</w:t>
      </w:r>
      <w:r w:rsidR="00193B28" w:rsidRPr="001856F1">
        <w:rPr>
          <w:rFonts w:ascii="Times New Roman" w:eastAsia="Times New Roman" w:hAnsi="Times New Roman" w:cs="Times New Roman"/>
          <w:b/>
          <w:bCs/>
          <w:kern w:val="0"/>
          <w:lang w:eastAsia="en-IN"/>
        </w:rPr>
        <w:t>Brief overview of IoT and AI</w:t>
      </w:r>
    </w:p>
    <w:p w14:paraId="5DF881F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IoT (Internet of Things) refers to the interconnection of physical devices, vehicles, buildings, and other objects embedded with sensors, software, and network connectivity, enabling them to collect and exchange data. These devices, often referred to as "smart" or "connected" devices, can communicate with each other and with cloud-based systems, creating a network of interconnected devices.</w:t>
      </w:r>
    </w:p>
    <w:p w14:paraId="0ED0B9B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On the other hand, AI (Artificial Intelligence) is a branch of computer science that focuses on the development of intelligent machines capable of performing tasks that typically require human intelligence. AI systems can analyze and interpret data, learn from experience, and make decisions or take actions based on that learning.</w:t>
      </w:r>
    </w:p>
    <w:p w14:paraId="7005861C" w14:textId="6A1A9B90"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involves leveraging the capabilities of AI to process and analyze the vast amounts of data generated by IoT devices. By applying AI algorithms to IoT data, valuable insights can be derived, leading to improved decision-making, automation, and predictive capabilities. AI techniques such as machine learning, deep learning, and natural language processing can be utilized to extract patterns, detect anomalies, and enable intelligent automation in IoT systems.</w:t>
      </w:r>
    </w:p>
    <w:p w14:paraId="1EF6CFD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The combination of IoT and AI has the potential to enhance various domains, including healthcare, transportation, agriculture, and smart cities. IoT devices can collect real-time data from sensors, cameras, and other sources, which can then be analyzed using AI algorithms to gain valuable insights and enable intelligent actions. For example, in healthcare, IoT devices </w:t>
      </w:r>
      <w:r w:rsidRPr="001856F1">
        <w:rPr>
          <w:rFonts w:ascii="Times New Roman" w:eastAsia="Times New Roman" w:hAnsi="Times New Roman" w:cs="Times New Roman"/>
          <w:kern w:val="0"/>
          <w:lang w:eastAsia="en-IN"/>
        </w:rPr>
        <w:lastRenderedPageBreak/>
        <w:t>can monitor patient vital signs, and AI algorithms can analyze this data to detect patterns indicative of health conditions or provide personalized treatment recommendations.</w:t>
      </w:r>
    </w:p>
    <w:p w14:paraId="7D8F5146"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D9D6C86" w14:textId="6DC29DCC"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Overall, the integration of IoT and AI creates a powerful synergy, enabling the development of innovative solutions and applications that can significantly impact industries and society as a whole.</w:t>
      </w:r>
    </w:p>
    <w:p w14:paraId="63527859" w14:textId="0C9F50C8" w:rsidR="00193B28" w:rsidRPr="001856F1" w:rsidRDefault="004831DF" w:rsidP="001856F1">
      <w:pPr>
        <w:spacing w:line="360" w:lineRule="auto"/>
        <w:jc w:val="both"/>
        <w:rPr>
          <w:rFonts w:ascii="Times New Roman" w:eastAsia="Times New Roman" w:hAnsi="Times New Roman" w:cs="Times New Roman"/>
          <w:b/>
          <w:bCs/>
          <w:kern w:val="0"/>
          <w:lang w:eastAsia="en-IN"/>
        </w:rPr>
      </w:pPr>
      <w:r>
        <w:rPr>
          <w:rFonts w:ascii="Times New Roman" w:eastAsia="Times New Roman" w:hAnsi="Times New Roman" w:cs="Times New Roman"/>
          <w:b/>
          <w:bCs/>
          <w:kern w:val="0"/>
          <w:lang w:eastAsia="en-IN"/>
        </w:rPr>
        <w:t>1.2</w:t>
      </w:r>
      <w:r w:rsidR="00193B28" w:rsidRPr="001856F1">
        <w:rPr>
          <w:rFonts w:ascii="Times New Roman" w:eastAsia="Times New Roman" w:hAnsi="Times New Roman" w:cs="Times New Roman"/>
          <w:b/>
          <w:bCs/>
          <w:kern w:val="0"/>
          <w:lang w:eastAsia="en-IN"/>
        </w:rPr>
        <w:t>Motivation for integrating IoT and AI</w:t>
      </w:r>
      <w:r w:rsidR="001856F1">
        <w:rPr>
          <w:rFonts w:ascii="Times New Roman" w:eastAsia="Times New Roman" w:hAnsi="Times New Roman" w:cs="Times New Roman"/>
          <w:b/>
          <w:bCs/>
          <w:kern w:val="0"/>
          <w:lang w:eastAsia="en-IN"/>
        </w:rPr>
        <w:t>:</w:t>
      </w:r>
    </w:p>
    <w:p w14:paraId="3BBC5523" w14:textId="6EC82F65"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offers several compelling motivations and benefits. Here are some key motivations for combining these technologies:</w:t>
      </w:r>
    </w:p>
    <w:p w14:paraId="431AE86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Data-driven insights</w:t>
      </w:r>
      <w:r w:rsidRPr="001856F1">
        <w:rPr>
          <w:rFonts w:ascii="Times New Roman" w:eastAsia="Times New Roman" w:hAnsi="Times New Roman" w:cs="Times New Roman"/>
          <w:kern w:val="0"/>
          <w:lang w:eastAsia="en-IN"/>
        </w:rPr>
        <w:t>: IoT generates vast amounts of data from connected devices and sensors. AI techniques, such as machine learning and data analytics, can process and analyze this data to derive valuable insights, patterns, and correlations. Integrating AI with IoT enables organizations to make data-driven decisions and uncover hidden patterns that can lead to improved efficiency, productivity, and performance.</w:t>
      </w:r>
    </w:p>
    <w:p w14:paraId="42359A68"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 xml:space="preserve">Real-time monitoring and automation: </w:t>
      </w:r>
      <w:r w:rsidRPr="001856F1">
        <w:rPr>
          <w:rFonts w:ascii="Times New Roman" w:eastAsia="Times New Roman" w:hAnsi="Times New Roman" w:cs="Times New Roman"/>
          <w:kern w:val="0"/>
          <w:lang w:eastAsia="en-IN"/>
        </w:rPr>
        <w:t>IoT devices provide real-time monitoring and control of physical objects and environments. By integrating AI, these devices can leverage advanced algorithms to automatically respond to data inputs, adapt to changing conditions, and optimize system performance. This enables intelligent automation, where IoT devices can make decisions and take actions without human intervention, leading to increased operational efficiency and reduced human error.</w:t>
      </w:r>
    </w:p>
    <w:p w14:paraId="1D714CF1"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1EA1862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Predictive analytics and maintenance: </w:t>
      </w:r>
      <w:r w:rsidRPr="001856F1">
        <w:rPr>
          <w:rFonts w:ascii="Times New Roman" w:eastAsia="Times New Roman" w:hAnsi="Times New Roman" w:cs="Times New Roman"/>
          <w:kern w:val="0"/>
          <w:lang w:eastAsia="en-IN"/>
        </w:rPr>
        <w:t>AI algorithms can analyze historical IoT data to identify patterns and trends that can be used for predictive analytics. By predicting failures or maintenance needs in advance, organizations can proactively address issues, reduce downtime, and optimize maintenance schedules. This approach, known as predictive maintenance, can save costs, improve reliability, and extend the lifespan of IoT-enabled assets.</w:t>
      </w:r>
    </w:p>
    <w:p w14:paraId="596EE3BE"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 xml:space="preserve">Personalization and user experience: </w:t>
      </w:r>
      <w:r w:rsidRPr="001856F1">
        <w:rPr>
          <w:rFonts w:ascii="Times New Roman" w:eastAsia="Times New Roman" w:hAnsi="Times New Roman" w:cs="Times New Roman"/>
          <w:kern w:val="0"/>
          <w:lang w:eastAsia="en-IN"/>
        </w:rPr>
        <w:t>Integrating AI with IoT enables personalized and context-aware experiences. By analyzing user behavior, preferences, and environmental data, AI algorithms can tailor services and recommendations to individual users. For example, smart home systems can adjust temperature, lighting, and entertainment options based on the occupants' preferences and behavior patterns</w:t>
      </w:r>
      <w:r w:rsidRPr="001856F1">
        <w:rPr>
          <w:rFonts w:ascii="Times New Roman" w:eastAsia="Times New Roman" w:hAnsi="Times New Roman" w:cs="Times New Roman"/>
          <w:b/>
          <w:bCs/>
          <w:kern w:val="0"/>
          <w:lang w:eastAsia="en-IN"/>
        </w:rPr>
        <w:t>.</w:t>
      </w:r>
    </w:p>
    <w:p w14:paraId="0DD5F70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Enhanced decision-making</w:t>
      </w:r>
      <w:r w:rsidRPr="001856F1">
        <w:rPr>
          <w:rFonts w:ascii="Times New Roman" w:eastAsia="Times New Roman" w:hAnsi="Times New Roman" w:cs="Times New Roman"/>
          <w:kern w:val="0"/>
          <w:lang w:eastAsia="en-IN"/>
        </w:rPr>
        <w:t xml:space="preserve">: IoT generates a vast amount of data that can overwhelm human decision-makers. AI techniques, such as machine learning and cognitive computing, can process and analyze this data to provide insights and recommendations that aid in decision-making. By integrating AI with IoT, decision-makers can access timely and accurate </w:t>
      </w:r>
      <w:r w:rsidRPr="001856F1">
        <w:rPr>
          <w:rFonts w:ascii="Times New Roman" w:eastAsia="Times New Roman" w:hAnsi="Times New Roman" w:cs="Times New Roman"/>
          <w:kern w:val="0"/>
          <w:lang w:eastAsia="en-IN"/>
        </w:rPr>
        <w:lastRenderedPageBreak/>
        <w:t>information, enabling them to make informed and optimized decisions.</w:t>
      </w:r>
    </w:p>
    <w:p w14:paraId="64729624"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1AF6D1AD"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Improved efficiency and resource management: </w:t>
      </w:r>
      <w:r w:rsidRPr="001856F1">
        <w:rPr>
          <w:rFonts w:ascii="Times New Roman" w:eastAsia="Times New Roman" w:hAnsi="Times New Roman" w:cs="Times New Roman"/>
          <w:kern w:val="0"/>
          <w:lang w:eastAsia="en-IN"/>
        </w:rPr>
        <w:t>AI-enabled IoT systems can optimize the utilization of resources such as energy, water, and transportation. By analyzing real-time data and using predictive models, AI algorithms can optimize resource allocation, detect inefficiencies, and identify opportunities for improvement. This leads to reduced waste, lower costs, and more sustainable practices.</w:t>
      </w:r>
    </w:p>
    <w:p w14:paraId="09D69139"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078DF41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b/>
          <w:bCs/>
          <w:kern w:val="0"/>
          <w:lang w:eastAsia="en-IN"/>
        </w:rPr>
        <w:t xml:space="preserve">Enhanced security and anomaly detection: </w:t>
      </w:r>
      <w:r w:rsidRPr="001856F1">
        <w:rPr>
          <w:rFonts w:ascii="Times New Roman" w:eastAsia="Times New Roman" w:hAnsi="Times New Roman" w:cs="Times New Roman"/>
          <w:kern w:val="0"/>
          <w:lang w:eastAsia="en-IN"/>
        </w:rPr>
        <w:t>IoT systems are susceptible to security threats and anomalies. AI techniques can help detect abnormal behavior, identify potential security breaches, and mitigate risks in real-time. AI algorithms can analyze network traffic, device behavior, and user patterns to identify and respond to security threats, protecting IoT infrastructure and data.</w:t>
      </w:r>
    </w:p>
    <w:p w14:paraId="6DDFE0F8" w14:textId="782EE9B3" w:rsidR="00193B28" w:rsidRPr="001856F1" w:rsidRDefault="004831DF" w:rsidP="001856F1">
      <w:pPr>
        <w:spacing w:line="360" w:lineRule="auto"/>
        <w:jc w:val="both"/>
        <w:rPr>
          <w:rFonts w:ascii="Times New Roman" w:eastAsia="Times New Roman" w:hAnsi="Times New Roman" w:cs="Times New Roman"/>
          <w:b/>
          <w:bCs/>
          <w:kern w:val="0"/>
          <w:sz w:val="28"/>
          <w:szCs w:val="28"/>
          <w:lang w:eastAsia="en-IN"/>
        </w:rPr>
      </w:pPr>
      <w:r>
        <w:rPr>
          <w:rFonts w:ascii="Times New Roman" w:eastAsia="Times New Roman" w:hAnsi="Times New Roman" w:cs="Times New Roman"/>
          <w:b/>
          <w:bCs/>
          <w:kern w:val="0"/>
          <w:sz w:val="28"/>
          <w:szCs w:val="28"/>
          <w:lang w:eastAsia="en-IN"/>
        </w:rPr>
        <w:t>2.</w:t>
      </w:r>
      <w:r w:rsidR="00193B28" w:rsidRPr="001856F1">
        <w:rPr>
          <w:rFonts w:ascii="Times New Roman" w:eastAsia="Times New Roman" w:hAnsi="Times New Roman" w:cs="Times New Roman"/>
          <w:b/>
          <w:bCs/>
          <w:kern w:val="0"/>
          <w:sz w:val="28"/>
          <w:szCs w:val="28"/>
          <w:lang w:eastAsia="en-IN"/>
        </w:rPr>
        <w:t xml:space="preserve"> </w:t>
      </w:r>
      <w:r>
        <w:rPr>
          <w:rFonts w:ascii="Times New Roman" w:eastAsia="Times New Roman" w:hAnsi="Times New Roman" w:cs="Times New Roman"/>
          <w:b/>
          <w:bCs/>
          <w:kern w:val="0"/>
          <w:sz w:val="28"/>
          <w:szCs w:val="28"/>
          <w:lang w:eastAsia="en-IN"/>
        </w:rPr>
        <w:t>L</w:t>
      </w:r>
      <w:r w:rsidR="00193B28" w:rsidRPr="001856F1">
        <w:rPr>
          <w:rFonts w:ascii="Times New Roman" w:eastAsia="Times New Roman" w:hAnsi="Times New Roman" w:cs="Times New Roman"/>
          <w:b/>
          <w:bCs/>
          <w:kern w:val="0"/>
          <w:sz w:val="28"/>
          <w:szCs w:val="28"/>
          <w:lang w:eastAsia="en-IN"/>
        </w:rPr>
        <w:t>iterature review</w:t>
      </w:r>
    </w:p>
    <w:p w14:paraId="3946C632"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Identify the state of the art: The literature review aims to provide an overview of the current state of research and development in the integration of IoT and AI. By reviewing a wide range of scholarly articles, conference papers, and other relevant publications, the review seeks to identify the latest advancements, methodologies, and trends in this field.</w:t>
      </w:r>
    </w:p>
    <w:p w14:paraId="67DBF612"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Understand the applications of IoT in AI: The review aims to explore the various domains and industries where IoT and AI integration has been applied. It seeks to examine the applications of IoT in AI in areas such as healthcare, transportation, agriculture, and smart cities. By analyzing the literature, the review aims to identify the specific use cases, benefits, and challenges associated with these applications.</w:t>
      </w:r>
    </w:p>
    <w:p w14:paraId="7C7BF65D"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3AA74838" w14:textId="3428C637" w:rsidR="00193B28" w:rsidRPr="001856F1" w:rsidRDefault="004831DF" w:rsidP="001856F1">
      <w:pPr>
        <w:spacing w:line="360" w:lineRule="auto"/>
        <w:jc w:val="both"/>
        <w:rPr>
          <w:rFonts w:ascii="Times New Roman" w:eastAsia="Times New Roman" w:hAnsi="Times New Roman" w:cs="Times New Roman"/>
          <w:kern w:val="0"/>
          <w:lang w:eastAsia="en-IN"/>
        </w:rPr>
      </w:pPr>
      <w:r>
        <w:rPr>
          <w:rFonts w:ascii="Times New Roman" w:eastAsia="Times New Roman" w:hAnsi="Times New Roman" w:cs="Times New Roman"/>
          <w:b/>
          <w:bCs/>
          <w:kern w:val="0"/>
          <w:lang w:eastAsia="en-IN"/>
        </w:rPr>
        <w:t>2.1</w:t>
      </w:r>
      <w:r w:rsidR="00193B28" w:rsidRPr="001856F1">
        <w:rPr>
          <w:rFonts w:ascii="Times New Roman" w:eastAsia="Times New Roman" w:hAnsi="Times New Roman" w:cs="Times New Roman"/>
          <w:b/>
          <w:bCs/>
          <w:kern w:val="0"/>
          <w:lang w:eastAsia="en-IN"/>
        </w:rPr>
        <w:t xml:space="preserve">Evaluate AI techniques for IoT data analysis: </w:t>
      </w:r>
      <w:r w:rsidR="00193B28" w:rsidRPr="001856F1">
        <w:rPr>
          <w:rFonts w:ascii="Times New Roman" w:eastAsia="Times New Roman" w:hAnsi="Times New Roman" w:cs="Times New Roman"/>
          <w:kern w:val="0"/>
          <w:lang w:eastAsia="en-IN"/>
        </w:rPr>
        <w:t>The literature review aims to assess the different AI techniques used for analyzing IoT data. This includes machine learning algorithms, deep learning models, data analytics approaches, and anomaly detection methods. By examining the literature, the review aims to understand the strengths, limitations, and effectiveness of these techniques in processing and extracting insights from IoT-generated data.</w:t>
      </w:r>
    </w:p>
    <w:p w14:paraId="3E8A5EB1"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5D5F77AD" w14:textId="344F4B81" w:rsidR="00193B28" w:rsidRPr="001856F1" w:rsidRDefault="004831DF" w:rsidP="001856F1">
      <w:pPr>
        <w:spacing w:line="360" w:lineRule="auto"/>
        <w:jc w:val="both"/>
        <w:rPr>
          <w:rFonts w:ascii="Times New Roman" w:eastAsia="Times New Roman" w:hAnsi="Times New Roman" w:cs="Times New Roman"/>
          <w:kern w:val="0"/>
          <w:lang w:eastAsia="en-IN"/>
        </w:rPr>
      </w:pPr>
      <w:r>
        <w:rPr>
          <w:rFonts w:ascii="Times New Roman" w:eastAsia="Times New Roman" w:hAnsi="Times New Roman" w:cs="Times New Roman"/>
          <w:b/>
          <w:bCs/>
          <w:kern w:val="0"/>
          <w:lang w:eastAsia="en-IN"/>
        </w:rPr>
        <w:t xml:space="preserve">2.2 </w:t>
      </w:r>
      <w:r w:rsidR="00193B28" w:rsidRPr="001856F1">
        <w:rPr>
          <w:rFonts w:ascii="Times New Roman" w:eastAsia="Times New Roman" w:hAnsi="Times New Roman" w:cs="Times New Roman"/>
          <w:b/>
          <w:bCs/>
          <w:kern w:val="0"/>
          <w:lang w:eastAsia="en-IN"/>
        </w:rPr>
        <w:t xml:space="preserve">Identify challenges and opportunities: </w:t>
      </w:r>
      <w:r w:rsidR="00193B28" w:rsidRPr="001856F1">
        <w:rPr>
          <w:rFonts w:ascii="Times New Roman" w:eastAsia="Times New Roman" w:hAnsi="Times New Roman" w:cs="Times New Roman"/>
          <w:kern w:val="0"/>
          <w:lang w:eastAsia="en-IN"/>
        </w:rPr>
        <w:t>The review seeks to identify the challenges and bottlenecks in integrating IoT and AI. This includes exploring issues related to data privacy, security vulnerabilities, interoperability, scalability, and resource constraints. Additionally, the review aims to identify the opportunities and potential future directions for research and development in this field.</w:t>
      </w:r>
    </w:p>
    <w:p w14:paraId="327F1DB6"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p>
    <w:p w14:paraId="51A39E3E" w14:textId="71E830B4" w:rsidR="00193B28" w:rsidRPr="001856F1" w:rsidRDefault="004831DF" w:rsidP="001856F1">
      <w:pPr>
        <w:spacing w:line="360" w:lineRule="auto"/>
        <w:jc w:val="both"/>
        <w:rPr>
          <w:rFonts w:ascii="Times New Roman" w:eastAsia="Times New Roman" w:hAnsi="Times New Roman" w:cs="Times New Roman"/>
          <w:kern w:val="0"/>
          <w:lang w:eastAsia="en-IN"/>
        </w:rPr>
      </w:pPr>
      <w:r>
        <w:rPr>
          <w:rFonts w:ascii="Times New Roman" w:eastAsia="Times New Roman" w:hAnsi="Times New Roman" w:cs="Times New Roman"/>
          <w:b/>
          <w:bCs/>
          <w:kern w:val="0"/>
          <w:lang w:eastAsia="en-IN"/>
        </w:rPr>
        <w:t xml:space="preserve">2.3 </w:t>
      </w:r>
      <w:r w:rsidR="00193B28" w:rsidRPr="001856F1">
        <w:rPr>
          <w:rFonts w:ascii="Times New Roman" w:eastAsia="Times New Roman" w:hAnsi="Times New Roman" w:cs="Times New Roman"/>
          <w:b/>
          <w:bCs/>
          <w:kern w:val="0"/>
          <w:lang w:eastAsia="en-IN"/>
        </w:rPr>
        <w:t xml:space="preserve">Provide a comprehensive overview: </w:t>
      </w:r>
      <w:r w:rsidR="00193B28" w:rsidRPr="001856F1">
        <w:rPr>
          <w:rFonts w:ascii="Times New Roman" w:eastAsia="Times New Roman" w:hAnsi="Times New Roman" w:cs="Times New Roman"/>
          <w:kern w:val="0"/>
          <w:lang w:eastAsia="en-IN"/>
        </w:rPr>
        <w:t>The primary objective of the literature review is to provide a comprehensive and systematic summary of the existing research and knowledge on IoT in AI. By synthesizing the findings from various sources, the review aims to offer a holistic view of the advancements, applications, methodologies, and challenges in this field. It strives to be a valuable resource for researchers, practitioners, and decision-makers interested in understanding and furthering the integration of IoT and AI.</w:t>
      </w:r>
    </w:p>
    <w:p w14:paraId="40C686DA" w14:textId="4AAF3902" w:rsidR="00193B28" w:rsidRPr="001856F1" w:rsidRDefault="004831DF" w:rsidP="001856F1">
      <w:pPr>
        <w:spacing w:line="360" w:lineRule="auto"/>
        <w:jc w:val="both"/>
        <w:rPr>
          <w:rFonts w:ascii="Times New Roman" w:eastAsia="Times New Roman" w:hAnsi="Times New Roman" w:cs="Times New Roman"/>
          <w:b/>
          <w:bCs/>
          <w:kern w:val="0"/>
          <w:lang w:eastAsia="en-IN"/>
        </w:rPr>
      </w:pPr>
      <w:r>
        <w:rPr>
          <w:rFonts w:ascii="Times New Roman" w:eastAsia="Times New Roman" w:hAnsi="Times New Roman" w:cs="Times New Roman"/>
          <w:b/>
          <w:bCs/>
          <w:kern w:val="0"/>
          <w:lang w:eastAsia="en-IN"/>
        </w:rPr>
        <w:t xml:space="preserve">2.4 </w:t>
      </w:r>
      <w:r w:rsidR="00193B28" w:rsidRPr="001856F1">
        <w:rPr>
          <w:rFonts w:ascii="Times New Roman" w:eastAsia="Times New Roman" w:hAnsi="Times New Roman" w:cs="Times New Roman"/>
          <w:b/>
          <w:bCs/>
          <w:kern w:val="0"/>
          <w:lang w:eastAsia="en-IN"/>
        </w:rPr>
        <w:t>IoT and AI Integration Frameworks</w:t>
      </w:r>
    </w:p>
    <w:p w14:paraId="104D982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integration of IoT and AI requires a systematic framework to effectively combine and leverage the capabilities of both technologies. Here are some commonly used frameworks for integrating IoT and AI:</w:t>
      </w:r>
    </w:p>
    <w:p w14:paraId="5FF0B683" w14:textId="77777777" w:rsidR="00193B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Edge Computing Framework:</w:t>
      </w:r>
    </w:p>
    <w:p w14:paraId="5D68B904"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IoT Devices: These are the devices located at the network edge, such as sensors, cameras, or actuators, that generate data or require real-time processing.</w:t>
      </w:r>
    </w:p>
    <w:p w14:paraId="158EAD3E"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Edge Node: The edge node is responsible for connecting and managing the IoT devices. It acts as an intermediary between the devices and the edge server. It may also handle initial processing or filtering of the data before transmitting it to the edge server.</w:t>
      </w:r>
    </w:p>
    <w:p w14:paraId="1D98CE63" w14:textId="77777777" w:rsidR="00471801" w:rsidRP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Local Data Storage: This represents the storage available at the edge node for temporarily storing and buffering data. It can be used for caching frequently accessed data or for offline operation when the connection to the edge or cloud server is temporarily lost.</w:t>
      </w:r>
    </w:p>
    <w:p w14:paraId="0A325B8C" w14:textId="77777777" w:rsidR="00471801" w:rsidRDefault="00471801" w:rsidP="00471801">
      <w:pPr>
        <w:spacing w:line="360" w:lineRule="auto"/>
        <w:jc w:val="both"/>
        <w:rPr>
          <w:rFonts w:ascii="Times New Roman" w:eastAsia="Times New Roman" w:hAnsi="Times New Roman" w:cs="Times New Roman"/>
          <w:kern w:val="0"/>
          <w:lang w:eastAsia="en-IN"/>
        </w:rPr>
      </w:pPr>
      <w:r w:rsidRPr="00471801">
        <w:rPr>
          <w:rFonts w:ascii="Times New Roman" w:eastAsia="Times New Roman" w:hAnsi="Times New Roman" w:cs="Times New Roman"/>
          <w:kern w:val="0"/>
          <w:lang w:eastAsia="en-IN"/>
        </w:rPr>
        <w:t>Edge Server: The edge server performs data processing and analytics at the edge of the network. It can handle tasks such as data filtering, aggregation, real-time analytics, and decision-making based on predefined rules or algorithms.</w:t>
      </w:r>
    </w:p>
    <w:p w14:paraId="2E5C1644" w14:textId="4F3AC4CF" w:rsidR="00471801" w:rsidRDefault="00A92057" w:rsidP="00471801">
      <w:pPr>
        <w:spacing w:line="360" w:lineRule="auto"/>
        <w:jc w:val="both"/>
        <w:rPr>
          <w:rFonts w:ascii="Times New Roman" w:eastAsia="Times New Roman" w:hAnsi="Times New Roman" w:cs="Times New Roman"/>
          <w:kern w:val="0"/>
          <w:lang w:eastAsia="en-IN"/>
        </w:rPr>
      </w:pPr>
      <w:r w:rsidRPr="00A92057">
        <w:rPr>
          <w:rFonts w:ascii="Times New Roman" w:eastAsia="Times New Roman" w:hAnsi="Times New Roman" w:cs="Times New Roman"/>
          <w:noProof/>
          <w:kern w:val="0"/>
          <w:lang w:eastAsia="en-IN"/>
        </w:rPr>
        <w:drawing>
          <wp:inline distT="0" distB="0" distL="0" distR="0" wp14:anchorId="1C9D21F4" wp14:editId="540CA9C9">
            <wp:extent cx="5731510" cy="2886075"/>
            <wp:effectExtent l="0" t="0" r="21590" b="0"/>
            <wp:docPr id="700232184" name="Diagram 1">
              <a:extLst xmlns:a="http://schemas.openxmlformats.org/drawingml/2006/main">
                <a:ext uri="{FF2B5EF4-FFF2-40B4-BE49-F238E27FC236}">
                  <a16:creationId xmlns:a16="http://schemas.microsoft.com/office/drawing/2014/main" id="{B81A0D2F-17A6-B3C2-34C7-C8B9EC6CEDB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9BF820A" w14:textId="330F5288" w:rsidR="00A92057" w:rsidRPr="00A92057" w:rsidRDefault="00A92057" w:rsidP="00A92057">
      <w:pPr>
        <w:spacing w:line="360" w:lineRule="auto"/>
        <w:jc w:val="center"/>
        <w:rPr>
          <w:rFonts w:ascii="Times New Roman" w:eastAsia="Times New Roman" w:hAnsi="Times New Roman" w:cs="Times New Roman"/>
          <w:kern w:val="0"/>
          <w:lang w:eastAsia="en-IN"/>
        </w:rPr>
      </w:pPr>
      <w:r w:rsidRPr="00A92057">
        <w:rPr>
          <w:rFonts w:ascii="Times New Roman" w:eastAsia="Times New Roman" w:hAnsi="Times New Roman" w:cs="Times New Roman"/>
          <w:kern w:val="0"/>
          <w:lang w:eastAsia="en-IN"/>
        </w:rPr>
        <w:t>Figure</w:t>
      </w:r>
      <w:r w:rsidR="004831DF">
        <w:rPr>
          <w:rFonts w:ascii="Times New Roman" w:eastAsia="Times New Roman" w:hAnsi="Times New Roman" w:cs="Times New Roman"/>
          <w:kern w:val="0"/>
          <w:lang w:eastAsia="en-IN"/>
        </w:rPr>
        <w:t>2.1</w:t>
      </w:r>
      <w:r w:rsidRPr="00A92057">
        <w:rPr>
          <w:rFonts w:ascii="Times New Roman" w:eastAsia="Times New Roman" w:hAnsi="Times New Roman" w:cs="Times New Roman"/>
          <w:kern w:val="0"/>
          <w:lang w:eastAsia="en-IN"/>
        </w:rPr>
        <w:t xml:space="preserve"> : Edge Computing Framework</w:t>
      </w:r>
    </w:p>
    <w:p w14:paraId="566B10C9" w14:textId="48EECA73" w:rsidR="00471801" w:rsidRPr="001856F1" w:rsidRDefault="00471801" w:rsidP="00471801">
      <w:pPr>
        <w:spacing w:line="360" w:lineRule="auto"/>
        <w:jc w:val="both"/>
        <w:rPr>
          <w:rFonts w:ascii="Times New Roman" w:eastAsia="Times New Roman" w:hAnsi="Times New Roman" w:cs="Times New Roman"/>
          <w:b/>
          <w:bCs/>
          <w:kern w:val="0"/>
          <w:lang w:eastAsia="en-IN"/>
        </w:rPr>
      </w:pPr>
      <w:r w:rsidRPr="00471801">
        <w:rPr>
          <w:rFonts w:ascii="Times New Roman" w:eastAsia="Times New Roman" w:hAnsi="Times New Roman" w:cs="Times New Roman"/>
          <w:kern w:val="0"/>
          <w:lang w:eastAsia="en-IN"/>
        </w:rPr>
        <w:lastRenderedPageBreak/>
        <w:t>Cloud Server: The cloud server represents the centralized data center or cloud infrastructure. It provides additional computational resources, advanced analytics capabilities, and long-term storage for data collected from edge nodes. It can also support tasks that require significant computational power or historical data analysis</w:t>
      </w:r>
      <w:r w:rsidRPr="00471801">
        <w:rPr>
          <w:rFonts w:ascii="Times New Roman" w:eastAsia="Times New Roman" w:hAnsi="Times New Roman" w:cs="Times New Roman"/>
          <w:b/>
          <w:bCs/>
          <w:kern w:val="0"/>
          <w:lang w:eastAsia="en-IN"/>
        </w:rPr>
        <w:t>.</w:t>
      </w:r>
    </w:p>
    <w:p w14:paraId="6766B649" w14:textId="77777777" w:rsidR="00193B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Cloud-Centric Framework:</w:t>
      </w:r>
    </w:p>
    <w:p w14:paraId="6B55A21D" w14:textId="7D20B3F0" w:rsidR="00CE0E39" w:rsidRPr="00CE0E39" w:rsidRDefault="00CE0E39" w:rsidP="001856F1">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kern w:val="0"/>
          <w:lang w:eastAsia="en-IN"/>
        </w:rPr>
        <w:t>In this cloud-centric framework, the user devices interact with the cloud infrastructure to access services and applications. The cloud infrastructure provides a scalable and reliable platform for hosting a wide range of services. The storage services allow users to store and retrieve data efficiently, while the compute services enable the execution of applications and processing tasks.</w:t>
      </w:r>
    </w:p>
    <w:p w14:paraId="7643479B" w14:textId="77777777"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User Devices:</w:t>
      </w:r>
      <w:r w:rsidRPr="00CE0E39">
        <w:rPr>
          <w:rFonts w:ascii="Times New Roman" w:eastAsia="Times New Roman" w:hAnsi="Times New Roman" w:cs="Times New Roman"/>
          <w:kern w:val="0"/>
          <w:lang w:eastAsia="en-IN"/>
        </w:rPr>
        <w:t xml:space="preserve"> These are the devices used by end-users, such as smartphones, tablets, or laptops, to access applications or services provided by the cloud infrastructure.</w:t>
      </w:r>
    </w:p>
    <w:p w14:paraId="142F3367" w14:textId="0E1EEEE3"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kern w:val="0"/>
          <w:lang w:eastAsia="en-IN"/>
        </w:rPr>
        <w:t>Cloud Infrastructure: This represents the collection of servers, networks, and resources that make up the cloud computing environment. It provides the foundation for hosting various services and applications in the cloud</w:t>
      </w:r>
    </w:p>
    <w:p w14:paraId="67F08C9E" w14:textId="77777777" w:rsidR="00CE0E39" w:rsidRDefault="00CE0E39" w:rsidP="001856F1">
      <w:pPr>
        <w:spacing w:line="360" w:lineRule="auto"/>
        <w:jc w:val="both"/>
        <w:rPr>
          <w:rFonts w:ascii="Times New Roman" w:eastAsia="Times New Roman" w:hAnsi="Times New Roman" w:cs="Times New Roman"/>
          <w:b/>
          <w:bCs/>
          <w:kern w:val="0"/>
          <w:lang w:eastAsia="en-IN"/>
        </w:rPr>
      </w:pPr>
      <w:r w:rsidRPr="00CE0E39">
        <w:rPr>
          <w:rFonts w:ascii="Times New Roman" w:eastAsia="Times New Roman" w:hAnsi="Times New Roman" w:cs="Times New Roman"/>
          <w:noProof/>
          <w:kern w:val="0"/>
          <w:lang w:eastAsia="en-IN"/>
        </w:rPr>
        <w:drawing>
          <wp:inline distT="0" distB="0" distL="0" distR="0" wp14:anchorId="30DC73CD" wp14:editId="56CCD556">
            <wp:extent cx="5731510" cy="914400"/>
            <wp:effectExtent l="0" t="0" r="21590" b="19050"/>
            <wp:docPr id="579874357" name="Diagram 1">
              <a:extLst xmlns:a="http://schemas.openxmlformats.org/drawingml/2006/main">
                <a:ext uri="{FF2B5EF4-FFF2-40B4-BE49-F238E27FC236}">
                  <a16:creationId xmlns:a16="http://schemas.microsoft.com/office/drawing/2014/main" id="{7A286708-0243-4637-D1AF-CBA1D6697EA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CE0E39">
        <w:rPr>
          <w:rFonts w:ascii="Times New Roman" w:eastAsia="Times New Roman" w:hAnsi="Times New Roman" w:cs="Times New Roman"/>
          <w:b/>
          <w:bCs/>
          <w:kern w:val="0"/>
          <w:lang w:eastAsia="en-IN"/>
        </w:rPr>
        <w:t xml:space="preserve"> </w:t>
      </w:r>
    </w:p>
    <w:p w14:paraId="776E0B39" w14:textId="466B53EC" w:rsidR="004831DF" w:rsidRDefault="004831DF" w:rsidP="004831DF">
      <w:pPr>
        <w:spacing w:line="360" w:lineRule="auto"/>
        <w:jc w:val="center"/>
        <w:rPr>
          <w:rFonts w:ascii="Times New Roman" w:eastAsia="Times New Roman" w:hAnsi="Times New Roman" w:cs="Times New Roman"/>
          <w:b/>
          <w:bCs/>
          <w:kern w:val="0"/>
          <w:lang w:eastAsia="en-IN"/>
        </w:rPr>
      </w:pPr>
      <w:r>
        <w:rPr>
          <w:rFonts w:ascii="Times New Roman" w:eastAsia="Times New Roman" w:hAnsi="Times New Roman" w:cs="Times New Roman"/>
          <w:b/>
          <w:bCs/>
          <w:kern w:val="0"/>
          <w:lang w:eastAsia="en-IN"/>
        </w:rPr>
        <w:t xml:space="preserve">Figure 2.2Cloud infrastructures </w:t>
      </w:r>
    </w:p>
    <w:p w14:paraId="2F0B7D00" w14:textId="77777777"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Storage Services:</w:t>
      </w:r>
      <w:r w:rsidRPr="00CE0E39">
        <w:rPr>
          <w:rFonts w:ascii="Times New Roman" w:eastAsia="Times New Roman" w:hAnsi="Times New Roman" w:cs="Times New Roman"/>
          <w:kern w:val="0"/>
          <w:lang w:eastAsia="en-IN"/>
        </w:rPr>
        <w:t xml:space="preserve"> This component of the cloud infrastructure provides storage resources and services to store and manage data. It can include object storage, file storage, or database services.</w:t>
      </w:r>
    </w:p>
    <w:p w14:paraId="0E4DC26B" w14:textId="66C73DBE" w:rsidR="00CE0E39" w:rsidRPr="00CE0E39" w:rsidRDefault="00CE0E39" w:rsidP="00CE0E39">
      <w:pPr>
        <w:spacing w:line="360" w:lineRule="auto"/>
        <w:jc w:val="both"/>
        <w:rPr>
          <w:rFonts w:ascii="Times New Roman" w:eastAsia="Times New Roman" w:hAnsi="Times New Roman" w:cs="Times New Roman"/>
          <w:kern w:val="0"/>
          <w:lang w:eastAsia="en-IN"/>
        </w:rPr>
      </w:pPr>
      <w:r w:rsidRPr="00CE0E39">
        <w:rPr>
          <w:rFonts w:ascii="Times New Roman" w:eastAsia="Times New Roman" w:hAnsi="Times New Roman" w:cs="Times New Roman"/>
          <w:b/>
          <w:bCs/>
          <w:kern w:val="0"/>
          <w:lang w:eastAsia="en-IN"/>
        </w:rPr>
        <w:t>Compute Services:</w:t>
      </w:r>
      <w:r w:rsidRPr="00CE0E39">
        <w:rPr>
          <w:rFonts w:ascii="Times New Roman" w:eastAsia="Times New Roman" w:hAnsi="Times New Roman" w:cs="Times New Roman"/>
          <w:kern w:val="0"/>
          <w:lang w:eastAsia="en-IN"/>
        </w:rPr>
        <w:t xml:space="preserve"> This component of the cloud infrastructure provides computational resources to run applications and perform processing tasks. It can include virtual machines, containers, serverless functions, or specialized computing services like AI/ML or big data processing.</w:t>
      </w:r>
    </w:p>
    <w:p w14:paraId="146ADC4F" w14:textId="124F7BD1"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Fog Computing Framework:</w:t>
      </w:r>
    </w:p>
    <w:p w14:paraId="40E5631B" w14:textId="7B0CF7E0"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Fog computing lies between edge computing and cloud computing, providing a middle layer for processing IoT data.In this framework, IoT data is processed and analyzed at the fog layer, which is closer to the network edge compared to the cloud.AI algorithms are deployed on fog nodes or gateways, allowing real-time analytics and decision-making closer to the data sources.</w:t>
      </w:r>
    </w:p>
    <w:p w14:paraId="769247A9" w14:textId="77777777" w:rsid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fog layer provides a balance between low latency and efficient data processing, while also leveraging cloud resources when necessary.</w:t>
      </w:r>
    </w:p>
    <w:p w14:paraId="1E13D6FF" w14:textId="5C02E82F"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Hybrid Framework:</w:t>
      </w:r>
    </w:p>
    <w:p w14:paraId="5643AA4C" w14:textId="64D41082"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This framework combines elements of edge computing, fog computing, and cloud computing to create a hybrid architecture for IoT and AI integration.It leverages the strengths of each approach based on specific requirements, such as latency, scalability, data privacy, and resource availability.</w:t>
      </w:r>
    </w:p>
    <w:p w14:paraId="119CB074" w14:textId="368A3DA5"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AI algorithms can be distributed across multiple layers, with some processing happening at the edge, fog, or cloud depending on the application and data characteristics.Hybrid frameworks allow for a flexible and adaptive system design, taking advantage of local processing capabilities and leveraging cloud resources when needed.</w:t>
      </w:r>
    </w:p>
    <w:p w14:paraId="432A0551" w14:textId="706BA46D"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These frameworks provide a high-level structure for integrating IoT and AI. The choice of framework depends on factors such as latency requirements, data volume, computational resources, data privacy concerns, and the specific application domain. </w:t>
      </w:r>
    </w:p>
    <w:p w14:paraId="3E1AD097"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94D4FA7" w14:textId="77777777" w:rsidR="00193B28" w:rsidRPr="001856F1"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Analysis of architectural designs and data flow models</w:t>
      </w:r>
    </w:p>
    <w:p w14:paraId="07BCE2E6"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When analyzing the architectural designs and data flow models for integrating IoT and AI, several factors need to be considered. Here are key aspects to analyze:</w:t>
      </w:r>
    </w:p>
    <w:p w14:paraId="74594CD2"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p>
    <w:p w14:paraId="20E50821"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Acquisition and Preprocessing:</w:t>
      </w:r>
    </w:p>
    <w:p w14:paraId="7678299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how IoT devices collect data from various sources (sensors, devices, etc.) and preprocess it before further analysis.</w:t>
      </w:r>
    </w:p>
    <w:p w14:paraId="7AE03462"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data acquisition techniques, protocols, and standards used for data collection.</w:t>
      </w:r>
    </w:p>
    <w:p w14:paraId="06468C2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Evaluate the preprocessing steps performed on the collected data, such as data cleaning, filtering, normalization, or feature extraction.</w:t>
      </w:r>
    </w:p>
    <w:p w14:paraId="5B7BE4C6"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Transmission and Communication:</w:t>
      </w:r>
    </w:p>
    <w:p w14:paraId="31AF83D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Investigate how IoT devices transmit data to the AI components for analysis.</w:t>
      </w:r>
    </w:p>
    <w:p w14:paraId="50F68A84" w14:textId="6283D109"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Assess the communication protocols and technologies used for data transmission, such as MQTT, CoAP, or HTTP.Examine the network architecture and infrastructure supporting the data flow between IoT devices, edge/fog nodes, and cloud systems.Consider the reliability, bandwidth, and latency requirements for transmitting IoT data to the AI components.</w:t>
      </w:r>
    </w:p>
    <w:p w14:paraId="57CDA686" w14:textId="75F7224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Data Storage and Management:</w:t>
      </w:r>
    </w:p>
    <w:p w14:paraId="7798CA2D" w14:textId="24EB0018"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how IoT-generated data is stored and managed within the integrated system.Evaluate the storage mechanisms employed, such as databases, data lakes, or distributed file systems.</w:t>
      </w:r>
    </w:p>
    <w:p w14:paraId="46A3B51D" w14:textId="666F6DC3"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Assess the scalability, fault tolerance, and data retrieval mechanisms for efficient data storage and retrieval.Consider the data retention policies, data lifecycle management, and data security measures implemented within the architecture.</w:t>
      </w:r>
    </w:p>
    <w:p w14:paraId="1167E152"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AI Processing and Analytics:</w:t>
      </w:r>
    </w:p>
    <w:p w14:paraId="6376D399"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Examine the integration of AI components within the architecture.</w:t>
      </w:r>
    </w:p>
    <w:p w14:paraId="60A07B9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Identify the specific AI techniques and algorithms employed for data analysis and decision-making.</w:t>
      </w:r>
    </w:p>
    <w:p w14:paraId="670EE765" w14:textId="3CFF9926"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Evaluate the computational resources, such as edge devices, fog nodes, or cloud infrastructure, dedicated to AI processing.Analyze the scalability, performance, and efficiency of the AI algorithms and models utilized.Assess the real-time or batch processing approaches used for AI analysis based on the application requirements.</w:t>
      </w:r>
    </w:p>
    <w:p w14:paraId="41CFF9D0"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Decision-Making and Actuation:</w:t>
      </w:r>
    </w:p>
    <w:p w14:paraId="65F372BB" w14:textId="34A3236B"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Investigate how the analyzed data and insights are utilized for decision-making and actuation.Assess the decision-making models and strategies employed within the system.</w:t>
      </w:r>
    </w:p>
    <w:p w14:paraId="478552C4"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integration of AI-based decision engines or rule-based systems for automating actions or triggering responses.</w:t>
      </w:r>
    </w:p>
    <w:p w14:paraId="60C4FE8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the actuation mechanisms that enable IoT devices to execute commands or trigger actions based on the AI analysis results.</w:t>
      </w:r>
    </w:p>
    <w:p w14:paraId="0066166F"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Security and Privacy Considerations:</w:t>
      </w:r>
    </w:p>
    <w:p w14:paraId="08A612FA" w14:textId="1D4B4D62"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Evaluate the security measures implemented within the architecture to protect IoT data and AI components.Assess the authentication, access control, and encryption mechanisms applied to ensure data integrity and confidentiality.Analyze the privacy considerations, such as anonymization techniques or data anonymization policies, to protect user data.</w:t>
      </w:r>
    </w:p>
    <w:p w14:paraId="6632A60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Examine the security monitoring and anomaly detection mechanisms employed to identify potential threats or attacks.</w:t>
      </w:r>
    </w:p>
    <w:p w14:paraId="401971DA" w14:textId="77777777" w:rsidR="001856F1" w:rsidRPr="001856F1" w:rsidRDefault="001856F1"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b/>
          <w:bCs/>
          <w:kern w:val="0"/>
          <w:lang w:eastAsia="en-IN"/>
        </w:rPr>
        <w:t>Scalability and Resource Management:</w:t>
      </w:r>
    </w:p>
    <w:p w14:paraId="2A069A90"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Analyze the scalability of the architecture to handle increasing numbers of IoT devices, data volumes, and AI processing requirements.</w:t>
      </w:r>
    </w:p>
    <w:p w14:paraId="52770724" w14:textId="6CE45E79"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Evaluate resource management techniques to efficiently allocate computational resources for AI analysis.Assess load balancing mechanisms, resource provisioning, and dynamic scaling capabilities to adapt to changing workloads.</w:t>
      </w:r>
    </w:p>
    <w:p w14:paraId="7E1A143F" w14:textId="100938CD" w:rsid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By analyzing these architectural designs and data flow models, one can gain insights into the system's efficiency, performance, scalability, security, and adherence to application requirements. This analysis helps identify strengths, weaknesses, and potential areas for improvement in the integration of IoT and AI.</w:t>
      </w:r>
    </w:p>
    <w:p w14:paraId="45F567F9" w14:textId="13CA2465" w:rsidR="00193B28" w:rsidRPr="00BB3928" w:rsidRDefault="004831DF" w:rsidP="001856F1">
      <w:pPr>
        <w:spacing w:line="360" w:lineRule="auto"/>
        <w:jc w:val="both"/>
        <w:rPr>
          <w:rFonts w:ascii="Times New Roman" w:eastAsia="Times New Roman" w:hAnsi="Times New Roman" w:cs="Times New Roman"/>
          <w:b/>
          <w:bCs/>
          <w:kern w:val="0"/>
          <w:sz w:val="28"/>
          <w:szCs w:val="28"/>
          <w:lang w:eastAsia="en-IN"/>
        </w:rPr>
      </w:pPr>
      <w:r>
        <w:rPr>
          <w:rFonts w:ascii="Times New Roman" w:eastAsia="Times New Roman" w:hAnsi="Times New Roman" w:cs="Times New Roman"/>
          <w:b/>
          <w:bCs/>
          <w:kern w:val="0"/>
          <w:sz w:val="28"/>
          <w:szCs w:val="28"/>
          <w:lang w:eastAsia="en-IN"/>
        </w:rPr>
        <w:t xml:space="preserve">3. </w:t>
      </w:r>
      <w:r w:rsidR="00193B28" w:rsidRPr="00BB3928">
        <w:rPr>
          <w:rFonts w:ascii="Times New Roman" w:eastAsia="Times New Roman" w:hAnsi="Times New Roman" w:cs="Times New Roman"/>
          <w:b/>
          <w:bCs/>
          <w:kern w:val="0"/>
          <w:sz w:val="28"/>
          <w:szCs w:val="28"/>
          <w:lang w:eastAsia="en-IN"/>
        </w:rPr>
        <w:t>Applications of IoT in AI</w:t>
      </w:r>
    </w:p>
    <w:p w14:paraId="72A29F09"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3.1 </w:t>
      </w:r>
      <w:r w:rsidRPr="00BB3928">
        <w:rPr>
          <w:rFonts w:ascii="Times New Roman" w:eastAsia="Times New Roman" w:hAnsi="Times New Roman" w:cs="Times New Roman"/>
          <w:b/>
          <w:bCs/>
          <w:kern w:val="0"/>
          <w:lang w:eastAsia="en-IN"/>
        </w:rPr>
        <w:t>Healthcare</w:t>
      </w:r>
    </w:p>
    <w:p w14:paraId="63BC057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IoT-enabled healthcare monitoring systems</w:t>
      </w:r>
    </w:p>
    <w:p w14:paraId="3F2AA75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 techniques for disease diagnosis and prognosis</w:t>
      </w:r>
    </w:p>
    <w:p w14:paraId="62624071"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lastRenderedPageBreak/>
        <w:t>- Remote patient monitoring and personalized healthcare</w:t>
      </w:r>
    </w:p>
    <w:p w14:paraId="6E4F23B6"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6D19F633"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3.2 </w:t>
      </w:r>
      <w:r w:rsidRPr="00BB3928">
        <w:rPr>
          <w:rFonts w:ascii="Times New Roman" w:eastAsia="Times New Roman" w:hAnsi="Times New Roman" w:cs="Times New Roman"/>
          <w:b/>
          <w:bCs/>
          <w:kern w:val="0"/>
          <w:lang w:eastAsia="en-IN"/>
        </w:rPr>
        <w:t>Transportation</w:t>
      </w:r>
    </w:p>
    <w:p w14:paraId="1806F0C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Smart transportation systems and traffic management</w:t>
      </w:r>
    </w:p>
    <w:p w14:paraId="5D4EB0B8"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AI-based predictive maintenance for vehicles</w:t>
      </w:r>
    </w:p>
    <w:p w14:paraId="2EDE5AD0"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Autonomous vehicles and intelligent traffic control</w:t>
      </w:r>
    </w:p>
    <w:p w14:paraId="234E9A7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9892E03" w14:textId="77777777" w:rsidR="00193B28" w:rsidRPr="00BB3928" w:rsidRDefault="00193B28" w:rsidP="001856F1">
      <w:pPr>
        <w:spacing w:line="360" w:lineRule="auto"/>
        <w:jc w:val="both"/>
        <w:rPr>
          <w:rFonts w:ascii="Times New Roman" w:eastAsia="Times New Roman" w:hAnsi="Times New Roman" w:cs="Times New Roman"/>
          <w:b/>
          <w:bCs/>
          <w:kern w:val="0"/>
          <w:lang w:eastAsia="en-IN"/>
        </w:rPr>
      </w:pPr>
      <w:r w:rsidRPr="001856F1">
        <w:rPr>
          <w:rFonts w:ascii="Times New Roman" w:eastAsia="Times New Roman" w:hAnsi="Times New Roman" w:cs="Times New Roman"/>
          <w:kern w:val="0"/>
          <w:lang w:eastAsia="en-IN"/>
        </w:rPr>
        <w:t xml:space="preserve">3.3 </w:t>
      </w:r>
      <w:r w:rsidRPr="00BB3928">
        <w:rPr>
          <w:rFonts w:ascii="Times New Roman" w:eastAsia="Times New Roman" w:hAnsi="Times New Roman" w:cs="Times New Roman"/>
          <w:b/>
          <w:bCs/>
          <w:kern w:val="0"/>
          <w:lang w:eastAsia="en-IN"/>
        </w:rPr>
        <w:t>Agriculture</w:t>
      </w:r>
    </w:p>
    <w:p w14:paraId="3EB6EDF3"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Precision farming and smart irrigation systems</w:t>
      </w:r>
    </w:p>
    <w:p w14:paraId="0AD35A59"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AI-driven pest detection and crop management</w:t>
      </w:r>
    </w:p>
    <w:p w14:paraId="693DBE5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 applications for livestock monitoring</w:t>
      </w:r>
    </w:p>
    <w:p w14:paraId="00BC817A"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ABFE5AF"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3.4 </w:t>
      </w:r>
      <w:r w:rsidRPr="00BB3928">
        <w:rPr>
          <w:rFonts w:ascii="Times New Roman" w:eastAsia="Times New Roman" w:hAnsi="Times New Roman" w:cs="Times New Roman"/>
          <w:b/>
          <w:bCs/>
          <w:kern w:val="0"/>
          <w:lang w:eastAsia="en-IN"/>
        </w:rPr>
        <w:t>Smart Cities</w:t>
      </w:r>
    </w:p>
    <w:p w14:paraId="0EDB458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IoT-based infrastructure management</w:t>
      </w:r>
    </w:p>
    <w:p w14:paraId="0D0791B5"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AI algorithms for energy optimization</w:t>
      </w:r>
    </w:p>
    <w:p w14:paraId="766D86AC"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Urban planning and smart grids</w:t>
      </w:r>
    </w:p>
    <w:p w14:paraId="34352CC4" w14:textId="1CC74E0F" w:rsidR="00193B28" w:rsidRPr="001856F1" w:rsidRDefault="004831DF" w:rsidP="001856F1">
      <w:pPr>
        <w:spacing w:line="360" w:lineRule="auto"/>
        <w:jc w:val="both"/>
        <w:rPr>
          <w:rFonts w:ascii="Times New Roman" w:eastAsia="Times New Roman" w:hAnsi="Times New Roman" w:cs="Times New Roman"/>
          <w:b/>
          <w:bCs/>
          <w:kern w:val="0"/>
          <w:lang w:eastAsia="en-IN"/>
        </w:rPr>
      </w:pPr>
      <w:r>
        <w:rPr>
          <w:rFonts w:ascii="Times New Roman" w:eastAsia="Times New Roman" w:hAnsi="Times New Roman" w:cs="Times New Roman"/>
          <w:b/>
          <w:bCs/>
          <w:kern w:val="0"/>
          <w:lang w:eastAsia="en-IN"/>
        </w:rPr>
        <w:t xml:space="preserve">4. </w:t>
      </w:r>
      <w:r w:rsidR="00193B28" w:rsidRPr="001856F1">
        <w:rPr>
          <w:rFonts w:ascii="Times New Roman" w:eastAsia="Times New Roman" w:hAnsi="Times New Roman" w:cs="Times New Roman"/>
          <w:b/>
          <w:bCs/>
          <w:kern w:val="0"/>
          <w:lang w:eastAsia="en-IN"/>
        </w:rPr>
        <w:t>Conclusion</w:t>
      </w:r>
    </w:p>
    <w:p w14:paraId="41E6BD55"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In conclusion, the integration of IoT and AI has emerged as a powerful and transformative approach with significant potential across various domains. This paper provided a comprehensive literature review on the topic, highlighting the key findings and insights.</w:t>
      </w:r>
    </w:p>
    <w:p w14:paraId="57ED243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review explored the state of the art in IoT and AI integration, showcasing the latest advancements, methodologies, and trends in the field. It revealed the extensive applications of IoT in AI, including healthcare, transportation, agriculture, and smart cities. By analyzing a wide range of scholarly articles and publications, the review identified specific use cases, benefits, and challenges associated with these applications.</w:t>
      </w:r>
    </w:p>
    <w:p w14:paraId="1C52AD2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Furthermore, the review delved into the evaluation of AI techniques for IoT data analysis. It examined machine learning algorithms, deep learning models, data analytics approaches, and anomaly detection methods. By analyzing the literature, the review shed light on the strengths, limitations, and effectiveness of these techniques in processing and extracting insights from IoT-generated data.</w:t>
      </w:r>
    </w:p>
    <w:p w14:paraId="39360D1F"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The literature review also identified the challenges and opportunities in integrating IoT and AI, such as data privacy, security vulnerabilities, interoperability, scalability, and resource constraints. It provided valuable insights for researchers, practitioners, and decision-makers interested in understanding and advancing the integration of IoT and AI.</w:t>
      </w:r>
    </w:p>
    <w:p w14:paraId="0B893A93"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r w:rsidRPr="001856F1">
        <w:rPr>
          <w:rFonts w:ascii="Times New Roman" w:eastAsia="Times New Roman" w:hAnsi="Times New Roman" w:cs="Times New Roman"/>
          <w:kern w:val="0"/>
          <w:lang w:eastAsia="en-IN"/>
        </w:rPr>
        <w:t xml:space="preserve">Overall, this literature review serves as a comprehensive and systematic overview of the </w:t>
      </w:r>
      <w:r w:rsidRPr="001856F1">
        <w:rPr>
          <w:rFonts w:ascii="Times New Roman" w:eastAsia="Times New Roman" w:hAnsi="Times New Roman" w:cs="Times New Roman"/>
          <w:kern w:val="0"/>
          <w:lang w:eastAsia="en-IN"/>
        </w:rPr>
        <w:lastRenderedPageBreak/>
        <w:t>existing research and knowledge on IoT in AI. It offers a valuable resource for gaining a deeper understanding of the advancements, applications, methodologies, and challenges in this rapidly evolving field. The insights provided in this review can guide future research and development efforts, contributing to the ongoing progress in the integration of IoT and AI for transformative solutions and innovation.</w:t>
      </w:r>
    </w:p>
    <w:p w14:paraId="2A98D007"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43715FFB"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6F7BE5F0"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7F312C82"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1C856F0A" w14:textId="77777777" w:rsidR="001856F1" w:rsidRPr="001856F1" w:rsidRDefault="001856F1" w:rsidP="001856F1">
      <w:pPr>
        <w:spacing w:line="360" w:lineRule="auto"/>
        <w:jc w:val="both"/>
        <w:rPr>
          <w:rFonts w:ascii="Times New Roman" w:eastAsia="Times New Roman" w:hAnsi="Times New Roman" w:cs="Times New Roman"/>
          <w:kern w:val="0"/>
          <w:lang w:eastAsia="en-IN"/>
        </w:rPr>
      </w:pPr>
    </w:p>
    <w:p w14:paraId="4F3F4DE0" w14:textId="2B1859A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23CDEAB"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043717B9"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5095C044"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BFDC30D" w14:textId="77777777" w:rsidR="00193B28" w:rsidRPr="001856F1" w:rsidRDefault="00193B28" w:rsidP="001856F1">
      <w:pPr>
        <w:spacing w:line="360" w:lineRule="auto"/>
        <w:jc w:val="both"/>
        <w:rPr>
          <w:rFonts w:ascii="Times New Roman" w:eastAsia="Times New Roman" w:hAnsi="Times New Roman" w:cs="Times New Roman"/>
          <w:kern w:val="0"/>
          <w:lang w:eastAsia="en-IN"/>
        </w:rPr>
      </w:pPr>
    </w:p>
    <w:p w14:paraId="1A29B7C1" w14:textId="77777777" w:rsidR="00E15E03" w:rsidRPr="001856F1" w:rsidRDefault="00E15E03" w:rsidP="001856F1">
      <w:pPr>
        <w:spacing w:line="360" w:lineRule="auto"/>
        <w:jc w:val="both"/>
        <w:rPr>
          <w:rFonts w:ascii="Times New Roman" w:hAnsi="Times New Roman" w:cs="Times New Roman"/>
        </w:rPr>
      </w:pPr>
    </w:p>
    <w:sectPr w:rsidR="00E15E03" w:rsidRPr="001856F1" w:rsidSect="001856F1">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WenQuanYi Zen Hei Sharp">
    <w:altName w:val="Times New Roman"/>
    <w:charset w:val="00"/>
    <w:family w:val="roman"/>
    <w:pitch w:val="default"/>
  </w:font>
  <w:font w:name="Lohit Devanagari">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5174F"/>
    <w:multiLevelType w:val="multilevel"/>
    <w:tmpl w:val="B274A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1147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98"/>
    <w:rsid w:val="001856F1"/>
    <w:rsid w:val="00193B28"/>
    <w:rsid w:val="0040520F"/>
    <w:rsid w:val="00471801"/>
    <w:rsid w:val="004831DF"/>
    <w:rsid w:val="0055424D"/>
    <w:rsid w:val="00A92057"/>
    <w:rsid w:val="00BA3598"/>
    <w:rsid w:val="00BB3928"/>
    <w:rsid w:val="00CE0E39"/>
    <w:rsid w:val="00D3100E"/>
    <w:rsid w:val="00E15E03"/>
    <w:rsid w:val="00F8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28636"/>
  <w15:chartTrackingRefBased/>
  <w15:docId w15:val="{80D97A3D-8C7E-459C-A769-D37942E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WenQuanYi Zen Hei Sharp" w:hAnsi="Liberation Serif" w:cs="Lohit Devanagari"/>
        <w:kern w:val="3"/>
        <w:sz w:val="24"/>
        <w:szCs w:val="24"/>
        <w:lang w:val="en-IN"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next w:val="Normal"/>
    <w:link w:val="Heading1Char"/>
    <w:uiPriority w:val="9"/>
    <w:unhideWhenUsed/>
    <w:qFormat/>
    <w:rsid w:val="00F8657B"/>
    <w:pPr>
      <w:keepNext/>
      <w:keepLines/>
      <w:widowControl/>
      <w:autoSpaceDN/>
      <w:spacing w:after="258" w:line="259" w:lineRule="auto"/>
      <w:ind w:left="370" w:hanging="10"/>
      <w:textAlignment w:val="auto"/>
      <w:outlineLvl w:val="0"/>
    </w:pPr>
    <w:rPr>
      <w:rFonts w:ascii="Times New Roman" w:eastAsia="Times New Roman" w:hAnsi="Times New Roman" w:cs="Times New Roman"/>
      <w:color w:val="000000"/>
      <w:kern w:val="0"/>
      <w:sz w:val="22"/>
      <w:szCs w:val="22"/>
      <w:lang w:val="en-US"/>
    </w:rPr>
  </w:style>
  <w:style w:type="paragraph" w:styleId="Heading2">
    <w:name w:val="heading 2"/>
    <w:basedOn w:val="Normal"/>
    <w:next w:val="Normal"/>
    <w:link w:val="Heading2Char"/>
    <w:uiPriority w:val="9"/>
    <w:unhideWhenUsed/>
    <w:qFormat/>
    <w:rsid w:val="00F8657B"/>
    <w:pPr>
      <w:keepNext/>
      <w:keepLines/>
      <w:widowControl/>
      <w:autoSpaceDN/>
      <w:spacing w:before="40" w:line="259" w:lineRule="auto"/>
      <w:textAlignment w:val="auto"/>
      <w:outlineLvl w:val="1"/>
    </w:pPr>
    <w:rPr>
      <w:rFonts w:asciiTheme="majorHAnsi" w:eastAsiaTheme="majorEastAsia" w:hAnsiTheme="majorHAnsi" w:cstheme="majorBidi"/>
      <w:color w:val="2F5496" w:themeColor="accent1" w:themeShade="BF"/>
      <w:kern w:val="0"/>
      <w:sz w:val="26"/>
      <w:szCs w:val="26"/>
    </w:rPr>
  </w:style>
  <w:style w:type="paragraph" w:styleId="Heading3">
    <w:name w:val="heading 3"/>
    <w:basedOn w:val="Normal"/>
    <w:next w:val="Normal"/>
    <w:link w:val="Heading3Char"/>
    <w:uiPriority w:val="9"/>
    <w:semiHidden/>
    <w:unhideWhenUsed/>
    <w:qFormat/>
    <w:rsid w:val="00F8657B"/>
    <w:pPr>
      <w:keepNext/>
      <w:keepLines/>
      <w:widowControl/>
      <w:autoSpaceDN/>
      <w:spacing w:before="40" w:line="259" w:lineRule="auto"/>
      <w:textAlignment w:val="auto"/>
      <w:outlineLvl w:val="2"/>
    </w:pPr>
    <w:rPr>
      <w:rFonts w:asciiTheme="majorHAnsi" w:eastAsiaTheme="majorEastAsia" w:hAnsiTheme="majorHAnsi" w:cstheme="majorBidi"/>
      <w:color w:val="1F3763" w:themeColor="accent1" w:themeShade="7F"/>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57B"/>
    <w:rPr>
      <w:rFonts w:ascii="Times New Roman" w:eastAsia="Times New Roman" w:hAnsi="Times New Roman" w:cs="Times New Roman"/>
      <w:color w:val="000000"/>
      <w:kern w:val="0"/>
      <w:sz w:val="22"/>
      <w:szCs w:val="22"/>
      <w:lang w:val="en-US"/>
    </w:rPr>
  </w:style>
  <w:style w:type="character" w:customStyle="1" w:styleId="Heading2Char">
    <w:name w:val="Heading 2 Char"/>
    <w:basedOn w:val="DefaultParagraphFont"/>
    <w:link w:val="Heading2"/>
    <w:uiPriority w:val="9"/>
    <w:rsid w:val="00F8657B"/>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semiHidden/>
    <w:rsid w:val="00F8657B"/>
    <w:rPr>
      <w:rFonts w:asciiTheme="majorHAnsi" w:eastAsiaTheme="majorEastAsia" w:hAnsiTheme="majorHAnsi" w:cstheme="majorBidi"/>
      <w:color w:val="1F3763" w:themeColor="accent1" w:themeShade="7F"/>
      <w:kern w:val="0"/>
    </w:rPr>
  </w:style>
  <w:style w:type="paragraph" w:styleId="Footer">
    <w:name w:val="footer"/>
    <w:basedOn w:val="Normal"/>
    <w:link w:val="FooterChar"/>
    <w:uiPriority w:val="99"/>
    <w:qFormat/>
    <w:rsid w:val="00F8657B"/>
    <w:pPr>
      <w:tabs>
        <w:tab w:val="center" w:pos="4513"/>
        <w:tab w:val="right" w:pos="9026"/>
      </w:tabs>
      <w:suppressAutoHyphens/>
    </w:pPr>
    <w:rPr>
      <w:rFonts w:cs="Mangal"/>
      <w:szCs w:val="21"/>
    </w:rPr>
  </w:style>
  <w:style w:type="character" w:customStyle="1" w:styleId="FooterChar">
    <w:name w:val="Footer Char"/>
    <w:basedOn w:val="DefaultParagraphFont"/>
    <w:link w:val="Footer"/>
    <w:uiPriority w:val="99"/>
    <w:rsid w:val="00F8657B"/>
    <w:rPr>
      <w:rFonts w:cs="Mangal"/>
      <w:szCs w:val="21"/>
    </w:rPr>
  </w:style>
  <w:style w:type="character" w:styleId="Strong">
    <w:name w:val="Strong"/>
    <w:basedOn w:val="DefaultParagraphFont"/>
    <w:uiPriority w:val="22"/>
    <w:qFormat/>
    <w:rsid w:val="00F8657B"/>
    <w:rPr>
      <w:b/>
      <w:bCs/>
    </w:rPr>
  </w:style>
  <w:style w:type="character" w:styleId="Emphasis">
    <w:name w:val="Emphasis"/>
    <w:basedOn w:val="DefaultParagraphFont"/>
    <w:uiPriority w:val="20"/>
    <w:qFormat/>
    <w:rsid w:val="00F8657B"/>
    <w:rPr>
      <w:i/>
      <w:iCs/>
    </w:rPr>
  </w:style>
  <w:style w:type="paragraph" w:styleId="NoSpacing">
    <w:name w:val="No Spacing"/>
    <w:link w:val="NoSpacingChar"/>
    <w:uiPriority w:val="1"/>
    <w:qFormat/>
    <w:rsid w:val="00F8657B"/>
    <w:pPr>
      <w:suppressAutoHyphens/>
    </w:pPr>
    <w:rPr>
      <w:rFonts w:cs="Mangal"/>
      <w:szCs w:val="21"/>
    </w:rPr>
  </w:style>
  <w:style w:type="character" w:customStyle="1" w:styleId="NoSpacingChar">
    <w:name w:val="No Spacing Char"/>
    <w:basedOn w:val="DefaultParagraphFont"/>
    <w:link w:val="NoSpacing"/>
    <w:uiPriority w:val="1"/>
    <w:rsid w:val="00F8657B"/>
    <w:rPr>
      <w:rFonts w:cs="Mangal"/>
      <w:szCs w:val="21"/>
    </w:rPr>
  </w:style>
  <w:style w:type="paragraph" w:styleId="ListParagraph">
    <w:name w:val="List Paragraph"/>
    <w:basedOn w:val="Normal"/>
    <w:uiPriority w:val="34"/>
    <w:qFormat/>
    <w:rsid w:val="00F8657B"/>
    <w:pPr>
      <w:suppressAutoHyphens/>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374707">
      <w:bodyDiv w:val="1"/>
      <w:marLeft w:val="0"/>
      <w:marRight w:val="0"/>
      <w:marTop w:val="0"/>
      <w:marBottom w:val="0"/>
      <w:divBdr>
        <w:top w:val="none" w:sz="0" w:space="0" w:color="auto"/>
        <w:left w:val="none" w:sz="0" w:space="0" w:color="auto"/>
        <w:bottom w:val="none" w:sz="0" w:space="0" w:color="auto"/>
        <w:right w:val="none" w:sz="0" w:space="0" w:color="auto"/>
      </w:divBdr>
    </w:div>
    <w:div w:id="1496993700">
      <w:bodyDiv w:val="1"/>
      <w:marLeft w:val="0"/>
      <w:marRight w:val="0"/>
      <w:marTop w:val="0"/>
      <w:marBottom w:val="0"/>
      <w:divBdr>
        <w:top w:val="none" w:sz="0" w:space="0" w:color="auto"/>
        <w:left w:val="none" w:sz="0" w:space="0" w:color="auto"/>
        <w:bottom w:val="none" w:sz="0" w:space="0" w:color="auto"/>
        <w:right w:val="none" w:sz="0" w:space="0" w:color="auto"/>
      </w:divBdr>
    </w:div>
    <w:div w:id="1880512141">
      <w:bodyDiv w:val="1"/>
      <w:marLeft w:val="0"/>
      <w:marRight w:val="0"/>
      <w:marTop w:val="0"/>
      <w:marBottom w:val="0"/>
      <w:divBdr>
        <w:top w:val="none" w:sz="0" w:space="0" w:color="auto"/>
        <w:left w:val="none" w:sz="0" w:space="0" w:color="auto"/>
        <w:bottom w:val="none" w:sz="0" w:space="0" w:color="auto"/>
        <w:right w:val="none" w:sz="0" w:space="0" w:color="auto"/>
      </w:divBdr>
      <w:divsChild>
        <w:div w:id="2116165731">
          <w:marLeft w:val="0"/>
          <w:marRight w:val="0"/>
          <w:marTop w:val="0"/>
          <w:marBottom w:val="0"/>
          <w:divBdr>
            <w:top w:val="single" w:sz="2" w:space="0" w:color="D9D9E3"/>
            <w:left w:val="single" w:sz="2" w:space="0" w:color="D9D9E3"/>
            <w:bottom w:val="single" w:sz="2" w:space="0" w:color="D9D9E3"/>
            <w:right w:val="single" w:sz="2" w:space="0" w:color="D9D9E3"/>
          </w:divBdr>
          <w:divsChild>
            <w:div w:id="47605730">
              <w:marLeft w:val="0"/>
              <w:marRight w:val="0"/>
              <w:marTop w:val="0"/>
              <w:marBottom w:val="0"/>
              <w:divBdr>
                <w:top w:val="single" w:sz="2" w:space="0" w:color="D9D9E3"/>
                <w:left w:val="single" w:sz="2" w:space="0" w:color="D9D9E3"/>
                <w:bottom w:val="single" w:sz="2" w:space="0" w:color="D9D9E3"/>
                <w:right w:val="single" w:sz="2" w:space="0" w:color="D9D9E3"/>
              </w:divBdr>
              <w:divsChild>
                <w:div w:id="1701397842">
                  <w:marLeft w:val="0"/>
                  <w:marRight w:val="0"/>
                  <w:marTop w:val="0"/>
                  <w:marBottom w:val="0"/>
                  <w:divBdr>
                    <w:top w:val="single" w:sz="2" w:space="0" w:color="D9D9E3"/>
                    <w:left w:val="single" w:sz="2" w:space="0" w:color="D9D9E3"/>
                    <w:bottom w:val="single" w:sz="2" w:space="0" w:color="D9D9E3"/>
                    <w:right w:val="single" w:sz="2" w:space="0" w:color="D9D9E3"/>
                  </w:divBdr>
                  <w:divsChild>
                    <w:div w:id="279844198">
                      <w:marLeft w:val="0"/>
                      <w:marRight w:val="0"/>
                      <w:marTop w:val="0"/>
                      <w:marBottom w:val="0"/>
                      <w:divBdr>
                        <w:top w:val="single" w:sz="2" w:space="0" w:color="D9D9E3"/>
                        <w:left w:val="single" w:sz="2" w:space="0" w:color="D9D9E3"/>
                        <w:bottom w:val="single" w:sz="2" w:space="0" w:color="D9D9E3"/>
                        <w:right w:val="single" w:sz="2" w:space="0" w:color="D9D9E3"/>
                      </w:divBdr>
                      <w:divsChild>
                        <w:div w:id="897669000">
                          <w:marLeft w:val="0"/>
                          <w:marRight w:val="0"/>
                          <w:marTop w:val="0"/>
                          <w:marBottom w:val="0"/>
                          <w:divBdr>
                            <w:top w:val="single" w:sz="2" w:space="0" w:color="auto"/>
                            <w:left w:val="single" w:sz="2" w:space="0" w:color="auto"/>
                            <w:bottom w:val="single" w:sz="6" w:space="0" w:color="auto"/>
                            <w:right w:val="single" w:sz="2" w:space="0" w:color="auto"/>
                          </w:divBdr>
                          <w:divsChild>
                            <w:div w:id="36514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275653">
                                  <w:marLeft w:val="0"/>
                                  <w:marRight w:val="0"/>
                                  <w:marTop w:val="0"/>
                                  <w:marBottom w:val="0"/>
                                  <w:divBdr>
                                    <w:top w:val="single" w:sz="2" w:space="0" w:color="D9D9E3"/>
                                    <w:left w:val="single" w:sz="2" w:space="0" w:color="D9D9E3"/>
                                    <w:bottom w:val="single" w:sz="2" w:space="0" w:color="D9D9E3"/>
                                    <w:right w:val="single" w:sz="2" w:space="0" w:color="D9D9E3"/>
                                  </w:divBdr>
                                  <w:divsChild>
                                    <w:div w:id="1997107420">
                                      <w:marLeft w:val="0"/>
                                      <w:marRight w:val="0"/>
                                      <w:marTop w:val="0"/>
                                      <w:marBottom w:val="0"/>
                                      <w:divBdr>
                                        <w:top w:val="single" w:sz="2" w:space="0" w:color="D9D9E3"/>
                                        <w:left w:val="single" w:sz="2" w:space="0" w:color="D9D9E3"/>
                                        <w:bottom w:val="single" w:sz="2" w:space="0" w:color="D9D9E3"/>
                                        <w:right w:val="single" w:sz="2" w:space="0" w:color="D9D9E3"/>
                                      </w:divBdr>
                                      <w:divsChild>
                                        <w:div w:id="1166822005">
                                          <w:marLeft w:val="0"/>
                                          <w:marRight w:val="0"/>
                                          <w:marTop w:val="0"/>
                                          <w:marBottom w:val="0"/>
                                          <w:divBdr>
                                            <w:top w:val="single" w:sz="2" w:space="0" w:color="D9D9E3"/>
                                            <w:left w:val="single" w:sz="2" w:space="0" w:color="D9D9E3"/>
                                            <w:bottom w:val="single" w:sz="2" w:space="0" w:color="D9D9E3"/>
                                            <w:right w:val="single" w:sz="2" w:space="0" w:color="D9D9E3"/>
                                          </w:divBdr>
                                          <w:divsChild>
                                            <w:div w:id="109204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1028928">
          <w:marLeft w:val="0"/>
          <w:marRight w:val="0"/>
          <w:marTop w:val="0"/>
          <w:marBottom w:val="0"/>
          <w:divBdr>
            <w:top w:val="none" w:sz="0" w:space="0" w:color="auto"/>
            <w:left w:val="none" w:sz="0" w:space="0" w:color="auto"/>
            <w:bottom w:val="none" w:sz="0" w:space="0" w:color="auto"/>
            <w:right w:val="none" w:sz="0" w:space="0" w:color="auto"/>
          </w:divBdr>
          <w:divsChild>
            <w:div w:id="2139104294">
              <w:marLeft w:val="0"/>
              <w:marRight w:val="0"/>
              <w:marTop w:val="0"/>
              <w:marBottom w:val="0"/>
              <w:divBdr>
                <w:top w:val="single" w:sz="2" w:space="0" w:color="D9D9E3"/>
                <w:left w:val="single" w:sz="2" w:space="0" w:color="D9D9E3"/>
                <w:bottom w:val="single" w:sz="2" w:space="0" w:color="D9D9E3"/>
                <w:right w:val="single" w:sz="2" w:space="0" w:color="D9D9E3"/>
              </w:divBdr>
              <w:divsChild>
                <w:div w:id="58752896">
                  <w:marLeft w:val="0"/>
                  <w:marRight w:val="0"/>
                  <w:marTop w:val="0"/>
                  <w:marBottom w:val="0"/>
                  <w:divBdr>
                    <w:top w:val="single" w:sz="2" w:space="0" w:color="D9D9E3"/>
                    <w:left w:val="single" w:sz="2" w:space="0" w:color="D9D9E3"/>
                    <w:bottom w:val="single" w:sz="2" w:space="0" w:color="D9D9E3"/>
                    <w:right w:val="single" w:sz="2" w:space="0" w:color="D9D9E3"/>
                  </w:divBdr>
                  <w:divsChild>
                    <w:div w:id="1363362177">
                      <w:marLeft w:val="0"/>
                      <w:marRight w:val="0"/>
                      <w:marTop w:val="0"/>
                      <w:marBottom w:val="0"/>
                      <w:divBdr>
                        <w:top w:val="single" w:sz="2" w:space="0" w:color="D9D9E3"/>
                        <w:left w:val="single" w:sz="2" w:space="0" w:color="D9D9E3"/>
                        <w:bottom w:val="single" w:sz="2" w:space="0" w:color="D9D9E3"/>
                        <w:right w:val="single" w:sz="2" w:space="0" w:color="D9D9E3"/>
                      </w:divBdr>
                      <w:divsChild>
                        <w:div w:id="30614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6423832">
      <w:bodyDiv w:val="1"/>
      <w:marLeft w:val="0"/>
      <w:marRight w:val="0"/>
      <w:marTop w:val="0"/>
      <w:marBottom w:val="0"/>
      <w:divBdr>
        <w:top w:val="none" w:sz="0" w:space="0" w:color="auto"/>
        <w:left w:val="none" w:sz="0" w:space="0" w:color="auto"/>
        <w:bottom w:val="none" w:sz="0" w:space="0" w:color="auto"/>
        <w:right w:val="none" w:sz="0" w:space="0" w:color="auto"/>
      </w:divBdr>
      <w:divsChild>
        <w:div w:id="1767312751">
          <w:marLeft w:val="0"/>
          <w:marRight w:val="0"/>
          <w:marTop w:val="0"/>
          <w:marBottom w:val="0"/>
          <w:divBdr>
            <w:top w:val="single" w:sz="2" w:space="0" w:color="D9D9E3"/>
            <w:left w:val="single" w:sz="2" w:space="0" w:color="D9D9E3"/>
            <w:bottom w:val="single" w:sz="2" w:space="0" w:color="D9D9E3"/>
            <w:right w:val="single" w:sz="2" w:space="0" w:color="D9D9E3"/>
          </w:divBdr>
          <w:divsChild>
            <w:div w:id="1707023448">
              <w:marLeft w:val="0"/>
              <w:marRight w:val="0"/>
              <w:marTop w:val="0"/>
              <w:marBottom w:val="0"/>
              <w:divBdr>
                <w:top w:val="single" w:sz="2" w:space="0" w:color="D9D9E3"/>
                <w:left w:val="single" w:sz="2" w:space="0" w:color="D9D9E3"/>
                <w:bottom w:val="single" w:sz="2" w:space="0" w:color="D9D9E3"/>
                <w:right w:val="single" w:sz="2" w:space="0" w:color="D9D9E3"/>
              </w:divBdr>
              <w:divsChild>
                <w:div w:id="1630434795">
                  <w:marLeft w:val="0"/>
                  <w:marRight w:val="0"/>
                  <w:marTop w:val="0"/>
                  <w:marBottom w:val="0"/>
                  <w:divBdr>
                    <w:top w:val="single" w:sz="2" w:space="0" w:color="D9D9E3"/>
                    <w:left w:val="single" w:sz="2" w:space="0" w:color="D9D9E3"/>
                    <w:bottom w:val="single" w:sz="2" w:space="0" w:color="D9D9E3"/>
                    <w:right w:val="single" w:sz="2" w:space="0" w:color="D9D9E3"/>
                  </w:divBdr>
                  <w:divsChild>
                    <w:div w:id="889270324">
                      <w:marLeft w:val="0"/>
                      <w:marRight w:val="0"/>
                      <w:marTop w:val="0"/>
                      <w:marBottom w:val="0"/>
                      <w:divBdr>
                        <w:top w:val="single" w:sz="2" w:space="0" w:color="D9D9E3"/>
                        <w:left w:val="single" w:sz="2" w:space="0" w:color="D9D9E3"/>
                        <w:bottom w:val="single" w:sz="2" w:space="0" w:color="D9D9E3"/>
                        <w:right w:val="single" w:sz="2" w:space="0" w:color="D9D9E3"/>
                      </w:divBdr>
                      <w:divsChild>
                        <w:div w:id="284971192">
                          <w:marLeft w:val="0"/>
                          <w:marRight w:val="0"/>
                          <w:marTop w:val="0"/>
                          <w:marBottom w:val="0"/>
                          <w:divBdr>
                            <w:top w:val="single" w:sz="2" w:space="0" w:color="auto"/>
                            <w:left w:val="single" w:sz="2" w:space="0" w:color="auto"/>
                            <w:bottom w:val="single" w:sz="6" w:space="0" w:color="auto"/>
                            <w:right w:val="single" w:sz="2" w:space="0" w:color="auto"/>
                          </w:divBdr>
                          <w:divsChild>
                            <w:div w:id="19764001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3910">
                                  <w:marLeft w:val="0"/>
                                  <w:marRight w:val="0"/>
                                  <w:marTop w:val="0"/>
                                  <w:marBottom w:val="0"/>
                                  <w:divBdr>
                                    <w:top w:val="single" w:sz="2" w:space="0" w:color="D9D9E3"/>
                                    <w:left w:val="single" w:sz="2" w:space="0" w:color="D9D9E3"/>
                                    <w:bottom w:val="single" w:sz="2" w:space="0" w:color="D9D9E3"/>
                                    <w:right w:val="single" w:sz="2" w:space="0" w:color="D9D9E3"/>
                                  </w:divBdr>
                                  <w:divsChild>
                                    <w:div w:id="362175057">
                                      <w:marLeft w:val="0"/>
                                      <w:marRight w:val="0"/>
                                      <w:marTop w:val="0"/>
                                      <w:marBottom w:val="0"/>
                                      <w:divBdr>
                                        <w:top w:val="single" w:sz="2" w:space="0" w:color="D9D9E3"/>
                                        <w:left w:val="single" w:sz="2" w:space="0" w:color="D9D9E3"/>
                                        <w:bottom w:val="single" w:sz="2" w:space="0" w:color="D9D9E3"/>
                                        <w:right w:val="single" w:sz="2" w:space="0" w:color="D9D9E3"/>
                                      </w:divBdr>
                                      <w:divsChild>
                                        <w:div w:id="712845889">
                                          <w:marLeft w:val="0"/>
                                          <w:marRight w:val="0"/>
                                          <w:marTop w:val="0"/>
                                          <w:marBottom w:val="0"/>
                                          <w:divBdr>
                                            <w:top w:val="single" w:sz="2" w:space="0" w:color="D9D9E3"/>
                                            <w:left w:val="single" w:sz="2" w:space="0" w:color="D9D9E3"/>
                                            <w:bottom w:val="single" w:sz="2" w:space="0" w:color="D9D9E3"/>
                                            <w:right w:val="single" w:sz="2" w:space="0" w:color="D9D9E3"/>
                                          </w:divBdr>
                                          <w:divsChild>
                                            <w:div w:id="210533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0770202">
          <w:marLeft w:val="0"/>
          <w:marRight w:val="0"/>
          <w:marTop w:val="0"/>
          <w:marBottom w:val="0"/>
          <w:divBdr>
            <w:top w:val="none" w:sz="0" w:space="0" w:color="auto"/>
            <w:left w:val="none" w:sz="0" w:space="0" w:color="auto"/>
            <w:bottom w:val="none" w:sz="0" w:space="0" w:color="auto"/>
            <w:right w:val="none" w:sz="0" w:space="0" w:color="auto"/>
          </w:divBdr>
          <w:divsChild>
            <w:div w:id="390233981">
              <w:marLeft w:val="0"/>
              <w:marRight w:val="0"/>
              <w:marTop w:val="0"/>
              <w:marBottom w:val="0"/>
              <w:divBdr>
                <w:top w:val="single" w:sz="2" w:space="0" w:color="D9D9E3"/>
                <w:left w:val="single" w:sz="2" w:space="0" w:color="D9D9E3"/>
                <w:bottom w:val="single" w:sz="2" w:space="0" w:color="D9D9E3"/>
                <w:right w:val="single" w:sz="2" w:space="0" w:color="D9D9E3"/>
              </w:divBdr>
              <w:divsChild>
                <w:div w:id="642932693">
                  <w:marLeft w:val="0"/>
                  <w:marRight w:val="0"/>
                  <w:marTop w:val="0"/>
                  <w:marBottom w:val="0"/>
                  <w:divBdr>
                    <w:top w:val="single" w:sz="2" w:space="0" w:color="D9D9E3"/>
                    <w:left w:val="single" w:sz="2" w:space="0" w:color="D9D9E3"/>
                    <w:bottom w:val="single" w:sz="2" w:space="0" w:color="D9D9E3"/>
                    <w:right w:val="single" w:sz="2" w:space="0" w:color="D9D9E3"/>
                  </w:divBdr>
                  <w:divsChild>
                    <w:div w:id="61877475">
                      <w:marLeft w:val="0"/>
                      <w:marRight w:val="0"/>
                      <w:marTop w:val="0"/>
                      <w:marBottom w:val="0"/>
                      <w:divBdr>
                        <w:top w:val="single" w:sz="2" w:space="0" w:color="D9D9E3"/>
                        <w:left w:val="single" w:sz="2" w:space="0" w:color="D9D9E3"/>
                        <w:bottom w:val="single" w:sz="2" w:space="0" w:color="D9D9E3"/>
                        <w:right w:val="single" w:sz="2" w:space="0" w:color="D9D9E3"/>
                      </w:divBdr>
                      <w:divsChild>
                        <w:div w:id="1744062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699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C8ECAF-C353-40DD-BA25-4DAF8EDE5650}" type="doc">
      <dgm:prSet loTypeId="urn:microsoft.com/office/officeart/2009/3/layout/StepUpProcess" loCatId="process" qsTypeId="urn:microsoft.com/office/officeart/2005/8/quickstyle/simple1" qsCatId="simple" csTypeId="urn:microsoft.com/office/officeart/2005/8/colors/accent1_2" csCatId="accent1"/>
      <dgm:spPr/>
      <dgm:t>
        <a:bodyPr/>
        <a:lstStyle/>
        <a:p>
          <a:endParaRPr lang="en-IN"/>
        </a:p>
      </dgm:t>
    </dgm:pt>
    <dgm:pt modelId="{732B0B50-E6AE-4FDF-8FB1-7350A8C9B327}">
      <dgm:prSet custT="1"/>
      <dgm:spPr/>
      <dgm:t>
        <a:bodyPr/>
        <a:lstStyle/>
        <a:p>
          <a:r>
            <a:rPr lang="en-IN" sz="1800" dirty="0"/>
            <a:t>IOT Device</a:t>
          </a:r>
        </a:p>
      </dgm:t>
    </dgm:pt>
    <dgm:pt modelId="{68CF44E0-99D3-44E2-9ECB-7524833F8996}" type="parTrans" cxnId="{22A4B5AB-DE76-418B-8EBE-DDBF2D45E673}">
      <dgm:prSet/>
      <dgm:spPr/>
      <dgm:t>
        <a:bodyPr/>
        <a:lstStyle/>
        <a:p>
          <a:endParaRPr lang="en-IN"/>
        </a:p>
      </dgm:t>
    </dgm:pt>
    <dgm:pt modelId="{0FA086F3-F2FF-457E-8B56-019632DED773}" type="sibTrans" cxnId="{22A4B5AB-DE76-418B-8EBE-DDBF2D45E673}">
      <dgm:prSet/>
      <dgm:spPr/>
      <dgm:t>
        <a:bodyPr/>
        <a:lstStyle/>
        <a:p>
          <a:endParaRPr lang="en-IN"/>
        </a:p>
      </dgm:t>
    </dgm:pt>
    <dgm:pt modelId="{1DB18015-066F-416A-A21D-556113D26D3B}">
      <dgm:prSet custT="1"/>
      <dgm:spPr/>
      <dgm:t>
        <a:bodyPr/>
        <a:lstStyle/>
        <a:p>
          <a:r>
            <a:rPr lang="en-IN" sz="1800" dirty="0"/>
            <a:t>Edge node</a:t>
          </a:r>
        </a:p>
      </dgm:t>
    </dgm:pt>
    <dgm:pt modelId="{3849E502-6717-48A6-B42E-42E17C12FD65}" type="parTrans" cxnId="{B410A910-B629-4828-A98C-97ACDA93706D}">
      <dgm:prSet/>
      <dgm:spPr/>
      <dgm:t>
        <a:bodyPr/>
        <a:lstStyle/>
        <a:p>
          <a:endParaRPr lang="en-IN"/>
        </a:p>
      </dgm:t>
    </dgm:pt>
    <dgm:pt modelId="{59163260-D767-4B90-9799-549AF3899405}" type="sibTrans" cxnId="{B410A910-B629-4828-A98C-97ACDA93706D}">
      <dgm:prSet/>
      <dgm:spPr/>
      <dgm:t>
        <a:bodyPr/>
        <a:lstStyle/>
        <a:p>
          <a:endParaRPr lang="en-IN"/>
        </a:p>
      </dgm:t>
    </dgm:pt>
    <dgm:pt modelId="{4CB5307A-96D8-4C79-A292-90F3FB286775}">
      <dgm:prSet custT="1"/>
      <dgm:spPr/>
      <dgm:t>
        <a:bodyPr/>
        <a:lstStyle/>
        <a:p>
          <a:r>
            <a:rPr lang="en-IN" sz="1200" dirty="0"/>
            <a:t>Loca1-Data storage</a:t>
          </a:r>
        </a:p>
      </dgm:t>
    </dgm:pt>
    <dgm:pt modelId="{BFB160F9-DDAF-42E1-B3B0-4D295640375B}" type="parTrans" cxnId="{F85491E9-0804-49C4-ABC2-970E981BBFA8}">
      <dgm:prSet/>
      <dgm:spPr/>
      <dgm:t>
        <a:bodyPr/>
        <a:lstStyle/>
        <a:p>
          <a:endParaRPr lang="en-IN"/>
        </a:p>
      </dgm:t>
    </dgm:pt>
    <dgm:pt modelId="{EA2E1A69-3640-4E89-BE45-F93FD4575949}" type="sibTrans" cxnId="{F85491E9-0804-49C4-ABC2-970E981BBFA8}">
      <dgm:prSet/>
      <dgm:spPr/>
      <dgm:t>
        <a:bodyPr/>
        <a:lstStyle/>
        <a:p>
          <a:endParaRPr lang="en-IN"/>
        </a:p>
      </dgm:t>
    </dgm:pt>
    <dgm:pt modelId="{509BCFBC-927F-4182-A156-38C76117A559}">
      <dgm:prSet custT="1"/>
      <dgm:spPr/>
      <dgm:t>
        <a:bodyPr/>
        <a:lstStyle/>
        <a:p>
          <a:r>
            <a:rPr lang="en-IN" sz="1200" dirty="0"/>
            <a:t>Local-2 Data Storage</a:t>
          </a:r>
        </a:p>
      </dgm:t>
    </dgm:pt>
    <dgm:pt modelId="{498C5AC0-FD1F-4917-A0EB-0B97F1FFED60}" type="parTrans" cxnId="{4DDFBF69-2307-4795-91DB-86DFB88BD88E}">
      <dgm:prSet/>
      <dgm:spPr/>
      <dgm:t>
        <a:bodyPr/>
        <a:lstStyle/>
        <a:p>
          <a:endParaRPr lang="en-IN"/>
        </a:p>
      </dgm:t>
    </dgm:pt>
    <dgm:pt modelId="{018D8472-9D8C-4E0C-ADB2-91A793A2712E}" type="sibTrans" cxnId="{4DDFBF69-2307-4795-91DB-86DFB88BD88E}">
      <dgm:prSet/>
      <dgm:spPr/>
      <dgm:t>
        <a:bodyPr/>
        <a:lstStyle/>
        <a:p>
          <a:endParaRPr lang="en-IN"/>
        </a:p>
      </dgm:t>
    </dgm:pt>
    <dgm:pt modelId="{17D09195-F675-4D2C-AB9E-0D04281CA243}">
      <dgm:prSet custT="1"/>
      <dgm:spPr/>
      <dgm:t>
        <a:bodyPr/>
        <a:lstStyle/>
        <a:p>
          <a:r>
            <a:rPr lang="en-IN" sz="1800" dirty="0"/>
            <a:t>Edge server</a:t>
          </a:r>
        </a:p>
      </dgm:t>
    </dgm:pt>
    <dgm:pt modelId="{DD367EDC-F4D9-4C23-9426-0B13BB5EA59B}" type="parTrans" cxnId="{05CCF305-D7A0-4312-97EA-6210C3FB87EF}">
      <dgm:prSet/>
      <dgm:spPr/>
      <dgm:t>
        <a:bodyPr/>
        <a:lstStyle/>
        <a:p>
          <a:endParaRPr lang="en-IN"/>
        </a:p>
      </dgm:t>
    </dgm:pt>
    <dgm:pt modelId="{2BD3D367-9DF7-47DA-A3A1-7F6E8701F90E}" type="sibTrans" cxnId="{05CCF305-D7A0-4312-97EA-6210C3FB87EF}">
      <dgm:prSet/>
      <dgm:spPr/>
      <dgm:t>
        <a:bodyPr/>
        <a:lstStyle/>
        <a:p>
          <a:endParaRPr lang="en-IN"/>
        </a:p>
      </dgm:t>
    </dgm:pt>
    <dgm:pt modelId="{FCD5B28D-AA9F-4440-B068-33CD75C8FDD4}">
      <dgm:prSet custT="1"/>
      <dgm:spPr/>
      <dgm:t>
        <a:bodyPr/>
        <a:lstStyle/>
        <a:p>
          <a:r>
            <a:rPr lang="en-IN" sz="1800"/>
            <a:t>Cloud Server</a:t>
          </a:r>
        </a:p>
      </dgm:t>
    </dgm:pt>
    <dgm:pt modelId="{4A991494-BF3F-4BBE-B0A5-8B7B690A612D}" type="parTrans" cxnId="{07967A07-C572-4776-921E-6306BDEE29F5}">
      <dgm:prSet/>
      <dgm:spPr/>
      <dgm:t>
        <a:bodyPr/>
        <a:lstStyle/>
        <a:p>
          <a:endParaRPr lang="en-IN"/>
        </a:p>
      </dgm:t>
    </dgm:pt>
    <dgm:pt modelId="{0402E553-61D3-4DB9-B473-271BD1BA1463}" type="sibTrans" cxnId="{07967A07-C572-4776-921E-6306BDEE29F5}">
      <dgm:prSet/>
      <dgm:spPr/>
      <dgm:t>
        <a:bodyPr/>
        <a:lstStyle/>
        <a:p>
          <a:endParaRPr lang="en-IN"/>
        </a:p>
      </dgm:t>
    </dgm:pt>
    <dgm:pt modelId="{FC46FAA5-F128-4311-B174-88D2B62C4F1C}" type="pres">
      <dgm:prSet presAssocID="{99C8ECAF-C353-40DD-BA25-4DAF8EDE5650}" presName="rootnode" presStyleCnt="0">
        <dgm:presLayoutVars>
          <dgm:chMax/>
          <dgm:chPref/>
          <dgm:dir/>
          <dgm:animLvl val="lvl"/>
        </dgm:presLayoutVars>
      </dgm:prSet>
      <dgm:spPr/>
    </dgm:pt>
    <dgm:pt modelId="{B54931E5-B43D-45E4-B715-7B1E61BB13E2}" type="pres">
      <dgm:prSet presAssocID="{732B0B50-E6AE-4FDF-8FB1-7350A8C9B327}" presName="composite" presStyleCnt="0"/>
      <dgm:spPr/>
    </dgm:pt>
    <dgm:pt modelId="{9A580823-B9B8-4CAD-8263-FC996B27179A}" type="pres">
      <dgm:prSet presAssocID="{732B0B50-E6AE-4FDF-8FB1-7350A8C9B327}" presName="LShape" presStyleLbl="alignNode1" presStyleIdx="0" presStyleCnt="7"/>
      <dgm:spPr/>
    </dgm:pt>
    <dgm:pt modelId="{C47AF6A9-B108-48E5-945E-444440910B3C}" type="pres">
      <dgm:prSet presAssocID="{732B0B50-E6AE-4FDF-8FB1-7350A8C9B327}" presName="ParentText" presStyleLbl="revTx" presStyleIdx="0" presStyleCnt="4">
        <dgm:presLayoutVars>
          <dgm:chMax val="0"/>
          <dgm:chPref val="0"/>
          <dgm:bulletEnabled val="1"/>
        </dgm:presLayoutVars>
      </dgm:prSet>
      <dgm:spPr/>
    </dgm:pt>
    <dgm:pt modelId="{73C19D08-4A36-40A1-860D-4E3C75F9F8A3}" type="pres">
      <dgm:prSet presAssocID="{732B0B50-E6AE-4FDF-8FB1-7350A8C9B327}" presName="Triangle" presStyleLbl="alignNode1" presStyleIdx="1" presStyleCnt="7"/>
      <dgm:spPr/>
    </dgm:pt>
    <dgm:pt modelId="{C70D89D0-7C92-461E-AD2F-57BC9B1E0246}" type="pres">
      <dgm:prSet presAssocID="{0FA086F3-F2FF-457E-8B56-019632DED773}" presName="sibTrans" presStyleCnt="0"/>
      <dgm:spPr/>
    </dgm:pt>
    <dgm:pt modelId="{29642E6E-2DD5-4523-863B-35C1E8A66D55}" type="pres">
      <dgm:prSet presAssocID="{0FA086F3-F2FF-457E-8B56-019632DED773}" presName="space" presStyleCnt="0"/>
      <dgm:spPr/>
    </dgm:pt>
    <dgm:pt modelId="{B9D53880-EF00-4099-A5A6-1AC8AE0B454A}" type="pres">
      <dgm:prSet presAssocID="{1DB18015-066F-416A-A21D-556113D26D3B}" presName="composite" presStyleCnt="0"/>
      <dgm:spPr/>
    </dgm:pt>
    <dgm:pt modelId="{BF4E3F35-7DB6-4E14-ACDA-411272998AAF}" type="pres">
      <dgm:prSet presAssocID="{1DB18015-066F-416A-A21D-556113D26D3B}" presName="LShape" presStyleLbl="alignNode1" presStyleIdx="2" presStyleCnt="7"/>
      <dgm:spPr/>
    </dgm:pt>
    <dgm:pt modelId="{D12BA5BF-C0C5-420B-BBB0-5E9CBFA090B6}" type="pres">
      <dgm:prSet presAssocID="{1DB18015-066F-416A-A21D-556113D26D3B}" presName="ParentText" presStyleLbl="revTx" presStyleIdx="1" presStyleCnt="4">
        <dgm:presLayoutVars>
          <dgm:chMax val="0"/>
          <dgm:chPref val="0"/>
          <dgm:bulletEnabled val="1"/>
        </dgm:presLayoutVars>
      </dgm:prSet>
      <dgm:spPr/>
    </dgm:pt>
    <dgm:pt modelId="{E08BF571-AE34-4D65-8B3D-8D9B57BB6B26}" type="pres">
      <dgm:prSet presAssocID="{1DB18015-066F-416A-A21D-556113D26D3B}" presName="Triangle" presStyleLbl="alignNode1" presStyleIdx="3" presStyleCnt="7"/>
      <dgm:spPr/>
    </dgm:pt>
    <dgm:pt modelId="{9FA43434-62D7-46DF-831A-7C413EBC4F0E}" type="pres">
      <dgm:prSet presAssocID="{59163260-D767-4B90-9799-549AF3899405}" presName="sibTrans" presStyleCnt="0"/>
      <dgm:spPr/>
    </dgm:pt>
    <dgm:pt modelId="{353D3371-7E2F-4402-961F-65F1D5552768}" type="pres">
      <dgm:prSet presAssocID="{59163260-D767-4B90-9799-549AF3899405}" presName="space" presStyleCnt="0"/>
      <dgm:spPr/>
    </dgm:pt>
    <dgm:pt modelId="{7A2833F5-1902-460C-95E0-FB885ADE6E1E}" type="pres">
      <dgm:prSet presAssocID="{17D09195-F675-4D2C-AB9E-0D04281CA243}" presName="composite" presStyleCnt="0"/>
      <dgm:spPr/>
    </dgm:pt>
    <dgm:pt modelId="{2469190B-2617-40BF-984C-DFF5BB0CC915}" type="pres">
      <dgm:prSet presAssocID="{17D09195-F675-4D2C-AB9E-0D04281CA243}" presName="LShape" presStyleLbl="alignNode1" presStyleIdx="4" presStyleCnt="7"/>
      <dgm:spPr/>
    </dgm:pt>
    <dgm:pt modelId="{8636C21F-5034-4862-BF49-06EB52ADC7F9}" type="pres">
      <dgm:prSet presAssocID="{17D09195-F675-4D2C-AB9E-0D04281CA243}" presName="ParentText" presStyleLbl="revTx" presStyleIdx="2" presStyleCnt="4">
        <dgm:presLayoutVars>
          <dgm:chMax val="0"/>
          <dgm:chPref val="0"/>
          <dgm:bulletEnabled val="1"/>
        </dgm:presLayoutVars>
      </dgm:prSet>
      <dgm:spPr/>
    </dgm:pt>
    <dgm:pt modelId="{C915620F-9C42-48AF-8715-8D1FD0441C8C}" type="pres">
      <dgm:prSet presAssocID="{17D09195-F675-4D2C-AB9E-0D04281CA243}" presName="Triangle" presStyleLbl="alignNode1" presStyleIdx="5" presStyleCnt="7"/>
      <dgm:spPr/>
    </dgm:pt>
    <dgm:pt modelId="{227746E2-EB3F-42E0-8AB8-D54FAF3FA7AB}" type="pres">
      <dgm:prSet presAssocID="{2BD3D367-9DF7-47DA-A3A1-7F6E8701F90E}" presName="sibTrans" presStyleCnt="0"/>
      <dgm:spPr/>
    </dgm:pt>
    <dgm:pt modelId="{A6E40F94-38F9-4741-BF4C-A230AFC4F0B8}" type="pres">
      <dgm:prSet presAssocID="{2BD3D367-9DF7-47DA-A3A1-7F6E8701F90E}" presName="space" presStyleCnt="0"/>
      <dgm:spPr/>
    </dgm:pt>
    <dgm:pt modelId="{CEE34F72-D4DF-4C0A-9E21-889567517348}" type="pres">
      <dgm:prSet presAssocID="{FCD5B28D-AA9F-4440-B068-33CD75C8FDD4}" presName="composite" presStyleCnt="0"/>
      <dgm:spPr/>
    </dgm:pt>
    <dgm:pt modelId="{A73CB5D6-88A5-4443-BBFD-3EBCFF874780}" type="pres">
      <dgm:prSet presAssocID="{FCD5B28D-AA9F-4440-B068-33CD75C8FDD4}" presName="LShape" presStyleLbl="alignNode1" presStyleIdx="6" presStyleCnt="7"/>
      <dgm:spPr/>
    </dgm:pt>
    <dgm:pt modelId="{9D17C470-29FD-42E5-9A59-E2A5C5664DCC}" type="pres">
      <dgm:prSet presAssocID="{FCD5B28D-AA9F-4440-B068-33CD75C8FDD4}" presName="ParentText" presStyleLbl="revTx" presStyleIdx="3" presStyleCnt="4">
        <dgm:presLayoutVars>
          <dgm:chMax val="0"/>
          <dgm:chPref val="0"/>
          <dgm:bulletEnabled val="1"/>
        </dgm:presLayoutVars>
      </dgm:prSet>
      <dgm:spPr/>
    </dgm:pt>
  </dgm:ptLst>
  <dgm:cxnLst>
    <dgm:cxn modelId="{05CCF305-D7A0-4312-97EA-6210C3FB87EF}" srcId="{99C8ECAF-C353-40DD-BA25-4DAF8EDE5650}" destId="{17D09195-F675-4D2C-AB9E-0D04281CA243}" srcOrd="2" destOrd="0" parTransId="{DD367EDC-F4D9-4C23-9426-0B13BB5EA59B}" sibTransId="{2BD3D367-9DF7-47DA-A3A1-7F6E8701F90E}"/>
    <dgm:cxn modelId="{07967A07-C572-4776-921E-6306BDEE29F5}" srcId="{99C8ECAF-C353-40DD-BA25-4DAF8EDE5650}" destId="{FCD5B28D-AA9F-4440-B068-33CD75C8FDD4}" srcOrd="3" destOrd="0" parTransId="{4A991494-BF3F-4BBE-B0A5-8B7B690A612D}" sibTransId="{0402E553-61D3-4DB9-B473-271BD1BA1463}"/>
    <dgm:cxn modelId="{B410A910-B629-4828-A98C-97ACDA93706D}" srcId="{99C8ECAF-C353-40DD-BA25-4DAF8EDE5650}" destId="{1DB18015-066F-416A-A21D-556113D26D3B}" srcOrd="1" destOrd="0" parTransId="{3849E502-6717-48A6-B42E-42E17C12FD65}" sibTransId="{59163260-D767-4B90-9799-549AF3899405}"/>
    <dgm:cxn modelId="{70B61820-2410-4AAA-81E4-CB95870BE19D}" type="presOf" srcId="{17D09195-F675-4D2C-AB9E-0D04281CA243}" destId="{8636C21F-5034-4862-BF49-06EB52ADC7F9}" srcOrd="0" destOrd="0" presId="urn:microsoft.com/office/officeart/2009/3/layout/StepUpProcess"/>
    <dgm:cxn modelId="{319F5827-94C4-4413-9A18-BA6467A21836}" type="presOf" srcId="{4CB5307A-96D8-4C79-A292-90F3FB286775}" destId="{D12BA5BF-C0C5-420B-BBB0-5E9CBFA090B6}" srcOrd="0" destOrd="1" presId="urn:microsoft.com/office/officeart/2009/3/layout/StepUpProcess"/>
    <dgm:cxn modelId="{4559765C-3BDA-4FC2-9B91-3CCAE7120D4F}" type="presOf" srcId="{509BCFBC-927F-4182-A156-38C76117A559}" destId="{D12BA5BF-C0C5-420B-BBB0-5E9CBFA090B6}" srcOrd="0" destOrd="2" presId="urn:microsoft.com/office/officeart/2009/3/layout/StepUpProcess"/>
    <dgm:cxn modelId="{4DDFBF69-2307-4795-91DB-86DFB88BD88E}" srcId="{1DB18015-066F-416A-A21D-556113D26D3B}" destId="{509BCFBC-927F-4182-A156-38C76117A559}" srcOrd="1" destOrd="0" parTransId="{498C5AC0-FD1F-4917-A0EB-0B97F1FFED60}" sibTransId="{018D8472-9D8C-4E0C-ADB2-91A793A2712E}"/>
    <dgm:cxn modelId="{AF7C5280-A538-4C87-9738-BC35C30026BF}" type="presOf" srcId="{1DB18015-066F-416A-A21D-556113D26D3B}" destId="{D12BA5BF-C0C5-420B-BBB0-5E9CBFA090B6}" srcOrd="0" destOrd="0" presId="urn:microsoft.com/office/officeart/2009/3/layout/StepUpProcess"/>
    <dgm:cxn modelId="{A903828A-78C1-4197-AAB8-E79C7E938DD1}" type="presOf" srcId="{99C8ECAF-C353-40DD-BA25-4DAF8EDE5650}" destId="{FC46FAA5-F128-4311-B174-88D2B62C4F1C}" srcOrd="0" destOrd="0" presId="urn:microsoft.com/office/officeart/2009/3/layout/StepUpProcess"/>
    <dgm:cxn modelId="{B44C0E94-7CB1-4D8F-96D4-E63C10536FDA}" type="presOf" srcId="{732B0B50-E6AE-4FDF-8FB1-7350A8C9B327}" destId="{C47AF6A9-B108-48E5-945E-444440910B3C}" srcOrd="0" destOrd="0" presId="urn:microsoft.com/office/officeart/2009/3/layout/StepUpProcess"/>
    <dgm:cxn modelId="{22A4B5AB-DE76-418B-8EBE-DDBF2D45E673}" srcId="{99C8ECAF-C353-40DD-BA25-4DAF8EDE5650}" destId="{732B0B50-E6AE-4FDF-8FB1-7350A8C9B327}" srcOrd="0" destOrd="0" parTransId="{68CF44E0-99D3-44E2-9ECB-7524833F8996}" sibTransId="{0FA086F3-F2FF-457E-8B56-019632DED773}"/>
    <dgm:cxn modelId="{F85491E9-0804-49C4-ABC2-970E981BBFA8}" srcId="{1DB18015-066F-416A-A21D-556113D26D3B}" destId="{4CB5307A-96D8-4C79-A292-90F3FB286775}" srcOrd="0" destOrd="0" parTransId="{BFB160F9-DDAF-42E1-B3B0-4D295640375B}" sibTransId="{EA2E1A69-3640-4E89-BE45-F93FD4575949}"/>
    <dgm:cxn modelId="{A3B56DEB-C981-433B-BF08-A8515B6147BE}" type="presOf" srcId="{FCD5B28D-AA9F-4440-B068-33CD75C8FDD4}" destId="{9D17C470-29FD-42E5-9A59-E2A5C5664DCC}" srcOrd="0" destOrd="0" presId="urn:microsoft.com/office/officeart/2009/3/layout/StepUpProcess"/>
    <dgm:cxn modelId="{77AEF237-5A0C-4988-80A4-90D2B289C91A}" type="presParOf" srcId="{FC46FAA5-F128-4311-B174-88D2B62C4F1C}" destId="{B54931E5-B43D-45E4-B715-7B1E61BB13E2}" srcOrd="0" destOrd="0" presId="urn:microsoft.com/office/officeart/2009/3/layout/StepUpProcess"/>
    <dgm:cxn modelId="{6A6DAC38-6A61-4FBC-B045-F49E81516179}" type="presParOf" srcId="{B54931E5-B43D-45E4-B715-7B1E61BB13E2}" destId="{9A580823-B9B8-4CAD-8263-FC996B27179A}" srcOrd="0" destOrd="0" presId="urn:microsoft.com/office/officeart/2009/3/layout/StepUpProcess"/>
    <dgm:cxn modelId="{FA69BEB8-AD86-4D49-A975-552518E710B2}" type="presParOf" srcId="{B54931E5-B43D-45E4-B715-7B1E61BB13E2}" destId="{C47AF6A9-B108-48E5-945E-444440910B3C}" srcOrd="1" destOrd="0" presId="urn:microsoft.com/office/officeart/2009/3/layout/StepUpProcess"/>
    <dgm:cxn modelId="{2FBFADF0-0730-45D5-A4AA-9729E9AF224D}" type="presParOf" srcId="{B54931E5-B43D-45E4-B715-7B1E61BB13E2}" destId="{73C19D08-4A36-40A1-860D-4E3C75F9F8A3}" srcOrd="2" destOrd="0" presId="urn:microsoft.com/office/officeart/2009/3/layout/StepUpProcess"/>
    <dgm:cxn modelId="{A487AF3A-55F2-4385-AF6D-F0A287B2F064}" type="presParOf" srcId="{FC46FAA5-F128-4311-B174-88D2B62C4F1C}" destId="{C70D89D0-7C92-461E-AD2F-57BC9B1E0246}" srcOrd="1" destOrd="0" presId="urn:microsoft.com/office/officeart/2009/3/layout/StepUpProcess"/>
    <dgm:cxn modelId="{4C4E970D-E8D4-4E4C-9B56-3AB44587E627}" type="presParOf" srcId="{C70D89D0-7C92-461E-AD2F-57BC9B1E0246}" destId="{29642E6E-2DD5-4523-863B-35C1E8A66D55}" srcOrd="0" destOrd="0" presId="urn:microsoft.com/office/officeart/2009/3/layout/StepUpProcess"/>
    <dgm:cxn modelId="{5297000C-C937-4ED3-958C-8C0C6424FA79}" type="presParOf" srcId="{FC46FAA5-F128-4311-B174-88D2B62C4F1C}" destId="{B9D53880-EF00-4099-A5A6-1AC8AE0B454A}" srcOrd="2" destOrd="0" presId="urn:microsoft.com/office/officeart/2009/3/layout/StepUpProcess"/>
    <dgm:cxn modelId="{1BCF318C-83AA-4E21-B7D8-00CE8E01AFE4}" type="presParOf" srcId="{B9D53880-EF00-4099-A5A6-1AC8AE0B454A}" destId="{BF4E3F35-7DB6-4E14-ACDA-411272998AAF}" srcOrd="0" destOrd="0" presId="urn:microsoft.com/office/officeart/2009/3/layout/StepUpProcess"/>
    <dgm:cxn modelId="{ABBC8868-8E2F-49E6-9102-FF2BC64BF4FC}" type="presParOf" srcId="{B9D53880-EF00-4099-A5A6-1AC8AE0B454A}" destId="{D12BA5BF-C0C5-420B-BBB0-5E9CBFA090B6}" srcOrd="1" destOrd="0" presId="urn:microsoft.com/office/officeart/2009/3/layout/StepUpProcess"/>
    <dgm:cxn modelId="{1D7483D8-88E3-4C35-B187-B7830DD8ABD4}" type="presParOf" srcId="{B9D53880-EF00-4099-A5A6-1AC8AE0B454A}" destId="{E08BF571-AE34-4D65-8B3D-8D9B57BB6B26}" srcOrd="2" destOrd="0" presId="urn:microsoft.com/office/officeart/2009/3/layout/StepUpProcess"/>
    <dgm:cxn modelId="{45EE912A-C77B-4D52-8BC1-109F54C54133}" type="presParOf" srcId="{FC46FAA5-F128-4311-B174-88D2B62C4F1C}" destId="{9FA43434-62D7-46DF-831A-7C413EBC4F0E}" srcOrd="3" destOrd="0" presId="urn:microsoft.com/office/officeart/2009/3/layout/StepUpProcess"/>
    <dgm:cxn modelId="{4FE34F8E-9C7F-47F6-B74D-338481EE8326}" type="presParOf" srcId="{9FA43434-62D7-46DF-831A-7C413EBC4F0E}" destId="{353D3371-7E2F-4402-961F-65F1D5552768}" srcOrd="0" destOrd="0" presId="urn:microsoft.com/office/officeart/2009/3/layout/StepUpProcess"/>
    <dgm:cxn modelId="{40B4DE03-FFAA-4039-82B7-5645BBB54A4A}" type="presParOf" srcId="{FC46FAA5-F128-4311-B174-88D2B62C4F1C}" destId="{7A2833F5-1902-460C-95E0-FB885ADE6E1E}" srcOrd="4" destOrd="0" presId="urn:microsoft.com/office/officeart/2009/3/layout/StepUpProcess"/>
    <dgm:cxn modelId="{4917734D-60AB-4EAC-877E-241212264FA3}" type="presParOf" srcId="{7A2833F5-1902-460C-95E0-FB885ADE6E1E}" destId="{2469190B-2617-40BF-984C-DFF5BB0CC915}" srcOrd="0" destOrd="0" presId="urn:microsoft.com/office/officeart/2009/3/layout/StepUpProcess"/>
    <dgm:cxn modelId="{7EEEE5A6-591D-47F8-83B8-74E807EF4589}" type="presParOf" srcId="{7A2833F5-1902-460C-95E0-FB885ADE6E1E}" destId="{8636C21F-5034-4862-BF49-06EB52ADC7F9}" srcOrd="1" destOrd="0" presId="urn:microsoft.com/office/officeart/2009/3/layout/StepUpProcess"/>
    <dgm:cxn modelId="{88702C70-0F5D-42BE-B56B-F757033930B8}" type="presParOf" srcId="{7A2833F5-1902-460C-95E0-FB885ADE6E1E}" destId="{C915620F-9C42-48AF-8715-8D1FD0441C8C}" srcOrd="2" destOrd="0" presId="urn:microsoft.com/office/officeart/2009/3/layout/StepUpProcess"/>
    <dgm:cxn modelId="{CAA120E0-8D4A-4DCB-B39B-2AD229E76A40}" type="presParOf" srcId="{FC46FAA5-F128-4311-B174-88D2B62C4F1C}" destId="{227746E2-EB3F-42E0-8AB8-D54FAF3FA7AB}" srcOrd="5" destOrd="0" presId="urn:microsoft.com/office/officeart/2009/3/layout/StepUpProcess"/>
    <dgm:cxn modelId="{26B65E95-7025-4712-83D0-790BF8CB1E8D}" type="presParOf" srcId="{227746E2-EB3F-42E0-8AB8-D54FAF3FA7AB}" destId="{A6E40F94-38F9-4741-BF4C-A230AFC4F0B8}" srcOrd="0" destOrd="0" presId="urn:microsoft.com/office/officeart/2009/3/layout/StepUpProcess"/>
    <dgm:cxn modelId="{5F5CD94B-0D1F-4E1B-9075-D5047E4E6EB3}" type="presParOf" srcId="{FC46FAA5-F128-4311-B174-88D2B62C4F1C}" destId="{CEE34F72-D4DF-4C0A-9E21-889567517348}" srcOrd="6" destOrd="0" presId="urn:microsoft.com/office/officeart/2009/3/layout/StepUpProcess"/>
    <dgm:cxn modelId="{35484722-CBA3-4B5A-87F7-8AC163A9E036}" type="presParOf" srcId="{CEE34F72-D4DF-4C0A-9E21-889567517348}" destId="{A73CB5D6-88A5-4443-BBFD-3EBCFF874780}" srcOrd="0" destOrd="0" presId="urn:microsoft.com/office/officeart/2009/3/layout/StepUpProcess"/>
    <dgm:cxn modelId="{9669636F-1078-418E-86FE-BDFC1DDA7D7F}" type="presParOf" srcId="{CEE34F72-D4DF-4C0A-9E21-889567517348}" destId="{9D17C470-29FD-42E5-9A59-E2A5C5664DCC}" srcOrd="1" destOrd="0" presId="urn:microsoft.com/office/officeart/2009/3/layout/StepUp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09722A-00C3-42E3-A8C9-9CC324D14F84}" type="doc">
      <dgm:prSet loTypeId="urn:microsoft.com/office/officeart/2005/8/layout/process1" loCatId="process" qsTypeId="urn:microsoft.com/office/officeart/2005/8/quickstyle/simple1" qsCatId="simple" csTypeId="urn:microsoft.com/office/officeart/2005/8/colors/accent1_2" csCatId="accent1"/>
      <dgm:spPr/>
      <dgm:t>
        <a:bodyPr/>
        <a:lstStyle/>
        <a:p>
          <a:endParaRPr lang="en-IN"/>
        </a:p>
      </dgm:t>
    </dgm:pt>
    <dgm:pt modelId="{CFC854C5-116A-4B61-A03C-52ABABB6B12C}">
      <dgm:prSet/>
      <dgm:spPr/>
      <dgm:t>
        <a:bodyPr/>
        <a:lstStyle/>
        <a:p>
          <a:r>
            <a:rPr lang="en-IN"/>
            <a:t>User Devices</a:t>
          </a:r>
        </a:p>
      </dgm:t>
    </dgm:pt>
    <dgm:pt modelId="{DC6A6576-82B8-46D8-AAA0-D4789AADBA36}" type="parTrans" cxnId="{DADB72B8-A122-4BFD-AAAD-5AFB9846D9D8}">
      <dgm:prSet/>
      <dgm:spPr/>
      <dgm:t>
        <a:bodyPr/>
        <a:lstStyle/>
        <a:p>
          <a:endParaRPr lang="en-IN"/>
        </a:p>
      </dgm:t>
    </dgm:pt>
    <dgm:pt modelId="{1A0C89D7-3AFB-49DB-A375-89FAEE4E40B3}" type="sibTrans" cxnId="{DADB72B8-A122-4BFD-AAAD-5AFB9846D9D8}">
      <dgm:prSet/>
      <dgm:spPr/>
      <dgm:t>
        <a:bodyPr/>
        <a:lstStyle/>
        <a:p>
          <a:endParaRPr lang="en-IN"/>
        </a:p>
      </dgm:t>
    </dgm:pt>
    <dgm:pt modelId="{9497086F-0459-45C0-A15B-EB477FE3DBE4}">
      <dgm:prSet/>
      <dgm:spPr/>
      <dgm:t>
        <a:bodyPr/>
        <a:lstStyle/>
        <a:p>
          <a:r>
            <a:rPr lang="en-IN"/>
            <a:t>Cloud infrastructure</a:t>
          </a:r>
        </a:p>
      </dgm:t>
    </dgm:pt>
    <dgm:pt modelId="{338BDA1B-F0DB-4E3D-94CF-89AA53C44CCA}" type="parTrans" cxnId="{5A6A9BE1-4520-4D8C-92FD-2601ECCC39BB}">
      <dgm:prSet/>
      <dgm:spPr/>
      <dgm:t>
        <a:bodyPr/>
        <a:lstStyle/>
        <a:p>
          <a:endParaRPr lang="en-IN"/>
        </a:p>
      </dgm:t>
    </dgm:pt>
    <dgm:pt modelId="{0A3199FD-3BEE-4B10-B7DF-546085D702D9}" type="sibTrans" cxnId="{5A6A9BE1-4520-4D8C-92FD-2601ECCC39BB}">
      <dgm:prSet/>
      <dgm:spPr/>
      <dgm:t>
        <a:bodyPr/>
        <a:lstStyle/>
        <a:p>
          <a:endParaRPr lang="en-IN"/>
        </a:p>
      </dgm:t>
    </dgm:pt>
    <dgm:pt modelId="{06E16136-C8AB-41B4-80ED-A83BA0E5A096}">
      <dgm:prSet/>
      <dgm:spPr/>
      <dgm:t>
        <a:bodyPr/>
        <a:lstStyle/>
        <a:p>
          <a:r>
            <a:rPr lang="en-IN" b="0" i="0"/>
            <a:t>Storage Services </a:t>
          </a:r>
          <a:endParaRPr lang="en-IN"/>
        </a:p>
      </dgm:t>
    </dgm:pt>
    <dgm:pt modelId="{AC656CDE-0D4D-4A75-BF34-6BEFCE78D9F4}" type="parTrans" cxnId="{29EE5FAA-2D5D-4932-B222-4DABFFD6C09C}">
      <dgm:prSet/>
      <dgm:spPr/>
      <dgm:t>
        <a:bodyPr/>
        <a:lstStyle/>
        <a:p>
          <a:endParaRPr lang="en-IN"/>
        </a:p>
      </dgm:t>
    </dgm:pt>
    <dgm:pt modelId="{CB63BD59-00D5-4AFF-B2E5-5DDBE46ED79F}" type="sibTrans" cxnId="{29EE5FAA-2D5D-4932-B222-4DABFFD6C09C}">
      <dgm:prSet/>
      <dgm:spPr/>
      <dgm:t>
        <a:bodyPr/>
        <a:lstStyle/>
        <a:p>
          <a:endParaRPr lang="en-IN"/>
        </a:p>
      </dgm:t>
    </dgm:pt>
    <dgm:pt modelId="{BDE16DC5-F56D-4564-9447-FC5BC76350CF}">
      <dgm:prSet/>
      <dgm:spPr/>
      <dgm:t>
        <a:bodyPr/>
        <a:lstStyle/>
        <a:p>
          <a:r>
            <a:rPr lang="en-IN" b="0" i="0"/>
            <a:t>Compute</a:t>
          </a:r>
          <a:r>
            <a:rPr lang="en-IN"/>
            <a:t> </a:t>
          </a:r>
          <a:r>
            <a:rPr lang="en-IN" b="0" i="0"/>
            <a:t>Services</a:t>
          </a:r>
          <a:endParaRPr lang="en-IN"/>
        </a:p>
      </dgm:t>
    </dgm:pt>
    <dgm:pt modelId="{414C6FEB-C704-4F7F-A723-D589405F15A2}" type="parTrans" cxnId="{11982745-4B15-484A-8B89-5199C8EB9381}">
      <dgm:prSet/>
      <dgm:spPr/>
      <dgm:t>
        <a:bodyPr/>
        <a:lstStyle/>
        <a:p>
          <a:endParaRPr lang="en-IN"/>
        </a:p>
      </dgm:t>
    </dgm:pt>
    <dgm:pt modelId="{FBB56E5D-95E9-4C2C-B3BF-F88F175D9378}" type="sibTrans" cxnId="{11982745-4B15-484A-8B89-5199C8EB9381}">
      <dgm:prSet/>
      <dgm:spPr/>
      <dgm:t>
        <a:bodyPr/>
        <a:lstStyle/>
        <a:p>
          <a:endParaRPr lang="en-IN"/>
        </a:p>
      </dgm:t>
    </dgm:pt>
    <dgm:pt modelId="{0342AAAF-D07A-422C-8A97-615A905CA198}" type="pres">
      <dgm:prSet presAssocID="{D609722A-00C3-42E3-A8C9-9CC324D14F84}" presName="Name0" presStyleCnt="0">
        <dgm:presLayoutVars>
          <dgm:dir/>
          <dgm:resizeHandles val="exact"/>
        </dgm:presLayoutVars>
      </dgm:prSet>
      <dgm:spPr/>
    </dgm:pt>
    <dgm:pt modelId="{185E9ECD-BA17-4AB6-966B-CC4AEAEE750F}" type="pres">
      <dgm:prSet presAssocID="{CFC854C5-116A-4B61-A03C-52ABABB6B12C}" presName="node" presStyleLbl="node1" presStyleIdx="0" presStyleCnt="2">
        <dgm:presLayoutVars>
          <dgm:bulletEnabled val="1"/>
        </dgm:presLayoutVars>
      </dgm:prSet>
      <dgm:spPr/>
    </dgm:pt>
    <dgm:pt modelId="{13B8F095-CEBF-451E-8C49-4A9A9DB46603}" type="pres">
      <dgm:prSet presAssocID="{1A0C89D7-3AFB-49DB-A375-89FAEE4E40B3}" presName="sibTrans" presStyleLbl="sibTrans2D1" presStyleIdx="0" presStyleCnt="1"/>
      <dgm:spPr/>
    </dgm:pt>
    <dgm:pt modelId="{F2DD2C0F-B3F8-4385-BFCB-38210AD25669}" type="pres">
      <dgm:prSet presAssocID="{1A0C89D7-3AFB-49DB-A375-89FAEE4E40B3}" presName="connectorText" presStyleLbl="sibTrans2D1" presStyleIdx="0" presStyleCnt="1"/>
      <dgm:spPr/>
    </dgm:pt>
    <dgm:pt modelId="{CDAE799E-6F9E-4B04-A7CE-43DAEA6F219C}" type="pres">
      <dgm:prSet presAssocID="{9497086F-0459-45C0-A15B-EB477FE3DBE4}" presName="node" presStyleLbl="node1" presStyleIdx="1" presStyleCnt="2">
        <dgm:presLayoutVars>
          <dgm:bulletEnabled val="1"/>
        </dgm:presLayoutVars>
      </dgm:prSet>
      <dgm:spPr/>
    </dgm:pt>
  </dgm:ptLst>
  <dgm:cxnLst>
    <dgm:cxn modelId="{474B6A3F-15A8-4B66-8A58-8C2A56B2CF76}" type="presOf" srcId="{1A0C89D7-3AFB-49DB-A375-89FAEE4E40B3}" destId="{F2DD2C0F-B3F8-4385-BFCB-38210AD25669}" srcOrd="1" destOrd="0" presId="urn:microsoft.com/office/officeart/2005/8/layout/process1"/>
    <dgm:cxn modelId="{59DB903F-2F48-4386-A16D-FE74C064E096}" type="presOf" srcId="{BDE16DC5-F56D-4564-9447-FC5BC76350CF}" destId="{CDAE799E-6F9E-4B04-A7CE-43DAEA6F219C}" srcOrd="0" destOrd="2" presId="urn:microsoft.com/office/officeart/2005/8/layout/process1"/>
    <dgm:cxn modelId="{EC7EFC5C-4C77-4D6E-84DE-ED51520AB3F7}" type="presOf" srcId="{9497086F-0459-45C0-A15B-EB477FE3DBE4}" destId="{CDAE799E-6F9E-4B04-A7CE-43DAEA6F219C}" srcOrd="0" destOrd="0" presId="urn:microsoft.com/office/officeart/2005/8/layout/process1"/>
    <dgm:cxn modelId="{AFA44744-5F10-4E30-A74B-547DDC97AEB9}" type="presOf" srcId="{D609722A-00C3-42E3-A8C9-9CC324D14F84}" destId="{0342AAAF-D07A-422C-8A97-615A905CA198}" srcOrd="0" destOrd="0" presId="urn:microsoft.com/office/officeart/2005/8/layout/process1"/>
    <dgm:cxn modelId="{11982745-4B15-484A-8B89-5199C8EB9381}" srcId="{9497086F-0459-45C0-A15B-EB477FE3DBE4}" destId="{BDE16DC5-F56D-4564-9447-FC5BC76350CF}" srcOrd="1" destOrd="0" parTransId="{414C6FEB-C704-4F7F-A723-D589405F15A2}" sibTransId="{FBB56E5D-95E9-4C2C-B3BF-F88F175D9378}"/>
    <dgm:cxn modelId="{8E9B2E8A-A55D-4215-937D-D999617C6541}" type="presOf" srcId="{06E16136-C8AB-41B4-80ED-A83BA0E5A096}" destId="{CDAE799E-6F9E-4B04-A7CE-43DAEA6F219C}" srcOrd="0" destOrd="1" presId="urn:microsoft.com/office/officeart/2005/8/layout/process1"/>
    <dgm:cxn modelId="{D9323290-E2C1-45B0-A72B-4F2EFF6095C5}" type="presOf" srcId="{1A0C89D7-3AFB-49DB-A375-89FAEE4E40B3}" destId="{13B8F095-CEBF-451E-8C49-4A9A9DB46603}" srcOrd="0" destOrd="0" presId="urn:microsoft.com/office/officeart/2005/8/layout/process1"/>
    <dgm:cxn modelId="{29EE5FAA-2D5D-4932-B222-4DABFFD6C09C}" srcId="{9497086F-0459-45C0-A15B-EB477FE3DBE4}" destId="{06E16136-C8AB-41B4-80ED-A83BA0E5A096}" srcOrd="0" destOrd="0" parTransId="{AC656CDE-0D4D-4A75-BF34-6BEFCE78D9F4}" sibTransId="{CB63BD59-00D5-4AFF-B2E5-5DDBE46ED79F}"/>
    <dgm:cxn modelId="{DADB72B8-A122-4BFD-AAAD-5AFB9846D9D8}" srcId="{D609722A-00C3-42E3-A8C9-9CC324D14F84}" destId="{CFC854C5-116A-4B61-A03C-52ABABB6B12C}" srcOrd="0" destOrd="0" parTransId="{DC6A6576-82B8-46D8-AAA0-D4789AADBA36}" sibTransId="{1A0C89D7-3AFB-49DB-A375-89FAEE4E40B3}"/>
    <dgm:cxn modelId="{8091FBC4-F71E-4152-B0E9-D62536F588E9}" type="presOf" srcId="{CFC854C5-116A-4B61-A03C-52ABABB6B12C}" destId="{185E9ECD-BA17-4AB6-966B-CC4AEAEE750F}" srcOrd="0" destOrd="0" presId="urn:microsoft.com/office/officeart/2005/8/layout/process1"/>
    <dgm:cxn modelId="{5A6A9BE1-4520-4D8C-92FD-2601ECCC39BB}" srcId="{D609722A-00C3-42E3-A8C9-9CC324D14F84}" destId="{9497086F-0459-45C0-A15B-EB477FE3DBE4}" srcOrd="1" destOrd="0" parTransId="{338BDA1B-F0DB-4E3D-94CF-89AA53C44CCA}" sibTransId="{0A3199FD-3BEE-4B10-B7DF-546085D702D9}"/>
    <dgm:cxn modelId="{5F149267-083E-4681-9A2E-F3372FC8712E}" type="presParOf" srcId="{0342AAAF-D07A-422C-8A97-615A905CA198}" destId="{185E9ECD-BA17-4AB6-966B-CC4AEAEE750F}" srcOrd="0" destOrd="0" presId="urn:microsoft.com/office/officeart/2005/8/layout/process1"/>
    <dgm:cxn modelId="{EA5F9B79-7D59-467A-B5B4-6950C859B354}" type="presParOf" srcId="{0342AAAF-D07A-422C-8A97-615A905CA198}" destId="{13B8F095-CEBF-451E-8C49-4A9A9DB46603}" srcOrd="1" destOrd="0" presId="urn:microsoft.com/office/officeart/2005/8/layout/process1"/>
    <dgm:cxn modelId="{353D9D50-B376-4084-A423-D24BC9B2ADDC}" type="presParOf" srcId="{13B8F095-CEBF-451E-8C49-4A9A9DB46603}" destId="{F2DD2C0F-B3F8-4385-BFCB-38210AD25669}" srcOrd="0" destOrd="0" presId="urn:microsoft.com/office/officeart/2005/8/layout/process1"/>
    <dgm:cxn modelId="{A87AF01D-43AB-44A6-8674-5E75B1005572}" type="presParOf" srcId="{0342AAAF-D07A-422C-8A97-615A905CA198}" destId="{CDAE799E-6F9E-4B04-A7CE-43DAEA6F219C}" srcOrd="2"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580823-B9B8-4CAD-8263-FC996B27179A}">
      <dsp:nvSpPr>
        <dsp:cNvPr id="0" name=""/>
        <dsp:cNvSpPr/>
      </dsp:nvSpPr>
      <dsp:spPr>
        <a:xfrm rot="5400000">
          <a:off x="265455" y="1131683"/>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7AF6A9-B108-48E5-945E-444440910B3C}">
      <dsp:nvSpPr>
        <dsp:cNvPr id="0" name=""/>
        <dsp:cNvSpPr/>
      </dsp:nvSpPr>
      <dsp:spPr>
        <a:xfrm>
          <a:off x="132319" y="1528216"/>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IOT Device</a:t>
          </a:r>
        </a:p>
      </dsp:txBody>
      <dsp:txXfrm>
        <a:off x="132319" y="1528216"/>
        <a:ext cx="1198163" cy="1050260"/>
      </dsp:txXfrm>
    </dsp:sp>
    <dsp:sp modelId="{73C19D08-4A36-40A1-860D-4E3C75F9F8A3}">
      <dsp:nvSpPr>
        <dsp:cNvPr id="0" name=""/>
        <dsp:cNvSpPr/>
      </dsp:nvSpPr>
      <dsp:spPr>
        <a:xfrm>
          <a:off x="1104414" y="1033976"/>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F4E3F35-7DB6-4E14-ACDA-411272998AAF}">
      <dsp:nvSpPr>
        <dsp:cNvPr id="0" name=""/>
        <dsp:cNvSpPr/>
      </dsp:nvSpPr>
      <dsp:spPr>
        <a:xfrm rot="5400000">
          <a:off x="1732241" y="768725"/>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2BA5BF-C0C5-420B-BBB0-5E9CBFA090B6}">
      <dsp:nvSpPr>
        <dsp:cNvPr id="0" name=""/>
        <dsp:cNvSpPr/>
      </dsp:nvSpPr>
      <dsp:spPr>
        <a:xfrm>
          <a:off x="1599105" y="1165258"/>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Edge node</a:t>
          </a:r>
        </a:p>
        <a:p>
          <a:pPr marL="114300" lvl="1" indent="-114300" algn="l" defTabSz="533400">
            <a:lnSpc>
              <a:spcPct val="90000"/>
            </a:lnSpc>
            <a:spcBef>
              <a:spcPct val="0"/>
            </a:spcBef>
            <a:spcAft>
              <a:spcPct val="15000"/>
            </a:spcAft>
            <a:buChar char="•"/>
          </a:pPr>
          <a:r>
            <a:rPr lang="en-IN" sz="1200" kern="1200" dirty="0"/>
            <a:t>Loca1-Data storage</a:t>
          </a:r>
        </a:p>
        <a:p>
          <a:pPr marL="114300" lvl="1" indent="-114300" algn="l" defTabSz="533400">
            <a:lnSpc>
              <a:spcPct val="90000"/>
            </a:lnSpc>
            <a:spcBef>
              <a:spcPct val="0"/>
            </a:spcBef>
            <a:spcAft>
              <a:spcPct val="15000"/>
            </a:spcAft>
            <a:buChar char="•"/>
          </a:pPr>
          <a:r>
            <a:rPr lang="en-IN" sz="1200" kern="1200" dirty="0"/>
            <a:t>Local-2 Data Storage</a:t>
          </a:r>
        </a:p>
      </dsp:txBody>
      <dsp:txXfrm>
        <a:off x="1599105" y="1165258"/>
        <a:ext cx="1198163" cy="1050260"/>
      </dsp:txXfrm>
    </dsp:sp>
    <dsp:sp modelId="{E08BF571-AE34-4D65-8B3D-8D9B57BB6B26}">
      <dsp:nvSpPr>
        <dsp:cNvPr id="0" name=""/>
        <dsp:cNvSpPr/>
      </dsp:nvSpPr>
      <dsp:spPr>
        <a:xfrm>
          <a:off x="2571200" y="671018"/>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469190B-2617-40BF-984C-DFF5BB0CC915}">
      <dsp:nvSpPr>
        <dsp:cNvPr id="0" name=""/>
        <dsp:cNvSpPr/>
      </dsp:nvSpPr>
      <dsp:spPr>
        <a:xfrm rot="5400000">
          <a:off x="3199028" y="405767"/>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6C21F-5034-4862-BF49-06EB52ADC7F9}">
      <dsp:nvSpPr>
        <dsp:cNvPr id="0" name=""/>
        <dsp:cNvSpPr/>
      </dsp:nvSpPr>
      <dsp:spPr>
        <a:xfrm>
          <a:off x="3065892" y="802301"/>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dirty="0"/>
            <a:t>Edge server</a:t>
          </a:r>
        </a:p>
      </dsp:txBody>
      <dsp:txXfrm>
        <a:off x="3065892" y="802301"/>
        <a:ext cx="1198163" cy="1050260"/>
      </dsp:txXfrm>
    </dsp:sp>
    <dsp:sp modelId="{C915620F-9C42-48AF-8715-8D1FD0441C8C}">
      <dsp:nvSpPr>
        <dsp:cNvPr id="0" name=""/>
        <dsp:cNvSpPr/>
      </dsp:nvSpPr>
      <dsp:spPr>
        <a:xfrm>
          <a:off x="4037987" y="308060"/>
          <a:ext cx="226068" cy="226068"/>
        </a:xfrm>
        <a:prstGeom prst="triangle">
          <a:avLst>
            <a:gd name="adj" fmla="val 10000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73CB5D6-88A5-4443-BBFD-3EBCFF874780}">
      <dsp:nvSpPr>
        <dsp:cNvPr id="0" name=""/>
        <dsp:cNvSpPr/>
      </dsp:nvSpPr>
      <dsp:spPr>
        <a:xfrm rot="5400000">
          <a:off x="4665814" y="42809"/>
          <a:ext cx="797580" cy="1327155"/>
        </a:xfrm>
        <a:prstGeom prst="corner">
          <a:avLst>
            <a:gd name="adj1" fmla="val 16120"/>
            <a:gd name="adj2" fmla="val 16110"/>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D17C470-29FD-42E5-9A59-E2A5C5664DCC}">
      <dsp:nvSpPr>
        <dsp:cNvPr id="0" name=""/>
        <dsp:cNvSpPr/>
      </dsp:nvSpPr>
      <dsp:spPr>
        <a:xfrm>
          <a:off x="4532678" y="439343"/>
          <a:ext cx="1198163" cy="10502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l" defTabSz="800100">
            <a:lnSpc>
              <a:spcPct val="90000"/>
            </a:lnSpc>
            <a:spcBef>
              <a:spcPct val="0"/>
            </a:spcBef>
            <a:spcAft>
              <a:spcPct val="35000"/>
            </a:spcAft>
            <a:buNone/>
          </a:pPr>
          <a:r>
            <a:rPr lang="en-IN" sz="1800" kern="1200"/>
            <a:t>Cloud Server</a:t>
          </a:r>
        </a:p>
      </dsp:txBody>
      <dsp:txXfrm>
        <a:off x="4532678" y="439343"/>
        <a:ext cx="1198163" cy="10502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5E9ECD-BA17-4AB6-966B-CC4AEAEE750F}">
      <dsp:nvSpPr>
        <dsp:cNvPr id="0" name=""/>
        <dsp:cNvSpPr/>
      </dsp:nvSpPr>
      <dsp:spPr>
        <a:xfrm>
          <a:off x="1119" y="0"/>
          <a:ext cx="2387196" cy="914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User Devices</a:t>
          </a:r>
        </a:p>
      </dsp:txBody>
      <dsp:txXfrm>
        <a:off x="27901" y="26782"/>
        <a:ext cx="2333632" cy="860836"/>
      </dsp:txXfrm>
    </dsp:sp>
    <dsp:sp modelId="{13B8F095-CEBF-451E-8C49-4A9A9DB46603}">
      <dsp:nvSpPr>
        <dsp:cNvPr id="0" name=""/>
        <dsp:cNvSpPr/>
      </dsp:nvSpPr>
      <dsp:spPr>
        <a:xfrm>
          <a:off x="2627035" y="161187"/>
          <a:ext cx="506085" cy="59202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IN" sz="1400" kern="1200"/>
        </a:p>
      </dsp:txBody>
      <dsp:txXfrm>
        <a:off x="2627035" y="279592"/>
        <a:ext cx="354260" cy="355214"/>
      </dsp:txXfrm>
    </dsp:sp>
    <dsp:sp modelId="{CDAE799E-6F9E-4B04-A7CE-43DAEA6F219C}">
      <dsp:nvSpPr>
        <dsp:cNvPr id="0" name=""/>
        <dsp:cNvSpPr/>
      </dsp:nvSpPr>
      <dsp:spPr>
        <a:xfrm>
          <a:off x="3343194" y="0"/>
          <a:ext cx="2387196" cy="91440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t" anchorCtr="0">
          <a:noAutofit/>
        </a:bodyPr>
        <a:lstStyle/>
        <a:p>
          <a:pPr marL="0" lvl="0" indent="0" algn="l" defTabSz="755650">
            <a:lnSpc>
              <a:spcPct val="90000"/>
            </a:lnSpc>
            <a:spcBef>
              <a:spcPct val="0"/>
            </a:spcBef>
            <a:spcAft>
              <a:spcPct val="35000"/>
            </a:spcAft>
            <a:buNone/>
          </a:pPr>
          <a:r>
            <a:rPr lang="en-IN" sz="1700" kern="1200"/>
            <a:t>Cloud infrastructure</a:t>
          </a:r>
        </a:p>
        <a:p>
          <a:pPr marL="114300" lvl="1" indent="-114300" algn="l" defTabSz="577850">
            <a:lnSpc>
              <a:spcPct val="90000"/>
            </a:lnSpc>
            <a:spcBef>
              <a:spcPct val="0"/>
            </a:spcBef>
            <a:spcAft>
              <a:spcPct val="15000"/>
            </a:spcAft>
            <a:buChar char="•"/>
          </a:pPr>
          <a:r>
            <a:rPr lang="en-IN" sz="1300" b="0" i="0" kern="1200"/>
            <a:t>Storage Services </a:t>
          </a:r>
          <a:endParaRPr lang="en-IN" sz="1300" kern="1200"/>
        </a:p>
        <a:p>
          <a:pPr marL="114300" lvl="1" indent="-114300" algn="l" defTabSz="577850">
            <a:lnSpc>
              <a:spcPct val="90000"/>
            </a:lnSpc>
            <a:spcBef>
              <a:spcPct val="0"/>
            </a:spcBef>
            <a:spcAft>
              <a:spcPct val="15000"/>
            </a:spcAft>
            <a:buChar char="•"/>
          </a:pPr>
          <a:r>
            <a:rPr lang="en-IN" sz="1300" b="0" i="0" kern="1200"/>
            <a:t>Compute</a:t>
          </a:r>
          <a:r>
            <a:rPr lang="en-IN" sz="1300" kern="1200"/>
            <a:t> </a:t>
          </a:r>
          <a:r>
            <a:rPr lang="en-IN" sz="1300" b="0" i="0" kern="1200"/>
            <a:t>Services</a:t>
          </a:r>
          <a:endParaRPr lang="en-IN" sz="1300" kern="1200"/>
        </a:p>
      </dsp:txBody>
      <dsp:txXfrm>
        <a:off x="3369976" y="26782"/>
        <a:ext cx="2333632" cy="860836"/>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2812</Words>
  <Characters>16033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Akshaj</dc:creator>
  <cp:keywords/>
  <dc:description/>
  <cp:lastModifiedBy>Akshaj</cp:lastModifiedBy>
  <cp:revision>7</cp:revision>
  <dcterms:created xsi:type="dcterms:W3CDTF">2023-06-23T03:32:00Z</dcterms:created>
  <dcterms:modified xsi:type="dcterms:W3CDTF">2023-07-28T07:05:00Z</dcterms:modified>
</cp:coreProperties>
</file>