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FD231CF" w:rsidR="000C6D32" w:rsidRDefault="00000000" w:rsidP="00241EEE">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The </w:t>
      </w:r>
      <w:r w:rsidR="00F20226">
        <w:rPr>
          <w:rFonts w:ascii="Times New Roman" w:eastAsia="Times New Roman" w:hAnsi="Times New Roman" w:cs="Times New Roman"/>
          <w:b/>
          <w:sz w:val="48"/>
          <w:szCs w:val="48"/>
        </w:rPr>
        <w:t>i</w:t>
      </w:r>
      <w:r>
        <w:rPr>
          <w:rFonts w:ascii="Times New Roman" w:eastAsia="Times New Roman" w:hAnsi="Times New Roman" w:cs="Times New Roman"/>
          <w:b/>
          <w:sz w:val="48"/>
          <w:szCs w:val="48"/>
        </w:rPr>
        <w:t xml:space="preserve">ntersection of </w:t>
      </w:r>
      <w:r w:rsidR="00F20226">
        <w:rPr>
          <w:rFonts w:ascii="Times New Roman" w:eastAsia="Times New Roman" w:hAnsi="Times New Roman" w:cs="Times New Roman"/>
          <w:b/>
          <w:sz w:val="48"/>
          <w:szCs w:val="48"/>
        </w:rPr>
        <w:t>b</w:t>
      </w:r>
      <w:r>
        <w:rPr>
          <w:rFonts w:ascii="Times New Roman" w:eastAsia="Times New Roman" w:hAnsi="Times New Roman" w:cs="Times New Roman"/>
          <w:b/>
          <w:sz w:val="48"/>
          <w:szCs w:val="48"/>
        </w:rPr>
        <w:t xml:space="preserve">iotechnology and </w:t>
      </w:r>
      <w:r w:rsidR="00F20226">
        <w:rPr>
          <w:rFonts w:ascii="Times New Roman" w:eastAsia="Times New Roman" w:hAnsi="Times New Roman" w:cs="Times New Roman"/>
          <w:b/>
          <w:sz w:val="48"/>
          <w:szCs w:val="48"/>
        </w:rPr>
        <w:t>a</w:t>
      </w:r>
      <w:r>
        <w:rPr>
          <w:rFonts w:ascii="Times New Roman" w:eastAsia="Times New Roman" w:hAnsi="Times New Roman" w:cs="Times New Roman"/>
          <w:b/>
          <w:sz w:val="48"/>
          <w:szCs w:val="48"/>
        </w:rPr>
        <w:t xml:space="preserve">nti-Aging: Pioneering the </w:t>
      </w:r>
      <w:r w:rsidR="00F20226">
        <w:rPr>
          <w:rFonts w:ascii="Times New Roman" w:eastAsia="Times New Roman" w:hAnsi="Times New Roman" w:cs="Times New Roman"/>
          <w:b/>
          <w:sz w:val="48"/>
          <w:szCs w:val="48"/>
        </w:rPr>
        <w:t>f</w:t>
      </w:r>
      <w:r>
        <w:rPr>
          <w:rFonts w:ascii="Times New Roman" w:eastAsia="Times New Roman" w:hAnsi="Times New Roman" w:cs="Times New Roman"/>
          <w:b/>
          <w:sz w:val="48"/>
          <w:szCs w:val="48"/>
        </w:rPr>
        <w:t xml:space="preserve">uture of </w:t>
      </w:r>
      <w:r w:rsidR="00F20226">
        <w:rPr>
          <w:rFonts w:ascii="Times New Roman" w:eastAsia="Times New Roman" w:hAnsi="Times New Roman" w:cs="Times New Roman"/>
          <w:b/>
          <w:sz w:val="48"/>
          <w:szCs w:val="48"/>
        </w:rPr>
        <w:t>y</w:t>
      </w:r>
      <w:r>
        <w:rPr>
          <w:rFonts w:ascii="Times New Roman" w:eastAsia="Times New Roman" w:hAnsi="Times New Roman" w:cs="Times New Roman"/>
          <w:b/>
          <w:sz w:val="48"/>
          <w:szCs w:val="48"/>
        </w:rPr>
        <w:t>outhful</w:t>
      </w:r>
    </w:p>
    <w:p w14:paraId="00000002" w14:textId="69D464B2" w:rsidR="000C6D32" w:rsidRDefault="00F20226" w:rsidP="00241EEE">
      <w:pPr>
        <w:spacing w:after="0"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living</w:t>
      </w:r>
    </w:p>
    <w:p w14:paraId="4C29CB63" w14:textId="77777777" w:rsidR="00532E2D" w:rsidRDefault="00532E2D" w:rsidP="00F20226">
      <w:pPr>
        <w:spacing w:line="240" w:lineRule="auto"/>
        <w:jc w:val="center"/>
        <w:rPr>
          <w:rFonts w:ascii="Times New Roman" w:eastAsia="Times New Roman" w:hAnsi="Times New Roman" w:cs="Times New Roman"/>
          <w:bCs/>
          <w:sz w:val="24"/>
          <w:szCs w:val="24"/>
        </w:rPr>
      </w:pPr>
      <w:bookmarkStart w:id="0" w:name="_Hlk143210434"/>
    </w:p>
    <w:p w14:paraId="565169A9" w14:textId="18067E59" w:rsidR="00730EBD" w:rsidRPr="008E34F1" w:rsidRDefault="00730EBD" w:rsidP="00532E2D">
      <w:pPr>
        <w:spacing w:after="0" w:line="240" w:lineRule="auto"/>
        <w:jc w:val="center"/>
        <w:rPr>
          <w:rFonts w:ascii="Times New Roman" w:eastAsia="Times New Roman" w:hAnsi="Times New Roman" w:cs="Times New Roman"/>
          <w:bCs/>
          <w:sz w:val="24"/>
          <w:szCs w:val="24"/>
        </w:rPr>
      </w:pPr>
      <w:r w:rsidRPr="008E34F1">
        <w:rPr>
          <w:rFonts w:ascii="Times New Roman" w:eastAsia="Times New Roman" w:hAnsi="Times New Roman" w:cs="Times New Roman"/>
          <w:bCs/>
          <w:sz w:val="24"/>
          <w:szCs w:val="24"/>
        </w:rPr>
        <w:t>N</w:t>
      </w:r>
      <w:bookmarkEnd w:id="0"/>
      <w:r w:rsidRPr="008E34F1">
        <w:rPr>
          <w:rFonts w:ascii="Times New Roman" w:eastAsia="Times New Roman" w:hAnsi="Times New Roman" w:cs="Times New Roman"/>
          <w:bCs/>
          <w:sz w:val="24"/>
          <w:szCs w:val="24"/>
        </w:rPr>
        <w:t>eha Roy, Asghar Ali, Md. Salik Noorani*</w:t>
      </w:r>
    </w:p>
    <w:p w14:paraId="29AE0D37" w14:textId="19743484" w:rsidR="00F20226" w:rsidRDefault="00730EBD" w:rsidP="00532E2D">
      <w:pPr>
        <w:spacing w:after="0" w:line="240" w:lineRule="auto"/>
        <w:jc w:val="center"/>
        <w:rPr>
          <w:rFonts w:ascii="Times New Roman" w:eastAsia="Times New Roman" w:hAnsi="Times New Roman" w:cs="Times New Roman"/>
          <w:bCs/>
          <w:sz w:val="24"/>
          <w:szCs w:val="24"/>
        </w:rPr>
      </w:pPr>
      <w:r w:rsidRPr="008E34F1">
        <w:rPr>
          <w:rFonts w:ascii="Times New Roman" w:eastAsia="Times New Roman" w:hAnsi="Times New Roman" w:cs="Times New Roman"/>
          <w:bCs/>
          <w:sz w:val="24"/>
          <w:szCs w:val="24"/>
        </w:rPr>
        <w:t>School of Chemical and Life Sciences, Jamia Hamdard, New Delhi-110025</w:t>
      </w:r>
    </w:p>
    <w:p w14:paraId="198CCAD9" w14:textId="77777777" w:rsidR="008E34F1" w:rsidRDefault="008E34F1" w:rsidP="008E34F1">
      <w:pPr>
        <w:jc w:val="center"/>
        <w:rPr>
          <w:rFonts w:ascii="Times New Roman" w:hAnsi="Times New Roman" w:cs="Times New Roman"/>
          <w:b/>
          <w:bCs/>
          <w:sz w:val="20"/>
          <w:szCs w:val="20"/>
        </w:rPr>
      </w:pPr>
    </w:p>
    <w:p w14:paraId="038F7282" w14:textId="494E9BA8" w:rsidR="008E34F1" w:rsidRPr="008E34F1" w:rsidRDefault="008E34F1" w:rsidP="008E34F1">
      <w:pPr>
        <w:jc w:val="center"/>
        <w:rPr>
          <w:rFonts w:ascii="Times New Roman" w:hAnsi="Times New Roman" w:cs="Times New Roman"/>
          <w:b/>
          <w:bCs/>
          <w:sz w:val="20"/>
          <w:szCs w:val="20"/>
        </w:rPr>
      </w:pPr>
      <w:r w:rsidRPr="00011903">
        <w:rPr>
          <w:rFonts w:ascii="Times New Roman" w:hAnsi="Times New Roman" w:cs="Times New Roman"/>
          <w:b/>
          <w:bCs/>
          <w:sz w:val="20"/>
          <w:szCs w:val="20"/>
        </w:rPr>
        <w:t>Authors Detail</w:t>
      </w:r>
    </w:p>
    <w:p w14:paraId="7C558874" w14:textId="77777777" w:rsidR="008E34F1" w:rsidRPr="008E34F1" w:rsidRDefault="008E34F1" w:rsidP="008E34F1">
      <w:pPr>
        <w:spacing w:after="0"/>
        <w:jc w:val="center"/>
        <w:rPr>
          <w:rFonts w:ascii="Times New Roman" w:eastAsia="Times New Roman" w:hAnsi="Times New Roman" w:cs="Times New Roman"/>
          <w:bCs/>
          <w:i/>
          <w:iCs/>
          <w:sz w:val="24"/>
          <w:szCs w:val="24"/>
        </w:rPr>
      </w:pPr>
      <w:r w:rsidRPr="008E34F1">
        <w:rPr>
          <w:rFonts w:ascii="Times New Roman" w:eastAsia="Times New Roman" w:hAnsi="Times New Roman" w:cs="Times New Roman"/>
          <w:bCs/>
          <w:i/>
          <w:iCs/>
          <w:sz w:val="24"/>
          <w:szCs w:val="24"/>
        </w:rPr>
        <w:t>Neha Roy</w:t>
      </w:r>
    </w:p>
    <w:p w14:paraId="49ECC71D" w14:textId="7860CCBD"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1B9F81F3"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77C9AD3D" w14:textId="41507C3C" w:rsidR="008E34F1" w:rsidRPr="00532E2D" w:rsidRDefault="00532E2D" w:rsidP="008E34F1">
      <w:pPr>
        <w:jc w:val="center"/>
        <w:rPr>
          <w:rStyle w:val="Hyperlink"/>
        </w:rPr>
      </w:pPr>
      <w:r w:rsidRPr="00532E2D">
        <w:rPr>
          <w:rStyle w:val="Hyperlink"/>
          <w:rFonts w:ascii="Times New Roman" w:hAnsi="Times New Roman" w:cs="Times New Roman"/>
          <w:sz w:val="20"/>
          <w:szCs w:val="20"/>
        </w:rPr>
        <w:t>neharoy6614@gmail.com</w:t>
      </w:r>
    </w:p>
    <w:p w14:paraId="0F07E264" w14:textId="77777777" w:rsidR="008E34F1" w:rsidRPr="001675AD" w:rsidRDefault="008E34F1" w:rsidP="008E34F1">
      <w:pPr>
        <w:spacing w:after="0"/>
        <w:jc w:val="center"/>
        <w:rPr>
          <w:rFonts w:ascii="Times New Roman" w:hAnsi="Times New Roman" w:cs="Times New Roman"/>
          <w:i/>
          <w:iCs/>
          <w:sz w:val="20"/>
          <w:szCs w:val="20"/>
        </w:rPr>
      </w:pPr>
      <w:r>
        <w:rPr>
          <w:rFonts w:ascii="Times New Roman" w:hAnsi="Times New Roman" w:cs="Times New Roman"/>
          <w:i/>
          <w:iCs/>
          <w:sz w:val="20"/>
          <w:szCs w:val="20"/>
        </w:rPr>
        <w:t xml:space="preserve">Dr. </w:t>
      </w:r>
      <w:r w:rsidRPr="001675AD">
        <w:rPr>
          <w:rFonts w:ascii="Times New Roman" w:hAnsi="Times New Roman" w:cs="Times New Roman"/>
          <w:i/>
          <w:iCs/>
          <w:sz w:val="20"/>
          <w:szCs w:val="20"/>
        </w:rPr>
        <w:t>Asghar Ali</w:t>
      </w:r>
    </w:p>
    <w:p w14:paraId="3C84D917"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4F891B20"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59E2774F"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5" w:history="1">
        <w:r w:rsidRPr="003E1A31">
          <w:rPr>
            <w:rStyle w:val="Hyperlink"/>
            <w:rFonts w:ascii="Times New Roman" w:hAnsi="Times New Roman" w:cs="Times New Roman"/>
            <w:sz w:val="20"/>
            <w:szCs w:val="20"/>
          </w:rPr>
          <w:t>asgharali@jamiahamdrd.ac.in</w:t>
        </w:r>
      </w:hyperlink>
    </w:p>
    <w:p w14:paraId="600805FC" w14:textId="77777777" w:rsidR="008E34F1" w:rsidRDefault="008E34F1" w:rsidP="008E34F1">
      <w:pPr>
        <w:spacing w:after="0"/>
        <w:jc w:val="center"/>
        <w:rPr>
          <w:rFonts w:ascii="Times New Roman" w:hAnsi="Times New Roman" w:cs="Times New Roman"/>
          <w:sz w:val="20"/>
          <w:szCs w:val="20"/>
        </w:rPr>
      </w:pPr>
      <w:r>
        <w:rPr>
          <w:rFonts w:ascii="Times New Roman" w:hAnsi="Times New Roman" w:cs="Times New Roman"/>
          <w:sz w:val="20"/>
          <w:szCs w:val="20"/>
        </w:rPr>
        <w:t>Contact: +918595091645</w:t>
      </w:r>
    </w:p>
    <w:p w14:paraId="3AFD7582" w14:textId="77777777" w:rsidR="008E34F1" w:rsidRDefault="008E34F1" w:rsidP="00532E2D">
      <w:pPr>
        <w:jc w:val="center"/>
        <w:rPr>
          <w:rFonts w:ascii="Times New Roman" w:hAnsi="Times New Roman" w:cs="Times New Roman"/>
          <w:sz w:val="20"/>
          <w:szCs w:val="20"/>
        </w:rPr>
      </w:pPr>
    </w:p>
    <w:p w14:paraId="1F85A9E6" w14:textId="4DC142C8" w:rsidR="00532E2D" w:rsidRDefault="00532E2D" w:rsidP="00532E2D">
      <w:pPr>
        <w:jc w:val="center"/>
        <w:rPr>
          <w:rFonts w:ascii="Times New Roman" w:hAnsi="Times New Roman" w:cs="Times New Roman"/>
          <w:sz w:val="20"/>
          <w:szCs w:val="20"/>
        </w:rPr>
      </w:pPr>
      <w:r>
        <w:rPr>
          <w:rFonts w:ascii="Times New Roman" w:hAnsi="Times New Roman" w:cs="Times New Roman"/>
          <w:sz w:val="20"/>
          <w:szCs w:val="20"/>
        </w:rPr>
        <w:t>Corresponding Author</w:t>
      </w:r>
    </w:p>
    <w:p w14:paraId="2891D791" w14:textId="77777777" w:rsidR="008E34F1" w:rsidRPr="001675AD" w:rsidRDefault="008E34F1" w:rsidP="00532E2D">
      <w:pPr>
        <w:spacing w:after="0"/>
        <w:jc w:val="center"/>
        <w:rPr>
          <w:rFonts w:ascii="Times New Roman" w:hAnsi="Times New Roman" w:cs="Times New Roman"/>
          <w:i/>
          <w:iCs/>
          <w:sz w:val="20"/>
          <w:szCs w:val="20"/>
        </w:rPr>
      </w:pPr>
      <w:r>
        <w:rPr>
          <w:rFonts w:ascii="Times New Roman" w:hAnsi="Times New Roman" w:cs="Times New Roman"/>
          <w:i/>
          <w:iCs/>
          <w:sz w:val="20"/>
          <w:szCs w:val="20"/>
        </w:rPr>
        <w:t>Dr. Md Salik Noorani</w:t>
      </w:r>
    </w:p>
    <w:p w14:paraId="7E079942" w14:textId="77777777" w:rsidR="008E34F1" w:rsidRDefault="008E34F1" w:rsidP="00532E2D">
      <w:pPr>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048F730A" w14:textId="77777777" w:rsidR="008E34F1" w:rsidRDefault="008E34F1" w:rsidP="00532E2D">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0E3CF611" w14:textId="77777777" w:rsidR="008E34F1" w:rsidRDefault="008E34F1" w:rsidP="00532E2D">
      <w:pPr>
        <w:spacing w:after="0"/>
        <w:jc w:val="center"/>
        <w:rPr>
          <w:rFonts w:ascii="Times New Roman" w:hAnsi="Times New Roman" w:cs="Times New Roman"/>
          <w:sz w:val="20"/>
          <w:szCs w:val="20"/>
        </w:rPr>
      </w:pPr>
      <w:hyperlink r:id="rId6" w:history="1">
        <w:r w:rsidRPr="00532851">
          <w:rPr>
            <w:rStyle w:val="Hyperlink"/>
            <w:rFonts w:ascii="Times New Roman" w:hAnsi="Times New Roman" w:cs="Times New Roman"/>
            <w:sz w:val="20"/>
            <w:szCs w:val="20"/>
          </w:rPr>
          <w:t>saliknoorani@jamiahamdard.ac.in</w:t>
        </w:r>
      </w:hyperlink>
    </w:p>
    <w:p w14:paraId="53B89CD4" w14:textId="61CA4404" w:rsidR="008E34F1" w:rsidRDefault="00A35F06" w:rsidP="008E34F1">
      <w:pPr>
        <w:jc w:val="center"/>
        <w:rPr>
          <w:rFonts w:ascii="Times New Roman" w:hAnsi="Times New Roman" w:cs="Times New Roman"/>
          <w:sz w:val="20"/>
          <w:szCs w:val="20"/>
        </w:rPr>
      </w:pPr>
      <w:r>
        <w:rPr>
          <w:rFonts w:ascii="Times New Roman" w:hAnsi="Times New Roman" w:cs="Times New Roman"/>
          <w:sz w:val="20"/>
          <w:szCs w:val="20"/>
        </w:rPr>
        <w:t xml:space="preserve">Contact: </w:t>
      </w:r>
      <w:r w:rsidRPr="00A35F06">
        <w:rPr>
          <w:rFonts w:ascii="Times New Roman" w:hAnsi="Times New Roman" w:cs="Times New Roman"/>
          <w:sz w:val="20"/>
          <w:szCs w:val="20"/>
        </w:rPr>
        <w:t>9212523050</w:t>
      </w:r>
    </w:p>
    <w:p w14:paraId="6C6542C3" w14:textId="77777777" w:rsidR="008E34F1" w:rsidRDefault="008E34F1" w:rsidP="008E34F1">
      <w:pPr>
        <w:rPr>
          <w:rFonts w:ascii="Times New Roman" w:hAnsi="Times New Roman" w:cs="Times New Roman"/>
          <w:sz w:val="20"/>
          <w:szCs w:val="20"/>
        </w:rPr>
      </w:pPr>
      <w:r>
        <w:rPr>
          <w:rFonts w:ascii="Times New Roman" w:hAnsi="Times New Roman" w:cs="Times New Roman"/>
          <w:sz w:val="20"/>
          <w:szCs w:val="20"/>
        </w:rPr>
        <w:br w:type="page"/>
      </w:r>
    </w:p>
    <w:p w14:paraId="22EED9A7" w14:textId="77777777" w:rsidR="008E34F1" w:rsidRDefault="008E34F1" w:rsidP="00730EBD">
      <w:pPr>
        <w:spacing w:line="240" w:lineRule="auto"/>
        <w:jc w:val="center"/>
        <w:rPr>
          <w:rFonts w:ascii="Times New Roman" w:eastAsia="Times New Roman" w:hAnsi="Times New Roman" w:cs="Times New Roman"/>
          <w:bCs/>
          <w:sz w:val="24"/>
          <w:szCs w:val="24"/>
        </w:rPr>
      </w:pPr>
    </w:p>
    <w:p w14:paraId="3EC3D1B9" w14:textId="77777777" w:rsidR="008E34F1" w:rsidRPr="008E34F1" w:rsidRDefault="008E34F1" w:rsidP="00730EBD">
      <w:pPr>
        <w:spacing w:line="240" w:lineRule="auto"/>
        <w:jc w:val="center"/>
        <w:rPr>
          <w:rFonts w:ascii="Times New Roman" w:eastAsia="Times New Roman" w:hAnsi="Times New Roman" w:cs="Times New Roman"/>
          <w:bCs/>
          <w:sz w:val="24"/>
          <w:szCs w:val="24"/>
        </w:rPr>
      </w:pPr>
    </w:p>
    <w:p w14:paraId="00000003" w14:textId="7A3F967B" w:rsidR="000C6D32" w:rsidRPr="00F20226" w:rsidRDefault="00F20226" w:rsidP="00F20226">
      <w:pPr>
        <w:spacing w:line="240" w:lineRule="auto"/>
        <w:jc w:val="center"/>
        <w:rPr>
          <w:rFonts w:ascii="Times New Roman" w:eastAsia="Times New Roman" w:hAnsi="Times New Roman" w:cs="Times New Roman"/>
          <w:b/>
          <w:sz w:val="20"/>
          <w:szCs w:val="20"/>
        </w:rPr>
      </w:pPr>
      <w:r w:rsidRPr="00F20226">
        <w:rPr>
          <w:rFonts w:ascii="Times New Roman" w:eastAsia="Times New Roman" w:hAnsi="Times New Roman" w:cs="Times New Roman"/>
          <w:b/>
          <w:sz w:val="20"/>
          <w:szCs w:val="20"/>
        </w:rPr>
        <w:t>ABSTRACT</w:t>
      </w:r>
    </w:p>
    <w:p w14:paraId="00000004" w14:textId="77777777"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This chapter explores the exciting overlap between biotechnology and anti-aging research. It overviews the aging process, delves into the cellular and molecular mechanisms involved, and introduces revolutionary biotechnological advancements such as gene editing and regenerative medicine. The chapter also examines the ethical considerations surrounding life extension and discusses potential societal implications. Ultimately, it highlights the transformative potential of biotechnology in reshaping the future of youthful living and outlines future research directions in the field.</w:t>
      </w:r>
    </w:p>
    <w:p w14:paraId="00000005" w14:textId="63D85A18" w:rsidR="000C6D32" w:rsidRPr="00F20226" w:rsidRDefault="00000000" w:rsidP="00F20226">
      <w:pPr>
        <w:spacing w:line="240" w:lineRule="auto"/>
        <w:jc w:val="both"/>
        <w:rPr>
          <w:rFonts w:ascii="Times New Roman" w:eastAsia="Times New Roman" w:hAnsi="Times New Roman" w:cs="Times New Roman"/>
          <w:sz w:val="20"/>
          <w:szCs w:val="20"/>
        </w:rPr>
      </w:pPr>
      <w:r w:rsidRPr="00F20226">
        <w:rPr>
          <w:rFonts w:ascii="Times New Roman" w:eastAsia="Times New Roman" w:hAnsi="Times New Roman" w:cs="Times New Roman"/>
          <w:b/>
          <w:sz w:val="20"/>
          <w:szCs w:val="20"/>
        </w:rPr>
        <w:t>Keywords</w:t>
      </w:r>
      <w:r w:rsidRPr="00F20226">
        <w:rPr>
          <w:rFonts w:ascii="Times New Roman" w:eastAsia="Times New Roman" w:hAnsi="Times New Roman" w:cs="Times New Roman"/>
          <w:sz w:val="20"/>
          <w:szCs w:val="20"/>
        </w:rPr>
        <w:t xml:space="preserve">- </w:t>
      </w:r>
      <w:r w:rsidR="00F20226" w:rsidRPr="00F20226">
        <w:rPr>
          <w:rFonts w:ascii="Times New Roman" w:eastAsia="Times New Roman" w:hAnsi="Times New Roman" w:cs="Times New Roman"/>
          <w:sz w:val="20"/>
          <w:szCs w:val="20"/>
        </w:rPr>
        <w:t>R</w:t>
      </w:r>
      <w:r w:rsidRPr="00F20226">
        <w:rPr>
          <w:rFonts w:ascii="Times New Roman" w:eastAsia="Times New Roman" w:hAnsi="Times New Roman" w:cs="Times New Roman"/>
          <w:sz w:val="20"/>
          <w:szCs w:val="20"/>
        </w:rPr>
        <w:t xml:space="preserve">ejuvenation; longevity; </w:t>
      </w:r>
      <w:r w:rsidR="00F20226" w:rsidRPr="00F20226">
        <w:rPr>
          <w:rFonts w:ascii="Times New Roman" w:eastAsia="Times New Roman" w:hAnsi="Times New Roman" w:cs="Times New Roman"/>
          <w:sz w:val="20"/>
          <w:szCs w:val="20"/>
        </w:rPr>
        <w:t>A</w:t>
      </w:r>
      <w:r w:rsidRPr="00F20226">
        <w:rPr>
          <w:rFonts w:ascii="Times New Roman" w:eastAsia="Times New Roman" w:hAnsi="Times New Roman" w:cs="Times New Roman"/>
          <w:sz w:val="20"/>
          <w:szCs w:val="20"/>
        </w:rPr>
        <w:t xml:space="preserve">ging process; </w:t>
      </w:r>
      <w:r w:rsidR="00F20226" w:rsidRPr="00F20226">
        <w:rPr>
          <w:rFonts w:ascii="Times New Roman" w:eastAsia="Times New Roman" w:hAnsi="Times New Roman" w:cs="Times New Roman"/>
          <w:sz w:val="20"/>
          <w:szCs w:val="20"/>
        </w:rPr>
        <w:t>C</w:t>
      </w:r>
      <w:r w:rsidRPr="00F20226">
        <w:rPr>
          <w:rFonts w:ascii="Times New Roman" w:eastAsia="Times New Roman" w:hAnsi="Times New Roman" w:cs="Times New Roman"/>
          <w:sz w:val="20"/>
          <w:szCs w:val="20"/>
        </w:rPr>
        <w:t xml:space="preserve">ellular mechanisms; </w:t>
      </w:r>
      <w:r w:rsidR="00F20226" w:rsidRPr="00F20226">
        <w:rPr>
          <w:rFonts w:ascii="Times New Roman" w:eastAsia="Times New Roman" w:hAnsi="Times New Roman" w:cs="Times New Roman"/>
          <w:sz w:val="20"/>
          <w:szCs w:val="20"/>
        </w:rPr>
        <w:t>M</w:t>
      </w:r>
      <w:r w:rsidRPr="00F20226">
        <w:rPr>
          <w:rFonts w:ascii="Times New Roman" w:eastAsia="Times New Roman" w:hAnsi="Times New Roman" w:cs="Times New Roman"/>
          <w:sz w:val="20"/>
          <w:szCs w:val="20"/>
        </w:rPr>
        <w:t xml:space="preserve">olecular mechanisms; gene editing; </w:t>
      </w:r>
      <w:r w:rsidR="00F20226" w:rsidRPr="00F20226">
        <w:rPr>
          <w:rFonts w:ascii="Times New Roman" w:eastAsia="Times New Roman" w:hAnsi="Times New Roman" w:cs="Times New Roman"/>
          <w:sz w:val="20"/>
          <w:szCs w:val="20"/>
        </w:rPr>
        <w:t>R</w:t>
      </w:r>
      <w:r w:rsidRPr="00F20226">
        <w:rPr>
          <w:rFonts w:ascii="Times New Roman" w:eastAsia="Times New Roman" w:hAnsi="Times New Roman" w:cs="Times New Roman"/>
          <w:sz w:val="20"/>
          <w:szCs w:val="20"/>
        </w:rPr>
        <w:t xml:space="preserve">egenerative medicine; </w:t>
      </w:r>
      <w:r w:rsidR="00F20226" w:rsidRPr="00F20226">
        <w:rPr>
          <w:rFonts w:ascii="Times New Roman" w:eastAsia="Times New Roman" w:hAnsi="Times New Roman" w:cs="Times New Roman"/>
          <w:sz w:val="20"/>
          <w:szCs w:val="20"/>
        </w:rPr>
        <w:t>E</w:t>
      </w:r>
      <w:r w:rsidRPr="00F20226">
        <w:rPr>
          <w:rFonts w:ascii="Times New Roman" w:eastAsia="Times New Roman" w:hAnsi="Times New Roman" w:cs="Times New Roman"/>
          <w:sz w:val="20"/>
          <w:szCs w:val="20"/>
        </w:rPr>
        <w:t xml:space="preserve">thical considerations; </w:t>
      </w:r>
      <w:r w:rsidR="00F20226" w:rsidRPr="00F20226">
        <w:rPr>
          <w:rFonts w:ascii="Times New Roman" w:eastAsia="Times New Roman" w:hAnsi="Times New Roman" w:cs="Times New Roman"/>
          <w:sz w:val="20"/>
          <w:szCs w:val="20"/>
        </w:rPr>
        <w:t>L</w:t>
      </w:r>
      <w:r w:rsidRPr="00F20226">
        <w:rPr>
          <w:rFonts w:ascii="Times New Roman" w:eastAsia="Times New Roman" w:hAnsi="Times New Roman" w:cs="Times New Roman"/>
          <w:sz w:val="20"/>
          <w:szCs w:val="20"/>
        </w:rPr>
        <w:t xml:space="preserve">ife extension; </w:t>
      </w:r>
      <w:r w:rsidR="00F20226" w:rsidRPr="00F20226">
        <w:rPr>
          <w:rFonts w:ascii="Times New Roman" w:eastAsia="Times New Roman" w:hAnsi="Times New Roman" w:cs="Times New Roman"/>
          <w:sz w:val="20"/>
          <w:szCs w:val="20"/>
        </w:rPr>
        <w:t>S</w:t>
      </w:r>
      <w:r w:rsidRPr="00F20226">
        <w:rPr>
          <w:rFonts w:ascii="Times New Roman" w:eastAsia="Times New Roman" w:hAnsi="Times New Roman" w:cs="Times New Roman"/>
          <w:sz w:val="20"/>
          <w:szCs w:val="20"/>
        </w:rPr>
        <w:t>ocietal implications.</w:t>
      </w:r>
    </w:p>
    <w:p w14:paraId="00000006" w14:textId="77777777" w:rsidR="000C6D32" w:rsidRPr="00F20226" w:rsidRDefault="000C6D32">
      <w:pPr>
        <w:spacing w:line="240" w:lineRule="auto"/>
        <w:rPr>
          <w:rFonts w:ascii="Times New Roman" w:eastAsia="Times New Roman" w:hAnsi="Times New Roman" w:cs="Times New Roman"/>
          <w:sz w:val="20"/>
          <w:szCs w:val="20"/>
        </w:rPr>
      </w:pPr>
    </w:p>
    <w:p w14:paraId="00000007" w14:textId="4103790A" w:rsidR="000C6D32" w:rsidRPr="00F20226" w:rsidRDefault="00F20226" w:rsidP="00F20226">
      <w:pPr>
        <w:spacing w:line="240" w:lineRule="auto"/>
        <w:jc w:val="center"/>
        <w:rPr>
          <w:rFonts w:ascii="Times New Roman" w:eastAsia="Times New Roman" w:hAnsi="Times New Roman" w:cs="Times New Roman"/>
          <w:b/>
          <w:sz w:val="20"/>
          <w:szCs w:val="20"/>
        </w:rPr>
      </w:pPr>
      <w:r w:rsidRPr="00F20226">
        <w:rPr>
          <w:rFonts w:ascii="Times New Roman" w:eastAsia="Times New Roman" w:hAnsi="Times New Roman" w:cs="Times New Roman"/>
          <w:b/>
          <w:sz w:val="20"/>
          <w:szCs w:val="20"/>
        </w:rPr>
        <w:t>I. INTRODUCTION</w:t>
      </w:r>
    </w:p>
    <w:p w14:paraId="00000008" w14:textId="7B2C522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In a world where advancements in biotechnology are rapidly transforming scientific frontiers, </w:t>
      </w:r>
      <w:r w:rsidR="00F20226">
        <w:rPr>
          <w:rFonts w:ascii="Times New Roman" w:eastAsia="Times New Roman" w:hAnsi="Times New Roman" w:cs="Times New Roman"/>
          <w:sz w:val="20"/>
          <w:szCs w:val="20"/>
        </w:rPr>
        <w:t>pursuing</w:t>
      </w:r>
      <w:r w:rsidRPr="00F20226">
        <w:rPr>
          <w:rFonts w:ascii="Times New Roman" w:eastAsia="Times New Roman" w:hAnsi="Times New Roman" w:cs="Times New Roman"/>
          <w:sz w:val="20"/>
          <w:szCs w:val="20"/>
        </w:rPr>
        <w:t xml:space="preserve"> extended and enhanced youthful living has become a subject of great interest and intrigue. The intersection of biotechnology and anti-aging represents a promising avenue for revolutionizing our understanding of aging and exploring innovative approaches to rejuvenation and longevity. The journey begins with an overview of the aging process, elucidating the complex interplay of genetic, environmental, and lifestyle factors contributing to cellular damage and functional decline over time. By understanding the intricacies of aging, we can better appreciate the challenges and opportunities that lie ahead in our pursuit of prolonged youthfulness. Building upon this foundation, the chapter explores the cellular and molecular mechanisms of aging, diving deep into the role of telomeres, DNA damage, cellular senescence, and epigenetic modifications. Understanding these mechanisms </w:t>
      </w:r>
      <w:r w:rsidR="00F20226" w:rsidRPr="00F20226">
        <w:rPr>
          <w:rFonts w:ascii="Times New Roman" w:eastAsia="Times New Roman" w:hAnsi="Times New Roman" w:cs="Times New Roman"/>
          <w:sz w:val="20"/>
          <w:szCs w:val="20"/>
        </w:rPr>
        <w:t>sheds light on the fundamental aspects of aging and</w:t>
      </w:r>
      <w:r w:rsidRPr="00F20226">
        <w:rPr>
          <w:rFonts w:ascii="Times New Roman" w:eastAsia="Times New Roman" w:hAnsi="Times New Roman" w:cs="Times New Roman"/>
          <w:sz w:val="20"/>
          <w:szCs w:val="20"/>
        </w:rPr>
        <w:t xml:space="preserve"> paves the way for targeted interventions and therapeutic strategies. The advent of biotechnology has propelled anti-aging research into new realms of possibility. This chapter showcases the revolutionary advancements in gene editing, stem cell therapies, tissue engineering, and regenerative medicine that hold tremendous potential for rejuvenating aging tissues, reversing age-related diseases, and enhancing overall health span. While the promises of biotechnology in anti-aging are captivating, </w:t>
      </w:r>
      <w:r w:rsidR="00F20226" w:rsidRPr="00F20226">
        <w:rPr>
          <w:rFonts w:ascii="Times New Roman" w:eastAsia="Times New Roman" w:hAnsi="Times New Roman" w:cs="Times New Roman"/>
          <w:sz w:val="20"/>
          <w:szCs w:val="20"/>
        </w:rPr>
        <w:t>addressing the ethical considerations accompanying these developments is crucial</w:t>
      </w:r>
      <w:r w:rsidRPr="00F20226">
        <w:rPr>
          <w:rFonts w:ascii="Times New Roman" w:eastAsia="Times New Roman" w:hAnsi="Times New Roman" w:cs="Times New Roman"/>
          <w:sz w:val="20"/>
          <w:szCs w:val="20"/>
        </w:rPr>
        <w:t xml:space="preserve">. The chapter </w:t>
      </w:r>
      <w:r w:rsidR="00F20226">
        <w:rPr>
          <w:rFonts w:ascii="Times New Roman" w:eastAsia="Times New Roman" w:hAnsi="Times New Roman" w:cs="Times New Roman"/>
          <w:sz w:val="20"/>
          <w:szCs w:val="20"/>
        </w:rPr>
        <w:t>discusses</w:t>
      </w:r>
      <w:r w:rsidRPr="00F20226">
        <w:rPr>
          <w:rFonts w:ascii="Times New Roman" w:eastAsia="Times New Roman" w:hAnsi="Times New Roman" w:cs="Times New Roman"/>
          <w:sz w:val="20"/>
          <w:szCs w:val="20"/>
        </w:rPr>
        <w:t xml:space="preserve"> the ethical boundaries of manipulating human biology, ensuring equitable access to life-extension technologies, and navigating the potential societal implications of extended longevity. This chapter aims to </w:t>
      </w:r>
      <w:r w:rsidR="00F20226">
        <w:rPr>
          <w:rFonts w:ascii="Times New Roman" w:eastAsia="Times New Roman" w:hAnsi="Times New Roman" w:cs="Times New Roman"/>
          <w:sz w:val="20"/>
          <w:szCs w:val="20"/>
        </w:rPr>
        <w:t>explore</w:t>
      </w:r>
      <w:r w:rsidRPr="00F20226">
        <w:rPr>
          <w:rFonts w:ascii="Times New Roman" w:eastAsia="Times New Roman" w:hAnsi="Times New Roman" w:cs="Times New Roman"/>
          <w:sz w:val="20"/>
          <w:szCs w:val="20"/>
        </w:rPr>
        <w:t xml:space="preserve"> the dynamic interplay between biotechnology and anti-aging research, uncovering the cutting-edge scientific breakthroughs, revolutionary therapies, and ethical considerations that shape the future of youthful living. By delving into the underlying mechanisms of aging and unveiling the transformative potential of biotechnology, this chapter sets out to paint a comprehensive picture of the groundbreaking advancements in this field.</w:t>
      </w:r>
    </w:p>
    <w:p w14:paraId="00000009" w14:textId="0844D7BB" w:rsidR="000C6D32" w:rsidRPr="00F20226" w:rsidRDefault="00F20226" w:rsidP="00F2022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Pr="00F20226">
        <w:rPr>
          <w:rFonts w:ascii="Times New Roman" w:eastAsia="Times New Roman" w:hAnsi="Times New Roman" w:cs="Times New Roman"/>
          <w:b/>
          <w:sz w:val="20"/>
          <w:szCs w:val="20"/>
        </w:rPr>
        <w:t>. THE AGING PROCESS: AN OVERVIEW</w:t>
      </w:r>
    </w:p>
    <w:p w14:paraId="0000000B" w14:textId="3A8E2B37"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Aging refers to </w:t>
      </w:r>
      <w:r w:rsidR="00F20226">
        <w:rPr>
          <w:rFonts w:ascii="Times New Roman" w:eastAsia="Times New Roman" w:hAnsi="Times New Roman" w:cs="Times New Roman"/>
          <w:sz w:val="20"/>
          <w:szCs w:val="20"/>
        </w:rPr>
        <w:t xml:space="preserve">a </w:t>
      </w:r>
      <w:r w:rsidRPr="00F20226">
        <w:rPr>
          <w:rFonts w:ascii="Times New Roman" w:eastAsia="Times New Roman" w:hAnsi="Times New Roman" w:cs="Times New Roman"/>
          <w:sz w:val="20"/>
          <w:szCs w:val="20"/>
        </w:rPr>
        <w:t xml:space="preserve">natural and progressive change that </w:t>
      </w:r>
      <w:r w:rsidR="00F20226">
        <w:rPr>
          <w:rFonts w:ascii="Times New Roman" w:eastAsia="Times New Roman" w:hAnsi="Times New Roman" w:cs="Times New Roman"/>
          <w:sz w:val="20"/>
          <w:szCs w:val="20"/>
        </w:rPr>
        <w:t>occurs</w:t>
      </w:r>
      <w:r w:rsidRPr="00F20226">
        <w:rPr>
          <w:rFonts w:ascii="Times New Roman" w:eastAsia="Times New Roman" w:hAnsi="Times New Roman" w:cs="Times New Roman"/>
          <w:sz w:val="20"/>
          <w:szCs w:val="20"/>
        </w:rPr>
        <w:t xml:space="preserve"> in </w:t>
      </w:r>
      <w:r w:rsidR="00F20226">
        <w:rPr>
          <w:rFonts w:ascii="Times New Roman" w:eastAsia="Times New Roman" w:hAnsi="Times New Roman" w:cs="Times New Roman"/>
          <w:sz w:val="20"/>
          <w:szCs w:val="20"/>
        </w:rPr>
        <w:t xml:space="preserve">the </w:t>
      </w:r>
      <w:r w:rsidRPr="00F20226">
        <w:rPr>
          <w:rFonts w:ascii="Times New Roman" w:eastAsia="Times New Roman" w:hAnsi="Times New Roman" w:cs="Times New Roman"/>
          <w:sz w:val="20"/>
          <w:szCs w:val="20"/>
        </w:rPr>
        <w:t xml:space="preserve">human body or any living body over time. It </w:t>
      </w:r>
      <w:r w:rsidR="00F20226">
        <w:rPr>
          <w:rFonts w:ascii="Times New Roman" w:eastAsia="Times New Roman" w:hAnsi="Times New Roman" w:cs="Times New Roman"/>
          <w:sz w:val="20"/>
          <w:szCs w:val="20"/>
        </w:rPr>
        <w:t>combines</w:t>
      </w:r>
      <w:r w:rsidRPr="00F20226">
        <w:rPr>
          <w:rFonts w:ascii="Times New Roman" w:eastAsia="Times New Roman" w:hAnsi="Times New Roman" w:cs="Times New Roman"/>
          <w:sz w:val="20"/>
          <w:szCs w:val="20"/>
        </w:rPr>
        <w:t xml:space="preserve"> complex </w:t>
      </w:r>
      <w:r w:rsidR="00F20226">
        <w:rPr>
          <w:rFonts w:ascii="Times New Roman" w:eastAsia="Times New Roman" w:hAnsi="Times New Roman" w:cs="Times New Roman"/>
          <w:sz w:val="20"/>
          <w:szCs w:val="20"/>
        </w:rPr>
        <w:t>phenomena</w:t>
      </w:r>
      <w:r w:rsidRPr="00F20226">
        <w:rPr>
          <w:rFonts w:ascii="Times New Roman" w:eastAsia="Times New Roman" w:hAnsi="Times New Roman" w:cs="Times New Roman"/>
          <w:sz w:val="20"/>
          <w:szCs w:val="20"/>
        </w:rPr>
        <w:t xml:space="preserve"> like genetic, environmental and lifestyle factors. As it is a universal process it can manifest differently in different individuals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{"citationID":"W2PZeQU7","properties":{"formattedCitation":"[1]","plainCitation":"[1]","noteIndex":0},"citationItems":[{"id":237,"uris":["http://zotero.org/users/local/EXtS0esT/items/6DH83YBV"],"itemData":{"id":237,"type":"chapter","abstract":"Although aging is an almost universal truth that we all experience throughout our lives, it is vital that clinicians understand both the clinical and epidemiological relevance of this process. Senescence brings a variety of changes across the spectrum of the body’s systems, which require special care and management. Estimates are that the number of adults older than 65 will reach upwards of 88.5 million by 2050, which will surely place a higher demand for healthcare providers and hospital systems. While technology has allowed for a massive expansion of the capabilities of modern medical science, many side effects have appeared over time, of which not all have developed at the same rate as medical science in general—not the least of which is our overall prolonged life expectancies. This implies a particular impetus to develop new screening methods, cope with protracted management of disease, which might have proved fatal quite quickly before the advent of certain biomedical technologies, and promote and develop health and wellness lifestyle measures at an early age to avoid the pitfalls of chronic illness and disease later in life.","call-number":"NBK556106","container-title":"StatPearls","event-place":"Treasure Island (FL)","language":"eng","license":"Copyright © 2023, StatPearls Publishing LLC.","note":"PMID: 32310566","publisher":"StatPearls Publishing","publisher-place":"Treasure Island (FL)","source":"PubMed","title":"Physiology, Aging","URL":"http://www.ncbi.nlm.nih.gov/books/NBK556106/","author":[{"family":"Flint","given":"Bronson"},{"family":"Tadi","given":"Prasanna"}],"accessed":{"date-parts":[["2023",8,17]]},"issued":{"date-parts":[["2023"]]}}}],"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[1]</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r w:rsidR="00F20226">
        <w:rPr>
          <w:rFonts w:ascii="Times New Roman" w:eastAsia="Times New Roman" w:hAnsi="Times New Roman" w:cs="Times New Roman"/>
          <w:sz w:val="20"/>
          <w:szCs w:val="20"/>
        </w:rPr>
        <w:t xml:space="preserve"> Some key aspects associated with it </w:t>
      </w:r>
      <w:r w:rsidRPr="00F20226">
        <w:rPr>
          <w:rFonts w:ascii="Times New Roman" w:eastAsia="Times New Roman" w:hAnsi="Times New Roman" w:cs="Times New Roman"/>
          <w:sz w:val="20"/>
          <w:szCs w:val="20"/>
        </w:rPr>
        <w:t>are cellular and molecular changes, physiological changes, cognitive decline, hormonal changes, immune function, lifestyle factors, genetic factors. While ageing is a natural process, it is essential to remember that it does not always result in bad health or a worse quality of life. Adopting good behaviors and getting the right medical treatment can promote healthy ageing and reduce age-related problems. A number of things can affect how quickly one ages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{"citationID":"3MbiHpZR","properties":{"formattedCitation":"[2]","plainCitation":"[2]","noteIndex":0},"citationItems":[{"id":235,"uris":["http://zotero.org/users/local/EXtS0esT/items/5S2PI7BU"],"itemData":{"id":235,"type":"article-journal","container-title":"Frontiers in Medicine","DOI":"10.3389/fmed.2018.00061","ISSN":"2296-858X","journalAbbreviation":"Front. Med.","page":"61","source":"DOI.org (Crossref)","title":"The Continuum of Aging and Age-Related Diseases: Common Mechanisms but Different Rates","title-short":"The Continuum of Aging and Age-Related Diseases","volume":"5","author":[{"family":"Franceschi","given":"Claudio"},{"family":"Garagnani","given":"Paolo"},{"family":"Morsiani","given":"Cristina"},{"family":"Conte","given":"Maria"},{"family":"Santoro","given":"Aurelia"},{"family":"Grignolio","given":"Andrea"},{"family":"Monti","given":"Daniela"},{"family":"Capri","given":"Miriam"},{"family":"Salvioli","given":"Stefano"}],"issued":{"date-parts":[["2018",3,12]]}}}],"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[2]</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0C" w14:textId="4B98D5D2" w:rsidR="000C6D32" w:rsidRPr="00F20226" w:rsidRDefault="00F20226">
      <w:pPr>
        <w:spacing w:line="240" w:lineRule="auto"/>
        <w:rPr>
          <w:rFonts w:ascii="Times New Roman" w:eastAsia="Times New Roman" w:hAnsi="Times New Roman" w:cs="Times New Roman"/>
          <w:i/>
          <w:iCs/>
          <w:sz w:val="20"/>
          <w:szCs w:val="20"/>
        </w:rPr>
      </w:pPr>
      <w:r w:rsidRPr="00F20226">
        <w:rPr>
          <w:rFonts w:ascii="Times New Roman" w:eastAsia="Times New Roman" w:hAnsi="Times New Roman" w:cs="Times New Roman"/>
          <w:i/>
          <w:iCs/>
          <w:sz w:val="20"/>
          <w:szCs w:val="20"/>
        </w:rPr>
        <w:t>A. Genetic, Environmental, and Lifestyle Factors</w:t>
      </w:r>
    </w:p>
    <w:p w14:paraId="0000000D" w14:textId="44ADC331"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A.1. </w:t>
      </w:r>
      <w:r w:rsidRPr="00F20226">
        <w:rPr>
          <w:rFonts w:ascii="Times New Roman" w:eastAsia="Times New Roman" w:hAnsi="Times New Roman" w:cs="Times New Roman"/>
          <w:sz w:val="20"/>
          <w:szCs w:val="20"/>
        </w:rPr>
        <w:t xml:space="preserve">Genetic factors </w:t>
      </w:r>
    </w:p>
    <w:p w14:paraId="0000000E" w14:textId="7B1CA462" w:rsidR="000C6D32" w:rsidRPr="00F20226" w:rsidRDefault="00000000" w:rsidP="00F20226">
      <w:pP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Genetic predisposition:</w:t>
      </w:r>
      <w:r w:rsidRPr="00F20226">
        <w:rPr>
          <w:rFonts w:ascii="Times New Roman" w:eastAsia="Times New Roman" w:hAnsi="Times New Roman" w:cs="Times New Roman"/>
          <w:sz w:val="20"/>
          <w:szCs w:val="20"/>
        </w:rPr>
        <w:t xml:space="preserve"> Some people may carry genes linked to longer lifespans and better health as they age. Understanding genetic influences can aid in risk assessment and direct individualized anti-aging strategies</w:t>
      </w:r>
      <w:r w:rsidR="000E2BC2">
        <w:rPr>
          <w:rFonts w:ascii="Times New Roman" w:eastAsia="Times New Roman" w:hAnsi="Times New Roman" w:cs="Times New Roman"/>
          <w:sz w:val="20"/>
          <w:szCs w:val="20"/>
        </w:rPr>
        <w:t xml:space="preserve"> </w:t>
      </w:r>
      <w:r w:rsidR="004F51E3">
        <w:rPr>
          <w:rFonts w:ascii="Times New Roman" w:eastAsia="Times New Roman" w:hAnsi="Times New Roman" w:cs="Times New Roman"/>
          <w:sz w:val="20"/>
          <w:szCs w:val="20"/>
        </w:rPr>
        <w:fldChar w:fldCharType="begin"/>
      </w:r>
      <w:r w:rsidR="004F51E3">
        <w:rPr>
          <w:rFonts w:ascii="Times New Roman" w:eastAsia="Times New Roman" w:hAnsi="Times New Roman" w:cs="Times New Roman"/>
          <w:sz w:val="20"/>
          <w:szCs w:val="20"/>
        </w:rPr>
        <w:instrText xml:space="preserve"> ADDIN ZOTERO_ITEM CSL_CITATION {"citationID":"N5cwFmaT","properties":{"formattedCitation":"[3]","plainCitation":"[3]","noteIndex":0},"citationItems":[{"id":240,"uris":["http://zotero.org/users/local/EXtS0esT/items/4GEVXUNM"],"itemData":{"id":240,"type":"article-journal","abstract":"The process of aging refers to the decay of an organism's structure and function, in which molecular and cellular modifications can have various effects at the individual level over the course of a lifetime. The accumulation of molecular errors that compromise adult stem cell functions occurs because of genetic and epigenetic interactions and depends on hereditary, environmental, and stochastic factors. Here we review the known genetic factors involved in aging.","container-title":"Aging and Disease","ISSN":"2152-5250","issue":"3","journalAbbreviation":"Aging Dis","language":"eng","note":"PMID: 22396873\nPMCID: PMC3295054","page":"186-195","source":"PubMed","title":"Aging genetics and aging","volume":"2","author":[{"family":"Rodríguez-Rodero","given":"Sandra"},{"family":"Fernández-Morera","given":"Juan Luis"},{"family":"Menéndez-Torre","given":"Edelmiro"},{"family":"Calvanese","given":"Vincenzo"},{"family":"Fernández","given":"Agustín F."},{"family":"Fraga","given":"Mario F."}],"issued":{"date-parts":[["2011",6]]}}}],"schema":"https://github.com/citation-style-language/schema/raw/master/csl-citation.json"} </w:instrText>
      </w:r>
      <w:r w:rsidR="004F51E3">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[3]</w:t>
      </w:r>
      <w:r w:rsidR="004F51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0F" w14:textId="3B5D60A7" w:rsidR="000C6D32" w:rsidRPr="00F20226" w:rsidRDefault="00000000" w:rsidP="00F20226">
      <w:pP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Telomeres:</w:t>
      </w:r>
      <w:r w:rsidRPr="00F20226">
        <w:rPr>
          <w:rFonts w:ascii="Times New Roman" w:eastAsia="Times New Roman" w:hAnsi="Times New Roman" w:cs="Times New Roman"/>
          <w:sz w:val="20"/>
          <w:szCs w:val="20"/>
        </w:rPr>
        <w:t xml:space="preserve"> Cellular ageing is influenced by telomeres, the protective caps at the ends of chromosomes</w:t>
      </w:r>
      <w:r w:rsidR="000E2BC2">
        <w:rPr>
          <w:rFonts w:ascii="Times New Roman" w:eastAsia="Times New Roman" w:hAnsi="Times New Roman" w:cs="Times New Roman"/>
          <w:sz w:val="20"/>
          <w:szCs w:val="20"/>
        </w:rPr>
        <w:t xml:space="preserve"> </w:t>
      </w:r>
      <w:r w:rsidR="00C201FD">
        <w:rPr>
          <w:rFonts w:ascii="Times New Roman" w:eastAsia="Times New Roman" w:hAnsi="Times New Roman" w:cs="Times New Roman"/>
          <w:sz w:val="20"/>
          <w:szCs w:val="20"/>
        </w:rPr>
        <w:fldChar w:fldCharType="begin"/>
      </w:r>
      <w:r w:rsidR="00C201FD">
        <w:rPr>
          <w:rFonts w:ascii="Times New Roman" w:eastAsia="Times New Roman" w:hAnsi="Times New Roman" w:cs="Times New Roman"/>
          <w:sz w:val="20"/>
          <w:szCs w:val="20"/>
        </w:rPr>
        <w:instrText xml:space="preserve"> ADDIN ZOTERO_ITEM CSL_CITATION {"citationID":"i73bE5sX","properties":{"formattedCitation":"[4]","plainCitation":"[4]","noteIndex":0},"citationItems":[{"id":244,"uris":["http://zotero.org/users/local/EXtS0esT/items/MX9JZSGE"],"itemData":{"id":244,"type":"article-journal","container-title":"Nature Reviews Molecular Cell Biology","DOI":"10.1038/nrm2848","ISSN":"1471-0072, 1471-0080","issue":"3","journalAbbreviation":"Nat Rev Mol Cell Biol","language":"en","page":"171-181","source":"DOI.org (Crossref)","title":"Telomeres: protecting chromosomes against genome instability","title-short":"Telomeres","volume":"11","author":[{"family":"O'Sullivan","given":"Roderick J."},{"family":"Karlseder","given":"Jan"}],"issued":{"date-parts":[["2010",3]]}}}],"schema":"https://github.com/citation-style-language/schema/raw/master/csl-citation.json"} </w:instrText>
      </w:r>
      <w:r w:rsidR="00C201FD">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[4]</w:t>
      </w:r>
      <w:r w:rsidR="00C201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Anti-aging research is interested in preserving telomere length or reducing their shortening</w:t>
      </w:r>
      <w:r w:rsidR="000E2BC2">
        <w:rPr>
          <w:rFonts w:ascii="Times New Roman" w:eastAsia="Times New Roman" w:hAnsi="Times New Roman" w:cs="Times New Roman"/>
          <w:sz w:val="20"/>
          <w:szCs w:val="20"/>
        </w:rPr>
        <w:t xml:space="preserve"> </w:t>
      </w:r>
      <w:r w:rsidR="00C201FD">
        <w:rPr>
          <w:rFonts w:ascii="Times New Roman" w:eastAsia="Times New Roman" w:hAnsi="Times New Roman" w:cs="Times New Roman"/>
          <w:sz w:val="20"/>
          <w:szCs w:val="20"/>
        </w:rPr>
        <w:fldChar w:fldCharType="begin"/>
      </w:r>
      <w:r w:rsidR="00C201FD">
        <w:rPr>
          <w:rFonts w:ascii="Times New Roman" w:eastAsia="Times New Roman" w:hAnsi="Times New Roman" w:cs="Times New Roman"/>
          <w:sz w:val="20"/>
          <w:szCs w:val="20"/>
        </w:rPr>
        <w:instrText xml:space="preserve"> ADDIN ZOTERO_ITEM CSL_CITATION {"citationID":"YHKS99kA","properties":{"formattedCitation":"[5]","plainCitation":"[5]","noteIndex":0},"citationItems":[{"id":232,"uris":["http://zotero.org/users/local/EXtS0esT/items/J2V2ZI2M"],"itemData":{"id":232,"type":"article-journal","container-title":"Current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C201FD">
        <w:rPr>
          <w:rFonts w:ascii="Times New Roman" w:eastAsia="Times New Roman" w:hAnsi="Times New Roman" w:cs="Times New Roman"/>
          <w:sz w:val="20"/>
          <w:szCs w:val="20"/>
        </w:rPr>
        <w:fldChar w:fldCharType="separate"/>
      </w:r>
      <w:r w:rsidR="008F4E4F" w:rsidRPr="008F4E4F">
        <w:rPr>
          <w:rFonts w:ascii="Times New Roman" w:hAnsi="Times New Roman" w:cs="Times New Roman"/>
          <w:sz w:val="20"/>
        </w:rPr>
        <w:t>[5]</w:t>
      </w:r>
      <w:r w:rsidR="00C201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0" w14:textId="4505195F" w:rsidR="000C6D32" w:rsidRPr="00F20226" w:rsidRDefault="00000000" w:rsidP="00F20226">
      <w:pPr>
        <w:spacing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lastRenderedPageBreak/>
        <w:t>Single Nucleotide Polymorphisms (SNPs):</w:t>
      </w:r>
      <w:r w:rsidRPr="00F20226">
        <w:rPr>
          <w:rFonts w:ascii="Times New Roman" w:eastAsia="Times New Roman" w:hAnsi="Times New Roman" w:cs="Times New Roman"/>
          <w:sz w:val="20"/>
          <w:szCs w:val="20"/>
        </w:rPr>
        <w:t xml:space="preserve"> Changes in certain genes (SNPs) can affect how the body metabolizes nutrition, reacts to stimuli from the environment</w:t>
      </w:r>
      <w:r w:rsidR="000E2BC2">
        <w:rPr>
          <w:rFonts w:ascii="Times New Roman" w:eastAsia="Times New Roman" w:hAnsi="Times New Roman" w:cs="Times New Roman"/>
          <w:sz w:val="20"/>
          <w:szCs w:val="20"/>
        </w:rPr>
        <w:t xml:space="preserve"> </w:t>
      </w:r>
      <w:r w:rsidR="00CA6F1C">
        <w:rPr>
          <w:rFonts w:ascii="Times New Roman" w:eastAsia="Times New Roman" w:hAnsi="Times New Roman" w:cs="Times New Roman"/>
          <w:sz w:val="20"/>
          <w:szCs w:val="20"/>
        </w:rPr>
        <w:fldChar w:fldCharType="begin"/>
      </w:r>
      <w:r w:rsidR="00CA6F1C">
        <w:rPr>
          <w:rFonts w:ascii="Times New Roman" w:eastAsia="Times New Roman" w:hAnsi="Times New Roman" w:cs="Times New Roman"/>
          <w:sz w:val="20"/>
          <w:szCs w:val="20"/>
        </w:rPr>
        <w:instrText xml:space="preserve"> ADDIN ZOTERO_ITEM CSL_CITATION {"citationID":"UogDYwZv","properties":{"formattedCitation":"[6]","plainCitation":"[6]","noteIndex":0},"citationItems":[{"id":250,"uris":["http://zotero.org/users/local/EXtS0esT/items/HIS4FW63"],"itemData":{"id":250,"type":"article-journal","container-title":"Toxicology and Applied Pharmacology","DOI":"10.1016/j.taap.2004.09.024","ISSN":"0041008X","issue":"2","journalAbbreviation":"Toxicology and Applied Pharmacology","language":"en","page":"84-90","source":"DOI.org (Crossref)","title":"Single nucleotide polymorphism in transcriptional regulatory regions and expression of environmentally responsive genes","volume":"207","author":[{"family":"Wang","given":"X"},{"family":"Tomso","given":"D"},{"family":"Liu","given":"X"},{"family":"Bell","given":"D"}],"issued":{"date-parts":[["2005",9,1]]}}}],"schema":"https://github.com/citation-style-language/schema/raw/master/csl-citation.json"} </w:instrText>
      </w:r>
      <w:r w:rsidR="00CA6F1C">
        <w:rPr>
          <w:rFonts w:ascii="Times New Roman" w:eastAsia="Times New Roman" w:hAnsi="Times New Roman" w:cs="Times New Roman"/>
          <w:sz w:val="20"/>
          <w:szCs w:val="20"/>
        </w:rPr>
        <w:fldChar w:fldCharType="separate"/>
      </w:r>
      <w:r w:rsidR="00CA6F1C" w:rsidRPr="00CA6F1C">
        <w:rPr>
          <w:rFonts w:ascii="Times New Roman" w:hAnsi="Times New Roman" w:cs="Times New Roman"/>
          <w:sz w:val="20"/>
        </w:rPr>
        <w:t>[6]</w:t>
      </w:r>
      <w:r w:rsidR="00CA6F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and controls inflammation, which can have an impact on how old you are</w:t>
      </w:r>
      <w:r w:rsidR="000E2BC2">
        <w:rPr>
          <w:rFonts w:ascii="Times New Roman" w:eastAsia="Times New Roman" w:hAnsi="Times New Roman" w:cs="Times New Roman"/>
          <w:sz w:val="20"/>
          <w:szCs w:val="20"/>
        </w:rPr>
        <w:t xml:space="preserve"> </w:t>
      </w:r>
      <w:r w:rsidR="008F4E4F">
        <w:rPr>
          <w:rFonts w:ascii="Times New Roman" w:eastAsia="Times New Roman" w:hAnsi="Times New Roman" w:cs="Times New Roman"/>
          <w:sz w:val="20"/>
          <w:szCs w:val="20"/>
        </w:rPr>
        <w:fldChar w:fldCharType="begin"/>
      </w:r>
      <w:r w:rsidR="00CA6F1C">
        <w:rPr>
          <w:rFonts w:ascii="Times New Roman" w:eastAsia="Times New Roman" w:hAnsi="Times New Roman" w:cs="Times New Roman"/>
          <w:sz w:val="20"/>
          <w:szCs w:val="20"/>
        </w:rPr>
        <w:instrText xml:space="preserve"> ADDIN ZOTERO_ITEM CSL_CITATION {"citationID":"k5zzQOw9","properties":{"formattedCitation":"[7]","plainCitation":"[7]","noteIndex":0},"citationItems":[{"id":246,"uris":["http://zotero.org/users/local/EXtS0esT/items/2MCBPRNV"],"itemData":{"id":246,"type":"article-journal","container-title":"Journal of Translational Internal Medicine","DOI":"10.2478/jtim-2022-0002","ISSN":"2224-4018","issue":"1","language":"en","page":"1-4","source":"DOI.org (Crossref)","title":"Single-nucleotide polymorphisms in medical nutritional weight loss: Challenges and future directions","title-short":"Single-nucleotide polymorphisms in medical nutritional weight loss","volume":"10","author":[{"family":"Chen","given":"Moxi"},{"family":"Chen","given":"Wei"}],"issued":{"date-parts":[["2022",4,9]]}}}],"schema":"https://github.com/citation-style-language/schema/raw/master/csl-citation.json"} </w:instrText>
      </w:r>
      <w:r w:rsidR="008F4E4F">
        <w:rPr>
          <w:rFonts w:ascii="Times New Roman" w:eastAsia="Times New Roman" w:hAnsi="Times New Roman" w:cs="Times New Roman"/>
          <w:sz w:val="20"/>
          <w:szCs w:val="20"/>
        </w:rPr>
        <w:fldChar w:fldCharType="separate"/>
      </w:r>
      <w:r w:rsidR="00CA6F1C" w:rsidRPr="00CA6F1C">
        <w:rPr>
          <w:rFonts w:ascii="Times New Roman" w:hAnsi="Times New Roman" w:cs="Times New Roman"/>
          <w:sz w:val="20"/>
        </w:rPr>
        <w:t>[7]</w:t>
      </w:r>
      <w:r w:rsidR="008F4E4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1" w14:textId="46664C31"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A.2. </w:t>
      </w:r>
      <w:r w:rsidRPr="00F20226">
        <w:rPr>
          <w:rFonts w:ascii="Times New Roman" w:eastAsia="Times New Roman" w:hAnsi="Times New Roman" w:cs="Times New Roman"/>
          <w:sz w:val="20"/>
          <w:szCs w:val="20"/>
        </w:rPr>
        <w:t>Environmental factors</w:t>
      </w:r>
    </w:p>
    <w:p w14:paraId="00000012" w14:textId="1354DCC3"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UV rays:</w:t>
      </w:r>
      <w:r w:rsidRPr="00F20226">
        <w:rPr>
          <w:rFonts w:ascii="Times New Roman" w:eastAsia="Times New Roman" w:hAnsi="Times New Roman" w:cs="Times New Roman"/>
          <w:sz w:val="20"/>
          <w:szCs w:val="20"/>
        </w:rPr>
        <w:t xml:space="preserve"> Prolonged sun exposure has been shown to hasten the ageing process of the skin, causing wrinkles, age spots, and other skin damage</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V1hPdQHX","properties":{"formattedCitation":"[8]","plainCitation":"[8]","noteIndex":0},"citationItems":[{"id":254,"uris":["http://zotero.org/users/local/EXtS0esT/items/NVHPC5CK"],"itemData":{"id":254,"type":"article-journal","container-title":"Molecules","DOI":"10.3390/molecules19056202","ISSN":"1420-3049","issue":"5","journalAbbreviation":"Molecules","language":"en","page":"6202-6219","source":"DOI.org (Crossref)","title":"Ultraviolet Radiation, Aging and the Skin: Prevention of Damage by Topical cAMP Manipulation","title-short":"Ultraviolet Radiation, Aging and the Skin","volume":"19","author":[{"family":"Amaro-Ortiz","given":"Alexandra"},{"family":"Yan","given":"Betty"},{"family":"D'Orazio","given":"John"}],"issued":{"date-parts":[["2014",5,15]]}}}],"schema":"https://github.com/citation-style-language/schema/raw/master/csl-citation.json"} </w:instrText>
      </w:r>
      <w:r w:rsidR="00144527">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[8]</w:t>
      </w:r>
      <w:r w:rsidR="0014452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These effects can be minimized by wearing protective clothes and sunscreen</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{"citationID":"jBqlHl9F","properties":{"formattedCitation":"[9]","plainCitation":"[9]","noteIndex":0},"citationItems":[{"id":252,"uris":["http://zotero.org/users/local/EXtS0esT/items/AMS987A4"],"itemData":{"id":252,"type":"article-journal","abstract":"Skin, being one of the vital organs and a protective barrier needs to be pampered and taken care of from early childhood. It is the most visible and the widest exposed organ and by far reflects the general health condition and the aging process in humans. Both intrinsic and extrinsic factors contribute to this complex biological process of skin aging. In recent times, skin health and its beauty is perceived as an indicator of one’s health which has resulted in an increasing demand for anti-aging products. Exposure to UV radiation is considered to be one of the factors responsible for aging termed as photoaging. In this review, we have discussed the various factors which may accelerate the process of skin aging. Various approaches and strategies to delay the process of skin aging have been emphasized upon. The patents filed in the area of anti-aging and sunscreen products have also been reviewed to gain an insight into the new formulations which have been developed as an anti-aging product. There has been a tremendous rise in the cosmetic and cosmeceuticals market with products having a dual activity of anti-aging and sun protection. Research is constantly on the rise to ensure the safety of these products. Alternatives to the current topical application of sunscreen are being considered to overcome the drawback of reapplication of the sunscreen often which can be a boon to the cosmeceutical market.","container-title":"Advanced Pharmaceutical Bulletin","DOI":"10.15171/apb.2019.042","ISSN":"2228-5881, 2251-7308","issue":"3","journalAbbreviation":"Adv Pharm Bull","language":"en","page":"348-359","source":"DOI.org (Crossref)","title":"Anti-aging and Sunscreens: Paradigm Shift in Cosmetics","title-short":"Anti-aging and Sunscreens","volume":"9","author":[{"family":"Shanbhag","given":"Shreya"},{"family":"Nayak","given":"Akshatha"},{"family":"Narayan","given":"Reema"},{"family":"Nayak","given":"Usha Yogendra"}],"issued":{"date-parts":[["2019",8,1]]}}}],"schema":"https://github.com/citation-style-language/schema/raw/master/csl-citation.json"} </w:instrText>
      </w:r>
      <w:r w:rsidR="00144527">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[9]</w:t>
      </w:r>
      <w:r w:rsidR="0014452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3" w14:textId="39A5CFA0"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Pollution:</w:t>
      </w:r>
      <w:r w:rsidRPr="00F20226">
        <w:rPr>
          <w:rFonts w:ascii="Times New Roman" w:eastAsia="Times New Roman" w:hAnsi="Times New Roman" w:cs="Times New Roman"/>
          <w:sz w:val="20"/>
          <w:szCs w:val="20"/>
        </w:rPr>
        <w:t xml:space="preserve"> Particulate matter and airborne toxins are examples of environmental pollutants that may accelerate the ageing process by causing inflammation and oxidative stress</w:t>
      </w:r>
      <w:r w:rsidR="000E2BC2">
        <w:rPr>
          <w:rFonts w:ascii="Times New Roman" w:eastAsia="Times New Roman" w:hAnsi="Times New Roman" w:cs="Times New Roman"/>
          <w:sz w:val="20"/>
          <w:szCs w:val="20"/>
        </w:rPr>
        <w:t xml:space="preserve"> </w:t>
      </w:r>
      <w:r w:rsidR="008F4E4F">
        <w:rPr>
          <w:rFonts w:ascii="Times New Roman" w:eastAsia="Times New Roman" w:hAnsi="Times New Roman" w:cs="Times New Roman"/>
          <w:sz w:val="20"/>
          <w:szCs w:val="20"/>
        </w:rPr>
        <w:fldChar w:fldCharType="begin"/>
      </w:r>
      <w:r w:rsidR="00144527">
        <w:rPr>
          <w:rFonts w:ascii="Times New Roman" w:eastAsia="Times New Roman" w:hAnsi="Times New Roman" w:cs="Times New Roman"/>
          <w:sz w:val="20"/>
          <w:szCs w:val="20"/>
        </w:rPr>
        <w:instrText xml:space="preserve"> ADDIN ZOTERO_ITEM CSL_CITATION {"citationID":"LmxzA61p","properties":{"formattedCitation":"[10]","plainCitation":"[10]","noteIndex":0},"citationItems":[{"id":248,"uris":["http://zotero.org/users/local/EXtS0esT/items/ER34QX5J"],"itemData":{"id":248,"type":"article-journal","container-title":"Molecules","DOI":"10.3390/molecules19056202","ISSN":"1420-3049","issue":"5","journalAbbreviation":"Molecules","language":"en","page":"6202-6219","source":"DOI.org (Crossref)","title":"Ultraviolet Radiation, Aging and the Skin: Prevention of Damage by Topical cAMP Manipulation","title-short":"Ultraviolet Radiation, Aging and the Skin","volume":"19","author":[{"family":"Amaro-Ortiz","given":"Alexandra"},{"family":"Yan","given":"Betty"},{"family":"D'Orazio","given":"John"}],"issued":{"date-parts":[["2014",5,15]]}}}],"schema":"https://github.com/citation-style-language/schema/raw/master/csl-citation.json"} </w:instrText>
      </w:r>
      <w:r w:rsidR="008F4E4F">
        <w:rPr>
          <w:rFonts w:ascii="Times New Roman" w:eastAsia="Times New Roman" w:hAnsi="Times New Roman" w:cs="Times New Roman"/>
          <w:sz w:val="20"/>
          <w:szCs w:val="20"/>
        </w:rPr>
        <w:fldChar w:fldCharType="separate"/>
      </w:r>
      <w:r w:rsidR="00144527" w:rsidRPr="00144527">
        <w:rPr>
          <w:rFonts w:ascii="Times New Roman" w:hAnsi="Times New Roman" w:cs="Times New Roman"/>
          <w:sz w:val="20"/>
        </w:rPr>
        <w:t>[10]</w:t>
      </w:r>
      <w:r w:rsidR="008F4E4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4" w14:textId="291AFC1A" w:rsidR="000C6D32" w:rsidRPr="00F20226" w:rsidRDefault="00000000" w:rsidP="00F20226">
      <w:pPr>
        <w:spacing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Lifestyle choices:</w:t>
      </w:r>
      <w:r w:rsidRPr="00F20226">
        <w:rPr>
          <w:rFonts w:ascii="Times New Roman" w:eastAsia="Times New Roman" w:hAnsi="Times New Roman" w:cs="Times New Roman"/>
          <w:sz w:val="20"/>
          <w:szCs w:val="20"/>
        </w:rPr>
        <w:t xml:space="preserve"> Bad habits like smoking and drinking too much alcohol can have an adverse impact on general health and accelerate the ageing process</w:t>
      </w:r>
      <w:r w:rsidR="000E2BC2">
        <w:rPr>
          <w:rFonts w:ascii="Times New Roman" w:eastAsia="Times New Roman" w:hAnsi="Times New Roman" w:cs="Times New Roman"/>
          <w:sz w:val="20"/>
          <w:szCs w:val="20"/>
        </w:rPr>
        <w:t xml:space="preserve"> </w:t>
      </w:r>
      <w:r w:rsidR="00144527">
        <w:rPr>
          <w:rFonts w:ascii="Times New Roman" w:eastAsia="Times New Roman" w:hAnsi="Times New Roman" w:cs="Times New Roman"/>
          <w:sz w:val="20"/>
          <w:szCs w:val="20"/>
        </w:rPr>
        <w:fldChar w:fldCharType="begin"/>
      </w:r>
      <w:r w:rsidR="00416A55">
        <w:rPr>
          <w:rFonts w:ascii="Times New Roman" w:eastAsia="Times New Roman" w:hAnsi="Times New Roman" w:cs="Times New Roman"/>
          <w:sz w:val="20"/>
          <w:szCs w:val="20"/>
        </w:rPr>
        <w:instrText xml:space="preserve"> ADDIN ZOTERO_ITEM CSL_CITATION {"citationID":"dFE4VLWw","properties":{"formattedCitation":"[11], [12]","plainCitation":"[11], [12]","noteIndex":0},"citationItems":[{"id":256,"uris":["http://zotero.org/users/local/EXtS0esT/items/VZK5S4VI"],"itemData":{"id":256,"type":"article-journal","abstract":"Objective: Data on associations between facial aging and smoking or alcohol consumption are generally derived from small studies, and therefore, vary. The aim of this large multinational study was to determine more accurately which clinical signs of skin- and volume-related facial aging are associated with tobacco and alcohol use in women. Design: This was a subanalysis of a global, cross-sectional, Internet-based survey of self-reported facial aging. Participants: Women aged 18 to 75 years old (n=3,267) from the United States, Australia, Canada, and the United Kingdom who described themselves as white, Asian, black, or Hispanic were included. Measurements: Using a mirror, participants determined their own aging severity on photonumeric rating scales for 11 facial characteristics. Linear regressions were used to assess associations between each feature's severity and smoking status (never vs. current and former smoker); smoking pack years (0 versus 1-10, 11-20, and &gt;20 years); alcohol use (none vs. moderate and heavy); and alcoholic beverage type, after controlling for body mass index, country, age, and race. Results: Smoking was associated with an increased severity of forehead, crow's feet, and glabellar lines; under-eye puffiness; tear-trough hollowing; nasolabial folds; oral commissures; perioral lines; and reduced lip fullness (p≤0.025) but not midface volume loss or visible blood vessels. Heavy alcohol use (≥8 drinks/week) was associated with increased upper facial lines, under-eye puffiness, oral commissures, midface volume loss, and blood vessels (p≤0.042). Conclusion: Smoking and alcohol consumption significantly but differentially impact skin and volume-related facial aging.","container-title":"The Journal of Clinical and Aesthetic Dermatology","ISSN":"1941-2789","issue":"8","journalAbbreviation":"J Clin Aesthet Dermatol","language":"eng","note":"PMID: 31531169\nPMCID: PMC6715121","page":"28-39","source":"PubMed","title":"Impact of Smoking and Alcohol Use on Facial Aging in Women: Results of a Large Multinational, Multiracial, Cross-sectional Survey","title-short":"Impact of Smoking and Alcohol Use on Facial Aging in Women","volume":"12","author":[{"family":"Goodman","given":"Greg D."},{"family":"Kaufman","given":"Joely"},{"family":"Day","given":"Doris"},{"family":"Weiss","given":"Robert"},{"family":"Kawata","given":"Ariane K."},{"family":"Garcia","given":"Julia K."},{"family":"Santangelo","given":"Samantha"},{"family":"Gallagher","given":"Conor J."}],"issued":{"date-parts":[["2019",8]]}}},{"id":258,"uris":["http://zotero.org/users/local/EXtS0esT/items/LK2FUY9D"],"itemData":{"id":258,"type":"article-journal","container-title":"BMC Public Health","DOI":"10.1186/s12889-016-3158-y","ISSN":"1471-2458","issue":"1","journalAbbreviation":"BMC Public Health","language":"en","page":"627","source":"DOI.org (Crossref)","title":"The relationship of tobacco and alcohol use with ageing self-perceptions in older people in Ireland","volume":"16","author":[{"family":"Villiers-Tuthill","given":"Amanda"},{"family":"Copley","given":"Antoinette"},{"family":"McGee","given":"Hannah"},{"family":"Morgan","given":"Karen"}],"issued":{"date-parts":[["2016",12]]}}}],"schema":"https://github.com/citation-style-language/schema/raw/master/csl-citation.json"} </w:instrText>
      </w:r>
      <w:r w:rsidR="00144527">
        <w:rPr>
          <w:rFonts w:ascii="Times New Roman" w:eastAsia="Times New Roman" w:hAnsi="Times New Roman" w:cs="Times New Roman"/>
          <w:sz w:val="20"/>
          <w:szCs w:val="20"/>
        </w:rPr>
        <w:fldChar w:fldCharType="separate"/>
      </w:r>
      <w:r w:rsidR="00416A55" w:rsidRPr="00416A55">
        <w:rPr>
          <w:rFonts w:ascii="Times New Roman" w:hAnsi="Times New Roman" w:cs="Times New Roman"/>
          <w:sz w:val="20"/>
        </w:rPr>
        <w:t>[11], [12]</w:t>
      </w:r>
      <w:r w:rsidR="00144527">
        <w:rPr>
          <w:rFonts w:ascii="Times New Roman" w:eastAsia="Times New Roman" w:hAnsi="Times New Roman" w:cs="Times New Roman"/>
          <w:sz w:val="20"/>
          <w:szCs w:val="20"/>
        </w:rPr>
        <w:fldChar w:fldCharType="end"/>
      </w:r>
      <w:r w:rsidR="00416A55">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w:t>
      </w:r>
    </w:p>
    <w:p w14:paraId="00000015" w14:textId="2CF4A4CA" w:rsidR="000C6D32" w:rsidRPr="00F20226" w:rsidRDefault="00F20226">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A.3. </w:t>
      </w:r>
      <w:r w:rsidRPr="00F20226">
        <w:rPr>
          <w:rFonts w:ascii="Times New Roman" w:eastAsia="Times New Roman" w:hAnsi="Times New Roman" w:cs="Times New Roman"/>
          <w:sz w:val="20"/>
          <w:szCs w:val="20"/>
        </w:rPr>
        <w:t>Lifestyle factors</w:t>
      </w:r>
    </w:p>
    <w:p w14:paraId="00000016" w14:textId="0B463628" w:rsidR="000C6D32" w:rsidRPr="00F20226" w:rsidRDefault="00000000" w:rsidP="00F20226">
      <w:pP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Diet: An antioxidant-rich, vitamin- and mineral-rich diet helps maintain cellular health and fight oxidative stress linked to ageing</w:t>
      </w:r>
      <w:r w:rsidR="000E2BC2">
        <w:rPr>
          <w:rFonts w:ascii="Times New Roman" w:eastAsia="Times New Roman" w:hAnsi="Times New Roman" w:cs="Times New Roman"/>
          <w:sz w:val="20"/>
          <w:szCs w:val="20"/>
        </w:rPr>
        <w:t xml:space="preserve"> </w:t>
      </w:r>
      <w:r w:rsidR="00416A55">
        <w:rPr>
          <w:rFonts w:ascii="Times New Roman" w:eastAsia="Times New Roman" w:hAnsi="Times New Roman" w:cs="Times New Roman"/>
          <w:sz w:val="20"/>
          <w:szCs w:val="20"/>
        </w:rPr>
        <w:fldChar w:fldCharType="begin"/>
      </w:r>
      <w:r w:rsidR="005A6DE7">
        <w:rPr>
          <w:rFonts w:ascii="Times New Roman" w:eastAsia="Times New Roman" w:hAnsi="Times New Roman" w:cs="Times New Roman"/>
          <w:sz w:val="20"/>
          <w:szCs w:val="20"/>
        </w:rPr>
        <w:instrText xml:space="preserve"> ADDIN ZOTERO_ITEM CSL_CITATION {"citationID":"r42Gs7td","properties":{"formattedCitation":"[13], [14]","plainCitation":"[13], [14]","noteIndex":0},"citationItems":[{"id":262,"uris":["http://zotero.org/users/local/EXtS0esT/items/QY95PZHT"],"itemData":{"id":262,"type":"article-journal","container-title":"Frontiers in Pharmacology","DOI":"10.3389/fphar.2018.01162","ISSN":"1663-9812","journalAbbreviation":"Front. Pharmacol.","page":"1162","source":"DOI.org (Crossref)","title":"Antioxidant and Oxidative Stress: A Mutual Interplay in Age-Related Diseases","title-short":"Antioxidant and Oxidative Stress","volume":"9","author":[{"family":"Tan","given":"Bee Ling"},{"family":"Norhaizan","given":"Mohd Esa"},{"family":"Liew","given":"Winnie-Pui-Pui"},{"family":"Sulaiman Rahman","given":"Heshu"}],"issued":{"date-parts":[["2018",10,16]]}}},{"id":260,"uris":["http://zotero.org/users/local/EXtS0esT/items/6YBM2FLT"],"itemData":{"id":260,"type":"article-journal","container-title":"Pharmacognosy Reviews","DOI":"10.4103/0973-7847.70902","ISSN":"0973-7847","issue":"8","journalAbbreviation":"Phcog Rev","language":"en","page":"118","source":"DOI.org (Crossref)","title":"Free radicals, antioxidants and functional foods: Impact on human health","title-short":"Free radicals, antioxidants and functional foods","volume":"4","author":[{"family":"Lobo","given":"V"},{"family":"Patil","given":"A"},{"family":"Phatak","given":"A"},{"family":"Chandra","given":"N"}],"issued":{"date-parts":[["2010"]]}}}],"schema":"https://github.com/citation-style-language/schema/raw/master/csl-citation.json"} </w:instrText>
      </w:r>
      <w:r w:rsidR="00416A55">
        <w:rPr>
          <w:rFonts w:ascii="Times New Roman" w:eastAsia="Times New Roman" w:hAnsi="Times New Roman" w:cs="Times New Roman"/>
          <w:sz w:val="20"/>
          <w:szCs w:val="20"/>
        </w:rPr>
        <w:fldChar w:fldCharType="separate"/>
      </w:r>
      <w:r w:rsidR="005A6DE7" w:rsidRPr="005A6DE7">
        <w:rPr>
          <w:rFonts w:ascii="Times New Roman" w:hAnsi="Times New Roman" w:cs="Times New Roman"/>
          <w:sz w:val="20"/>
        </w:rPr>
        <w:t>[13], [14]</w:t>
      </w:r>
      <w:r w:rsidR="00416A5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7" w14:textId="3574E63D" w:rsidR="000C6D32" w:rsidRPr="00F20226" w:rsidRDefault="00000000" w:rsidP="00F20226">
      <w:pP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Exercise:</w:t>
      </w:r>
      <w:r w:rsidRPr="00F20226">
        <w:rPr>
          <w:rFonts w:ascii="Times New Roman" w:eastAsia="Times New Roman" w:hAnsi="Times New Roman" w:cs="Times New Roman"/>
          <w:sz w:val="20"/>
          <w:szCs w:val="20"/>
        </w:rPr>
        <w:t xml:space="preserve"> </w:t>
      </w:r>
      <w:r w:rsidR="00F20226">
        <w:rPr>
          <w:rFonts w:ascii="Times New Roman" w:eastAsia="Times New Roman" w:hAnsi="Times New Roman" w:cs="Times New Roman"/>
          <w:sz w:val="20"/>
          <w:szCs w:val="20"/>
        </w:rPr>
        <w:t xml:space="preserve">Regular physical exercise helps </w:t>
      </w:r>
      <w:r w:rsidRPr="00F20226">
        <w:rPr>
          <w:rFonts w:ascii="Times New Roman" w:eastAsia="Times New Roman" w:hAnsi="Times New Roman" w:cs="Times New Roman"/>
          <w:sz w:val="20"/>
          <w:szCs w:val="20"/>
        </w:rPr>
        <w:t>preserve cardiovascular health</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{"citationID":"W5OPEtoI","properties":{"formattedCitation":"[15], [16]","plainCitation":"[15], [16]","noteIndex":0},"citationItems":[{"id":264,"uris":["http://zotero.org/users/local/EXtS0esT/items/5JN4FV73"],"itemData":{"id":264,"type":"article-journal","container-title":"Frontiers in Cardiovascular Medicine","DOI":"10.3389/fcvm.2019.00069","ISSN":"2297-055X","journalAbbreviation":"Front. Cardiovasc. Med.","page":"69","source":"DOI.org (Crossref)","title":"Effects of Exercise to Improve Cardiovascular Health","volume":"6","author":[{"family":"Pinckard","given":"Kelsey"},{"family":"Baskin","given":"Kedryn K."},{"family":"Stanford","given":"Kristin I."}],"issued":{"date-parts":[["2019",6,4]]}}},{"id":266,"uris":["http://zotero.org/users/local/EXtS0esT/items/PXXN9N8B"],"itemData":{"id":266,"type":"article-journal","container-title":"Frontiers in Cardiovascular Medicine","DOI":"10.3389/fcvm.2018.00135","ISSN":"2297-055X","journalAbbreviation":"Front. Cardiovasc. Med.","page":"135","source":"DOI.org (Crossref)","title":"Cardiovascular Effects and Benefits of Exercise","volume":"5","author":[{"family":"Nystoriak","given":"Matthew A."},{"family":"Bhatnagar","given":"Aruni"}],"issued":{"date-parts":[["2018",9,28]]}}}],"schema":"https://github.com/citation-style-language/schema/raw/master/csl-citation.json"}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[15], [16]</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bone density</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{"citationID":"yUNplHza","properties":{"formattedCitation":"[17]","plainCitation":"[17]","noteIndex":0},"citationItems":[{"id":268,"uris":["http://zotero.org/users/local/EXtS0esT/items/QXJQJX6Q"],"itemData":{"id":268,"type":"article-journal","abstract":"Physical exercise is considered an effective means to stimulate bone osteogenesis in osteoporotic patients. The authors reviewed the current literature to define the most appropriate features of exercise for increasing bone density in osteoporotic patients. Two types emerged: (1)\n              weight-bearing aerobic exercises\n              , i.e., walking, stair climbing, jogging, and Tai Chi. Walking alone did not appear to improve bone mass; however it is able to limit its progressive loss. In fact, in order for the weight-bearing exercises to be effective, they must reach the mechanical intensity useful to determine an important ground reaction force. (2)\n              Strength and resistance exercises\n              : these are carried out with loading (lifting weights) or without (swimming, cycling). For this type of exercise to be effective a joint reaction force superior to common daily activity with sensitive muscle strengthening must be determined. These exercises appear extremely site-specific, able to increase muscle mass and BMD only in the stimulated body regions. Other suggested protocols are multicomponent exercises and whole body vibration.\n              Multicomponent exercises\n              consist of a combination of different methods (aerobics, strengthening, progressive resistance, balancing, and dancing) aimed at increasing or preserving bone mass. These exercises seem particularly indicated in deteriorating elderly patients, often not able to perform exercises of pure reinforcement. However, for these protocols to be effective they must always contain a proportion of strengthening and resistance exercises. Given the variability of the protocols and outcome measures, the results of these methods are difficult to quantify. Training with\n              whole body vibration (WBV):\n              these exercises are performed with dedicated devices, and while it seems they have effect on enhancing muscle strength, controversial findings on improvement of BMD were reported. WBV seems to provide good results, especially in improving balance and reducing the risk of falling; in this, WBV appears more efficient than simply walking. Nevertheless, contraindications typical of senility should be taken into account.","container-title":"BioMed Research International","DOI":"10.1155/2018/4840531","ISSN":"2314-6133, 2314-6141","journalAbbreviation":"BioMed Research International","language":"en","page":"1-10","source":"DOI.org (Crossref)","title":"The Effectiveness of Physical Exercise on Bone Density in Osteoporotic Patients","volume":"2018","author":[{"family":"Benedetti","given":"Maria Grazia"},{"family":"Furlini","given":"Giulia"},{"family":"Zati","given":"Alessandro"},{"family":"Letizia Mauro","given":"Giulia"}],"issued":{"date-parts":[["2018",12,23]]}}}],"schema":"https://github.com/citation-style-language/schema/raw/master/csl-citation.json"}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[17]</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and muscular mass</w:t>
      </w:r>
      <w:r w:rsidR="000E2BC2">
        <w:rPr>
          <w:rFonts w:ascii="Times New Roman" w:eastAsia="Times New Roman" w:hAnsi="Times New Roman" w:cs="Times New Roman"/>
          <w:sz w:val="20"/>
          <w:szCs w:val="20"/>
        </w:rPr>
        <w:t xml:space="preserve"> </w:t>
      </w:r>
      <w:r w:rsidR="006F12FD">
        <w:rPr>
          <w:rFonts w:ascii="Times New Roman" w:eastAsia="Times New Roman" w:hAnsi="Times New Roman" w:cs="Times New Roman"/>
          <w:sz w:val="20"/>
          <w:szCs w:val="20"/>
        </w:rPr>
        <w:fldChar w:fldCharType="begin"/>
      </w:r>
      <w:r w:rsidR="006F12FD">
        <w:rPr>
          <w:rFonts w:ascii="Times New Roman" w:eastAsia="Times New Roman" w:hAnsi="Times New Roman" w:cs="Times New Roman"/>
          <w:sz w:val="20"/>
          <w:szCs w:val="20"/>
        </w:rPr>
        <w:instrText xml:space="preserve"> ADDIN ZOTERO_ITEM CSL_CITATION {"citationID":"o3ZX2Mvb","properties":{"formattedCitation":"[18]","plainCitation":"[18]","noteIndex":0},"citationItems":[{"id":270,"uris":["http://zotero.org/users/local/EXtS0esT/items/Y9IRKX53"],"itemData":{"id":270,"type":"article-journal","container-title":"Cold Spring Harbor Perspectives in Medicine","DOI":"10.1101/cshperspect.a029785","ISSN":"2157-1422","issue":"3","journalAbbreviation":"Cold Spring Harb Perspect Med","language":"en","page":"a029785","source":"DOI.org (Crossref)","title":"Effects of Exercise and Aging on Skeletal Muscle","volume":"8","author":[{"family":"Distefano","given":"Giovanna"},{"family":"Goodpaster","given":"Bret H."}],"issued":{"date-parts":[["2018",3]]}}}],"schema":"https://github.com/citation-style-language/schema/raw/master/csl-citation.json"} </w:instrText>
      </w:r>
      <w:r w:rsidR="006F12FD">
        <w:rPr>
          <w:rFonts w:ascii="Times New Roman" w:eastAsia="Times New Roman" w:hAnsi="Times New Roman" w:cs="Times New Roman"/>
          <w:sz w:val="20"/>
          <w:szCs w:val="20"/>
        </w:rPr>
        <w:fldChar w:fldCharType="separate"/>
      </w:r>
      <w:r w:rsidR="006F12FD" w:rsidRPr="006F12FD">
        <w:rPr>
          <w:rFonts w:ascii="Times New Roman" w:hAnsi="Times New Roman" w:cs="Times New Roman"/>
          <w:sz w:val="20"/>
        </w:rPr>
        <w:t>[18]</w:t>
      </w:r>
      <w:r w:rsidR="006F12FD">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Additionally, it might boost circulation and general well-being</w:t>
      </w:r>
      <w:r w:rsidR="000E2BC2">
        <w:rPr>
          <w:rFonts w:ascii="Times New Roman" w:eastAsia="Times New Roman" w:hAnsi="Times New Roman" w:cs="Times New Roman"/>
          <w:sz w:val="20"/>
          <w:szCs w:val="20"/>
        </w:rPr>
        <w:t xml:space="preserve"> </w:t>
      </w:r>
      <w:r w:rsidR="005C4FDF">
        <w:rPr>
          <w:rFonts w:ascii="Times New Roman" w:eastAsia="Times New Roman" w:hAnsi="Times New Roman" w:cs="Times New Roman"/>
          <w:sz w:val="20"/>
          <w:szCs w:val="20"/>
        </w:rPr>
        <w:fldChar w:fldCharType="begin"/>
      </w:r>
      <w:r w:rsidR="005C4FDF">
        <w:rPr>
          <w:rFonts w:ascii="Times New Roman" w:eastAsia="Times New Roman" w:hAnsi="Times New Roman" w:cs="Times New Roman"/>
          <w:sz w:val="20"/>
          <w:szCs w:val="20"/>
        </w:rPr>
        <w:instrText xml:space="preserve"> ADDIN ZOTERO_ITEM CSL_CITATION {"citationID":"ELavissE","properties":{"formattedCitation":"[19]","plainCitation":"[19]","noteIndex":0},"citationItems":[{"id":272,"uris":["http://zotero.org/users/local/EXtS0esT/items/3HT2STV7"],"itemData":{"id":272,"type":"article-journal","abstract":"The primary purpose of this narrative review was to evaluate the current literature and to provide further insight into the role physical inactivity plays in the development of chronic disease and premature death. We confirm that there is irrefutable evidence of the effectiveness of regular physical activity in the primary and secondary prevention of several chronic diseases (e.g., cardiovascular disease, diabetes, cancer, hypertension, obesity, depression and osteoporosis) and premature death. We also reveal that the current Health Canada physical activity guidelines are sufficient to elicit health benefits, especially in previously sedentary people. There appears to be a linear relation between physical activity and health status, such that a further increase in physical activity and fitness will lead to additional improvements in health status.","container-title":"CMAJ: Canadian Medical Association journal = journal de l'Association medicale canadienne","DOI":"10.1503/cmaj.051351","ISSN":"1488-2329","issue":"6","journalAbbreviation":"CMAJ","language":"eng","note":"PMID: 16534088\nPMCID: PMC1402378","page":"801-809","source":"PubMed","title":"Health benefits of physical activity: the evidence","title-short":"Health benefits of physical activity","volume":"174","author":[{"family":"Warburton","given":"Darren E. R."},{"family":"Nicol","given":"Crystal Whitney"},{"family":"Bredin","given":"Shannon S. D."}],"issued":{"date-parts":[["2006",3,14]]}}}],"schema":"https://github.com/citation-style-language/schema/raw/master/csl-citation.json"} </w:instrText>
      </w:r>
      <w:r w:rsidR="005C4FDF">
        <w:rPr>
          <w:rFonts w:ascii="Times New Roman" w:eastAsia="Times New Roman" w:hAnsi="Times New Roman" w:cs="Times New Roman"/>
          <w:sz w:val="20"/>
          <w:szCs w:val="20"/>
        </w:rPr>
        <w:fldChar w:fldCharType="separate"/>
      </w:r>
      <w:r w:rsidR="005C4FDF" w:rsidRPr="005C4FDF">
        <w:rPr>
          <w:rFonts w:ascii="Times New Roman" w:hAnsi="Times New Roman" w:cs="Times New Roman"/>
          <w:sz w:val="20"/>
        </w:rPr>
        <w:t>[19]</w:t>
      </w:r>
      <w:r w:rsidR="005C4FDF">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8" w14:textId="16ED06D2" w:rsidR="000C6D32" w:rsidRPr="00F20226" w:rsidRDefault="00000000" w:rsidP="00F20226">
      <w:pP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Sleep: Cellular repair, cognitive function, and hormone control depend on getting enough good sleep</w:t>
      </w:r>
      <w:r w:rsidR="000E2BC2">
        <w:rPr>
          <w:rFonts w:ascii="Times New Roman" w:eastAsia="Times New Roman" w:hAnsi="Times New Roman" w:cs="Times New Roman"/>
          <w:sz w:val="20"/>
          <w:szCs w:val="20"/>
        </w:rPr>
        <w:t xml:space="preserve"> </w:t>
      </w:r>
      <w:r w:rsidR="008C2E68">
        <w:rPr>
          <w:rFonts w:ascii="Times New Roman" w:eastAsia="Times New Roman" w:hAnsi="Times New Roman" w:cs="Times New Roman"/>
          <w:sz w:val="20"/>
          <w:szCs w:val="20"/>
        </w:rPr>
        <w:fldChar w:fldCharType="begin"/>
      </w:r>
      <w:r w:rsidR="008C2E68">
        <w:rPr>
          <w:rFonts w:ascii="Times New Roman" w:eastAsia="Times New Roman" w:hAnsi="Times New Roman" w:cs="Times New Roman"/>
          <w:sz w:val="20"/>
          <w:szCs w:val="20"/>
        </w:rPr>
        <w:instrText xml:space="preserve"> ADDIN ZOTERO_ITEM CSL_CITATION {"citationID":"16Ir4sU9","properties":{"formattedCitation":"[20]","plainCitation":"[20]","noteIndex":0},"citationItems":[{"id":278,"uris":["http://zotero.org/users/local/EXtS0esT/items/277Z843D"],"itemData":{"id":278,"type":"article-journal","abstract":"Today, prolonged wakefulness is a widespread phenomenon. Nevertheless, in the field of sleep and wakefulness, several unanswered questions remain. Prolonged wakefulness can be due to acute total sleep deprivation (SD) or to chronic partial sleep restriction. Although the latter is more common in everyday life, the effects of total SD have been examined more thoroughly. Both total and partial SD induce adverse changes in cognitive performance. First and foremost, total SD impairs attention and working memory, but it also affects other functions, such as long-term memory and decision-making. Partial SD is found to influence attention, especially vigilance. Studies on its effects on more demanding cognitive functions are lacking. Coping with SD depends on several factors, especially aging and gender. Also interindividual differences in responses are substantial. In addition to coping with SD, recovering from it also deserves attention. Cognitive recovery processes, although insufficiently studied, seem to be more demanding in partial sleep restriction than in total SD.","container-title":"Neuropsychiatric Disease and Treatment","ISSN":"1176-6328","issue":"5","journalAbbreviation":"Neuropsychiatr Dis Treat","language":"eng","note":"PMID: 19300585\nPMCID: PMC2656292","page":"553-567","source":"PubMed","title":"Sleep deprivation: Impact on cognitive performance","title-short":"Sleep deprivation","volume":"3","author":[{"family":"Alhola","given":"Paula"},{"family":"Polo-Kantola","given":"Päivi"}],"issued":{"date-parts":[["2007"]]}}}],"schema":"https://github.com/citation-style-language/schema/raw/master/csl-citation.json"} </w:instrText>
      </w:r>
      <w:r w:rsidR="008C2E68">
        <w:rPr>
          <w:rFonts w:ascii="Times New Roman" w:eastAsia="Times New Roman" w:hAnsi="Times New Roman" w:cs="Times New Roman"/>
          <w:sz w:val="20"/>
          <w:szCs w:val="20"/>
        </w:rPr>
        <w:fldChar w:fldCharType="separate"/>
      </w:r>
      <w:r w:rsidR="008C2E68" w:rsidRPr="008C2E68">
        <w:rPr>
          <w:rFonts w:ascii="Times New Roman" w:hAnsi="Times New Roman" w:cs="Times New Roman"/>
          <w:sz w:val="20"/>
        </w:rPr>
        <w:t>[20]</w:t>
      </w:r>
      <w:r w:rsidR="008C2E68">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vital for healthy </w:t>
      </w:r>
      <w:r w:rsidR="00F20226">
        <w:rPr>
          <w:rFonts w:ascii="Times New Roman" w:eastAsia="Times New Roman" w:hAnsi="Times New Roman" w:cs="Times New Roman"/>
          <w:sz w:val="20"/>
          <w:szCs w:val="20"/>
        </w:rPr>
        <w:t>aging</w:t>
      </w:r>
      <w:r w:rsidR="000E2BC2">
        <w:rPr>
          <w:rFonts w:ascii="Times New Roman" w:eastAsia="Times New Roman" w:hAnsi="Times New Roman" w:cs="Times New Roman"/>
          <w:sz w:val="20"/>
          <w:szCs w:val="20"/>
        </w:rPr>
        <w:t xml:space="preserve"> </w:t>
      </w:r>
      <w:r w:rsidR="008C2E68">
        <w:rPr>
          <w:rFonts w:ascii="Times New Roman" w:eastAsia="Times New Roman" w:hAnsi="Times New Roman" w:cs="Times New Roman"/>
          <w:sz w:val="20"/>
          <w:szCs w:val="20"/>
        </w:rPr>
        <w:fldChar w:fldCharType="begin"/>
      </w:r>
      <w:r w:rsidR="008C2E68">
        <w:rPr>
          <w:rFonts w:ascii="Times New Roman" w:eastAsia="Times New Roman" w:hAnsi="Times New Roman" w:cs="Times New Roman"/>
          <w:sz w:val="20"/>
          <w:szCs w:val="20"/>
        </w:rPr>
        <w:instrText xml:space="preserve"> ADDIN ZOTERO_ITEM CSL_CITATION {"citationID":"OadUpmDQ","properties":{"formattedCitation":"[21]","plainCitation":"[21]","noteIndex":0},"citationItems":[{"id":275,"uris":["http://zotero.org/users/local/EXtS0esT/items/IABV3C7J"],"itemData":{"id":275,"type":"article-journal","abstract":"The conservation of sleep across all animal species suggests that sleep serves a vital function. We here report that sleep has a critical function in ensuring metabolic homeostasis. Using real-time assessments of tetramethylammonium diffusion and two-photon imaging in live mice, we show that natural sleep or anesthesia are associated with a 60% increase in the interstitial space, resulting in a striking increase in convective exchange of cerebrospinal fluid with interstitial fluid. In turn, convective fluxes of interstitial fluid increased the rate of β-amyloid clearance during sleep. Thus, the restorative function of sleep may be a consequence of the enhanced removal of potentially neurotoxic waste products that accumulate in the awake central nervous system.","container-title":"Science (New York, N.Y.)","DOI":"10.1126/science.1241224","ISSN":"1095-9203","issue":"6156","journalAbbreviation":"Science","language":"eng","note":"PMID: 24136970\nPMCID: PMC3880190","page":"373-377","source":"PubMed","title":"Sleep drives metabolite clearance from the adult brain","volume":"342","author":[{"family":"Xie","given":"Lulu"},{"family":"Kang","given":"Hongyi"},{"family":"Xu","given":"Qiwu"},{"family":"Chen","given":"Michael J."},{"family":"Liao","given":"Yonghong"},{"family":"Thiyagarajan","given":"Meenakshisundaram"},{"family":"O'Donnell","given":"John"},{"family":"Christensen","given":"Daniel J."},{"family":"Nicholson","given":"Charles"},{"family":"Iliff","given":"Jeffrey J."},{"family":"Takano","given":"Takahiro"},{"family":"Deane","given":"Rashid"},{"family":"Nedergaard","given":"Maiken"}],"issued":{"date-parts":[["2013",10,18]]}}}],"schema":"https://github.com/citation-style-language/schema/raw/master/csl-citation.json"} </w:instrText>
      </w:r>
      <w:r w:rsidR="008C2E68">
        <w:rPr>
          <w:rFonts w:ascii="Times New Roman" w:eastAsia="Times New Roman" w:hAnsi="Times New Roman" w:cs="Times New Roman"/>
          <w:sz w:val="20"/>
          <w:szCs w:val="20"/>
        </w:rPr>
        <w:fldChar w:fldCharType="separate"/>
      </w:r>
      <w:r w:rsidR="008C2E68" w:rsidRPr="008C2E68">
        <w:rPr>
          <w:rFonts w:ascii="Times New Roman" w:hAnsi="Times New Roman" w:cs="Times New Roman"/>
          <w:sz w:val="20"/>
        </w:rPr>
        <w:t>[21]</w:t>
      </w:r>
      <w:r w:rsidR="008C2E68">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9" w14:textId="1E2B6515" w:rsidR="000C6D32" w:rsidRPr="00F20226" w:rsidRDefault="00000000" w:rsidP="00F20226">
      <w:pPr>
        <w:spacing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Management of stress:</w:t>
      </w:r>
      <w:r w:rsidRPr="00F20226">
        <w:rPr>
          <w:rFonts w:ascii="Times New Roman" w:eastAsia="Times New Roman" w:hAnsi="Times New Roman" w:cs="Times New Roman"/>
          <w:sz w:val="20"/>
          <w:szCs w:val="20"/>
        </w:rPr>
        <w:t xml:space="preserve"> Long-term stress damages cells and affects hormones, </w:t>
      </w:r>
      <w:r w:rsidR="00F20226">
        <w:rPr>
          <w:rFonts w:ascii="Times New Roman" w:eastAsia="Times New Roman" w:hAnsi="Times New Roman" w:cs="Times New Roman"/>
          <w:sz w:val="20"/>
          <w:szCs w:val="20"/>
        </w:rPr>
        <w:t>speeding</w:t>
      </w:r>
      <w:r w:rsidRPr="00F20226">
        <w:rPr>
          <w:rFonts w:ascii="Times New Roman" w:eastAsia="Times New Roman" w:hAnsi="Times New Roman" w:cs="Times New Roman"/>
          <w:sz w:val="20"/>
          <w:szCs w:val="20"/>
        </w:rPr>
        <w:t xml:space="preserve"> up </w:t>
      </w:r>
      <w:r w:rsidR="00F20226">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It might be advantageous to practice stress-reduction practices like mindfulness and meditation</w:t>
      </w:r>
      <w:r w:rsidR="000E2BC2">
        <w:rPr>
          <w:rFonts w:ascii="Times New Roman" w:eastAsia="Times New Roman" w:hAnsi="Times New Roman" w:cs="Times New Roman"/>
          <w:sz w:val="20"/>
          <w:szCs w:val="20"/>
        </w:rPr>
        <w:t xml:space="preserve"> </w:t>
      </w:r>
      <w:r w:rsidR="003636C6">
        <w:rPr>
          <w:rFonts w:ascii="Times New Roman" w:eastAsia="Times New Roman" w:hAnsi="Times New Roman" w:cs="Times New Roman"/>
          <w:sz w:val="20"/>
          <w:szCs w:val="20"/>
        </w:rPr>
        <w:fldChar w:fldCharType="begin"/>
      </w:r>
      <w:r w:rsidR="003636C6">
        <w:rPr>
          <w:rFonts w:ascii="Times New Roman" w:eastAsia="Times New Roman" w:hAnsi="Times New Roman" w:cs="Times New Roman"/>
          <w:sz w:val="20"/>
          <w:szCs w:val="20"/>
        </w:rPr>
        <w:instrText xml:space="preserve"> ADDIN ZOTERO_ITEM CSL_CITATION {"citationID":"J4mC1cER","properties":{"formattedCitation":"[22]","plainCitation":"[22]","noteIndex":0},"citationItems":[{"id":163,"uris":["http://zotero.org/users/local/EXtS0esT/items/CKNQIQ26"],"itemData":{"id":163,"type":"article-journal","abstract":"The Sir2 deacetylase modulates organismal life-span in various species. However, the molecular mechanisms by which Sir2 increases longevity are largely unknown. We show that in mammalian cells, the Sir2 homolog SIRT1 appears to control the cellular response to stress by regulating the FOXO family of Forkhead transcription factors, a family of proteins that function as sensors of the insulin signaling pathway and as regulators of organismal longevity. SIRT1 and the FOXO transcription factor FOXO3 formed a complex in cells in response to oxidative stress, and SIRT1 deacetylated FOXO3 in vitro and within cells. SIRT1 had a dual effect on FOXO3 function: SIRT1 increased FOXO3's ability to induce cell cycle arrest and resistance to oxidative stress but inhibited FOXO3's ability to induce cell death. Thus, one way in which members of the Sir2 family of proteins may increase organismal longevity is by tipping FOXO-dependent responses away from apoptosis and toward stress resistance.","container-title":"Science","DOI":"10.1126/science.1094637","ISSN":"0036-8075, 1095-9203","issue":"5666","journalAbbreviation":"Science","language":"en","page":"2011-2015","source":"DOI.org (Crossref)","title":"Stress-Dependent Regulation of FOXO Transcription Factors by the SIRT1 Deacetylase","volume":"303","author":[{"family":"Brunet","given":"Anne"},{"family":"Sweeney","given":"Lora B."},{"family":"Sturgill","given":"J. Fitzhugh"},{"family":"Chua","given":"Katrin F."},{"family":"Greer","given":"Paul L."},{"family":"Lin","given":"Yingxi"},{"family":"Tran","given":"Hien"},{"family":"Ross","given":"Sarah E."},{"family":"Mostoslavsky","given":"Raul"},{"family":"Cohen","given":"Haim Y."},{"family":"Hu","given":"Linda S."},{"family":"Cheng","given":"Hwei-Ling"},{"family":"Jedrychowski","given":"Mark P."},{"family":"Gygi","given":"Steven P."},{"family":"Sinclair","given":"David A."},{"family":"Alt","given":"Frederick W."},{"family":"Greenberg","given":"Michael E."}],"issued":{"date-parts":[["2004",3,26]]}}}],"schema":"https://github.com/citation-style-language/schema/raw/master/csl-citation.json"} </w:instrText>
      </w:r>
      <w:r w:rsidR="003636C6">
        <w:rPr>
          <w:rFonts w:ascii="Times New Roman" w:eastAsia="Times New Roman" w:hAnsi="Times New Roman" w:cs="Times New Roman"/>
          <w:sz w:val="20"/>
          <w:szCs w:val="20"/>
        </w:rPr>
        <w:fldChar w:fldCharType="separate"/>
      </w:r>
      <w:r w:rsidR="003636C6" w:rsidRPr="003636C6">
        <w:rPr>
          <w:rFonts w:ascii="Times New Roman" w:hAnsi="Times New Roman" w:cs="Times New Roman"/>
          <w:sz w:val="20"/>
        </w:rPr>
        <w:t>[22]</w:t>
      </w:r>
      <w:r w:rsidR="003636C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1A" w14:textId="2DA5572E" w:rsidR="000C6D32" w:rsidRPr="00F20226" w:rsidRDefault="00F20226">
      <w:pPr>
        <w:spacing w:line="240" w:lineRule="auto"/>
        <w:rPr>
          <w:rFonts w:ascii="Times New Roman" w:eastAsia="Times New Roman" w:hAnsi="Times New Roman" w:cs="Times New Roman"/>
          <w:i/>
          <w:iCs/>
          <w:sz w:val="20"/>
          <w:szCs w:val="20"/>
        </w:rPr>
      </w:pPr>
      <w:r w:rsidRPr="00F20226">
        <w:rPr>
          <w:rFonts w:ascii="Times New Roman" w:eastAsia="Times New Roman" w:hAnsi="Times New Roman" w:cs="Times New Roman"/>
          <w:i/>
          <w:iCs/>
          <w:sz w:val="20"/>
          <w:szCs w:val="20"/>
        </w:rPr>
        <w:t>B. Telomeres: Guardians of Cellular Aging</w:t>
      </w:r>
    </w:p>
    <w:p w14:paraId="0000001C" w14:textId="1635937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distinctive DNA-protein structures known as telomeres, which are present at both ends of each chromosome, shield the genome from inter-chromosomal fusion, unneeded recombination, and nucleolytic breakdown</w:t>
      </w:r>
      <w:r w:rsidR="000E2BC2">
        <w:rPr>
          <w:rFonts w:ascii="Times New Roman" w:eastAsia="Times New Roman" w:hAnsi="Times New Roman" w:cs="Times New Roman"/>
          <w:sz w:val="20"/>
          <w:szCs w:val="20"/>
        </w:rPr>
        <w:t xml:space="preserve"> </w:t>
      </w:r>
      <w:r w:rsidR="00572407">
        <w:rPr>
          <w:rFonts w:ascii="Times New Roman" w:eastAsia="Times New Roman" w:hAnsi="Times New Roman" w:cs="Times New Roman"/>
          <w:sz w:val="20"/>
          <w:szCs w:val="20"/>
        </w:rPr>
        <w:fldChar w:fldCharType="begin"/>
      </w:r>
      <w:r w:rsidR="00572407">
        <w:rPr>
          <w:rFonts w:ascii="Times New Roman" w:eastAsia="Times New Roman" w:hAnsi="Times New Roman" w:cs="Times New Roman"/>
          <w:sz w:val="20"/>
          <w:szCs w:val="20"/>
        </w:rPr>
        <w:instrText xml:space="preserve"> ADDIN ZOTERO_ITEM CSL_CITATION {"citationID":"DW2ax5DZ","properties":{"formattedCitation":"[5]","plainCitation":"[5]","noteIndex":0},"citationItems":[{"id":232,"uris":["http://zotero.org/users/local/EXtS0esT/items/J2V2ZI2M"],"itemData":{"id":232,"type":"article-journal","container-title":"Current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572407">
        <w:rPr>
          <w:rFonts w:ascii="Times New Roman" w:eastAsia="Times New Roman" w:hAnsi="Times New Roman" w:cs="Times New Roman"/>
          <w:sz w:val="20"/>
          <w:szCs w:val="20"/>
        </w:rPr>
        <w:fldChar w:fldCharType="separate"/>
      </w:r>
      <w:r w:rsidR="00572407" w:rsidRPr="00572407">
        <w:rPr>
          <w:rFonts w:ascii="Times New Roman" w:hAnsi="Times New Roman" w:cs="Times New Roman"/>
          <w:sz w:val="20"/>
        </w:rPr>
        <w:t>[5]</w:t>
      </w:r>
      <w:r w:rsidR="00572407">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Telomeres are consequently essential for protecting the data in our genome. Each time a cell divides, a little telomeric DNA is lost as part of the regular cellular process</w:t>
      </w:r>
      <w:r w:rsidR="000E2BC2">
        <w:rPr>
          <w:rFonts w:ascii="Times New Roman" w:eastAsia="Times New Roman" w:hAnsi="Times New Roman" w:cs="Times New Roman"/>
          <w:sz w:val="20"/>
          <w:szCs w:val="20"/>
        </w:rPr>
        <w:t xml:space="preserve"> </w:t>
      </w:r>
      <w:r w:rsidR="008F721C">
        <w:rPr>
          <w:rFonts w:ascii="Times New Roman" w:eastAsia="Times New Roman" w:hAnsi="Times New Roman" w:cs="Times New Roman"/>
          <w:sz w:val="20"/>
          <w:szCs w:val="20"/>
        </w:rPr>
        <w:fldChar w:fldCharType="begin"/>
      </w:r>
      <w:r w:rsidR="008F721C">
        <w:rPr>
          <w:rFonts w:ascii="Times New Roman" w:eastAsia="Times New Roman" w:hAnsi="Times New Roman" w:cs="Times New Roman"/>
          <w:sz w:val="20"/>
          <w:szCs w:val="20"/>
        </w:rPr>
        <w:instrText xml:space="preserve"> ADDIN ZOTERO_ITEM CSL_CITATION {"citationID":"3sfhjkHA","properties":{"formattedCitation":"[23]","plainCitation":"[23]","noteIndex":0},"citationItems":[{"id":284,"uris":["http://zotero.org/users/local/EXtS0esT/items/8JI57S84"],"itemData":{"id":284,"type":"chapter","container-title":"Anti-Aging Drug Discovery on the Basis of Hallmarks of Aging","ISBN":"978-0-323-90235-9","language":"en","note":"DOI: 10.1016/B978-0-323-90235-9.00005-7","page":"113-125","publisher":"Elsevier","source":"DOI.org (Crossref)","title":"Telomerase reactivation for anti-aging","URL":"https://linkinghub.elsevier.com/retrieve/pii/B9780323902359000057","author":[{"family":"Gopenath","given":"T.S."},{"family":"Shreshtha","given":"Shreya"},{"family":"Basalingappa","given":"Kanthesh M."}],"accessed":{"date-parts":[["2023",8,17]]},"issued":{"date-parts":[["2022"]]}}}],"schema":"https://github.com/citation-style-language/schema/raw/master/csl-citation.json"} </w:instrText>
      </w:r>
      <w:r w:rsidR="008F721C">
        <w:rPr>
          <w:rFonts w:ascii="Times New Roman" w:eastAsia="Times New Roman" w:hAnsi="Times New Roman" w:cs="Times New Roman"/>
          <w:sz w:val="20"/>
          <w:szCs w:val="20"/>
        </w:rPr>
        <w:fldChar w:fldCharType="separate"/>
      </w:r>
      <w:r w:rsidR="008F721C" w:rsidRPr="008F721C">
        <w:rPr>
          <w:rFonts w:ascii="Times New Roman" w:hAnsi="Times New Roman" w:cs="Times New Roman"/>
          <w:sz w:val="20"/>
        </w:rPr>
        <w:t>[23]</w:t>
      </w:r>
      <w:r w:rsidR="008F72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Senescence and/or apoptosis occur in the cell when the length of the telomeres exceeds a crucial threshold.</w:t>
      </w:r>
      <w:r w:rsidR="00F20226">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It shortens with age and rate of telomere shortening may indicate the pace of aging, shortening can accelerate due to certain lifestyle factors including smoking, obesity, lack of exercise, and intake of unhealthy diets, which can result in sickness and/or premature mortality</w:t>
      </w:r>
      <w:r w:rsidR="000E2BC2">
        <w:rPr>
          <w:rFonts w:ascii="Times New Roman" w:eastAsia="Times New Roman" w:hAnsi="Times New Roman" w:cs="Times New Roman"/>
          <w:sz w:val="20"/>
          <w:szCs w:val="20"/>
        </w:rPr>
        <w:t xml:space="preserve"> </w:t>
      </w:r>
      <w:r w:rsidR="008F721C">
        <w:rPr>
          <w:rFonts w:ascii="Times New Roman" w:eastAsia="Times New Roman" w:hAnsi="Times New Roman" w:cs="Times New Roman"/>
          <w:sz w:val="20"/>
          <w:szCs w:val="20"/>
        </w:rPr>
        <w:fldChar w:fldCharType="begin"/>
      </w:r>
      <w:r w:rsidR="008F721C">
        <w:rPr>
          <w:rFonts w:ascii="Times New Roman" w:eastAsia="Times New Roman" w:hAnsi="Times New Roman" w:cs="Times New Roman"/>
          <w:sz w:val="20"/>
          <w:szCs w:val="20"/>
        </w:rPr>
        <w:instrText xml:space="preserve"> ADDIN ZOTERO_ITEM CSL_CITATION {"citationID":"zkMj9UeM","properties":{"formattedCitation":"[24]","plainCitation":"[24]","noteIndex":0},"citationItems":[{"id":285,"uris":["http://zotero.org/users/local/EXtS0esT/items/BT3XEYLK"],"itemData":{"id":285,"type":"article-journal","container-title":"Nature","DOI":"10.1038/nature09603","ISSN":"0028-0836, 1476-4687","issue":"7328","journalAbbreviation":"Nature","language":"en","page":"102-106","source":"DOI.org (Crossref)","title":"Telomerase reactivation reverses tissue degeneration in aged telomerase-deficient mice","volume":"469","author":[{"family":"Jaskelioff","given":"Mariela"},{"family":"Muller","given":"Florian L."},{"family":"Paik","given":"Ji-Hye"},{"family":"Thomas","given":"Emily"},{"family":"Jiang","given":"Shan"},{"family":"Adams","given":"Andrew C."},{"family":"Sahin","given":"Ergun"},{"family":"Kost-Alimova","given":"Maria"},{"family":"Protopopov","given":"Alexei"},{"family":"Cadiñanos","given":"Juan"},{"family":"Horner","given":"James W."},{"family":"Maratos-Flier","given":"Eleftheria"},{"family":"DePinho","given":"Ronald A."}],"issued":{"date-parts":[["2011",1]]}}}],"schema":"https://github.com/citation-style-language/schema/raw/master/csl-citation.json"} </w:instrText>
      </w:r>
      <w:r w:rsidR="008F721C">
        <w:rPr>
          <w:rFonts w:ascii="Times New Roman" w:eastAsia="Times New Roman" w:hAnsi="Times New Roman" w:cs="Times New Roman"/>
          <w:sz w:val="20"/>
          <w:szCs w:val="20"/>
        </w:rPr>
        <w:fldChar w:fldCharType="separate"/>
      </w:r>
      <w:r w:rsidR="008F721C" w:rsidRPr="008F721C">
        <w:rPr>
          <w:rFonts w:ascii="Times New Roman" w:hAnsi="Times New Roman" w:cs="Times New Roman"/>
          <w:sz w:val="20"/>
        </w:rPr>
        <w:t>[24]</w:t>
      </w:r>
      <w:r w:rsidR="008F721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Numerous age-related health issues, including coronary heart disease, heart failure, diabetes, elevated cancer risk, and osteoporosis, have an earlier beginning when telomere shortening is present</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{"citationID":"cmnh0m8r","properties":{"formattedCitation":"[25]","plainCitation":"[25]","noteIndex":0},"citationItems":[{"id":291,"uris":["http://zotero.org/users/local/EXtS0esT/items/8ZGLLYD2"],"itemData":{"id":291,"type":"article-journal","abstract":"Telomeres are at the non-coding ends of linear chromosomes. Through a complex 3-dimensional structure, they protect the coding DNA and ensure appropriate separation of chromosomes. Aging is characterized by a progressive shortening of telomeres, which compromises their structure and function. Because of their protective function for genomic DNA, telomeres appear to play an important role in the development and progression of many age-related diseases, such as cardiovascular disease (CVD), malignancies, dementia, and osteoporosis. Despite substantial evidence that links telomere length with these conditions, the nature of these observations remains insufficiently understood. Therefore, future studies should address the question of causality. Furthermore, analytical methods should be further improved with the aim to provide informative and comparable results. This review summarize the actual knowledge of telomere biology and the possible implications of telomere dysfunction for the development and progression of age-related diseases. Furthermore, we provide an overview of analytical techniques for the measurement of telomere length and telomerase activity.","container-title":"Biomedicines","DOI":"10.3390/biomedicines9101335","ISSN":"2227-9059","issue":"10","journalAbbreviation":"Biomedicines","language":"en","page":"1335","source":"DOI.org (Crossref)","title":"Telomeres and Age-Related Diseases","volume":"9","author":[{"family":"Gruber","given":"Hans-Jürgen"},{"family":"Semeraro","given":"Maria Donatella"},{"family":"Renner","given":"Wilfried"},{"family":"Herrmann","given":"Markus"}],"issued":{"date-parts":[["2021",9,27]]}}}],"schema":"https://github.com/citation-style-language/schema/raw/master/csl-citation.json"}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[25]</w:t>
      </w:r>
      <w:r w:rsidR="00246CE0">
        <w:rPr>
          <w:rFonts w:ascii="Times New Roman" w:eastAsia="Times New Roman" w:hAnsi="Times New Roman" w:cs="Times New Roman"/>
          <w:sz w:val="20"/>
          <w:szCs w:val="20"/>
        </w:rPr>
        <w:fldChar w:fldCharType="end"/>
      </w:r>
      <w:r w:rsidR="00CA6F1C">
        <w:rPr>
          <w:rFonts w:ascii="Times New Roman" w:eastAsia="Times New Roman" w:hAnsi="Times New Roman" w:cs="Times New Roman"/>
          <w:sz w:val="20"/>
          <w:szCs w:val="20"/>
        </w:rPr>
        <w:t>.</w:t>
      </w:r>
    </w:p>
    <w:p w14:paraId="0000001D" w14:textId="355D91DD"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C. DNA Damage and Repair</w:t>
      </w:r>
    </w:p>
    <w:p w14:paraId="00000020" w14:textId="01806026"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According to this theory, unrepaired DNA damage contributes to genomic instability and ageing. Age-associated DNA damage may consist of DNA breaks, cross-links, and changed bases (such as oxidative lesions), however it is yet unclear which particular DNA lesions cause ageing</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{"citationID":"cFMcyiBi","properties":{"formattedCitation":"[26]","plainCitation":"[26]","noteIndex":0},"citationItems":[{"id":295,"uris":["http://zotero.org/users/local/EXtS0esT/items/7NW5W23G"],"itemData":{"id":295,"type":"article-journal","container-title":"Cold Spring Harbor Perspectives in Medicine","DOI":"10.1101/cshperspect.a025130","ISSN":"2157-1422","issue":"10","journalAbbreviation":"Cold Spring Harb Perspect Med","language":"en","page":"a025130","source":"DOI.org (Crossref)","title":"DNA Damage, DNA Repair, Aging, and Neurodegeneration","volume":"5","author":[{"family":"Maynard","given":"Scott"},{"family":"Fang","given":"Evandro Fei"},{"family":"Scheibye-Knudsen","given":"Morten"},{"family":"Croteau","given":"Deborah L."},{"family":"Bohr","given":"Vilhelm A."}],"issued":{"date-parts":[["2015",10]]}}}],"schema":"https://github.com/citation-style-language/schema/raw/master/csl-citation.json"}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[26]</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hypothesis fits into a larger idea that ageing is caused by a widespread loss of molecular integrity. In light of this, it has been postulated that natural selection has helped humans preserve ideal biomolecular fidelity throughout the height of our reproductive capacity.</w:t>
      </w:r>
      <w:r w:rsidR="00067E71">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Genomic maintenance has been compared to a double-edged sword</w:t>
      </w:r>
      <w:r w:rsidR="008F721C">
        <w:rPr>
          <w:rFonts w:ascii="Times New Roman" w:eastAsia="Times New Roman" w:hAnsi="Times New Roman" w:cs="Times New Roman"/>
          <w:sz w:val="20"/>
          <w:szCs w:val="20"/>
        </w:rPr>
        <w:t xml:space="preserve"> </w:t>
      </w:r>
      <w:r w:rsidR="00472E7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D1WQSwhb","properties":{"formattedCitation":"[27]","plainCitation":"[27]","noteIndex":0},"citationItems":[{"id":289,"uris":["http://zotero.org/users/local/EXtS0esT/items/ASGCZAXR"],"itemData":{"id":289,"type":"article-journal","container-title":"BioEssays","DOI":"10.1002/bies.201300127","ISSN":"02659247","issue":"3","journalAbbreviation":"BioEssays","language":"en","page":"282-292","source":"DOI.org (Crossref)","title":"Aging genomes: A necessary evil in the logic of life: Prospects &amp; Overviews","title-short":"Aging genomes","volume":"36","author":[{"family":"Vijg","given":"Jan"}],"issued":{"date-parts":[["2014",3]]}}}],"schema":"https://github.com/citation-style-language/schema/raw/master/csl-citation.json"} </w:instrText>
      </w:r>
      <w:r w:rsidR="00472E7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[27]</w:t>
      </w:r>
      <w:r w:rsidR="00472E7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since mutations can occur when DNA damage from external and endogenous causes is not completely repaired. These mutations cause evolution through natural selection in germline cells. These mutations may speed up ageing in multicellular animals' somatic cells</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{"citationID":"hBBrSxW8","properties":{"formattedCitation":"[28]","plainCitation":"[28]","noteIndex":0},"citationItems":[{"id":293,"uris":["http://zotero.org/users/local/EXtS0esT/items/TDD6L9I4"],"itemData":{"id":293,"type":"article-journal","container-title":"Nature Reviews Immunology","DOI":"10.1038/s41577-022-00751-y","ISSN":"1474-1733, 1474-1741","issue":"2","journalAbbreviation":"Nat Rev Immunol","language":"en","page":"75-89","source":"DOI.org (Crossref)","title":"DNA damage and repair in age-related inflammation","volume":"23","author":[{"family":"Zhao","given":"Yang"},{"family":"Simon","given":"Matthew"},{"family":"Seluanov","given":"Andrei"},{"family":"Gorbunova","given":"Vera"}],"issued":{"date-parts":[["2023",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[28]</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1" w14:textId="2EBFC68F"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D. Cellular Senescence: Implications in Aging</w:t>
      </w:r>
    </w:p>
    <w:p w14:paraId="00000024" w14:textId="05E553B0" w:rsidR="000C6D32" w:rsidRPr="00F20226" w:rsidRDefault="00000000" w:rsidP="00067E71">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Senescence of cells can result from stochastic damaging events. One of the primary causes of </w:t>
      </w:r>
      <w:r w:rsidR="00067E71">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is now </w:t>
      </w:r>
      <w:r w:rsidR="00067E71">
        <w:rPr>
          <w:rFonts w:ascii="Times New Roman" w:eastAsia="Times New Roman" w:hAnsi="Times New Roman" w:cs="Times New Roman"/>
          <w:sz w:val="20"/>
          <w:szCs w:val="20"/>
        </w:rPr>
        <w:t>recognized</w:t>
      </w:r>
      <w:r w:rsidRPr="00F20226">
        <w:rPr>
          <w:rFonts w:ascii="Times New Roman" w:eastAsia="Times New Roman" w:hAnsi="Times New Roman" w:cs="Times New Roman"/>
          <w:sz w:val="20"/>
          <w:szCs w:val="20"/>
        </w:rPr>
        <w:t xml:space="preserve"> to be the senescence-related cellular stress response</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{"citationID":"7PqR1GnP","properties":{"formattedCitation":"[29]","plainCitation":"[29]","noteIndex":0},"citationItems":[{"id":297,"uris":["http://zotero.org/users/local/EXtS0esT/items/3J389GRA"],"itemData":{"id":297,"type":"article-journal","abstract":"Aging is the major risk factor for cancer, cardiovascular disease, diabetes, and neurodegenerative disorders. Although we are far from understanding the biological basis of aging, research suggests that targeting the aging process itself could ameliorate many age-related pathologies. Senescence is a cellular response characterized by a stable growth arrest and other phenotypic alterations that include a proinflammatory secretome. Senescence plays roles in normal development, maintains tissue homeostasis, and limits tumor progression. However, senescence has also been implicated as a major cause of age-related disease. In this regard, recent experimental evidence has shown that the genetic or pharmacological ablation of senescent cells extends life span and improves health span. Here, we review the cellular and molecular links between cellular senescence and aging and discuss the novel therapeutic avenues that this connection opens.","container-title":"Journal of Cell Biology","DOI":"10.1083/jcb.201708092","ISSN":"0021-9525, 1540-8140","issue":"1","language":"en","page":"65-77","source":"DOI.org (Crossref)","title":"Senescence and aging: Causes, consequences, and therapeutic avenues","title-short":"Senescence and aging","volume":"217","author":[{"family":"McHugh","given":"Domhnall"},{"family":"Gil","given":"Jesús"}],"issued":{"date-parts":[["2018",1,2]]}}}],"schema":"https://github.com/citation-style-language/schema/raw/master/csl-citation.json"}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[29]</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This idea is supported by fibroblasts from progeroid disease patients </w:t>
      </w:r>
      <w:r w:rsidR="00067E71">
        <w:rPr>
          <w:rFonts w:ascii="Times New Roman" w:eastAsia="Times New Roman" w:hAnsi="Times New Roman" w:cs="Times New Roman"/>
          <w:sz w:val="20"/>
          <w:szCs w:val="20"/>
        </w:rPr>
        <w:t xml:space="preserve">who </w:t>
      </w:r>
      <w:r w:rsidRPr="00F20226">
        <w:rPr>
          <w:rFonts w:ascii="Times New Roman" w:eastAsia="Times New Roman" w:hAnsi="Times New Roman" w:cs="Times New Roman"/>
          <w:sz w:val="20"/>
          <w:szCs w:val="20"/>
        </w:rPr>
        <w:t xml:space="preserve">typically exhibit accelerated senescence. </w:t>
      </w:r>
      <w:r w:rsidR="00067E71" w:rsidRPr="00067E71">
        <w:rPr>
          <w:rFonts w:ascii="Times New Roman" w:eastAsia="Times New Roman" w:hAnsi="Times New Roman" w:cs="Times New Roman"/>
          <w:sz w:val="20"/>
          <w:szCs w:val="20"/>
        </w:rPr>
        <w:t>On the other hand, the oxidative damage that causes growth arrest in vitro is</w:t>
      </w:r>
      <w:r w:rsidRPr="00F20226">
        <w:rPr>
          <w:rFonts w:ascii="Times New Roman" w:eastAsia="Times New Roman" w:hAnsi="Times New Roman" w:cs="Times New Roman"/>
          <w:sz w:val="20"/>
          <w:szCs w:val="20"/>
        </w:rPr>
        <w:t xml:space="preserve"> unaffected by fibroblasts from long-lived Snell dwarf mice. Due to the development of the senescence-associated secretory phenotype, which affects the cellular milieu, senescent cells now seem to play a significant role in the </w:t>
      </w:r>
      <w:r w:rsidR="00067E71">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process</w:t>
      </w:r>
      <w:r w:rsidR="000E2BC2">
        <w:rPr>
          <w:rFonts w:ascii="Times New Roman" w:eastAsia="Times New Roman" w:hAnsi="Times New Roman" w:cs="Times New Roman"/>
          <w:sz w:val="20"/>
          <w:szCs w:val="20"/>
        </w:rPr>
        <w:t xml:space="preserve"> </w:t>
      </w:r>
      <w:r w:rsidR="00246CE0">
        <w:rPr>
          <w:rFonts w:ascii="Times New Roman" w:eastAsia="Times New Roman" w:hAnsi="Times New Roman" w:cs="Times New Roman"/>
          <w:sz w:val="20"/>
          <w:szCs w:val="20"/>
        </w:rPr>
        <w:fldChar w:fldCharType="begin"/>
      </w:r>
      <w:r w:rsidR="00246CE0">
        <w:rPr>
          <w:rFonts w:ascii="Times New Roman" w:eastAsia="Times New Roman" w:hAnsi="Times New Roman" w:cs="Times New Roman"/>
          <w:sz w:val="20"/>
          <w:szCs w:val="20"/>
        </w:rPr>
        <w:instrText xml:space="preserve"> ADDIN ZOTERO_ITEM CSL_CITATION {"citationID":"kVuCqDXC","properties":{"formattedCitation":"[30]","plainCitation":"[30]","noteIndex":0},"citationItems":[{"id":299,"uris":["http://zotero.org/users/local/EXtS0esT/items/V9HR9Q5W"],"itemData":{"id":299,"type":"article-journal","container-title":"Nature","DOI":"10.1038/nature13193","ISSN":"0028-0836, 1476-4687","issue":"7501","journalAbbreviation":"Nature","language":"en","page":"439-446","source":"DOI.org (Crossref)","title":"The role of senescent cells in ageing","volume":"509","author":[{"family":"Van Deursen","given":"Jan M."}],"issued":{"date-parts":[["2014",5,22]]}}}],"schema":"https://github.com/citation-style-language/schema/raw/master/csl-citation.json"} </w:instrText>
      </w:r>
      <w:r w:rsidR="00246CE0">
        <w:rPr>
          <w:rFonts w:ascii="Times New Roman" w:eastAsia="Times New Roman" w:hAnsi="Times New Roman" w:cs="Times New Roman"/>
          <w:sz w:val="20"/>
          <w:szCs w:val="20"/>
        </w:rPr>
        <w:fldChar w:fldCharType="separate"/>
      </w:r>
      <w:r w:rsidR="00246CE0" w:rsidRPr="00246CE0">
        <w:rPr>
          <w:rFonts w:ascii="Times New Roman" w:hAnsi="Times New Roman" w:cs="Times New Roman"/>
          <w:sz w:val="20"/>
        </w:rPr>
        <w:t>[30]</w:t>
      </w:r>
      <w:r w:rsidR="00246CE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This trait of senescent cells is reportedly a reaction to genotoxic stress. Senescent cells build up in various tissues throughout time, indicating that they develop more quickly than they degrade or are eliminated. Another crucial anticancer process is the cellular stress response associated with senescence. In fact, the </w:t>
      </w:r>
      <w:r w:rsidR="00416A55" w:rsidRPr="00F20226">
        <w:rPr>
          <w:rFonts w:ascii="Times New Roman" w:eastAsia="Times New Roman" w:hAnsi="Times New Roman" w:cs="Times New Roman"/>
          <w:sz w:val="20"/>
          <w:szCs w:val="20"/>
        </w:rPr>
        <w:t>tumor</w:t>
      </w:r>
      <w:r w:rsidRPr="00F20226">
        <w:rPr>
          <w:rFonts w:ascii="Times New Roman" w:eastAsia="Times New Roman" w:hAnsi="Times New Roman" w:cs="Times New Roman"/>
          <w:sz w:val="20"/>
          <w:szCs w:val="20"/>
        </w:rPr>
        <w:t xml:space="preserve"> suppressor p53 is crucial for </w:t>
      </w:r>
      <w:r w:rsidR="00241EEE">
        <w:rPr>
          <w:rFonts w:ascii="Times New Roman" w:eastAsia="Times New Roman" w:hAnsi="Times New Roman" w:cs="Times New Roman"/>
          <w:sz w:val="20"/>
          <w:szCs w:val="20"/>
        </w:rPr>
        <w:t>controlling</w:t>
      </w:r>
      <w:r w:rsidRPr="00F20226">
        <w:rPr>
          <w:rFonts w:ascii="Times New Roman" w:eastAsia="Times New Roman" w:hAnsi="Times New Roman" w:cs="Times New Roman"/>
          <w:sz w:val="20"/>
          <w:szCs w:val="20"/>
        </w:rPr>
        <w:t xml:space="preserve"> the processes that lead to DNA repair, apoptosis, and senescence</w:t>
      </w:r>
      <w:r w:rsidR="000E2BC2">
        <w:rPr>
          <w:rFonts w:ascii="Times New Roman" w:eastAsia="Times New Roman" w:hAnsi="Times New Roman" w:cs="Times New Roman"/>
          <w:sz w:val="20"/>
          <w:szCs w:val="20"/>
        </w:rPr>
        <w:t xml:space="preserve"> </w:t>
      </w:r>
      <w:r w:rsidR="00027D36">
        <w:rPr>
          <w:rFonts w:ascii="Times New Roman" w:eastAsia="Times New Roman" w:hAnsi="Times New Roman" w:cs="Times New Roman"/>
          <w:sz w:val="20"/>
          <w:szCs w:val="20"/>
        </w:rPr>
        <w:fldChar w:fldCharType="begin"/>
      </w:r>
      <w:r w:rsidR="00027D36">
        <w:rPr>
          <w:rFonts w:ascii="Times New Roman" w:eastAsia="Times New Roman" w:hAnsi="Times New Roman" w:cs="Times New Roman"/>
          <w:sz w:val="20"/>
          <w:szCs w:val="20"/>
        </w:rPr>
        <w:instrText xml:space="preserve"> ADDIN ZOTERO_ITEM CSL_CITATION {"citationID":"JDh7jb02","properties":{"formattedCitation":"[31]","plainCitation":"[31]","noteIndex":0},"citationItems":[{"id":303,"uris":["http://zotero.org/users/local/EXtS0esT/items/PLSNX6XJ"],"itemData":{"id":303,"type":"chapter","container-title":"International Review of Neurobiology","ISBN":"978-0-12-823121-0","language":"en","note":"DOI: 10.1016/bs.irn.2020.03.019","page":"203-234","publisher":"Elsevier","source":"DOI.org (Crossref)","title":"Cellular senescence in aging and age-related diseases: Implications for neurodegenerative diseases","title-short":"Cellular senescence in aging and age-related diseases","URL":"https://linkinghub.elsevier.com/retrieve/pii/S0074774220300507","volume":"155","author":[{"family":"Wissler Gerdes","given":"Erin O."},{"family":"Zhu","given":"Yi"},{"family":"Weigand","given":"B. Melanie"},{"family":"Tripathi","given":"Utkarsh"},{"family":"Burns","given":"Terence C."},{"family":"Tchkonia","given":"Tamar"},{"family":"Kirkland","given":"James L."}],"accessed":{"date-parts":[["2023",8,17]]},"issued":{"date-parts":[["2020"]]}}}],"schema":"https://github.com/citation-style-language/schema/raw/master/csl-citation.json"} </w:instrText>
      </w:r>
      <w:r w:rsidR="00027D36">
        <w:rPr>
          <w:rFonts w:ascii="Times New Roman" w:eastAsia="Times New Roman" w:hAnsi="Times New Roman" w:cs="Times New Roman"/>
          <w:sz w:val="20"/>
          <w:szCs w:val="20"/>
        </w:rPr>
        <w:fldChar w:fldCharType="separate"/>
      </w:r>
      <w:r w:rsidR="00027D36" w:rsidRPr="00027D36">
        <w:rPr>
          <w:rFonts w:ascii="Times New Roman" w:hAnsi="Times New Roman" w:cs="Times New Roman"/>
          <w:sz w:val="20"/>
        </w:rPr>
        <w:t>[31]</w:t>
      </w:r>
      <w:r w:rsidR="00027D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It has been suggested that the senescence response may contain </w:t>
      </w:r>
      <w:r w:rsidR="00241EEE" w:rsidRPr="00241EEE">
        <w:rPr>
          <w:rFonts w:ascii="Times New Roman" w:eastAsia="Times New Roman" w:hAnsi="Times New Roman" w:cs="Times New Roman"/>
          <w:sz w:val="20"/>
          <w:szCs w:val="20"/>
        </w:rPr>
        <w:t>antagonistically pleiotropic characteristics</w:t>
      </w:r>
      <w:r w:rsidRPr="00F20226">
        <w:rPr>
          <w:rFonts w:ascii="Times New Roman" w:eastAsia="Times New Roman" w:hAnsi="Times New Roman" w:cs="Times New Roman"/>
          <w:sz w:val="20"/>
          <w:szCs w:val="20"/>
        </w:rPr>
        <w:t xml:space="preserve"> since data suggests that senescence causes both degenerative </w:t>
      </w:r>
      <w:r w:rsidRPr="00F20226">
        <w:rPr>
          <w:rFonts w:ascii="Times New Roman" w:eastAsia="Times New Roman" w:hAnsi="Times New Roman" w:cs="Times New Roman"/>
          <w:sz w:val="20"/>
          <w:szCs w:val="20"/>
        </w:rPr>
        <w:lastRenderedPageBreak/>
        <w:t xml:space="preserve">and hyperplasic diseases. Senescence thus </w:t>
      </w:r>
      <w:r w:rsidR="00241EEE">
        <w:rPr>
          <w:rFonts w:ascii="Times New Roman" w:eastAsia="Times New Roman" w:hAnsi="Times New Roman" w:cs="Times New Roman"/>
          <w:sz w:val="20"/>
          <w:szCs w:val="20"/>
        </w:rPr>
        <w:t>is</w:t>
      </w:r>
      <w:r w:rsidRPr="00F20226">
        <w:rPr>
          <w:rFonts w:ascii="Times New Roman" w:eastAsia="Times New Roman" w:hAnsi="Times New Roman" w:cs="Times New Roman"/>
          <w:sz w:val="20"/>
          <w:szCs w:val="20"/>
        </w:rPr>
        <w:t xml:space="preserve"> another example of how poor homeostasis underlies </w:t>
      </w:r>
      <w:r w:rsidR="00241EEE">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It should be noted that germ cells and ESCs do not age; this is an example of germline evasion of faulty homeostasis</w:t>
      </w:r>
      <w:r w:rsidR="000E2BC2">
        <w:rPr>
          <w:rFonts w:ascii="Times New Roman" w:eastAsia="Times New Roman" w:hAnsi="Times New Roman" w:cs="Times New Roman"/>
          <w:sz w:val="20"/>
          <w:szCs w:val="20"/>
        </w:rPr>
        <w:t xml:space="preserve"> </w:t>
      </w:r>
      <w:r w:rsidR="00027D36">
        <w:rPr>
          <w:rFonts w:ascii="Times New Roman" w:eastAsia="Times New Roman" w:hAnsi="Times New Roman" w:cs="Times New Roman"/>
          <w:sz w:val="20"/>
          <w:szCs w:val="20"/>
        </w:rPr>
        <w:fldChar w:fldCharType="begin"/>
      </w:r>
      <w:r w:rsidR="00027D36">
        <w:rPr>
          <w:rFonts w:ascii="Times New Roman" w:eastAsia="Times New Roman" w:hAnsi="Times New Roman" w:cs="Times New Roman"/>
          <w:sz w:val="20"/>
          <w:szCs w:val="20"/>
        </w:rPr>
        <w:instrText xml:space="preserve"> ADDIN ZOTERO_ITEM CSL_CITATION {"citationID":"HOLZ79W3","properties":{"formattedCitation":"[32]","plainCitation":"[32]","noteIndex":0},"citationItems":[{"id":301,"uris":["http://zotero.org/users/local/EXtS0esT/items/ZEZVA9V2"],"itemData":{"id":301,"type":"article-journal","abstract":"The influence of the activation of a cellular phenotype termed senescence and it’s importance in ageing and age-related diseases is becoming more and more evident. In fact, there is a huge effort to tackle these diseases via therapeutic drugs targeting senescent cells named senolytics. However, a clearer understanding of how senescence is activated and the influence it has on specific cellular types and tissues is needed. Here, we describe general triggers and characteristics of senescence. In addition, we describe the influence of senescent cells in ageing and different age-related diseases.","container-title":"Frontiers in Aging","DOI":"10.3389/fragi.2022.866718","ISSN":"2673-6217","journalAbbreviation":"Front. Aging","page":"866718","source":"DOI.org (Crossref)","title":"Cellular Senescence and Ageing: Mechanisms and Interventions","title-short":"Cellular Senescence and Ageing","volume":"3","author":[{"family":"Mylonas","given":"Andreas"},{"family":"O’Loghlen","given":"Ana"}],"issued":{"date-parts":[["2022",3,29]]}}}],"schema":"https://github.com/citation-style-language/schema/raw/master/csl-citation.json"} </w:instrText>
      </w:r>
      <w:r w:rsidR="00027D36">
        <w:rPr>
          <w:rFonts w:ascii="Times New Roman" w:eastAsia="Times New Roman" w:hAnsi="Times New Roman" w:cs="Times New Roman"/>
          <w:sz w:val="20"/>
          <w:szCs w:val="20"/>
        </w:rPr>
        <w:fldChar w:fldCharType="separate"/>
      </w:r>
      <w:r w:rsidR="00027D36" w:rsidRPr="00027D36">
        <w:rPr>
          <w:rFonts w:ascii="Times New Roman" w:hAnsi="Times New Roman" w:cs="Times New Roman"/>
          <w:sz w:val="20"/>
        </w:rPr>
        <w:t>[32]</w:t>
      </w:r>
      <w:r w:rsidR="00027D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w:t>
      </w:r>
    </w:p>
    <w:p w14:paraId="00000025" w14:textId="3775E85D" w:rsidR="000C6D32" w:rsidRPr="00067E71" w:rsidRDefault="00067E71">
      <w:pPr>
        <w:spacing w:line="240" w:lineRule="auto"/>
        <w:rPr>
          <w:rFonts w:ascii="Times New Roman" w:eastAsia="Times New Roman" w:hAnsi="Times New Roman" w:cs="Times New Roman"/>
          <w:i/>
          <w:iCs/>
          <w:sz w:val="20"/>
          <w:szCs w:val="20"/>
        </w:rPr>
      </w:pPr>
      <w:r w:rsidRPr="00067E71">
        <w:rPr>
          <w:rFonts w:ascii="Times New Roman" w:eastAsia="Times New Roman" w:hAnsi="Times New Roman" w:cs="Times New Roman"/>
          <w:i/>
          <w:iCs/>
          <w:sz w:val="20"/>
          <w:szCs w:val="20"/>
        </w:rPr>
        <w:t>E. Epigenetic Modifications and Aging</w:t>
      </w:r>
    </w:p>
    <w:p w14:paraId="00000026" w14:textId="49C83D69"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300" w:line="240" w:lineRule="auto"/>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Epigenetic modifications play a significant role in the aging process. Epigenetics refers to changes in gene expression that do not involve alterations to the underlying DNA sequence. Instead, epigenetic modifications involve chemical modifications to DNA and its associated proteins, such as histones, which can influence how genes are turned on or off</w:t>
      </w:r>
      <w:r w:rsidR="000E2BC2">
        <w:rPr>
          <w:rFonts w:ascii="Times New Roman" w:eastAsia="Times New Roman" w:hAnsi="Times New Roman" w:cs="Times New Roman"/>
          <w:sz w:val="20"/>
          <w:szCs w:val="20"/>
        </w:rPr>
        <w:t xml:space="preserve"> </w:t>
      </w:r>
      <w:r w:rsidR="00261245">
        <w:rPr>
          <w:rFonts w:ascii="Times New Roman" w:eastAsia="Times New Roman" w:hAnsi="Times New Roman" w:cs="Times New Roman"/>
          <w:sz w:val="20"/>
          <w:szCs w:val="20"/>
        </w:rPr>
        <w:fldChar w:fldCharType="begin"/>
      </w:r>
      <w:r w:rsidR="00261245">
        <w:rPr>
          <w:rFonts w:ascii="Times New Roman" w:eastAsia="Times New Roman" w:hAnsi="Times New Roman" w:cs="Times New Roman"/>
          <w:sz w:val="20"/>
          <w:szCs w:val="20"/>
        </w:rPr>
        <w:instrText xml:space="preserve"> ADDIN ZOTERO_ITEM CSL_CITATION {"citationID":"O4sUjn9Y","properties":{"formattedCitation":"[33]","plainCitation":"[33]","noteIndex":0},"citationItems":[{"id":206,"uris":["http://zotero.org/users/local/EXtS0esT/items/UM6NPBYR"],"itemData":{"id":206,"type":"article-journal","container-title":"The FASEB Journal","DOI":"10.1096/fj.08-123265","ISSN":"0892-6638, 1530-6860","issue":"3","journalAbbreviation":"FASEB j.","language":"en","page":"672-678","source":"DOI.org (Crossref)","title":"Epigenetics: poly(ADP‐ribosyl)ation of PARP‐1 regulates genomic methylation patterns","title-short":"Epigenetics","volume":"23","author":[{"family":"Caiafa","given":"Paola"},{"family":"Guastafierro","given":"Tiziana"},{"family":"Zampieri","given":"Michele"}],"issued":{"date-parts":[["2009",3]]}}}],"schema":"https://github.com/citation-style-language/schema/raw/master/csl-citation.json"} </w:instrText>
      </w:r>
      <w:r w:rsidR="00261245">
        <w:rPr>
          <w:rFonts w:ascii="Times New Roman" w:eastAsia="Times New Roman" w:hAnsi="Times New Roman" w:cs="Times New Roman"/>
          <w:sz w:val="20"/>
          <w:szCs w:val="20"/>
        </w:rPr>
        <w:fldChar w:fldCharType="separate"/>
      </w:r>
      <w:r w:rsidR="00261245" w:rsidRPr="00261245">
        <w:rPr>
          <w:rFonts w:ascii="Times New Roman" w:hAnsi="Times New Roman" w:cs="Times New Roman"/>
          <w:sz w:val="20"/>
        </w:rPr>
        <w:t>[33]</w:t>
      </w:r>
      <w:r w:rsidR="0026124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7" w14:textId="4D588B7E" w:rsidR="000C6D32" w:rsidRPr="00F20226" w:rsidRDefault="00067E7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E.1. </w:t>
      </w:r>
      <w:r w:rsidRPr="00F20226">
        <w:rPr>
          <w:rFonts w:ascii="Times New Roman" w:eastAsia="Times New Roman" w:hAnsi="Times New Roman" w:cs="Times New Roman"/>
          <w:sz w:val="20"/>
          <w:szCs w:val="20"/>
        </w:rPr>
        <w:t>Several key epigenetic mechanisms have been implicated in aging</w:t>
      </w:r>
    </w:p>
    <w:p w14:paraId="00000028" w14:textId="24A65566"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before="300"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DNA Methylation</w:t>
      </w:r>
      <w:r w:rsidRPr="00F20226">
        <w:rPr>
          <w:rFonts w:ascii="Times New Roman" w:eastAsia="Times New Roman" w:hAnsi="Times New Roman" w:cs="Times New Roman"/>
          <w:sz w:val="20"/>
          <w:szCs w:val="20"/>
        </w:rPr>
        <w:t xml:space="preserve">: DNA methylation involves </w:t>
      </w:r>
      <w:r w:rsidR="00241EEE">
        <w:rPr>
          <w:rFonts w:ascii="Times New Roman" w:eastAsia="Times New Roman" w:hAnsi="Times New Roman" w:cs="Times New Roman"/>
          <w:sz w:val="20"/>
          <w:szCs w:val="20"/>
        </w:rPr>
        <w:t>adding</w:t>
      </w:r>
      <w:r w:rsidRPr="00F20226">
        <w:rPr>
          <w:rFonts w:ascii="Times New Roman" w:eastAsia="Times New Roman" w:hAnsi="Times New Roman" w:cs="Times New Roman"/>
          <w:sz w:val="20"/>
          <w:szCs w:val="20"/>
        </w:rPr>
        <w:t xml:space="preserve"> a methyl group to specific DNA sequences. As we age, patterns of DNA methylation can change, leading to alterations in gene expression. Some genes become more methylated, </w:t>
      </w:r>
      <w:r w:rsidR="00241EEE">
        <w:rPr>
          <w:rFonts w:ascii="Times New Roman" w:eastAsia="Times New Roman" w:hAnsi="Times New Roman" w:cs="Times New Roman"/>
          <w:sz w:val="20"/>
          <w:szCs w:val="20"/>
        </w:rPr>
        <w:t>leading</w:t>
      </w:r>
      <w:r w:rsidRPr="00F20226">
        <w:rPr>
          <w:rFonts w:ascii="Times New Roman" w:eastAsia="Times New Roman" w:hAnsi="Times New Roman" w:cs="Times New Roman"/>
          <w:sz w:val="20"/>
          <w:szCs w:val="20"/>
        </w:rPr>
        <w:t xml:space="preserve"> to decreased expression, while others become less methylated, potentially increasing expression. Changes in DNA methylation can affect processes like cellular differentiation and response to stress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{"citationID":"lNqIgPxN","properties":{"formattedCitation":"[34]","plainCitation":"[34]","noteIndex":0},"citationItems":[{"id":307,"uris":["http://zotero.org/users/local/EXtS0esT/items/NB3JHAH6"],"itemData":{"id":307,"type":"article-journal","container-title":"Nature Reviews Genetics","DOI":"10.1038/nrg1655","ISSN":"1471-0056, 1471-0064","issue":"8","journalAbbreviation":"Nat Rev Genet","language":"en","page":"597-610","source":"DOI.org (Crossref)","title":"DNA methylation and human disease","volume":"6","author":[{"family":"Robertson","given":"Keith D."}],"issued":{"date-parts":[["2005",8]]}}}],"schema":"https://github.com/citation-style-language/schema/raw/master/csl-citation.json"}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[34]</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9" w14:textId="1C26E2C7"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Histone Modifications:</w:t>
      </w:r>
      <w:r w:rsidRPr="00F20226">
        <w:rPr>
          <w:rFonts w:ascii="Times New Roman" w:eastAsia="Times New Roman" w:hAnsi="Times New Roman" w:cs="Times New Roman"/>
          <w:sz w:val="20"/>
          <w:szCs w:val="20"/>
        </w:rPr>
        <w:t xml:space="preserve"> Histones are proteins that help package DNA into a compact </w:t>
      </w:r>
      <w:r w:rsidR="00241EEE">
        <w:rPr>
          <w:rFonts w:ascii="Times New Roman" w:eastAsia="Times New Roman" w:hAnsi="Times New Roman" w:cs="Times New Roman"/>
          <w:sz w:val="20"/>
          <w:szCs w:val="20"/>
        </w:rPr>
        <w:t>cell structure</w:t>
      </w:r>
      <w:r w:rsidRPr="00F20226">
        <w:rPr>
          <w:rFonts w:ascii="Times New Roman" w:eastAsia="Times New Roman" w:hAnsi="Times New Roman" w:cs="Times New Roman"/>
          <w:sz w:val="20"/>
          <w:szCs w:val="20"/>
        </w:rPr>
        <w:t>. Various chemical modifications to histones, such as acetylation and methylation, can influence how tightly DNA is wrapped around them. Changes in histone modifications can affect gene accessibility and expression, potentially impacting aging-related processes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{"citationID":"0sV5aTS4","properties":{"formattedCitation":"[35]","plainCitation":"[35]","noteIndex":0},"citationItems":[{"id":308,"uris":["http://zotero.org/users/local/EXtS0esT/items/4XQEZH6J"],"itemData":{"id":308,"type":"chapter","container-title":"Epigenetics: Development and Disease","event-place":"Dordrecht","ISBN":"978-94-007-4524-7","note":"collection-title: Subcellular Biochemistry\nDOI: 10.1007/978-94-007-4525-4_13","page":"289-317","publisher":"Springer Netherlands","publisher-place":"Dordrecht","source":"DOI.org (Crossref)","title":"The Role of DNA Methylation and Histone Modifications in Transcriptional Regulation in Humans","URL":"http://link.springer.com/10.1007/978-94-007-4525-4_13","volume":"61","editor":[{"family":"Kundu","given":"Tapas K."}],"author":[{"family":"Miller","given":"Jaime L."},{"family":"Grant","given":"Patrick A."}],"accessed":{"date-parts":[["2023",8,17]]},"issued":{"date-parts":[["2013"]]}}}],"schema":"https://github.com/citation-style-language/schema/raw/master/csl-citation.json"}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[35]</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A" w14:textId="6EADD52A"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241EEE">
        <w:rPr>
          <w:rFonts w:ascii="Times New Roman" w:eastAsia="Times New Roman" w:hAnsi="Times New Roman" w:cs="Times New Roman"/>
          <w:i/>
          <w:iCs/>
          <w:sz w:val="20"/>
          <w:szCs w:val="20"/>
        </w:rPr>
        <w:t>Non-Coding RNAs</w:t>
      </w:r>
      <w:r w:rsidRPr="00F20226">
        <w:rPr>
          <w:rFonts w:ascii="Times New Roman" w:eastAsia="Times New Roman" w:hAnsi="Times New Roman" w:cs="Times New Roman"/>
          <w:sz w:val="20"/>
          <w:szCs w:val="20"/>
        </w:rPr>
        <w:t xml:space="preserve">: Non-coding RNAs, such as microRNAs and long non-coding RNAs, play roles in gene regulation. They can interfere with </w:t>
      </w:r>
      <w:r w:rsidR="00067E71">
        <w:rPr>
          <w:rFonts w:ascii="Times New Roman" w:eastAsia="Times New Roman" w:hAnsi="Times New Roman" w:cs="Times New Roman"/>
          <w:sz w:val="20"/>
          <w:szCs w:val="20"/>
        </w:rPr>
        <w:t>translating</w:t>
      </w:r>
      <w:r w:rsidRPr="00F20226">
        <w:rPr>
          <w:rFonts w:ascii="Times New Roman" w:eastAsia="Times New Roman" w:hAnsi="Times New Roman" w:cs="Times New Roman"/>
          <w:sz w:val="20"/>
          <w:szCs w:val="20"/>
        </w:rPr>
        <w:t xml:space="preserve"> messenger RNAs (mRNAs) into proteins or influence chromatin structure. Dysregulation of non-coding RNAs has been associated with aging-related diseases and processes.</w:t>
      </w:r>
    </w:p>
    <w:p w14:paraId="0000002B" w14:textId="1AD6B307" w:rsidR="000C6D32" w:rsidRPr="00F20226" w:rsidRDefault="00000000" w:rsidP="00067E71">
      <w:pPr>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Chromatin Remodeling: Chromatin remodeling complexes are responsible for altering the structure of chromatin, thereby influencing gene accessibility. </w:t>
      </w:r>
      <w:r w:rsidR="00067E71" w:rsidRPr="00067E71">
        <w:rPr>
          <w:rFonts w:ascii="Times New Roman" w:eastAsia="Times New Roman" w:hAnsi="Times New Roman" w:cs="Times New Roman"/>
          <w:sz w:val="20"/>
          <w:szCs w:val="20"/>
        </w:rPr>
        <w:t>Chromatin structure changes can affect transcription factors' ability</w:t>
      </w:r>
      <w:r w:rsidRPr="00F20226">
        <w:rPr>
          <w:rFonts w:ascii="Times New Roman" w:eastAsia="Times New Roman" w:hAnsi="Times New Roman" w:cs="Times New Roman"/>
          <w:sz w:val="20"/>
          <w:szCs w:val="20"/>
        </w:rPr>
        <w:t xml:space="preserve"> to bind to DNA and regulate gene expression</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{"citationID":"uvzjwGum","properties":{"formattedCitation":"[36]","plainCitation":"[36]","noteIndex":0},"citationItems":[{"id":310,"uris":["http://zotero.org/users/local/EXtS0esT/items/JVGS7KEZ"],"itemData":{"id":310,"type":"article-journal","abstract":"Abstract\n            Regulatory non‐coding RNAs (ncRNAs) including small non‐coding RNAs (sRNAs), long non‐coding RNAs (lncRNAs), and circular RNAs (circRNAs) have gained considerable attention in the last few years. This is mainly due to their condition‐ and tissue‐specific expression and their various modes of action, which suggests them as promising biomarkers and therapeutic targets. One important mechanism of ncRNAs to regulate gene expression is through translation of short open reading frames (sORFs). These sORFs can be located in lncRNAs, in non‐translated regions of mRNAs where upstream ORFs (uORFs) represent the majority, or in circRNAs. Regulation of their translation can function as a quick way to adapt protein production to changing cellular or environmental cues, and can either depend solely on the initiation and elongation of translation, or on the roles of the produced functional peptides. Due to the experimental challenges to pinpoint translation events and to detect the produced peptides, translational regulation through regulatory RNAs is not well studied yet. In the case of circRNAs, they have only recently started to be recognized as regulatory molecules instead of mere artifacts of RNA biosynthesis. Of the many roles described for regulatory ncRNAs, we will focus here on their regulation during inflammation and in immunity.","container-title":"Allergy","DOI":"10.1111/all.15234","ISSN":"0105-4538, 1398-9995","issue":"7","journalAbbreviation":"Allergy","language":"en","page":"2025-2037","source":"DOI.org (Crossref)","title":"Translation and emerging functions of non‐coding RNAs in inflammation and immunity","volume":"77","author":[{"family":"Della Bella","given":"Elena"},{"family":"Koch","given":"Jana"},{"family":"Baerenfaller","given":"Katja"}],"issued":{"date-parts":[["2022",7]]}}}],"schema":"https://github.com/citation-style-language/schema/raw/master/csl-citation.json"}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[36]</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C" w14:textId="399ED901" w:rsidR="000C6D32" w:rsidRPr="00F20226" w:rsidRDefault="00067E71">
      <w:pPr>
        <w:pBdr>
          <w:top w:val="none" w:sz="0" w:space="0" w:color="D9D9E3"/>
          <w:left w:val="none" w:sz="0" w:space="0" w:color="D9D9E3"/>
          <w:bottom w:val="none" w:sz="0" w:space="0" w:color="D9D9E3"/>
          <w:right w:val="none" w:sz="0" w:space="0" w:color="D9D9E3"/>
          <w:between w:val="none" w:sz="0" w:space="0" w:color="D9D9E3"/>
        </w:pBdr>
        <w:spacing w:before="300" w:after="300" w:line="240" w:lineRule="auto"/>
        <w:rPr>
          <w:rFonts w:ascii="Times New Roman" w:eastAsia="Times New Roman" w:hAnsi="Times New Roman" w:cs="Times New Roman"/>
          <w:sz w:val="20"/>
          <w:szCs w:val="20"/>
        </w:rPr>
      </w:pPr>
      <w:r w:rsidRPr="00067E71">
        <w:rPr>
          <w:rFonts w:ascii="Times New Roman" w:eastAsia="Times New Roman" w:hAnsi="Times New Roman" w:cs="Times New Roman"/>
          <w:sz w:val="20"/>
          <w:szCs w:val="20"/>
        </w:rPr>
        <w:t>Both genetic and environmental factors influence epigenetic modifications</w:t>
      </w:r>
      <w:r w:rsidRPr="00F20226">
        <w:rPr>
          <w:rFonts w:ascii="Times New Roman" w:eastAsia="Times New Roman" w:hAnsi="Times New Roman" w:cs="Times New Roman"/>
          <w:sz w:val="20"/>
          <w:szCs w:val="20"/>
        </w:rPr>
        <w:t>. While some epigenetic changes occur naturally with age, external factors such as diet, stress, exercise, exposure to toxins, and lifestyle choices can also impact epigenetic patterns. These changes can contribute to cellular senescence, inflammation, and other processes associated with aging and age-related diseases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925A36">
        <w:rPr>
          <w:rFonts w:ascii="Times New Roman" w:eastAsia="Times New Roman" w:hAnsi="Times New Roman" w:cs="Times New Roman"/>
          <w:sz w:val="20"/>
          <w:szCs w:val="20"/>
        </w:rPr>
        <w:instrText xml:space="preserve"> ADDIN ZOTERO_ITEM CSL_CITATION {"citationID":"Kc7g5zvW","properties":{"formattedCitation":"[37]","plainCitation":"[37]","noteIndex":0},"citationItems":[{"id":312,"uris":["http://zotero.org/users/local/EXtS0esT/items/RWKIRZNQ"],"itemData":{"id":312,"type":"article-journal","abstract":"The concept of ‘lifestyle’ includes different factors such as nutrition, behavior, stress, physical activity, working habits, smoking and alcohol consumption. Increasing evidence shows that environmental and lifestyle factors may influence epigenetic mechanisms, such as DNA methylation, histone acetylation and miRNA expression. It has been identified that several lifestyle factors such as diet, obesity, physical activity, tobacco smoking, alcohol consumption, environmental pollutants, psychological stress and working on night shifts might modify epigenetic patterns. Most of the studies conducted so far have been centered on DNA methylation, whereas only a few investigations have studied lifestyle factors in relation to histone modifications and miRNAs. This article reviews current evidence indicating that lifestyle factors might affect human health via epigenetic mechanisms.","container-title":"Epigenomics","DOI":"10.2217/epi.11.22","ISSN":"1750-1911, 1750-192X","issue":"3","journalAbbreviation":"Epigenomics","language":"en","page":"267-277","source":"DOI.org (Crossref)","title":"Epigenetics and lifestyle","volume":"3","author":[{"family":"Alegría-Torres","given":"Jorge Alejandro"},{"family":"Baccarelli","given":"Andrea"},{"family":"Bollati","given":"Valentina"}],"issued":{"date-parts":[["2011",6]]}}}],"schema":"https://github.com/citation-style-language/schema/raw/master/csl-citation.json"} </w:instrText>
      </w:r>
      <w:r w:rsidR="00925A36">
        <w:rPr>
          <w:rFonts w:ascii="Times New Roman" w:eastAsia="Times New Roman" w:hAnsi="Times New Roman" w:cs="Times New Roman"/>
          <w:sz w:val="20"/>
          <w:szCs w:val="20"/>
        </w:rPr>
        <w:fldChar w:fldCharType="separate"/>
      </w:r>
      <w:r w:rsidR="00925A36" w:rsidRPr="00925A36">
        <w:rPr>
          <w:rFonts w:ascii="Times New Roman" w:hAnsi="Times New Roman" w:cs="Times New Roman"/>
          <w:sz w:val="20"/>
        </w:rPr>
        <w:t>[37]</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2D" w14:textId="1E52795A" w:rsidR="000C6D32" w:rsidRPr="00F20226" w:rsidRDefault="00067E71" w:rsidP="00067E71">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730EBD">
        <w:rPr>
          <w:rFonts w:ascii="Times New Roman" w:eastAsia="Times New Roman" w:hAnsi="Times New Roman" w:cs="Times New Roman"/>
          <w:b/>
          <w:sz w:val="20"/>
          <w:szCs w:val="20"/>
        </w:rPr>
        <w:t>I</w:t>
      </w:r>
      <w:r w:rsidRPr="00F20226">
        <w:rPr>
          <w:rFonts w:ascii="Times New Roman" w:eastAsia="Times New Roman" w:hAnsi="Times New Roman" w:cs="Times New Roman"/>
          <w:b/>
          <w:sz w:val="20"/>
          <w:szCs w:val="20"/>
        </w:rPr>
        <w:t>. CELLULAR AND MOLECULAR MECHANISMS OF AGING</w:t>
      </w:r>
    </w:p>
    <w:p w14:paraId="0000002E" w14:textId="6FF8075B"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Aging is a complex and multifaceted process </w:t>
      </w:r>
      <w:r w:rsidR="00067E71">
        <w:rPr>
          <w:rFonts w:ascii="Times New Roman" w:eastAsia="Times New Roman" w:hAnsi="Times New Roman" w:cs="Times New Roman"/>
          <w:sz w:val="20"/>
          <w:szCs w:val="20"/>
        </w:rPr>
        <w:t>involving</w:t>
      </w:r>
      <w:r w:rsidRPr="00F20226">
        <w:rPr>
          <w:rFonts w:ascii="Times New Roman" w:eastAsia="Times New Roman" w:hAnsi="Times New Roman" w:cs="Times New Roman"/>
          <w:sz w:val="20"/>
          <w:szCs w:val="20"/>
        </w:rPr>
        <w:t xml:space="preserve"> genetic, cellular, and molecular changes over time. While our understanding of the mechanisms underlying aging is still evolving, several key cellular and molecular processes have been identified as contributing to the aging process</w:t>
      </w:r>
      <w:r w:rsidR="00730EBD">
        <w:rPr>
          <w:rFonts w:ascii="Times New Roman" w:eastAsia="Times New Roman" w:hAnsi="Times New Roman" w:cs="Times New Roman"/>
          <w:sz w:val="20"/>
          <w:szCs w:val="20"/>
        </w:rPr>
        <w:t xml:space="preserve"> (Fig 1)</w:t>
      </w:r>
      <w:r w:rsidRPr="00F20226">
        <w:rPr>
          <w:rFonts w:ascii="Times New Roman" w:eastAsia="Times New Roman" w:hAnsi="Times New Roman" w:cs="Times New Roman"/>
          <w:sz w:val="20"/>
          <w:szCs w:val="20"/>
        </w:rPr>
        <w:t>. Here are some of the important cellular and molecular mechanisms of aging:</w:t>
      </w:r>
    </w:p>
    <w:p w14:paraId="0000002F" w14:textId="442BC68F"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Genetic Factors:</w:t>
      </w:r>
      <w:r w:rsidRPr="00F20226">
        <w:rPr>
          <w:rFonts w:ascii="Times New Roman" w:eastAsia="Times New Roman" w:hAnsi="Times New Roman" w:cs="Times New Roman"/>
          <w:sz w:val="20"/>
          <w:szCs w:val="20"/>
        </w:rPr>
        <w:t xml:space="preserve"> Genetic predisposition plays a significant role in determining how individuals age. Genetic mutations and variations can influence the rate of aging, susceptibility to age-related diseases, and overall lifespan. Epigenetic changes, which involve modifications to the DNA and its associated proteins without altering the underlying genetic code, also contribute to aging by affecting gene expression and cellular function</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{"citationID":"iORmxcFC","properties":{"formattedCitation":"[38]","plainCitation":"[38]","noteIndex":0},"citationItems":[{"id":322,"uris":["http://zotero.org/users/local/EXtS0esT/items/JZQA7PUV"],"itemData":{"id":322,"type":"article-journal","abstract":"Aging represents the multifactorial decline in physiological function of every living organism. Over the past decades, several hallmarks of aging have been defined, including epigenetic deregulation. Indeed, multiple epigenetic events were found altered across different species during aging. Epigenetic changes directly contributing to aging and aging-related diseases include the accumulation of histone variants, changes in chromatin accessibility, loss of histones and heterochromatin, aberrant histone modifications, and deregulated expression/activity of miRNAs. As a consequence, cellular processes are affected, which results in the development or progression of several human pathologies, including cancer, diabetes, osteoporosis, and neurodegenerative disorders. In this review, we focus on epigenetic mechanisms underlying aging-related processes in various species and describe how these deregulations contribute to human diseases.","container-title":"International Journal of Molecular Sciences","DOI":"10.3390/ijms22010401","ISSN":"1422-0067","issue":"1","journalAbbreviation":"IJMS","language":"en","page":"401","source":"DOI.org (Crossref)","title":"Epigenetics of Aging and Aging-Associated Diseases","volume":"22","author":[{"family":"Saul","given":"Dominik"},{"family":"Kosinsky","given":"Robyn Laura"}],"issued":{"date-parts":[["2021",1,2]]}}}],"schema":"https://github.com/citation-style-language/schema/raw/master/csl-citation.json"}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[38]</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0" w14:textId="1DF7BD74"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Telomere Shortening:</w:t>
      </w:r>
      <w:r w:rsidRPr="00F20226">
        <w:rPr>
          <w:rFonts w:ascii="Times New Roman" w:eastAsia="Times New Roman" w:hAnsi="Times New Roman" w:cs="Times New Roman"/>
          <w:sz w:val="20"/>
          <w:szCs w:val="20"/>
        </w:rPr>
        <w:t xml:space="preserve"> Telomeres are the protective caps at the ends of chromosomes, and they shorten with each cell division. When telomeres become critically short, cells can enter a state of senescence (permanent growth arrest) or undergo apoptosis (cell death). Telomere shortening is considered a hallmark of cellular aging and is associated with various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{"citationID":"g09KxFxf","properties":{"formattedCitation":"[5]","plainCitation":"[5]","noteIndex":0},"citationItems":[{"id":232,"uris":["http://zotero.org/users/local/EXtS0esT/items/J2V2ZI2M"],"itemData":{"id":232,"type":"article-journal","container-title":"Current Opinion in Clinical Nutrition and Metabolic Care","DOI":"10.1097/MCO.0b013e32834121b1","ISSN":"1363-1950","issue":"1","journalAbbreviation":"Current Opinion in Clinical Nutrition and Metabolic Care","language":"en","page":"28-34","source":"DOI.org (Crossref)","title":"Telomeres, lifestyle, cancer, and aging:","title-short":"Telomeres, lifestyle, cancer, and aging","volume":"14","author":[{"family":"Shammas","given":"Masood A"}],"issued":{"date-parts":[["2011",1]]}}}],"schema":"https://github.com/citation-style-language/schema/raw/master/csl-citation.json"}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[5]</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1" w14:textId="5E6D375C"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Cellular Senescence:</w:t>
      </w:r>
      <w:r w:rsidRPr="00F20226">
        <w:rPr>
          <w:rFonts w:ascii="Times New Roman" w:eastAsia="Times New Roman" w:hAnsi="Times New Roman" w:cs="Times New Roman"/>
          <w:sz w:val="20"/>
          <w:szCs w:val="20"/>
        </w:rPr>
        <w:t xml:space="preserve"> Cellular senescence refers to the state in which cells lose their ability to divide and function properly. Senescent cells accumulate in tissues over time and secrete various molecules, collectively known as the senescence-associated secretory phenotype (SASP), which can promote inflammation and tissue dysfunction, contributing to aging and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{"citationID":"J8XcaUNV","properties":{"formattedCitation":"[32]","plainCitation":"[32]","noteIndex":0},"citationItems":[{"id":301,"uris":["http://zotero.org/users/local/EXtS0esT/items/ZEZVA9V2"],"itemData":{"id":301,"type":"article-journal","abstract":"The influence of the activation of a cellular phenotype termed senescence and it’s importance in ageing and age-related diseases is becoming more and more evident. In fact, there is a huge effort to tackle these diseases via therapeutic drugs targeting senescent cells named senolytics. However, a clearer understanding of how senescence is activated and the influence it has on specific cellular types and tissues is needed. Here, we describe general triggers and characteristics of senescence. In addition, we describe the influence of senescent cells in ageing and different age-related diseases.","container-title":"Frontiers in Aging","DOI":"10.3389/fragi.2022.866718","ISSN":"2673-6217","journalAbbreviation":"Front. Aging","page":"866718","source":"DOI.org (Crossref)","title":"Cellular Senescence and Ageing: Mechanisms and Interventions","title-short":"Cellular Senescence and Ageing","volume":"3","author":[{"family":"Mylonas","given":"Andreas"},{"family":"O’Loghlen","given":"Ana"}],"issued":{"date-parts":[["2022",3,29]]}}}],"schema":"https://github.com/citation-style-language/schema/raw/master/csl-citation.json"}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[32]</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2" w14:textId="1EF1B557"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Mitochondrial Dysfunction:</w:t>
      </w:r>
      <w:r w:rsidRPr="00F20226">
        <w:rPr>
          <w:rFonts w:ascii="Times New Roman" w:eastAsia="Times New Roman" w:hAnsi="Times New Roman" w:cs="Times New Roman"/>
          <w:sz w:val="20"/>
          <w:szCs w:val="20"/>
        </w:rPr>
        <w:t xml:space="preserve"> Mitochondria are the energy-producing organelles within cells. Over time, mitochondrial function can decline, leading to reduced energy production, increased </w:t>
      </w:r>
      <w:r w:rsidR="00DF2CD9">
        <w:rPr>
          <w:rFonts w:ascii="Times New Roman" w:eastAsia="Times New Roman" w:hAnsi="Times New Roman" w:cs="Times New Roman"/>
          <w:sz w:val="20"/>
          <w:szCs w:val="20"/>
        </w:rPr>
        <w:t>reactive oxygen species (ROS) production</w:t>
      </w:r>
      <w:r w:rsidRPr="00F20226">
        <w:rPr>
          <w:rFonts w:ascii="Times New Roman" w:eastAsia="Times New Roman" w:hAnsi="Times New Roman" w:cs="Times New Roman"/>
          <w:sz w:val="20"/>
          <w:szCs w:val="20"/>
        </w:rPr>
        <w:t>, and cellular damage. Mitochondrial dysfunction is linked to various age-related conditions, including neurodegenerative diseases and cardiovascular disorders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{"citationID":"tJVoPpYg","properties":{"formattedCitation":"[39]","plainCitation":"[39]","noteIndex":0},"citationItems":[{"id":320,"uris":["http://zotero.org/users/local/EXtS0esT/items/RBPHRPBV"],"itemData":{"id":320,"type":"article-journal","container-title":"Biochimica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[39]</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3" w14:textId="45A6960C"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Protein Homeostasis (Proteostasis) Decline</w:t>
      </w:r>
      <w:r w:rsidRPr="00F20226">
        <w:rPr>
          <w:rFonts w:ascii="Times New Roman" w:eastAsia="Times New Roman" w:hAnsi="Times New Roman" w:cs="Times New Roman"/>
          <w:sz w:val="20"/>
          <w:szCs w:val="20"/>
        </w:rPr>
        <w:t>: Maintaining proper protein folding and degradation is essential for cellular function</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{"citationID":"avkTy0CU","properties":{"formattedCitation":"[40]","plainCitation":"[40]","noteIndex":0},"citationItems":[{"id":316,"uris":["http://zotero.org/users/local/EXtS0esT/items/YRAUXPVT"],"itemData":{"id":316,"type":"article-journal","container-title":"Frontiers in Neuroscience","DOI":"10.3389/fnins.2019.00457","ISSN":"1662-453X","journalAbbreviation":"Front. Neurosci.","page":"457","source":"DOI.org (Crossref)","title":"Dysfunction of Cellular Proteostasis in Parkinson’s Disease","volume":"13","author":[{"family":"Lehtonen","given":"Šárka"},{"family":"Sonninen","given":"Tuuli-Maria"},{"family":"Wojciechowski","given":"Sara"},{"family":"Goldsteins","given":"Gundars"},{"family":"Koistinaho","given":"Jari"}],"issued":{"date-parts":[["2019",5,10]]}}}],"schema":"https://github.com/citation-style-language/schema/raw/master/csl-citation.json"} </w:instrText>
      </w:r>
      <w:r w:rsidR="00925A36">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[40]</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As cells age, they may struggle to maintain protein homeostasis, leading to the accumulation of misfolded or aggregated proteins. This can contribute to the development of diseases such as Alzheimer's and Parkinson's</w:t>
      </w:r>
      <w:r w:rsidR="000367AD">
        <w:rPr>
          <w:rFonts w:ascii="Times New Roman" w:eastAsia="Times New Roman" w:hAnsi="Times New Roman" w:cs="Times New Roman"/>
          <w:sz w:val="20"/>
          <w:szCs w:val="20"/>
        </w:rPr>
        <w:t xml:space="preserve"> </w:t>
      </w:r>
      <w:r w:rsidR="00925A36">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{"citationID":"Epd91v7O","properties":{"formattedCitation":"[41]","plainCitation":"[41]","noteIndex":0},"citationItems":[{"id":70,"uris":["http://zotero.org/users/local/EXtS0esT/items/AGC8U6NJ"],"itemData":{"id":70,"type":"article-journal","container-title":"European Journal of Neuroscience","DOI":"10.1111/j.1460-9568.2006.05192.x","ISSN":"0953816X, 14609568","issue":"11","language":"en","page":"3174-3182","source":"DOI.org (Crossref)","title":"Neuroprotection in Parkinson models varies with toxin administration protocol","volume":"24","author":[{"family":"Anderson","given":"David W."},{"family":"Bradbury","given":"Kristin A."},{"family":"Schneider","given":"Jay S."}],"issued":{"date-parts":[["2006",12]]}}}],"schema":"https://github.com/citation-style-language/schema/raw/master/csl-citation.json"} </w:instrText>
      </w:r>
      <w:r w:rsidR="00925A36">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[41]</w:t>
      </w:r>
      <w:r w:rsidR="00925A3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4" w14:textId="22D72C38"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lastRenderedPageBreak/>
        <w:t>Inflammation:</w:t>
      </w:r>
      <w:r w:rsidRPr="00F20226">
        <w:rPr>
          <w:rFonts w:ascii="Times New Roman" w:eastAsia="Times New Roman" w:hAnsi="Times New Roman" w:cs="Times New Roman"/>
          <w:sz w:val="20"/>
          <w:szCs w:val="20"/>
        </w:rPr>
        <w:t xml:space="preserve"> Chronic low-level inflammation, often </w:t>
      </w:r>
      <w:r w:rsidR="00DF2CD9">
        <w:rPr>
          <w:rFonts w:ascii="Times New Roman" w:eastAsia="Times New Roman" w:hAnsi="Times New Roman" w:cs="Times New Roman"/>
          <w:sz w:val="20"/>
          <w:szCs w:val="20"/>
        </w:rPr>
        <w:t>called</w:t>
      </w:r>
      <w:r w:rsidRPr="00F20226">
        <w:rPr>
          <w:rFonts w:ascii="Times New Roman" w:eastAsia="Times New Roman" w:hAnsi="Times New Roman" w:cs="Times New Roman"/>
          <w:sz w:val="20"/>
          <w:szCs w:val="20"/>
        </w:rPr>
        <w:t xml:space="preserve"> </w:t>
      </w:r>
      <w:r w:rsidR="00416A55" w:rsidRPr="00F20226">
        <w:rPr>
          <w:rFonts w:ascii="Times New Roman" w:eastAsia="Times New Roman" w:hAnsi="Times New Roman" w:cs="Times New Roman"/>
          <w:sz w:val="20"/>
          <w:szCs w:val="20"/>
        </w:rPr>
        <w:t>inflammation</w:t>
      </w:r>
      <w:r w:rsidRPr="00F20226">
        <w:rPr>
          <w:rFonts w:ascii="Times New Roman" w:eastAsia="Times New Roman" w:hAnsi="Times New Roman" w:cs="Times New Roman"/>
          <w:sz w:val="20"/>
          <w:szCs w:val="20"/>
        </w:rPr>
        <w:t>, is a hallmark of aging. It involves the persistent activation of the immune system, which can contribute to tissue damage and the progression of age-related diseases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{"citationID":"LdyIX0dS","properties":{"formattedCitation":"[36]","plainCitation":"[36]","noteIndex":0},"citationItems":[{"id":310,"uris":["http://zotero.org/users/local/EXtS0esT/items/JVGS7KEZ"],"itemData":{"id":310,"type":"article-journal","abstract":"Abstract\n            Regulatory non‐coding RNAs (ncRNAs) including small non‐coding RNAs (sRNAs), long non‐coding RNAs (lncRNAs), and circular RNAs (circRNAs) have gained considerable attention in the last few years. This is mainly due to their condition‐ and tissue‐specific expression and their various modes of action, which suggests them as promising biomarkers and therapeutic targets. One important mechanism of ncRNAs to regulate gene expression is through translation of short open reading frames (sORFs). These sORFs can be located in lncRNAs, in non‐translated regions of mRNAs where upstream ORFs (uORFs) represent the majority, or in circRNAs. Regulation of their translation can function as a quick way to adapt protein production to changing cellular or environmental cues, and can either depend solely on the initiation and elongation of translation, or on the roles of the produced functional peptides. Due to the experimental challenges to pinpoint translation events and to detect the produced peptides, translational regulation through regulatory RNAs is not well studied yet. In the case of circRNAs, they have only recently started to be recognized as regulatory molecules instead of mere artifacts of RNA biosynthesis. Of the many roles described for regulatory ncRNAs, we will focus here on their regulation during inflammation and in immunity.","container-title":"Allergy","DOI":"10.1111/all.15234","ISSN":"0105-4538, 1398-9995","issue":"7","journalAbbreviation":"Allergy","language":"en","page":"2025-2037","source":"DOI.org (Crossref)","title":"Translation and emerging functions of non‐coding RNAs in inflammation and immunity","volume":"77","author":[{"family":"Della Bella","given":"Elena"},{"family":"Koch","given":"Jana"},{"family":"Baerenfaller","given":"Katja"}],"issued":{"date-parts":[["2022",7]]}}}],"schema":"https://github.com/citation-style-language/schema/raw/master/csl-citation.json"}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[36]</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5" w14:textId="33C81C5D"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Autophagy Decline:</w:t>
      </w:r>
      <w:r w:rsidRPr="00F20226">
        <w:rPr>
          <w:rFonts w:ascii="Times New Roman" w:eastAsia="Times New Roman" w:hAnsi="Times New Roman" w:cs="Times New Roman"/>
          <w:sz w:val="20"/>
          <w:szCs w:val="20"/>
        </w:rPr>
        <w:t xml:space="preserve"> Autophagy is a cellular process that </w:t>
      </w:r>
      <w:r w:rsidR="00DF2CD9">
        <w:rPr>
          <w:rFonts w:ascii="Times New Roman" w:eastAsia="Times New Roman" w:hAnsi="Times New Roman" w:cs="Times New Roman"/>
          <w:sz w:val="20"/>
          <w:szCs w:val="20"/>
        </w:rPr>
        <w:t>removes</w:t>
      </w:r>
      <w:r w:rsidRPr="00F20226">
        <w:rPr>
          <w:rFonts w:ascii="Times New Roman" w:eastAsia="Times New Roman" w:hAnsi="Times New Roman" w:cs="Times New Roman"/>
          <w:sz w:val="20"/>
          <w:szCs w:val="20"/>
        </w:rPr>
        <w:t xml:space="preserve"> damaged or dysfunctional cellular components. As cells age, their ability to perform efficient autophagy may decline, </w:t>
      </w:r>
      <w:r w:rsidR="00DF2CD9">
        <w:rPr>
          <w:rFonts w:ascii="Times New Roman" w:eastAsia="Times New Roman" w:hAnsi="Times New Roman" w:cs="Times New Roman"/>
          <w:sz w:val="20"/>
          <w:szCs w:val="20"/>
        </w:rPr>
        <w:t>accumulating</w:t>
      </w:r>
      <w:r w:rsidRPr="00F20226">
        <w:rPr>
          <w:rFonts w:ascii="Times New Roman" w:eastAsia="Times New Roman" w:hAnsi="Times New Roman" w:cs="Times New Roman"/>
          <w:sz w:val="20"/>
          <w:szCs w:val="20"/>
        </w:rPr>
        <w:t xml:space="preserve"> cellular debris and contributing to aging-related problems</w:t>
      </w:r>
      <w:r w:rsidR="000367AD">
        <w:rPr>
          <w:rFonts w:ascii="Times New Roman" w:eastAsia="Times New Roman" w:hAnsi="Times New Roman" w:cs="Times New Roman"/>
          <w:sz w:val="20"/>
          <w:szCs w:val="20"/>
        </w:rPr>
        <w:t xml:space="preserve"> </w:t>
      </w:r>
      <w:r w:rsidR="00ED1DF4">
        <w:rPr>
          <w:rFonts w:ascii="Times New Roman" w:eastAsia="Times New Roman" w:hAnsi="Times New Roman" w:cs="Times New Roman"/>
          <w:sz w:val="20"/>
          <w:szCs w:val="20"/>
        </w:rPr>
        <w:fldChar w:fldCharType="begin"/>
      </w:r>
      <w:r w:rsidR="00ED1DF4">
        <w:rPr>
          <w:rFonts w:ascii="Times New Roman" w:eastAsia="Times New Roman" w:hAnsi="Times New Roman" w:cs="Times New Roman"/>
          <w:sz w:val="20"/>
          <w:szCs w:val="20"/>
        </w:rPr>
        <w:instrText xml:space="preserve"> ADDIN ZOTERO_ITEM CSL_CITATION {"citationID":"fA5tyLEq","properties":{"formattedCitation":"[42]","plainCitation":"[42]","noteIndex":0},"citationItems":[{"id":318,"uris":["http://zotero.org/users/local/EXtS0esT/items/59NJ8344"],"itemData":{"id":318,"type":"article-journal","container-title":"Experimental Neurobiology","DOI":"10.5607/en.2019.28.6.643","ISSN":"1226-2560, 2093-8144","issue":"6","journalAbbreviation":"Exp Neurobiol","language":"en","page":"643-657","source":"DOI.org (Crossref)","title":"Autophagy, Cellular Aging and Age-related Human Diseases","volume":"28","author":[{"family":"Cheon","given":"So Yeong"},{"family":"Kim","given":"Hyunjeong"},{"family":"Rubinsztein","given":"David C."},{"family":"Lee","given":"Jong Eun"}],"issued":{"date-parts":[["2019",12,31]]}}}],"schema":"https://github.com/citation-style-language/schema/raw/master/csl-citation.json"} </w:instrText>
      </w:r>
      <w:r w:rsidR="00ED1DF4">
        <w:rPr>
          <w:rFonts w:ascii="Times New Roman" w:eastAsia="Times New Roman" w:hAnsi="Times New Roman" w:cs="Times New Roman"/>
          <w:sz w:val="20"/>
          <w:szCs w:val="20"/>
        </w:rPr>
        <w:fldChar w:fldCharType="separate"/>
      </w:r>
      <w:r w:rsidR="00ED1DF4" w:rsidRPr="00ED1DF4">
        <w:rPr>
          <w:rFonts w:ascii="Times New Roman" w:hAnsi="Times New Roman" w:cs="Times New Roman"/>
          <w:sz w:val="20"/>
        </w:rPr>
        <w:t>[42]</w:t>
      </w:r>
      <w:r w:rsidR="00ED1DF4">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6" w14:textId="1EF4E238"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Hormonal Changes:</w:t>
      </w:r>
      <w:r w:rsidRPr="00F20226">
        <w:rPr>
          <w:rFonts w:ascii="Times New Roman" w:eastAsia="Times New Roman" w:hAnsi="Times New Roman" w:cs="Times New Roman"/>
          <w:sz w:val="20"/>
          <w:szCs w:val="20"/>
        </w:rPr>
        <w:t xml:space="preserve"> Changes in hormone levels, such as a decline in sex hormones (e.g., estrogen and testosterone), can impact various physiological processes and contribute to age-related changes in tissues and organs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{"citationID":"iZ4Io3Z1","properties":{"formattedCitation":"[43]","plainCitation":"[43]","noteIndex":0},"citationItems":[{"id":324,"uris":["http://zotero.org/users/local/EXtS0esT/items/9KZ4GTT3"],"itemData":{"id":324,"type":"article-journal","container-title":"Mayo Clinic Proceedings","DOI":"10.1016/j.mayocp.2020.07.033","ISSN":"00256196","issue":"3","journalAbbreviation":"Mayo Clinic Proceedings","language":"en","page":"788-814","source":"DOI.org (Crossref)","title":"Hormonal and Metabolic Changes of Aging and the Influence of Lifestyle Modifications","volume":"96","author":[{"family":"Pataky","given":"Mark W."},{"family":"Young","given":"William F."},{"family":"Nair","given":"K. Sreekumaran"}],"issued":{"date-parts":[["2021",3]]}}}],"schema":"https://github.com/citation-style-language/schema/raw/master/csl-citation.json"}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[43]</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7" w14:textId="33974E4B"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DNA Damage and Repair:</w:t>
      </w:r>
      <w:r w:rsidRPr="00F20226">
        <w:rPr>
          <w:rFonts w:ascii="Times New Roman" w:eastAsia="Times New Roman" w:hAnsi="Times New Roman" w:cs="Times New Roman"/>
          <w:sz w:val="20"/>
          <w:szCs w:val="20"/>
        </w:rPr>
        <w:t xml:space="preserve"> Over time, cells accumulate DNA damage due to various factors, including environmental stressors and normal metabolic processes. Efficient DNA repair mechanisms help maintain genomic integrity, but as cells age, these repair processes can become less effective, leading to the accumulation of mutations and potentially contributing to aging and cancer</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{"citationID":"pZIej9c3","properties":{"formattedCitation":"[28]","plainCitation":"[28]","noteIndex":0},"citationItems":[{"id":293,"uris":["http://zotero.org/users/local/EXtS0esT/items/TDD6L9I4"],"itemData":{"id":293,"type":"article-journal","container-title":"Nature Reviews Immunology","DOI":"10.1038/s41577-022-00751-y","ISSN":"1474-1733, 1474-1741","issue":"2","journalAbbreviation":"Nat Rev Immunol","language":"en","page":"75-89","source":"DOI.org (Crossref)","title":"DNA damage and repair in age-related inflammation","volume":"23","author":[{"family":"Zhao","given":"Yang"},{"family":"Simon","given":"Matthew"},{"family":"Seluanov","given":"Andrei"},{"family":"Gorbunova","given":"Vera"}],"issued":{"date-parts":[["2023",2]]}}}],"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[28]</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8" w14:textId="4EA365D1" w:rsidR="000C6D32" w:rsidRPr="00F20226" w:rsidRDefault="00000000" w:rsidP="00DF2CD9">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Oxidative Stress:</w:t>
      </w:r>
      <w:r w:rsidRPr="00F20226">
        <w:rPr>
          <w:rFonts w:ascii="Times New Roman" w:eastAsia="Times New Roman" w:hAnsi="Times New Roman" w:cs="Times New Roman"/>
          <w:sz w:val="20"/>
          <w:szCs w:val="20"/>
        </w:rPr>
        <w:t xml:space="preserve"> Oxidative stress occurs when there is an imbalance between the production of ROS and the body's ability to neutralize them with antioxidants. Excessive oxidative stress can damage cellular components, including lipids, proteins, and DNA, and contribute to aging and age-related diseases</w:t>
      </w:r>
      <w:r w:rsidR="000367AD">
        <w:rPr>
          <w:rFonts w:ascii="Times New Roman" w:eastAsia="Times New Roman" w:hAnsi="Times New Roman" w:cs="Times New Roman"/>
          <w:sz w:val="20"/>
          <w:szCs w:val="20"/>
        </w:rPr>
        <w:t xml:space="preserve"> </w:t>
      </w:r>
      <w:r w:rsidR="002D3FFC">
        <w:rPr>
          <w:rFonts w:ascii="Times New Roman" w:eastAsia="Times New Roman" w:hAnsi="Times New Roman" w:cs="Times New Roman"/>
          <w:sz w:val="20"/>
          <w:szCs w:val="20"/>
        </w:rPr>
        <w:fldChar w:fldCharType="begin"/>
      </w:r>
      <w:r w:rsidR="002D3FFC">
        <w:rPr>
          <w:rFonts w:ascii="Times New Roman" w:eastAsia="Times New Roman" w:hAnsi="Times New Roman" w:cs="Times New Roman"/>
          <w:sz w:val="20"/>
          <w:szCs w:val="20"/>
        </w:rPr>
        <w:instrText xml:space="preserve"> ADDIN ZOTERO_ITEM CSL_CITATION {"citationID":"B7jI7rnq","properties":{"formattedCitation":"[39]","plainCitation":"[39]","noteIndex":0},"citationItems":[{"id":320,"uris":["http://zotero.org/users/local/EXtS0esT/items/RBPHRPBV"],"itemData":{"id":320,"type":"article-journal","container-title":"Biochimica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2D3FFC">
        <w:rPr>
          <w:rFonts w:ascii="Times New Roman" w:eastAsia="Times New Roman" w:hAnsi="Times New Roman" w:cs="Times New Roman"/>
          <w:sz w:val="20"/>
          <w:szCs w:val="20"/>
        </w:rPr>
        <w:fldChar w:fldCharType="separate"/>
      </w:r>
      <w:r w:rsidR="002D3FFC" w:rsidRPr="002D3FFC">
        <w:rPr>
          <w:rFonts w:ascii="Times New Roman" w:hAnsi="Times New Roman" w:cs="Times New Roman"/>
          <w:sz w:val="20"/>
        </w:rPr>
        <w:t>[39]</w:t>
      </w:r>
      <w:r w:rsidR="002D3F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A" w14:textId="5A12C360" w:rsidR="000C6D32" w:rsidRDefault="00000000" w:rsidP="00DF2CD9">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These cellular and molecular mechanisms are interconnected and can influence each other, contributing to the complex process of aging. Researchers continue to study these mechanisms to </w:t>
      </w:r>
      <w:r w:rsidR="00DF2CD9">
        <w:rPr>
          <w:rFonts w:ascii="Times New Roman" w:eastAsia="Times New Roman" w:hAnsi="Times New Roman" w:cs="Times New Roman"/>
          <w:sz w:val="20"/>
          <w:szCs w:val="20"/>
        </w:rPr>
        <w:t>better understand</w:t>
      </w:r>
      <w:r w:rsidRPr="00F20226">
        <w:rPr>
          <w:rFonts w:ascii="Times New Roman" w:eastAsia="Times New Roman" w:hAnsi="Times New Roman" w:cs="Times New Roman"/>
          <w:sz w:val="20"/>
          <w:szCs w:val="20"/>
        </w:rPr>
        <w:t xml:space="preserve"> how they interact and how interventions might be developed to promote healthy aging and mitigate age-related diseases.</w:t>
      </w:r>
    </w:p>
    <w:p w14:paraId="1BFDD6A8" w14:textId="77777777" w:rsidR="00BB4ADA" w:rsidRDefault="00BB4ADA" w:rsidP="00DF2CD9">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both"/>
        <w:rPr>
          <w:rFonts w:ascii="Times New Roman" w:eastAsia="Times New Roman" w:hAnsi="Times New Roman" w:cs="Times New Roman"/>
          <w:sz w:val="20"/>
          <w:szCs w:val="20"/>
        </w:rPr>
      </w:pPr>
    </w:p>
    <w:p w14:paraId="258FAED2" w14:textId="2E332AAE" w:rsidR="00BB4ADA" w:rsidRDefault="00BB4ADA" w:rsidP="00F355F0">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center"/>
        <w:rPr>
          <w:rFonts w:ascii="Times New Roman" w:eastAsia="Times New Roman" w:hAnsi="Times New Roman" w:cs="Times New Roman"/>
          <w:sz w:val="20"/>
          <w:szCs w:val="20"/>
        </w:rPr>
      </w:pPr>
      <w:r w:rsidRPr="00BB4ADA">
        <w:rPr>
          <w:rFonts w:ascii="Times New Roman" w:eastAsia="Roboto" w:hAnsi="Times New Roman" w:cs="Times New Roman"/>
          <w:noProof/>
          <w:sz w:val="20"/>
          <w:szCs w:val="20"/>
        </w:rPr>
        <w:drawing>
          <wp:inline distT="0" distB="0" distL="0" distR="0" wp14:anchorId="7BF92216" wp14:editId="139FE490">
            <wp:extent cx="4034971" cy="2461292"/>
            <wp:effectExtent l="0" t="0" r="3810" b="0"/>
            <wp:docPr id="1225395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95921" name=""/>
                    <pic:cNvPicPr/>
                  </pic:nvPicPr>
                  <pic:blipFill>
                    <a:blip r:embed="rId7"/>
                    <a:stretch>
                      <a:fillRect/>
                    </a:stretch>
                  </pic:blipFill>
                  <pic:spPr>
                    <a:xfrm>
                      <a:off x="0" y="0"/>
                      <a:ext cx="4115247" cy="2510259"/>
                    </a:xfrm>
                    <a:prstGeom prst="rect">
                      <a:avLst/>
                    </a:prstGeom>
                  </pic:spPr>
                </pic:pic>
              </a:graphicData>
            </a:graphic>
          </wp:inline>
        </w:drawing>
      </w:r>
    </w:p>
    <w:p w14:paraId="6BFA2C94" w14:textId="6301968F" w:rsidR="00BB4ADA" w:rsidRPr="00730EBD" w:rsidRDefault="009F5B3C" w:rsidP="009F5B3C">
      <w:pPr>
        <w:pBdr>
          <w:top w:val="none" w:sz="0" w:space="0" w:color="D9D9E3"/>
          <w:left w:val="none" w:sz="0" w:space="0" w:color="D9D9E3"/>
          <w:bottom w:val="none" w:sz="0" w:space="0" w:color="D9D9E3"/>
          <w:right w:val="none" w:sz="0" w:space="0" w:color="D9D9E3"/>
          <w:between w:val="none" w:sz="0" w:space="0" w:color="D9D9E3"/>
        </w:pBdr>
        <w:spacing w:line="240" w:lineRule="auto"/>
        <w:ind w:firstLine="720"/>
        <w:jc w:val="center"/>
        <w:rPr>
          <w:rFonts w:ascii="Times New Roman" w:eastAsia="Times New Roman" w:hAnsi="Times New Roman" w:cs="Times New Roman"/>
          <w:b/>
          <w:bCs/>
          <w:sz w:val="20"/>
          <w:szCs w:val="20"/>
        </w:rPr>
      </w:pPr>
      <w:r w:rsidRPr="00730EBD">
        <w:rPr>
          <w:rFonts w:ascii="Times New Roman" w:eastAsia="Times New Roman" w:hAnsi="Times New Roman" w:cs="Times New Roman"/>
          <w:b/>
          <w:bCs/>
          <w:sz w:val="20"/>
          <w:szCs w:val="20"/>
        </w:rPr>
        <w:t>Fig</w:t>
      </w:r>
      <w:r w:rsidR="00730EBD" w:rsidRPr="00730EBD">
        <w:rPr>
          <w:rFonts w:ascii="Times New Roman" w:eastAsia="Times New Roman" w:hAnsi="Times New Roman" w:cs="Times New Roman"/>
          <w:b/>
          <w:bCs/>
          <w:sz w:val="20"/>
          <w:szCs w:val="20"/>
        </w:rPr>
        <w:t>ure 1.</w:t>
      </w:r>
      <w:r w:rsidRPr="00730EBD">
        <w:rPr>
          <w:rFonts w:ascii="Times New Roman" w:eastAsia="Times New Roman" w:hAnsi="Times New Roman" w:cs="Times New Roman"/>
          <w:b/>
          <w:bCs/>
          <w:sz w:val="20"/>
          <w:szCs w:val="20"/>
        </w:rPr>
        <w:t xml:space="preserve"> Hallmarks of aging</w:t>
      </w:r>
    </w:p>
    <w:p w14:paraId="3B0E012E" w14:textId="1D9F2EBB" w:rsidR="00BB4ADA" w:rsidRPr="00DF2CD9" w:rsidRDefault="00BB4ADA" w:rsidP="00BB4ADA">
      <w:pPr>
        <w:pBdr>
          <w:top w:val="none" w:sz="0" w:space="0" w:color="D9D9E3"/>
          <w:left w:val="none" w:sz="0" w:space="0" w:color="D9D9E3"/>
          <w:bottom w:val="none" w:sz="0" w:space="0" w:color="D9D9E3"/>
          <w:right w:val="none" w:sz="0" w:space="0" w:color="D9D9E3"/>
          <w:between w:val="none" w:sz="0" w:space="0" w:color="D9D9E3"/>
        </w:pBdr>
        <w:spacing w:line="240" w:lineRule="auto"/>
        <w:jc w:val="both"/>
        <w:rPr>
          <w:rFonts w:ascii="Times New Roman" w:eastAsia="Roboto" w:hAnsi="Times New Roman" w:cs="Times New Roman"/>
          <w:sz w:val="20"/>
          <w:szCs w:val="20"/>
        </w:rPr>
      </w:pPr>
    </w:p>
    <w:p w14:paraId="0000003B" w14:textId="0E4A58BB" w:rsidR="000C6D32" w:rsidRPr="00F20226" w:rsidRDefault="00DF2CD9" w:rsidP="00DF2CD9">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sidRPr="00F20226">
        <w:rPr>
          <w:rFonts w:ascii="Times New Roman" w:eastAsia="Times New Roman" w:hAnsi="Times New Roman" w:cs="Times New Roman"/>
          <w:b/>
          <w:sz w:val="20"/>
          <w:szCs w:val="20"/>
        </w:rPr>
        <w:t xml:space="preserve"> BIOTECHNOLOGY AND ANTI-AGING: REVOLUTIONARY ADVANCEMENTS</w:t>
      </w:r>
    </w:p>
    <w:p w14:paraId="0000003C" w14:textId="586816A7" w:rsidR="000C6D32" w:rsidRPr="00DF2CD9" w:rsidRDefault="00DF2CD9">
      <w:pPr>
        <w:spacing w:line="240" w:lineRule="auto"/>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A. Gene Editing: Precision Tools for Rejuvenation</w:t>
      </w:r>
    </w:p>
    <w:p w14:paraId="0000003D" w14:textId="6D85E335"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ind w:firstLine="720"/>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Gene editing </w:t>
      </w:r>
      <w:r w:rsidR="00DF2CD9">
        <w:rPr>
          <w:rFonts w:ascii="Times New Roman" w:eastAsia="Times New Roman" w:hAnsi="Times New Roman" w:cs="Times New Roman"/>
          <w:sz w:val="20"/>
          <w:szCs w:val="20"/>
        </w:rPr>
        <w:t>could</w:t>
      </w:r>
      <w:r w:rsidRPr="00F20226">
        <w:rPr>
          <w:rFonts w:ascii="Times New Roman" w:eastAsia="Times New Roman" w:hAnsi="Times New Roman" w:cs="Times New Roman"/>
          <w:sz w:val="20"/>
          <w:szCs w:val="20"/>
        </w:rPr>
        <w:t xml:space="preserve"> be a precision tool for addressing the biological processes underlying aging. While the quest for eternal youth remains a distant goal, gene editing technologies hold promise for mitigating some of the effects of aging and age-related diseases. Targeting Senescence: Cellular senescence </w:t>
      </w:r>
      <w:r w:rsidR="00DF2CD9">
        <w:rPr>
          <w:rFonts w:ascii="Times New Roman" w:eastAsia="Times New Roman" w:hAnsi="Times New Roman" w:cs="Times New Roman"/>
          <w:sz w:val="20"/>
          <w:szCs w:val="20"/>
        </w:rPr>
        <w:t>is</w:t>
      </w:r>
      <w:r w:rsidRPr="00F20226">
        <w:rPr>
          <w:rFonts w:ascii="Times New Roman" w:eastAsia="Times New Roman" w:hAnsi="Times New Roman" w:cs="Times New Roman"/>
          <w:sz w:val="20"/>
          <w:szCs w:val="20"/>
        </w:rPr>
        <w:t xml:space="preserve"> </w:t>
      </w:r>
      <w:r w:rsidR="00DF2CD9">
        <w:rPr>
          <w:rFonts w:ascii="Times New Roman" w:eastAsia="Times New Roman" w:hAnsi="Times New Roman" w:cs="Times New Roman"/>
          <w:sz w:val="20"/>
          <w:szCs w:val="20"/>
        </w:rPr>
        <w:t>when</w:t>
      </w:r>
      <w:r w:rsidRPr="00F20226">
        <w:rPr>
          <w:rFonts w:ascii="Times New Roman" w:eastAsia="Times New Roman" w:hAnsi="Times New Roman" w:cs="Times New Roman"/>
          <w:sz w:val="20"/>
          <w:szCs w:val="20"/>
        </w:rPr>
        <w:t xml:space="preserve"> cells cease to divide and accumulate with age. These senescent cells can contribute to tissue inflammation and dysfunction. Researchers are exploring gene editing techniques to selectively eliminate or modify these cells, potentially restoring tissue function and delaying age-related decline</w:t>
      </w:r>
      <w:r w:rsidR="000367AD">
        <w:rPr>
          <w:rFonts w:ascii="Times New Roman" w:eastAsia="Times New Roman" w:hAnsi="Times New Roman" w:cs="Times New Roman"/>
          <w:sz w:val="20"/>
          <w:szCs w:val="20"/>
        </w:rPr>
        <w:t xml:space="preserve"> </w:t>
      </w:r>
      <w:r w:rsidR="0050198E">
        <w:rPr>
          <w:rFonts w:ascii="Times New Roman" w:eastAsia="Times New Roman" w:hAnsi="Times New Roman" w:cs="Times New Roman"/>
          <w:sz w:val="20"/>
          <w:szCs w:val="20"/>
        </w:rPr>
        <w:fldChar w:fldCharType="begin"/>
      </w:r>
      <w:r w:rsidR="0050198E">
        <w:rPr>
          <w:rFonts w:ascii="Times New Roman" w:eastAsia="Times New Roman" w:hAnsi="Times New Roman" w:cs="Times New Roman"/>
          <w:sz w:val="20"/>
          <w:szCs w:val="20"/>
        </w:rPr>
        <w:instrText xml:space="preserve"> ADDIN ZOTERO_ITEM CSL_CITATION {"citationID":"u2PL9TPP","properties":{"formattedCitation":"[44]","plainCitation":"[44]","noteIndex":0},"citationItems":[{"id":330,"uris":["http://zotero.org/users/local/EXtS0esT/items/2CMGES59"],"itemData":{"id":330,"type":"article-journal","container-title":"Current Problems in Cardiology","DOI":"10.1016/j.cpcardiol.2023.101692","ISSN":"01462806","issue":"7","journalAbbreviation":"Current Problems in Cardiology","language":"en","page":"101692","source":"DOI.org (Crossref)","title":"Genome Editing Technology: A New Frontier for the Treatment and Prevention of Cardiovascular Diseases","title-short":"Genome Editing Technology","volume":"48","author":[{"family":"Saeed","given":"Sumbul"},{"family":"Khan","given":"Shahid Ullah"},{"family":"Khan","given":"Wasim Ullah"},{"family":"Abdel-Maksoud","given":"Mostafa A."},{"family":"Mubarak","given":"Ayman S."},{"family":"Aufy","given":"Mohammed"},{"family":"Kiani","given":"Faisal Ayub"},{"family":"Wahab","given":"Abdul"},{"family":"Shah","given":"Muhammad Wajid"},{"family":"Saleem","given":"Muhammad Hamzah"}],"issued":{"date-parts":[["2023",7]]}}}],"schema":"https://github.com/citation-style-language/schema/raw/master/csl-citation.json"} </w:instrText>
      </w:r>
      <w:r w:rsidR="0050198E">
        <w:rPr>
          <w:rFonts w:ascii="Times New Roman" w:eastAsia="Times New Roman" w:hAnsi="Times New Roman" w:cs="Times New Roman"/>
          <w:sz w:val="20"/>
          <w:szCs w:val="20"/>
        </w:rPr>
        <w:fldChar w:fldCharType="separate"/>
      </w:r>
      <w:r w:rsidR="0050198E" w:rsidRPr="0050198E">
        <w:rPr>
          <w:rFonts w:ascii="Times New Roman" w:hAnsi="Times New Roman" w:cs="Times New Roman"/>
          <w:sz w:val="20"/>
        </w:rPr>
        <w:t>[44]</w:t>
      </w:r>
      <w:r w:rsidR="0050198E">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E" w14:textId="446A51C1"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DNA Repair:</w:t>
      </w:r>
      <w:r w:rsidRPr="00F20226">
        <w:rPr>
          <w:rFonts w:ascii="Times New Roman" w:eastAsia="Times New Roman" w:hAnsi="Times New Roman" w:cs="Times New Roman"/>
          <w:sz w:val="20"/>
          <w:szCs w:val="20"/>
        </w:rPr>
        <w:t xml:space="preserve"> Accumulated DNA damage over a lifetime is a key contributor to aging and age-related diseases. Gene editing technologies could be used to repair specific DNA lesions, reducing the burden of mutations and enhancing cellular function</w:t>
      </w:r>
      <w:r w:rsidR="000367AD">
        <w:rPr>
          <w:rFonts w:ascii="Times New Roman" w:eastAsia="Times New Roman" w:hAnsi="Times New Roman" w:cs="Times New Roman"/>
          <w:sz w:val="20"/>
          <w:szCs w:val="20"/>
        </w:rPr>
        <w:t xml:space="preserve"> </w:t>
      </w:r>
      <w:r w:rsidR="00551C8A">
        <w:rPr>
          <w:rFonts w:ascii="Times New Roman" w:eastAsia="Times New Roman" w:hAnsi="Times New Roman" w:cs="Times New Roman"/>
          <w:sz w:val="20"/>
          <w:szCs w:val="20"/>
        </w:rPr>
        <w:fldChar w:fldCharType="begin"/>
      </w:r>
      <w:r w:rsidR="00551C8A">
        <w:rPr>
          <w:rFonts w:ascii="Times New Roman" w:eastAsia="Times New Roman" w:hAnsi="Times New Roman" w:cs="Times New Roman"/>
          <w:sz w:val="20"/>
          <w:szCs w:val="20"/>
        </w:rPr>
        <w:instrText xml:space="preserve"> ADDIN ZOTERO_ITEM CSL_CITATION {"citationID":"l9reei3t","properties":{"formattedCitation":"[26]","plainCitation":"[26]","noteIndex":0},"citationItems":[{"id":295,"uris":["http://zotero.org/users/local/EXtS0esT/items/7NW5W23G"],"itemData":{"id":295,"type":"article-journal","container-title":"Cold Spring Harbor Perspectives in Medicine","DOI":"10.1101/cshperspect.a025130","ISSN":"2157-1422","issue":"10","journalAbbreviation":"Cold Spring Harb Perspect Med","language":"en","page":"a025130","source":"DOI.org (Crossref)","title":"DNA Damage, DNA Repair, Aging, and Neurodegeneration","volume":"5","author":[{"family":"Maynard","given":"Scott"},{"family":"Fang","given":"Evandro Fei"},{"family":"Scheibye-Knudsen","given":"Morten"},{"family":"Croteau","given":"Deborah L."},{"family":"Bohr","given":"Vilhelm A."}],"issued":{"date-parts":[["2015",10]]}}}],"schema":"https://github.com/citation-style-language/schema/raw/master/csl-citation.json"} </w:instrText>
      </w:r>
      <w:r w:rsidR="00551C8A">
        <w:rPr>
          <w:rFonts w:ascii="Times New Roman" w:eastAsia="Times New Roman" w:hAnsi="Times New Roman" w:cs="Times New Roman"/>
          <w:sz w:val="20"/>
          <w:szCs w:val="20"/>
        </w:rPr>
        <w:fldChar w:fldCharType="separate"/>
      </w:r>
      <w:r w:rsidR="00551C8A" w:rsidRPr="00551C8A">
        <w:rPr>
          <w:rFonts w:ascii="Times New Roman" w:hAnsi="Times New Roman" w:cs="Times New Roman"/>
          <w:sz w:val="20"/>
        </w:rPr>
        <w:t>[26]</w:t>
      </w:r>
      <w:r w:rsidR="00551C8A">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3F" w14:textId="3DCF295D"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Telomere Extension:</w:t>
      </w:r>
      <w:r w:rsidRPr="00F20226">
        <w:rPr>
          <w:rFonts w:ascii="Times New Roman" w:eastAsia="Times New Roman" w:hAnsi="Times New Roman" w:cs="Times New Roman"/>
          <w:sz w:val="20"/>
          <w:szCs w:val="20"/>
        </w:rPr>
        <w:t xml:space="preserve"> Telomeres, which protect the ends of chromosomes, shorten with each cell division. Eventually, critically short telomeres lead to cellular senescence. Gene editing might offer a way to extend telomeres, allowing cells to divide more times before reaching a senescent state</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{"citationID":"rf7GX2GS","properties":{"formattedCitation":"[45]","plainCitation":"[45]","noteIndex":0},"citationItems":[{"id":331,"uris":["http://zotero.org/users/local/EXtS0esT/items/JZS4MA4P"],"itemData":{"id":331,"type":"article-journal","abstract":"Abstract\n            Telomerase is perceived as an immortality enzyme that might provide longevity to cells and whole organisms. Importantly, it is generally inactive in most somatic cells of healthy, adult men. Consequently, its substrates, i.e. telomeres, get shorter in most human cells with time. Noteworthy, cell life limitation due to telomere attrition during cell divisions, may not be as bad as it looks since longer cell life means longer exposition to harmful factors. Consequently, telomere length (attrition rate) becomes a factor that is responsible for inducing the signaling that leads to the elimination of cells that lived long enough to acquire severe damage. It seems that telomere length that depends on many different factors (including telomerase activity but also genetic factors, a hormonal profile that reflects sex, etc.) might become a useful marker of aging and exposition to stress. Thus in the current paper, we review the factors that affect telomere length in human cells focusing on sex that all together with different environmental and hormonal regulations as well as parental aspect affect telomere attrition rate. We also raise some limitations in the assessment of telomere length that hinders a trustworthy meta-analysis that might lead to acknowledgment of the real value of this parameter.","container-title":"Molecular Biology Reports","DOI":"10.1007/s11033-020-05551-y","ISSN":"0301-4851, 1573-4978","issue":"9","journalAbbreviation":"Mol Biol Rep","language":"en","page":"7181-7188","source":"DOI.org (Crossref)","title":"Telomere length: how the length makes a difference","title-short":"Telomere length","volume":"47","author":[{"family":"Lulkiewicz","given":"M."},{"family":"Bajsert","given":"J."},{"family":"Kopczynski","given":"P."},{"family":"Barczak","given":"W."},{"family":"Rubis","given":"B."}],"issued":{"date-parts":[["2020",9]]}}}],"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[45]</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0" w14:textId="4F729CDE"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lastRenderedPageBreak/>
        <w:t xml:space="preserve">Epigenetic Modifications: </w:t>
      </w:r>
      <w:r w:rsidRPr="00F20226">
        <w:rPr>
          <w:rFonts w:ascii="Times New Roman" w:eastAsia="Times New Roman" w:hAnsi="Times New Roman" w:cs="Times New Roman"/>
          <w:sz w:val="20"/>
          <w:szCs w:val="20"/>
        </w:rPr>
        <w:t>Epigenetic changes, alterations in gene expression without changes in the DNA sequence, play a role in aging. Gene editing could revert or adjust these epigenetic marks to restore more youthful gene expression profiles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{"citationID":"YaH3P5zu","properties":{"formattedCitation":"[38]","plainCitation":"[38]","noteIndex":0},"citationItems":[{"id":322,"uris":["http://zotero.org/users/local/EXtS0esT/items/JZQA7PUV"],"itemData":{"id":322,"type":"article-journal","abstract":"Aging represents the multifactorial decline in physiological function of every living organism. Over the past decades, several hallmarks of aging have been defined, including epigenetic deregulation. Indeed, multiple epigenetic events were found altered across different species during aging. Epigenetic changes directly contributing to aging and aging-related diseases include the accumulation of histone variants, changes in chromatin accessibility, loss of histones and heterochromatin, aberrant histone modifications, and deregulated expression/activity of miRNAs. As a consequence, cellular processes are affected, which results in the development or progression of several human pathologies, including cancer, diabetes, osteoporosis, and neurodegenerative disorders. In this review, we focus on epigenetic mechanisms underlying aging-related processes in various species and describe how these deregulations contribute to human diseases.","container-title":"International Journal of Molecular Sciences","DOI":"10.3390/ijms22010401","ISSN":"1422-0067","issue":"1","journalAbbreviation":"IJMS","language":"en","page":"401","source":"DOI.org (Crossref)","title":"Epigenetics of Aging and Aging-Associated Diseases","volume":"22","author":[{"family":"Saul","given":"Dominik"},{"family":"Kosinsky","given":"Robyn Laura"}],"issued":{"date-parts":[["2021",1,2]]}}}],"schema":"https://github.com/citation-style-language/schema/raw/master/csl-citation.json"}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[38]</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1" w14:textId="7AF8C072"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Mitochondrial Health:</w:t>
      </w:r>
      <w:r w:rsidRPr="00F20226">
        <w:rPr>
          <w:rFonts w:ascii="Times New Roman" w:eastAsia="Times New Roman" w:hAnsi="Times New Roman" w:cs="Times New Roman"/>
          <w:sz w:val="20"/>
          <w:szCs w:val="20"/>
        </w:rPr>
        <w:t xml:space="preserve"> Mitochondria, the cellular powerhouses, decline in function with age, contributing to various age-related diseases. Gene editing could potentially target genes related to mitochondrial health, enhancing their function and delaying cellular decline</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{"citationID":"h3SH9tqR","properties":{"formattedCitation":"[39]","plainCitation":"[39]","noteIndex":0},"citationItems":[{"id":320,"uris":["http://zotero.org/users/local/EXtS0esT/items/RBPHRPBV"],"itemData":{"id":320,"type":"article-journal","container-title":"Biochimica et Biophysica Acta (BBA) - Molecular Basis of Disease","DOI":"10.1016/j.bbadis.2016.11.010","ISSN":"09254439","issue":"5","journalAbbreviation":"Biochimica et Biophysica Acta (BBA) - Molecular Basis of Disease","language":"en","page":"1066-1077","source":"DOI.org (Crossref)","title":"Mitochondrial dysfunction and oxidative stress in metabolic disorders — A step towards mitochondria based therapeutic strategies","volume":"1863","author":[{"family":"Bhatti","given":"Jasvinder Singh"},{"family":"Bhatti","given":"Gurjit Kaur"},{"family":"Reddy","given":"P. Hemachandra"}],"issued":{"date-parts":[["2017",5]]}}}],"schema":"https://github.com/citation-style-language/schema/raw/master/csl-citation.json"}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[39]</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2" w14:textId="33FBC06A"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Age-Related Disease Treatment:</w:t>
      </w:r>
      <w:r w:rsidRPr="00F20226">
        <w:rPr>
          <w:rFonts w:ascii="Times New Roman" w:eastAsia="Times New Roman" w:hAnsi="Times New Roman" w:cs="Times New Roman"/>
          <w:sz w:val="20"/>
          <w:szCs w:val="20"/>
        </w:rPr>
        <w:t xml:space="preserve"> Gene editing could </w:t>
      </w:r>
      <w:r w:rsidR="00DF2CD9">
        <w:rPr>
          <w:rFonts w:ascii="Times New Roman" w:eastAsia="Times New Roman" w:hAnsi="Times New Roman" w:cs="Times New Roman"/>
          <w:sz w:val="20"/>
          <w:szCs w:val="20"/>
        </w:rPr>
        <w:t>correct genetic mutations predisposing</w:t>
      </w:r>
      <w:r w:rsidRPr="00F20226">
        <w:rPr>
          <w:rFonts w:ascii="Times New Roman" w:eastAsia="Times New Roman" w:hAnsi="Times New Roman" w:cs="Times New Roman"/>
          <w:sz w:val="20"/>
          <w:szCs w:val="20"/>
        </w:rPr>
        <w:t xml:space="preserve"> individuals to age-related diseases such as Alzheimer's, heart disease, and diabetes. </w:t>
      </w:r>
      <w:r w:rsidR="00DF2CD9" w:rsidRPr="00DF2CD9">
        <w:rPr>
          <w:rFonts w:ascii="Times New Roman" w:eastAsia="Times New Roman" w:hAnsi="Times New Roman" w:cs="Times New Roman"/>
          <w:sz w:val="20"/>
          <w:szCs w:val="20"/>
        </w:rPr>
        <w:t>The risk of developing these conditions could be reduced by editing these disease-associated genes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{"citationID":"Zh5PBxJV","properties":{"formattedCitation":"[46]","plainCitation":"[46]","noteIndex":0},"citationItems":[{"id":335,"uris":["http://zotero.org/users/local/EXtS0esT/items/DWEN3P24"],"itemData":{"id":335,"type":"article-journal","container-title":"Aging and disease","DOI":"10.14336/AD.2019.0927","ISSN":"2152-5250","issue":"4","journalAbbreviation":"Aging and disease","language":"en","page":"895","source":"DOI.org (Crossref)","title":"The Impact of CRISPR-Cas9 on Age-related Disorders: From Pathology to Therapy","title-short":"The Impact of CRISPR-Cas9 on Age-related Disorders","volume":"11","author":[{"family":"Caobi","given":"Allen"},{"family":"Dutta","given":"Rajib Kumar"},{"family":"Garbinski","given":"Luis D"},{"family":"Esteban-Lopez","given":"Maria"},{"family":"Ceyhan","given":"Yasemin"},{"family":"Andre","given":"Mickensone"},{"family":"Manevski","given":"Marko"},{"family":"Ojha","given":"Chet Raj"},{"family":"Lapierre","given":"Jessica"},{"family":"Tiwari","given":"Sneham"},{"family":"Parira","given":"Tiyash"},{"family":"El-Hage","given":"Nazira"}],"issued":{"date-parts":[["2020"]]}}}],"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[46]</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3" w14:textId="224FDCDF" w:rsidR="000C6D32" w:rsidRPr="00F20226"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proofErr w:type="spellStart"/>
      <w:r w:rsidRPr="00DF2CD9">
        <w:rPr>
          <w:rFonts w:ascii="Times New Roman" w:eastAsia="Times New Roman" w:hAnsi="Times New Roman" w:cs="Times New Roman"/>
          <w:i/>
          <w:iCs/>
          <w:sz w:val="20"/>
          <w:szCs w:val="20"/>
        </w:rPr>
        <w:t>Immunosenescence</w:t>
      </w:r>
      <w:proofErr w:type="spellEnd"/>
      <w:r w:rsidRPr="00DF2CD9">
        <w:rPr>
          <w:rFonts w:ascii="Times New Roman" w:eastAsia="Times New Roman" w:hAnsi="Times New Roman" w:cs="Times New Roman"/>
          <w:i/>
          <w:iCs/>
          <w:sz w:val="20"/>
          <w:szCs w:val="20"/>
        </w:rPr>
        <w:t xml:space="preserve"> Reversal</w:t>
      </w:r>
      <w:r w:rsidRPr="00F20226">
        <w:rPr>
          <w:rFonts w:ascii="Times New Roman" w:eastAsia="Times New Roman" w:hAnsi="Times New Roman" w:cs="Times New Roman"/>
          <w:sz w:val="20"/>
          <w:szCs w:val="20"/>
        </w:rPr>
        <w:t>: The aging immune system becomes less efficient at fighting infections and cancer</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{"citationID":"q45EO7oZ","properties":{"formattedCitation":"[47]","plainCitation":"[47]","noteIndex":0},"citationItems":[{"id":339,"uris":["http://zotero.org/users/local/EXtS0esT/items/I5EBTW6V"],"itemData":{"id":339,"type":"article-journal","abstract":"Abstract\n            It is widely accepted that ageing is accompanied by remodelling of the immune system, including reduced numbers of naïve T cells, increased senescent or exhausted T cells, compromise to monocyte, neutrophil and natural killer cell function and an increase in systemic inflammation. In combination these changes result in increased risk of infection, reduced immune memory, reduced immune tolerance and immune surveillance, with significant impacts upon health in old age. More recently it has become clear that the rate of decline in the immune system is malleable and can be influenced by environmental factors such as physical activity as well as pharmacological interventions. This review discusses briefly our current understanding of immunesenescence and then focuses on lifestyle interventions and therapeutic strategies that have been shown to restore immune functioning in aged individuals.","container-title":"Biogerontology","DOI":"10.1007/s10522-018-9771-7","ISSN":"1389-5729, 1573-6768","issue":"6","journalAbbreviation":"Biogerontology","language":"en","page":"481-496","source":"DOI.org (Crossref)","title":"Reversing the immune ageing clock: lifestyle modifications and pharmacological interventions","title-short":"Reversing the immune ageing clock","volume":"19","author":[{"family":"Duggal","given":"Niharika A."}],"issued":{"date-parts":[["2018",12]]}}}],"schema":"https://github.com/citation-style-language/schema/raw/master/csl-citation.json"}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[47]</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Gene editing could help restore immune cell function, enhancing the body's ability to protect itself against diseases</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{"citationID":"3MFkaBGJ","properties":{"formattedCitation":"[48]","plainCitation":"[48]","noteIndex":0},"citationItems":[{"id":337,"uris":["http://zotero.org/users/local/EXtS0esT/items/72AJFZ4L"],"itemData":{"id":337,"type":"article-journal","abstract":"Aging induces a series of immune related changes, which is called immunosenescence, playing important roles in many age-related diseases, especially neurodegenerative diseases, tumors, cardiovascular diseases, autoimmune diseases and coronavirus disease 2019(COVID-19). However, the mechanism of immunosenescence, the association with aging and successful aging, and the effects on diseases are not revealed obviously. In order to provide theoretical basis for preventing or controlling diseases effectively and achieve successful aging, we conducted the review and found that changes of aging-related phenotypes, deterioration of immune organ function and alterations of immune cell subsets participated in the process of immunosenescence, which had great effects on the occurrence and development of age-related diseases.","container-title":"Frontiers in Immunology","DOI":"10.3389/fimmu.2022.942796","ISSN":"1664-3224","journalAbbreviation":"Front. Immunol.","page":"942796","source":"DOI.org (Crossref)","title":"Immunosenescence, aging and successful aging","volume":"13","author":[{"family":"Wang","given":"Yunan"},{"family":"Dong","given":"Chen"},{"family":"Han","given":"Yudian"},{"family":"Gu","given":"Zhifeng"},{"family":"Sun","given":"Chi"}],"issued":{"date-parts":[["2022",8,2]]}}}],"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[48]</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4" w14:textId="6CD92E4D" w:rsidR="000C6D32" w:rsidRDefault="00000000"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Lifespan Extension:</w:t>
      </w:r>
      <w:r w:rsidRPr="00F20226">
        <w:rPr>
          <w:rFonts w:ascii="Times New Roman" w:eastAsia="Times New Roman" w:hAnsi="Times New Roman" w:cs="Times New Roman"/>
          <w:sz w:val="20"/>
          <w:szCs w:val="20"/>
        </w:rPr>
        <w:t xml:space="preserve"> While directly extending </w:t>
      </w:r>
      <w:r w:rsidR="00DF2CD9">
        <w:rPr>
          <w:rFonts w:ascii="Times New Roman" w:eastAsia="Times New Roman" w:hAnsi="Times New Roman" w:cs="Times New Roman"/>
          <w:sz w:val="20"/>
          <w:szCs w:val="20"/>
        </w:rPr>
        <w:t xml:space="preserve">the </w:t>
      </w:r>
      <w:r w:rsidRPr="00F20226">
        <w:rPr>
          <w:rFonts w:ascii="Times New Roman" w:eastAsia="Times New Roman" w:hAnsi="Times New Roman" w:cs="Times New Roman"/>
          <w:sz w:val="20"/>
          <w:szCs w:val="20"/>
        </w:rPr>
        <w:t xml:space="preserve">human lifespan is complex and controversial, gene editing could contribute to overall </w:t>
      </w:r>
      <w:r w:rsidR="00DF2CD9" w:rsidRPr="00F20226">
        <w:rPr>
          <w:rFonts w:ascii="Times New Roman" w:eastAsia="Times New Roman" w:hAnsi="Times New Roman" w:cs="Times New Roman"/>
          <w:sz w:val="20"/>
          <w:szCs w:val="20"/>
        </w:rPr>
        <w:t>health span</w:t>
      </w:r>
      <w:r w:rsidRPr="00F20226">
        <w:rPr>
          <w:rFonts w:ascii="Times New Roman" w:eastAsia="Times New Roman" w:hAnsi="Times New Roman" w:cs="Times New Roman"/>
          <w:sz w:val="20"/>
          <w:szCs w:val="20"/>
        </w:rPr>
        <w:t xml:space="preserve"> extension—increasing the period of life spent in good health. This would involve targeting genes and pathways associated with age-related diseases and deterioration</w:t>
      </w:r>
      <w:r w:rsidR="000367AD">
        <w:rPr>
          <w:rFonts w:ascii="Times New Roman" w:eastAsia="Times New Roman" w:hAnsi="Times New Roman" w:cs="Times New Roman"/>
          <w:sz w:val="20"/>
          <w:szCs w:val="20"/>
        </w:rPr>
        <w:t xml:space="preserve"> </w:t>
      </w:r>
      <w:r w:rsidR="00545650">
        <w:rPr>
          <w:rFonts w:ascii="Times New Roman" w:eastAsia="Times New Roman" w:hAnsi="Times New Roman" w:cs="Times New Roman"/>
          <w:sz w:val="20"/>
          <w:szCs w:val="20"/>
        </w:rPr>
        <w:fldChar w:fldCharType="begin"/>
      </w:r>
      <w:r w:rsidR="00545650">
        <w:rPr>
          <w:rFonts w:ascii="Times New Roman" w:eastAsia="Times New Roman" w:hAnsi="Times New Roman" w:cs="Times New Roman"/>
          <w:sz w:val="20"/>
          <w:szCs w:val="20"/>
        </w:rPr>
        <w:instrText xml:space="preserve"> ADDIN ZOTERO_ITEM CSL_CITATION {"citationID":"t3K0RkGI","properties":{"formattedCitation":"[49]","plainCitation":"[49]","noteIndex":0},"citationItems":[{"id":341,"uris":["http://zotero.org/users/local/EXtS0esT/items/RYHWZKIV"],"itemData":{"id":341,"type":"article-journal","abstract":"Aging is commonly defined as the accumulation of diverse deleterious changes occurring in cells and tissues with advancing age that are responsible for the increased risk of disease and death. The major theories of aging are all specific of a particular cause of aging, providing useful and important insights for the understanding of age-related physiological changes. However, a global view of them is needed when debating of a process which is still obscure in some of its aspects. In this context, the search for a single cause of aging has recently been replaced by the view of aging as an extremely complex, multifactorial process. Therefore, the different theories of aging should not be considered as mutually exclusive, but complementary of others in the explanation of some or all the features of the normal aging process. To date, no convincing evidence showing the administration of existing \"anti-aging\" remedies can slow aging or increase longevity in humans is available. Nevertheless, several studies on animal models have shown that aging rates and life expectancy can be modified. The present review provides an overlook of the most commonly accepted theories of aging, providing current evidence of those interventions aimed at modifying the aging process.","container-title":"Clinical Interventions in Aging","ISSN":"1176-9092","issue":"3","journalAbbreviation":"Clin Interv Aging","language":"eng","note":"PMID: 18044191\nPMCID: PMC2685272","page":"401-412","source":"PubMed","title":"The aging process and potential interventions to extend life expectancy","volume":"2","author":[{"family":"Tosato","given":"Matteo"},{"family":"Zamboni","given":"Valentina"},{"family":"Ferrini","given":"Alessandro"},{"family":"Cesari","given":"Matteo"}],"issued":{"date-parts":[["2007"]]}}}],"schema":"https://github.com/citation-style-language/schema/raw/master/csl-citation.json"} </w:instrText>
      </w:r>
      <w:r w:rsidR="00545650">
        <w:rPr>
          <w:rFonts w:ascii="Times New Roman" w:eastAsia="Times New Roman" w:hAnsi="Times New Roman" w:cs="Times New Roman"/>
          <w:sz w:val="20"/>
          <w:szCs w:val="20"/>
        </w:rPr>
        <w:fldChar w:fldCharType="separate"/>
      </w:r>
      <w:r w:rsidR="00545650" w:rsidRPr="00545650">
        <w:rPr>
          <w:rFonts w:ascii="Times New Roman" w:hAnsi="Times New Roman" w:cs="Times New Roman"/>
          <w:sz w:val="20"/>
        </w:rPr>
        <w:t>[49]</w:t>
      </w:r>
      <w:r w:rsidR="00545650">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585081EF" w14:textId="77777777" w:rsidR="00DF2CD9" w:rsidRPr="00F20226" w:rsidRDefault="00DF2CD9" w:rsidP="00545650">
      <w:pPr>
        <w:pBdr>
          <w:top w:val="none" w:sz="0" w:space="0" w:color="D9D9E3"/>
          <w:left w:val="none" w:sz="0" w:space="1"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p>
    <w:p w14:paraId="00000045" w14:textId="3E00DA90" w:rsidR="000C6D32" w:rsidRPr="00DF2CD9" w:rsidRDefault="00DF2CD9">
      <w:pPr>
        <w:spacing w:line="240" w:lineRule="auto"/>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B. Stem Cell Therapies: Restoring Youthful Potential</w:t>
      </w:r>
    </w:p>
    <w:p w14:paraId="00000046" w14:textId="62D23143" w:rsidR="000C6D32" w:rsidRPr="00F20226" w:rsidRDefault="00000000" w:rsidP="00DF2CD9">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In general, cells deteriorate and finally die through apoptosis when the number of cell divisions surpasses the Hayflick limit. Adult stem cells are in charge of these procedures in </w:t>
      </w:r>
      <w:r w:rsidR="00DF2CD9">
        <w:rPr>
          <w:rFonts w:ascii="Times New Roman" w:eastAsia="Times New Roman" w:hAnsi="Times New Roman" w:cs="Times New Roman"/>
          <w:sz w:val="20"/>
          <w:szCs w:val="20"/>
        </w:rPr>
        <w:t>various</w:t>
      </w:r>
      <w:r w:rsidRPr="00F20226">
        <w:rPr>
          <w:rFonts w:ascii="Times New Roman" w:eastAsia="Times New Roman" w:hAnsi="Times New Roman" w:cs="Times New Roman"/>
          <w:sz w:val="20"/>
          <w:szCs w:val="20"/>
        </w:rPr>
        <w:t xml:space="preserve"> tissues, replacing dead cells to preserve normal tissue function and healing wounds. Therefore, adult stem cells are essential for preventing the </w:t>
      </w:r>
      <w:r w:rsidR="00DF2CD9">
        <w:rPr>
          <w:rFonts w:ascii="Times New Roman" w:eastAsia="Times New Roman" w:hAnsi="Times New Roman" w:cs="Times New Roman"/>
          <w:sz w:val="20"/>
          <w:szCs w:val="20"/>
        </w:rPr>
        <w:t>aging</w:t>
      </w:r>
      <w:r w:rsidRPr="00F20226">
        <w:rPr>
          <w:rFonts w:ascii="Times New Roman" w:eastAsia="Times New Roman" w:hAnsi="Times New Roman" w:cs="Times New Roman"/>
          <w:sz w:val="20"/>
          <w:szCs w:val="20"/>
        </w:rPr>
        <w:t xml:space="preserve"> of tissues and organs and postponing the onset of old age. Adult stem cells, however, may experience cellular senescence and apoptosis as they age. Adult stem cells do exhibit senescence-specific characteristics during the expansion and culture processes, such as morphological alterations, reduced proliferative activity, and imbalanced biological activities</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{"citationID":"fnOXtoUO","properties":{"formattedCitation":"[50]","plainCitation":"[50]","noteIndex":0},"citationItems":[{"id":345,"uris":["http://zotero.org/users/local/EXtS0esT/items/G66JUL3X"],"itemData":{"id":345,"type":"article-journal","container-title":"The Journals of Gerontology Series A: Biological Sciences and Medical Sciences","DOI":"10.1093/gerona/glu043","ISSN":"1079-5006, 1758-535X","issue":"Suppl 1","journalAbbreviation":"The Journals of Gerontology Series A: Biological Sciences and Medical Sciences","language":"en","page":"S39-S42","source":"DOI.org (Crossref)","title":"Stem Cells as Vehicles for Youthful Regeneration of Aged Tissues","volume":"69","author":[{"family":"Rando","given":"T. A."},{"family":"Wyss-Coray","given":"T."}],"issued":{"date-parts":[["2014",6,1]]}}}],"schema":"https://github.com/citation-style-language/schema/raw/master/csl-citation.json"}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[50]</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7" w14:textId="34B8C9C2" w:rsidR="000C6D32" w:rsidRDefault="00000000" w:rsidP="00DF2CD9">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The capacity of adult stem cells to replenish most tissues in multicellular animals to regenerate and self-renew decreases with aging. The accumulation of DNA mutations, telomere attrition, apoptosis, and senescence </w:t>
      </w:r>
      <w:r w:rsidR="00DF2CD9" w:rsidRPr="00DF2CD9">
        <w:rPr>
          <w:rFonts w:ascii="Times New Roman" w:eastAsia="Times New Roman" w:hAnsi="Times New Roman" w:cs="Times New Roman"/>
          <w:sz w:val="20"/>
          <w:szCs w:val="20"/>
        </w:rPr>
        <w:t>may contribute to stem-cell reserves' exhaustion</w:t>
      </w:r>
      <w:r w:rsidRPr="00F20226">
        <w:rPr>
          <w:rFonts w:ascii="Times New Roman" w:eastAsia="Times New Roman" w:hAnsi="Times New Roman" w:cs="Times New Roman"/>
          <w:sz w:val="20"/>
          <w:szCs w:val="20"/>
        </w:rPr>
        <w:t xml:space="preserve"> with aging. Loss of functioning stem cells may be especially sensitive in organs like bone marrow, the intestines, and others that proliferate a lot. As a result, an organism's tissues do not age equally. It has been proposed that the tissue-dependent poor balance between stem cell self-renewal and differentiation is the overall cause of the reduction in stem cell pools</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{"citationID":"X5LWoN6O","properties":{"formattedCitation":"[51]","plainCitation":"[51]","noteIndex":0},"citationItems":[{"id":343,"uris":["http://zotero.org/users/local/EXtS0esT/items/BMZ37TF2"],"itemData":{"id":343,"type":"article-journal","container-title":"EMBO reports","DOI":"10.1038/sj.embor.7400427","ISSN":"1469-221X, 1469-3178","issue":"S1","journalAbbreviation":"EMBO Reports","language":"en","source":"DOI.org (Crossref)","title":"Youthful prospects for human stem‐cell therapy: In another few decades, revised attitudes towards stem cells could lead to disease prevention and life extension","title-short":"Youthful prospects for human stem‐cell therapy","URL":"https://www.embopress.org/doi/10.1038/sj.embor.7400427","volume":"6","author":[{"family":"Rosenthal","given":"Nadia"}],"accessed":{"date-parts":[["2023",8,17]]},"issued":{"date-parts":[["2005",7]]}}}],"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[51]</w:t>
      </w:r>
      <w:r w:rsidR="00832A56">
        <w:rPr>
          <w:rFonts w:ascii="Times New Roman" w:eastAsia="Times New Roman" w:hAnsi="Times New Roman" w:cs="Times New Roman"/>
          <w:sz w:val="20"/>
          <w:szCs w:val="20"/>
        </w:rPr>
        <w:fldChar w:fldCharType="end"/>
      </w:r>
      <w:r w:rsidR="00416A55">
        <w:rPr>
          <w:rFonts w:ascii="Times New Roman" w:eastAsia="Times New Roman" w:hAnsi="Times New Roman" w:cs="Times New Roman"/>
          <w:sz w:val="20"/>
          <w:szCs w:val="20"/>
        </w:rPr>
        <w:t>.</w:t>
      </w:r>
    </w:p>
    <w:p w14:paraId="10346EB1" w14:textId="77777777" w:rsidR="00DF2CD9" w:rsidRPr="00F20226" w:rsidRDefault="00DF2CD9" w:rsidP="00DF2CD9">
      <w:pPr>
        <w:spacing w:after="0" w:line="240" w:lineRule="auto"/>
        <w:ind w:firstLine="720"/>
        <w:jc w:val="both"/>
        <w:rPr>
          <w:rFonts w:ascii="Times New Roman" w:eastAsia="Times New Roman" w:hAnsi="Times New Roman" w:cs="Times New Roman"/>
          <w:sz w:val="20"/>
          <w:szCs w:val="20"/>
        </w:rPr>
      </w:pPr>
    </w:p>
    <w:p w14:paraId="00000048" w14:textId="13DA03AB" w:rsidR="000C6D32" w:rsidRPr="00F20226" w:rsidRDefault="00DF2CD9">
      <w:pPr>
        <w:spacing w:line="240" w:lineRule="auto"/>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 Tissue Engineering: Regenerating Aging Tissues</w:t>
      </w:r>
    </w:p>
    <w:p w14:paraId="652C874F" w14:textId="3020D8F7" w:rsidR="00DF2CD9" w:rsidRDefault="00DF2CD9" w:rsidP="00DF2CD9">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F20226">
        <w:rPr>
          <w:rFonts w:ascii="Times New Roman" w:eastAsia="Times New Roman" w:hAnsi="Times New Roman" w:cs="Times New Roman"/>
          <w:sz w:val="20"/>
          <w:szCs w:val="20"/>
        </w:rPr>
        <w:t xml:space="preserve">issue engineering is a multidisciplinary </w:t>
      </w:r>
      <w:r>
        <w:rPr>
          <w:rFonts w:ascii="Times New Roman" w:eastAsia="Times New Roman" w:hAnsi="Times New Roman" w:cs="Times New Roman"/>
          <w:sz w:val="20"/>
          <w:szCs w:val="20"/>
        </w:rPr>
        <w:t>field</w:t>
      </w:r>
      <w:r w:rsidRPr="00F20226">
        <w:rPr>
          <w:rFonts w:ascii="Times New Roman" w:eastAsia="Times New Roman" w:hAnsi="Times New Roman" w:cs="Times New Roman"/>
          <w:sz w:val="20"/>
          <w:szCs w:val="20"/>
        </w:rPr>
        <w:t xml:space="preserve"> that combines principles of biology, engineering, and medicine to develop strategies for regenerating or repairing damaged tissues and organs. In the context of aging, tissue engineering aims to address the </w:t>
      </w:r>
      <w:r>
        <w:rPr>
          <w:rFonts w:ascii="Times New Roman" w:eastAsia="Times New Roman" w:hAnsi="Times New Roman" w:cs="Times New Roman"/>
          <w:sz w:val="20"/>
          <w:szCs w:val="20"/>
        </w:rPr>
        <w:t>age-related</w:t>
      </w:r>
      <w:r w:rsidRPr="00F20226">
        <w:rPr>
          <w:rFonts w:ascii="Times New Roman" w:eastAsia="Times New Roman" w:hAnsi="Times New Roman" w:cs="Times New Roman"/>
          <w:sz w:val="20"/>
          <w:szCs w:val="20"/>
        </w:rPr>
        <w:t xml:space="preserve"> decline in tissue function by creating artificial tissues or promoting the regeneration of native tissues. </w:t>
      </w:r>
      <w:r>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 xml:space="preserve">Scaffold bases approaches in tissue engineering involve the creation of </w:t>
      </w:r>
      <w:r>
        <w:rPr>
          <w:rFonts w:ascii="Times New Roman" w:eastAsia="Times New Roman" w:hAnsi="Times New Roman" w:cs="Times New Roman"/>
          <w:sz w:val="20"/>
          <w:szCs w:val="20"/>
        </w:rPr>
        <w:t xml:space="preserve">a </w:t>
      </w:r>
      <w:r w:rsidRPr="00F20226">
        <w:rPr>
          <w:rFonts w:ascii="Times New Roman" w:eastAsia="Times New Roman" w:hAnsi="Times New Roman" w:cs="Times New Roman"/>
          <w:sz w:val="20"/>
          <w:szCs w:val="20"/>
        </w:rPr>
        <w:t xml:space="preserve">scaffold, a 3-D structure that mimics the extracellular matrix of the target tissue. This scaffold provides a framework for </w:t>
      </w:r>
      <w:r>
        <w:rPr>
          <w:rFonts w:ascii="Times New Roman" w:eastAsia="Times New Roman" w:hAnsi="Times New Roman" w:cs="Times New Roman"/>
          <w:sz w:val="20"/>
          <w:szCs w:val="20"/>
        </w:rPr>
        <w:t>cells</w:t>
      </w:r>
      <w:r w:rsidRPr="00F20226">
        <w:rPr>
          <w:rFonts w:ascii="Times New Roman" w:eastAsia="Times New Roman" w:hAnsi="Times New Roman" w:cs="Times New Roman"/>
          <w:sz w:val="20"/>
          <w:szCs w:val="20"/>
        </w:rPr>
        <w:t xml:space="preserve"> to attach, grow and differentiate. In the case of aging tissues, scaffolds can be designed to support the regeneration f deteriorating tissues, such as cartilage, bone</w:t>
      </w:r>
      <w:r>
        <w:rPr>
          <w:rFonts w:ascii="Times New Roman" w:eastAsia="Times New Roman" w:hAnsi="Times New Roman" w:cs="Times New Roman"/>
          <w:sz w:val="20"/>
          <w:szCs w:val="20"/>
        </w:rPr>
        <w:t>,</w:t>
      </w:r>
      <w:r w:rsidRPr="00F20226">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rPr>
        <w:t xml:space="preserve"> cell</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832A56">
        <w:rPr>
          <w:rFonts w:ascii="Times New Roman" w:eastAsia="Times New Roman" w:hAnsi="Times New Roman" w:cs="Times New Roman"/>
          <w:sz w:val="20"/>
          <w:szCs w:val="20"/>
        </w:rPr>
        <w:instrText xml:space="preserve"> ADDIN ZOTERO_ITEM CSL_CITATION {"citationID":"mVR8Bwxf","properties":{"formattedCitation":"[52]","plainCitation":"[52]","noteIndex":0},"citationItems":[{"id":347,"uris":["http://zotero.org/users/local/EXtS0esT/items/PL7TQK6Z"],"itemData":{"id":347,"type":"article-journal","container-title":"World J Stem Cells","DOI":"10.4252/wjsc.v11.i10.787","ISSN":"1948-0210","issue":"10","journalAbbreviation":"WJSC","page":"787-802","source":"DOI.org (Crossref)","title":"Aging: A cell source limiting factor in tissue engineering","title-short":"Aging","volume":"11","author":[{"family":"Khorraminejad-Shirazi","given":"Mohammadhossein"},{"family":"Dorvash","given":"Mohammadreza"},{"family":"Estedlal","given":"Alireza"},{"family":"Hoveidaei","given":"Amir Human"},{"family":"Mazloomrezaei","given":"Mohsen"},{"family":"Mosaddeghi","given":"Pouria"}],"issued":{"date-parts":[["2019",10,26]]}}}],"schema":"https://github.com/citation-style-language/schema/raw/master/csl-citation.json"} </w:instrText>
      </w:r>
      <w:r w:rsidR="00832A56">
        <w:rPr>
          <w:rFonts w:ascii="Times New Roman" w:eastAsia="Times New Roman" w:hAnsi="Times New Roman" w:cs="Times New Roman"/>
          <w:sz w:val="20"/>
          <w:szCs w:val="20"/>
        </w:rPr>
        <w:fldChar w:fldCharType="separate"/>
      </w:r>
      <w:r w:rsidR="00832A56" w:rsidRPr="00832A56">
        <w:rPr>
          <w:rFonts w:ascii="Times New Roman" w:hAnsi="Times New Roman" w:cs="Times New Roman"/>
          <w:sz w:val="20"/>
        </w:rPr>
        <w:t>[52]</w:t>
      </w:r>
      <w:r w:rsidR="00832A56">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w:t>
      </w:r>
    </w:p>
    <w:p w14:paraId="0000004A" w14:textId="12E56402" w:rsidR="000C6D32" w:rsidRPr="00F20226" w:rsidRDefault="00000000" w:rsidP="00DF2CD9">
      <w:pP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Cell Seeding and Culture:</w:t>
      </w:r>
      <w:r w:rsidRPr="00F20226">
        <w:rPr>
          <w:rFonts w:ascii="Times New Roman" w:eastAsia="Times New Roman" w:hAnsi="Times New Roman" w:cs="Times New Roman"/>
          <w:sz w:val="20"/>
          <w:szCs w:val="20"/>
        </w:rPr>
        <w:t xml:space="preserve"> Cells are seeded onto the scaffold and cultured in a controlled environment that mimics the conditions required for tissue growth</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{"citationID":"Z2iaFo4n","properties":{"formattedCitation":"[53]","plainCitation":"[53]","noteIndex":0},"citationItems":[{"id":351,"uris":["http://zotero.org/users/local/EXtS0esT/items/LKTKJHCU"],"itemData":{"id":351,"type":"article-journal","container-title":"Bioactive Materials","DOI":"10.1016/j.bioactmat.2019.10.005","ISSN":"2452199X","journalAbbreviation":"Bioactive Materials","language":"en","page":"271-292","source":"DOI.org (Crossref)","title":"Recent advances in biomaterials for 3D scaffolds: A review","title-short":"Recent advances in biomaterials for 3D scaffolds","volume":"4","author":[{"family":"Nikolova","given":"Maria P."},{"family":"Chavali","given":"Murthy S."}],"issued":{"date-parts":[["2019",12]]}}}],"schema":"https://github.com/citation-style-language/schema/raw/master/csl-citation.json"} </w:instrText>
      </w:r>
      <w:r w:rsidR="00832A56">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[53]</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includes providing nutrients, oxygen, and mechanical cues to encourage cell proliferation and differentiation</w:t>
      </w:r>
      <w:r w:rsidR="000367AD">
        <w:rPr>
          <w:rFonts w:ascii="Times New Roman" w:eastAsia="Times New Roman" w:hAnsi="Times New Roman" w:cs="Times New Roman"/>
          <w:sz w:val="20"/>
          <w:szCs w:val="20"/>
        </w:rPr>
        <w:t xml:space="preserve"> </w:t>
      </w:r>
      <w:r w:rsidR="00832A56">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{"citationID":"4iZNlWzR","properties":{"formattedCitation":"[54]","plainCitation":"[54]","noteIndex":0},"citationItems":[{"id":349,"uris":["http://zotero.org/users/local/EXtS0esT/items/A3LHN6KD"],"itemData":{"id":349,"type":"article-journal","container-title":"European Spine Journal","DOI":"10.1007/s00586-008-0745-3","ISSN":"0940-6719, 1432-0932","issue":"S4","journalAbbreviation":"Eur Spine J","language":"en","page":"467-479","source":"DOI.org (Crossref)","title":"Scaffolding in tissue engineering: general approaches and tissue-specific considerations","title-short":"Scaffolding in tissue engineering","volume":"17","author":[{"family":"Chan","given":"B. P."},{"family":"Leong","given":"K. W."}],"issued":{"date-parts":[["2008",12]]}}}],"schema":"https://github.com/citation-style-language/schema/raw/master/csl-citation.json"} </w:instrText>
      </w:r>
      <w:r w:rsidR="00832A56">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[54]</w:t>
      </w:r>
      <w:r w:rsidR="00832A56">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B" w14:textId="053A6849" w:rsidR="000C6D32" w:rsidRPr="00F20226" w:rsidRDefault="00000000" w:rsidP="004926B7">
      <w:pP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Bioreactors and Mechanical Stimulation:</w:t>
      </w:r>
      <w:r w:rsidRPr="00F20226">
        <w:rPr>
          <w:rFonts w:ascii="Times New Roman" w:eastAsia="Times New Roman" w:hAnsi="Times New Roman" w:cs="Times New Roman"/>
          <w:sz w:val="20"/>
          <w:szCs w:val="20"/>
        </w:rPr>
        <w:t xml:space="preserve"> Applying mechanical forces, such as stretching or compression, to the developing tissue can enhance cell alignment, tissue maturation, and overall functionality. Bioreactors are devices that provide dynamic culture conditions, such as fluid flow or mechanical loading, to improve tissue development</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7CTNmhqj","properties":{"formattedCitation":"[55]","plainCitation":"[55]","noteIndex":0},"citationItems":[{"id":353,"uris":["http://zotero.org/users/local/EXtS0esT/items/2QTD7JI5"],"itemData":{"id":353,"type":"article-journal","container-title":"Bioengineering","DOI":"10.3390/bioengineering5020032","ISSN":"2306-5354","issue":"2","journalAbbreviation":"Bioengineering","language":"en","page":"32","source":"DOI.org (Crossref)","title":"Role of Bioreactor Technology in Tissue Engineering for Clinical Use and Therapeutic Target Design","volume":"5","author":[{"family":"Selden","given":"Clare"},{"family":"Fuller","given":"Barry"}],"issued":{"date-parts":[["2018",4,24]]}}}],"schema":"https://github.com/citation-style-language/schema/raw/master/csl-citation.json"}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[55]</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C" w14:textId="2CBF7DE8"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Biochemical Signaling:</w:t>
      </w:r>
      <w:r w:rsidRPr="00F20226">
        <w:rPr>
          <w:rFonts w:ascii="Times New Roman" w:eastAsia="Times New Roman" w:hAnsi="Times New Roman" w:cs="Times New Roman"/>
          <w:sz w:val="20"/>
          <w:szCs w:val="20"/>
        </w:rPr>
        <w:t xml:space="preserve"> Growth factors, cytokines, and other biochemical cues are often used to promote specific cell behaviors, such as differentiation into the desired cell type or the secretion of specific extracellular matrix components</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{"citationID":"z3DzthBQ","properties":{"formattedCitation":"[56]","plainCitation":"[56]","noteIndex":0},"citationItems":[{"id":357,"uris":["http://zotero.org/users/local/EXtS0esT/items/BL3Z45K5"],"itemData":{"id":357,"type":"article-journal","container-title":"Current Opinion in Biotechnology","DOI":"10.1016/j.copbio.2013.04.011","ISSN":"09581669","issue":"5","journalAbbreviation":"Current Opinion in Biotechnology","language":"en","page":"830-833","source":"DOI.org (Crossref)","title":"Extracellular matrix signaling in morphogenesis and repair","volume":"24","author":[{"family":"Clause","given":"Kelly C"},{"family":"Barker","given":"Thomas H"}],"issued":{"date-parts":[["2013",10]]}}}],"schema":"https://github.com/citation-style-language/schema/raw/master/csl-citation.json"}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[56]</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D" w14:textId="494DE866"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Vascularization:</w:t>
      </w:r>
      <w:r w:rsidRPr="00F20226">
        <w:rPr>
          <w:rFonts w:ascii="Times New Roman" w:eastAsia="Times New Roman" w:hAnsi="Times New Roman" w:cs="Times New Roman"/>
          <w:sz w:val="20"/>
          <w:szCs w:val="20"/>
        </w:rPr>
        <w:t xml:space="preserve"> Establishing a functional blood supply is crucial for sustaining the growth and survival of large tissue constructs. Techniques such as pre-vascularization, where blood vessels are engineered before implantation, help ensure proper nutrient and oxygen delivery to the regenerated tissue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{"citationID":"1BiMfW5q","properties":{"formattedCitation":"[57]","plainCitation":"[57]","noteIndex":0},"citationItems":[{"id":361,"uris":["http://zotero.org/users/local/EXtS0esT/items/HDY59ZIM"],"itemData":{"id":361,"type":"article-journal","container-title":"Tissue Engineering Part B: Reviews","DOI":"10.1089/ten.teb.2009.0085","ISSN":"1937-3368, 1937-3376","issue":"3","journalAbbreviation":"Tissue Engineering Part B: Reviews","language":"en","page":"353-370","source":"DOI.org (Crossref)","title":"Vascularization Strategies for Tissue Engineering","volume":"15","author":[{"family":"Lovett","given":"Michael"},{"family":"Lee","given":"Kyongbum"},{"family":"Edwards","given":"Aurelie"},{"family":"Kaplan","given":"David L."}],"issued":{"date-parts":[["2009",9]]}}}],"schema":"https://github.com/citation-style-language/schema/raw/master/csl-citation.json"}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[57]</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E" w14:textId="4CD976F5"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Implantation and Integration:</w:t>
      </w:r>
      <w:r w:rsidRPr="00F20226">
        <w:rPr>
          <w:rFonts w:ascii="Times New Roman" w:eastAsia="Times New Roman" w:hAnsi="Times New Roman" w:cs="Times New Roman"/>
          <w:sz w:val="20"/>
          <w:szCs w:val="20"/>
        </w:rPr>
        <w:t xml:space="preserve"> Once the tissue is developed in the lab, it can be implanted into the patient's body. The success of integration depends on factors such as immune response, tissue compatibility, and the ability of the regenerating tissue to form connections with the host tissue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{"citationID":"6kjh33J3","properties":{"formattedCitation":"[58]","plainCitation":"[58]","noteIndex":0},"citationItems":[{"id":363,"uris":["http://zotero.org/users/local/EXtS0esT/items/XMIZ38Z2"],"itemData":{"id":363,"type":"article-journal","abstract":"The implantation of any foreign material into the body leads to the development of an inflammatory and fibrotic process—the foreign body reaction (FBR). Upon implantation into a tissue, cells of the immune system become attracted to the foreign material and attempt to degrade it. If this degradation fails, fibroblasts envelop the material and form a physical barrier to isolate it from the rest of the body. Long-term implantation of medical devices faces a great challenge presented by FBR, as the cellular response disrupts the interface between implant and its target tissue. This is particularly true for nerve neuroprosthetic implants—devices implanted into nerves to address conditions such as sensory loss, muscle paralysis, chronic pain, and epilepsy. Nerve neuroprosthetics rely on tight interfacing between nerve tissue and electrodes to detect the tiny electrical signals carried by axons, and/or electrically stimulate small subsets of axons within a nerve. Moreover, as advances in microfabrication drive the field to increasingly miniaturized nerve implants, the need for a stable, intimate implant-tissue interface is likely to quickly become a limiting factor for the development of new neuroprosthetic implant technologies. Here, we provide an overview of the material-cell interactions leading to the development of FBR. We review current nerve neuroprosthetic technologies (cuff, penetrating, and regenerative interfaces) and how long-term function of these is limited by FBR. Finally, we discuss how material properties (such as stiffness and size), pharmacological therapies, or use of biodegradable materials may be exploited to minimize FBR to nerve neuroprosthetic implants and improve their long-term stability.","container-title":"Frontiers in Bioengineering and Biotechnology","DOI":"10.3389/fbioe.2021.622524","ISSN":"2296-4185","journalAbbreviation":"Front. Bioeng. Biotechnol.","page":"622524","source":"DOI.org (Crossref)","title":"Foreign Body Reaction to Implanted Biomaterials and Its Impact in Nerve Neuroprosthetics","volume":"9","author":[{"family":"Carnicer-Lombarte","given":"Alejandro"},{"family":"Chen","given":"Shao-Tuan"},{"family":"Malliaras","given":"George G."},{"family":"Barone","given":"Damiano G."}],"issued":{"date-parts":[["2021",4,15]]}}}],"schema":"https://github.com/citation-style-language/schema/raw/master/csl-citation.json"}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[58]</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4F" w14:textId="44982412"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DF2CD9">
        <w:rPr>
          <w:rFonts w:ascii="Times New Roman" w:eastAsia="Times New Roman" w:hAnsi="Times New Roman" w:cs="Times New Roman"/>
          <w:i/>
          <w:iCs/>
          <w:sz w:val="20"/>
          <w:szCs w:val="20"/>
        </w:rPr>
        <w:t>Monitoring and Long-Term Assessment:</w:t>
      </w:r>
      <w:r w:rsidRPr="00F20226">
        <w:rPr>
          <w:rFonts w:ascii="Times New Roman" w:eastAsia="Times New Roman" w:hAnsi="Times New Roman" w:cs="Times New Roman"/>
          <w:sz w:val="20"/>
          <w:szCs w:val="20"/>
        </w:rPr>
        <w:t xml:space="preserve"> After implantation, the regenerated tissue's performance and integration with the host tissue need to be monitored over time</w:t>
      </w:r>
      <w:r w:rsidR="000367AD">
        <w:rPr>
          <w:rFonts w:ascii="Times New Roman" w:eastAsia="Times New Roman" w:hAnsi="Times New Roman" w:cs="Times New Roman"/>
          <w:sz w:val="20"/>
          <w:szCs w:val="20"/>
        </w:rPr>
        <w:t xml:space="preserve"> </w:t>
      </w:r>
      <w:r w:rsidR="005879D5">
        <w:rPr>
          <w:rFonts w:ascii="Times New Roman" w:eastAsia="Times New Roman" w:hAnsi="Times New Roman" w:cs="Times New Roman"/>
          <w:sz w:val="20"/>
          <w:szCs w:val="20"/>
        </w:rPr>
        <w:fldChar w:fldCharType="begin"/>
      </w:r>
      <w:r w:rsidR="005879D5">
        <w:rPr>
          <w:rFonts w:ascii="Times New Roman" w:eastAsia="Times New Roman" w:hAnsi="Times New Roman" w:cs="Times New Roman"/>
          <w:sz w:val="20"/>
          <w:szCs w:val="20"/>
        </w:rPr>
        <w:instrText xml:space="preserve"> ADDIN ZOTERO_ITEM CSL_CITATION {"citationID":"rek8H0wZ","properties":{"formattedCitation":"[59]","plainCitation":"[59]","noteIndex":0},"citationItems":[{"id":365,"uris":["http://zotero.org/users/local/EXtS0esT/items/KAP6MB6G"],"itemData":{"id":365,"type":"article-journal","container-title":"Bioengineering &amp; Translational Medicine","DOI":"10.1002/btm2.10114","ISSN":"23806761","issue":"3","journalAbbreviation":"Bioengineering &amp; Translational Medicine","language":"en","page":"232-255","source":"DOI.org (Crossref)","title":"Engineering molecular imaging strategies for regenerative medicine","volume":"3","author":[{"family":"Willadsen","given":"Matthew"},{"family":"Chaise","given":"Marc"},{"family":"Yarovoy","given":"Iven"},{"family":"Zhang","given":"An Qi"},{"family":"Parashurama","given":"Natesh"}],"issued":{"date-parts":[["2018",9]]}}}],"schema":"https://github.com/citation-style-language/schema/raw/master/csl-citation.json"} </w:instrText>
      </w:r>
      <w:r w:rsidR="005879D5">
        <w:rPr>
          <w:rFonts w:ascii="Times New Roman" w:eastAsia="Times New Roman" w:hAnsi="Times New Roman" w:cs="Times New Roman"/>
          <w:sz w:val="20"/>
          <w:szCs w:val="20"/>
        </w:rPr>
        <w:fldChar w:fldCharType="separate"/>
      </w:r>
      <w:r w:rsidR="005879D5" w:rsidRPr="005879D5">
        <w:rPr>
          <w:rFonts w:ascii="Times New Roman" w:hAnsi="Times New Roman" w:cs="Times New Roman"/>
          <w:sz w:val="20"/>
        </w:rPr>
        <w:t>[59]</w:t>
      </w:r>
      <w:r w:rsidR="005879D5">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This may involve various imaging techniques and functional assessments to ensure proper tissue function and longevity</w:t>
      </w:r>
      <w:r w:rsidR="000367AD">
        <w:rPr>
          <w:rFonts w:ascii="Times New Roman" w:eastAsia="Times New Roman" w:hAnsi="Times New Roman" w:cs="Times New Roman"/>
          <w:sz w:val="20"/>
          <w:szCs w:val="20"/>
        </w:rPr>
        <w:t xml:space="preserve"> </w:t>
      </w:r>
      <w:r w:rsidR="000823FC">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{"citationID":"LAgBWFE1","properties":{"formattedCitation":"[60]","plainCitation":"[60]","noteIndex":0},"citationItems":[{"id":367,"uris":["http://zotero.org/users/local/EXtS0esT/items/AR582VEI"],"itemData":{"id":367,"type":"article-journal","abstract":"This review discusses key outcome measures for TERM constructs and various imaging techniques that can be used to assess them.\n          , \n            Advancement of tissue engineering and regenerative medicine (TERM) strategies to replicate tissue structure and function has led to the need for noninvasive assessment of key outcome measures of a construct's state, biocompatibility, and function. Histology based approaches are traditionally used in pre-clinical animal experiments, but are not always feasible or practical if a TERM construct is going to be tested for human use. In order to transition these therapies from benchtop to bedside, rigorously validated imaging techniques must be utilized that are sensitive to key outcome measures that fulfill the FDA standards for TERM construct evaluation. This review discusses key outcome measures for TERM constructs and various clinical- and research-based imaging techniques that can be used to assess them. Potential applications and limitations of these techniques are discussed, as well as resources for the processing, analysis, and interpretation of biomedical images.","container-title":"Biomaterials Science","DOI":"10.1039/D0BM00705F","ISSN":"2047-4830, 2047-4849","issue":"2","journalAbbreviation":"Biomater. Sci.","language":"en","page":"301-314","source":"DOI.org (Crossref)","title":"Medical imaging of tissue engineering and regenerative medicine constructs","volume":"9","author":[{"family":"Berry","given":"David B."},{"family":"Englund","given":"Erin K."},{"family":"Chen","given":"Shaochen"},{"family":"Frank","given":"Lawrence R."},{"family":"Ward","given":"Samuel R."}],"issued":{"date-parts":[["2021"]]}}}],"schema":"https://github.com/citation-style-language/schema/raw/master/csl-citation.json"} </w:instrText>
      </w:r>
      <w:r w:rsidR="000823FC">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[60]</w:t>
      </w:r>
      <w:r w:rsidR="000823FC">
        <w:rPr>
          <w:rFonts w:ascii="Times New Roman" w:eastAsia="Times New Roman" w:hAnsi="Times New Roman" w:cs="Times New Roman"/>
          <w:sz w:val="20"/>
          <w:szCs w:val="20"/>
        </w:rPr>
        <w:fldChar w:fldCharType="end"/>
      </w:r>
      <w:r w:rsidR="000823FC">
        <w:rPr>
          <w:rFonts w:ascii="Times New Roman" w:eastAsia="Times New Roman" w:hAnsi="Times New Roman" w:cs="Times New Roman"/>
          <w:sz w:val="20"/>
          <w:szCs w:val="20"/>
        </w:rPr>
        <w:t>.</w:t>
      </w:r>
    </w:p>
    <w:p w14:paraId="00000050" w14:textId="1BACAAB9" w:rsidR="000C6D32" w:rsidRPr="00F20226" w:rsidRDefault="00000000" w:rsidP="004926B7">
      <w:pPr>
        <w:pBdr>
          <w:top w:val="none" w:sz="0" w:space="0" w:color="D9D9E3"/>
          <w:left w:val="none" w:sz="0" w:space="0" w:color="D9D9E3"/>
          <w:bottom w:val="none" w:sz="0" w:space="0" w:color="D9D9E3"/>
          <w:right w:val="none" w:sz="0" w:space="0" w:color="D9D9E3"/>
          <w:between w:val="none" w:sz="0" w:space="0" w:color="D9D9E3"/>
        </w:pBd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lastRenderedPageBreak/>
        <w:t>Tissue engineering holds great potential for regenerating aging tissues, such as damaged cartilage, bone, muscle, skin, and even entire organs. While significant progress has been made in the field, challenges remain, such as achieving proper tissue vascularization, long-term stability, and avoiding immune rejection. As technology and our understanding of tissue biology continue to advance, tissue engineering approaches have the potential to revolutionize the treatment of age-related tissue degeneration and improve the quality of life for aging individuals</w:t>
      </w:r>
      <w:r w:rsidR="000367AD">
        <w:rPr>
          <w:rFonts w:ascii="Times New Roman" w:eastAsia="Times New Roman" w:hAnsi="Times New Roman" w:cs="Times New Roman"/>
          <w:sz w:val="20"/>
          <w:szCs w:val="20"/>
        </w:rPr>
        <w:t xml:space="preserve"> </w:t>
      </w:r>
      <w:r w:rsidR="0050198E">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5vXUKTE1","properties":{"formattedCitation":"[61]","plainCitation":"[61]","noteIndex":0},"citationItems":[{"id":328,"uris":["http://zotero.org/users/local/EXtS0esT/items/VFVSM6BC"],"itemData":{"id":328,"type":"article-journal","container-title":"Aging","DOI":"10.18632/aging.102487","ISSN":"1945-4589","issue":"22","journalAbbreviation":"Aging","language":"en","page":"9971-9981","source":"DOI.org (Crossref)","title":"Latest advances in aging research and drug discovery","volume":"11","author":[{"family":"Bakula","given":"Daniela"},{"family":"Ablasser","given":"Andrea"},{"family":"Aguzzi","given":"Adriano"},{"family":"Antebi","given":"Adam"},{"family":"Barzilai","given":"Nir"},{"family":"Bittner","given":"Martin-Immanuel"},{"family":"Jensen","given":"Martin Borch"},{"family":"Calkhoven","given":"Cornelis F."},{"family":"Chen","given":"Danica"},{"family":"Grey","given":"Aubrey D.N.J. De"},{"family":"Feige","given":"Jerome N."},{"family":"Georgievskaya","given":"Anastasia"},{"family":"Gladyshev","given":"Vadim N."},{"family":"Golato","given":"Tyler"},{"family":"Gudkov","given":"Andrei V."},{"family":"Hoppe","given":"Thorsten"},{"family":"Kaeberlein","given":"Matt"},{"family":"Katajisto","given":"Pekka"},{"family":"Kennedy","given":"Brian K."},{"family":"Lal","given":"Unmesh"},{"family":"Martin-Villalba","given":"Ana"},{"family":"Moskalev","given":"Alexey A."},{"family":"Ozerov","given":"Ivan"},{"family":"Petr","given":"Michael A."},{"literal":"Reason"},{"family":"Rubinsztein","given":"David C."},{"family":"Tyshkovskiy","given":"Alexander"},{"family":"Vanhaelen","given":"Quentin"},{"family":"Zhavoronkov","given":"Alex"},{"family":"Scheibye-Knudsen","given":"Morten"}],"issued":{"date-parts":[["2019",11,21]]}}}],"schema":"https://github.com/citation-style-language/schema/raw/master/csl-citation.json"} </w:instrText>
      </w:r>
      <w:r w:rsidR="0050198E">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[61]</w:t>
      </w:r>
      <w:r w:rsidR="0050198E">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51" w14:textId="77777777" w:rsidR="000C6D32" w:rsidRPr="00F20226" w:rsidRDefault="000C6D32" w:rsidP="004926B7">
      <w:pPr>
        <w:spacing w:line="240" w:lineRule="auto"/>
        <w:jc w:val="both"/>
        <w:rPr>
          <w:rFonts w:ascii="Times New Roman" w:eastAsia="Times New Roman" w:hAnsi="Times New Roman" w:cs="Times New Roman"/>
          <w:sz w:val="20"/>
          <w:szCs w:val="20"/>
        </w:rPr>
      </w:pPr>
    </w:p>
    <w:p w14:paraId="00000052" w14:textId="4F9504FD" w:rsidR="000C6D32" w:rsidRPr="00F20226" w:rsidRDefault="00DF2CD9" w:rsidP="00730EB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Pr="00F20226">
        <w:rPr>
          <w:rFonts w:ascii="Times New Roman" w:eastAsia="Times New Roman" w:hAnsi="Times New Roman" w:cs="Times New Roman"/>
          <w:b/>
          <w:sz w:val="20"/>
          <w:szCs w:val="20"/>
        </w:rPr>
        <w:t xml:space="preserve"> ETHICAL CONSIDERATIONS IN BIOTECHNOLOGY AND ANTI-AGING</w:t>
      </w:r>
    </w:p>
    <w:p w14:paraId="56C02D00" w14:textId="77777777" w:rsidR="00DF2CD9" w:rsidRDefault="00DF2CD9" w:rsidP="004926B7">
      <w:pPr>
        <w:spacing w:line="240" w:lineRule="auto"/>
        <w:jc w:val="both"/>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A. Access and Equity in Life Extension Technologies</w:t>
      </w:r>
    </w:p>
    <w:p w14:paraId="00000054" w14:textId="4A1E2910" w:rsidR="000C6D32" w:rsidRPr="00DF2CD9" w:rsidRDefault="00000000" w:rsidP="004926B7">
      <w:pPr>
        <w:spacing w:line="240" w:lineRule="auto"/>
        <w:ind w:firstLine="720"/>
        <w:jc w:val="both"/>
        <w:rPr>
          <w:rFonts w:ascii="Times New Roman" w:eastAsia="Times New Roman" w:hAnsi="Times New Roman" w:cs="Times New Roman"/>
          <w:i/>
          <w:iCs/>
          <w:sz w:val="20"/>
          <w:szCs w:val="20"/>
        </w:rPr>
      </w:pPr>
      <w:r w:rsidRPr="00F20226">
        <w:rPr>
          <w:rFonts w:ascii="Times New Roman" w:eastAsia="Times New Roman" w:hAnsi="Times New Roman" w:cs="Times New Roman"/>
          <w:sz w:val="20"/>
          <w:szCs w:val="20"/>
        </w:rPr>
        <w:t xml:space="preserve">As new </w:t>
      </w:r>
      <w:r w:rsidR="004926B7">
        <w:rPr>
          <w:rFonts w:ascii="Times New Roman" w:eastAsia="Times New Roman" w:hAnsi="Times New Roman" w:cs="Times New Roman"/>
          <w:sz w:val="20"/>
          <w:szCs w:val="20"/>
        </w:rPr>
        <w:t>anti-aging</w:t>
      </w:r>
      <w:r w:rsidRPr="00F20226">
        <w:rPr>
          <w:rFonts w:ascii="Times New Roman" w:eastAsia="Times New Roman" w:hAnsi="Times New Roman" w:cs="Times New Roman"/>
          <w:sz w:val="20"/>
          <w:szCs w:val="20"/>
        </w:rPr>
        <w:t xml:space="preserve"> technologies are developed, ensuring equitable access to these treatments </w:t>
      </w:r>
      <w:r w:rsidR="004926B7">
        <w:rPr>
          <w:rFonts w:ascii="Times New Roman" w:eastAsia="Times New Roman" w:hAnsi="Times New Roman" w:cs="Times New Roman"/>
          <w:sz w:val="20"/>
          <w:szCs w:val="20"/>
        </w:rPr>
        <w:t>becomes</w:t>
      </w:r>
      <w:r w:rsidRPr="00F20226">
        <w:rPr>
          <w:rFonts w:ascii="Times New Roman" w:eastAsia="Times New Roman" w:hAnsi="Times New Roman" w:cs="Times New Roman"/>
          <w:sz w:val="20"/>
          <w:szCs w:val="20"/>
        </w:rPr>
        <w:t xml:space="preserve"> paramount. There should be efforts to prevent these treatments from becoming available only to a privileged few, thereby exacerbating social inequalities</w:t>
      </w:r>
      <w:r w:rsidR="000367AD">
        <w:rPr>
          <w:rFonts w:ascii="Times New Roman" w:eastAsia="Times New Roman" w:hAnsi="Times New Roman" w:cs="Times New Roman"/>
          <w:sz w:val="20"/>
          <w:szCs w:val="20"/>
        </w:rPr>
        <w:t xml:space="preserve"> </w:t>
      </w:r>
      <w:r w:rsidR="000823FC">
        <w:rPr>
          <w:rFonts w:ascii="Times New Roman" w:eastAsia="Times New Roman" w:hAnsi="Times New Roman" w:cs="Times New Roman"/>
          <w:sz w:val="20"/>
          <w:szCs w:val="20"/>
        </w:rPr>
        <w:fldChar w:fldCharType="begin"/>
      </w:r>
      <w:r w:rsidR="000823FC">
        <w:rPr>
          <w:rFonts w:ascii="Times New Roman" w:eastAsia="Times New Roman" w:hAnsi="Times New Roman" w:cs="Times New Roman"/>
          <w:sz w:val="20"/>
          <w:szCs w:val="20"/>
        </w:rPr>
        <w:instrText xml:space="preserve"> ADDIN ZOTERO_ITEM CSL_CITATION {"citationID":"DTFmTzcM","properties":{"formattedCitation":"[62]","plainCitation":"[62]","noteIndex":0},"citationItems":[{"id":369,"uris":["http://zotero.org/users/local/EXtS0esT/items/F8KYNG48"],"itemData":{"id":369,"type":"article-journal","container-title":"EMBO reports","DOI":"10.1038/embor.2010.48","ISSN":"1469-221X, 1469-3178","issue":"5","journalAbbreviation":"EMBO Reports","language":"en","page":"334-338","source":"DOI.org (Crossref)","title":"Anticipating the use of life extension technologies: Possible pointers from the adoption of assisted reproductive technologies","title-short":"Anticipating the use of life extension technologies","volume":"11","author":[{"family":"Lucke","given":"Jayne C"},{"family":"Herbert","given":"Danielle"},{"family":"Partridge","given":"Brad"},{"family":"Hall","given":"Wayne D"}],"issued":{"date-parts":[["2010",5]]}}}],"schema":"https://github.com/citation-style-language/schema/raw/master/csl-citation.json"} </w:instrText>
      </w:r>
      <w:r w:rsidR="000823FC">
        <w:rPr>
          <w:rFonts w:ascii="Times New Roman" w:eastAsia="Times New Roman" w:hAnsi="Times New Roman" w:cs="Times New Roman"/>
          <w:sz w:val="20"/>
          <w:szCs w:val="20"/>
        </w:rPr>
        <w:fldChar w:fldCharType="separate"/>
      </w:r>
      <w:r w:rsidR="000823FC" w:rsidRPr="000823FC">
        <w:rPr>
          <w:rFonts w:ascii="Times New Roman" w:hAnsi="Times New Roman" w:cs="Times New Roman"/>
          <w:sz w:val="20"/>
        </w:rPr>
        <w:t>[62]</w:t>
      </w:r>
      <w:r w:rsidR="000823FC">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 xml:space="preserve">. </w:t>
      </w:r>
    </w:p>
    <w:p w14:paraId="00000055" w14:textId="4261B8B8" w:rsidR="000C6D32" w:rsidRPr="00DF2CD9" w:rsidRDefault="00DF2CD9" w:rsidP="004926B7">
      <w:pPr>
        <w:spacing w:line="240" w:lineRule="auto"/>
        <w:jc w:val="both"/>
        <w:rPr>
          <w:rFonts w:ascii="Times New Roman" w:eastAsia="Times New Roman" w:hAnsi="Times New Roman" w:cs="Times New Roman"/>
          <w:i/>
          <w:iCs/>
          <w:sz w:val="20"/>
          <w:szCs w:val="20"/>
        </w:rPr>
      </w:pPr>
      <w:r w:rsidRPr="00DF2CD9">
        <w:rPr>
          <w:rFonts w:ascii="Times New Roman" w:eastAsia="Times New Roman" w:hAnsi="Times New Roman" w:cs="Times New Roman"/>
          <w:i/>
          <w:iCs/>
          <w:sz w:val="20"/>
          <w:szCs w:val="20"/>
        </w:rPr>
        <w:t>B. Ethical Boundaries of Manipulating Human Biology</w:t>
      </w:r>
    </w:p>
    <w:p w14:paraId="00000056" w14:textId="0425029D"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Informed Consent:</w:t>
      </w:r>
      <w:r w:rsidRPr="00F20226">
        <w:rPr>
          <w:rFonts w:ascii="Times New Roman" w:eastAsia="Times New Roman" w:hAnsi="Times New Roman" w:cs="Times New Roman"/>
          <w:sz w:val="20"/>
          <w:szCs w:val="20"/>
        </w:rPr>
        <w:t xml:space="preserve"> Any medical or biotechnological intervention, including anti-aging treatments, must ensure that individuals provide fully informed consent. This means they understand the risks, benefits, and potential outcomes of the treatment and are able to make an autonomous decision. It's essential to avoid exploiting vulnerable individuals or misleading them about the true nature of the intervention</w:t>
      </w:r>
      <w:r w:rsidR="00730EBD">
        <w:rPr>
          <w:rFonts w:ascii="Times New Roman" w:eastAsia="Times New Roman" w:hAnsi="Times New Roman" w:cs="Times New Roman"/>
          <w:sz w:val="20"/>
          <w:szCs w:val="20"/>
        </w:rPr>
        <w:t xml:space="preserve"> </w:t>
      </w:r>
      <w:r w:rsidR="00730EBD">
        <w:rPr>
          <w:rFonts w:ascii="Times New Roman" w:eastAsia="Times New Roman" w:hAnsi="Times New Roman" w:cs="Times New Roman"/>
          <w:i/>
          <w:iCs/>
          <w:sz w:val="20"/>
          <w:szCs w:val="20"/>
        </w:rPr>
        <w:fldChar w:fldCharType="begin"/>
      </w:r>
      <w:r w:rsidR="00730EBD">
        <w:rPr>
          <w:rFonts w:ascii="Times New Roman" w:eastAsia="Times New Roman" w:hAnsi="Times New Roman" w:cs="Times New Roman"/>
          <w:i/>
          <w:iCs/>
          <w:sz w:val="20"/>
          <w:szCs w:val="20"/>
        </w:rPr>
        <w:instrText xml:space="preserve"> ADDIN ZOTERO_ITEM CSL_CITATION {"citationID":"9X8Xe7lA","properties":{"formattedCitation":"[63]","plainCitation":"[63]","noteIndex":0},"citationItems":[{"id":371,"uris":["http://zotero.org/users/local/EXtS0esT/items/HGJ3W2S3"],"itemData":{"id":371,"type":"article-journal","container-title":"Reproductive Biology and Endocrinology","DOI":"10.1186/1477-7827-12-108","ISSN":"1477-7827","issue":"1","journalAbbreviation":"Reprod Biol Endocrinol","language":"en","page":"108","source":"DOI.org (Crossref)","title":"International regulatory landscape and integration of corrective genome editing into in vitro fertilization","volume":"12","author":[{"family":"Araki","given":"Motoko"},{"family":"Ishii","given":"Tetsuya"}],"issued":{"date-parts":[["2014"]]}}}],"schema":"https://github.com/citation-style-language/schema/raw/master/csl-citation.json"} </w:instrText>
      </w:r>
      <w:r w:rsidR="00730EBD">
        <w:rPr>
          <w:rFonts w:ascii="Times New Roman" w:eastAsia="Times New Roman" w:hAnsi="Times New Roman" w:cs="Times New Roman"/>
          <w:i/>
          <w:iCs/>
          <w:sz w:val="20"/>
          <w:szCs w:val="20"/>
        </w:rPr>
        <w:fldChar w:fldCharType="separate"/>
      </w:r>
      <w:r w:rsidR="00730EBD" w:rsidRPr="004104E3">
        <w:rPr>
          <w:rFonts w:ascii="Times New Roman" w:hAnsi="Times New Roman" w:cs="Times New Roman"/>
          <w:sz w:val="20"/>
        </w:rPr>
        <w:t>[63]</w:t>
      </w:r>
      <w:r w:rsidR="00730EBD">
        <w:rPr>
          <w:rFonts w:ascii="Times New Roman" w:eastAsia="Times New Roman" w:hAnsi="Times New Roman" w:cs="Times New Roman"/>
          <w:i/>
          <w:iCs/>
          <w:sz w:val="20"/>
          <w:szCs w:val="20"/>
        </w:rPr>
        <w:fldChar w:fldCharType="end"/>
      </w:r>
      <w:r w:rsidRPr="00F20226">
        <w:rPr>
          <w:rFonts w:ascii="Times New Roman" w:eastAsia="Times New Roman" w:hAnsi="Times New Roman" w:cs="Times New Roman"/>
          <w:sz w:val="20"/>
          <w:szCs w:val="20"/>
        </w:rPr>
        <w:t>.</w:t>
      </w:r>
    </w:p>
    <w:p w14:paraId="00000057"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Safety and Efficacy</w:t>
      </w:r>
      <w:r w:rsidRPr="00F20226">
        <w:rPr>
          <w:rFonts w:ascii="Times New Roman" w:eastAsia="Times New Roman" w:hAnsi="Times New Roman" w:cs="Times New Roman"/>
          <w:sz w:val="20"/>
          <w:szCs w:val="20"/>
        </w:rPr>
        <w:t>: Thorough testing and validation of anti-aging interventions are crucial. Treatments should be backed by rigorous scientific research, clinical trials, and evidence-based results to ensure their safety and efficacy.</w:t>
      </w:r>
    </w:p>
    <w:p w14:paraId="00000058"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Long-Term Effects:</w:t>
      </w:r>
      <w:r w:rsidRPr="00F20226">
        <w:rPr>
          <w:rFonts w:ascii="Times New Roman" w:eastAsia="Times New Roman" w:hAnsi="Times New Roman" w:cs="Times New Roman"/>
          <w:sz w:val="20"/>
          <w:szCs w:val="20"/>
        </w:rPr>
        <w:t xml:space="preserve"> Anti-aging interventions might have long-term effects that are not fully understood at the outset. Ethical considerations involve ongoing monitoring and research to assess the potential risks and benefits of these treatments over extended periods.</w:t>
      </w:r>
    </w:p>
    <w:p w14:paraId="00000059"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Quality of Life vs. Quantity of Life</w:t>
      </w:r>
      <w:r w:rsidRPr="00F20226">
        <w:rPr>
          <w:rFonts w:ascii="Times New Roman" w:eastAsia="Times New Roman" w:hAnsi="Times New Roman" w:cs="Times New Roman"/>
          <w:sz w:val="20"/>
          <w:szCs w:val="20"/>
        </w:rPr>
        <w:t>: Biotechnological interventions in anti-aging raise questions about the balance between extending lifespan and improving the quality of life. Prolonging life without addressing age-related health issues could lead to prolonged suffering, which should be carefully considered.</w:t>
      </w:r>
    </w:p>
    <w:p w14:paraId="0000005A"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Interference with Natural Processes:</w:t>
      </w:r>
      <w:r w:rsidRPr="00F20226">
        <w:rPr>
          <w:rFonts w:ascii="Times New Roman" w:eastAsia="Times New Roman" w:hAnsi="Times New Roman" w:cs="Times New Roman"/>
          <w:sz w:val="20"/>
          <w:szCs w:val="20"/>
        </w:rPr>
        <w:t xml:space="preserve"> Some argue that anti-aging interventions interfere with the natural aging process, potentially disrupting the cycle of life and death. Ethical debates arise about whether it is appropriate for humans to manipulate the aging process.</w:t>
      </w:r>
    </w:p>
    <w:p w14:paraId="0000005B"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Unintended Consequences:</w:t>
      </w:r>
      <w:r w:rsidRPr="00F20226">
        <w:rPr>
          <w:rFonts w:ascii="Times New Roman" w:eastAsia="Times New Roman" w:hAnsi="Times New Roman" w:cs="Times New Roman"/>
          <w:sz w:val="20"/>
          <w:szCs w:val="20"/>
        </w:rPr>
        <w:t xml:space="preserve"> Biotechnological interventions can sometimes have unintended consequences, both at the individual and societal levels. Ethical considerations involve anticipating and mitigating these potential outcomes.</w:t>
      </w:r>
    </w:p>
    <w:p w14:paraId="0000005C"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Identity and Existential Considerations:</w:t>
      </w:r>
      <w:r w:rsidRPr="00F20226">
        <w:rPr>
          <w:rFonts w:ascii="Times New Roman" w:eastAsia="Times New Roman" w:hAnsi="Times New Roman" w:cs="Times New Roman"/>
          <w:sz w:val="20"/>
          <w:szCs w:val="20"/>
        </w:rPr>
        <w:t xml:space="preserve"> Prolonging life significantly could lead to profound questions about personal identity, relationships, and the meaning of life. Ethical discussions should encompass these existential considerations.</w:t>
      </w:r>
    </w:p>
    <w:p w14:paraId="0000005D" w14:textId="7777777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Regulation and Oversight:</w:t>
      </w:r>
      <w:r w:rsidRPr="00F20226">
        <w:rPr>
          <w:rFonts w:ascii="Times New Roman" w:eastAsia="Times New Roman" w:hAnsi="Times New Roman" w:cs="Times New Roman"/>
          <w:sz w:val="20"/>
          <w:szCs w:val="20"/>
        </w:rPr>
        <w:t xml:space="preserve"> Robust regulatory frameworks are needed to ensure that anti-aging interventions are appropriately tested, evaluated, and monitored. Regulatory bodies should be equipped to adapt to the rapid pace of biotechnological advancements.</w:t>
      </w:r>
    </w:p>
    <w:p w14:paraId="0000005E" w14:textId="77777777" w:rsidR="000C6D32"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Transparency and Accountability:</w:t>
      </w:r>
      <w:r w:rsidRPr="00F20226">
        <w:rPr>
          <w:rFonts w:ascii="Times New Roman" w:eastAsia="Times New Roman" w:hAnsi="Times New Roman" w:cs="Times New Roman"/>
          <w:sz w:val="20"/>
          <w:szCs w:val="20"/>
        </w:rPr>
        <w:t xml:space="preserve"> Researchers, developers, and practitioners should maintain transparency in their work, sharing both successes and failures, to foster accountability and trust within the scientific and broader communities.</w:t>
      </w:r>
    </w:p>
    <w:p w14:paraId="5654D0F2" w14:textId="77777777" w:rsidR="004926B7" w:rsidRPr="00F20226" w:rsidRDefault="004926B7" w:rsidP="004926B7">
      <w:pPr>
        <w:spacing w:after="0" w:line="240" w:lineRule="auto"/>
        <w:rPr>
          <w:rFonts w:ascii="Times New Roman" w:eastAsia="Times New Roman" w:hAnsi="Times New Roman" w:cs="Times New Roman"/>
          <w:sz w:val="20"/>
          <w:szCs w:val="20"/>
        </w:rPr>
      </w:pPr>
    </w:p>
    <w:p w14:paraId="0000005F" w14:textId="00B0EAFB"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C</w:t>
      </w:r>
      <w:r>
        <w:rPr>
          <w:rFonts w:ascii="Times New Roman" w:eastAsia="Times New Roman" w:hAnsi="Times New Roman" w:cs="Times New Roman"/>
          <w:i/>
          <w:iCs/>
          <w:sz w:val="20"/>
          <w:szCs w:val="20"/>
        </w:rPr>
        <w:t>.</w:t>
      </w:r>
      <w:r w:rsidRPr="004926B7">
        <w:rPr>
          <w:rFonts w:ascii="Times New Roman" w:eastAsia="Times New Roman" w:hAnsi="Times New Roman" w:cs="Times New Roman"/>
          <w:i/>
          <w:iCs/>
          <w:sz w:val="20"/>
          <w:szCs w:val="20"/>
        </w:rPr>
        <w:t xml:space="preserve"> Socio-Economic Implications of Life Extension</w:t>
      </w:r>
    </w:p>
    <w:p w14:paraId="00000060" w14:textId="2FAF6952" w:rsidR="000C6D32" w:rsidRPr="00F20226" w:rsidRDefault="00000000" w:rsidP="004926B7">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potential for life extension through biotechnological interventions has significant socio-economic implications that need careful consideration. As we explore these implications, it's important to acknowledge the complex interplay between technology, ethics, and society</w:t>
      </w:r>
      <w:r w:rsidR="00730EBD">
        <w:rPr>
          <w:rFonts w:ascii="Times New Roman" w:eastAsia="Times New Roman" w:hAnsi="Times New Roman" w:cs="Times New Roman"/>
          <w:sz w:val="20"/>
          <w:szCs w:val="20"/>
        </w:rPr>
        <w:t xml:space="preserve"> </w:t>
      </w:r>
      <w:r w:rsidR="00730EBD">
        <w:rPr>
          <w:rFonts w:ascii="Times New Roman" w:eastAsia="Times New Roman" w:hAnsi="Times New Roman" w:cs="Times New Roman"/>
          <w:i/>
          <w:iCs/>
          <w:sz w:val="20"/>
          <w:szCs w:val="20"/>
        </w:rPr>
        <w:fldChar w:fldCharType="begin"/>
      </w:r>
      <w:r w:rsidR="00730EBD">
        <w:rPr>
          <w:rFonts w:ascii="Times New Roman" w:eastAsia="Times New Roman" w:hAnsi="Times New Roman" w:cs="Times New Roman"/>
          <w:i/>
          <w:iCs/>
          <w:sz w:val="20"/>
          <w:szCs w:val="20"/>
        </w:rPr>
        <w:instrText xml:space="preserve"> ADDIN ZOTERO_ITEM CSL_CITATION {"citationID":"WDROF1Za","properties":{"formattedCitation":"[64]","plainCitation":"[64]","noteIndex":0},"citationItems":[{"id":373,"uris":["http://zotero.org/users/local/EXtS0esT/items/B7JURU79"],"itemData":{"id":373,"type":"article-journal","abstract":"This article explores the potential consequences of an extra life extension till 2010. For this purpose the method of scenario analysis is used. Life extension is defined as an extra increase in life expectancy at birth (compared to the 'normal' demographic forecast). The optimistic scenario is based on an equal delay of both death and the prevalence of disease and disability. In the pessimistic scenario, only death is delayed, which brings more morbidity. It is stressed that the development of morbidity considerably influences the social consequences of extra life extension, such as the use older people make of the (health) care services system, and the socio-economic and the socio-cultural position of the elderly. In the optimistic scenario the pressure on care services is more or less the same as it would be according to the normal demographic forecast, although the patients/clients are older. Due to the extra increase in life expectancy the costs of social security will be much higher. The percentage of people incapable of work, the age of retirement, the position of the elderly employee in the labour force and the norms and values concerning old age differ in both scenarios.","container-title":"Tijdschrift Voor Gerontologie En Geriatrie","ISSN":"0167-9228","issue":"5","journalAbbreviation":"Tijdschr Gerontol Geriatr","language":"dut","note":"PMID: 2251723","page":"217-221","source":"PubMed","title":"[2 scenarios on extension of life. Various social consequences of a higher life expectancy]","volume":"21","author":[{"family":"Klaassen-van den Berg Jeths","given":"A."},{"family":"Langen","given":"J. A.","non-dropping-particle":"van"}],"issued":{"date-parts":[["1990",10]]}}}],"schema":"https://github.com/citation-style-language/schema/raw/master/csl-citation.json"} </w:instrText>
      </w:r>
      <w:r w:rsidR="00730EBD">
        <w:rPr>
          <w:rFonts w:ascii="Times New Roman" w:eastAsia="Times New Roman" w:hAnsi="Times New Roman" w:cs="Times New Roman"/>
          <w:i/>
          <w:iCs/>
          <w:sz w:val="20"/>
          <w:szCs w:val="20"/>
        </w:rPr>
        <w:fldChar w:fldCharType="separate"/>
      </w:r>
      <w:r w:rsidR="00730EBD" w:rsidRPr="004104E3">
        <w:rPr>
          <w:rFonts w:ascii="Times New Roman" w:hAnsi="Times New Roman" w:cs="Times New Roman"/>
          <w:sz w:val="20"/>
        </w:rPr>
        <w:t>[64]</w:t>
      </w:r>
      <w:r w:rsidR="00730EBD">
        <w:rPr>
          <w:rFonts w:ascii="Times New Roman" w:eastAsia="Times New Roman" w:hAnsi="Times New Roman" w:cs="Times New Roman"/>
          <w:i/>
          <w:iCs/>
          <w:sz w:val="20"/>
          <w:szCs w:val="20"/>
        </w:rPr>
        <w:fldChar w:fldCharType="end"/>
      </w:r>
      <w:r w:rsidRPr="00F20226">
        <w:rPr>
          <w:rFonts w:ascii="Times New Roman" w:eastAsia="Times New Roman" w:hAnsi="Times New Roman" w:cs="Times New Roman"/>
          <w:sz w:val="20"/>
          <w:szCs w:val="20"/>
        </w:rPr>
        <w:t>.</w:t>
      </w:r>
    </w:p>
    <w:p w14:paraId="00000061" w14:textId="091FBDAD"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Cost and Resource Allocation:</w:t>
      </w:r>
      <w:r w:rsidRPr="00F20226">
        <w:rPr>
          <w:rFonts w:ascii="Times New Roman" w:eastAsia="Times New Roman" w:hAnsi="Times New Roman" w:cs="Times New Roman"/>
          <w:sz w:val="20"/>
          <w:szCs w:val="20"/>
        </w:rPr>
        <w:t xml:space="preserve"> </w:t>
      </w:r>
      <w:r w:rsidR="004926B7">
        <w:rPr>
          <w:rFonts w:ascii="Times New Roman" w:eastAsia="Times New Roman" w:hAnsi="Times New Roman" w:cs="Times New Roman"/>
          <w:sz w:val="20"/>
          <w:szCs w:val="20"/>
        </w:rPr>
        <w:t>Developing and implementing</w:t>
      </w:r>
      <w:r w:rsidRPr="00F20226">
        <w:rPr>
          <w:rFonts w:ascii="Times New Roman" w:eastAsia="Times New Roman" w:hAnsi="Times New Roman" w:cs="Times New Roman"/>
          <w:sz w:val="20"/>
          <w:szCs w:val="20"/>
        </w:rPr>
        <w:t xml:space="preserve"> anti-aging interventions can be resource-intensive. Decisions must be made about </w:t>
      </w:r>
      <w:r w:rsidR="004926B7">
        <w:rPr>
          <w:rFonts w:ascii="Times New Roman" w:eastAsia="Times New Roman" w:hAnsi="Times New Roman" w:cs="Times New Roman"/>
          <w:sz w:val="20"/>
          <w:szCs w:val="20"/>
        </w:rPr>
        <w:t>allocating limited resources to balance</w:t>
      </w:r>
      <w:r w:rsidRPr="00F20226">
        <w:rPr>
          <w:rFonts w:ascii="Times New Roman" w:eastAsia="Times New Roman" w:hAnsi="Times New Roman" w:cs="Times New Roman"/>
          <w:sz w:val="20"/>
          <w:szCs w:val="20"/>
        </w:rPr>
        <w:t xml:space="preserve"> the pursuit of anti-aging technologies with other pressing healthcare needs.</w:t>
      </w:r>
    </w:p>
    <w:p w14:paraId="00000062" w14:textId="2CB322A7"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Cultural and Religious Perspectives:</w:t>
      </w:r>
      <w:r w:rsidRPr="00F20226">
        <w:rPr>
          <w:rFonts w:ascii="Times New Roman" w:eastAsia="Times New Roman" w:hAnsi="Times New Roman" w:cs="Times New Roman"/>
          <w:sz w:val="20"/>
          <w:szCs w:val="20"/>
        </w:rPr>
        <w:t xml:space="preserve"> Different cultures and religions have diverse views on aging, life, and death. Ethical considerations should respect and incorporate these perspectives in </w:t>
      </w:r>
      <w:r w:rsidR="004926B7">
        <w:rPr>
          <w:rFonts w:ascii="Times New Roman" w:eastAsia="Times New Roman" w:hAnsi="Times New Roman" w:cs="Times New Roman"/>
          <w:sz w:val="20"/>
          <w:szCs w:val="20"/>
        </w:rPr>
        <w:t>developing and implementing</w:t>
      </w:r>
      <w:r w:rsidRPr="00F20226">
        <w:rPr>
          <w:rFonts w:ascii="Times New Roman" w:eastAsia="Times New Roman" w:hAnsi="Times New Roman" w:cs="Times New Roman"/>
          <w:sz w:val="20"/>
          <w:szCs w:val="20"/>
        </w:rPr>
        <w:t xml:space="preserve"> anti-aging technologies.</w:t>
      </w:r>
    </w:p>
    <w:p w14:paraId="00000064" w14:textId="2F629FDF" w:rsidR="000C6D32" w:rsidRPr="00F20226"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t>Increased Healthcare Costs:</w:t>
      </w:r>
      <w:r w:rsidRPr="00F20226">
        <w:rPr>
          <w:rFonts w:ascii="Times New Roman" w:eastAsia="Times New Roman" w:hAnsi="Times New Roman" w:cs="Times New Roman"/>
          <w:sz w:val="20"/>
          <w:szCs w:val="20"/>
        </w:rPr>
        <w:t xml:space="preserve"> While life extension technologies could lead to healthier and longer lives, they might also </w:t>
      </w:r>
      <w:r w:rsidR="004926B7">
        <w:rPr>
          <w:rFonts w:ascii="Times New Roman" w:eastAsia="Times New Roman" w:hAnsi="Times New Roman" w:cs="Times New Roman"/>
          <w:sz w:val="20"/>
          <w:szCs w:val="20"/>
        </w:rPr>
        <w:t>increase</w:t>
      </w:r>
      <w:r w:rsidRPr="00F20226">
        <w:rPr>
          <w:rFonts w:ascii="Times New Roman" w:eastAsia="Times New Roman" w:hAnsi="Times New Roman" w:cs="Times New Roman"/>
          <w:sz w:val="20"/>
          <w:szCs w:val="20"/>
        </w:rPr>
        <w:t xml:space="preserve"> healthcare costs. Older individuals often require more medical care, and extending their lifespan could strain healthcare systems and resources.</w:t>
      </w:r>
    </w:p>
    <w:p w14:paraId="00000065" w14:textId="77777777" w:rsidR="000C6D32" w:rsidRDefault="00000000" w:rsidP="004926B7">
      <w:pPr>
        <w:spacing w:after="0" w:line="240" w:lineRule="auto"/>
        <w:jc w:val="both"/>
        <w:rPr>
          <w:rFonts w:ascii="Times New Roman" w:eastAsia="Times New Roman" w:hAnsi="Times New Roman" w:cs="Times New Roman"/>
          <w:sz w:val="20"/>
          <w:szCs w:val="20"/>
        </w:rPr>
      </w:pPr>
      <w:r w:rsidRPr="004926B7">
        <w:rPr>
          <w:rFonts w:ascii="Times New Roman" w:eastAsia="Times New Roman" w:hAnsi="Times New Roman" w:cs="Times New Roman"/>
          <w:i/>
          <w:iCs/>
          <w:sz w:val="20"/>
          <w:szCs w:val="20"/>
        </w:rPr>
        <w:lastRenderedPageBreak/>
        <w:t>Pension and Retirement Systems</w:t>
      </w:r>
      <w:r w:rsidRPr="00F20226">
        <w:rPr>
          <w:rFonts w:ascii="Times New Roman" w:eastAsia="Times New Roman" w:hAnsi="Times New Roman" w:cs="Times New Roman"/>
          <w:sz w:val="20"/>
          <w:szCs w:val="20"/>
        </w:rPr>
        <w:t>: Longer lifespans could impact pension and retirement systems. If people live significantly longer, there might be a need to reconsider retirement ages, pension plans, and other social safety net programs to ensure financial sustainability.</w:t>
      </w:r>
    </w:p>
    <w:p w14:paraId="32A642EF" w14:textId="77777777" w:rsidR="004926B7" w:rsidRPr="00F20226" w:rsidRDefault="004926B7" w:rsidP="004926B7">
      <w:pPr>
        <w:spacing w:after="0" w:line="240" w:lineRule="auto"/>
        <w:jc w:val="both"/>
        <w:rPr>
          <w:rFonts w:ascii="Times New Roman" w:eastAsia="Times New Roman" w:hAnsi="Times New Roman" w:cs="Times New Roman"/>
          <w:sz w:val="20"/>
          <w:szCs w:val="20"/>
        </w:rPr>
      </w:pPr>
    </w:p>
    <w:p w14:paraId="00000066" w14:textId="02DA11D9" w:rsidR="000C6D32" w:rsidRPr="00F20226" w:rsidRDefault="004926B7" w:rsidP="004926B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sidRPr="00F20226">
        <w:rPr>
          <w:rFonts w:ascii="Times New Roman" w:eastAsia="Times New Roman" w:hAnsi="Times New Roman" w:cs="Times New Roman"/>
          <w:b/>
          <w:sz w:val="20"/>
          <w:szCs w:val="20"/>
        </w:rPr>
        <w:t>. THE FUTURE OF YOUTHFUL LIVING: TRANSFORMATIVE POTENTIAL</w:t>
      </w:r>
    </w:p>
    <w:p w14:paraId="00000067" w14:textId="792BBCDC"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A. Reshaping the Future of Health and Vitality</w:t>
      </w:r>
    </w:p>
    <w:p w14:paraId="00000069" w14:textId="021A2AF3" w:rsidR="000C6D32" w:rsidRPr="00F20226" w:rsidRDefault="00000000" w:rsidP="004926B7">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Reshaping the future of health and vitality in aging requires a concerted effort from individuals, communities, governments, and the private sector. By combining scientific advancements with compassionate care, inclusive policies, and a commitment to lifelong well-being, we can create a future where people can age gracefully while maintaining their health, vitality, and dignity</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It includes Preventive Healthcare, Personalized Medicine, Digital Health and Telemedicine, Cognitive Health, Social Support and Community Engagement, Interdisciplinary Collaboration</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Health Literacy and Education, Long-Term Care Innovation: Ethical Considerations: Policy and Advocacy, Economic Planning and Workforce Adaptation, Public Awareness and Attitude Shifts, Research and Innovation, Global Collaboration</w:t>
      </w:r>
      <w:r w:rsidR="000367AD">
        <w:rPr>
          <w:rFonts w:ascii="Times New Roman" w:eastAsia="Times New Roman" w:hAnsi="Times New Roman" w:cs="Times New Roman"/>
          <w:sz w:val="20"/>
          <w:szCs w:val="20"/>
        </w:rPr>
        <w:t xml:space="preserve"> </w:t>
      </w:r>
      <w:r w:rsidR="004104E3">
        <w:rPr>
          <w:rFonts w:ascii="Times New Roman" w:eastAsia="Times New Roman" w:hAnsi="Times New Roman" w:cs="Times New Roman"/>
          <w:sz w:val="20"/>
          <w:szCs w:val="20"/>
        </w:rPr>
        <w:fldChar w:fldCharType="begin"/>
      </w:r>
      <w:r w:rsidR="004104E3">
        <w:rPr>
          <w:rFonts w:ascii="Times New Roman" w:eastAsia="Times New Roman" w:hAnsi="Times New Roman" w:cs="Times New Roman"/>
          <w:sz w:val="20"/>
          <w:szCs w:val="20"/>
        </w:rPr>
        <w:instrText xml:space="preserve"> ADDIN ZOTERO_ITEM CSL_CITATION {"citationID":"pJszFaWI","properties":{"formattedCitation":"[65]","plainCitation":"[65]","noteIndex":0},"citationItems":[{"id":375,"uris":["http://zotero.org/users/local/EXtS0esT/items/S963IF8L"],"itemData":{"id":375,"type":"article-journal","abstract":"The purpose of this article is to synthesize developments from various disciplines including the medical, wellness, psychology, and sociology fields to shed light on where health promotion is headed in the next 25 years. Lifestyle medicine practitioners will continue to play a large role in helping people achieve the highest levels of wellness, which does not simply mean the absence of disease. New research identifies the important roles of many diverse factors such as relationships, lifestyle behaviors, emotional outlook, positive environment, mind–body connection, use of technology, and work styles, which can help each person achieve the fullness of life, vitality, and flourishing that characterizes a high level of well-being.","container-title":"American Journal of Lifestyle Medicine","DOI":"10.1177/1559827615605789","ISSN":"1559-8276, 1559-8284","issue":"4","journalAbbreviation":"American Journal of Lifestyle Medicine","language":"en","page":"242-252","source":"DOI.org (Crossref)","title":"The Future of Health Promotion in the 21st Century: A Focus on the Working Population","title-short":"The Future of Health Promotion in the 21st Century","volume":"10","author":[{"family":"Edington","given":"Dee W."},{"family":"Schultz","given":"Alyssa B."},{"family":"Pitts","given":"Jennifer S."},{"family":"Camilleri","given":"Angela"}],"issued":{"date-parts":[["2016",7]]}}}],"schema":"https://github.com/citation-style-language/schema/raw/master/csl-citation.json"} </w:instrText>
      </w:r>
      <w:r w:rsidR="004104E3">
        <w:rPr>
          <w:rFonts w:ascii="Times New Roman" w:eastAsia="Times New Roman" w:hAnsi="Times New Roman" w:cs="Times New Roman"/>
          <w:sz w:val="20"/>
          <w:szCs w:val="20"/>
        </w:rPr>
        <w:fldChar w:fldCharType="separate"/>
      </w:r>
      <w:r w:rsidR="004104E3" w:rsidRPr="004104E3">
        <w:rPr>
          <w:rFonts w:ascii="Times New Roman" w:hAnsi="Times New Roman" w:cs="Times New Roman"/>
          <w:sz w:val="20"/>
        </w:rPr>
        <w:t>[65]</w:t>
      </w:r>
      <w:r w:rsidR="004104E3">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6A" w14:textId="74562550" w:rsidR="000C6D32" w:rsidRPr="004926B7" w:rsidRDefault="004926B7">
      <w:pPr>
        <w:spacing w:line="240" w:lineRule="auto"/>
        <w:rPr>
          <w:rFonts w:ascii="Times New Roman" w:eastAsia="Times New Roman" w:hAnsi="Times New Roman" w:cs="Times New Roman"/>
          <w:i/>
          <w:iCs/>
          <w:sz w:val="20"/>
          <w:szCs w:val="20"/>
        </w:rPr>
      </w:pPr>
      <w:r w:rsidRPr="004926B7">
        <w:rPr>
          <w:rFonts w:ascii="Times New Roman" w:eastAsia="Times New Roman" w:hAnsi="Times New Roman" w:cs="Times New Roman"/>
          <w:i/>
          <w:iCs/>
          <w:sz w:val="20"/>
          <w:szCs w:val="20"/>
        </w:rPr>
        <w:t>B. Promising Avenues for Biotechnology and Anti-Aging</w:t>
      </w:r>
    </w:p>
    <w:p w14:paraId="50BAF672" w14:textId="40EE617A" w:rsidR="004926B7" w:rsidRPr="00F20226" w:rsidRDefault="00000000" w:rsidP="00730EBD">
      <w:pPr>
        <w:spacing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 xml:space="preserve">Promising avenues for biotechnology and anti-aging research offer exciting possibilities for extending human lifespan, enhancing </w:t>
      </w:r>
      <w:r w:rsidR="00D3476A" w:rsidRPr="00F20226">
        <w:rPr>
          <w:rFonts w:ascii="Times New Roman" w:eastAsia="Times New Roman" w:hAnsi="Times New Roman" w:cs="Times New Roman"/>
          <w:sz w:val="20"/>
          <w:szCs w:val="20"/>
        </w:rPr>
        <w:t>health span</w:t>
      </w:r>
      <w:r w:rsidRPr="00F20226">
        <w:rPr>
          <w:rFonts w:ascii="Times New Roman" w:eastAsia="Times New Roman" w:hAnsi="Times New Roman" w:cs="Times New Roman"/>
          <w:sz w:val="20"/>
          <w:szCs w:val="20"/>
        </w:rPr>
        <w:t xml:space="preserve"> (the period of life spent in good health), and improving overall quality of life.</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 xml:space="preserve">Collaboration among scientists, healthcare professionals, policymakers, and ethicists </w:t>
      </w:r>
      <w:proofErr w:type="gramStart"/>
      <w:r w:rsidRPr="00F20226">
        <w:rPr>
          <w:rFonts w:ascii="Times New Roman" w:eastAsia="Times New Roman" w:hAnsi="Times New Roman" w:cs="Times New Roman"/>
          <w:sz w:val="20"/>
          <w:szCs w:val="20"/>
        </w:rPr>
        <w:t>is</w:t>
      </w:r>
      <w:proofErr w:type="gramEnd"/>
      <w:r w:rsidRPr="00F20226">
        <w:rPr>
          <w:rFonts w:ascii="Times New Roman" w:eastAsia="Times New Roman" w:hAnsi="Times New Roman" w:cs="Times New Roman"/>
          <w:sz w:val="20"/>
          <w:szCs w:val="20"/>
        </w:rPr>
        <w:t xml:space="preserve"> essential to ensure responsible and ethical development of promising avenues. While challenges and ethical considerations exist, ongoing research and innovation hold the potential to reshape our understanding of aging and significantly improve the health and well-being of aging populations</w:t>
      </w:r>
      <w:r w:rsidR="000367AD">
        <w:rPr>
          <w:rFonts w:ascii="Times New Roman" w:eastAsia="Times New Roman" w:hAnsi="Times New Roman" w:cs="Times New Roman"/>
          <w:sz w:val="20"/>
          <w:szCs w:val="20"/>
        </w:rPr>
        <w:t xml:space="preserve"> </w:t>
      </w:r>
      <w:r w:rsidR="00D3476A">
        <w:rPr>
          <w:rFonts w:ascii="Times New Roman" w:eastAsia="Times New Roman" w:hAnsi="Times New Roman" w:cs="Times New Roman"/>
          <w:sz w:val="20"/>
          <w:szCs w:val="20"/>
        </w:rPr>
        <w:fldChar w:fldCharType="begin"/>
      </w:r>
      <w:r w:rsidR="00D3476A">
        <w:rPr>
          <w:rFonts w:ascii="Times New Roman" w:eastAsia="Times New Roman" w:hAnsi="Times New Roman" w:cs="Times New Roman"/>
          <w:sz w:val="20"/>
          <w:szCs w:val="20"/>
        </w:rPr>
        <w:instrText xml:space="preserve"> ADDIN ZOTERO_ITEM CSL_CITATION {"citationID":"PD8q7DpG","properties":{"formattedCitation":"[66]","plainCitation":"[66]","noteIndex":0},"citationItems":[{"id":377,"uris":["http://zotero.org/users/local/EXtS0esT/items/XGEYBGXZ"],"itemData":{"id":377,"type":"article-journal","container-title":"Cell","DOI":"10.1016/j.cell.2005.01.030","ISSN":"00928674","issue":"4","journalAbbreviation":"Cell","language":"en","page":"557-567","source":"DOI.org (Crossref)","title":"The Future of Aging Therapies","volume":"120","author":[{"family":"Hadley","given":"Evan C."},{"family":"Lakatta","given":"Edward G."},{"family":"Morrison-Bogorad","given":"Marcelle"},{"family":"Warner","given":"Huber R."},{"family":"Hodes","given":"Richard J."}],"issued":{"date-parts":[["2005",2]]}}}],"schema":"https://github.com/citation-style-language/schema/raw/master/csl-citation.json"} </w:instrText>
      </w:r>
      <w:r w:rsidR="00D3476A">
        <w:rPr>
          <w:rFonts w:ascii="Times New Roman" w:eastAsia="Times New Roman" w:hAnsi="Times New Roman" w:cs="Times New Roman"/>
          <w:sz w:val="20"/>
          <w:szCs w:val="20"/>
        </w:rPr>
        <w:fldChar w:fldCharType="separate"/>
      </w:r>
      <w:r w:rsidR="00D3476A" w:rsidRPr="00D3476A">
        <w:rPr>
          <w:rFonts w:ascii="Times New Roman" w:hAnsi="Times New Roman" w:cs="Times New Roman"/>
          <w:sz w:val="20"/>
        </w:rPr>
        <w:t>[66]</w:t>
      </w:r>
      <w:r w:rsidR="00D3476A">
        <w:rPr>
          <w:rFonts w:ascii="Times New Roman" w:eastAsia="Times New Roman" w:hAnsi="Times New Roman" w:cs="Times New Roman"/>
          <w:sz w:val="20"/>
          <w:szCs w:val="20"/>
        </w:rPr>
        <w:fldChar w:fldCharType="end"/>
      </w:r>
      <w:r w:rsidRPr="00F20226">
        <w:rPr>
          <w:rFonts w:ascii="Times New Roman" w:eastAsia="Times New Roman" w:hAnsi="Times New Roman" w:cs="Times New Roman"/>
          <w:sz w:val="20"/>
          <w:szCs w:val="20"/>
        </w:rPr>
        <w:t>.</w:t>
      </w:r>
    </w:p>
    <w:p w14:paraId="0000006D" w14:textId="203A56F1" w:rsidR="000C6D32" w:rsidRPr="00F20226" w:rsidRDefault="004926B7" w:rsidP="004926B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sidRPr="00F20226">
        <w:rPr>
          <w:rFonts w:ascii="Times New Roman" w:eastAsia="Times New Roman" w:hAnsi="Times New Roman" w:cs="Times New Roman"/>
          <w:b/>
          <w:sz w:val="20"/>
          <w:szCs w:val="20"/>
        </w:rPr>
        <w:t>. CONCLUSION</w:t>
      </w:r>
    </w:p>
    <w:p w14:paraId="00000076" w14:textId="50CB231A" w:rsidR="000C6D32" w:rsidRDefault="00000000" w:rsidP="004926B7">
      <w:pPr>
        <w:spacing w:after="0" w:line="240" w:lineRule="auto"/>
        <w:ind w:firstLine="720"/>
        <w:jc w:val="both"/>
        <w:rPr>
          <w:rFonts w:ascii="Times New Roman" w:eastAsia="Times New Roman" w:hAnsi="Times New Roman" w:cs="Times New Roman"/>
          <w:sz w:val="20"/>
          <w:szCs w:val="20"/>
        </w:rPr>
      </w:pPr>
      <w:r w:rsidRPr="00F20226">
        <w:rPr>
          <w:rFonts w:ascii="Times New Roman" w:eastAsia="Times New Roman" w:hAnsi="Times New Roman" w:cs="Times New Roman"/>
          <w:sz w:val="20"/>
          <w:szCs w:val="20"/>
        </w:rPr>
        <w:t>The intersection of biotechnology and anti-aging research holds immense potential for</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transforming the future of youthful living. By understanding the intricacies of the aging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process and leveraging revolutionary biotechnological advancements, such as gene editing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and regenerative medicine, we can envision a future were rejuvenation and extended health</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span is within reach. However, ethical considerations must guide our</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exploration of life</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extension, ensuring equitable access and thoughtful examination of the societal implications.</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Moving forward, continued research and development in biotechnology and anti-aging will</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pave the way for a society where individuals can enjoy enhanced vitality and well-being</w:t>
      </w:r>
      <w:r w:rsidR="004926B7">
        <w:rPr>
          <w:rFonts w:ascii="Times New Roman" w:eastAsia="Times New Roman" w:hAnsi="Times New Roman" w:cs="Times New Roman"/>
          <w:sz w:val="20"/>
          <w:szCs w:val="20"/>
        </w:rPr>
        <w:t xml:space="preserve"> </w:t>
      </w:r>
      <w:r w:rsidRPr="00F20226">
        <w:rPr>
          <w:rFonts w:ascii="Times New Roman" w:eastAsia="Times New Roman" w:hAnsi="Times New Roman" w:cs="Times New Roman"/>
          <w:sz w:val="20"/>
          <w:szCs w:val="20"/>
        </w:rPr>
        <w:t>throughout their lives.</w:t>
      </w:r>
    </w:p>
    <w:p w14:paraId="485E8BCC" w14:textId="77777777" w:rsidR="00F20226" w:rsidRDefault="00F20226" w:rsidP="004926B7">
      <w:pPr>
        <w:spacing w:after="0" w:line="240" w:lineRule="auto"/>
        <w:jc w:val="both"/>
        <w:rPr>
          <w:rFonts w:ascii="Times New Roman" w:eastAsia="Times New Roman" w:hAnsi="Times New Roman" w:cs="Times New Roman"/>
          <w:sz w:val="20"/>
          <w:szCs w:val="20"/>
        </w:rPr>
      </w:pPr>
    </w:p>
    <w:p w14:paraId="3E9C6A7F" w14:textId="098323EB" w:rsidR="004926B7" w:rsidRDefault="004926B7">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07059FD4" w14:textId="77777777" w:rsidR="00F20226" w:rsidRPr="00F355F0" w:rsidRDefault="00F20226" w:rsidP="00F20226">
      <w:pPr>
        <w:spacing w:after="0" w:line="240" w:lineRule="auto"/>
        <w:jc w:val="both"/>
        <w:rPr>
          <w:rFonts w:ascii="Times New Roman" w:eastAsia="Times New Roman" w:hAnsi="Times New Roman" w:cs="Times New Roman"/>
          <w:sz w:val="24"/>
          <w:szCs w:val="24"/>
        </w:rPr>
      </w:pPr>
    </w:p>
    <w:p w14:paraId="00000077" w14:textId="5C4977BB" w:rsidR="000C6D32" w:rsidRPr="00F355F0" w:rsidRDefault="004926B7" w:rsidP="004926B7">
      <w:pPr>
        <w:spacing w:after="0" w:line="240" w:lineRule="auto"/>
        <w:jc w:val="center"/>
        <w:rPr>
          <w:rFonts w:ascii="Times New Roman" w:eastAsia="Times New Roman" w:hAnsi="Times New Roman" w:cs="Times New Roman"/>
          <w:b/>
          <w:bCs/>
          <w:sz w:val="20"/>
          <w:szCs w:val="20"/>
        </w:rPr>
      </w:pPr>
      <w:r w:rsidRPr="00F355F0">
        <w:rPr>
          <w:rFonts w:ascii="Times New Roman" w:eastAsia="Times New Roman" w:hAnsi="Times New Roman" w:cs="Times New Roman"/>
          <w:b/>
          <w:bCs/>
          <w:sz w:val="20"/>
          <w:szCs w:val="20"/>
        </w:rPr>
        <w:t>REFERENCE</w:t>
      </w:r>
    </w:p>
    <w:p w14:paraId="1E01202E" w14:textId="77777777" w:rsidR="004D76D8" w:rsidRPr="00D3476A" w:rsidRDefault="004D76D8" w:rsidP="004926B7">
      <w:pPr>
        <w:spacing w:after="0" w:line="240" w:lineRule="auto"/>
        <w:jc w:val="center"/>
        <w:rPr>
          <w:rFonts w:ascii="Times New Roman" w:eastAsia="Times New Roman" w:hAnsi="Times New Roman" w:cs="Times New Roman"/>
          <w:b/>
          <w:bCs/>
          <w:sz w:val="20"/>
          <w:szCs w:val="20"/>
        </w:rPr>
      </w:pPr>
    </w:p>
    <w:p w14:paraId="1544506B" w14:textId="77777777" w:rsidR="00D3476A" w:rsidRPr="00F355F0" w:rsidRDefault="004F51E3" w:rsidP="00D3476A">
      <w:pPr>
        <w:pStyle w:val="Bibliography"/>
        <w:rPr>
          <w:rFonts w:ascii="Times New Roman" w:hAnsi="Times New Roman" w:cs="Times New Roman"/>
          <w:sz w:val="16"/>
          <w:szCs w:val="16"/>
        </w:rPr>
      </w:pPr>
      <w:r w:rsidRPr="00F355F0">
        <w:rPr>
          <w:rFonts w:ascii="Times New Roman" w:eastAsia="Times New Roman" w:hAnsi="Times New Roman" w:cs="Times New Roman"/>
          <w:color w:val="212121"/>
          <w:sz w:val="16"/>
          <w:szCs w:val="16"/>
          <w:highlight w:val="white"/>
        </w:rPr>
        <w:fldChar w:fldCharType="begin"/>
      </w:r>
      <w:r w:rsidR="008F4E4F" w:rsidRPr="00F355F0">
        <w:rPr>
          <w:rFonts w:ascii="Times New Roman" w:eastAsia="Times New Roman" w:hAnsi="Times New Roman" w:cs="Times New Roman"/>
          <w:color w:val="212121"/>
          <w:sz w:val="16"/>
          <w:szCs w:val="16"/>
          <w:highlight w:val="white"/>
        </w:rPr>
        <w:instrText xml:space="preserve"> ADDIN ZOTERO_BIBL {"uncited":[],"omitted":[],"custom":[]} CSL_BIBLIOGRAPHY </w:instrText>
      </w:r>
      <w:r w:rsidRPr="00F355F0">
        <w:rPr>
          <w:rFonts w:ascii="Times New Roman" w:eastAsia="Times New Roman" w:hAnsi="Times New Roman" w:cs="Times New Roman"/>
          <w:color w:val="212121"/>
          <w:sz w:val="16"/>
          <w:szCs w:val="16"/>
          <w:highlight w:val="white"/>
        </w:rPr>
        <w:fldChar w:fldCharType="separate"/>
      </w:r>
      <w:r w:rsidR="00D3476A" w:rsidRPr="00F355F0">
        <w:rPr>
          <w:rFonts w:ascii="Times New Roman" w:hAnsi="Times New Roman" w:cs="Times New Roman"/>
          <w:sz w:val="16"/>
          <w:szCs w:val="16"/>
        </w:rPr>
        <w:t>[1]</w:t>
      </w:r>
      <w:r w:rsidR="00D3476A" w:rsidRPr="00F355F0">
        <w:rPr>
          <w:rFonts w:ascii="Times New Roman" w:hAnsi="Times New Roman" w:cs="Times New Roman"/>
          <w:sz w:val="16"/>
          <w:szCs w:val="16"/>
        </w:rPr>
        <w:tab/>
        <w:t xml:space="preserve">B. Flint and P. Tadi, “Physiology, Aging,” in </w:t>
      </w:r>
      <w:r w:rsidR="00D3476A" w:rsidRPr="00F355F0">
        <w:rPr>
          <w:rFonts w:ascii="Times New Roman" w:hAnsi="Times New Roman" w:cs="Times New Roman"/>
          <w:i/>
          <w:iCs/>
          <w:sz w:val="16"/>
          <w:szCs w:val="16"/>
        </w:rPr>
        <w:t>StatPearls</w:t>
      </w:r>
      <w:r w:rsidR="00D3476A" w:rsidRPr="00F355F0">
        <w:rPr>
          <w:rFonts w:ascii="Times New Roman" w:hAnsi="Times New Roman" w:cs="Times New Roman"/>
          <w:sz w:val="16"/>
          <w:szCs w:val="16"/>
        </w:rPr>
        <w:t>, Treasure Island (FL): StatPearls Publishing, 2023. Accessed: Aug. 17, 2023. [Online]. Available: http://www.ncbi.nlm.nih.gov/books/NBK556106/</w:t>
      </w:r>
    </w:p>
    <w:p w14:paraId="78CDD13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w:t>
      </w:r>
      <w:r w:rsidRPr="00F355F0">
        <w:rPr>
          <w:rFonts w:ascii="Times New Roman" w:hAnsi="Times New Roman" w:cs="Times New Roman"/>
          <w:sz w:val="16"/>
          <w:szCs w:val="16"/>
        </w:rPr>
        <w:tab/>
        <w:t xml:space="preserve">C. Franceschi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“The Continuum of Aging and Age-Related Diseases: Common Mechanisms but Different Rates,” </w:t>
      </w:r>
      <w:r w:rsidRPr="00F355F0">
        <w:rPr>
          <w:rFonts w:ascii="Times New Roman" w:hAnsi="Times New Roman" w:cs="Times New Roman"/>
          <w:i/>
          <w:iCs/>
          <w:sz w:val="16"/>
          <w:szCs w:val="16"/>
        </w:rPr>
        <w:t>Front. Med.</w:t>
      </w:r>
      <w:r w:rsidRPr="00F355F0">
        <w:rPr>
          <w:rFonts w:ascii="Times New Roman" w:hAnsi="Times New Roman" w:cs="Times New Roman"/>
          <w:sz w:val="16"/>
          <w:szCs w:val="16"/>
        </w:rPr>
        <w:t>, vol. 5, p. 61, Mar. 2018, doi: 10.3389/fmed.2018.00061.</w:t>
      </w:r>
    </w:p>
    <w:p w14:paraId="0AE01B9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w:t>
      </w:r>
      <w:r w:rsidRPr="00F355F0">
        <w:rPr>
          <w:rFonts w:ascii="Times New Roman" w:hAnsi="Times New Roman" w:cs="Times New Roman"/>
          <w:sz w:val="16"/>
          <w:szCs w:val="16"/>
        </w:rPr>
        <w:tab/>
        <w:t xml:space="preserve">S. Rodríguez-Rodero, J. L. Fernández-Morera, E. Menéndez-Torre, V. Calvanese, A. F. Fernández, and M. F. Fraga, “Aging genetics and aging,” </w:t>
      </w:r>
      <w:r w:rsidRPr="00F355F0">
        <w:rPr>
          <w:rFonts w:ascii="Times New Roman" w:hAnsi="Times New Roman" w:cs="Times New Roman"/>
          <w:i/>
          <w:iCs/>
          <w:sz w:val="16"/>
          <w:szCs w:val="16"/>
        </w:rPr>
        <w:t>Aging Dis</w:t>
      </w:r>
      <w:r w:rsidRPr="00F355F0">
        <w:rPr>
          <w:rFonts w:ascii="Times New Roman" w:hAnsi="Times New Roman" w:cs="Times New Roman"/>
          <w:sz w:val="16"/>
          <w:szCs w:val="16"/>
        </w:rPr>
        <w:t>, vol. 2, no. 3, pp. 186–195, Jun. 2011.</w:t>
      </w:r>
    </w:p>
    <w:p w14:paraId="528F96B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w:t>
      </w:r>
      <w:r w:rsidRPr="00F355F0">
        <w:rPr>
          <w:rFonts w:ascii="Times New Roman" w:hAnsi="Times New Roman" w:cs="Times New Roman"/>
          <w:sz w:val="16"/>
          <w:szCs w:val="16"/>
        </w:rPr>
        <w:tab/>
        <w:t xml:space="preserve">R. J. O’Sullivan and J. Karlseder, “Telomeres: protecting chromosomes against genome instability,” </w:t>
      </w:r>
      <w:r w:rsidRPr="00F355F0">
        <w:rPr>
          <w:rFonts w:ascii="Times New Roman" w:hAnsi="Times New Roman" w:cs="Times New Roman"/>
          <w:i/>
          <w:iCs/>
          <w:sz w:val="16"/>
          <w:szCs w:val="16"/>
        </w:rPr>
        <w:t>Nat Rev Mol Cell Biol</w:t>
      </w:r>
      <w:r w:rsidRPr="00F355F0">
        <w:rPr>
          <w:rFonts w:ascii="Times New Roman" w:hAnsi="Times New Roman" w:cs="Times New Roman"/>
          <w:sz w:val="16"/>
          <w:szCs w:val="16"/>
        </w:rPr>
        <w:t>, vol. 11, no. 3, pp. 171–181, Mar. 2010, doi: 10.1038/nrm2848.</w:t>
      </w:r>
    </w:p>
    <w:p w14:paraId="6995FE6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w:t>
      </w:r>
      <w:r w:rsidRPr="00F355F0">
        <w:rPr>
          <w:rFonts w:ascii="Times New Roman" w:hAnsi="Times New Roman" w:cs="Times New Roman"/>
          <w:sz w:val="16"/>
          <w:szCs w:val="16"/>
        </w:rPr>
        <w:tab/>
        <w:t xml:space="preserve">M. A. Shammas, “Telomeres, lifestyle, cancer, and aging:,” </w:t>
      </w:r>
      <w:r w:rsidRPr="00F355F0">
        <w:rPr>
          <w:rFonts w:ascii="Times New Roman" w:hAnsi="Times New Roman" w:cs="Times New Roman"/>
          <w:i/>
          <w:iCs/>
          <w:sz w:val="16"/>
          <w:szCs w:val="16"/>
        </w:rPr>
        <w:t>Current Opinion in Clinical Nutrition and Metabolic Care</w:t>
      </w:r>
      <w:r w:rsidRPr="00F355F0">
        <w:rPr>
          <w:rFonts w:ascii="Times New Roman" w:hAnsi="Times New Roman" w:cs="Times New Roman"/>
          <w:sz w:val="16"/>
          <w:szCs w:val="16"/>
        </w:rPr>
        <w:t>, vol. 14, no. 1, pp. 28–34, Jan. 2011, doi: 10.1097/MCO.0b013e32834121b1.</w:t>
      </w:r>
    </w:p>
    <w:p w14:paraId="3A4D0B3C"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w:t>
      </w:r>
      <w:r w:rsidRPr="00F355F0">
        <w:rPr>
          <w:rFonts w:ascii="Times New Roman" w:hAnsi="Times New Roman" w:cs="Times New Roman"/>
          <w:sz w:val="16"/>
          <w:szCs w:val="16"/>
        </w:rPr>
        <w:tab/>
        <w:t xml:space="preserve">X. Wang, D. Tomso, X. Liu, and D. Bell, “Single nucleotide polymorphism in transcriptional regulatory regions and expression of environmentally responsive genes,” </w:t>
      </w:r>
      <w:r w:rsidRPr="00F355F0">
        <w:rPr>
          <w:rFonts w:ascii="Times New Roman" w:hAnsi="Times New Roman" w:cs="Times New Roman"/>
          <w:i/>
          <w:iCs/>
          <w:sz w:val="16"/>
          <w:szCs w:val="16"/>
        </w:rPr>
        <w:t>Toxicology and Applied Pharmacology</w:t>
      </w:r>
      <w:r w:rsidRPr="00F355F0">
        <w:rPr>
          <w:rFonts w:ascii="Times New Roman" w:hAnsi="Times New Roman" w:cs="Times New Roman"/>
          <w:sz w:val="16"/>
          <w:szCs w:val="16"/>
        </w:rPr>
        <w:t>, vol. 207, no. 2, pp. 84–90, Sep. 2005, doi: 10.1016/j.taap.2004.09.024.</w:t>
      </w:r>
    </w:p>
    <w:p w14:paraId="38B4CC8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[7]</w:t>
      </w:r>
      <w:r w:rsidRPr="00F355F0">
        <w:rPr>
          <w:rFonts w:ascii="Times New Roman" w:hAnsi="Times New Roman" w:cs="Times New Roman"/>
          <w:sz w:val="16"/>
          <w:szCs w:val="16"/>
        </w:rPr>
        <w:tab/>
        <w:t xml:space="preserve">M. Chen and W. Chen, “Single-nucleotide polymorphisms in medical nutritional weight loss: Challenges and future directions,” </w:t>
      </w:r>
      <w:r w:rsidRPr="00F355F0">
        <w:rPr>
          <w:rFonts w:ascii="Times New Roman" w:hAnsi="Times New Roman" w:cs="Times New Roman"/>
          <w:i/>
          <w:iCs/>
          <w:sz w:val="16"/>
          <w:szCs w:val="16"/>
        </w:rPr>
        <w:t>Journal of Translational Internal Medicine</w:t>
      </w:r>
      <w:r w:rsidRPr="00F355F0">
        <w:rPr>
          <w:rFonts w:ascii="Times New Roman" w:hAnsi="Times New Roman" w:cs="Times New Roman"/>
          <w:sz w:val="16"/>
          <w:szCs w:val="16"/>
        </w:rPr>
        <w:t>, vol. 10, no. 1, pp. 1–4, Apr. 2022, doi: 10.2478/jtim-2022-0002.</w:t>
      </w:r>
    </w:p>
    <w:p w14:paraId="0B16EE5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[8]</w:t>
      </w:r>
      <w:r w:rsidRPr="00F355F0">
        <w:rPr>
          <w:rFonts w:ascii="Times New Roman" w:hAnsi="Times New Roman" w:cs="Times New Roman"/>
          <w:sz w:val="16"/>
          <w:szCs w:val="16"/>
        </w:rPr>
        <w:tab/>
        <w:t xml:space="preserve">A. Amaro-Ortiz, B. Yan, and J. D’Orazio, “Ultraviolet Radiation, Aging and the Skin: Prevention of Damage by Topical cAMP Manipulation,” </w:t>
      </w:r>
      <w:r w:rsidRPr="00F355F0">
        <w:rPr>
          <w:rFonts w:ascii="Times New Roman" w:hAnsi="Times New Roman" w:cs="Times New Roman"/>
          <w:i/>
          <w:iCs/>
          <w:sz w:val="16"/>
          <w:szCs w:val="16"/>
        </w:rPr>
        <w:t>Molecules</w:t>
      </w:r>
      <w:r w:rsidRPr="00F355F0">
        <w:rPr>
          <w:rFonts w:ascii="Times New Roman" w:hAnsi="Times New Roman" w:cs="Times New Roman"/>
          <w:sz w:val="16"/>
          <w:szCs w:val="16"/>
        </w:rPr>
        <w:t>, vol. 19, no. 5, pp. 6202–6219, May 2014, doi: 10.3390/molecules19056202.</w:t>
      </w:r>
    </w:p>
    <w:p w14:paraId="09C292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[9]</w:t>
      </w:r>
      <w:r w:rsidRPr="00F355F0">
        <w:rPr>
          <w:rFonts w:ascii="Times New Roman" w:hAnsi="Times New Roman" w:cs="Times New Roman"/>
          <w:sz w:val="16"/>
          <w:szCs w:val="16"/>
        </w:rPr>
        <w:tab/>
        <w:t xml:space="preserve">S. Shanbhag, A. Nayak, R. Narayan, and U. Y. Nayak, “Anti-aging and Sunscreens: Paradigm Shift in Cosmetics,” </w:t>
      </w:r>
      <w:r w:rsidRPr="00F355F0">
        <w:rPr>
          <w:rFonts w:ascii="Times New Roman" w:hAnsi="Times New Roman" w:cs="Times New Roman"/>
          <w:i/>
          <w:iCs/>
          <w:sz w:val="16"/>
          <w:szCs w:val="16"/>
        </w:rPr>
        <w:t>Adv Pharm Bull</w:t>
      </w:r>
      <w:r w:rsidRPr="00F355F0">
        <w:rPr>
          <w:rFonts w:ascii="Times New Roman" w:hAnsi="Times New Roman" w:cs="Times New Roman"/>
          <w:sz w:val="16"/>
          <w:szCs w:val="16"/>
        </w:rPr>
        <w:t>, vol. 9, no. 3, pp. 348–359, Aug. 2019, doi: 10.15171/apb.2019.042.</w:t>
      </w:r>
    </w:p>
    <w:p w14:paraId="087F79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[10]</w:t>
      </w:r>
      <w:r w:rsidRPr="00F355F0">
        <w:rPr>
          <w:rFonts w:ascii="Times New Roman" w:hAnsi="Times New Roman" w:cs="Times New Roman"/>
          <w:sz w:val="16"/>
          <w:szCs w:val="16"/>
        </w:rPr>
        <w:tab/>
        <w:t xml:space="preserve">A. Amaro-Ortiz, B. Yan, and J. D’Orazio, “Ultraviolet Radiation, Aging and the Skin: Prevention of Damage by Topical cAMP Manipulation,” </w:t>
      </w:r>
      <w:r w:rsidRPr="00F355F0">
        <w:rPr>
          <w:rFonts w:ascii="Times New Roman" w:hAnsi="Times New Roman" w:cs="Times New Roman"/>
          <w:i/>
          <w:iCs/>
          <w:sz w:val="16"/>
          <w:szCs w:val="16"/>
        </w:rPr>
        <w:t>Molecules</w:t>
      </w:r>
      <w:r w:rsidRPr="00F355F0">
        <w:rPr>
          <w:rFonts w:ascii="Times New Roman" w:hAnsi="Times New Roman" w:cs="Times New Roman"/>
          <w:sz w:val="16"/>
          <w:szCs w:val="16"/>
        </w:rPr>
        <w:t>, vol. 19, no. 5, pp. 6202–6219, May 2014, doi: 10.3390/molecules19056202.</w:t>
      </w:r>
    </w:p>
    <w:p w14:paraId="1D618BF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[11]</w:t>
      </w:r>
      <w:r w:rsidRPr="00F355F0">
        <w:rPr>
          <w:rFonts w:ascii="Times New Roman" w:hAnsi="Times New Roman" w:cs="Times New Roman"/>
          <w:sz w:val="16"/>
          <w:szCs w:val="16"/>
        </w:rPr>
        <w:tab/>
        <w:t xml:space="preserve">G. D. Goodman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“Impact of Smoking and Alcohol Use on Facial Aging in Women: Results of a Large Multinational, Multiracial, Cross-sectional Survey,” </w:t>
      </w:r>
      <w:r w:rsidRPr="00F355F0">
        <w:rPr>
          <w:rFonts w:ascii="Times New Roman" w:hAnsi="Times New Roman" w:cs="Times New Roman"/>
          <w:i/>
          <w:iCs/>
          <w:sz w:val="16"/>
          <w:szCs w:val="16"/>
        </w:rPr>
        <w:t>J Clin Aesthet Dermatol</w:t>
      </w:r>
      <w:r w:rsidRPr="00F355F0">
        <w:rPr>
          <w:rFonts w:ascii="Times New Roman" w:hAnsi="Times New Roman" w:cs="Times New Roman"/>
          <w:sz w:val="16"/>
          <w:szCs w:val="16"/>
        </w:rPr>
        <w:t>, vol. 12, no. 8, pp. 28–39, Aug. 2019.</w:t>
      </w:r>
    </w:p>
    <w:p w14:paraId="4243158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[12]</w:t>
      </w:r>
      <w:r w:rsidRPr="00F355F0">
        <w:rPr>
          <w:rFonts w:ascii="Times New Roman" w:hAnsi="Times New Roman" w:cs="Times New Roman"/>
          <w:sz w:val="16"/>
          <w:szCs w:val="16"/>
        </w:rPr>
        <w:tab/>
        <w:t xml:space="preserve">A. Villiers-Tuthill, A. Copley, H. McGee, and K. Morgan, “The relationship of tobacco and alcohol use with ageing self-perceptions in older people in Ireland,” </w:t>
      </w:r>
      <w:r w:rsidRPr="00F355F0">
        <w:rPr>
          <w:rFonts w:ascii="Times New Roman" w:hAnsi="Times New Roman" w:cs="Times New Roman"/>
          <w:i/>
          <w:iCs/>
          <w:sz w:val="16"/>
          <w:szCs w:val="16"/>
        </w:rPr>
        <w:t>BMC Public Health</w:t>
      </w:r>
      <w:r w:rsidRPr="00F355F0">
        <w:rPr>
          <w:rFonts w:ascii="Times New Roman" w:hAnsi="Times New Roman" w:cs="Times New Roman"/>
          <w:sz w:val="16"/>
          <w:szCs w:val="16"/>
        </w:rPr>
        <w:t>, vol. 16, no. 1, p. 627, Dec. 2016, doi: 10.1186/s12889-016-3158-y.</w:t>
      </w:r>
    </w:p>
    <w:p w14:paraId="229E195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[13]</w:t>
      </w:r>
      <w:r w:rsidRPr="00F355F0">
        <w:rPr>
          <w:rFonts w:ascii="Times New Roman" w:hAnsi="Times New Roman" w:cs="Times New Roman"/>
          <w:sz w:val="16"/>
          <w:szCs w:val="16"/>
        </w:rPr>
        <w:tab/>
        <w:t xml:space="preserve">B. L. Tan, M. E. Norhaizan, W.-P.-P. Liew, and H. Sulaiman Rahman, “Antioxidant and Oxidative Stress: A Mutual Interplay in Age-Related Diseases,” </w:t>
      </w:r>
      <w:r w:rsidRPr="00F355F0">
        <w:rPr>
          <w:rFonts w:ascii="Times New Roman" w:hAnsi="Times New Roman" w:cs="Times New Roman"/>
          <w:i/>
          <w:iCs/>
          <w:sz w:val="16"/>
          <w:szCs w:val="16"/>
        </w:rPr>
        <w:t>Front. Pharmacol.</w:t>
      </w:r>
      <w:r w:rsidRPr="00F355F0">
        <w:rPr>
          <w:rFonts w:ascii="Times New Roman" w:hAnsi="Times New Roman" w:cs="Times New Roman"/>
          <w:sz w:val="16"/>
          <w:szCs w:val="16"/>
        </w:rPr>
        <w:t>, vol. 9, p. 1162, Oct. 2018, doi: 10.3389/fphar.2018.01162.</w:t>
      </w:r>
    </w:p>
    <w:p w14:paraId="263DE52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[14]</w:t>
      </w:r>
      <w:r w:rsidRPr="00F355F0">
        <w:rPr>
          <w:rFonts w:ascii="Times New Roman" w:hAnsi="Times New Roman" w:cs="Times New Roman"/>
          <w:sz w:val="16"/>
          <w:szCs w:val="16"/>
        </w:rPr>
        <w:tab/>
        <w:t xml:space="preserve">V. Lobo, A. Patil, A. Phatak, and N. Chandra, “Free radicals, antioxidants and functional foods: Impact on human health,” </w:t>
      </w:r>
      <w:r w:rsidRPr="00F355F0">
        <w:rPr>
          <w:rFonts w:ascii="Times New Roman" w:hAnsi="Times New Roman" w:cs="Times New Roman"/>
          <w:i/>
          <w:iCs/>
          <w:sz w:val="16"/>
          <w:szCs w:val="16"/>
        </w:rPr>
        <w:t>Phcog Rev</w:t>
      </w:r>
      <w:r w:rsidRPr="00F355F0">
        <w:rPr>
          <w:rFonts w:ascii="Times New Roman" w:hAnsi="Times New Roman" w:cs="Times New Roman"/>
          <w:sz w:val="16"/>
          <w:szCs w:val="16"/>
        </w:rPr>
        <w:t>, vol. 4, no. 8, p. 118, 2010, doi: 10.4103/0973-7847.70902.</w:t>
      </w:r>
    </w:p>
    <w:p w14:paraId="2F8D1A3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[15]</w:t>
      </w:r>
      <w:r w:rsidRPr="00F355F0">
        <w:rPr>
          <w:rFonts w:ascii="Times New Roman" w:hAnsi="Times New Roman" w:cs="Times New Roman"/>
          <w:sz w:val="16"/>
          <w:szCs w:val="16"/>
        </w:rPr>
        <w:tab/>
        <w:t xml:space="preserve">K. Pinckard, K. K. Baskin, and K. I. Stanford, “Effects of Exercise to Improve Cardiovascular Health,” </w:t>
      </w:r>
      <w:r w:rsidRPr="00F355F0">
        <w:rPr>
          <w:rFonts w:ascii="Times New Roman" w:hAnsi="Times New Roman" w:cs="Times New Roman"/>
          <w:i/>
          <w:iCs/>
          <w:sz w:val="16"/>
          <w:szCs w:val="16"/>
        </w:rPr>
        <w:t>Front. Cardiovasc. Med.</w:t>
      </w:r>
      <w:r w:rsidRPr="00F355F0">
        <w:rPr>
          <w:rFonts w:ascii="Times New Roman" w:hAnsi="Times New Roman" w:cs="Times New Roman"/>
          <w:sz w:val="16"/>
          <w:szCs w:val="16"/>
        </w:rPr>
        <w:t>, vol. 6, p. 69, Jun. 2019, doi: 10.3389/fcvm.2019.00069.</w:t>
      </w:r>
    </w:p>
    <w:p w14:paraId="5334161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[16]</w:t>
      </w:r>
      <w:r w:rsidRPr="00F355F0">
        <w:rPr>
          <w:rFonts w:ascii="Times New Roman" w:hAnsi="Times New Roman" w:cs="Times New Roman"/>
          <w:sz w:val="16"/>
          <w:szCs w:val="16"/>
        </w:rPr>
        <w:tab/>
        <w:t xml:space="preserve">M. A. Nystoriak and A. Bhatnagar, “Cardiovascular Effects and Benefits of Exercise,” </w:t>
      </w:r>
      <w:r w:rsidRPr="00F355F0">
        <w:rPr>
          <w:rFonts w:ascii="Times New Roman" w:hAnsi="Times New Roman" w:cs="Times New Roman"/>
          <w:i/>
          <w:iCs/>
          <w:sz w:val="16"/>
          <w:szCs w:val="16"/>
        </w:rPr>
        <w:t>Front. Cardiovasc. Med.</w:t>
      </w:r>
      <w:r w:rsidRPr="00F355F0">
        <w:rPr>
          <w:rFonts w:ascii="Times New Roman" w:hAnsi="Times New Roman" w:cs="Times New Roman"/>
          <w:sz w:val="16"/>
          <w:szCs w:val="16"/>
        </w:rPr>
        <w:t>, vol. 5, p. 135, Sep. 2018, doi: 10.3389/fcvm.2018.00135.</w:t>
      </w:r>
    </w:p>
    <w:p w14:paraId="10401CD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[17]</w:t>
      </w:r>
      <w:r w:rsidRPr="00F355F0">
        <w:rPr>
          <w:rFonts w:ascii="Times New Roman" w:hAnsi="Times New Roman" w:cs="Times New Roman"/>
          <w:sz w:val="16"/>
          <w:szCs w:val="16"/>
        </w:rPr>
        <w:tab/>
        <w:t xml:space="preserve">M. G. Benedetti, G. Furlini, A. Zati, and G. Letizia Mauro, “The Effectiveness of Physical Exercise on Bone Density in Osteoporotic Patients,” </w:t>
      </w:r>
      <w:r w:rsidRPr="00F355F0">
        <w:rPr>
          <w:rFonts w:ascii="Times New Roman" w:hAnsi="Times New Roman" w:cs="Times New Roman"/>
          <w:i/>
          <w:iCs/>
          <w:sz w:val="16"/>
          <w:szCs w:val="16"/>
        </w:rPr>
        <w:t>BioMed Research International</w:t>
      </w:r>
      <w:r w:rsidRPr="00F355F0">
        <w:rPr>
          <w:rFonts w:ascii="Times New Roman" w:hAnsi="Times New Roman" w:cs="Times New Roman"/>
          <w:sz w:val="16"/>
          <w:szCs w:val="16"/>
        </w:rPr>
        <w:t>, vol. 2018, pp. 1–10, Dec. 2018, doi: 10.1155/2018/4840531.</w:t>
      </w:r>
    </w:p>
    <w:p w14:paraId="06A0201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[18]</w:t>
      </w:r>
      <w:r w:rsidRPr="00F355F0">
        <w:rPr>
          <w:rFonts w:ascii="Times New Roman" w:hAnsi="Times New Roman" w:cs="Times New Roman"/>
          <w:sz w:val="16"/>
          <w:szCs w:val="16"/>
        </w:rPr>
        <w:tab/>
        <w:t xml:space="preserve">G. Distefano and B. H. Goodpaster, “Effects of Exercise and Aging on Skeletal Muscle,” </w:t>
      </w:r>
      <w:r w:rsidRPr="00F355F0">
        <w:rPr>
          <w:rFonts w:ascii="Times New Roman" w:hAnsi="Times New Roman" w:cs="Times New Roman"/>
          <w:i/>
          <w:iCs/>
          <w:sz w:val="16"/>
          <w:szCs w:val="16"/>
        </w:rPr>
        <w:t>Cold Spring Harb Perspect Med</w:t>
      </w:r>
      <w:r w:rsidRPr="00F355F0">
        <w:rPr>
          <w:rFonts w:ascii="Times New Roman" w:hAnsi="Times New Roman" w:cs="Times New Roman"/>
          <w:sz w:val="16"/>
          <w:szCs w:val="16"/>
        </w:rPr>
        <w:t>, vol. 8, no. 3, p. a029785, Mar. 2018, doi: 10.1101/cshperspect.a029785.</w:t>
      </w:r>
    </w:p>
    <w:p w14:paraId="47FB784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[19]</w:t>
      </w:r>
      <w:r w:rsidRPr="00F355F0">
        <w:rPr>
          <w:rFonts w:ascii="Times New Roman" w:hAnsi="Times New Roman" w:cs="Times New Roman"/>
          <w:sz w:val="16"/>
          <w:szCs w:val="16"/>
        </w:rPr>
        <w:tab/>
        <w:t xml:space="preserve">D. E. R. Warburton, C. W. Nicol, and S. S. D. Bredin, “Health benefits of physical activity: the evidence,” </w:t>
      </w:r>
      <w:r w:rsidRPr="00F355F0">
        <w:rPr>
          <w:rFonts w:ascii="Times New Roman" w:hAnsi="Times New Roman" w:cs="Times New Roman"/>
          <w:i/>
          <w:iCs/>
          <w:sz w:val="16"/>
          <w:szCs w:val="16"/>
        </w:rPr>
        <w:t>CMAJ</w:t>
      </w:r>
      <w:r w:rsidRPr="00F355F0">
        <w:rPr>
          <w:rFonts w:ascii="Times New Roman" w:hAnsi="Times New Roman" w:cs="Times New Roman"/>
          <w:sz w:val="16"/>
          <w:szCs w:val="16"/>
        </w:rPr>
        <w:t>, vol. 174, no. 6, pp. 801–809, Mar. 2006, doi: 10.1503/cmaj.051351.</w:t>
      </w:r>
    </w:p>
    <w:p w14:paraId="154233E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[20]</w:t>
      </w:r>
      <w:r w:rsidRPr="00F355F0">
        <w:rPr>
          <w:rFonts w:ascii="Times New Roman" w:hAnsi="Times New Roman" w:cs="Times New Roman"/>
          <w:sz w:val="16"/>
          <w:szCs w:val="16"/>
        </w:rPr>
        <w:tab/>
        <w:t xml:space="preserve">P. Alhola and P. Polo-Kantola, “Sleep deprivation: Impact on cognitive performance,” </w:t>
      </w:r>
      <w:r w:rsidRPr="00F355F0">
        <w:rPr>
          <w:rFonts w:ascii="Times New Roman" w:hAnsi="Times New Roman" w:cs="Times New Roman"/>
          <w:i/>
          <w:iCs/>
          <w:sz w:val="16"/>
          <w:szCs w:val="16"/>
        </w:rPr>
        <w:t>Neuropsychiatr Dis Treat</w:t>
      </w:r>
      <w:r w:rsidRPr="00F355F0">
        <w:rPr>
          <w:rFonts w:ascii="Times New Roman" w:hAnsi="Times New Roman" w:cs="Times New Roman"/>
          <w:sz w:val="16"/>
          <w:szCs w:val="16"/>
        </w:rPr>
        <w:t>, vol. 3, no. 5, pp. 553–567, 2007.</w:t>
      </w:r>
    </w:p>
    <w:p w14:paraId="27CE054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[21]</w:t>
      </w:r>
      <w:r w:rsidRPr="00F355F0">
        <w:rPr>
          <w:rFonts w:ascii="Times New Roman" w:hAnsi="Times New Roman" w:cs="Times New Roman"/>
          <w:sz w:val="16"/>
          <w:szCs w:val="16"/>
        </w:rPr>
        <w:tab/>
        <w:t xml:space="preserve">L. Xie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“Sleep drives metabolite clearance from the adult brain,” </w:t>
      </w:r>
      <w:r w:rsidRPr="00F355F0">
        <w:rPr>
          <w:rFonts w:ascii="Times New Roman" w:hAnsi="Times New Roman" w:cs="Times New Roman"/>
          <w:i/>
          <w:iCs/>
          <w:sz w:val="16"/>
          <w:szCs w:val="16"/>
        </w:rPr>
        <w:t>Science</w:t>
      </w:r>
      <w:r w:rsidRPr="00F355F0">
        <w:rPr>
          <w:rFonts w:ascii="Times New Roman" w:hAnsi="Times New Roman" w:cs="Times New Roman"/>
          <w:sz w:val="16"/>
          <w:szCs w:val="16"/>
        </w:rPr>
        <w:t>, vol. 342, no. 6156, pp. 373–377, Oct. 2013, doi: 10.1126/science.1241224.</w:t>
      </w:r>
    </w:p>
    <w:p w14:paraId="25AD3EE6"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[22]</w:t>
      </w:r>
      <w:r w:rsidRPr="00F355F0">
        <w:rPr>
          <w:rFonts w:ascii="Times New Roman" w:hAnsi="Times New Roman" w:cs="Times New Roman"/>
          <w:sz w:val="16"/>
          <w:szCs w:val="16"/>
        </w:rPr>
        <w:tab/>
        <w:t xml:space="preserve">A. Brunet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“Stress-Dependent Regulation of FOXO Transcription Factors by the SIRT1 Deacetylase,” </w:t>
      </w:r>
      <w:r w:rsidRPr="00F355F0">
        <w:rPr>
          <w:rFonts w:ascii="Times New Roman" w:hAnsi="Times New Roman" w:cs="Times New Roman"/>
          <w:i/>
          <w:iCs/>
          <w:sz w:val="16"/>
          <w:szCs w:val="16"/>
        </w:rPr>
        <w:t>Science</w:t>
      </w:r>
      <w:r w:rsidRPr="00F355F0">
        <w:rPr>
          <w:rFonts w:ascii="Times New Roman" w:hAnsi="Times New Roman" w:cs="Times New Roman"/>
          <w:sz w:val="16"/>
          <w:szCs w:val="16"/>
        </w:rPr>
        <w:t>, vol. 303, no. 5666, pp. 2011–2015, Mar. 2004, doi: 10.1126/science.1094637.</w:t>
      </w:r>
    </w:p>
    <w:p w14:paraId="0252C9B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[23]</w:t>
      </w:r>
      <w:r w:rsidRPr="00F355F0">
        <w:rPr>
          <w:rFonts w:ascii="Times New Roman" w:hAnsi="Times New Roman" w:cs="Times New Roman"/>
          <w:sz w:val="16"/>
          <w:szCs w:val="16"/>
        </w:rPr>
        <w:tab/>
        <w:t xml:space="preserve">T. S. Gopenath, S. Shreshtha, and K. M. Basalingappa, “Telomerase reactivation for anti-aging,” in </w:t>
      </w:r>
      <w:r w:rsidRPr="00F355F0">
        <w:rPr>
          <w:rFonts w:ascii="Times New Roman" w:hAnsi="Times New Roman" w:cs="Times New Roman"/>
          <w:i/>
          <w:iCs/>
          <w:sz w:val="16"/>
          <w:szCs w:val="16"/>
        </w:rPr>
        <w:t>Anti-Aging Drug Discovery on the Basis of Hallmarks of Aging</w:t>
      </w:r>
      <w:r w:rsidRPr="00F355F0">
        <w:rPr>
          <w:rFonts w:ascii="Times New Roman" w:hAnsi="Times New Roman" w:cs="Times New Roman"/>
          <w:sz w:val="16"/>
          <w:szCs w:val="16"/>
        </w:rPr>
        <w:t>, Elsevier, 2022, pp. 113–125. doi: 10.1016/B978-0-323-90235-9.00005-7.</w:t>
      </w:r>
    </w:p>
    <w:p w14:paraId="3D10070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[24]</w:t>
      </w:r>
      <w:r w:rsidRPr="00F355F0">
        <w:rPr>
          <w:rFonts w:ascii="Times New Roman" w:hAnsi="Times New Roman" w:cs="Times New Roman"/>
          <w:sz w:val="16"/>
          <w:szCs w:val="16"/>
        </w:rPr>
        <w:tab/>
        <w:t xml:space="preserve">M. Jaskelioff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“Telomerase reactivation reverses tissue degeneration in aged telomerase-deficient mice,” </w:t>
      </w:r>
      <w:r w:rsidRPr="00F355F0">
        <w:rPr>
          <w:rFonts w:ascii="Times New Roman" w:hAnsi="Times New Roman" w:cs="Times New Roman"/>
          <w:i/>
          <w:iCs/>
          <w:sz w:val="16"/>
          <w:szCs w:val="16"/>
        </w:rPr>
        <w:t>Nature</w:t>
      </w:r>
      <w:r w:rsidRPr="00F355F0">
        <w:rPr>
          <w:rFonts w:ascii="Times New Roman" w:hAnsi="Times New Roman" w:cs="Times New Roman"/>
          <w:sz w:val="16"/>
          <w:szCs w:val="16"/>
        </w:rPr>
        <w:t>, vol. 469, no. 7328, pp. 102–106, Jan. 2011, doi: 10.1038/nature09603.</w:t>
      </w:r>
    </w:p>
    <w:p w14:paraId="2AEA8A3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[25]</w:t>
      </w:r>
      <w:r w:rsidRPr="00F355F0">
        <w:rPr>
          <w:rFonts w:ascii="Times New Roman" w:hAnsi="Times New Roman" w:cs="Times New Roman"/>
          <w:sz w:val="16"/>
          <w:szCs w:val="16"/>
        </w:rPr>
        <w:tab/>
        <w:t xml:space="preserve">H.-J. Gruber, M. D. Semeraro, W. Renner, and M. Herrmann, “Telomeres and Age-Related Diseases,” </w:t>
      </w:r>
      <w:r w:rsidRPr="00F355F0">
        <w:rPr>
          <w:rFonts w:ascii="Times New Roman" w:hAnsi="Times New Roman" w:cs="Times New Roman"/>
          <w:i/>
          <w:iCs/>
          <w:sz w:val="16"/>
          <w:szCs w:val="16"/>
        </w:rPr>
        <w:t>Biomedicines</w:t>
      </w:r>
      <w:r w:rsidRPr="00F355F0">
        <w:rPr>
          <w:rFonts w:ascii="Times New Roman" w:hAnsi="Times New Roman" w:cs="Times New Roman"/>
          <w:sz w:val="16"/>
          <w:szCs w:val="16"/>
        </w:rPr>
        <w:t>, vol. 9, no. 10, p. 1335, Sep. 2021, doi: 10.3390/biomedicines9101335.</w:t>
      </w:r>
    </w:p>
    <w:p w14:paraId="02C41A7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[26]</w:t>
      </w:r>
      <w:r w:rsidRPr="00F355F0">
        <w:rPr>
          <w:rFonts w:ascii="Times New Roman" w:hAnsi="Times New Roman" w:cs="Times New Roman"/>
          <w:sz w:val="16"/>
          <w:szCs w:val="16"/>
        </w:rPr>
        <w:tab/>
        <w:t xml:space="preserve">S. Maynard, E. F. Fang, M. Scheibye-Knudsen, D. L. Croteau, and V. A. Bohr, “DNA Damage, DNA Repair, Aging, and Neurodegeneration,” </w:t>
      </w:r>
      <w:r w:rsidRPr="00F355F0">
        <w:rPr>
          <w:rFonts w:ascii="Times New Roman" w:hAnsi="Times New Roman" w:cs="Times New Roman"/>
          <w:i/>
          <w:iCs/>
          <w:sz w:val="16"/>
          <w:szCs w:val="16"/>
        </w:rPr>
        <w:t>Cold Spring Harb Perspect Med</w:t>
      </w:r>
      <w:r w:rsidRPr="00F355F0">
        <w:rPr>
          <w:rFonts w:ascii="Times New Roman" w:hAnsi="Times New Roman" w:cs="Times New Roman"/>
          <w:sz w:val="16"/>
          <w:szCs w:val="16"/>
        </w:rPr>
        <w:t>, vol. 5, no. 10, p. a025130, Oct. 2015, doi: 10.1101/cshperspect.a025130.</w:t>
      </w:r>
    </w:p>
    <w:p w14:paraId="38384EE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[27]</w:t>
      </w:r>
      <w:r w:rsidRPr="00F355F0">
        <w:rPr>
          <w:rFonts w:ascii="Times New Roman" w:hAnsi="Times New Roman" w:cs="Times New Roman"/>
          <w:sz w:val="16"/>
          <w:szCs w:val="16"/>
        </w:rPr>
        <w:tab/>
        <w:t xml:space="preserve">J. Vijg, “Aging genomes: A necessary evil in the logic of life: Prospects &amp; Overviews,” </w:t>
      </w:r>
      <w:r w:rsidRPr="00F355F0">
        <w:rPr>
          <w:rFonts w:ascii="Times New Roman" w:hAnsi="Times New Roman" w:cs="Times New Roman"/>
          <w:i/>
          <w:iCs/>
          <w:sz w:val="16"/>
          <w:szCs w:val="16"/>
        </w:rPr>
        <w:t>BioEssays</w:t>
      </w:r>
      <w:r w:rsidRPr="00F355F0">
        <w:rPr>
          <w:rFonts w:ascii="Times New Roman" w:hAnsi="Times New Roman" w:cs="Times New Roman"/>
          <w:sz w:val="16"/>
          <w:szCs w:val="16"/>
        </w:rPr>
        <w:t>, vol. 36, no. 3, pp. 282–292, Mar. 2014, doi: 10.1002/bies.201300127.</w:t>
      </w:r>
    </w:p>
    <w:p w14:paraId="6338B21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[28]</w:t>
      </w:r>
      <w:r w:rsidRPr="00F355F0">
        <w:rPr>
          <w:rFonts w:ascii="Times New Roman" w:hAnsi="Times New Roman" w:cs="Times New Roman"/>
          <w:sz w:val="16"/>
          <w:szCs w:val="16"/>
        </w:rPr>
        <w:tab/>
        <w:t xml:space="preserve">Y. Zhao, M. Simon, A. Seluanov, and V. Gorbunova, “DNA damage and repair in age-related inflammation,” </w:t>
      </w:r>
      <w:r w:rsidRPr="00F355F0">
        <w:rPr>
          <w:rFonts w:ascii="Times New Roman" w:hAnsi="Times New Roman" w:cs="Times New Roman"/>
          <w:i/>
          <w:iCs/>
          <w:sz w:val="16"/>
          <w:szCs w:val="16"/>
        </w:rPr>
        <w:t>Nat Rev Immunol</w:t>
      </w:r>
      <w:r w:rsidRPr="00F355F0">
        <w:rPr>
          <w:rFonts w:ascii="Times New Roman" w:hAnsi="Times New Roman" w:cs="Times New Roman"/>
          <w:sz w:val="16"/>
          <w:szCs w:val="16"/>
        </w:rPr>
        <w:t>, vol. 23, no. 2, pp. 75–89, Feb. 2023, doi: 10.1038/s41577-022-00751-y.</w:t>
      </w:r>
    </w:p>
    <w:p w14:paraId="11140A1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[29]</w:t>
      </w:r>
      <w:r w:rsidRPr="00F355F0">
        <w:rPr>
          <w:rFonts w:ascii="Times New Roman" w:hAnsi="Times New Roman" w:cs="Times New Roman"/>
          <w:sz w:val="16"/>
          <w:szCs w:val="16"/>
        </w:rPr>
        <w:tab/>
        <w:t xml:space="preserve">D. McHugh and J. Gil, “Senescence and aging: Causes, consequences, and therapeutic avenues,” </w:t>
      </w:r>
      <w:r w:rsidRPr="00F355F0">
        <w:rPr>
          <w:rFonts w:ascii="Times New Roman" w:hAnsi="Times New Roman" w:cs="Times New Roman"/>
          <w:i/>
          <w:iCs/>
          <w:sz w:val="16"/>
          <w:szCs w:val="16"/>
        </w:rPr>
        <w:t>Journal of Cell Biology</w:t>
      </w:r>
      <w:r w:rsidRPr="00F355F0">
        <w:rPr>
          <w:rFonts w:ascii="Times New Roman" w:hAnsi="Times New Roman" w:cs="Times New Roman"/>
          <w:sz w:val="16"/>
          <w:szCs w:val="16"/>
        </w:rPr>
        <w:t>, vol. 217, no. 1, pp. 65–77, Jan. 2018, doi: 10.1083/jcb.201708092.</w:t>
      </w:r>
    </w:p>
    <w:p w14:paraId="48D4255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[30]</w:t>
      </w:r>
      <w:r w:rsidRPr="00F355F0">
        <w:rPr>
          <w:rFonts w:ascii="Times New Roman" w:hAnsi="Times New Roman" w:cs="Times New Roman"/>
          <w:sz w:val="16"/>
          <w:szCs w:val="16"/>
        </w:rPr>
        <w:tab/>
        <w:t xml:space="preserve">J. M. Van Deursen, “The role of senescent cells in ageing,” </w:t>
      </w:r>
      <w:r w:rsidRPr="00F355F0">
        <w:rPr>
          <w:rFonts w:ascii="Times New Roman" w:hAnsi="Times New Roman" w:cs="Times New Roman"/>
          <w:i/>
          <w:iCs/>
          <w:sz w:val="16"/>
          <w:szCs w:val="16"/>
        </w:rPr>
        <w:t>Nature</w:t>
      </w:r>
      <w:r w:rsidRPr="00F355F0">
        <w:rPr>
          <w:rFonts w:ascii="Times New Roman" w:hAnsi="Times New Roman" w:cs="Times New Roman"/>
          <w:sz w:val="16"/>
          <w:szCs w:val="16"/>
        </w:rPr>
        <w:t>, vol. 509, no. 7501, pp. 439–446, May 2014, doi: 10.1038/nature13193.</w:t>
      </w:r>
    </w:p>
    <w:p w14:paraId="0DA966A8"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[31]</w:t>
      </w:r>
      <w:r w:rsidRPr="00F355F0">
        <w:rPr>
          <w:rFonts w:ascii="Times New Roman" w:hAnsi="Times New Roman" w:cs="Times New Roman"/>
          <w:sz w:val="16"/>
          <w:szCs w:val="16"/>
        </w:rPr>
        <w:tab/>
        <w:t xml:space="preserve">E. O. Wissler Gerdes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“Cellular senescence in aging and age-related diseases: Implications for neurodegenerative diseases,” in </w:t>
      </w:r>
      <w:r w:rsidRPr="00F355F0">
        <w:rPr>
          <w:rFonts w:ascii="Times New Roman" w:hAnsi="Times New Roman" w:cs="Times New Roman"/>
          <w:i/>
          <w:iCs/>
          <w:sz w:val="16"/>
          <w:szCs w:val="16"/>
        </w:rPr>
        <w:t>International Review of Neurobiology</w:t>
      </w:r>
      <w:r w:rsidRPr="00F355F0">
        <w:rPr>
          <w:rFonts w:ascii="Times New Roman" w:hAnsi="Times New Roman" w:cs="Times New Roman"/>
          <w:sz w:val="16"/>
          <w:szCs w:val="16"/>
        </w:rPr>
        <w:t>, Elsevier, 2020, pp. 203–234. doi: 10.1016/bs.irn.2020.03.019.</w:t>
      </w:r>
    </w:p>
    <w:p w14:paraId="36D3EBA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[32]</w:t>
      </w:r>
      <w:r w:rsidRPr="00F355F0">
        <w:rPr>
          <w:rFonts w:ascii="Times New Roman" w:hAnsi="Times New Roman" w:cs="Times New Roman"/>
          <w:sz w:val="16"/>
          <w:szCs w:val="16"/>
        </w:rPr>
        <w:tab/>
        <w:t xml:space="preserve">A. Mylonas and A. O’Loghlen, “Cellular Senescence and Ageing: Mechanisms and Interventions,” </w:t>
      </w:r>
      <w:r w:rsidRPr="00F355F0">
        <w:rPr>
          <w:rFonts w:ascii="Times New Roman" w:hAnsi="Times New Roman" w:cs="Times New Roman"/>
          <w:i/>
          <w:iCs/>
          <w:sz w:val="16"/>
          <w:szCs w:val="16"/>
        </w:rPr>
        <w:t>Front. Aging</w:t>
      </w:r>
      <w:r w:rsidRPr="00F355F0">
        <w:rPr>
          <w:rFonts w:ascii="Times New Roman" w:hAnsi="Times New Roman" w:cs="Times New Roman"/>
          <w:sz w:val="16"/>
          <w:szCs w:val="16"/>
        </w:rPr>
        <w:t>, vol. 3, p. 866718, Mar. 2022, doi: 10.3389/fragi.2022.866718.</w:t>
      </w:r>
    </w:p>
    <w:p w14:paraId="7B0487C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[33]</w:t>
      </w:r>
      <w:r w:rsidRPr="00F355F0">
        <w:rPr>
          <w:rFonts w:ascii="Times New Roman" w:hAnsi="Times New Roman" w:cs="Times New Roman"/>
          <w:sz w:val="16"/>
          <w:szCs w:val="16"/>
        </w:rPr>
        <w:tab/>
        <w:t xml:space="preserve">P. Caiafa, T. Guastafierro, and M. Zampieri, “Epigenetics: poly(ADP‐ribosyl)ation of PARP‐1 regulates genomic methylation patterns,” </w:t>
      </w:r>
      <w:r w:rsidRPr="00F355F0">
        <w:rPr>
          <w:rFonts w:ascii="Times New Roman" w:hAnsi="Times New Roman" w:cs="Times New Roman"/>
          <w:i/>
          <w:iCs/>
          <w:sz w:val="16"/>
          <w:szCs w:val="16"/>
        </w:rPr>
        <w:t>FASEB j.</w:t>
      </w:r>
      <w:r w:rsidRPr="00F355F0">
        <w:rPr>
          <w:rFonts w:ascii="Times New Roman" w:hAnsi="Times New Roman" w:cs="Times New Roman"/>
          <w:sz w:val="16"/>
          <w:szCs w:val="16"/>
        </w:rPr>
        <w:t>, vol. 23, no. 3, pp. 672–678, Mar. 2009, doi: 10.1096/fj.08-123265.</w:t>
      </w:r>
    </w:p>
    <w:p w14:paraId="77DB131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[34]</w:t>
      </w:r>
      <w:r w:rsidRPr="00F355F0">
        <w:rPr>
          <w:rFonts w:ascii="Times New Roman" w:hAnsi="Times New Roman" w:cs="Times New Roman"/>
          <w:sz w:val="16"/>
          <w:szCs w:val="16"/>
        </w:rPr>
        <w:tab/>
        <w:t xml:space="preserve">K. D. Robertson, “DNA methylation and human disease,” </w:t>
      </w:r>
      <w:r w:rsidRPr="00F355F0">
        <w:rPr>
          <w:rFonts w:ascii="Times New Roman" w:hAnsi="Times New Roman" w:cs="Times New Roman"/>
          <w:i/>
          <w:iCs/>
          <w:sz w:val="16"/>
          <w:szCs w:val="16"/>
        </w:rPr>
        <w:t>Nat Rev Genet</w:t>
      </w:r>
      <w:r w:rsidRPr="00F355F0">
        <w:rPr>
          <w:rFonts w:ascii="Times New Roman" w:hAnsi="Times New Roman" w:cs="Times New Roman"/>
          <w:sz w:val="16"/>
          <w:szCs w:val="16"/>
        </w:rPr>
        <w:t>, vol. 6, no. 8, pp. 597–610, Aug. 2005, doi: 10.1038/nrg1655.</w:t>
      </w:r>
    </w:p>
    <w:p w14:paraId="2A788C8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lastRenderedPageBreak/>
        <w:t>[35]</w:t>
      </w:r>
      <w:r w:rsidRPr="00F355F0">
        <w:rPr>
          <w:rFonts w:ascii="Times New Roman" w:hAnsi="Times New Roman" w:cs="Times New Roman"/>
          <w:sz w:val="16"/>
          <w:szCs w:val="16"/>
        </w:rPr>
        <w:tab/>
        <w:t xml:space="preserve">J. L. Miller and P. A. Grant, “The Role of DNA Methylation and Histone Modifications in Transcriptional Regulation in Humans,” in </w:t>
      </w:r>
      <w:r w:rsidRPr="00F355F0">
        <w:rPr>
          <w:rFonts w:ascii="Times New Roman" w:hAnsi="Times New Roman" w:cs="Times New Roman"/>
          <w:i/>
          <w:iCs/>
          <w:sz w:val="16"/>
          <w:szCs w:val="16"/>
        </w:rPr>
        <w:t>Epigenetics: Development and Disease</w:t>
      </w:r>
      <w:r w:rsidRPr="00F355F0">
        <w:rPr>
          <w:rFonts w:ascii="Times New Roman" w:hAnsi="Times New Roman" w:cs="Times New Roman"/>
          <w:sz w:val="16"/>
          <w:szCs w:val="16"/>
        </w:rPr>
        <w:t>, T. K. Kundu, Ed., in Subcellular Biochemistry, vol. 61. Dordrecht: Springer Netherlands, 2013, pp. 289–317. doi: 10.1007/978-94-007-4525-4_13.</w:t>
      </w:r>
    </w:p>
    <w:p w14:paraId="6DB33CC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[36]</w:t>
      </w:r>
      <w:r w:rsidRPr="00F355F0">
        <w:rPr>
          <w:rFonts w:ascii="Times New Roman" w:hAnsi="Times New Roman" w:cs="Times New Roman"/>
          <w:sz w:val="16"/>
          <w:szCs w:val="16"/>
        </w:rPr>
        <w:tab/>
        <w:t xml:space="preserve">E. Della Bella, J. Koch, and K. Baerenfaller, “Translation and emerging functions of non‐coding RNAs in inflammation and immunity,” </w:t>
      </w:r>
      <w:r w:rsidRPr="00F355F0">
        <w:rPr>
          <w:rFonts w:ascii="Times New Roman" w:hAnsi="Times New Roman" w:cs="Times New Roman"/>
          <w:i/>
          <w:iCs/>
          <w:sz w:val="16"/>
          <w:szCs w:val="16"/>
        </w:rPr>
        <w:t>Allergy</w:t>
      </w:r>
      <w:r w:rsidRPr="00F355F0">
        <w:rPr>
          <w:rFonts w:ascii="Times New Roman" w:hAnsi="Times New Roman" w:cs="Times New Roman"/>
          <w:sz w:val="16"/>
          <w:szCs w:val="16"/>
        </w:rPr>
        <w:t>, vol. 77, no. 7, pp. 2025–2037, Jul. 2022, doi: 10.1111/all.15234.</w:t>
      </w:r>
    </w:p>
    <w:p w14:paraId="102E96A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[37]</w:t>
      </w:r>
      <w:r w:rsidRPr="00F355F0">
        <w:rPr>
          <w:rFonts w:ascii="Times New Roman" w:hAnsi="Times New Roman" w:cs="Times New Roman"/>
          <w:sz w:val="16"/>
          <w:szCs w:val="16"/>
        </w:rPr>
        <w:tab/>
        <w:t xml:space="preserve">J. A. Alegría-Torres, A. Baccarelli, and V. Bollati, “Epigenetics and lifestyle,” </w:t>
      </w:r>
      <w:r w:rsidRPr="00F355F0">
        <w:rPr>
          <w:rFonts w:ascii="Times New Roman" w:hAnsi="Times New Roman" w:cs="Times New Roman"/>
          <w:i/>
          <w:iCs/>
          <w:sz w:val="16"/>
          <w:szCs w:val="16"/>
        </w:rPr>
        <w:t>Epigenomics</w:t>
      </w:r>
      <w:r w:rsidRPr="00F355F0">
        <w:rPr>
          <w:rFonts w:ascii="Times New Roman" w:hAnsi="Times New Roman" w:cs="Times New Roman"/>
          <w:sz w:val="16"/>
          <w:szCs w:val="16"/>
        </w:rPr>
        <w:t>, vol. 3, no. 3, pp. 267–277, Jun. 2011, doi: 10.2217/epi.11.22.</w:t>
      </w:r>
    </w:p>
    <w:p w14:paraId="66572750"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[38]</w:t>
      </w:r>
      <w:r w:rsidRPr="00F355F0">
        <w:rPr>
          <w:rFonts w:ascii="Times New Roman" w:hAnsi="Times New Roman" w:cs="Times New Roman"/>
          <w:sz w:val="16"/>
          <w:szCs w:val="16"/>
        </w:rPr>
        <w:tab/>
        <w:t xml:space="preserve">D. Saul and R. L. Kosinsky, “Epigenetics of Aging and Aging-Associated Diseases,” </w:t>
      </w:r>
      <w:r w:rsidRPr="00F355F0">
        <w:rPr>
          <w:rFonts w:ascii="Times New Roman" w:hAnsi="Times New Roman" w:cs="Times New Roman"/>
          <w:i/>
          <w:iCs/>
          <w:sz w:val="16"/>
          <w:szCs w:val="16"/>
        </w:rPr>
        <w:t>IJMS</w:t>
      </w:r>
      <w:r w:rsidRPr="00F355F0">
        <w:rPr>
          <w:rFonts w:ascii="Times New Roman" w:hAnsi="Times New Roman" w:cs="Times New Roman"/>
          <w:sz w:val="16"/>
          <w:szCs w:val="16"/>
        </w:rPr>
        <w:t>, vol. 22, no. 1, p. 401, Jan. 2021, doi: 10.3390/ijms22010401.</w:t>
      </w:r>
    </w:p>
    <w:p w14:paraId="388C184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[39]</w:t>
      </w:r>
      <w:r w:rsidRPr="00F355F0">
        <w:rPr>
          <w:rFonts w:ascii="Times New Roman" w:hAnsi="Times New Roman" w:cs="Times New Roman"/>
          <w:sz w:val="16"/>
          <w:szCs w:val="16"/>
        </w:rPr>
        <w:tab/>
        <w:t xml:space="preserve">J. S. Bhatti, G. K. Bhatti, and P. H. Reddy, “Mitochondrial dysfunction and oxidative stress in metabolic disorders — A step towards mitochondria based therapeutic strategies,” </w:t>
      </w:r>
      <w:r w:rsidRPr="00F355F0">
        <w:rPr>
          <w:rFonts w:ascii="Times New Roman" w:hAnsi="Times New Roman" w:cs="Times New Roman"/>
          <w:i/>
          <w:iCs/>
          <w:sz w:val="16"/>
          <w:szCs w:val="16"/>
        </w:rPr>
        <w:t>Biochimica et Biophysica Acta (BBA) - Molecular Basis of Disease</w:t>
      </w:r>
      <w:r w:rsidRPr="00F355F0">
        <w:rPr>
          <w:rFonts w:ascii="Times New Roman" w:hAnsi="Times New Roman" w:cs="Times New Roman"/>
          <w:sz w:val="16"/>
          <w:szCs w:val="16"/>
        </w:rPr>
        <w:t>, vol. 1863, no. 5, pp. 1066–1077, May 2017, doi: 10.1016/j.bbadis.2016.11.010.</w:t>
      </w:r>
    </w:p>
    <w:p w14:paraId="718D45E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[40]</w:t>
      </w:r>
      <w:r w:rsidRPr="00F355F0">
        <w:rPr>
          <w:rFonts w:ascii="Times New Roman" w:hAnsi="Times New Roman" w:cs="Times New Roman"/>
          <w:sz w:val="16"/>
          <w:szCs w:val="16"/>
        </w:rPr>
        <w:tab/>
        <w:t xml:space="preserve">Š. Lehtonen, T.-M. Sonninen, S. Wojciechowski, G. Goldsteins, and J. Koistinaho, “Dysfunction of Cellular Proteostasis in Parkinson’s Disease,” </w:t>
      </w:r>
      <w:r w:rsidRPr="00F355F0">
        <w:rPr>
          <w:rFonts w:ascii="Times New Roman" w:hAnsi="Times New Roman" w:cs="Times New Roman"/>
          <w:i/>
          <w:iCs/>
          <w:sz w:val="16"/>
          <w:szCs w:val="16"/>
        </w:rPr>
        <w:t>Front. Neurosci.</w:t>
      </w:r>
      <w:r w:rsidRPr="00F355F0">
        <w:rPr>
          <w:rFonts w:ascii="Times New Roman" w:hAnsi="Times New Roman" w:cs="Times New Roman"/>
          <w:sz w:val="16"/>
          <w:szCs w:val="16"/>
        </w:rPr>
        <w:t>, vol. 13, p. 457, May 2019, doi: 10.3389/fnins.2019.00457.</w:t>
      </w:r>
    </w:p>
    <w:p w14:paraId="53C0438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[41]</w:t>
      </w:r>
      <w:r w:rsidRPr="00F355F0">
        <w:rPr>
          <w:rFonts w:ascii="Times New Roman" w:hAnsi="Times New Roman" w:cs="Times New Roman"/>
          <w:sz w:val="16"/>
          <w:szCs w:val="16"/>
        </w:rPr>
        <w:tab/>
        <w:t xml:space="preserve">D. W. Anderson, K. A. Bradbury, and J. S. Schneider, “Neuroprotection in Parkinson models varies with toxin administration protocol,” </w:t>
      </w:r>
      <w:r w:rsidRPr="00F355F0">
        <w:rPr>
          <w:rFonts w:ascii="Times New Roman" w:hAnsi="Times New Roman" w:cs="Times New Roman"/>
          <w:i/>
          <w:iCs/>
          <w:sz w:val="16"/>
          <w:szCs w:val="16"/>
        </w:rPr>
        <w:t>European Journal of Neuroscience</w:t>
      </w:r>
      <w:r w:rsidRPr="00F355F0">
        <w:rPr>
          <w:rFonts w:ascii="Times New Roman" w:hAnsi="Times New Roman" w:cs="Times New Roman"/>
          <w:sz w:val="16"/>
          <w:szCs w:val="16"/>
        </w:rPr>
        <w:t>, vol. 24, no. 11, pp. 3174–3182, Dec. 2006, doi: 10.1111/j.1460-9568.2006.05192.x.</w:t>
      </w:r>
    </w:p>
    <w:p w14:paraId="11EC69B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[42]</w:t>
      </w:r>
      <w:r w:rsidRPr="00F355F0">
        <w:rPr>
          <w:rFonts w:ascii="Times New Roman" w:hAnsi="Times New Roman" w:cs="Times New Roman"/>
          <w:sz w:val="16"/>
          <w:szCs w:val="16"/>
        </w:rPr>
        <w:tab/>
        <w:t xml:space="preserve">S. Y. Cheon, H. Kim, D. C. Rubinsztein, and J. E. Lee, “Autophagy, Cellular Aging and Age-related Human Diseases,” </w:t>
      </w:r>
      <w:r w:rsidRPr="00F355F0">
        <w:rPr>
          <w:rFonts w:ascii="Times New Roman" w:hAnsi="Times New Roman" w:cs="Times New Roman"/>
          <w:i/>
          <w:iCs/>
          <w:sz w:val="16"/>
          <w:szCs w:val="16"/>
        </w:rPr>
        <w:t>Exp Neurobiol</w:t>
      </w:r>
      <w:r w:rsidRPr="00F355F0">
        <w:rPr>
          <w:rFonts w:ascii="Times New Roman" w:hAnsi="Times New Roman" w:cs="Times New Roman"/>
          <w:sz w:val="16"/>
          <w:szCs w:val="16"/>
        </w:rPr>
        <w:t>, vol. 28, no. 6, pp. 643–657, Dec. 2019, doi: 10.5607/en.2019.28.6.643.</w:t>
      </w:r>
    </w:p>
    <w:p w14:paraId="35A158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[43]</w:t>
      </w:r>
      <w:r w:rsidRPr="00F355F0">
        <w:rPr>
          <w:rFonts w:ascii="Times New Roman" w:hAnsi="Times New Roman" w:cs="Times New Roman"/>
          <w:sz w:val="16"/>
          <w:szCs w:val="16"/>
        </w:rPr>
        <w:tab/>
        <w:t xml:space="preserve">M. W. Pataky, W. F. Young, and K. S. Nair, “Hormonal and Metabolic Changes of Aging and the Influence of Lifestyle Modifications,” </w:t>
      </w:r>
      <w:r w:rsidRPr="00F355F0">
        <w:rPr>
          <w:rFonts w:ascii="Times New Roman" w:hAnsi="Times New Roman" w:cs="Times New Roman"/>
          <w:i/>
          <w:iCs/>
          <w:sz w:val="16"/>
          <w:szCs w:val="16"/>
        </w:rPr>
        <w:t>Mayo Clinic Proceedings</w:t>
      </w:r>
      <w:r w:rsidRPr="00F355F0">
        <w:rPr>
          <w:rFonts w:ascii="Times New Roman" w:hAnsi="Times New Roman" w:cs="Times New Roman"/>
          <w:sz w:val="16"/>
          <w:szCs w:val="16"/>
        </w:rPr>
        <w:t>, vol. 96, no. 3, pp. 788–814, Mar. 2021, doi: 10.1016/j.mayocp.2020.07.033.</w:t>
      </w:r>
    </w:p>
    <w:p w14:paraId="09D180E4"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[44]</w:t>
      </w:r>
      <w:r w:rsidRPr="00F355F0">
        <w:rPr>
          <w:rFonts w:ascii="Times New Roman" w:hAnsi="Times New Roman" w:cs="Times New Roman"/>
          <w:sz w:val="16"/>
          <w:szCs w:val="16"/>
        </w:rPr>
        <w:tab/>
        <w:t xml:space="preserve">S. Saeed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“Genome Editing Technology: A New Frontier for the Treatment and Prevention of Cardiovascular Diseases,” </w:t>
      </w:r>
      <w:r w:rsidRPr="00F355F0">
        <w:rPr>
          <w:rFonts w:ascii="Times New Roman" w:hAnsi="Times New Roman" w:cs="Times New Roman"/>
          <w:i/>
          <w:iCs/>
          <w:sz w:val="16"/>
          <w:szCs w:val="16"/>
        </w:rPr>
        <w:t>Current Problems in Cardiology</w:t>
      </w:r>
      <w:r w:rsidRPr="00F355F0">
        <w:rPr>
          <w:rFonts w:ascii="Times New Roman" w:hAnsi="Times New Roman" w:cs="Times New Roman"/>
          <w:sz w:val="16"/>
          <w:szCs w:val="16"/>
        </w:rPr>
        <w:t>, vol. 48, no. 7, p. 101692, Jul. 2023, doi: 10.1016/j.cpcardiol.2023.101692.</w:t>
      </w:r>
    </w:p>
    <w:p w14:paraId="454A55F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[45]</w:t>
      </w:r>
      <w:r w:rsidRPr="00F355F0">
        <w:rPr>
          <w:rFonts w:ascii="Times New Roman" w:hAnsi="Times New Roman" w:cs="Times New Roman"/>
          <w:sz w:val="16"/>
          <w:szCs w:val="16"/>
        </w:rPr>
        <w:tab/>
        <w:t xml:space="preserve">M. Lulkiewicz, J. Bajsert, P. Kopczynski, W. Barczak, and B. Rubis, “Telomere length: how the length makes a difference,” </w:t>
      </w:r>
      <w:r w:rsidRPr="00F355F0">
        <w:rPr>
          <w:rFonts w:ascii="Times New Roman" w:hAnsi="Times New Roman" w:cs="Times New Roman"/>
          <w:i/>
          <w:iCs/>
          <w:sz w:val="16"/>
          <w:szCs w:val="16"/>
        </w:rPr>
        <w:t>Mol Biol Rep</w:t>
      </w:r>
      <w:r w:rsidRPr="00F355F0">
        <w:rPr>
          <w:rFonts w:ascii="Times New Roman" w:hAnsi="Times New Roman" w:cs="Times New Roman"/>
          <w:sz w:val="16"/>
          <w:szCs w:val="16"/>
        </w:rPr>
        <w:t>, vol. 47, no. 9, pp. 7181–7188, Sep. 2020, doi: 10.1007/s11033-020-05551-y.</w:t>
      </w:r>
    </w:p>
    <w:p w14:paraId="4FD1965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[46]</w:t>
      </w:r>
      <w:r w:rsidRPr="00F355F0">
        <w:rPr>
          <w:rFonts w:ascii="Times New Roman" w:hAnsi="Times New Roman" w:cs="Times New Roman"/>
          <w:sz w:val="16"/>
          <w:szCs w:val="16"/>
        </w:rPr>
        <w:tab/>
        <w:t xml:space="preserve">A. Caobi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“The Impact of CRISPR-Cas9 on Age-related Disorders: From Pathology to Therapy,” </w:t>
      </w:r>
      <w:r w:rsidRPr="00F355F0">
        <w:rPr>
          <w:rFonts w:ascii="Times New Roman" w:hAnsi="Times New Roman" w:cs="Times New Roman"/>
          <w:i/>
          <w:iCs/>
          <w:sz w:val="16"/>
          <w:szCs w:val="16"/>
        </w:rPr>
        <w:t>Aging and disease</w:t>
      </w:r>
      <w:r w:rsidRPr="00F355F0">
        <w:rPr>
          <w:rFonts w:ascii="Times New Roman" w:hAnsi="Times New Roman" w:cs="Times New Roman"/>
          <w:sz w:val="16"/>
          <w:szCs w:val="16"/>
        </w:rPr>
        <w:t>, vol. 11, no. 4, p. 895, 2020, doi: 10.14336/AD.2019.0927.</w:t>
      </w:r>
    </w:p>
    <w:p w14:paraId="36824441"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[47]</w:t>
      </w:r>
      <w:r w:rsidRPr="00F355F0">
        <w:rPr>
          <w:rFonts w:ascii="Times New Roman" w:hAnsi="Times New Roman" w:cs="Times New Roman"/>
          <w:sz w:val="16"/>
          <w:szCs w:val="16"/>
        </w:rPr>
        <w:tab/>
        <w:t xml:space="preserve">N. A. Duggal, “Reversing the immune ageing clock: lifestyle modifications and pharmacological interventions,” </w:t>
      </w:r>
      <w:r w:rsidRPr="00F355F0">
        <w:rPr>
          <w:rFonts w:ascii="Times New Roman" w:hAnsi="Times New Roman" w:cs="Times New Roman"/>
          <w:i/>
          <w:iCs/>
          <w:sz w:val="16"/>
          <w:szCs w:val="16"/>
        </w:rPr>
        <w:t>Biogerontology</w:t>
      </w:r>
      <w:r w:rsidRPr="00F355F0">
        <w:rPr>
          <w:rFonts w:ascii="Times New Roman" w:hAnsi="Times New Roman" w:cs="Times New Roman"/>
          <w:sz w:val="16"/>
          <w:szCs w:val="16"/>
        </w:rPr>
        <w:t>, vol. 19, no. 6, pp. 481–496, Dec. 2018, doi: 10.1007/s10522-018-9771-7.</w:t>
      </w:r>
    </w:p>
    <w:p w14:paraId="3E813C9E"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[48]</w:t>
      </w:r>
      <w:r w:rsidRPr="00F355F0">
        <w:rPr>
          <w:rFonts w:ascii="Times New Roman" w:hAnsi="Times New Roman" w:cs="Times New Roman"/>
          <w:sz w:val="16"/>
          <w:szCs w:val="16"/>
        </w:rPr>
        <w:tab/>
        <w:t xml:space="preserve">Y. Wang, C. Dong, Y. Han, Z. Gu, and C. Sun, “Immunosenescence, aging and successful aging,” </w:t>
      </w:r>
      <w:r w:rsidRPr="00F355F0">
        <w:rPr>
          <w:rFonts w:ascii="Times New Roman" w:hAnsi="Times New Roman" w:cs="Times New Roman"/>
          <w:i/>
          <w:iCs/>
          <w:sz w:val="16"/>
          <w:szCs w:val="16"/>
        </w:rPr>
        <w:t>Front. Immunol.</w:t>
      </w:r>
      <w:r w:rsidRPr="00F355F0">
        <w:rPr>
          <w:rFonts w:ascii="Times New Roman" w:hAnsi="Times New Roman" w:cs="Times New Roman"/>
          <w:sz w:val="16"/>
          <w:szCs w:val="16"/>
        </w:rPr>
        <w:t>, vol. 13, p. 942796, Aug. 2022, doi: 10.3389/fimmu.2022.942796.</w:t>
      </w:r>
    </w:p>
    <w:p w14:paraId="7EFF4C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[49]</w:t>
      </w:r>
      <w:r w:rsidRPr="00F355F0">
        <w:rPr>
          <w:rFonts w:ascii="Times New Roman" w:hAnsi="Times New Roman" w:cs="Times New Roman"/>
          <w:sz w:val="16"/>
          <w:szCs w:val="16"/>
        </w:rPr>
        <w:tab/>
        <w:t xml:space="preserve">M. Tosato, V. Zamboni, A. Ferrini, and M. Cesari, “The aging process and potential interventions to extend life expectancy,” </w:t>
      </w:r>
      <w:r w:rsidRPr="00F355F0">
        <w:rPr>
          <w:rFonts w:ascii="Times New Roman" w:hAnsi="Times New Roman" w:cs="Times New Roman"/>
          <w:i/>
          <w:iCs/>
          <w:sz w:val="16"/>
          <w:szCs w:val="16"/>
        </w:rPr>
        <w:t>Clin Interv Aging</w:t>
      </w:r>
      <w:r w:rsidRPr="00F355F0">
        <w:rPr>
          <w:rFonts w:ascii="Times New Roman" w:hAnsi="Times New Roman" w:cs="Times New Roman"/>
          <w:sz w:val="16"/>
          <w:szCs w:val="16"/>
        </w:rPr>
        <w:t>, vol. 2, no. 3, pp. 401–412, 2007.</w:t>
      </w:r>
    </w:p>
    <w:p w14:paraId="2323889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[50]</w:t>
      </w:r>
      <w:r w:rsidRPr="00F355F0">
        <w:rPr>
          <w:rFonts w:ascii="Times New Roman" w:hAnsi="Times New Roman" w:cs="Times New Roman"/>
          <w:sz w:val="16"/>
          <w:szCs w:val="16"/>
        </w:rPr>
        <w:tab/>
        <w:t xml:space="preserve">T. A. Rando and T. Wyss-Coray, “Stem Cells as Vehicles for Youthful Regeneration of Aged Tissues,” </w:t>
      </w:r>
      <w:r w:rsidRPr="00F355F0">
        <w:rPr>
          <w:rFonts w:ascii="Times New Roman" w:hAnsi="Times New Roman" w:cs="Times New Roman"/>
          <w:i/>
          <w:iCs/>
          <w:sz w:val="16"/>
          <w:szCs w:val="16"/>
        </w:rPr>
        <w:t>The Journals of Gerontology Series A: Biological Sciences and Medical Sciences</w:t>
      </w:r>
      <w:r w:rsidRPr="00F355F0">
        <w:rPr>
          <w:rFonts w:ascii="Times New Roman" w:hAnsi="Times New Roman" w:cs="Times New Roman"/>
          <w:sz w:val="16"/>
          <w:szCs w:val="16"/>
        </w:rPr>
        <w:t>, vol. 69, no. Suppl 1, pp. S39–S42, Jun. 2014, doi: 10.1093/gerona/glu043.</w:t>
      </w:r>
    </w:p>
    <w:p w14:paraId="253C4CCB"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[51]</w:t>
      </w:r>
      <w:r w:rsidRPr="00F355F0">
        <w:rPr>
          <w:rFonts w:ascii="Times New Roman" w:hAnsi="Times New Roman" w:cs="Times New Roman"/>
          <w:sz w:val="16"/>
          <w:szCs w:val="16"/>
        </w:rPr>
        <w:tab/>
        <w:t xml:space="preserve">N. Rosenthal, “Youthful prospects for human stem‐cell therapy: In another few decades, revised attitudes towards stem cells could lead to disease prevention and life extension,” </w:t>
      </w:r>
      <w:r w:rsidRPr="00F355F0">
        <w:rPr>
          <w:rFonts w:ascii="Times New Roman" w:hAnsi="Times New Roman" w:cs="Times New Roman"/>
          <w:i/>
          <w:iCs/>
          <w:sz w:val="16"/>
          <w:szCs w:val="16"/>
        </w:rPr>
        <w:t>EMBO Reports</w:t>
      </w:r>
      <w:r w:rsidRPr="00F355F0">
        <w:rPr>
          <w:rFonts w:ascii="Times New Roman" w:hAnsi="Times New Roman" w:cs="Times New Roman"/>
          <w:sz w:val="16"/>
          <w:szCs w:val="16"/>
        </w:rPr>
        <w:t>, vol. 6, no. S1, Jul. 2005, doi: 10.1038/sj.embor.7400427.</w:t>
      </w:r>
    </w:p>
    <w:p w14:paraId="155AE13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[52]</w:t>
      </w:r>
      <w:r w:rsidRPr="00F355F0">
        <w:rPr>
          <w:rFonts w:ascii="Times New Roman" w:hAnsi="Times New Roman" w:cs="Times New Roman"/>
          <w:sz w:val="16"/>
          <w:szCs w:val="16"/>
        </w:rPr>
        <w:tab/>
        <w:t xml:space="preserve">M. Khorraminejad-Shirazi, M. Dorvash, A. Estedlal, A. H. Hoveidaei, M. Mazloomrezaei, and P. Mosaddeghi, “Aging: A cell source limiting factor in tissue engineering,” </w:t>
      </w:r>
      <w:r w:rsidRPr="00F355F0">
        <w:rPr>
          <w:rFonts w:ascii="Times New Roman" w:hAnsi="Times New Roman" w:cs="Times New Roman"/>
          <w:i/>
          <w:iCs/>
          <w:sz w:val="16"/>
          <w:szCs w:val="16"/>
        </w:rPr>
        <w:t>WJSC</w:t>
      </w:r>
      <w:r w:rsidRPr="00F355F0">
        <w:rPr>
          <w:rFonts w:ascii="Times New Roman" w:hAnsi="Times New Roman" w:cs="Times New Roman"/>
          <w:sz w:val="16"/>
          <w:szCs w:val="16"/>
        </w:rPr>
        <w:t>, vol. 11, no. 10, pp. 787–802, Oct. 2019, doi: 10.4252/wjsc.v11.i10.787.</w:t>
      </w:r>
    </w:p>
    <w:p w14:paraId="5A7EA9C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[53]</w:t>
      </w:r>
      <w:r w:rsidRPr="00F355F0">
        <w:rPr>
          <w:rFonts w:ascii="Times New Roman" w:hAnsi="Times New Roman" w:cs="Times New Roman"/>
          <w:sz w:val="16"/>
          <w:szCs w:val="16"/>
        </w:rPr>
        <w:tab/>
        <w:t xml:space="preserve">M. P. Nikolova and M. S. Chavali, “Recent advances in biomaterials for 3D scaffolds: A review,” </w:t>
      </w:r>
      <w:r w:rsidRPr="00F355F0">
        <w:rPr>
          <w:rFonts w:ascii="Times New Roman" w:hAnsi="Times New Roman" w:cs="Times New Roman"/>
          <w:i/>
          <w:iCs/>
          <w:sz w:val="16"/>
          <w:szCs w:val="16"/>
        </w:rPr>
        <w:t>Bioactive Materials</w:t>
      </w:r>
      <w:r w:rsidRPr="00F355F0">
        <w:rPr>
          <w:rFonts w:ascii="Times New Roman" w:hAnsi="Times New Roman" w:cs="Times New Roman"/>
          <w:sz w:val="16"/>
          <w:szCs w:val="16"/>
        </w:rPr>
        <w:t>, vol. 4, pp. 271–292, Dec. 2019, doi: 10.1016/j.bioactmat.2019.10.005.</w:t>
      </w:r>
    </w:p>
    <w:p w14:paraId="48455832"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[54]</w:t>
      </w:r>
      <w:r w:rsidRPr="00F355F0">
        <w:rPr>
          <w:rFonts w:ascii="Times New Roman" w:hAnsi="Times New Roman" w:cs="Times New Roman"/>
          <w:sz w:val="16"/>
          <w:szCs w:val="16"/>
        </w:rPr>
        <w:tab/>
        <w:t xml:space="preserve">B. P. Chan and K. W. Leong, “Scaffolding in tissue engineering: general approaches and tissue-specific considerations,” </w:t>
      </w:r>
      <w:r w:rsidRPr="00F355F0">
        <w:rPr>
          <w:rFonts w:ascii="Times New Roman" w:hAnsi="Times New Roman" w:cs="Times New Roman"/>
          <w:i/>
          <w:iCs/>
          <w:sz w:val="16"/>
          <w:szCs w:val="16"/>
        </w:rPr>
        <w:t>Eur Spine J</w:t>
      </w:r>
      <w:r w:rsidRPr="00F355F0">
        <w:rPr>
          <w:rFonts w:ascii="Times New Roman" w:hAnsi="Times New Roman" w:cs="Times New Roman"/>
          <w:sz w:val="16"/>
          <w:szCs w:val="16"/>
        </w:rPr>
        <w:t>, vol. 17, no. S4, pp. 467–479, Dec. 2008, doi: 10.1007/s00586-008-0745-3.</w:t>
      </w:r>
    </w:p>
    <w:p w14:paraId="27554285"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[55]</w:t>
      </w:r>
      <w:r w:rsidRPr="00F355F0">
        <w:rPr>
          <w:rFonts w:ascii="Times New Roman" w:hAnsi="Times New Roman" w:cs="Times New Roman"/>
          <w:sz w:val="16"/>
          <w:szCs w:val="16"/>
        </w:rPr>
        <w:tab/>
        <w:t xml:space="preserve">C. Selden and B. Fuller, “Role of Bioreactor Technology in Tissue Engineering for Clinical Use and Therapeutic Target Design,” </w:t>
      </w:r>
      <w:r w:rsidRPr="00F355F0">
        <w:rPr>
          <w:rFonts w:ascii="Times New Roman" w:hAnsi="Times New Roman" w:cs="Times New Roman"/>
          <w:i/>
          <w:iCs/>
          <w:sz w:val="16"/>
          <w:szCs w:val="16"/>
        </w:rPr>
        <w:t>Bioengineering</w:t>
      </w:r>
      <w:r w:rsidRPr="00F355F0">
        <w:rPr>
          <w:rFonts w:ascii="Times New Roman" w:hAnsi="Times New Roman" w:cs="Times New Roman"/>
          <w:sz w:val="16"/>
          <w:szCs w:val="16"/>
        </w:rPr>
        <w:t>, vol. 5, no. 2, p. 32, Apr. 2018, doi: 10.3390/bioengineering5020032.</w:t>
      </w:r>
    </w:p>
    <w:p w14:paraId="0CE59F51"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[56]</w:t>
      </w:r>
      <w:r w:rsidRPr="00F355F0">
        <w:rPr>
          <w:rFonts w:ascii="Times New Roman" w:hAnsi="Times New Roman" w:cs="Times New Roman"/>
          <w:sz w:val="16"/>
          <w:szCs w:val="16"/>
        </w:rPr>
        <w:tab/>
        <w:t xml:space="preserve">K. C. Clause and T. H. Barker, “Extracellular matrix signaling in morphogenesis and repair,” </w:t>
      </w:r>
      <w:r w:rsidRPr="00F355F0">
        <w:rPr>
          <w:rFonts w:ascii="Times New Roman" w:hAnsi="Times New Roman" w:cs="Times New Roman"/>
          <w:i/>
          <w:iCs/>
          <w:sz w:val="16"/>
          <w:szCs w:val="16"/>
        </w:rPr>
        <w:t>Current Opinion in Biotechnology</w:t>
      </w:r>
      <w:r w:rsidRPr="00F355F0">
        <w:rPr>
          <w:rFonts w:ascii="Times New Roman" w:hAnsi="Times New Roman" w:cs="Times New Roman"/>
          <w:sz w:val="16"/>
          <w:szCs w:val="16"/>
        </w:rPr>
        <w:t>, vol. 24, no. 5, pp. 830–833, Oct. 2013, doi: 10.1016/j.copbio.2013.04.011.</w:t>
      </w:r>
    </w:p>
    <w:p w14:paraId="601DA65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[57]</w:t>
      </w:r>
      <w:r w:rsidRPr="00F355F0">
        <w:rPr>
          <w:rFonts w:ascii="Times New Roman" w:hAnsi="Times New Roman" w:cs="Times New Roman"/>
          <w:sz w:val="16"/>
          <w:szCs w:val="16"/>
        </w:rPr>
        <w:tab/>
        <w:t xml:space="preserve">M. Lovett, K. Lee, A. Edwards, and D. L. Kaplan, “Vascularization Strategies for Tissue Engineering,” </w:t>
      </w:r>
      <w:r w:rsidRPr="00F355F0">
        <w:rPr>
          <w:rFonts w:ascii="Times New Roman" w:hAnsi="Times New Roman" w:cs="Times New Roman"/>
          <w:i/>
          <w:iCs/>
          <w:sz w:val="16"/>
          <w:szCs w:val="16"/>
        </w:rPr>
        <w:t>Tissue Engineering Part B: Reviews</w:t>
      </w:r>
      <w:r w:rsidRPr="00F355F0">
        <w:rPr>
          <w:rFonts w:ascii="Times New Roman" w:hAnsi="Times New Roman" w:cs="Times New Roman"/>
          <w:sz w:val="16"/>
          <w:szCs w:val="16"/>
        </w:rPr>
        <w:t>, vol. 15, no. 3, pp. 353–370, Sep. 2009, doi: 10.1089/ten.teb.2009.0085.</w:t>
      </w:r>
    </w:p>
    <w:p w14:paraId="6C832F1F"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[58]</w:t>
      </w:r>
      <w:r w:rsidRPr="00F355F0">
        <w:rPr>
          <w:rFonts w:ascii="Times New Roman" w:hAnsi="Times New Roman" w:cs="Times New Roman"/>
          <w:sz w:val="16"/>
          <w:szCs w:val="16"/>
        </w:rPr>
        <w:tab/>
        <w:t xml:space="preserve">A. Carnicer-Lombarte, S.-T. Chen, G. G. Malliaras, and D. G. Barone, “Foreign Body Reaction to Implanted Biomaterials and Its Impact in Nerve Neuroprosthetics,” </w:t>
      </w:r>
      <w:r w:rsidRPr="00F355F0">
        <w:rPr>
          <w:rFonts w:ascii="Times New Roman" w:hAnsi="Times New Roman" w:cs="Times New Roman"/>
          <w:i/>
          <w:iCs/>
          <w:sz w:val="16"/>
          <w:szCs w:val="16"/>
        </w:rPr>
        <w:t>Front. Bioeng. Biotechnol.</w:t>
      </w:r>
      <w:r w:rsidRPr="00F355F0">
        <w:rPr>
          <w:rFonts w:ascii="Times New Roman" w:hAnsi="Times New Roman" w:cs="Times New Roman"/>
          <w:sz w:val="16"/>
          <w:szCs w:val="16"/>
        </w:rPr>
        <w:t>, vol. 9, p. 622524, Apr. 2021, doi: 10.3389/fbioe.2021.622524.</w:t>
      </w:r>
    </w:p>
    <w:p w14:paraId="7FB3981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[59]</w:t>
      </w:r>
      <w:r w:rsidRPr="00F355F0">
        <w:rPr>
          <w:rFonts w:ascii="Times New Roman" w:hAnsi="Times New Roman" w:cs="Times New Roman"/>
          <w:sz w:val="16"/>
          <w:szCs w:val="16"/>
        </w:rPr>
        <w:tab/>
        <w:t xml:space="preserve">M. Willadsen, M. Chaise, I. Yarovoy, A. Q. Zhang, and N. Parashurama, “Engineering molecular imaging strategies for regenerative medicine,” </w:t>
      </w:r>
      <w:r w:rsidRPr="00F355F0">
        <w:rPr>
          <w:rFonts w:ascii="Times New Roman" w:hAnsi="Times New Roman" w:cs="Times New Roman"/>
          <w:i/>
          <w:iCs/>
          <w:sz w:val="16"/>
          <w:szCs w:val="16"/>
        </w:rPr>
        <w:t>Bioengineering &amp; Translational Medicine</w:t>
      </w:r>
      <w:r w:rsidRPr="00F355F0">
        <w:rPr>
          <w:rFonts w:ascii="Times New Roman" w:hAnsi="Times New Roman" w:cs="Times New Roman"/>
          <w:sz w:val="16"/>
          <w:szCs w:val="16"/>
        </w:rPr>
        <w:t>, vol. 3, no. 3, pp. 232–255, Sep. 2018, doi: 10.1002/btm2.10114.</w:t>
      </w:r>
    </w:p>
    <w:p w14:paraId="27DEB6D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[60]</w:t>
      </w:r>
      <w:r w:rsidRPr="00F355F0">
        <w:rPr>
          <w:rFonts w:ascii="Times New Roman" w:hAnsi="Times New Roman" w:cs="Times New Roman"/>
          <w:sz w:val="16"/>
          <w:szCs w:val="16"/>
        </w:rPr>
        <w:tab/>
        <w:t xml:space="preserve">D. B. Berry, E. K. Englund, S. Chen, L. R. Frank, and S. R. Ward, “Medical imaging of tissue engineering and regenerative medicine constructs,” </w:t>
      </w:r>
      <w:r w:rsidRPr="00F355F0">
        <w:rPr>
          <w:rFonts w:ascii="Times New Roman" w:hAnsi="Times New Roman" w:cs="Times New Roman"/>
          <w:i/>
          <w:iCs/>
          <w:sz w:val="16"/>
          <w:szCs w:val="16"/>
        </w:rPr>
        <w:t>Biomater. Sci.</w:t>
      </w:r>
      <w:r w:rsidRPr="00F355F0">
        <w:rPr>
          <w:rFonts w:ascii="Times New Roman" w:hAnsi="Times New Roman" w:cs="Times New Roman"/>
          <w:sz w:val="16"/>
          <w:szCs w:val="16"/>
        </w:rPr>
        <w:t>, vol. 9, no. 2, pp. 301–314, 2021, doi: 10.1039/D0BM00705F.</w:t>
      </w:r>
    </w:p>
    <w:p w14:paraId="26196C7D"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[61]</w:t>
      </w:r>
      <w:r w:rsidRPr="00F355F0">
        <w:rPr>
          <w:rFonts w:ascii="Times New Roman" w:hAnsi="Times New Roman" w:cs="Times New Roman"/>
          <w:sz w:val="16"/>
          <w:szCs w:val="16"/>
        </w:rPr>
        <w:tab/>
        <w:t xml:space="preserve">D. Bakula </w:t>
      </w:r>
      <w:r w:rsidRPr="00F355F0">
        <w:rPr>
          <w:rFonts w:ascii="Times New Roman" w:hAnsi="Times New Roman" w:cs="Times New Roman"/>
          <w:i/>
          <w:iCs/>
          <w:sz w:val="16"/>
          <w:szCs w:val="16"/>
        </w:rPr>
        <w:t>et al.</w:t>
      </w:r>
      <w:r w:rsidRPr="00F355F0">
        <w:rPr>
          <w:rFonts w:ascii="Times New Roman" w:hAnsi="Times New Roman" w:cs="Times New Roman"/>
          <w:sz w:val="16"/>
          <w:szCs w:val="16"/>
        </w:rPr>
        <w:t xml:space="preserve">, “Latest advances in aging research and drug discovery,” </w:t>
      </w:r>
      <w:r w:rsidRPr="00F355F0">
        <w:rPr>
          <w:rFonts w:ascii="Times New Roman" w:hAnsi="Times New Roman" w:cs="Times New Roman"/>
          <w:i/>
          <w:iCs/>
          <w:sz w:val="16"/>
          <w:szCs w:val="16"/>
        </w:rPr>
        <w:t>Aging</w:t>
      </w:r>
      <w:r w:rsidRPr="00F355F0">
        <w:rPr>
          <w:rFonts w:ascii="Times New Roman" w:hAnsi="Times New Roman" w:cs="Times New Roman"/>
          <w:sz w:val="16"/>
          <w:szCs w:val="16"/>
        </w:rPr>
        <w:t>, vol. 11, no. 22, pp. 9971–9981, Nov. 2019, doi: 10.18632/aging.102487.</w:t>
      </w:r>
    </w:p>
    <w:p w14:paraId="3863C017"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[62]</w:t>
      </w:r>
      <w:r w:rsidRPr="00F355F0">
        <w:rPr>
          <w:rFonts w:ascii="Times New Roman" w:hAnsi="Times New Roman" w:cs="Times New Roman"/>
          <w:sz w:val="16"/>
          <w:szCs w:val="16"/>
        </w:rPr>
        <w:tab/>
        <w:t xml:space="preserve">J. C. Lucke, D. Herbert, B. Partridge, and W. D. Hall, “Anticipating the use of life extension technologies: Possible pointers from the adoption of assisted reproductive technologies,” </w:t>
      </w:r>
      <w:r w:rsidRPr="00F355F0">
        <w:rPr>
          <w:rFonts w:ascii="Times New Roman" w:hAnsi="Times New Roman" w:cs="Times New Roman"/>
          <w:i/>
          <w:iCs/>
          <w:sz w:val="16"/>
          <w:szCs w:val="16"/>
        </w:rPr>
        <w:t>EMBO Reports</w:t>
      </w:r>
      <w:r w:rsidRPr="00F355F0">
        <w:rPr>
          <w:rFonts w:ascii="Times New Roman" w:hAnsi="Times New Roman" w:cs="Times New Roman"/>
          <w:sz w:val="16"/>
          <w:szCs w:val="16"/>
        </w:rPr>
        <w:t>, vol. 11, no. 5, pp. 334–338, May 2010, doi: 10.1038/embor.2010.48.</w:t>
      </w:r>
    </w:p>
    <w:p w14:paraId="65CD1389"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[63]</w:t>
      </w:r>
      <w:r w:rsidRPr="00F355F0">
        <w:rPr>
          <w:rFonts w:ascii="Times New Roman" w:hAnsi="Times New Roman" w:cs="Times New Roman"/>
          <w:sz w:val="16"/>
          <w:szCs w:val="16"/>
        </w:rPr>
        <w:tab/>
        <w:t xml:space="preserve">M. Araki and T. Ishii, “International regulatory landscape and integration of corrective genome editing into in vitro fertilization,” </w:t>
      </w:r>
      <w:r w:rsidRPr="00F355F0">
        <w:rPr>
          <w:rFonts w:ascii="Times New Roman" w:hAnsi="Times New Roman" w:cs="Times New Roman"/>
          <w:i/>
          <w:iCs/>
          <w:sz w:val="16"/>
          <w:szCs w:val="16"/>
        </w:rPr>
        <w:t>Reprod Biol Endocrinol</w:t>
      </w:r>
      <w:r w:rsidRPr="00F355F0">
        <w:rPr>
          <w:rFonts w:ascii="Times New Roman" w:hAnsi="Times New Roman" w:cs="Times New Roman"/>
          <w:sz w:val="16"/>
          <w:szCs w:val="16"/>
        </w:rPr>
        <w:t>, vol. 12, no. 1, p. 108, 2014, doi: 10.1186/1477-7827-12-108.</w:t>
      </w:r>
    </w:p>
    <w:p w14:paraId="07735F2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[64]</w:t>
      </w:r>
      <w:r w:rsidRPr="00F355F0">
        <w:rPr>
          <w:rFonts w:ascii="Times New Roman" w:hAnsi="Times New Roman" w:cs="Times New Roman"/>
          <w:sz w:val="16"/>
          <w:szCs w:val="16"/>
        </w:rPr>
        <w:tab/>
        <w:t xml:space="preserve">A. Klaassen-van den Berg Jeths and J. A. van Langen, “[2 scenarios on extension of life. Various social consequences of a higher life expectancy],” </w:t>
      </w:r>
      <w:r w:rsidRPr="00F355F0">
        <w:rPr>
          <w:rFonts w:ascii="Times New Roman" w:hAnsi="Times New Roman" w:cs="Times New Roman"/>
          <w:i/>
          <w:iCs/>
          <w:sz w:val="16"/>
          <w:szCs w:val="16"/>
        </w:rPr>
        <w:t>Tijdschr Gerontol Geriatr</w:t>
      </w:r>
      <w:r w:rsidRPr="00F355F0">
        <w:rPr>
          <w:rFonts w:ascii="Times New Roman" w:hAnsi="Times New Roman" w:cs="Times New Roman"/>
          <w:sz w:val="16"/>
          <w:szCs w:val="16"/>
        </w:rPr>
        <w:t>, vol. 21, no. 5, pp. 217–221, Oct. 1990.</w:t>
      </w:r>
    </w:p>
    <w:p w14:paraId="7016936A"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[65]</w:t>
      </w:r>
      <w:r w:rsidRPr="00F355F0">
        <w:rPr>
          <w:rFonts w:ascii="Times New Roman" w:hAnsi="Times New Roman" w:cs="Times New Roman"/>
          <w:sz w:val="16"/>
          <w:szCs w:val="16"/>
        </w:rPr>
        <w:tab/>
        <w:t xml:space="preserve">D. W. Edington, A. B. Schultz, J. S. Pitts, and A. Camilleri, “The Future of Health Promotion in the 21st Century: A Focus on the Working Population,” </w:t>
      </w:r>
      <w:r w:rsidRPr="00F355F0">
        <w:rPr>
          <w:rFonts w:ascii="Times New Roman" w:hAnsi="Times New Roman" w:cs="Times New Roman"/>
          <w:i/>
          <w:iCs/>
          <w:sz w:val="16"/>
          <w:szCs w:val="16"/>
        </w:rPr>
        <w:t>American Journal of Lifestyle Medicine</w:t>
      </w:r>
      <w:r w:rsidRPr="00F355F0">
        <w:rPr>
          <w:rFonts w:ascii="Times New Roman" w:hAnsi="Times New Roman" w:cs="Times New Roman"/>
          <w:sz w:val="16"/>
          <w:szCs w:val="16"/>
        </w:rPr>
        <w:t>, vol. 10, no. 4, pp. 242–252, Jul. 2016, doi: 10.1177/1559827615605789.</w:t>
      </w:r>
    </w:p>
    <w:p w14:paraId="2D223C73" w14:textId="77777777" w:rsidR="00D3476A" w:rsidRPr="00F355F0" w:rsidRDefault="00D3476A" w:rsidP="00D3476A">
      <w:pPr>
        <w:pStyle w:val="Bibliography"/>
        <w:rPr>
          <w:rFonts w:ascii="Times New Roman" w:hAnsi="Times New Roman" w:cs="Times New Roman"/>
          <w:sz w:val="16"/>
          <w:szCs w:val="16"/>
        </w:rPr>
      </w:pPr>
      <w:r w:rsidRPr="00F355F0">
        <w:rPr>
          <w:rFonts w:ascii="Times New Roman" w:hAnsi="Times New Roman" w:cs="Times New Roman"/>
          <w:sz w:val="16"/>
          <w:szCs w:val="16"/>
        </w:rPr>
        <w:t>[66]</w:t>
      </w:r>
      <w:r w:rsidRPr="00F355F0">
        <w:rPr>
          <w:rFonts w:ascii="Times New Roman" w:hAnsi="Times New Roman" w:cs="Times New Roman"/>
          <w:sz w:val="16"/>
          <w:szCs w:val="16"/>
        </w:rPr>
        <w:tab/>
        <w:t xml:space="preserve">E. C. Hadley, E. G. Lakatta, M. Morrison-Bogorad, H. R. Warner, and R. J. Hodes, “The Future of Aging Therapies,” </w:t>
      </w:r>
      <w:r w:rsidRPr="00F355F0">
        <w:rPr>
          <w:rFonts w:ascii="Times New Roman" w:hAnsi="Times New Roman" w:cs="Times New Roman"/>
          <w:i/>
          <w:iCs/>
          <w:sz w:val="16"/>
          <w:szCs w:val="16"/>
        </w:rPr>
        <w:t>Cell</w:t>
      </w:r>
      <w:r w:rsidRPr="00F355F0">
        <w:rPr>
          <w:rFonts w:ascii="Times New Roman" w:hAnsi="Times New Roman" w:cs="Times New Roman"/>
          <w:sz w:val="16"/>
          <w:szCs w:val="16"/>
        </w:rPr>
        <w:t>, vol. 120, no. 4, pp. 557–567, Feb. 2005, doi: 10.1016/j.cell.2005.01.030.</w:t>
      </w:r>
    </w:p>
    <w:p w14:paraId="0000007F" w14:textId="5F3A3C0B" w:rsidR="000C6D32" w:rsidRPr="00F355F0" w:rsidRDefault="004F51E3">
      <w:pPr>
        <w:spacing w:line="240" w:lineRule="auto"/>
        <w:rPr>
          <w:rFonts w:ascii="Times New Roman" w:eastAsia="Times New Roman" w:hAnsi="Times New Roman" w:cs="Times New Roman"/>
          <w:color w:val="212121"/>
          <w:sz w:val="16"/>
          <w:szCs w:val="16"/>
          <w:highlight w:val="white"/>
        </w:rPr>
      </w:pPr>
      <w:r w:rsidRPr="00F355F0">
        <w:rPr>
          <w:rFonts w:ascii="Times New Roman" w:eastAsia="Times New Roman" w:hAnsi="Times New Roman" w:cs="Times New Roman"/>
          <w:color w:val="212121"/>
          <w:sz w:val="16"/>
          <w:szCs w:val="16"/>
          <w:highlight w:val="white"/>
        </w:rPr>
        <w:fldChar w:fldCharType="end"/>
      </w:r>
    </w:p>
    <w:sectPr w:rsidR="000C6D32" w:rsidRPr="00F355F0">
      <w:pgSz w:w="11906" w:h="16838"/>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D32"/>
    <w:rsid w:val="00027D36"/>
    <w:rsid w:val="000367AD"/>
    <w:rsid w:val="0004514B"/>
    <w:rsid w:val="00067E71"/>
    <w:rsid w:val="000823FC"/>
    <w:rsid w:val="000C6D32"/>
    <w:rsid w:val="000E2BC2"/>
    <w:rsid w:val="00131767"/>
    <w:rsid w:val="00140533"/>
    <w:rsid w:val="00144527"/>
    <w:rsid w:val="00241EEE"/>
    <w:rsid w:val="00246CE0"/>
    <w:rsid w:val="00261245"/>
    <w:rsid w:val="002D3FFC"/>
    <w:rsid w:val="003636C6"/>
    <w:rsid w:val="003F28E4"/>
    <w:rsid w:val="004104E3"/>
    <w:rsid w:val="00416A55"/>
    <w:rsid w:val="00472E70"/>
    <w:rsid w:val="004926B7"/>
    <w:rsid w:val="004A0AD4"/>
    <w:rsid w:val="004D76D8"/>
    <w:rsid w:val="004F51E3"/>
    <w:rsid w:val="0050198E"/>
    <w:rsid w:val="00532E2D"/>
    <w:rsid w:val="00545650"/>
    <w:rsid w:val="00551C8A"/>
    <w:rsid w:val="00572407"/>
    <w:rsid w:val="005879D5"/>
    <w:rsid w:val="005A6DE7"/>
    <w:rsid w:val="005C4FDF"/>
    <w:rsid w:val="006F12FD"/>
    <w:rsid w:val="00730EBD"/>
    <w:rsid w:val="00832A56"/>
    <w:rsid w:val="008C2E68"/>
    <w:rsid w:val="008E34F1"/>
    <w:rsid w:val="008F4E4F"/>
    <w:rsid w:val="008F721C"/>
    <w:rsid w:val="00925A36"/>
    <w:rsid w:val="009F5B3C"/>
    <w:rsid w:val="00A35F06"/>
    <w:rsid w:val="00BB4ADA"/>
    <w:rsid w:val="00BC2283"/>
    <w:rsid w:val="00C201FD"/>
    <w:rsid w:val="00CA6F1C"/>
    <w:rsid w:val="00CF0C24"/>
    <w:rsid w:val="00D3476A"/>
    <w:rsid w:val="00DF2CD9"/>
    <w:rsid w:val="00ED1DF4"/>
    <w:rsid w:val="00F20226"/>
    <w:rsid w:val="00F355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B71E0"/>
  <w15:docId w15:val="{50F51989-4584-4FBD-AD90-D83D43D7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4F51E3"/>
    <w:pPr>
      <w:tabs>
        <w:tab w:val="left" w:pos="384"/>
      </w:tabs>
      <w:spacing w:after="0" w:line="240" w:lineRule="auto"/>
      <w:ind w:left="384" w:hanging="384"/>
    </w:pPr>
  </w:style>
  <w:style w:type="character" w:styleId="Hyperlink">
    <w:name w:val="Hyperlink"/>
    <w:basedOn w:val="DefaultParagraphFont"/>
    <w:uiPriority w:val="99"/>
    <w:unhideWhenUsed/>
    <w:rsid w:val="008E34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aliknoorani@jamiahamdard.ac.in" TargetMode="External"/><Relationship Id="rId5" Type="http://schemas.openxmlformats.org/officeDocument/2006/relationships/hyperlink" Target="mailto:asgharali@jamiahamdrd.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EFF90-A6E4-460C-B739-DD03B924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21319</Words>
  <Characters>121519</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Asghar Ali</cp:lastModifiedBy>
  <cp:revision>4</cp:revision>
  <dcterms:created xsi:type="dcterms:W3CDTF">2023-09-01T03:20:00Z</dcterms:created>
  <dcterms:modified xsi:type="dcterms:W3CDTF">2023-09-01T03:24:00Z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9075ec89de089ffeddd9ecd7c4b8dfba5d915b19775f7792554af8c7535475d1</vt:lpwstr>
  </property>
  <property fmtid="{D5CDD505-2E9C-101B-9397-08002B2CF9AE}" pid="3" name="ZOTERO_PREF_1">
    <vt:lpwstr>&lt;data data-version="3" zotero-version="6.0.26"&gt;&lt;session id="rtjmLjt3"/&gt;&lt;style id="http://www.zotero.org/styles/ieee" locale="en-US" hasBibliography="1" bibliographyStyleHasBeenSet="1"/&gt;&lt;prefs&gt;&lt;pref name="fieldType" value="Field"/&gt;&lt;/prefs&gt;&lt;/data&gt;</vt:lpwstr>
  </property>
</Properties>
</file>