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DF8" w:rsidRDefault="006653E4" w:rsidP="006653E4">
      <w:pPr>
        <w:spacing w:after="0" w:line="240" w:lineRule="auto"/>
        <w:jc w:val="center"/>
        <w:rPr>
          <w:rFonts w:ascii="Times New Roman" w:hAnsi="Times New Roman" w:cs="Times New Roman"/>
          <w:sz w:val="20"/>
          <w:szCs w:val="20"/>
        </w:rPr>
      </w:pPr>
      <w:r w:rsidRPr="006653E4">
        <w:rPr>
          <w:rFonts w:ascii="Times New Roman" w:hAnsi="Times New Roman" w:cs="Times New Roman"/>
          <w:sz w:val="48"/>
          <w:szCs w:val="48"/>
        </w:rPr>
        <w:t>A CONCISE OVERVIEW ON TERATOGENIC DRUGS</w:t>
      </w:r>
    </w:p>
    <w:p w:rsidR="006653E4" w:rsidRDefault="006653E4" w:rsidP="006F6DF8">
      <w:pPr>
        <w:spacing w:after="0" w:line="240" w:lineRule="auto"/>
        <w:jc w:val="center"/>
        <w:rPr>
          <w:rFonts w:ascii="Times New Roman" w:hAnsi="Times New Roman" w:cs="Times New Roman"/>
          <w:sz w:val="20"/>
          <w:szCs w:val="20"/>
        </w:rPr>
      </w:pPr>
    </w:p>
    <w:p w:rsidR="00224421" w:rsidRPr="006F6DF8" w:rsidRDefault="00224421" w:rsidP="006F6DF8">
      <w:pPr>
        <w:spacing w:after="0" w:line="240" w:lineRule="auto"/>
        <w:jc w:val="center"/>
        <w:rPr>
          <w:rFonts w:ascii="Times New Roman" w:hAnsi="Times New Roman" w:cs="Times New Roman"/>
          <w:sz w:val="20"/>
          <w:szCs w:val="20"/>
          <w:vertAlign w:val="superscript"/>
        </w:rPr>
      </w:pPr>
      <w:proofErr w:type="spellStart"/>
      <w:r w:rsidRPr="00857560">
        <w:rPr>
          <w:rFonts w:ascii="Times New Roman" w:hAnsi="Times New Roman" w:cs="Times New Roman"/>
          <w:sz w:val="20"/>
          <w:szCs w:val="20"/>
        </w:rPr>
        <w:t>Arya</w:t>
      </w:r>
      <w:proofErr w:type="spellEnd"/>
      <w:r w:rsidRPr="00857560">
        <w:rPr>
          <w:rFonts w:ascii="Times New Roman" w:hAnsi="Times New Roman" w:cs="Times New Roman"/>
          <w:sz w:val="20"/>
          <w:szCs w:val="20"/>
        </w:rPr>
        <w:t xml:space="preserve"> </w:t>
      </w:r>
      <w:proofErr w:type="spellStart"/>
      <w:r w:rsidRPr="00857560">
        <w:rPr>
          <w:rFonts w:ascii="Times New Roman" w:hAnsi="Times New Roman" w:cs="Times New Roman"/>
          <w:sz w:val="20"/>
          <w:szCs w:val="20"/>
        </w:rPr>
        <w:t>Mudgal</w:t>
      </w:r>
      <w:proofErr w:type="spellEnd"/>
      <w:r w:rsidR="00FB42C6">
        <w:rPr>
          <w:rFonts w:ascii="Times New Roman" w:hAnsi="Times New Roman" w:cs="Times New Roman"/>
          <w:sz w:val="20"/>
          <w:szCs w:val="20"/>
          <w:vertAlign w:val="superscript"/>
        </w:rPr>
        <w:t>*</w:t>
      </w:r>
      <w:r w:rsidRPr="00857560">
        <w:rPr>
          <w:rFonts w:ascii="Times New Roman" w:hAnsi="Times New Roman" w:cs="Times New Roman"/>
          <w:sz w:val="20"/>
          <w:szCs w:val="20"/>
        </w:rPr>
        <w:t xml:space="preserve">, </w:t>
      </w:r>
      <w:proofErr w:type="spellStart"/>
      <w:r w:rsidRPr="00857560">
        <w:rPr>
          <w:rFonts w:ascii="Times New Roman" w:hAnsi="Times New Roman" w:cs="Times New Roman"/>
          <w:sz w:val="20"/>
          <w:szCs w:val="20"/>
        </w:rPr>
        <w:t>Payal</w:t>
      </w:r>
      <w:proofErr w:type="spellEnd"/>
      <w:r w:rsidRPr="00857560">
        <w:rPr>
          <w:rFonts w:ascii="Times New Roman" w:hAnsi="Times New Roman" w:cs="Times New Roman"/>
          <w:sz w:val="20"/>
          <w:szCs w:val="20"/>
        </w:rPr>
        <w:t xml:space="preserve"> </w:t>
      </w:r>
      <w:proofErr w:type="spellStart"/>
      <w:r w:rsidRPr="00857560">
        <w:rPr>
          <w:rFonts w:ascii="Times New Roman" w:hAnsi="Times New Roman" w:cs="Times New Roman"/>
          <w:sz w:val="20"/>
          <w:szCs w:val="20"/>
        </w:rPr>
        <w:t>Rani</w:t>
      </w:r>
      <w:proofErr w:type="spellEnd"/>
      <w:r w:rsidRPr="00857560">
        <w:rPr>
          <w:rFonts w:ascii="Times New Roman" w:hAnsi="Times New Roman" w:cs="Times New Roman"/>
          <w:sz w:val="20"/>
          <w:szCs w:val="20"/>
        </w:rPr>
        <w:t xml:space="preserve"> </w:t>
      </w:r>
      <w:proofErr w:type="spellStart"/>
      <w:r w:rsidRPr="00857560">
        <w:rPr>
          <w:rFonts w:ascii="Times New Roman" w:hAnsi="Times New Roman" w:cs="Times New Roman"/>
          <w:sz w:val="20"/>
          <w:szCs w:val="20"/>
        </w:rPr>
        <w:t>Chaudhary</w:t>
      </w:r>
      <w:proofErr w:type="spellEnd"/>
      <w:r w:rsidR="006F6DF8">
        <w:rPr>
          <w:rFonts w:ascii="Times New Roman" w:hAnsi="Times New Roman" w:cs="Times New Roman"/>
          <w:sz w:val="20"/>
          <w:szCs w:val="20"/>
        </w:rPr>
        <w:t>, Yogesh Joshi</w:t>
      </w:r>
    </w:p>
    <w:p w:rsidR="006F6DF8" w:rsidRDefault="006F6DF8" w:rsidP="006F6DF8">
      <w:pPr>
        <w:spacing w:after="0" w:line="240" w:lineRule="auto"/>
        <w:jc w:val="both"/>
        <w:rPr>
          <w:rFonts w:ascii="Times New Roman" w:hAnsi="Times New Roman" w:cs="Times New Roman"/>
          <w:sz w:val="20"/>
          <w:szCs w:val="20"/>
        </w:rPr>
      </w:pPr>
    </w:p>
    <w:p w:rsidR="00224421" w:rsidRDefault="00224421" w:rsidP="006F6DF8">
      <w:pPr>
        <w:spacing w:after="0" w:line="240" w:lineRule="auto"/>
        <w:jc w:val="both"/>
        <w:rPr>
          <w:rFonts w:ascii="Times New Roman" w:hAnsi="Times New Roman" w:cs="Times New Roman"/>
          <w:sz w:val="20"/>
          <w:szCs w:val="20"/>
        </w:rPr>
      </w:pPr>
      <w:proofErr w:type="gramStart"/>
      <w:r w:rsidRPr="006F6DF8">
        <w:rPr>
          <w:rFonts w:ascii="Times New Roman" w:hAnsi="Times New Roman" w:cs="Times New Roman"/>
          <w:sz w:val="20"/>
          <w:szCs w:val="20"/>
        </w:rPr>
        <w:t>Department of Pharmacy</w:t>
      </w:r>
      <w:r w:rsidR="006F6DF8">
        <w:rPr>
          <w:rFonts w:ascii="Times New Roman" w:hAnsi="Times New Roman" w:cs="Times New Roman"/>
          <w:sz w:val="20"/>
          <w:szCs w:val="20"/>
        </w:rPr>
        <w:t xml:space="preserve"> Practice</w:t>
      </w:r>
      <w:r w:rsidRPr="006F6DF8">
        <w:rPr>
          <w:rFonts w:ascii="Times New Roman" w:hAnsi="Times New Roman" w:cs="Times New Roman"/>
          <w:sz w:val="20"/>
          <w:szCs w:val="20"/>
        </w:rPr>
        <w:t xml:space="preserve">, </w:t>
      </w:r>
      <w:r w:rsidR="006F6DF8">
        <w:rPr>
          <w:rFonts w:ascii="Times New Roman" w:hAnsi="Times New Roman" w:cs="Times New Roman"/>
          <w:sz w:val="20"/>
          <w:szCs w:val="20"/>
        </w:rPr>
        <w:t xml:space="preserve">School of Pharmaceutical Sciences, </w:t>
      </w:r>
      <w:r w:rsidRPr="006F6DF8">
        <w:rPr>
          <w:rFonts w:ascii="Times New Roman" w:hAnsi="Times New Roman" w:cs="Times New Roman"/>
          <w:sz w:val="20"/>
          <w:szCs w:val="20"/>
        </w:rPr>
        <w:t>S</w:t>
      </w:r>
      <w:r w:rsidR="006F6DF8">
        <w:rPr>
          <w:rFonts w:ascii="Times New Roman" w:hAnsi="Times New Roman" w:cs="Times New Roman"/>
          <w:sz w:val="20"/>
          <w:szCs w:val="20"/>
        </w:rPr>
        <w:t xml:space="preserve">hri </w:t>
      </w:r>
      <w:r w:rsidRPr="006F6DF8">
        <w:rPr>
          <w:rFonts w:ascii="Times New Roman" w:hAnsi="Times New Roman" w:cs="Times New Roman"/>
          <w:sz w:val="20"/>
          <w:szCs w:val="20"/>
        </w:rPr>
        <w:t>G</w:t>
      </w:r>
      <w:r w:rsidR="006F6DF8">
        <w:rPr>
          <w:rFonts w:ascii="Times New Roman" w:hAnsi="Times New Roman" w:cs="Times New Roman"/>
          <w:sz w:val="20"/>
          <w:szCs w:val="20"/>
        </w:rPr>
        <w:t xml:space="preserve">uru </w:t>
      </w:r>
      <w:r w:rsidRPr="006F6DF8">
        <w:rPr>
          <w:rFonts w:ascii="Times New Roman" w:hAnsi="Times New Roman" w:cs="Times New Roman"/>
          <w:sz w:val="20"/>
          <w:szCs w:val="20"/>
        </w:rPr>
        <w:t>R</w:t>
      </w:r>
      <w:r w:rsidR="006F6DF8">
        <w:rPr>
          <w:rFonts w:ascii="Times New Roman" w:hAnsi="Times New Roman" w:cs="Times New Roman"/>
          <w:sz w:val="20"/>
          <w:szCs w:val="20"/>
        </w:rPr>
        <w:t xml:space="preserve">am </w:t>
      </w:r>
      <w:r w:rsidRPr="006F6DF8">
        <w:rPr>
          <w:rFonts w:ascii="Times New Roman" w:hAnsi="Times New Roman" w:cs="Times New Roman"/>
          <w:sz w:val="20"/>
          <w:szCs w:val="20"/>
        </w:rPr>
        <w:t>R</w:t>
      </w:r>
      <w:r w:rsidR="006F6DF8">
        <w:rPr>
          <w:rFonts w:ascii="Times New Roman" w:hAnsi="Times New Roman" w:cs="Times New Roman"/>
          <w:sz w:val="20"/>
          <w:szCs w:val="20"/>
        </w:rPr>
        <w:t xml:space="preserve">ai </w:t>
      </w:r>
      <w:r w:rsidRPr="006F6DF8">
        <w:rPr>
          <w:rFonts w:ascii="Times New Roman" w:hAnsi="Times New Roman" w:cs="Times New Roman"/>
          <w:sz w:val="20"/>
          <w:szCs w:val="20"/>
        </w:rPr>
        <w:t>U</w:t>
      </w:r>
      <w:r w:rsidR="006F6DF8">
        <w:rPr>
          <w:rFonts w:ascii="Times New Roman" w:hAnsi="Times New Roman" w:cs="Times New Roman"/>
          <w:sz w:val="20"/>
          <w:szCs w:val="20"/>
        </w:rPr>
        <w:t>niversity</w:t>
      </w:r>
      <w:r w:rsidRPr="006F6DF8">
        <w:rPr>
          <w:rFonts w:ascii="Times New Roman" w:hAnsi="Times New Roman" w:cs="Times New Roman"/>
          <w:sz w:val="20"/>
          <w:szCs w:val="20"/>
        </w:rPr>
        <w:t>, Dehradun</w:t>
      </w:r>
      <w:r w:rsidR="006F6DF8">
        <w:rPr>
          <w:rFonts w:ascii="Times New Roman" w:hAnsi="Times New Roman" w:cs="Times New Roman"/>
          <w:sz w:val="20"/>
          <w:szCs w:val="20"/>
        </w:rPr>
        <w:t>-248001</w:t>
      </w:r>
      <w:r w:rsidRPr="006F6DF8">
        <w:rPr>
          <w:rFonts w:ascii="Times New Roman" w:hAnsi="Times New Roman" w:cs="Times New Roman"/>
          <w:sz w:val="20"/>
          <w:szCs w:val="20"/>
        </w:rPr>
        <w:t xml:space="preserve">, </w:t>
      </w:r>
      <w:r w:rsidR="006F6DF8" w:rsidRPr="006F6DF8">
        <w:rPr>
          <w:rFonts w:ascii="Times New Roman" w:hAnsi="Times New Roman" w:cs="Times New Roman"/>
          <w:sz w:val="20"/>
          <w:szCs w:val="20"/>
        </w:rPr>
        <w:t>Uttarakhand</w:t>
      </w:r>
      <w:r w:rsidRPr="006F6DF8">
        <w:rPr>
          <w:rFonts w:ascii="Times New Roman" w:hAnsi="Times New Roman" w:cs="Times New Roman"/>
          <w:sz w:val="20"/>
          <w:szCs w:val="20"/>
        </w:rPr>
        <w:t>, India</w:t>
      </w:r>
      <w:r w:rsidR="006F6DF8">
        <w:rPr>
          <w:rFonts w:ascii="Times New Roman" w:hAnsi="Times New Roman" w:cs="Times New Roman"/>
          <w:sz w:val="20"/>
          <w:szCs w:val="20"/>
        </w:rPr>
        <w:t>.</w:t>
      </w:r>
      <w:proofErr w:type="gramEnd"/>
    </w:p>
    <w:p w:rsidR="006F6DF8" w:rsidRDefault="00FB42C6" w:rsidP="006F6DF8">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vertAlign w:val="superscript"/>
        </w:rPr>
        <w:t>*</w:t>
      </w:r>
      <w:r>
        <w:rPr>
          <w:rFonts w:ascii="Times New Roman" w:hAnsi="Times New Roman" w:cs="Times New Roman"/>
          <w:b/>
          <w:bCs/>
          <w:sz w:val="20"/>
          <w:szCs w:val="20"/>
        </w:rPr>
        <w:t>Corresponding Author: aryamudgal055@gmail.com</w:t>
      </w:r>
    </w:p>
    <w:p w:rsidR="00FB42C6" w:rsidRDefault="00FB42C6" w:rsidP="006F6DF8">
      <w:pPr>
        <w:spacing w:after="0" w:line="240" w:lineRule="auto"/>
        <w:jc w:val="both"/>
        <w:rPr>
          <w:rFonts w:ascii="Times New Roman" w:hAnsi="Times New Roman" w:cs="Times New Roman"/>
          <w:b/>
          <w:bCs/>
          <w:sz w:val="20"/>
          <w:szCs w:val="20"/>
        </w:rPr>
      </w:pPr>
    </w:p>
    <w:p w:rsidR="00FB42C6" w:rsidRPr="00FB42C6" w:rsidRDefault="00FB42C6" w:rsidP="006F6DF8">
      <w:pPr>
        <w:spacing w:after="0" w:line="240" w:lineRule="auto"/>
        <w:jc w:val="both"/>
        <w:rPr>
          <w:rFonts w:ascii="Times New Roman" w:hAnsi="Times New Roman" w:cs="Times New Roman"/>
          <w:b/>
          <w:bCs/>
          <w:sz w:val="20"/>
          <w:szCs w:val="20"/>
        </w:rPr>
      </w:pPr>
    </w:p>
    <w:p w:rsidR="00224421" w:rsidRPr="006F6DF8" w:rsidRDefault="00224421" w:rsidP="006F6DF8">
      <w:pPr>
        <w:spacing w:after="0" w:line="240" w:lineRule="auto"/>
        <w:jc w:val="both"/>
        <w:rPr>
          <w:rFonts w:ascii="Times New Roman" w:hAnsi="Times New Roman" w:cs="Times New Roman"/>
          <w:sz w:val="20"/>
          <w:szCs w:val="20"/>
        </w:rPr>
      </w:pPr>
    </w:p>
    <w:p w:rsidR="00656710" w:rsidRPr="006F6DF8" w:rsidRDefault="006F6DF8" w:rsidP="006F6DF8">
      <w:pPr>
        <w:spacing w:after="0" w:line="240" w:lineRule="auto"/>
        <w:jc w:val="center"/>
        <w:rPr>
          <w:rFonts w:ascii="Times New Roman" w:hAnsi="Times New Roman" w:cs="Times New Roman"/>
          <w:b/>
          <w:bCs/>
          <w:sz w:val="20"/>
          <w:szCs w:val="20"/>
        </w:rPr>
      </w:pPr>
      <w:r w:rsidRPr="006F6DF8">
        <w:rPr>
          <w:rFonts w:ascii="Times New Roman" w:hAnsi="Times New Roman" w:cs="Times New Roman"/>
          <w:b/>
          <w:bCs/>
          <w:sz w:val="20"/>
          <w:szCs w:val="20"/>
        </w:rPr>
        <w:t>ABSTRACT</w:t>
      </w:r>
    </w:p>
    <w:p w:rsidR="00035D01" w:rsidRPr="006F6DF8" w:rsidRDefault="00035D01" w:rsidP="006F6DF8">
      <w:pPr>
        <w:spacing w:after="0" w:line="240" w:lineRule="auto"/>
        <w:ind w:firstLine="720"/>
        <w:jc w:val="both"/>
        <w:rPr>
          <w:rFonts w:ascii="Times New Roman" w:hAnsi="Times New Roman" w:cs="Times New Roman"/>
          <w:sz w:val="20"/>
          <w:szCs w:val="20"/>
        </w:rPr>
      </w:pPr>
      <w:r w:rsidRPr="006F6DF8">
        <w:rPr>
          <w:rFonts w:ascii="Times New Roman" w:hAnsi="Times New Roman" w:cs="Times New Roman"/>
          <w:sz w:val="20"/>
          <w:szCs w:val="20"/>
        </w:rPr>
        <w:t>A small percentage of documented congenital malformations with a recognised aetiology</w:t>
      </w:r>
      <w:r w:rsidR="006F6DF8">
        <w:rPr>
          <w:rFonts w:ascii="Times New Roman" w:hAnsi="Times New Roman" w:cs="Times New Roman"/>
          <w:sz w:val="20"/>
          <w:szCs w:val="20"/>
        </w:rPr>
        <w:t xml:space="preserve">, </w:t>
      </w:r>
      <w:r w:rsidRPr="006F6DF8">
        <w:rPr>
          <w:rFonts w:ascii="Times New Roman" w:hAnsi="Times New Roman" w:cs="Times New Roman"/>
          <w:sz w:val="20"/>
          <w:szCs w:val="20"/>
        </w:rPr>
        <w:t>about 1%</w:t>
      </w:r>
      <w:r w:rsidR="006F6DF8">
        <w:rPr>
          <w:rFonts w:ascii="Times New Roman" w:hAnsi="Times New Roman" w:cs="Times New Roman"/>
          <w:sz w:val="20"/>
          <w:szCs w:val="20"/>
        </w:rPr>
        <w:t xml:space="preserve">, </w:t>
      </w:r>
      <w:r w:rsidRPr="006F6DF8">
        <w:rPr>
          <w:rFonts w:ascii="Times New Roman" w:hAnsi="Times New Roman" w:cs="Times New Roman"/>
          <w:sz w:val="20"/>
          <w:szCs w:val="20"/>
        </w:rPr>
        <w:t xml:space="preserve">are problems related to pharmacological therapy. </w:t>
      </w:r>
      <w:r w:rsidR="00FD5577" w:rsidRPr="006F6DF8">
        <w:rPr>
          <w:rFonts w:ascii="Times New Roman" w:hAnsi="Times New Roman" w:cs="Times New Roman"/>
          <w:sz w:val="20"/>
          <w:szCs w:val="20"/>
        </w:rPr>
        <w:t>This shows that responsible and cautious drug use is a viable way of prevention among fertile women, especially pregnant women.</w:t>
      </w:r>
      <w:r w:rsidR="00E13346" w:rsidRPr="006F6DF8">
        <w:rPr>
          <w:rFonts w:ascii="Times New Roman" w:hAnsi="Times New Roman" w:cs="Times New Roman"/>
          <w:sz w:val="20"/>
          <w:szCs w:val="20"/>
        </w:rPr>
        <w:t>It takes careful consideration of both experimental data from animals and human experience to identify a drug's teratogenic effect. 40% of pregnancies are unplanned, therefore it stands to reason that any medication with teratogenic potential should only be administered under close medical supervision. Also, adequate awareness of a drug's potential teratogenicity allows for modification of treatment prior to conception</w:t>
      </w:r>
      <w:r w:rsidR="00FD5577" w:rsidRPr="006F6DF8">
        <w:rPr>
          <w:rFonts w:ascii="Times New Roman" w:hAnsi="Times New Roman" w:cs="Times New Roman"/>
          <w:sz w:val="20"/>
          <w:szCs w:val="20"/>
        </w:rPr>
        <w:t>. Any medication should only be used if absolutely essential during pregnancy, and it is advisable to use only those for which adequate information is provided and prior clinical experience is available.Teratology Information Services can assist both medical professionals and patients when there is any doubt.</w:t>
      </w:r>
    </w:p>
    <w:p w:rsidR="006F6DF8" w:rsidRDefault="006F6DF8" w:rsidP="006F6DF8">
      <w:pPr>
        <w:spacing w:after="0" w:line="240" w:lineRule="auto"/>
        <w:jc w:val="both"/>
        <w:rPr>
          <w:rFonts w:ascii="Times New Roman" w:hAnsi="Times New Roman" w:cs="Times New Roman"/>
          <w:b/>
          <w:bCs/>
          <w:sz w:val="20"/>
          <w:szCs w:val="20"/>
        </w:rPr>
      </w:pPr>
    </w:p>
    <w:p w:rsidR="00E13346" w:rsidRPr="006F6DF8" w:rsidRDefault="00E13346" w:rsidP="006F6DF8">
      <w:pPr>
        <w:spacing w:after="0" w:line="240" w:lineRule="auto"/>
        <w:jc w:val="both"/>
        <w:rPr>
          <w:rFonts w:ascii="Times New Roman" w:hAnsi="Times New Roman" w:cs="Times New Roman"/>
          <w:sz w:val="20"/>
          <w:szCs w:val="20"/>
        </w:rPr>
      </w:pPr>
      <w:r w:rsidRPr="006F6DF8">
        <w:rPr>
          <w:rFonts w:ascii="Times New Roman" w:hAnsi="Times New Roman" w:cs="Times New Roman"/>
          <w:b/>
          <w:bCs/>
          <w:sz w:val="20"/>
          <w:szCs w:val="20"/>
        </w:rPr>
        <w:t>Keywords</w:t>
      </w:r>
      <w:r w:rsidRPr="006F6DF8">
        <w:rPr>
          <w:rFonts w:ascii="Times New Roman" w:hAnsi="Times New Roman" w:cs="Times New Roman"/>
          <w:sz w:val="20"/>
          <w:szCs w:val="20"/>
        </w:rPr>
        <w:t xml:space="preserve"> - Pregnant, Drugs, Medication, Women, Harmful</w:t>
      </w:r>
    </w:p>
    <w:p w:rsidR="006F6DF8" w:rsidRDefault="006F6DF8" w:rsidP="006F6DF8">
      <w:pPr>
        <w:spacing w:after="0" w:line="240" w:lineRule="auto"/>
        <w:jc w:val="both"/>
        <w:rPr>
          <w:rFonts w:ascii="Times New Roman" w:hAnsi="Times New Roman" w:cs="Times New Roman"/>
          <w:b/>
          <w:bCs/>
          <w:sz w:val="20"/>
          <w:szCs w:val="20"/>
        </w:rPr>
      </w:pPr>
    </w:p>
    <w:p w:rsidR="00280B19" w:rsidRDefault="006F6DF8" w:rsidP="006F6DF8">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 </w:t>
      </w:r>
      <w:r w:rsidRPr="006F6DF8">
        <w:rPr>
          <w:rFonts w:ascii="Times New Roman" w:hAnsi="Times New Roman" w:cs="Times New Roman"/>
          <w:b/>
          <w:bCs/>
          <w:sz w:val="20"/>
          <w:szCs w:val="20"/>
        </w:rPr>
        <w:t>INTRODUCTION</w:t>
      </w:r>
    </w:p>
    <w:p w:rsidR="00387D85" w:rsidRPr="006F6DF8" w:rsidRDefault="00387D85" w:rsidP="006F6DF8">
      <w:pPr>
        <w:spacing w:after="0" w:line="240" w:lineRule="auto"/>
        <w:jc w:val="center"/>
        <w:rPr>
          <w:rFonts w:ascii="Times New Roman" w:hAnsi="Times New Roman" w:cs="Times New Roman"/>
          <w:b/>
          <w:bCs/>
          <w:sz w:val="20"/>
          <w:szCs w:val="20"/>
        </w:rPr>
      </w:pPr>
    </w:p>
    <w:p w:rsidR="00BD0554" w:rsidRPr="006F6DF8" w:rsidRDefault="00BD0554" w:rsidP="006F6DF8">
      <w:pPr>
        <w:spacing w:after="0" w:line="240" w:lineRule="auto"/>
        <w:ind w:firstLine="720"/>
        <w:jc w:val="both"/>
        <w:rPr>
          <w:rFonts w:ascii="Times New Roman" w:hAnsi="Times New Roman" w:cs="Times New Roman"/>
          <w:sz w:val="20"/>
          <w:szCs w:val="20"/>
        </w:rPr>
      </w:pPr>
      <w:r w:rsidRPr="006F6DF8">
        <w:rPr>
          <w:rFonts w:ascii="Times New Roman" w:hAnsi="Times New Roman" w:cs="Times New Roman"/>
          <w:sz w:val="20"/>
          <w:szCs w:val="20"/>
        </w:rPr>
        <w:t>Congenital defects, which might be related to structural, anatomical, metabolic, or functional problems, may occur in 5% of all births (including mental retardation). Genetic aberrations, physical, viral, or chemical factors are possible causes</w:t>
      </w:r>
      <w:r w:rsidR="006F6DF8">
        <w:rPr>
          <w:rFonts w:ascii="Times New Roman" w:hAnsi="Times New Roman" w:cs="Times New Roman"/>
          <w:sz w:val="20"/>
          <w:szCs w:val="20"/>
        </w:rPr>
        <w:t xml:space="preserve">, </w:t>
      </w:r>
      <w:r w:rsidRPr="006F6DF8">
        <w:rPr>
          <w:rFonts w:ascii="Times New Roman" w:hAnsi="Times New Roman" w:cs="Times New Roman"/>
          <w:sz w:val="20"/>
          <w:szCs w:val="20"/>
        </w:rPr>
        <w:t>which respond throughout foetal life, causing persistent harm to the subject's health and necessitating medical care [</w:t>
      </w:r>
      <w:r w:rsidR="00035D01" w:rsidRPr="006F6DF8">
        <w:rPr>
          <w:rFonts w:ascii="Times New Roman" w:hAnsi="Times New Roman" w:cs="Times New Roman"/>
          <w:sz w:val="20"/>
          <w:szCs w:val="20"/>
        </w:rPr>
        <w:t>1,2</w:t>
      </w:r>
      <w:r w:rsidRPr="006F6DF8">
        <w:rPr>
          <w:rFonts w:ascii="Times New Roman" w:hAnsi="Times New Roman" w:cs="Times New Roman"/>
          <w:sz w:val="20"/>
          <w:szCs w:val="20"/>
        </w:rPr>
        <w:t>]. Genetic factors are the likely culprit in 25% of cases, whereas environmental (chemical, physical, or biological) variables are the likely culprit in 10% of cases and can directly affect and alter embryo-foetal development [</w:t>
      </w:r>
      <w:r w:rsidR="00035D01" w:rsidRPr="006F6DF8">
        <w:rPr>
          <w:rFonts w:ascii="Times New Roman" w:hAnsi="Times New Roman" w:cs="Times New Roman"/>
          <w:sz w:val="20"/>
          <w:szCs w:val="20"/>
        </w:rPr>
        <w:t>3</w:t>
      </w:r>
      <w:r w:rsidRPr="006F6DF8">
        <w:rPr>
          <w:rFonts w:ascii="Times New Roman" w:hAnsi="Times New Roman" w:cs="Times New Roman"/>
          <w:sz w:val="20"/>
          <w:szCs w:val="20"/>
        </w:rPr>
        <w:t>].</w:t>
      </w:r>
    </w:p>
    <w:p w:rsidR="00BD0554" w:rsidRPr="006F6DF8" w:rsidRDefault="00BD0554" w:rsidP="006F6DF8">
      <w:pPr>
        <w:spacing w:after="0" w:line="240" w:lineRule="auto"/>
        <w:ind w:firstLine="720"/>
        <w:jc w:val="both"/>
        <w:rPr>
          <w:rFonts w:ascii="Times New Roman" w:hAnsi="Times New Roman" w:cs="Times New Roman"/>
          <w:sz w:val="20"/>
          <w:szCs w:val="20"/>
        </w:rPr>
      </w:pPr>
      <w:r w:rsidRPr="006F6DF8">
        <w:rPr>
          <w:rFonts w:ascii="Times New Roman" w:hAnsi="Times New Roman" w:cs="Times New Roman"/>
          <w:sz w:val="20"/>
          <w:szCs w:val="20"/>
        </w:rPr>
        <w:t>Around 1% of all congenital abnormalities with established aetiologies are caused by exogenous factors, including medicines [</w:t>
      </w:r>
      <w:r w:rsidR="00035D01" w:rsidRPr="006F6DF8">
        <w:rPr>
          <w:rFonts w:ascii="Times New Roman" w:hAnsi="Times New Roman" w:cs="Times New Roman"/>
          <w:sz w:val="20"/>
          <w:szCs w:val="20"/>
        </w:rPr>
        <w:t>4</w:t>
      </w:r>
      <w:r w:rsidRPr="006F6DF8">
        <w:rPr>
          <w:rFonts w:ascii="Times New Roman" w:hAnsi="Times New Roman" w:cs="Times New Roman"/>
          <w:sz w:val="20"/>
          <w:szCs w:val="20"/>
        </w:rPr>
        <w:t>]. It follows that safe and responsible drug use is a key component of effective and attainable prevention in women who are fertile or pregnant.</w:t>
      </w:r>
    </w:p>
    <w:p w:rsidR="00BD0554" w:rsidRPr="006F6DF8" w:rsidRDefault="00BD0554" w:rsidP="006F6DF8">
      <w:pPr>
        <w:spacing w:after="0" w:line="240" w:lineRule="auto"/>
        <w:ind w:firstLine="720"/>
        <w:jc w:val="both"/>
        <w:rPr>
          <w:rFonts w:ascii="Times New Roman" w:hAnsi="Times New Roman" w:cs="Times New Roman"/>
          <w:sz w:val="20"/>
          <w:szCs w:val="20"/>
        </w:rPr>
      </w:pPr>
      <w:r w:rsidRPr="006F6DF8">
        <w:rPr>
          <w:rFonts w:ascii="Times New Roman" w:hAnsi="Times New Roman" w:cs="Times New Roman"/>
          <w:sz w:val="20"/>
          <w:szCs w:val="20"/>
        </w:rPr>
        <w:t>In clinical practise, numerous pharmacological risk classifications for pregnancy that have been assembled by different countries might be referred to. In specifically, the American Food and Drug Administration (FDA) developed five pharmacological classifications in 1979 based on information gathered from both human and animal subjects: A, B, C, D, and X</w:t>
      </w:r>
    </w:p>
    <w:p w:rsidR="00BD0554" w:rsidRPr="00387D85" w:rsidRDefault="00BD0554" w:rsidP="00387D85">
      <w:pPr>
        <w:pStyle w:val="ListParagraph"/>
        <w:numPr>
          <w:ilvl w:val="0"/>
          <w:numId w:val="7"/>
        </w:numPr>
        <w:spacing w:after="0" w:line="240" w:lineRule="auto"/>
        <w:ind w:left="180" w:hanging="180"/>
        <w:jc w:val="both"/>
        <w:rPr>
          <w:rFonts w:ascii="Times New Roman" w:hAnsi="Times New Roman" w:cs="Times New Roman"/>
          <w:sz w:val="20"/>
          <w:szCs w:val="20"/>
        </w:rPr>
      </w:pPr>
      <w:r w:rsidRPr="00387D85">
        <w:rPr>
          <w:rFonts w:ascii="Times New Roman" w:hAnsi="Times New Roman" w:cs="Times New Roman"/>
          <w:sz w:val="20"/>
          <w:szCs w:val="20"/>
        </w:rPr>
        <w:t>Category A: There is no indication of a risk to the foetus during the first trimester of pregnancy in controlled trials in men, and there is little chance that the foetus would suffer harm.</w:t>
      </w:r>
    </w:p>
    <w:p w:rsidR="00BD0554" w:rsidRPr="00387D85" w:rsidRDefault="00BD0554" w:rsidP="00387D85">
      <w:pPr>
        <w:pStyle w:val="ListParagraph"/>
        <w:numPr>
          <w:ilvl w:val="0"/>
          <w:numId w:val="7"/>
        </w:numPr>
        <w:spacing w:after="0" w:line="240" w:lineRule="auto"/>
        <w:ind w:left="180" w:hanging="180"/>
        <w:jc w:val="both"/>
        <w:rPr>
          <w:rFonts w:ascii="Times New Roman" w:hAnsi="Times New Roman" w:cs="Times New Roman"/>
          <w:sz w:val="20"/>
          <w:szCs w:val="20"/>
        </w:rPr>
      </w:pPr>
      <w:r w:rsidRPr="00387D85">
        <w:rPr>
          <w:rFonts w:ascii="Times New Roman" w:hAnsi="Times New Roman" w:cs="Times New Roman"/>
          <w:sz w:val="20"/>
          <w:szCs w:val="20"/>
        </w:rPr>
        <w:t xml:space="preserve">Category B: There are no controlled human trials; reproductive research in animals have not shown a harm to the foetus. </w:t>
      </w:r>
      <w:r w:rsidR="00FD5577" w:rsidRPr="00387D85">
        <w:rPr>
          <w:rFonts w:ascii="Times New Roman" w:hAnsi="Times New Roman" w:cs="Times New Roman"/>
          <w:sz w:val="20"/>
          <w:szCs w:val="20"/>
        </w:rPr>
        <w:t xml:space="preserve">or research involving animals </w:t>
      </w:r>
      <w:r w:rsidRPr="00387D85">
        <w:rPr>
          <w:rFonts w:ascii="Times New Roman" w:hAnsi="Times New Roman" w:cs="Times New Roman"/>
          <w:sz w:val="20"/>
          <w:szCs w:val="20"/>
        </w:rPr>
        <w:t xml:space="preserve">point to a </w:t>
      </w:r>
      <w:r w:rsidR="00FD5577" w:rsidRPr="00387D85">
        <w:rPr>
          <w:rFonts w:ascii="Times New Roman" w:hAnsi="Times New Roman" w:cs="Times New Roman"/>
          <w:sz w:val="20"/>
          <w:szCs w:val="20"/>
        </w:rPr>
        <w:t>damaging outcome (other than a decline in fertility</w:t>
      </w:r>
      <w:r w:rsidR="00FC12E9" w:rsidRPr="00387D85">
        <w:rPr>
          <w:rFonts w:ascii="Times New Roman" w:hAnsi="Times New Roman" w:cs="Times New Roman"/>
          <w:sz w:val="20"/>
          <w:szCs w:val="20"/>
        </w:rPr>
        <w:t>) that hasn't been proven by careful study in pregnant individuals. (Nevertheless, there is no proof that damage occurred during the later stages of pregnancy.)</w:t>
      </w:r>
    </w:p>
    <w:p w:rsidR="00BD0554" w:rsidRPr="00387D85" w:rsidRDefault="00BD0554" w:rsidP="00387D85">
      <w:pPr>
        <w:pStyle w:val="ListParagraph"/>
        <w:numPr>
          <w:ilvl w:val="0"/>
          <w:numId w:val="7"/>
        </w:numPr>
        <w:spacing w:after="0" w:line="240" w:lineRule="auto"/>
        <w:ind w:left="180" w:hanging="180"/>
        <w:jc w:val="both"/>
        <w:rPr>
          <w:rFonts w:ascii="Times New Roman" w:hAnsi="Times New Roman" w:cs="Times New Roman"/>
          <w:sz w:val="20"/>
          <w:szCs w:val="20"/>
        </w:rPr>
      </w:pPr>
      <w:r w:rsidRPr="00387D85">
        <w:rPr>
          <w:rFonts w:ascii="Times New Roman" w:hAnsi="Times New Roman" w:cs="Times New Roman"/>
          <w:sz w:val="20"/>
          <w:szCs w:val="20"/>
        </w:rPr>
        <w:t xml:space="preserve">Category C: </w:t>
      </w:r>
      <w:r w:rsidR="00FC12E9" w:rsidRPr="00387D85">
        <w:rPr>
          <w:rFonts w:ascii="Times New Roman" w:hAnsi="Times New Roman" w:cs="Times New Roman"/>
          <w:sz w:val="20"/>
          <w:szCs w:val="20"/>
        </w:rPr>
        <w:t xml:space="preserve">No controlled trials have been conducted in women, or there are no studies available in either men or animals, despite research in animals showing deleterious (teratogenic, lethal, or other) effects on the foetus. </w:t>
      </w:r>
      <w:r w:rsidRPr="00387D85">
        <w:rPr>
          <w:rFonts w:ascii="Times New Roman" w:hAnsi="Times New Roman" w:cs="Times New Roman"/>
          <w:sz w:val="20"/>
          <w:szCs w:val="20"/>
        </w:rPr>
        <w:t>Only if the potential benefit outweighs any potential risk to the foetus should the medication be provided.</w:t>
      </w:r>
    </w:p>
    <w:p w:rsidR="00BD0554" w:rsidRPr="00387D85" w:rsidRDefault="00BD0554" w:rsidP="00387D85">
      <w:pPr>
        <w:pStyle w:val="ListParagraph"/>
        <w:numPr>
          <w:ilvl w:val="0"/>
          <w:numId w:val="7"/>
        </w:numPr>
        <w:spacing w:after="0" w:line="240" w:lineRule="auto"/>
        <w:ind w:left="180" w:hanging="180"/>
        <w:jc w:val="both"/>
        <w:rPr>
          <w:rFonts w:ascii="Times New Roman" w:hAnsi="Times New Roman" w:cs="Times New Roman"/>
          <w:sz w:val="20"/>
          <w:szCs w:val="20"/>
        </w:rPr>
      </w:pPr>
      <w:r w:rsidRPr="00387D85">
        <w:rPr>
          <w:rFonts w:ascii="Times New Roman" w:hAnsi="Times New Roman" w:cs="Times New Roman"/>
          <w:sz w:val="20"/>
          <w:szCs w:val="20"/>
        </w:rPr>
        <w:t xml:space="preserve">Category D: </w:t>
      </w:r>
      <w:r w:rsidR="00FC12E9" w:rsidRPr="00387D85">
        <w:rPr>
          <w:rFonts w:ascii="Times New Roman" w:hAnsi="Times New Roman" w:cs="Times New Roman"/>
          <w:sz w:val="20"/>
          <w:szCs w:val="20"/>
        </w:rPr>
        <w:t xml:space="preserve">There is proof of a </w:t>
      </w:r>
      <w:r w:rsidRPr="00387D85">
        <w:rPr>
          <w:rFonts w:ascii="Times New Roman" w:hAnsi="Times New Roman" w:cs="Times New Roman"/>
          <w:sz w:val="20"/>
          <w:szCs w:val="20"/>
        </w:rPr>
        <w:t xml:space="preserve">danger to the foetus in males, although there may be benefits to using the drug during pregnancy that outweigh </w:t>
      </w:r>
      <w:r w:rsidR="00476699" w:rsidRPr="00387D85">
        <w:rPr>
          <w:rFonts w:ascii="Times New Roman" w:hAnsi="Times New Roman" w:cs="Times New Roman"/>
          <w:sz w:val="20"/>
          <w:szCs w:val="20"/>
        </w:rPr>
        <w:t xml:space="preserve">the danger </w:t>
      </w:r>
      <w:r w:rsidRPr="00387D85">
        <w:rPr>
          <w:rFonts w:ascii="Times New Roman" w:hAnsi="Times New Roman" w:cs="Times New Roman"/>
          <w:sz w:val="20"/>
          <w:szCs w:val="20"/>
        </w:rPr>
        <w:t xml:space="preserve">(e.g., </w:t>
      </w:r>
      <w:r w:rsidR="00476699" w:rsidRPr="00387D85">
        <w:rPr>
          <w:rFonts w:ascii="Times New Roman" w:hAnsi="Times New Roman" w:cs="Times New Roman"/>
          <w:sz w:val="20"/>
          <w:szCs w:val="20"/>
        </w:rPr>
        <w:t xml:space="preserve">the </w:t>
      </w:r>
      <w:r w:rsidR="006F6DF8" w:rsidRPr="00387D85">
        <w:rPr>
          <w:rFonts w:ascii="Times New Roman" w:hAnsi="Times New Roman" w:cs="Times New Roman"/>
          <w:sz w:val="20"/>
          <w:szCs w:val="20"/>
        </w:rPr>
        <w:t>medication is</w:t>
      </w:r>
      <w:r w:rsidRPr="00387D85">
        <w:rPr>
          <w:rFonts w:ascii="Times New Roman" w:hAnsi="Times New Roman" w:cs="Times New Roman"/>
          <w:sz w:val="20"/>
          <w:szCs w:val="20"/>
        </w:rPr>
        <w:t xml:space="preserve"> required for the patient's survival or to treat a serious condition </w:t>
      </w:r>
      <w:r w:rsidR="00476699" w:rsidRPr="00387D85">
        <w:rPr>
          <w:rFonts w:ascii="Times New Roman" w:hAnsi="Times New Roman" w:cs="Times New Roman"/>
          <w:sz w:val="20"/>
          <w:szCs w:val="20"/>
        </w:rPr>
        <w:t>when safer medications are unavailable or ineffective.</w:t>
      </w:r>
    </w:p>
    <w:p w:rsidR="00BD0554" w:rsidRPr="00387D85" w:rsidRDefault="00BD0554" w:rsidP="00387D85">
      <w:pPr>
        <w:pStyle w:val="ListParagraph"/>
        <w:numPr>
          <w:ilvl w:val="0"/>
          <w:numId w:val="7"/>
        </w:numPr>
        <w:spacing w:after="0" w:line="240" w:lineRule="auto"/>
        <w:ind w:left="180" w:hanging="180"/>
        <w:jc w:val="both"/>
        <w:rPr>
          <w:rFonts w:ascii="Times New Roman" w:hAnsi="Times New Roman" w:cs="Times New Roman"/>
          <w:sz w:val="20"/>
          <w:szCs w:val="20"/>
        </w:rPr>
      </w:pPr>
      <w:r w:rsidRPr="00387D85">
        <w:rPr>
          <w:rFonts w:ascii="Times New Roman" w:hAnsi="Times New Roman" w:cs="Times New Roman"/>
          <w:sz w:val="20"/>
          <w:szCs w:val="20"/>
        </w:rPr>
        <w:t>Category X:</w:t>
      </w:r>
      <w:r w:rsidR="00476699" w:rsidRPr="00387D85">
        <w:rPr>
          <w:rFonts w:ascii="Times New Roman" w:hAnsi="Times New Roman" w:cs="Times New Roman"/>
          <w:sz w:val="20"/>
          <w:szCs w:val="20"/>
        </w:rPr>
        <w:t>There is evidence of harm to foetuses based on personal experience or research on animals and people that has identified foetal abnormalities</w:t>
      </w:r>
      <w:r w:rsidRPr="00387D85">
        <w:rPr>
          <w:rFonts w:ascii="Times New Roman" w:hAnsi="Times New Roman" w:cs="Times New Roman"/>
          <w:sz w:val="20"/>
          <w:szCs w:val="20"/>
        </w:rPr>
        <w:t>, or both, and using the substance while pregnant definitely carries more risk than reward. Pregnant or potentially pregnant women should not take the medication.</w:t>
      </w:r>
    </w:p>
    <w:p w:rsidR="00BD0554" w:rsidRPr="006F6DF8" w:rsidRDefault="00FE65CA" w:rsidP="00387D85">
      <w:pPr>
        <w:spacing w:after="0" w:line="240" w:lineRule="auto"/>
        <w:ind w:firstLine="720"/>
        <w:jc w:val="both"/>
        <w:rPr>
          <w:rFonts w:ascii="Times New Roman" w:hAnsi="Times New Roman" w:cs="Times New Roman"/>
          <w:sz w:val="20"/>
          <w:szCs w:val="20"/>
        </w:rPr>
      </w:pPr>
      <w:r w:rsidRPr="006F6DF8">
        <w:rPr>
          <w:rFonts w:ascii="Times New Roman" w:hAnsi="Times New Roman" w:cs="Times New Roman"/>
          <w:sz w:val="20"/>
          <w:szCs w:val="20"/>
        </w:rPr>
        <w:lastRenderedPageBreak/>
        <w:t xml:space="preserve">Pregnant women are advised to avoid drugs in class A, while class X drugs have a history of teratogenicity. These classifications are usually incomplete and out of date in practise, which makes it challenging for doctors to interpret them and causes patients' concern. </w:t>
      </w:r>
      <w:r w:rsidR="00476699" w:rsidRPr="006F6DF8">
        <w:rPr>
          <w:rFonts w:ascii="Times New Roman" w:hAnsi="Times New Roman" w:cs="Times New Roman"/>
          <w:sz w:val="20"/>
          <w:szCs w:val="20"/>
        </w:rPr>
        <w:t>If the classifications are to be a helpful starting point for the evaluation of pharmaceutical risk, they must be revised regularly to incorporate the most recent data from the literature and the rigorous clinical examination of each patient</w:t>
      </w:r>
      <w:r w:rsidRPr="006F6DF8">
        <w:rPr>
          <w:rFonts w:ascii="Times New Roman" w:hAnsi="Times New Roman" w:cs="Times New Roman"/>
          <w:sz w:val="20"/>
          <w:szCs w:val="20"/>
        </w:rPr>
        <w:t>[</w:t>
      </w:r>
      <w:r w:rsidR="00035D01" w:rsidRPr="006F6DF8">
        <w:rPr>
          <w:rFonts w:ascii="Times New Roman" w:hAnsi="Times New Roman" w:cs="Times New Roman"/>
          <w:sz w:val="20"/>
          <w:szCs w:val="20"/>
        </w:rPr>
        <w:t>5</w:t>
      </w:r>
      <w:r w:rsidRPr="006F6DF8">
        <w:rPr>
          <w:rFonts w:ascii="Times New Roman" w:hAnsi="Times New Roman" w:cs="Times New Roman"/>
          <w:sz w:val="20"/>
          <w:szCs w:val="20"/>
        </w:rPr>
        <w:t>].</w:t>
      </w:r>
    </w:p>
    <w:p w:rsidR="004224F3" w:rsidRPr="006F6DF8" w:rsidRDefault="004224F3" w:rsidP="006F6DF8">
      <w:pPr>
        <w:spacing w:after="0" w:line="240" w:lineRule="auto"/>
        <w:jc w:val="both"/>
        <w:rPr>
          <w:rFonts w:ascii="Times New Roman" w:hAnsi="Times New Roman" w:cs="Times New Roman"/>
          <w:sz w:val="20"/>
          <w:szCs w:val="20"/>
        </w:rPr>
      </w:pPr>
    </w:p>
    <w:p w:rsidR="00FE65CA" w:rsidRDefault="00387D85" w:rsidP="00387D85">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II. </w:t>
      </w:r>
      <w:r w:rsidRPr="006F6DF8">
        <w:rPr>
          <w:rFonts w:ascii="Times New Roman" w:hAnsi="Times New Roman" w:cs="Times New Roman"/>
          <w:b/>
          <w:bCs/>
          <w:sz w:val="20"/>
          <w:szCs w:val="20"/>
        </w:rPr>
        <w:t>TERATOGENIC DRUGS</w:t>
      </w:r>
    </w:p>
    <w:p w:rsidR="00387D85" w:rsidRPr="006F6DF8" w:rsidRDefault="00387D85" w:rsidP="00387D85">
      <w:pPr>
        <w:spacing w:after="0" w:line="240" w:lineRule="auto"/>
        <w:jc w:val="center"/>
        <w:rPr>
          <w:rFonts w:ascii="Times New Roman" w:hAnsi="Times New Roman" w:cs="Times New Roman"/>
          <w:b/>
          <w:bCs/>
          <w:sz w:val="20"/>
          <w:szCs w:val="20"/>
        </w:rPr>
      </w:pPr>
    </w:p>
    <w:p w:rsidR="00FE65CA" w:rsidRPr="00387D85" w:rsidRDefault="00FE65CA" w:rsidP="006F6DF8">
      <w:pPr>
        <w:pStyle w:val="ListParagraph"/>
        <w:numPr>
          <w:ilvl w:val="0"/>
          <w:numId w:val="9"/>
        </w:numPr>
        <w:spacing w:after="0" w:line="240" w:lineRule="auto"/>
        <w:ind w:left="270" w:hanging="270"/>
        <w:jc w:val="both"/>
        <w:rPr>
          <w:rFonts w:ascii="Times New Roman" w:hAnsi="Times New Roman" w:cs="Times New Roman"/>
          <w:sz w:val="20"/>
          <w:szCs w:val="20"/>
        </w:rPr>
      </w:pPr>
      <w:r w:rsidRPr="00387D85">
        <w:rPr>
          <w:rFonts w:ascii="Times New Roman" w:hAnsi="Times New Roman" w:cs="Times New Roman"/>
          <w:b/>
          <w:bCs/>
          <w:sz w:val="20"/>
          <w:szCs w:val="20"/>
        </w:rPr>
        <w:t>Antibiotics:</w:t>
      </w:r>
      <w:r w:rsidRPr="006F6DF8">
        <w:rPr>
          <w:rFonts w:ascii="Times New Roman" w:hAnsi="Times New Roman" w:cs="Times New Roman"/>
          <w:sz w:val="20"/>
          <w:szCs w:val="20"/>
        </w:rPr>
        <w:t xml:space="preserve"> Aminoglycosides have been linked to hearing function deficits in foetuses. Particularly for streptomycin and kanamycin, this impact has been shown [</w:t>
      </w:r>
      <w:r w:rsidR="00035D01" w:rsidRPr="006F6DF8">
        <w:rPr>
          <w:rFonts w:ascii="Times New Roman" w:hAnsi="Times New Roman" w:cs="Times New Roman"/>
          <w:sz w:val="20"/>
          <w:szCs w:val="20"/>
        </w:rPr>
        <w:t>6,7</w:t>
      </w:r>
      <w:r w:rsidRPr="006F6DF8">
        <w:rPr>
          <w:rFonts w:ascii="Times New Roman" w:hAnsi="Times New Roman" w:cs="Times New Roman"/>
          <w:sz w:val="20"/>
          <w:szCs w:val="20"/>
        </w:rPr>
        <w:t>].</w:t>
      </w:r>
      <w:r w:rsidR="00476699" w:rsidRPr="00387D85">
        <w:rPr>
          <w:rFonts w:ascii="Times New Roman" w:hAnsi="Times New Roman" w:cs="Times New Roman"/>
          <w:sz w:val="20"/>
          <w:szCs w:val="20"/>
        </w:rPr>
        <w:t>Tetracyclines are prohibited during the second and third trimesters due to their ability to change a person's normal dentition and to cause deposits in the bone during the process of growth. These antibiotics cause teeth to turn yellowish-brown or greyish-brown, depending on the dosage and duration of exposure.</w:t>
      </w:r>
      <w:r w:rsidRPr="00387D85">
        <w:rPr>
          <w:rFonts w:ascii="Times New Roman" w:hAnsi="Times New Roman" w:cs="Times New Roman"/>
          <w:sz w:val="20"/>
          <w:szCs w:val="20"/>
        </w:rPr>
        <w:t>They can also slow bone formation in 40% of instances, mostly in the fibula [</w:t>
      </w:r>
      <w:r w:rsidR="00035D01" w:rsidRPr="00387D85">
        <w:rPr>
          <w:rFonts w:ascii="Times New Roman" w:hAnsi="Times New Roman" w:cs="Times New Roman"/>
          <w:sz w:val="20"/>
          <w:szCs w:val="20"/>
        </w:rPr>
        <w:t>8</w:t>
      </w:r>
      <w:proofErr w:type="gramStart"/>
      <w:r w:rsidR="00035D01" w:rsidRPr="00387D85">
        <w:rPr>
          <w:rFonts w:ascii="Times New Roman" w:hAnsi="Times New Roman" w:cs="Times New Roman"/>
          <w:sz w:val="20"/>
          <w:szCs w:val="20"/>
        </w:rPr>
        <w:t>,9</w:t>
      </w:r>
      <w:proofErr w:type="gramEnd"/>
      <w:r w:rsidRPr="00387D85">
        <w:rPr>
          <w:rFonts w:ascii="Times New Roman" w:hAnsi="Times New Roman" w:cs="Times New Roman"/>
          <w:sz w:val="20"/>
          <w:szCs w:val="20"/>
        </w:rPr>
        <w:t>].Moreover, intravenous tetracycline treatment might cause liver necrosis[1</w:t>
      </w:r>
      <w:r w:rsidR="00035D01" w:rsidRPr="00387D85">
        <w:rPr>
          <w:rFonts w:ascii="Times New Roman" w:hAnsi="Times New Roman" w:cs="Times New Roman"/>
          <w:sz w:val="20"/>
          <w:szCs w:val="20"/>
        </w:rPr>
        <w:t>0</w:t>
      </w:r>
      <w:r w:rsidRPr="00387D85">
        <w:rPr>
          <w:rFonts w:ascii="Times New Roman" w:hAnsi="Times New Roman" w:cs="Times New Roman"/>
          <w:sz w:val="20"/>
          <w:szCs w:val="20"/>
        </w:rPr>
        <w:t>].At times of pregnancy, penicillin and its variants are the antibiotics of choice. Cephalosporins and macrolides are possible substitutes.</w:t>
      </w:r>
    </w:p>
    <w:p w:rsidR="00FE65CA" w:rsidRPr="00387D85" w:rsidRDefault="00387D85" w:rsidP="00387D85">
      <w:pPr>
        <w:pStyle w:val="ListParagraph"/>
        <w:numPr>
          <w:ilvl w:val="0"/>
          <w:numId w:val="9"/>
        </w:numPr>
        <w:spacing w:after="0" w:line="240" w:lineRule="auto"/>
        <w:ind w:left="270" w:hanging="270"/>
        <w:jc w:val="both"/>
        <w:rPr>
          <w:rFonts w:ascii="Times New Roman" w:hAnsi="Times New Roman" w:cs="Times New Roman"/>
          <w:sz w:val="20"/>
          <w:szCs w:val="20"/>
        </w:rPr>
      </w:pPr>
      <w:r w:rsidRPr="00387D85">
        <w:rPr>
          <w:rFonts w:ascii="Times New Roman" w:hAnsi="Times New Roman" w:cs="Times New Roman"/>
          <w:b/>
          <w:bCs/>
          <w:sz w:val="20"/>
          <w:szCs w:val="20"/>
        </w:rPr>
        <w:t>Benzodiazepines:</w:t>
      </w:r>
      <w:r w:rsidRPr="006F6DF8">
        <w:rPr>
          <w:rFonts w:ascii="Times New Roman" w:hAnsi="Times New Roman" w:cs="Times New Roman"/>
          <w:sz w:val="20"/>
          <w:szCs w:val="20"/>
        </w:rPr>
        <w:t xml:space="preserve"> While</w:t>
      </w:r>
      <w:r w:rsidR="00B135F2" w:rsidRPr="006F6DF8">
        <w:rPr>
          <w:rFonts w:ascii="Times New Roman" w:hAnsi="Times New Roman" w:cs="Times New Roman"/>
          <w:sz w:val="20"/>
          <w:szCs w:val="20"/>
        </w:rPr>
        <w:t xml:space="preserve"> using benzodiazepines in the weeks leading up to birth may increase the risk of </w:t>
      </w:r>
      <w:proofErr w:type="spellStart"/>
      <w:r w:rsidR="00B135F2" w:rsidRPr="006F6DF8">
        <w:rPr>
          <w:rFonts w:ascii="Times New Roman" w:hAnsi="Times New Roman" w:cs="Times New Roman"/>
          <w:sz w:val="20"/>
          <w:szCs w:val="20"/>
        </w:rPr>
        <w:t>labiopalatoschisis</w:t>
      </w:r>
      <w:proofErr w:type="spellEnd"/>
      <w:r w:rsidR="00B135F2" w:rsidRPr="006F6DF8">
        <w:rPr>
          <w:rFonts w:ascii="Times New Roman" w:hAnsi="Times New Roman" w:cs="Times New Roman"/>
          <w:sz w:val="20"/>
          <w:szCs w:val="20"/>
        </w:rPr>
        <w:t xml:space="preserve">, they may also cause apnoea, hypotonia, hypothermia, and syndrome of neonatal abstinence with signs and symptoms of neuromuscular </w:t>
      </w:r>
      <w:proofErr w:type="spellStart"/>
      <w:r w:rsidR="00B135F2" w:rsidRPr="006F6DF8">
        <w:rPr>
          <w:rFonts w:ascii="Times New Roman" w:hAnsi="Times New Roman" w:cs="Times New Roman"/>
          <w:sz w:val="20"/>
          <w:szCs w:val="20"/>
        </w:rPr>
        <w:t>excitability</w:t>
      </w:r>
      <w:r w:rsidR="00FE65CA" w:rsidRPr="006F6DF8">
        <w:rPr>
          <w:rFonts w:ascii="Times New Roman" w:hAnsi="Times New Roman" w:cs="Times New Roman"/>
          <w:sz w:val="20"/>
          <w:szCs w:val="20"/>
        </w:rPr>
        <w:t>.</w:t>
      </w:r>
      <w:r w:rsidR="00FE65CA" w:rsidRPr="00387D85">
        <w:rPr>
          <w:rFonts w:ascii="Times New Roman" w:hAnsi="Times New Roman" w:cs="Times New Roman"/>
          <w:sz w:val="20"/>
          <w:szCs w:val="20"/>
        </w:rPr>
        <w:t>When</w:t>
      </w:r>
      <w:proofErr w:type="spellEnd"/>
      <w:r w:rsidR="00FE65CA" w:rsidRPr="00387D85">
        <w:rPr>
          <w:rFonts w:ascii="Times New Roman" w:hAnsi="Times New Roman" w:cs="Times New Roman"/>
          <w:sz w:val="20"/>
          <w:szCs w:val="20"/>
        </w:rPr>
        <w:t xml:space="preserve"> the clinical circumstances of the patient warrant the use of benzodiazepines during pregnancy, </w:t>
      </w:r>
      <w:r w:rsidRPr="00387D85">
        <w:rPr>
          <w:rFonts w:ascii="Times New Roman" w:hAnsi="Times New Roman" w:cs="Times New Roman"/>
          <w:sz w:val="20"/>
          <w:szCs w:val="20"/>
        </w:rPr>
        <w:t>utilizing</w:t>
      </w:r>
      <w:r w:rsidR="00B135F2" w:rsidRPr="00387D85">
        <w:rPr>
          <w:rFonts w:ascii="Times New Roman" w:hAnsi="Times New Roman" w:cs="Times New Roman"/>
          <w:sz w:val="20"/>
          <w:szCs w:val="20"/>
        </w:rPr>
        <w:t xml:space="preserve"> those with the shortest half-lives and dividing into two or more daily dosages is preferable. Additionally, if they were suspended at least two weeks prior to birth, that would be great. </w:t>
      </w:r>
      <w:r w:rsidR="00FE65CA" w:rsidRPr="00387D85">
        <w:rPr>
          <w:rFonts w:ascii="Times New Roman" w:hAnsi="Times New Roman" w:cs="Times New Roman"/>
          <w:sz w:val="20"/>
          <w:szCs w:val="20"/>
        </w:rPr>
        <w:t>[</w:t>
      </w:r>
      <w:r w:rsidR="00A377B4">
        <w:rPr>
          <w:rFonts w:ascii="Times New Roman" w:hAnsi="Times New Roman" w:cs="Times New Roman"/>
          <w:sz w:val="20"/>
          <w:szCs w:val="20"/>
        </w:rPr>
        <w:t>11-13</w:t>
      </w:r>
      <w:r w:rsidR="00FE65CA" w:rsidRPr="00387D85">
        <w:rPr>
          <w:rFonts w:ascii="Times New Roman" w:hAnsi="Times New Roman" w:cs="Times New Roman"/>
          <w:sz w:val="20"/>
          <w:szCs w:val="20"/>
        </w:rPr>
        <w:t>].</w:t>
      </w:r>
    </w:p>
    <w:p w:rsidR="00FE65CA" w:rsidRPr="006F6DF8" w:rsidRDefault="00387D85" w:rsidP="00387D85">
      <w:pPr>
        <w:pStyle w:val="ListParagraph"/>
        <w:numPr>
          <w:ilvl w:val="0"/>
          <w:numId w:val="9"/>
        </w:numPr>
        <w:spacing w:after="0" w:line="240" w:lineRule="auto"/>
        <w:ind w:left="270" w:hanging="270"/>
        <w:jc w:val="both"/>
        <w:rPr>
          <w:rFonts w:ascii="Times New Roman" w:hAnsi="Times New Roman" w:cs="Times New Roman"/>
          <w:sz w:val="20"/>
          <w:szCs w:val="20"/>
        </w:rPr>
      </w:pPr>
      <w:r w:rsidRPr="00387D85">
        <w:rPr>
          <w:rFonts w:ascii="Times New Roman" w:hAnsi="Times New Roman" w:cs="Times New Roman"/>
          <w:b/>
          <w:bCs/>
          <w:sz w:val="20"/>
          <w:szCs w:val="20"/>
        </w:rPr>
        <w:t>Diethylstilbestrol:</w:t>
      </w:r>
      <w:r w:rsidRPr="006F6DF8">
        <w:rPr>
          <w:rFonts w:ascii="Times New Roman" w:hAnsi="Times New Roman" w:cs="Times New Roman"/>
          <w:sz w:val="20"/>
          <w:szCs w:val="20"/>
        </w:rPr>
        <w:t xml:space="preserve"> According</w:t>
      </w:r>
      <w:r w:rsidR="00B135F2" w:rsidRPr="006F6DF8">
        <w:rPr>
          <w:rFonts w:ascii="Times New Roman" w:hAnsi="Times New Roman" w:cs="Times New Roman"/>
          <w:sz w:val="20"/>
          <w:szCs w:val="20"/>
        </w:rPr>
        <w:t xml:space="preserve"> to a number of </w:t>
      </w:r>
      <w:r w:rsidRPr="006F6DF8">
        <w:rPr>
          <w:rFonts w:ascii="Times New Roman" w:hAnsi="Times New Roman" w:cs="Times New Roman"/>
          <w:sz w:val="20"/>
          <w:szCs w:val="20"/>
        </w:rPr>
        <w:t>studies [</w:t>
      </w:r>
      <w:r w:rsidR="00B135F2" w:rsidRPr="006F6DF8">
        <w:rPr>
          <w:rFonts w:ascii="Times New Roman" w:hAnsi="Times New Roman" w:cs="Times New Roman"/>
          <w:sz w:val="20"/>
          <w:szCs w:val="20"/>
        </w:rPr>
        <w:t xml:space="preserve">14–15], intra-uterine exposure to diethylstilbestrol may increase the risk of developing clear cell adenocarcinoma of the vagina or uterine cervix. At least 25% of women who were born with abnormalities of the reproductive system, such as vaginal adenosis, cervical, vaginal, and uterine septa malformations, as well as </w:t>
      </w:r>
      <w:proofErr w:type="spellStart"/>
      <w:r w:rsidR="00B135F2" w:rsidRPr="006F6DF8">
        <w:rPr>
          <w:rFonts w:ascii="Times New Roman" w:hAnsi="Times New Roman" w:cs="Times New Roman"/>
          <w:sz w:val="20"/>
          <w:szCs w:val="20"/>
        </w:rPr>
        <w:t>tubaric</w:t>
      </w:r>
      <w:proofErr w:type="spellEnd"/>
      <w:r w:rsidR="00B135F2" w:rsidRPr="006F6DF8">
        <w:rPr>
          <w:rFonts w:ascii="Times New Roman" w:hAnsi="Times New Roman" w:cs="Times New Roman"/>
          <w:sz w:val="20"/>
          <w:szCs w:val="20"/>
        </w:rPr>
        <w:t xml:space="preserve"> deformities, were exposed to this synthetic oestrogen during their mothers' first trimester of pregnancy [16,17]. The male reproductive system has also displayed anomalies in the sons of women who were exposed to this medication while pregnant [18].</w:t>
      </w:r>
    </w:p>
    <w:p w:rsidR="00FE65CA" w:rsidRPr="006F6DF8" w:rsidRDefault="00FE65CA" w:rsidP="00387D85">
      <w:pPr>
        <w:pStyle w:val="ListParagraph"/>
        <w:numPr>
          <w:ilvl w:val="0"/>
          <w:numId w:val="9"/>
        </w:numPr>
        <w:spacing w:after="0" w:line="240" w:lineRule="auto"/>
        <w:ind w:left="270" w:hanging="270"/>
        <w:jc w:val="both"/>
        <w:rPr>
          <w:rFonts w:ascii="Times New Roman" w:hAnsi="Times New Roman" w:cs="Times New Roman"/>
          <w:sz w:val="20"/>
          <w:szCs w:val="20"/>
        </w:rPr>
      </w:pPr>
      <w:r w:rsidRPr="00387D85">
        <w:rPr>
          <w:rFonts w:ascii="Times New Roman" w:hAnsi="Times New Roman" w:cs="Times New Roman"/>
          <w:b/>
          <w:bCs/>
          <w:sz w:val="20"/>
          <w:szCs w:val="20"/>
        </w:rPr>
        <w:t>Non-steroidal anti-inflammatory drugs (NSA</w:t>
      </w:r>
      <w:r w:rsidR="00B135F2" w:rsidRPr="00387D85">
        <w:rPr>
          <w:rFonts w:ascii="Times New Roman" w:hAnsi="Times New Roman" w:cs="Times New Roman"/>
          <w:b/>
          <w:bCs/>
          <w:sz w:val="20"/>
          <w:szCs w:val="20"/>
        </w:rPr>
        <w:t>I</w:t>
      </w:r>
      <w:r w:rsidRPr="00387D85">
        <w:rPr>
          <w:rFonts w:ascii="Times New Roman" w:hAnsi="Times New Roman" w:cs="Times New Roman"/>
          <w:b/>
          <w:bCs/>
          <w:sz w:val="20"/>
          <w:szCs w:val="20"/>
        </w:rPr>
        <w:t>Ds</w:t>
      </w:r>
      <w:r w:rsidR="00387D85" w:rsidRPr="00387D85">
        <w:rPr>
          <w:rFonts w:ascii="Times New Roman" w:hAnsi="Times New Roman" w:cs="Times New Roman"/>
          <w:b/>
          <w:bCs/>
          <w:sz w:val="20"/>
          <w:szCs w:val="20"/>
        </w:rPr>
        <w:t>):</w:t>
      </w:r>
      <w:r w:rsidR="00387D85" w:rsidRPr="006F6DF8">
        <w:rPr>
          <w:rFonts w:ascii="Times New Roman" w:hAnsi="Times New Roman" w:cs="Times New Roman"/>
          <w:sz w:val="20"/>
          <w:szCs w:val="20"/>
        </w:rPr>
        <w:t xml:space="preserve"> In</w:t>
      </w:r>
      <w:r w:rsidR="00B135F2" w:rsidRPr="006F6DF8">
        <w:rPr>
          <w:rFonts w:ascii="Times New Roman" w:hAnsi="Times New Roman" w:cs="Times New Roman"/>
          <w:sz w:val="20"/>
          <w:szCs w:val="20"/>
        </w:rPr>
        <w:t xml:space="preserve"> the second and third trimesters, the use of NSAIDs is associated with oligohydramnios, anuria, and, close to term, precocious </w:t>
      </w:r>
      <w:proofErr w:type="spellStart"/>
      <w:r w:rsidR="00B135F2" w:rsidRPr="006F6DF8">
        <w:rPr>
          <w:rFonts w:ascii="Times New Roman" w:hAnsi="Times New Roman" w:cs="Times New Roman"/>
          <w:sz w:val="20"/>
          <w:szCs w:val="20"/>
        </w:rPr>
        <w:t>Botallo's</w:t>
      </w:r>
      <w:proofErr w:type="spellEnd"/>
      <w:r w:rsidR="00B135F2" w:rsidRPr="006F6DF8">
        <w:rPr>
          <w:rFonts w:ascii="Times New Roman" w:hAnsi="Times New Roman" w:cs="Times New Roman"/>
          <w:sz w:val="20"/>
          <w:szCs w:val="20"/>
        </w:rPr>
        <w:t xml:space="preserve"> duct closure, which can cause pulmonary hypertension, cerebral </w:t>
      </w:r>
      <w:proofErr w:type="spellStart"/>
      <w:r w:rsidR="00B135F2" w:rsidRPr="006F6DF8">
        <w:rPr>
          <w:rFonts w:ascii="Times New Roman" w:hAnsi="Times New Roman" w:cs="Times New Roman"/>
          <w:sz w:val="20"/>
          <w:szCs w:val="20"/>
        </w:rPr>
        <w:t>hemorrhage</w:t>
      </w:r>
      <w:proofErr w:type="spellEnd"/>
      <w:r w:rsidR="00B135F2" w:rsidRPr="006F6DF8">
        <w:rPr>
          <w:rFonts w:ascii="Times New Roman" w:hAnsi="Times New Roman" w:cs="Times New Roman"/>
          <w:sz w:val="20"/>
          <w:szCs w:val="20"/>
        </w:rPr>
        <w:t xml:space="preserve">, and necrotizing </w:t>
      </w:r>
      <w:proofErr w:type="spellStart"/>
      <w:r w:rsidR="00B135F2" w:rsidRPr="006F6DF8">
        <w:rPr>
          <w:rFonts w:ascii="Times New Roman" w:hAnsi="Times New Roman" w:cs="Times New Roman"/>
          <w:sz w:val="20"/>
          <w:szCs w:val="20"/>
        </w:rPr>
        <w:t>enterocolitis</w:t>
      </w:r>
      <w:proofErr w:type="spellEnd"/>
      <w:r w:rsidR="00B135F2" w:rsidRPr="006F6DF8">
        <w:rPr>
          <w:rFonts w:ascii="Times New Roman" w:hAnsi="Times New Roman" w:cs="Times New Roman"/>
          <w:sz w:val="20"/>
          <w:szCs w:val="20"/>
        </w:rPr>
        <w:t xml:space="preserve"> (NEC) [19–20]. The drug of choice for analgesic, anti-inflammatory, and antipyretic action during pregnancy is paracetamol.</w:t>
      </w:r>
    </w:p>
    <w:p w:rsidR="00A377B4" w:rsidRPr="00387D85" w:rsidRDefault="00A377B4" w:rsidP="00A377B4">
      <w:pPr>
        <w:pStyle w:val="ListParagraph"/>
        <w:numPr>
          <w:ilvl w:val="0"/>
          <w:numId w:val="9"/>
        </w:numPr>
        <w:spacing w:after="0" w:line="240" w:lineRule="auto"/>
        <w:ind w:left="270" w:hanging="270"/>
        <w:jc w:val="both"/>
        <w:rPr>
          <w:rFonts w:ascii="Times New Roman" w:hAnsi="Times New Roman" w:cs="Times New Roman"/>
          <w:sz w:val="20"/>
          <w:szCs w:val="20"/>
        </w:rPr>
      </w:pPr>
      <w:r w:rsidRPr="00387D85">
        <w:rPr>
          <w:rFonts w:ascii="Times New Roman" w:hAnsi="Times New Roman" w:cs="Times New Roman"/>
          <w:b/>
          <w:bCs/>
          <w:sz w:val="20"/>
          <w:szCs w:val="20"/>
        </w:rPr>
        <w:t xml:space="preserve">Iodides and </w:t>
      </w:r>
      <w:proofErr w:type="spellStart"/>
      <w:r w:rsidRPr="00387D85">
        <w:rPr>
          <w:rFonts w:ascii="Times New Roman" w:hAnsi="Times New Roman" w:cs="Times New Roman"/>
          <w:b/>
          <w:bCs/>
          <w:sz w:val="20"/>
          <w:szCs w:val="20"/>
        </w:rPr>
        <w:t>Iodine</w:t>
      </w:r>
      <w:proofErr w:type="gramStart"/>
      <w:r w:rsidRPr="00387D85">
        <w:rPr>
          <w:rFonts w:ascii="Times New Roman" w:hAnsi="Times New Roman" w:cs="Times New Roman"/>
          <w:b/>
          <w:bCs/>
          <w:sz w:val="20"/>
          <w:szCs w:val="20"/>
        </w:rPr>
        <w:t>:</w:t>
      </w:r>
      <w:r>
        <w:rPr>
          <w:rFonts w:ascii="Times New Roman" w:hAnsi="Times New Roman" w:cs="Times New Roman"/>
          <w:sz w:val="20"/>
          <w:szCs w:val="20"/>
        </w:rPr>
        <w:t>I</w:t>
      </w:r>
      <w:r w:rsidRPr="006F6DF8">
        <w:rPr>
          <w:rFonts w:ascii="Times New Roman" w:hAnsi="Times New Roman" w:cs="Times New Roman"/>
          <w:sz w:val="20"/>
          <w:szCs w:val="20"/>
        </w:rPr>
        <w:t>ncreased</w:t>
      </w:r>
      <w:proofErr w:type="spellEnd"/>
      <w:proofErr w:type="gramEnd"/>
      <w:r w:rsidRPr="006F6DF8">
        <w:rPr>
          <w:rFonts w:ascii="Times New Roman" w:hAnsi="Times New Roman" w:cs="Times New Roman"/>
          <w:sz w:val="20"/>
          <w:szCs w:val="20"/>
        </w:rPr>
        <w:t xml:space="preserve"> iodide exposure during pregnancy, which could happen in circumstances of long-term usage of particular Even in their most severe forms, expectorants and topical disinfectants can cause goitre and hypothyroidism in newborns [21-22]. Only starting in the tenth week of pregnancy is it feasible to harm the developing thyroid. Due to the thyroid's inability to absorb iodine, exposure before the tenth week need not be regarded as hazardous[29]</w:t>
      </w:r>
      <w:r>
        <w:rPr>
          <w:rFonts w:ascii="Times New Roman" w:hAnsi="Times New Roman" w:cs="Times New Roman"/>
          <w:sz w:val="20"/>
          <w:szCs w:val="20"/>
        </w:rPr>
        <w:t xml:space="preserve">. </w:t>
      </w:r>
      <w:r w:rsidRPr="00387D85">
        <w:rPr>
          <w:rFonts w:ascii="Times New Roman" w:hAnsi="Times New Roman" w:cs="Times New Roman"/>
          <w:sz w:val="20"/>
          <w:szCs w:val="20"/>
        </w:rPr>
        <w:t>Eight days is the half-life of iodine, which is utilised in both medicinal and diagnostic treatments. Because the doses often employed in diagnostic procedures would expose embryos to radiation at considerably lower levels than those deemed harmful, it is unlikely that they might cause radiation damage. However, therapeutic levels may increase the risk of miscarriage, foetal deformities, thyroidal ablation, mental retardation, neoplasm, and, most significantly, leukaemia [23-24].</w:t>
      </w:r>
    </w:p>
    <w:p w:rsidR="00A24580" w:rsidRPr="00387D85" w:rsidRDefault="00387D85" w:rsidP="00387D85">
      <w:pPr>
        <w:pStyle w:val="ListParagraph"/>
        <w:numPr>
          <w:ilvl w:val="0"/>
          <w:numId w:val="9"/>
        </w:numPr>
        <w:spacing w:after="0" w:line="240" w:lineRule="auto"/>
        <w:ind w:left="270" w:hanging="270"/>
        <w:jc w:val="both"/>
        <w:rPr>
          <w:rFonts w:ascii="Times New Roman" w:hAnsi="Times New Roman" w:cs="Times New Roman"/>
          <w:sz w:val="20"/>
          <w:szCs w:val="20"/>
        </w:rPr>
      </w:pPr>
      <w:r w:rsidRPr="00387D85">
        <w:rPr>
          <w:rFonts w:ascii="Times New Roman" w:hAnsi="Times New Roman" w:cs="Times New Roman"/>
          <w:b/>
          <w:bCs/>
          <w:sz w:val="20"/>
          <w:szCs w:val="20"/>
        </w:rPr>
        <w:t>Lithium:</w:t>
      </w:r>
      <w:r w:rsidR="00A24580" w:rsidRPr="006F6DF8">
        <w:rPr>
          <w:rFonts w:ascii="Times New Roman" w:hAnsi="Times New Roman" w:cs="Times New Roman"/>
          <w:sz w:val="20"/>
          <w:szCs w:val="20"/>
        </w:rPr>
        <w:t xml:space="preserve"> Lithium use during pregnancy is linked to an increased risk of cardiovascular abnormalities, especially the Ebstein anomaly. The risk is between 10 and 20. compared to the general population, times higher. Such a danger, which rests at values less than 1% [</w:t>
      </w:r>
      <w:r w:rsidR="00035D01" w:rsidRPr="006F6DF8">
        <w:rPr>
          <w:rFonts w:ascii="Times New Roman" w:hAnsi="Times New Roman" w:cs="Times New Roman"/>
          <w:sz w:val="20"/>
          <w:szCs w:val="20"/>
        </w:rPr>
        <w:t>25,26</w:t>
      </w:r>
      <w:r w:rsidR="00A24580" w:rsidRPr="006F6DF8">
        <w:rPr>
          <w:rFonts w:ascii="Times New Roman" w:hAnsi="Times New Roman" w:cs="Times New Roman"/>
          <w:sz w:val="20"/>
          <w:szCs w:val="20"/>
        </w:rPr>
        <w:t>], is in any event lower than that which was initially indicated by several authors.</w:t>
      </w:r>
      <w:r w:rsidR="00074A78" w:rsidRPr="00387D85">
        <w:rPr>
          <w:rFonts w:ascii="Times New Roman" w:hAnsi="Times New Roman" w:cs="Times New Roman"/>
          <w:sz w:val="20"/>
          <w:szCs w:val="20"/>
        </w:rPr>
        <w:t xml:space="preserve">Additional potential issues include neonatal goitre, diabetes insipidus, cardiac arrhythmia, congestive cardiac failure, and floppy newborn syndrome [27,28].When using lithium while pregnant, it's crucial to keep the dosage as low as possible while managing </w:t>
      </w:r>
      <w:proofErr w:type="spellStart"/>
      <w:r w:rsidR="00074A78" w:rsidRPr="00387D85">
        <w:rPr>
          <w:rFonts w:ascii="Times New Roman" w:hAnsi="Times New Roman" w:cs="Times New Roman"/>
          <w:sz w:val="20"/>
          <w:szCs w:val="20"/>
        </w:rPr>
        <w:t>lithaemia</w:t>
      </w:r>
      <w:proofErr w:type="spellEnd"/>
      <w:r w:rsidR="00074A78" w:rsidRPr="00387D85">
        <w:rPr>
          <w:rFonts w:ascii="Times New Roman" w:hAnsi="Times New Roman" w:cs="Times New Roman"/>
          <w:sz w:val="20"/>
          <w:szCs w:val="20"/>
        </w:rPr>
        <w:t xml:space="preserve"> once a month for the first half of the pregnancy and once a week after that until delivery.</w:t>
      </w:r>
      <w:r w:rsidR="00A24580" w:rsidRPr="00387D85">
        <w:rPr>
          <w:rFonts w:ascii="Times New Roman" w:hAnsi="Times New Roman" w:cs="Times New Roman"/>
          <w:sz w:val="20"/>
          <w:szCs w:val="20"/>
        </w:rPr>
        <w:t>It may be possible to try replacing lithium with another antipsychotic medication or a tricyclic antidepressant in some carefully chosen patients and when preparing for a potential pregnancy [</w:t>
      </w:r>
      <w:r w:rsidR="00035D01" w:rsidRPr="00387D85">
        <w:rPr>
          <w:rFonts w:ascii="Times New Roman" w:hAnsi="Times New Roman" w:cs="Times New Roman"/>
          <w:sz w:val="20"/>
          <w:szCs w:val="20"/>
        </w:rPr>
        <w:t>2</w:t>
      </w:r>
      <w:r w:rsidR="00A24580" w:rsidRPr="00387D85">
        <w:rPr>
          <w:rFonts w:ascii="Times New Roman" w:hAnsi="Times New Roman" w:cs="Times New Roman"/>
          <w:sz w:val="20"/>
          <w:szCs w:val="20"/>
        </w:rPr>
        <w:t>].</w:t>
      </w:r>
    </w:p>
    <w:p w:rsidR="00A24580" w:rsidRPr="006F6DF8" w:rsidRDefault="00A24580" w:rsidP="00387D85">
      <w:pPr>
        <w:pStyle w:val="ListParagraph"/>
        <w:numPr>
          <w:ilvl w:val="0"/>
          <w:numId w:val="9"/>
        </w:numPr>
        <w:spacing w:after="0" w:line="240" w:lineRule="auto"/>
        <w:ind w:left="270" w:hanging="270"/>
        <w:jc w:val="both"/>
        <w:rPr>
          <w:rFonts w:ascii="Times New Roman" w:hAnsi="Times New Roman" w:cs="Times New Roman"/>
          <w:sz w:val="20"/>
          <w:szCs w:val="20"/>
        </w:rPr>
      </w:pPr>
      <w:r w:rsidRPr="00387D85">
        <w:rPr>
          <w:rFonts w:ascii="Times New Roman" w:hAnsi="Times New Roman" w:cs="Times New Roman"/>
          <w:b/>
          <w:bCs/>
          <w:sz w:val="20"/>
          <w:szCs w:val="20"/>
        </w:rPr>
        <w:t xml:space="preserve">Hormones with </w:t>
      </w:r>
      <w:proofErr w:type="spellStart"/>
      <w:r w:rsidRPr="00387D85">
        <w:rPr>
          <w:rFonts w:ascii="Times New Roman" w:hAnsi="Times New Roman" w:cs="Times New Roman"/>
          <w:b/>
          <w:bCs/>
          <w:sz w:val="20"/>
          <w:szCs w:val="20"/>
        </w:rPr>
        <w:t>androgenous</w:t>
      </w:r>
      <w:proofErr w:type="spellEnd"/>
      <w:r w:rsidRPr="00387D85">
        <w:rPr>
          <w:rFonts w:ascii="Times New Roman" w:hAnsi="Times New Roman" w:cs="Times New Roman"/>
          <w:b/>
          <w:bCs/>
          <w:sz w:val="20"/>
          <w:szCs w:val="20"/>
        </w:rPr>
        <w:t xml:space="preserve"> </w:t>
      </w:r>
      <w:r w:rsidR="00387D85" w:rsidRPr="00387D85">
        <w:rPr>
          <w:rFonts w:ascii="Times New Roman" w:hAnsi="Times New Roman" w:cs="Times New Roman"/>
          <w:b/>
          <w:bCs/>
          <w:sz w:val="20"/>
          <w:szCs w:val="20"/>
        </w:rPr>
        <w:t>activity:</w:t>
      </w:r>
      <w:r w:rsidR="00387D85" w:rsidRPr="006F6DF8">
        <w:rPr>
          <w:rFonts w:ascii="Times New Roman" w:hAnsi="Times New Roman" w:cs="Times New Roman"/>
          <w:sz w:val="20"/>
          <w:szCs w:val="20"/>
        </w:rPr>
        <w:t xml:space="preserve"> Use</w:t>
      </w:r>
      <w:r w:rsidR="00074A78" w:rsidRPr="006F6DF8">
        <w:rPr>
          <w:rFonts w:ascii="Times New Roman" w:hAnsi="Times New Roman" w:cs="Times New Roman"/>
          <w:sz w:val="20"/>
          <w:szCs w:val="20"/>
        </w:rPr>
        <w:t xml:space="preserve"> of androgenic hormones while the female foetus's external genitalia are developing </w:t>
      </w:r>
      <w:r w:rsidR="00724959" w:rsidRPr="006F6DF8">
        <w:rPr>
          <w:rFonts w:ascii="Times New Roman" w:hAnsi="Times New Roman" w:cs="Times New Roman"/>
          <w:sz w:val="20"/>
          <w:szCs w:val="20"/>
        </w:rPr>
        <w:t>(8th–10th week; 14 M. De Santis et al. / European Journal of Obstetrics &amp;</w:t>
      </w:r>
      <w:r w:rsidR="00CD6F58" w:rsidRPr="006F6DF8">
        <w:rPr>
          <w:rFonts w:ascii="Times New Roman" w:hAnsi="Times New Roman" w:cs="Times New Roman"/>
          <w:sz w:val="20"/>
          <w:szCs w:val="20"/>
        </w:rPr>
        <w:t>Gynaecology</w:t>
      </w:r>
      <w:r w:rsidR="00724959" w:rsidRPr="006F6DF8">
        <w:rPr>
          <w:rFonts w:ascii="Times New Roman" w:hAnsi="Times New Roman" w:cs="Times New Roman"/>
          <w:sz w:val="20"/>
          <w:szCs w:val="20"/>
        </w:rPr>
        <w:t xml:space="preserve"> and Reproductive Biology 117 (2004) 10–19 week) may result in v</w:t>
      </w:r>
      <w:r w:rsidR="00A377B4">
        <w:rPr>
          <w:rFonts w:ascii="Times New Roman" w:hAnsi="Times New Roman" w:cs="Times New Roman"/>
          <w:sz w:val="20"/>
          <w:szCs w:val="20"/>
        </w:rPr>
        <w:t xml:space="preserve">arying degrees of </w:t>
      </w:r>
      <w:proofErr w:type="spellStart"/>
      <w:r w:rsidR="00A377B4">
        <w:rPr>
          <w:rFonts w:ascii="Times New Roman" w:hAnsi="Times New Roman" w:cs="Times New Roman"/>
          <w:sz w:val="20"/>
          <w:szCs w:val="20"/>
        </w:rPr>
        <w:t>virilization</w:t>
      </w:r>
      <w:proofErr w:type="spellEnd"/>
      <w:r w:rsidR="00A377B4">
        <w:rPr>
          <w:rFonts w:ascii="Times New Roman" w:hAnsi="Times New Roman" w:cs="Times New Roman"/>
          <w:sz w:val="20"/>
          <w:szCs w:val="20"/>
        </w:rPr>
        <w:t xml:space="preserve"> </w:t>
      </w:r>
      <w:r w:rsidR="00724959" w:rsidRPr="006F6DF8">
        <w:rPr>
          <w:rFonts w:ascii="Times New Roman" w:hAnsi="Times New Roman" w:cs="Times New Roman"/>
          <w:sz w:val="20"/>
          <w:szCs w:val="20"/>
        </w:rPr>
        <w:t>It goes without saying that the risk is dose and time dependant and cannot be quantified. Even during the crucial stage of embryo development, the progestin dosage in the majority of anticonception drugs makes it difficult to detect an androgenic impact.</w:t>
      </w:r>
      <w:r w:rsidR="00A377B4" w:rsidRPr="00A377B4">
        <w:rPr>
          <w:rFonts w:ascii="Times New Roman" w:hAnsi="Times New Roman" w:cs="Times New Roman"/>
          <w:sz w:val="20"/>
          <w:szCs w:val="20"/>
        </w:rPr>
        <w:t xml:space="preserve"> </w:t>
      </w:r>
      <w:r w:rsidR="00A377B4">
        <w:rPr>
          <w:rFonts w:ascii="Times New Roman" w:hAnsi="Times New Roman" w:cs="Times New Roman"/>
          <w:sz w:val="20"/>
          <w:szCs w:val="20"/>
        </w:rPr>
        <w:t>[29</w:t>
      </w:r>
      <w:r w:rsidR="00A377B4" w:rsidRPr="006F6DF8">
        <w:rPr>
          <w:rFonts w:ascii="Times New Roman" w:hAnsi="Times New Roman" w:cs="Times New Roman"/>
          <w:sz w:val="20"/>
          <w:szCs w:val="20"/>
        </w:rPr>
        <w:t>-31].</w:t>
      </w:r>
    </w:p>
    <w:p w:rsidR="00724959" w:rsidRPr="006F6DF8" w:rsidRDefault="00724959" w:rsidP="00387D85">
      <w:pPr>
        <w:pStyle w:val="ListParagraph"/>
        <w:numPr>
          <w:ilvl w:val="0"/>
          <w:numId w:val="9"/>
        </w:numPr>
        <w:spacing w:after="0" w:line="240" w:lineRule="auto"/>
        <w:ind w:left="270" w:hanging="270"/>
        <w:jc w:val="both"/>
        <w:rPr>
          <w:rFonts w:ascii="Times New Roman" w:hAnsi="Times New Roman" w:cs="Times New Roman"/>
          <w:sz w:val="20"/>
          <w:szCs w:val="20"/>
        </w:rPr>
      </w:pPr>
      <w:r w:rsidRPr="00387D85">
        <w:rPr>
          <w:rFonts w:ascii="Times New Roman" w:hAnsi="Times New Roman" w:cs="Times New Roman"/>
          <w:b/>
          <w:bCs/>
          <w:sz w:val="20"/>
          <w:szCs w:val="20"/>
        </w:rPr>
        <w:t xml:space="preserve">High doses of Vitamin </w:t>
      </w:r>
      <w:r w:rsidR="00387D85" w:rsidRPr="00387D85">
        <w:rPr>
          <w:rFonts w:ascii="Times New Roman" w:hAnsi="Times New Roman" w:cs="Times New Roman"/>
          <w:b/>
          <w:bCs/>
          <w:sz w:val="20"/>
          <w:szCs w:val="20"/>
        </w:rPr>
        <w:t>A:</w:t>
      </w:r>
      <w:r w:rsidR="00387D85" w:rsidRPr="006F6DF8">
        <w:rPr>
          <w:rFonts w:ascii="Times New Roman" w:hAnsi="Times New Roman" w:cs="Times New Roman"/>
          <w:sz w:val="20"/>
          <w:szCs w:val="20"/>
        </w:rPr>
        <w:t xml:space="preserve"> Teratogenicity</w:t>
      </w:r>
      <w:r w:rsidR="00074A78" w:rsidRPr="006F6DF8">
        <w:rPr>
          <w:rFonts w:ascii="Times New Roman" w:hAnsi="Times New Roman" w:cs="Times New Roman"/>
          <w:sz w:val="20"/>
          <w:szCs w:val="20"/>
        </w:rPr>
        <w:t xml:space="preserve"> of vitamin A has long been a contentious issue. Up until 1986, the FDA had received reports of about 18 instances of teratogenic effects brought on by the use of high dosages of vitamin A (18,000–150,000 IU/diem), with a pattern resembling that of retinoids [32,33].These results are in contrast to a joint study of 312 babies who weren't teratogenic but were delivered to mothers who had </w:t>
      </w:r>
      <w:r w:rsidR="00074A78" w:rsidRPr="006F6DF8">
        <w:rPr>
          <w:rFonts w:ascii="Times New Roman" w:hAnsi="Times New Roman" w:cs="Times New Roman"/>
          <w:sz w:val="20"/>
          <w:szCs w:val="20"/>
        </w:rPr>
        <w:lastRenderedPageBreak/>
        <w:t>taken high doses of vitamin A (median 1/4 50,000 IU/diem) [34]. Since the potential teratogenic effect of</w:t>
      </w:r>
      <w:r w:rsidR="00387D85">
        <w:rPr>
          <w:rFonts w:ascii="Times New Roman" w:hAnsi="Times New Roman" w:cs="Times New Roman"/>
          <w:sz w:val="20"/>
          <w:szCs w:val="20"/>
        </w:rPr>
        <w:t>v</w:t>
      </w:r>
      <w:r w:rsidR="00074A78" w:rsidRPr="006F6DF8">
        <w:rPr>
          <w:rFonts w:ascii="Times New Roman" w:hAnsi="Times New Roman" w:cs="Times New Roman"/>
          <w:sz w:val="20"/>
          <w:szCs w:val="20"/>
        </w:rPr>
        <w:t>itamin A is still not fully understood, the American Society of Teratology advises women of reproductive age not to take doses of Vitamin A more than 8000 IU/</w:t>
      </w:r>
      <w:proofErr w:type="gramStart"/>
      <w:r w:rsidR="00074A78" w:rsidRPr="006F6DF8">
        <w:rPr>
          <w:rFonts w:ascii="Times New Roman" w:hAnsi="Times New Roman" w:cs="Times New Roman"/>
          <w:sz w:val="20"/>
          <w:szCs w:val="20"/>
        </w:rPr>
        <w:t>diem</w:t>
      </w:r>
      <w:proofErr w:type="gramEnd"/>
      <w:r w:rsidR="00074A78" w:rsidRPr="006F6DF8">
        <w:rPr>
          <w:rFonts w:ascii="Times New Roman" w:hAnsi="Times New Roman" w:cs="Times New Roman"/>
          <w:sz w:val="20"/>
          <w:szCs w:val="20"/>
        </w:rPr>
        <w:t xml:space="preserve"> [35].</w:t>
      </w:r>
    </w:p>
    <w:p w:rsidR="00724959" w:rsidRDefault="00387D85" w:rsidP="00387D85">
      <w:pPr>
        <w:pStyle w:val="ListParagraph"/>
        <w:numPr>
          <w:ilvl w:val="0"/>
          <w:numId w:val="9"/>
        </w:numPr>
        <w:spacing w:after="0" w:line="240" w:lineRule="auto"/>
        <w:ind w:left="270" w:hanging="270"/>
        <w:jc w:val="both"/>
        <w:rPr>
          <w:rFonts w:ascii="Times New Roman" w:hAnsi="Times New Roman" w:cs="Times New Roman"/>
          <w:sz w:val="20"/>
          <w:szCs w:val="20"/>
        </w:rPr>
      </w:pPr>
      <w:r w:rsidRPr="00387D85">
        <w:rPr>
          <w:rFonts w:ascii="Times New Roman" w:hAnsi="Times New Roman" w:cs="Times New Roman"/>
          <w:b/>
          <w:bCs/>
          <w:sz w:val="20"/>
          <w:szCs w:val="20"/>
        </w:rPr>
        <w:t>Thalidomide:</w:t>
      </w:r>
      <w:r w:rsidR="00724959" w:rsidRPr="006F6DF8">
        <w:rPr>
          <w:rFonts w:ascii="Times New Roman" w:hAnsi="Times New Roman" w:cs="Times New Roman"/>
          <w:sz w:val="20"/>
          <w:szCs w:val="20"/>
        </w:rPr>
        <w:t xml:space="preserve"> The model for teratogens is thalidomide. Since 1950, it has been used to treat insomnia; nevertheless, in the 1960s, occurrences of limb deformities occurred newborns who were exposed to the medication during the first trimester.It has been estimated that 8000 or so infants worldwide were born with abnormalities as a result of thalidomide. </w:t>
      </w:r>
      <w:r w:rsidR="00074A78" w:rsidRPr="006F6DF8">
        <w:rPr>
          <w:rFonts w:ascii="Times New Roman" w:hAnsi="Times New Roman" w:cs="Times New Roman"/>
          <w:sz w:val="20"/>
          <w:szCs w:val="20"/>
        </w:rPr>
        <w:t xml:space="preserve">The main birth defects brought on by this medicine are </w:t>
      </w:r>
      <w:proofErr w:type="spellStart"/>
      <w:r w:rsidR="00074A78" w:rsidRPr="006F6DF8">
        <w:rPr>
          <w:rFonts w:ascii="Times New Roman" w:hAnsi="Times New Roman" w:cs="Times New Roman"/>
          <w:sz w:val="20"/>
          <w:szCs w:val="20"/>
        </w:rPr>
        <w:t>phocomelia</w:t>
      </w:r>
      <w:proofErr w:type="spellEnd"/>
      <w:r w:rsidR="00074A78" w:rsidRPr="006F6DF8">
        <w:rPr>
          <w:rFonts w:ascii="Times New Roman" w:hAnsi="Times New Roman" w:cs="Times New Roman"/>
          <w:sz w:val="20"/>
          <w:szCs w:val="20"/>
        </w:rPr>
        <w:t xml:space="preserve">, </w:t>
      </w:r>
      <w:proofErr w:type="spellStart"/>
      <w:r w:rsidR="00074A78" w:rsidRPr="006F6DF8">
        <w:rPr>
          <w:rFonts w:ascii="Times New Roman" w:hAnsi="Times New Roman" w:cs="Times New Roman"/>
          <w:sz w:val="20"/>
          <w:szCs w:val="20"/>
        </w:rPr>
        <w:t>amelia</w:t>
      </w:r>
      <w:proofErr w:type="spellEnd"/>
      <w:r w:rsidR="00074A78" w:rsidRPr="006F6DF8">
        <w:rPr>
          <w:rFonts w:ascii="Times New Roman" w:hAnsi="Times New Roman" w:cs="Times New Roman"/>
          <w:sz w:val="20"/>
          <w:szCs w:val="20"/>
        </w:rPr>
        <w:t xml:space="preserve">, cardiac issues, renal and gastrointestinal anomalies, deafness, </w:t>
      </w:r>
      <w:proofErr w:type="spellStart"/>
      <w:r w:rsidR="00074A78" w:rsidRPr="006F6DF8">
        <w:rPr>
          <w:rFonts w:ascii="Times New Roman" w:hAnsi="Times New Roman" w:cs="Times New Roman"/>
          <w:sz w:val="20"/>
          <w:szCs w:val="20"/>
        </w:rPr>
        <w:t>microtia</w:t>
      </w:r>
      <w:proofErr w:type="spellEnd"/>
      <w:r w:rsidR="00074A78" w:rsidRPr="006F6DF8">
        <w:rPr>
          <w:rFonts w:ascii="Times New Roman" w:hAnsi="Times New Roman" w:cs="Times New Roman"/>
          <w:sz w:val="20"/>
          <w:szCs w:val="20"/>
        </w:rPr>
        <w:t xml:space="preserve">, </w:t>
      </w:r>
      <w:proofErr w:type="spellStart"/>
      <w:r w:rsidR="00074A78" w:rsidRPr="006F6DF8">
        <w:rPr>
          <w:rFonts w:ascii="Times New Roman" w:hAnsi="Times New Roman" w:cs="Times New Roman"/>
          <w:sz w:val="20"/>
          <w:szCs w:val="20"/>
        </w:rPr>
        <w:t>anotia</w:t>
      </w:r>
      <w:proofErr w:type="spellEnd"/>
      <w:r w:rsidR="00074A78" w:rsidRPr="006F6DF8">
        <w:rPr>
          <w:rFonts w:ascii="Times New Roman" w:hAnsi="Times New Roman" w:cs="Times New Roman"/>
          <w:sz w:val="20"/>
          <w:szCs w:val="20"/>
        </w:rPr>
        <w:t>, mental retardation, and autism. A 20% rise in the incidence of teratogenicity occurs between days 34 and 50 of pregnancy [36,37]. A prospective treatment for AIDS, TB, Behcet's syndrome, leprosy, and other illnesses is being investigated at the moment: thalidomide. The FDA approved thalidomide in 1998 for the treatment of cutaneous leprosy. Following this, reports of 33 further cases of thalidomide-induced embryopathy were sent to Brazil. The System for Thalidomide Education and Prescribing Safety (STEPS) programme was established to inform the public about this medicine</w:t>
      </w:r>
      <w:r w:rsidR="00724959" w:rsidRPr="006F6DF8">
        <w:rPr>
          <w:rFonts w:ascii="Times New Roman" w:hAnsi="Times New Roman" w:cs="Times New Roman"/>
          <w:sz w:val="20"/>
          <w:szCs w:val="20"/>
        </w:rPr>
        <w:t>[</w:t>
      </w:r>
      <w:r w:rsidR="00035D01" w:rsidRPr="006F6DF8">
        <w:rPr>
          <w:rFonts w:ascii="Times New Roman" w:hAnsi="Times New Roman" w:cs="Times New Roman"/>
          <w:sz w:val="20"/>
          <w:szCs w:val="20"/>
        </w:rPr>
        <w:t>38,39</w:t>
      </w:r>
      <w:r w:rsidR="00724959" w:rsidRPr="006F6DF8">
        <w:rPr>
          <w:rFonts w:ascii="Times New Roman" w:hAnsi="Times New Roman" w:cs="Times New Roman"/>
          <w:sz w:val="20"/>
          <w:szCs w:val="20"/>
        </w:rPr>
        <w:t>].</w:t>
      </w:r>
    </w:p>
    <w:p w:rsidR="00387D85" w:rsidRPr="006F6DF8" w:rsidRDefault="00387D85" w:rsidP="00387D85">
      <w:pPr>
        <w:pStyle w:val="ListParagraph"/>
        <w:spacing w:after="0" w:line="240" w:lineRule="auto"/>
        <w:ind w:left="270"/>
        <w:jc w:val="both"/>
        <w:rPr>
          <w:rFonts w:ascii="Times New Roman" w:hAnsi="Times New Roman" w:cs="Times New Roman"/>
          <w:sz w:val="20"/>
          <w:szCs w:val="20"/>
        </w:rPr>
      </w:pPr>
    </w:p>
    <w:p w:rsidR="00724959" w:rsidRDefault="00387D85" w:rsidP="00387D85">
      <w:pPr>
        <w:pStyle w:val="ListParagraph"/>
        <w:spacing w:after="0" w:line="240" w:lineRule="auto"/>
        <w:ind w:left="0"/>
        <w:jc w:val="center"/>
        <w:rPr>
          <w:rFonts w:ascii="Times New Roman" w:hAnsi="Times New Roman" w:cs="Times New Roman"/>
          <w:b/>
          <w:bCs/>
          <w:sz w:val="20"/>
          <w:szCs w:val="20"/>
        </w:rPr>
      </w:pPr>
      <w:r>
        <w:rPr>
          <w:rFonts w:ascii="Times New Roman" w:hAnsi="Times New Roman" w:cs="Times New Roman"/>
          <w:b/>
          <w:bCs/>
          <w:sz w:val="20"/>
          <w:szCs w:val="20"/>
        </w:rPr>
        <w:t xml:space="preserve">III. </w:t>
      </w:r>
      <w:r w:rsidRPr="006F6DF8">
        <w:rPr>
          <w:rFonts w:ascii="Times New Roman" w:hAnsi="Times New Roman" w:cs="Times New Roman"/>
          <w:b/>
          <w:bCs/>
          <w:sz w:val="20"/>
          <w:szCs w:val="20"/>
        </w:rPr>
        <w:t>CONCLUSION</w:t>
      </w:r>
    </w:p>
    <w:p w:rsidR="00387D85" w:rsidRPr="006F6DF8" w:rsidRDefault="00387D85" w:rsidP="00387D85">
      <w:pPr>
        <w:pStyle w:val="ListParagraph"/>
        <w:spacing w:after="0" w:line="240" w:lineRule="auto"/>
        <w:ind w:left="0"/>
        <w:jc w:val="center"/>
        <w:rPr>
          <w:rFonts w:ascii="Times New Roman" w:hAnsi="Times New Roman" w:cs="Times New Roman"/>
          <w:b/>
          <w:bCs/>
          <w:sz w:val="20"/>
          <w:szCs w:val="20"/>
        </w:rPr>
      </w:pPr>
    </w:p>
    <w:p w:rsidR="00724959" w:rsidRPr="006F6DF8" w:rsidRDefault="00724959" w:rsidP="00CD6F58">
      <w:pPr>
        <w:pStyle w:val="ListParagraph"/>
        <w:spacing w:after="0" w:line="240" w:lineRule="auto"/>
        <w:ind w:left="0" w:firstLine="720"/>
        <w:jc w:val="both"/>
        <w:rPr>
          <w:rFonts w:ascii="Times New Roman" w:hAnsi="Times New Roman" w:cs="Times New Roman"/>
          <w:sz w:val="20"/>
          <w:szCs w:val="20"/>
        </w:rPr>
      </w:pPr>
      <w:r w:rsidRPr="006F6DF8">
        <w:rPr>
          <w:rFonts w:ascii="Times New Roman" w:hAnsi="Times New Roman" w:cs="Times New Roman"/>
          <w:sz w:val="20"/>
          <w:szCs w:val="20"/>
        </w:rPr>
        <w:t xml:space="preserve">In reality, few medications are clearly teratogenic in people, and there aren't many congenital problems that can be linked to them. </w:t>
      </w:r>
      <w:r w:rsidR="00074A78" w:rsidRPr="006F6DF8">
        <w:rPr>
          <w:rFonts w:ascii="Times New Roman" w:hAnsi="Times New Roman" w:cs="Times New Roman"/>
          <w:sz w:val="20"/>
          <w:szCs w:val="20"/>
        </w:rPr>
        <w:t xml:space="preserve">An efficient preventive measure for these problems is therefore possible because the medications in question are well known in the medical community and every woman of reproductive age who uses them is carefully warned of the inherent dangers. </w:t>
      </w:r>
      <w:r w:rsidR="00E7015A">
        <w:rPr>
          <w:rFonts w:ascii="Times New Roman" w:hAnsi="Times New Roman" w:cs="Times New Roman"/>
          <w:sz w:val="20"/>
          <w:szCs w:val="20"/>
        </w:rPr>
        <w:t xml:space="preserve">In one of the </w:t>
      </w:r>
      <w:r w:rsidR="000D59B5">
        <w:rPr>
          <w:rFonts w:ascii="Times New Roman" w:hAnsi="Times New Roman" w:cs="Times New Roman"/>
          <w:sz w:val="20"/>
          <w:szCs w:val="20"/>
        </w:rPr>
        <w:t>study</w:t>
      </w:r>
      <w:r w:rsidRPr="006F6DF8">
        <w:rPr>
          <w:rFonts w:ascii="Times New Roman" w:hAnsi="Times New Roman" w:cs="Times New Roman"/>
          <w:sz w:val="20"/>
          <w:szCs w:val="20"/>
        </w:rPr>
        <w:t xml:space="preserve"> 40% of births are unplanned, it is crucial that these medications be used under close medical supervision and by professional prescription, preventing any chance of self-medication in any way. The length of any potential waiting period before conception should be made explicit when appropriate. In any case, using potentially teratogenic pharmaceutical treatments is not prohibited during pregnancy so long as they are used while the foetus is not susceptible to them. Only situations when a medicine has been shown to be necessary and effective should be administered during pregnancy.</w:t>
      </w:r>
      <w:r w:rsidR="00074A78" w:rsidRPr="006F6DF8">
        <w:rPr>
          <w:rFonts w:ascii="Times New Roman" w:hAnsi="Times New Roman" w:cs="Times New Roman"/>
          <w:sz w:val="20"/>
          <w:szCs w:val="20"/>
        </w:rPr>
        <w:t>Additionally, since every new medicine has a risk of being teratogenic, it is advisable to utilise drugs for which information is publicly available and previous clinical experience is easily accessible.</w:t>
      </w:r>
      <w:r w:rsidRPr="006F6DF8">
        <w:rPr>
          <w:rFonts w:ascii="Times New Roman" w:hAnsi="Times New Roman" w:cs="Times New Roman"/>
          <w:sz w:val="20"/>
          <w:szCs w:val="20"/>
        </w:rPr>
        <w:t xml:space="preserve">It is recommended for women who unintentionally consumed medications during the first trimester of their pregnancy to contact the Teratology Information Services. </w:t>
      </w:r>
      <w:r w:rsidR="00106C2A" w:rsidRPr="006F6DF8">
        <w:rPr>
          <w:rFonts w:ascii="Times New Roman" w:hAnsi="Times New Roman" w:cs="Times New Roman"/>
          <w:sz w:val="20"/>
          <w:szCs w:val="20"/>
        </w:rPr>
        <w:t>These services give personnel with expertise in reproductive risk factors who are able to evaluate any risk both qualitatively and quantitatively and offer advice</w:t>
      </w:r>
      <w:r w:rsidRPr="006F6DF8">
        <w:rPr>
          <w:rFonts w:ascii="Times New Roman" w:hAnsi="Times New Roman" w:cs="Times New Roman"/>
          <w:sz w:val="20"/>
          <w:szCs w:val="20"/>
        </w:rPr>
        <w:t>on the most appropriate diagnostic research when necessary.</w:t>
      </w:r>
      <w:r w:rsidR="00106C2A" w:rsidRPr="006F6DF8">
        <w:rPr>
          <w:rFonts w:ascii="Times New Roman" w:hAnsi="Times New Roman" w:cs="Times New Roman"/>
          <w:sz w:val="20"/>
          <w:szCs w:val="20"/>
        </w:rPr>
        <w:t>Each and every pregnant drug counselling facility</w:t>
      </w:r>
      <w:r w:rsidR="004224F3" w:rsidRPr="006F6DF8">
        <w:rPr>
          <w:rFonts w:ascii="Times New Roman" w:hAnsi="Times New Roman" w:cs="Times New Roman"/>
          <w:sz w:val="20"/>
          <w:szCs w:val="20"/>
        </w:rPr>
        <w:t xml:space="preserve">has found that unintentional medication usage during the first trimester has a significant psychological impact on the expectant mother. </w:t>
      </w:r>
      <w:r w:rsidR="00106C2A" w:rsidRPr="006F6DF8">
        <w:rPr>
          <w:rFonts w:ascii="Times New Roman" w:hAnsi="Times New Roman" w:cs="Times New Roman"/>
          <w:sz w:val="20"/>
          <w:szCs w:val="20"/>
        </w:rPr>
        <w:t>The drug's instruction pamphlet or the woman's doctor provide her with the most of the information; some of it is incredibly broad or downright alarming, which can sometimes lead to the woman being persuaded to abort the pregnancy. It is essential that these women are informed completely and truthfully about any dangers associated with the relevant medication, to the best of our current scientific understanding. It is inaccurate to generalise about teratogenic effects. This must be qualified, quantified, related to the type of exposure, the stage of pregnancy, and the patient's clinical history, within reasonable bounds, while also taking into account the frequency of congenital defects in the general population or the presence of additional potential risk factors.</w:t>
      </w:r>
    </w:p>
    <w:p w:rsidR="00387D85" w:rsidRDefault="00387D85" w:rsidP="00387D85">
      <w:pPr>
        <w:spacing w:after="0" w:line="240" w:lineRule="auto"/>
        <w:jc w:val="both"/>
        <w:rPr>
          <w:rFonts w:ascii="Times New Roman" w:hAnsi="Times New Roman" w:cs="Times New Roman"/>
          <w:b/>
          <w:bCs/>
          <w:sz w:val="16"/>
          <w:szCs w:val="16"/>
        </w:rPr>
      </w:pPr>
    </w:p>
    <w:p w:rsidR="004224F3" w:rsidRDefault="00387D85" w:rsidP="00387D85">
      <w:pPr>
        <w:spacing w:after="0" w:line="240" w:lineRule="auto"/>
        <w:jc w:val="center"/>
        <w:rPr>
          <w:rFonts w:ascii="Times New Roman" w:hAnsi="Times New Roman" w:cs="Times New Roman"/>
          <w:b/>
          <w:bCs/>
          <w:sz w:val="20"/>
          <w:szCs w:val="20"/>
        </w:rPr>
      </w:pPr>
      <w:r w:rsidRPr="00387D85">
        <w:rPr>
          <w:rFonts w:ascii="Times New Roman" w:hAnsi="Times New Roman" w:cs="Times New Roman"/>
          <w:b/>
          <w:bCs/>
          <w:sz w:val="20"/>
          <w:szCs w:val="20"/>
        </w:rPr>
        <w:t>REFERENCES</w:t>
      </w:r>
    </w:p>
    <w:p w:rsidR="00387D85" w:rsidRPr="00387D85" w:rsidRDefault="00387D85" w:rsidP="00387D85">
      <w:pPr>
        <w:spacing w:after="0" w:line="240" w:lineRule="auto"/>
        <w:jc w:val="center"/>
        <w:rPr>
          <w:rFonts w:ascii="Times New Roman" w:hAnsi="Times New Roman" w:cs="Times New Roman"/>
          <w:b/>
          <w:bCs/>
          <w:sz w:val="20"/>
          <w:szCs w:val="20"/>
        </w:rPr>
      </w:pPr>
    </w:p>
    <w:p w:rsidR="00656710" w:rsidRPr="00387D85" w:rsidRDefault="004224F3"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 xml:space="preserve">Beckam DA, Brent RL. Mechanism of teratogenesis. </w:t>
      </w:r>
      <w:proofErr w:type="spellStart"/>
      <w:r w:rsidRPr="00387D85">
        <w:rPr>
          <w:rFonts w:ascii="Times New Roman" w:hAnsi="Times New Roman" w:cs="Times New Roman"/>
          <w:sz w:val="16"/>
          <w:szCs w:val="16"/>
        </w:rPr>
        <w:t>Annu</w:t>
      </w:r>
      <w:proofErr w:type="spellEnd"/>
      <w:r w:rsidRPr="00387D85">
        <w:rPr>
          <w:rFonts w:ascii="Times New Roman" w:hAnsi="Times New Roman" w:cs="Times New Roman"/>
          <w:sz w:val="16"/>
          <w:szCs w:val="16"/>
        </w:rPr>
        <w:t xml:space="preserve"> Rev PharmacolToxicol1984;24:483</w:t>
      </w:r>
      <w:r w:rsidR="00CD6F58">
        <w:rPr>
          <w:rFonts w:ascii="Times New Roman" w:hAnsi="Times New Roman" w:cs="Times New Roman"/>
          <w:sz w:val="16"/>
          <w:szCs w:val="16"/>
        </w:rPr>
        <w:t>-</w:t>
      </w:r>
      <w:r w:rsidRPr="00387D85">
        <w:rPr>
          <w:rFonts w:ascii="Times New Roman" w:hAnsi="Times New Roman" w:cs="Times New Roman"/>
          <w:sz w:val="16"/>
          <w:szCs w:val="16"/>
        </w:rPr>
        <w:t>500.</w:t>
      </w:r>
    </w:p>
    <w:p w:rsidR="004224F3"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De Santis M, Carducci B, Cavaliere AF, De Santis L, Straface G, Caruso A. Drug-induced congenital defects. Strategies to reduce the incidence. Drug Safety 2001;24(12):889</w:t>
      </w:r>
      <w:r w:rsidR="00CD6F58">
        <w:rPr>
          <w:rFonts w:ascii="Times New Roman" w:hAnsi="Times New Roman" w:cs="Times New Roman"/>
          <w:sz w:val="16"/>
          <w:szCs w:val="16"/>
        </w:rPr>
        <w:t>-</w:t>
      </w:r>
      <w:r w:rsidRPr="00387D85">
        <w:rPr>
          <w:rFonts w:ascii="Times New Roman" w:hAnsi="Times New Roman" w:cs="Times New Roman"/>
          <w:sz w:val="16"/>
          <w:szCs w:val="16"/>
        </w:rPr>
        <w:t>901.</w:t>
      </w:r>
    </w:p>
    <w:p w:rsidR="008A3C01"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 xml:space="preserve">Shepard TH. </w:t>
      </w:r>
      <w:proofErr w:type="spellStart"/>
      <w:r w:rsidRPr="00387D85">
        <w:rPr>
          <w:rFonts w:ascii="Times New Roman" w:hAnsi="Times New Roman" w:cs="Times New Roman"/>
          <w:sz w:val="16"/>
          <w:szCs w:val="16"/>
        </w:rPr>
        <w:t>Catalog</w:t>
      </w:r>
      <w:proofErr w:type="spellEnd"/>
      <w:r w:rsidRPr="00387D85">
        <w:rPr>
          <w:rFonts w:ascii="Times New Roman" w:hAnsi="Times New Roman" w:cs="Times New Roman"/>
          <w:sz w:val="16"/>
          <w:szCs w:val="16"/>
        </w:rPr>
        <w:t xml:space="preserve"> of </w:t>
      </w:r>
      <w:proofErr w:type="spellStart"/>
      <w:r w:rsidRPr="00387D85">
        <w:rPr>
          <w:rFonts w:ascii="Times New Roman" w:hAnsi="Times New Roman" w:cs="Times New Roman"/>
          <w:sz w:val="16"/>
          <w:szCs w:val="16"/>
        </w:rPr>
        <w:t>teratogenic</w:t>
      </w:r>
      <w:proofErr w:type="spellEnd"/>
      <w:r w:rsidRPr="00387D85">
        <w:rPr>
          <w:rFonts w:ascii="Times New Roman" w:hAnsi="Times New Roman" w:cs="Times New Roman"/>
          <w:sz w:val="16"/>
          <w:szCs w:val="16"/>
        </w:rPr>
        <w:t xml:space="preserve"> agents. 8th ed. Baltimore: Johns Hopkins University Press; 1995. </w:t>
      </w:r>
    </w:p>
    <w:p w:rsidR="008A3C01"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Koren G. Maternal-</w:t>
      </w:r>
      <w:proofErr w:type="spellStart"/>
      <w:r w:rsidRPr="00387D85">
        <w:rPr>
          <w:rFonts w:ascii="Times New Roman" w:hAnsi="Times New Roman" w:cs="Times New Roman"/>
          <w:sz w:val="16"/>
          <w:szCs w:val="16"/>
        </w:rPr>
        <w:t>fetal</w:t>
      </w:r>
      <w:proofErr w:type="spellEnd"/>
      <w:r w:rsidRPr="00387D85">
        <w:rPr>
          <w:rFonts w:ascii="Times New Roman" w:hAnsi="Times New Roman" w:cs="Times New Roman"/>
          <w:sz w:val="16"/>
          <w:szCs w:val="16"/>
        </w:rPr>
        <w:t xml:space="preserve"> toxicology: a clinician’s guide. 2nd ed. New York: Marcel Dekker Inc.; 1994. </w:t>
      </w:r>
    </w:p>
    <w:p w:rsidR="00AF20F9"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 xml:space="preserve">Briggs GG, Freeman RK, Yaffe SJ. Drugs in pregnancy and lactation: a reference guide to </w:t>
      </w:r>
      <w:proofErr w:type="spellStart"/>
      <w:r w:rsidRPr="00387D85">
        <w:rPr>
          <w:rFonts w:ascii="Times New Roman" w:hAnsi="Times New Roman" w:cs="Times New Roman"/>
          <w:sz w:val="16"/>
          <w:szCs w:val="16"/>
        </w:rPr>
        <w:t>fetal</w:t>
      </w:r>
      <w:proofErr w:type="spellEnd"/>
      <w:r w:rsidRPr="00387D85">
        <w:rPr>
          <w:rFonts w:ascii="Times New Roman" w:hAnsi="Times New Roman" w:cs="Times New Roman"/>
          <w:sz w:val="16"/>
          <w:szCs w:val="16"/>
        </w:rPr>
        <w:t xml:space="preserve"> and neonatal risk. 5th ed. Baltimore: Williams and Wilkins; 1998.</w:t>
      </w:r>
    </w:p>
    <w:p w:rsidR="00AF20F9"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 xml:space="preserve">Robinson GC, Cambon KG. Hearing loss in infants of tuberculous mothers treated with streptomycin during pregnancy. N Engl J Med 1964;271:949–51. </w:t>
      </w:r>
    </w:p>
    <w:p w:rsidR="00AF20F9"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 xml:space="preserve">Conway N, Birt BD. Streptomycin in pregnancy: effect on the </w:t>
      </w:r>
      <w:proofErr w:type="spellStart"/>
      <w:r w:rsidRPr="00387D85">
        <w:rPr>
          <w:rFonts w:ascii="Times New Roman" w:hAnsi="Times New Roman" w:cs="Times New Roman"/>
          <w:sz w:val="16"/>
          <w:szCs w:val="16"/>
        </w:rPr>
        <w:t>fetal</w:t>
      </w:r>
      <w:proofErr w:type="spellEnd"/>
      <w:r w:rsidRPr="00387D85">
        <w:rPr>
          <w:rFonts w:ascii="Times New Roman" w:hAnsi="Times New Roman" w:cs="Times New Roman"/>
          <w:sz w:val="16"/>
          <w:szCs w:val="16"/>
        </w:rPr>
        <w:t xml:space="preserve"> ear. Br Med J 1965;2:260–3. </w:t>
      </w:r>
    </w:p>
    <w:p w:rsidR="00AF20F9"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 xml:space="preserve">Rendle-Short TJ. Tetracycline in teeth and bone. Lancet 1962;1: 1188. </w:t>
      </w:r>
    </w:p>
    <w:p w:rsidR="00AF20F9"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 xml:space="preserve">Kutscher AH, </w:t>
      </w:r>
      <w:proofErr w:type="spellStart"/>
      <w:r w:rsidRPr="00387D85">
        <w:rPr>
          <w:rFonts w:ascii="Times New Roman" w:hAnsi="Times New Roman" w:cs="Times New Roman"/>
          <w:sz w:val="16"/>
          <w:szCs w:val="16"/>
        </w:rPr>
        <w:t>Zegarelli</w:t>
      </w:r>
      <w:proofErr w:type="spellEnd"/>
      <w:r w:rsidRPr="00387D85">
        <w:rPr>
          <w:rFonts w:ascii="Times New Roman" w:hAnsi="Times New Roman" w:cs="Times New Roman"/>
          <w:sz w:val="16"/>
          <w:szCs w:val="16"/>
        </w:rPr>
        <w:t xml:space="preserve"> EV, </w:t>
      </w:r>
      <w:proofErr w:type="spellStart"/>
      <w:r w:rsidRPr="00387D85">
        <w:rPr>
          <w:rFonts w:ascii="Times New Roman" w:hAnsi="Times New Roman" w:cs="Times New Roman"/>
          <w:sz w:val="16"/>
          <w:szCs w:val="16"/>
        </w:rPr>
        <w:t>Tovell</w:t>
      </w:r>
      <w:proofErr w:type="spellEnd"/>
      <w:r w:rsidRPr="00387D85">
        <w:rPr>
          <w:rFonts w:ascii="Times New Roman" w:hAnsi="Times New Roman" w:cs="Times New Roman"/>
          <w:sz w:val="16"/>
          <w:szCs w:val="16"/>
        </w:rPr>
        <w:t xml:space="preserve"> HM, Hochberg B, Hauptman J. Discoloration of deciduous teeth induced by administrations of tetracycline antepartum. Am J ObstetGynecol1966;96:291–2. </w:t>
      </w:r>
    </w:p>
    <w:p w:rsidR="00AF20F9"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Allen ES, Brown WE. Hepatic toxicity of tetracycline in pregnancy. Am J ObstetGynecol1966;95:12–8.</w:t>
      </w:r>
    </w:p>
    <w:p w:rsidR="00AF20F9"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Saxen I, Saxen L. Associations between maternal intake of diazepam and oral clefts. Lancet 1975;2:498.</w:t>
      </w:r>
    </w:p>
    <w:p w:rsidR="008A3C01"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 xml:space="preserve">American Academy of </w:t>
      </w:r>
      <w:proofErr w:type="spellStart"/>
      <w:r w:rsidRPr="00387D85">
        <w:rPr>
          <w:rFonts w:ascii="Times New Roman" w:hAnsi="Times New Roman" w:cs="Times New Roman"/>
          <w:sz w:val="16"/>
          <w:szCs w:val="16"/>
        </w:rPr>
        <w:t>Pediatrics</w:t>
      </w:r>
      <w:proofErr w:type="spellEnd"/>
      <w:r w:rsidRPr="00387D85">
        <w:rPr>
          <w:rFonts w:ascii="Times New Roman" w:hAnsi="Times New Roman" w:cs="Times New Roman"/>
          <w:sz w:val="16"/>
          <w:szCs w:val="16"/>
        </w:rPr>
        <w:t xml:space="preserve">. Committee on Drugs. Use of psychoactive medication during pregnancy and possible effects on the </w:t>
      </w:r>
      <w:proofErr w:type="spellStart"/>
      <w:r w:rsidRPr="00387D85">
        <w:rPr>
          <w:rFonts w:ascii="Times New Roman" w:hAnsi="Times New Roman" w:cs="Times New Roman"/>
          <w:sz w:val="16"/>
          <w:szCs w:val="16"/>
        </w:rPr>
        <w:t>fetus</w:t>
      </w:r>
      <w:proofErr w:type="spellEnd"/>
      <w:r w:rsidRPr="00387D85">
        <w:rPr>
          <w:rFonts w:ascii="Times New Roman" w:hAnsi="Times New Roman" w:cs="Times New Roman"/>
          <w:sz w:val="16"/>
          <w:szCs w:val="16"/>
        </w:rPr>
        <w:t xml:space="preserve"> and newborn. </w:t>
      </w:r>
      <w:proofErr w:type="spellStart"/>
      <w:r w:rsidRPr="00387D85">
        <w:rPr>
          <w:rFonts w:ascii="Times New Roman" w:hAnsi="Times New Roman" w:cs="Times New Roman"/>
          <w:sz w:val="16"/>
          <w:szCs w:val="16"/>
        </w:rPr>
        <w:t>Pediatrics</w:t>
      </w:r>
      <w:proofErr w:type="spellEnd"/>
      <w:r w:rsidRPr="00387D85">
        <w:rPr>
          <w:rFonts w:ascii="Times New Roman" w:hAnsi="Times New Roman" w:cs="Times New Roman"/>
          <w:sz w:val="16"/>
          <w:szCs w:val="16"/>
        </w:rPr>
        <w:t xml:space="preserve"> 2000;105(4 Pt 1):880–7.</w:t>
      </w:r>
    </w:p>
    <w:p w:rsidR="008A3C01" w:rsidRPr="00387D85" w:rsidRDefault="008A3C01" w:rsidP="00387D85">
      <w:pPr>
        <w:pStyle w:val="ListParagraph"/>
        <w:numPr>
          <w:ilvl w:val="0"/>
          <w:numId w:val="4"/>
        </w:numPr>
        <w:spacing w:after="0" w:line="240" w:lineRule="auto"/>
        <w:ind w:left="360"/>
        <w:jc w:val="both"/>
        <w:rPr>
          <w:rFonts w:ascii="Times New Roman" w:hAnsi="Times New Roman" w:cs="Times New Roman"/>
          <w:sz w:val="16"/>
          <w:szCs w:val="16"/>
        </w:rPr>
      </w:pPr>
      <w:proofErr w:type="spellStart"/>
      <w:r w:rsidRPr="00387D85">
        <w:rPr>
          <w:rFonts w:ascii="Times New Roman" w:hAnsi="Times New Roman" w:cs="Times New Roman"/>
          <w:sz w:val="16"/>
          <w:szCs w:val="16"/>
        </w:rPr>
        <w:t>Laegreid</w:t>
      </w:r>
      <w:proofErr w:type="spellEnd"/>
      <w:r w:rsidRPr="00387D85">
        <w:rPr>
          <w:rFonts w:ascii="Times New Roman" w:hAnsi="Times New Roman" w:cs="Times New Roman"/>
          <w:sz w:val="16"/>
          <w:szCs w:val="16"/>
        </w:rPr>
        <w:t xml:space="preserve"> L, </w:t>
      </w:r>
      <w:proofErr w:type="spellStart"/>
      <w:r w:rsidRPr="00387D85">
        <w:rPr>
          <w:rFonts w:ascii="Times New Roman" w:hAnsi="Times New Roman" w:cs="Times New Roman"/>
          <w:sz w:val="16"/>
          <w:szCs w:val="16"/>
        </w:rPr>
        <w:t>Olegard</w:t>
      </w:r>
      <w:proofErr w:type="spellEnd"/>
      <w:r w:rsidRPr="00387D85">
        <w:rPr>
          <w:rFonts w:ascii="Times New Roman" w:hAnsi="Times New Roman" w:cs="Times New Roman"/>
          <w:sz w:val="16"/>
          <w:szCs w:val="16"/>
        </w:rPr>
        <w:t xml:space="preserve"> R, Walstrom J, Conradi N. Teratogenic effects of benzodiazepine use during pregnancy. J Pediatr1989;114:126– 31</w:t>
      </w:r>
      <w:r w:rsidR="00CD6F58">
        <w:rPr>
          <w:rFonts w:ascii="Times New Roman" w:hAnsi="Times New Roman" w:cs="Times New Roman"/>
          <w:sz w:val="16"/>
          <w:szCs w:val="16"/>
        </w:rPr>
        <w:t>.</w:t>
      </w:r>
    </w:p>
    <w:p w:rsidR="00656710" w:rsidRPr="00CD6F58" w:rsidRDefault="00AF20F9" w:rsidP="00CD6F58">
      <w:pPr>
        <w:pStyle w:val="ListParagraph"/>
        <w:numPr>
          <w:ilvl w:val="0"/>
          <w:numId w:val="4"/>
        </w:numPr>
        <w:spacing w:after="0" w:line="240" w:lineRule="auto"/>
        <w:ind w:left="360"/>
        <w:jc w:val="both"/>
        <w:rPr>
          <w:rFonts w:ascii="Times New Roman" w:hAnsi="Times New Roman" w:cs="Times New Roman"/>
          <w:sz w:val="16"/>
          <w:szCs w:val="16"/>
        </w:rPr>
      </w:pPr>
      <w:proofErr w:type="spellStart"/>
      <w:r w:rsidRPr="00387D85">
        <w:rPr>
          <w:rFonts w:ascii="Times New Roman" w:hAnsi="Times New Roman" w:cs="Times New Roman"/>
          <w:sz w:val="16"/>
          <w:szCs w:val="16"/>
        </w:rPr>
        <w:t>Robboy</w:t>
      </w:r>
      <w:proofErr w:type="spellEnd"/>
      <w:r w:rsidRPr="00387D85">
        <w:rPr>
          <w:rFonts w:ascii="Times New Roman" w:hAnsi="Times New Roman" w:cs="Times New Roman"/>
          <w:sz w:val="16"/>
          <w:szCs w:val="16"/>
        </w:rPr>
        <w:t xml:space="preserve"> SJ, </w:t>
      </w:r>
      <w:proofErr w:type="spellStart"/>
      <w:r w:rsidRPr="00387D85">
        <w:rPr>
          <w:rFonts w:ascii="Times New Roman" w:hAnsi="Times New Roman" w:cs="Times New Roman"/>
          <w:sz w:val="16"/>
          <w:szCs w:val="16"/>
        </w:rPr>
        <w:t>Szyfelbein</w:t>
      </w:r>
      <w:proofErr w:type="spellEnd"/>
      <w:r w:rsidRPr="00387D85">
        <w:rPr>
          <w:rFonts w:ascii="Times New Roman" w:hAnsi="Times New Roman" w:cs="Times New Roman"/>
          <w:sz w:val="16"/>
          <w:szCs w:val="16"/>
        </w:rPr>
        <w:t xml:space="preserve"> WM, Goellner JR, et al. Information for physicians. Prenatal diethylstilbestrol (DES) exposure: recommendations of the diethylstilbestrol-</w:t>
      </w:r>
      <w:proofErr w:type="spellStart"/>
      <w:r w:rsidRPr="00387D85">
        <w:rPr>
          <w:rFonts w:ascii="Times New Roman" w:hAnsi="Times New Roman" w:cs="Times New Roman"/>
          <w:sz w:val="16"/>
          <w:szCs w:val="16"/>
        </w:rPr>
        <w:t>adenosis</w:t>
      </w:r>
      <w:proofErr w:type="spellEnd"/>
      <w:r w:rsidRPr="00387D85">
        <w:rPr>
          <w:rFonts w:ascii="Times New Roman" w:hAnsi="Times New Roman" w:cs="Times New Roman"/>
          <w:sz w:val="16"/>
          <w:szCs w:val="16"/>
        </w:rPr>
        <w:t xml:space="preserve"> (DESAD) project for the M. De Santis et al. / European Journal of Obstetrics </w:t>
      </w:r>
      <w:r w:rsidRPr="00387D85">
        <w:rPr>
          <w:rFonts w:ascii="Times New Roman" w:hAnsi="Times New Roman" w:cs="Times New Roman"/>
          <w:sz w:val="16"/>
          <w:szCs w:val="16"/>
        </w:rPr>
        <w:lastRenderedPageBreak/>
        <w:t>&amp;</w:t>
      </w:r>
      <w:proofErr w:type="spellStart"/>
      <w:r w:rsidRPr="00387D85">
        <w:rPr>
          <w:rFonts w:ascii="Times New Roman" w:hAnsi="Times New Roman" w:cs="Times New Roman"/>
          <w:sz w:val="16"/>
          <w:szCs w:val="16"/>
        </w:rPr>
        <w:t>Gynecology</w:t>
      </w:r>
      <w:proofErr w:type="spellEnd"/>
      <w:r w:rsidRPr="00387D85">
        <w:rPr>
          <w:rFonts w:ascii="Times New Roman" w:hAnsi="Times New Roman" w:cs="Times New Roman"/>
          <w:sz w:val="16"/>
          <w:szCs w:val="16"/>
        </w:rPr>
        <w:t xml:space="preserve"> and Reproductive Biology 117 (2004) 10–19 17 identification and management of exposed individuals. NIH Publication 81-2049; 1981.</w:t>
      </w:r>
    </w:p>
    <w:p w:rsidR="00656710" w:rsidRPr="00CD6F58" w:rsidRDefault="00AF20F9" w:rsidP="00CD6F58">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Hatch EE, Palmer JR, Titus-</w:t>
      </w:r>
      <w:proofErr w:type="spellStart"/>
      <w:r w:rsidRPr="00387D85">
        <w:rPr>
          <w:rFonts w:ascii="Times New Roman" w:hAnsi="Times New Roman" w:cs="Times New Roman"/>
          <w:sz w:val="16"/>
          <w:szCs w:val="16"/>
        </w:rPr>
        <w:t>ErnstoffL</w:t>
      </w:r>
      <w:proofErr w:type="spellEnd"/>
      <w:r w:rsidRPr="00387D85">
        <w:rPr>
          <w:rFonts w:ascii="Times New Roman" w:hAnsi="Times New Roman" w:cs="Times New Roman"/>
          <w:sz w:val="16"/>
          <w:szCs w:val="16"/>
        </w:rPr>
        <w:t xml:space="preserve">, et al. Cancer risk in women exposed to diethylstilbestrol in </w:t>
      </w:r>
      <w:proofErr w:type="spellStart"/>
      <w:r w:rsidRPr="00387D85">
        <w:rPr>
          <w:rFonts w:ascii="Times New Roman" w:hAnsi="Times New Roman" w:cs="Times New Roman"/>
          <w:sz w:val="16"/>
          <w:szCs w:val="16"/>
        </w:rPr>
        <w:t>utero</w:t>
      </w:r>
      <w:proofErr w:type="spellEnd"/>
      <w:r w:rsidRPr="00387D85">
        <w:rPr>
          <w:rFonts w:ascii="Times New Roman" w:hAnsi="Times New Roman" w:cs="Times New Roman"/>
          <w:sz w:val="16"/>
          <w:szCs w:val="16"/>
        </w:rPr>
        <w:t>. JAMA 1998;280:630–4.</w:t>
      </w:r>
    </w:p>
    <w:p w:rsidR="00AF20F9"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 xml:space="preserve">Jefferies JA, </w:t>
      </w:r>
      <w:proofErr w:type="spellStart"/>
      <w:r w:rsidRPr="00387D85">
        <w:rPr>
          <w:rFonts w:ascii="Times New Roman" w:hAnsi="Times New Roman" w:cs="Times New Roman"/>
          <w:sz w:val="16"/>
          <w:szCs w:val="16"/>
        </w:rPr>
        <w:t>Robboy</w:t>
      </w:r>
      <w:proofErr w:type="spellEnd"/>
      <w:r w:rsidRPr="00387D85">
        <w:rPr>
          <w:rFonts w:ascii="Times New Roman" w:hAnsi="Times New Roman" w:cs="Times New Roman"/>
          <w:sz w:val="16"/>
          <w:szCs w:val="16"/>
        </w:rPr>
        <w:t xml:space="preserve"> SJ, O’Brien PC, et al. Structural anomalies of the cervix and vagina in women enrolled in the diethylstilbestrol </w:t>
      </w:r>
      <w:proofErr w:type="spellStart"/>
      <w:r w:rsidRPr="00387D85">
        <w:rPr>
          <w:rFonts w:ascii="Times New Roman" w:hAnsi="Times New Roman" w:cs="Times New Roman"/>
          <w:sz w:val="16"/>
          <w:szCs w:val="16"/>
        </w:rPr>
        <w:t>adenosis</w:t>
      </w:r>
      <w:proofErr w:type="spellEnd"/>
      <w:r w:rsidRPr="00387D85">
        <w:rPr>
          <w:rFonts w:ascii="Times New Roman" w:hAnsi="Times New Roman" w:cs="Times New Roman"/>
          <w:sz w:val="16"/>
          <w:szCs w:val="16"/>
        </w:rPr>
        <w:t xml:space="preserve"> (DESAD) project. Am J ObstetGynecol1984;148:59–66.</w:t>
      </w:r>
    </w:p>
    <w:p w:rsidR="00AF20F9"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 xml:space="preserve">Palmer JR, Hatch EE. Infertility among women exposed prenatally to diethylstilbestrol. Am J </w:t>
      </w:r>
      <w:proofErr w:type="spellStart"/>
      <w:r w:rsidRPr="00387D85">
        <w:rPr>
          <w:rFonts w:ascii="Times New Roman" w:hAnsi="Times New Roman" w:cs="Times New Roman"/>
          <w:sz w:val="16"/>
          <w:szCs w:val="16"/>
        </w:rPr>
        <w:t>Epidemiol</w:t>
      </w:r>
      <w:proofErr w:type="spellEnd"/>
      <w:r w:rsidRPr="00387D85">
        <w:rPr>
          <w:rFonts w:ascii="Times New Roman" w:hAnsi="Times New Roman" w:cs="Times New Roman"/>
          <w:sz w:val="16"/>
          <w:szCs w:val="16"/>
        </w:rPr>
        <w:t xml:space="preserve"> 2000;151:S10. </w:t>
      </w:r>
    </w:p>
    <w:p w:rsidR="00AF20F9"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 xml:space="preserve">Pal L, </w:t>
      </w:r>
      <w:proofErr w:type="spellStart"/>
      <w:r w:rsidRPr="00387D85">
        <w:rPr>
          <w:rFonts w:ascii="Times New Roman" w:hAnsi="Times New Roman" w:cs="Times New Roman"/>
          <w:sz w:val="16"/>
          <w:szCs w:val="16"/>
        </w:rPr>
        <w:t>Shifren</w:t>
      </w:r>
      <w:proofErr w:type="spellEnd"/>
      <w:r w:rsidRPr="00387D85">
        <w:rPr>
          <w:rFonts w:ascii="Times New Roman" w:hAnsi="Times New Roman" w:cs="Times New Roman"/>
          <w:sz w:val="16"/>
          <w:szCs w:val="16"/>
        </w:rPr>
        <w:t xml:space="preserve"> JL, Isaacson KB, et al. Outcome of IVF in </w:t>
      </w:r>
      <w:proofErr w:type="spellStart"/>
      <w:r w:rsidRPr="00387D85">
        <w:rPr>
          <w:rFonts w:ascii="Times New Roman" w:hAnsi="Times New Roman" w:cs="Times New Roman"/>
          <w:sz w:val="16"/>
          <w:szCs w:val="16"/>
        </w:rPr>
        <w:t>DESexposed</w:t>
      </w:r>
      <w:proofErr w:type="spellEnd"/>
      <w:r w:rsidRPr="00387D85">
        <w:rPr>
          <w:rFonts w:ascii="Times New Roman" w:hAnsi="Times New Roman" w:cs="Times New Roman"/>
          <w:sz w:val="16"/>
          <w:szCs w:val="16"/>
        </w:rPr>
        <w:t xml:space="preserve"> daughters: experience in the 90s. J Assist </w:t>
      </w:r>
      <w:proofErr w:type="spellStart"/>
      <w:r w:rsidRPr="00387D85">
        <w:rPr>
          <w:rFonts w:ascii="Times New Roman" w:hAnsi="Times New Roman" w:cs="Times New Roman"/>
          <w:sz w:val="16"/>
          <w:szCs w:val="16"/>
        </w:rPr>
        <w:t>Reprod</w:t>
      </w:r>
      <w:proofErr w:type="spellEnd"/>
      <w:r w:rsidRPr="00387D85">
        <w:rPr>
          <w:rFonts w:ascii="Times New Roman" w:hAnsi="Times New Roman" w:cs="Times New Roman"/>
          <w:sz w:val="16"/>
          <w:szCs w:val="16"/>
        </w:rPr>
        <w:t xml:space="preserve"> Genet 1997;14:513–7.</w:t>
      </w:r>
    </w:p>
    <w:p w:rsidR="00AF20F9"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Levin DL. Morphologic analysis of the pulmonary vascular bed in infants exposed in utero to prostaglandin synthetase inhibitors. J Pediatr1978;92:478–83</w:t>
      </w:r>
    </w:p>
    <w:p w:rsidR="00AF20F9"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Major CA, Lewis DF, Harding JA, Porto MA, Garite TJ. Tocolysis with indomethacin increases the incidence of necrotizing enterocolitis in the low-birth-weight neonate. Am J ObstetGynecol1994;170:102–6.</w:t>
      </w:r>
    </w:p>
    <w:p w:rsidR="00656710" w:rsidRPr="00387D85" w:rsidRDefault="00656710"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 xml:space="preserve">Wolff J. Iodide </w:t>
      </w:r>
      <w:proofErr w:type="spellStart"/>
      <w:r w:rsidRPr="00387D85">
        <w:rPr>
          <w:rFonts w:ascii="Times New Roman" w:hAnsi="Times New Roman" w:cs="Times New Roman"/>
          <w:sz w:val="16"/>
          <w:szCs w:val="16"/>
        </w:rPr>
        <w:t>goiter</w:t>
      </w:r>
      <w:proofErr w:type="spellEnd"/>
      <w:r w:rsidRPr="00387D85">
        <w:rPr>
          <w:rFonts w:ascii="Times New Roman" w:hAnsi="Times New Roman" w:cs="Times New Roman"/>
          <w:sz w:val="16"/>
          <w:szCs w:val="16"/>
        </w:rPr>
        <w:t xml:space="preserve"> and the pharmacologic effects of excess iodide. Am J Med 1969;47:101–24. </w:t>
      </w:r>
    </w:p>
    <w:p w:rsidR="00656710" w:rsidRPr="00387D85" w:rsidRDefault="00656710"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 xml:space="preserve">Committee on Drugs. American Academy of </w:t>
      </w:r>
      <w:proofErr w:type="spellStart"/>
      <w:r w:rsidRPr="00387D85">
        <w:rPr>
          <w:rFonts w:ascii="Times New Roman" w:hAnsi="Times New Roman" w:cs="Times New Roman"/>
          <w:sz w:val="16"/>
          <w:szCs w:val="16"/>
        </w:rPr>
        <w:t>Pediatrics</w:t>
      </w:r>
      <w:proofErr w:type="spellEnd"/>
      <w:r w:rsidRPr="00387D85">
        <w:rPr>
          <w:rFonts w:ascii="Times New Roman" w:hAnsi="Times New Roman" w:cs="Times New Roman"/>
          <w:sz w:val="16"/>
          <w:szCs w:val="16"/>
        </w:rPr>
        <w:t>: Adverse reactions to iodide therapy of asthma and other pulmonary diseases. Pediatrics1982;57:2724</w:t>
      </w:r>
    </w:p>
    <w:p w:rsidR="00656710" w:rsidRPr="00387D85" w:rsidRDefault="00656710"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Brent RL. Radiation teratogenesis. Teratology 1980;21:281–98</w:t>
      </w:r>
      <w:r w:rsidR="00CD6F58">
        <w:rPr>
          <w:rFonts w:ascii="Times New Roman" w:hAnsi="Times New Roman" w:cs="Times New Roman"/>
          <w:sz w:val="16"/>
          <w:szCs w:val="16"/>
        </w:rPr>
        <w:t>.</w:t>
      </w:r>
    </w:p>
    <w:p w:rsidR="00656710" w:rsidRPr="00387D85" w:rsidRDefault="00656710"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Otake M, Schull WJ. In utero exposure to A-bomb radiation and mental retardation: a reassessment. Br J Radiol1984;57:409–14.</w:t>
      </w:r>
    </w:p>
    <w:p w:rsidR="00AF20F9"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Nora JJ, Nora AH, Toews WH. Lithium, Ebstein’s anomaly and other congenital heart defects. Lancet 1974;2:594–5.</w:t>
      </w:r>
    </w:p>
    <w:p w:rsidR="00AF20F9"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 xml:space="preserve">Kallen B. Comments on teratogen update: lithium. Teratology 1988;38:597. </w:t>
      </w:r>
    </w:p>
    <w:p w:rsidR="00AF20F9"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 xml:space="preserve">Mizrahi EM, Hobbs JF, Goldsmith DI. Nephrogenic diabetes insipidus in transplacental lithium intoxication. J </w:t>
      </w:r>
      <w:proofErr w:type="spellStart"/>
      <w:r w:rsidRPr="00387D85">
        <w:rPr>
          <w:rFonts w:ascii="Times New Roman" w:hAnsi="Times New Roman" w:cs="Times New Roman"/>
          <w:sz w:val="16"/>
          <w:szCs w:val="16"/>
        </w:rPr>
        <w:t>Pediatr</w:t>
      </w:r>
      <w:proofErr w:type="spellEnd"/>
      <w:r w:rsidRPr="00387D85">
        <w:rPr>
          <w:rFonts w:ascii="Times New Roman" w:hAnsi="Times New Roman" w:cs="Times New Roman"/>
          <w:sz w:val="16"/>
          <w:szCs w:val="16"/>
        </w:rPr>
        <w:t xml:space="preserve"> 1979; 94:493–5. </w:t>
      </w:r>
    </w:p>
    <w:p w:rsidR="00AF20F9"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 xml:space="preserve">Karlsson K, Lindstedt G, Lundberg PA, </w:t>
      </w:r>
      <w:proofErr w:type="spellStart"/>
      <w:r w:rsidRPr="00387D85">
        <w:rPr>
          <w:rFonts w:ascii="Times New Roman" w:hAnsi="Times New Roman" w:cs="Times New Roman"/>
          <w:sz w:val="16"/>
          <w:szCs w:val="16"/>
        </w:rPr>
        <w:t>Selstam</w:t>
      </w:r>
      <w:proofErr w:type="spellEnd"/>
      <w:r w:rsidRPr="00387D85">
        <w:rPr>
          <w:rFonts w:ascii="Times New Roman" w:hAnsi="Times New Roman" w:cs="Times New Roman"/>
          <w:sz w:val="16"/>
          <w:szCs w:val="16"/>
        </w:rPr>
        <w:t xml:space="preserve"> U. Transplacental lithium poisoning: reversible inhibition of </w:t>
      </w:r>
      <w:proofErr w:type="spellStart"/>
      <w:r w:rsidRPr="00387D85">
        <w:rPr>
          <w:rFonts w:ascii="Times New Roman" w:hAnsi="Times New Roman" w:cs="Times New Roman"/>
          <w:sz w:val="16"/>
          <w:szCs w:val="16"/>
        </w:rPr>
        <w:t>fetal</w:t>
      </w:r>
      <w:proofErr w:type="spellEnd"/>
      <w:r w:rsidRPr="00387D85">
        <w:rPr>
          <w:rFonts w:ascii="Times New Roman" w:hAnsi="Times New Roman" w:cs="Times New Roman"/>
          <w:sz w:val="16"/>
          <w:szCs w:val="16"/>
        </w:rPr>
        <w:t xml:space="preserve"> thyroid. Lancet 1975;1:1295.</w:t>
      </w:r>
    </w:p>
    <w:p w:rsidR="00AF20F9"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proofErr w:type="spellStart"/>
      <w:r w:rsidRPr="00387D85">
        <w:rPr>
          <w:rFonts w:ascii="Times New Roman" w:hAnsi="Times New Roman" w:cs="Times New Roman"/>
          <w:sz w:val="16"/>
          <w:szCs w:val="16"/>
        </w:rPr>
        <w:t>Castilla</w:t>
      </w:r>
      <w:proofErr w:type="spellEnd"/>
      <w:r w:rsidRPr="00387D85">
        <w:rPr>
          <w:rFonts w:ascii="Times New Roman" w:hAnsi="Times New Roman" w:cs="Times New Roman"/>
          <w:sz w:val="16"/>
          <w:szCs w:val="16"/>
        </w:rPr>
        <w:t xml:space="preserve"> EE, </w:t>
      </w:r>
      <w:proofErr w:type="spellStart"/>
      <w:r w:rsidRPr="00387D85">
        <w:rPr>
          <w:rFonts w:ascii="Times New Roman" w:hAnsi="Times New Roman" w:cs="Times New Roman"/>
          <w:sz w:val="16"/>
          <w:szCs w:val="16"/>
        </w:rPr>
        <w:t>Orioli</w:t>
      </w:r>
      <w:proofErr w:type="spellEnd"/>
      <w:r w:rsidRPr="00387D85">
        <w:rPr>
          <w:rFonts w:ascii="Times New Roman" w:hAnsi="Times New Roman" w:cs="Times New Roman"/>
          <w:sz w:val="16"/>
          <w:szCs w:val="16"/>
        </w:rPr>
        <w:t xml:space="preserve"> IM. Teratogenicity of misoprostol: data from the Latin-American Collaborative Study of Congenital Malformations (ECLAMC). Am J Med Genet 1994;51:161–2.</w:t>
      </w:r>
    </w:p>
    <w:p w:rsidR="00AF20F9"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 xml:space="preserve">Hendrickx AG, Korte R, Leuschner F, et al. Embryotoxicity of sex steroid hormone combinations in nonhuman primates. I. </w:t>
      </w:r>
      <w:proofErr w:type="spellStart"/>
      <w:r w:rsidRPr="00387D85">
        <w:rPr>
          <w:rFonts w:ascii="Times New Roman" w:hAnsi="Times New Roman" w:cs="Times New Roman"/>
          <w:sz w:val="16"/>
          <w:szCs w:val="16"/>
        </w:rPr>
        <w:t>Norethisterone</w:t>
      </w:r>
      <w:proofErr w:type="spellEnd"/>
      <w:r w:rsidRPr="00387D85">
        <w:rPr>
          <w:rFonts w:ascii="Times New Roman" w:hAnsi="Times New Roman" w:cs="Times New Roman"/>
          <w:sz w:val="16"/>
          <w:szCs w:val="16"/>
        </w:rPr>
        <w:t xml:space="preserve"> acetate </w:t>
      </w:r>
      <w:proofErr w:type="spellStart"/>
      <w:r w:rsidRPr="00387D85">
        <w:rPr>
          <w:rFonts w:ascii="Times New Roman" w:hAnsi="Times New Roman" w:cs="Times New Roman"/>
          <w:sz w:val="16"/>
          <w:szCs w:val="16"/>
        </w:rPr>
        <w:t>ethinyl</w:t>
      </w:r>
      <w:proofErr w:type="spellEnd"/>
      <w:r w:rsidRPr="00387D85">
        <w:rPr>
          <w:rFonts w:ascii="Times New Roman" w:hAnsi="Times New Roman" w:cs="Times New Roman"/>
          <w:sz w:val="16"/>
          <w:szCs w:val="16"/>
        </w:rPr>
        <w:t xml:space="preserve"> </w:t>
      </w:r>
      <w:proofErr w:type="spellStart"/>
      <w:r w:rsidRPr="00387D85">
        <w:rPr>
          <w:rFonts w:ascii="Times New Roman" w:hAnsi="Times New Roman" w:cs="Times New Roman"/>
          <w:sz w:val="16"/>
          <w:szCs w:val="16"/>
        </w:rPr>
        <w:t>estradiol</w:t>
      </w:r>
      <w:proofErr w:type="spellEnd"/>
      <w:r w:rsidRPr="00387D85">
        <w:rPr>
          <w:rFonts w:ascii="Times New Roman" w:hAnsi="Times New Roman" w:cs="Times New Roman"/>
          <w:sz w:val="16"/>
          <w:szCs w:val="16"/>
        </w:rPr>
        <w:t xml:space="preserve"> and progesterone þ </w:t>
      </w:r>
      <w:proofErr w:type="spellStart"/>
      <w:r w:rsidRPr="00387D85">
        <w:rPr>
          <w:rFonts w:ascii="Times New Roman" w:hAnsi="Times New Roman" w:cs="Times New Roman"/>
          <w:sz w:val="16"/>
          <w:szCs w:val="16"/>
        </w:rPr>
        <w:t>estradiol</w:t>
      </w:r>
      <w:proofErr w:type="spellEnd"/>
      <w:r w:rsidRPr="00387D85">
        <w:rPr>
          <w:rFonts w:ascii="Times New Roman" w:hAnsi="Times New Roman" w:cs="Times New Roman"/>
          <w:sz w:val="16"/>
          <w:szCs w:val="16"/>
        </w:rPr>
        <w:t xml:space="preserve"> benzoate (</w:t>
      </w:r>
      <w:proofErr w:type="spellStart"/>
      <w:r w:rsidRPr="00387D85">
        <w:rPr>
          <w:rFonts w:ascii="Times New Roman" w:hAnsi="Times New Roman" w:cs="Times New Roman"/>
          <w:sz w:val="16"/>
          <w:szCs w:val="16"/>
        </w:rPr>
        <w:t>Macaca</w:t>
      </w:r>
      <w:proofErr w:type="spellEnd"/>
      <w:r w:rsidRPr="00387D85">
        <w:rPr>
          <w:rFonts w:ascii="Times New Roman" w:hAnsi="Times New Roman" w:cs="Times New Roman"/>
          <w:sz w:val="16"/>
          <w:szCs w:val="16"/>
        </w:rPr>
        <w:t xml:space="preserve"> </w:t>
      </w:r>
      <w:proofErr w:type="spellStart"/>
      <w:r w:rsidRPr="00387D85">
        <w:rPr>
          <w:rFonts w:ascii="Times New Roman" w:hAnsi="Times New Roman" w:cs="Times New Roman"/>
          <w:sz w:val="16"/>
          <w:szCs w:val="16"/>
        </w:rPr>
        <w:t>mulatta</w:t>
      </w:r>
      <w:proofErr w:type="spellEnd"/>
      <w:r w:rsidRPr="00387D85">
        <w:rPr>
          <w:rFonts w:ascii="Times New Roman" w:hAnsi="Times New Roman" w:cs="Times New Roman"/>
          <w:sz w:val="16"/>
          <w:szCs w:val="16"/>
        </w:rPr>
        <w:t xml:space="preserve">, </w:t>
      </w:r>
      <w:proofErr w:type="spellStart"/>
      <w:r w:rsidRPr="00387D85">
        <w:rPr>
          <w:rFonts w:ascii="Times New Roman" w:hAnsi="Times New Roman" w:cs="Times New Roman"/>
          <w:sz w:val="16"/>
          <w:szCs w:val="16"/>
        </w:rPr>
        <w:t>Macaca</w:t>
      </w:r>
      <w:proofErr w:type="spellEnd"/>
      <w:r w:rsidRPr="00387D85">
        <w:rPr>
          <w:rFonts w:ascii="Times New Roman" w:hAnsi="Times New Roman" w:cs="Times New Roman"/>
          <w:sz w:val="16"/>
          <w:szCs w:val="16"/>
        </w:rPr>
        <w:t xml:space="preserve"> </w:t>
      </w:r>
      <w:proofErr w:type="spellStart"/>
      <w:r w:rsidRPr="00387D85">
        <w:rPr>
          <w:rFonts w:ascii="Times New Roman" w:hAnsi="Times New Roman" w:cs="Times New Roman"/>
          <w:sz w:val="16"/>
          <w:szCs w:val="16"/>
        </w:rPr>
        <w:t>fascicularis</w:t>
      </w:r>
      <w:proofErr w:type="spellEnd"/>
      <w:r w:rsidRPr="00387D85">
        <w:rPr>
          <w:rFonts w:ascii="Times New Roman" w:hAnsi="Times New Roman" w:cs="Times New Roman"/>
          <w:sz w:val="16"/>
          <w:szCs w:val="16"/>
        </w:rPr>
        <w:t xml:space="preserve">, and </w:t>
      </w:r>
      <w:proofErr w:type="spellStart"/>
      <w:r w:rsidRPr="00387D85">
        <w:rPr>
          <w:rFonts w:ascii="Times New Roman" w:hAnsi="Times New Roman" w:cs="Times New Roman"/>
          <w:sz w:val="16"/>
          <w:szCs w:val="16"/>
        </w:rPr>
        <w:t>Papio</w:t>
      </w:r>
      <w:proofErr w:type="spellEnd"/>
      <w:r w:rsidRPr="00387D85">
        <w:rPr>
          <w:rFonts w:ascii="Times New Roman" w:hAnsi="Times New Roman" w:cs="Times New Roman"/>
          <w:sz w:val="16"/>
          <w:szCs w:val="16"/>
        </w:rPr>
        <w:t xml:space="preserve"> cynocephalus). Teratology 1987;35:119–27.</w:t>
      </w:r>
    </w:p>
    <w:p w:rsidR="00AF20F9"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 xml:space="preserve">Kallen B, Castilla EE, Robert E, Lancaster PAL, </w:t>
      </w:r>
      <w:proofErr w:type="spellStart"/>
      <w:r w:rsidRPr="00387D85">
        <w:rPr>
          <w:rFonts w:ascii="Times New Roman" w:hAnsi="Times New Roman" w:cs="Times New Roman"/>
          <w:sz w:val="16"/>
          <w:szCs w:val="16"/>
        </w:rPr>
        <w:t>Kringeelbach</w:t>
      </w:r>
      <w:proofErr w:type="spellEnd"/>
      <w:r w:rsidRPr="00387D85">
        <w:rPr>
          <w:rFonts w:ascii="Times New Roman" w:hAnsi="Times New Roman" w:cs="Times New Roman"/>
          <w:sz w:val="16"/>
          <w:szCs w:val="16"/>
        </w:rPr>
        <w:t xml:space="preserve"> M, </w:t>
      </w:r>
      <w:proofErr w:type="spellStart"/>
      <w:r w:rsidRPr="00387D85">
        <w:rPr>
          <w:rFonts w:ascii="Times New Roman" w:hAnsi="Times New Roman" w:cs="Times New Roman"/>
          <w:sz w:val="16"/>
          <w:szCs w:val="16"/>
        </w:rPr>
        <w:t>Mutchinick</w:t>
      </w:r>
      <w:proofErr w:type="spellEnd"/>
      <w:r w:rsidRPr="00387D85">
        <w:rPr>
          <w:rFonts w:ascii="Times New Roman" w:hAnsi="Times New Roman" w:cs="Times New Roman"/>
          <w:sz w:val="16"/>
          <w:szCs w:val="16"/>
        </w:rPr>
        <w:t xml:space="preserve"> O, et al. An international case-control study on hypospadias. The problem with variability and the beauty of diversity. </w:t>
      </w:r>
      <w:proofErr w:type="spellStart"/>
      <w:r w:rsidRPr="00387D85">
        <w:rPr>
          <w:rFonts w:ascii="Times New Roman" w:hAnsi="Times New Roman" w:cs="Times New Roman"/>
          <w:sz w:val="16"/>
          <w:szCs w:val="16"/>
        </w:rPr>
        <w:t>Eur</w:t>
      </w:r>
      <w:proofErr w:type="spellEnd"/>
      <w:r w:rsidRPr="00387D85">
        <w:rPr>
          <w:rFonts w:ascii="Times New Roman" w:hAnsi="Times New Roman" w:cs="Times New Roman"/>
          <w:sz w:val="16"/>
          <w:szCs w:val="16"/>
        </w:rPr>
        <w:t xml:space="preserve"> J Epidemiol1992;8:256–63.</w:t>
      </w:r>
    </w:p>
    <w:p w:rsidR="008A3C01"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 xml:space="preserve">Monga M. Vitamin A congeners. </w:t>
      </w:r>
      <w:proofErr w:type="spellStart"/>
      <w:r w:rsidRPr="00387D85">
        <w:rPr>
          <w:rFonts w:ascii="Times New Roman" w:hAnsi="Times New Roman" w:cs="Times New Roman"/>
          <w:sz w:val="16"/>
          <w:szCs w:val="16"/>
        </w:rPr>
        <w:t>Semin</w:t>
      </w:r>
      <w:proofErr w:type="spellEnd"/>
      <w:r w:rsidRPr="00387D85">
        <w:rPr>
          <w:rFonts w:ascii="Times New Roman" w:hAnsi="Times New Roman" w:cs="Times New Roman"/>
          <w:sz w:val="16"/>
          <w:szCs w:val="16"/>
        </w:rPr>
        <w:t xml:space="preserve"> </w:t>
      </w:r>
      <w:proofErr w:type="spellStart"/>
      <w:r w:rsidRPr="00387D85">
        <w:rPr>
          <w:rFonts w:ascii="Times New Roman" w:hAnsi="Times New Roman" w:cs="Times New Roman"/>
          <w:sz w:val="16"/>
          <w:szCs w:val="16"/>
        </w:rPr>
        <w:t>Perinatol</w:t>
      </w:r>
      <w:proofErr w:type="spellEnd"/>
      <w:r w:rsidRPr="00387D85">
        <w:rPr>
          <w:rFonts w:ascii="Times New Roman" w:hAnsi="Times New Roman" w:cs="Times New Roman"/>
          <w:sz w:val="16"/>
          <w:szCs w:val="16"/>
        </w:rPr>
        <w:t xml:space="preserve"> 1997;21(2): 135</w:t>
      </w:r>
      <w:r w:rsidR="00CD6F58">
        <w:rPr>
          <w:rFonts w:ascii="Times New Roman" w:hAnsi="Times New Roman" w:cs="Times New Roman"/>
          <w:sz w:val="16"/>
          <w:szCs w:val="16"/>
        </w:rPr>
        <w:t>-</w:t>
      </w:r>
      <w:r w:rsidRPr="00387D85">
        <w:rPr>
          <w:rFonts w:ascii="Times New Roman" w:hAnsi="Times New Roman" w:cs="Times New Roman"/>
          <w:sz w:val="16"/>
          <w:szCs w:val="16"/>
        </w:rPr>
        <w:t>42</w:t>
      </w:r>
      <w:r w:rsidR="00CD6F58">
        <w:rPr>
          <w:rFonts w:ascii="Times New Roman" w:hAnsi="Times New Roman" w:cs="Times New Roman"/>
          <w:sz w:val="16"/>
          <w:szCs w:val="16"/>
        </w:rPr>
        <w:t>.</w:t>
      </w:r>
    </w:p>
    <w:p w:rsidR="008A3C01"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 xml:space="preserve">Rothman KJ, Moore LL, Singer MR, Nguyen U-SDT, </w:t>
      </w:r>
      <w:proofErr w:type="spellStart"/>
      <w:r w:rsidRPr="00387D85">
        <w:rPr>
          <w:rFonts w:ascii="Times New Roman" w:hAnsi="Times New Roman" w:cs="Times New Roman"/>
          <w:sz w:val="16"/>
          <w:szCs w:val="16"/>
        </w:rPr>
        <w:t>Mannino</w:t>
      </w:r>
      <w:proofErr w:type="spellEnd"/>
      <w:r w:rsidRPr="00387D85">
        <w:rPr>
          <w:rFonts w:ascii="Times New Roman" w:hAnsi="Times New Roman" w:cs="Times New Roman"/>
          <w:sz w:val="16"/>
          <w:szCs w:val="16"/>
        </w:rPr>
        <w:t xml:space="preserve"> S, </w:t>
      </w:r>
      <w:proofErr w:type="spellStart"/>
      <w:r w:rsidRPr="00387D85">
        <w:rPr>
          <w:rFonts w:ascii="Times New Roman" w:hAnsi="Times New Roman" w:cs="Times New Roman"/>
          <w:sz w:val="16"/>
          <w:szCs w:val="16"/>
        </w:rPr>
        <w:t>Milunsky</w:t>
      </w:r>
      <w:proofErr w:type="spellEnd"/>
      <w:r w:rsidRPr="00387D85">
        <w:rPr>
          <w:rFonts w:ascii="Times New Roman" w:hAnsi="Times New Roman" w:cs="Times New Roman"/>
          <w:sz w:val="16"/>
          <w:szCs w:val="16"/>
        </w:rPr>
        <w:t xml:space="preserve"> A. Teratogenicity of high vitamin A intake. N Engl J Med 1995;333:1369–73.</w:t>
      </w:r>
    </w:p>
    <w:p w:rsidR="008A3C01"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proofErr w:type="spellStart"/>
      <w:r w:rsidRPr="00387D85">
        <w:rPr>
          <w:rFonts w:ascii="Times New Roman" w:hAnsi="Times New Roman" w:cs="Times New Roman"/>
          <w:sz w:val="16"/>
          <w:szCs w:val="16"/>
        </w:rPr>
        <w:t>Mastroiacovo</w:t>
      </w:r>
      <w:proofErr w:type="spellEnd"/>
      <w:r w:rsidRPr="00387D85">
        <w:rPr>
          <w:rFonts w:ascii="Times New Roman" w:hAnsi="Times New Roman" w:cs="Times New Roman"/>
          <w:sz w:val="16"/>
          <w:szCs w:val="16"/>
        </w:rPr>
        <w:t xml:space="preserve"> P, </w:t>
      </w:r>
      <w:proofErr w:type="spellStart"/>
      <w:r w:rsidRPr="00387D85">
        <w:rPr>
          <w:rFonts w:ascii="Times New Roman" w:hAnsi="Times New Roman" w:cs="Times New Roman"/>
          <w:sz w:val="16"/>
          <w:szCs w:val="16"/>
        </w:rPr>
        <w:t>Mazzone</w:t>
      </w:r>
      <w:proofErr w:type="spellEnd"/>
      <w:r w:rsidRPr="00387D85">
        <w:rPr>
          <w:rFonts w:ascii="Times New Roman" w:hAnsi="Times New Roman" w:cs="Times New Roman"/>
          <w:sz w:val="16"/>
          <w:szCs w:val="16"/>
        </w:rPr>
        <w:t xml:space="preserve"> T, Addis A, et al. High vitamin A intake in early pregnancy and major malformations: a multicenter prospective controlled study. Teratology 1999;59:7–11. </w:t>
      </w:r>
    </w:p>
    <w:p w:rsidR="008A3C01"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 xml:space="preserve">Teratology Society position paper: recommendations for vitamin A use during pregnancy. Teratology 1987;35(2):269–75. </w:t>
      </w:r>
    </w:p>
    <w:p w:rsidR="008A3C01"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 xml:space="preserve">Leck IM, Millard ELM. Incidence of malformations since the introduction of thalidomide. BMJ 1962;2:16–20. </w:t>
      </w:r>
    </w:p>
    <w:p w:rsidR="008A3C01"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Stephens TD, Fillmore BJ. Hypothesis: thalidomide embryopathyproposed mechanism of action. Teratology 2000;61:189–95.</w:t>
      </w:r>
    </w:p>
    <w:p w:rsidR="008A3C01"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proofErr w:type="spellStart"/>
      <w:r w:rsidRPr="00387D85">
        <w:rPr>
          <w:rFonts w:ascii="Times New Roman" w:hAnsi="Times New Roman" w:cs="Times New Roman"/>
          <w:sz w:val="16"/>
          <w:szCs w:val="16"/>
        </w:rPr>
        <w:t>Zeldis</w:t>
      </w:r>
      <w:proofErr w:type="spellEnd"/>
      <w:r w:rsidRPr="00387D85">
        <w:rPr>
          <w:rFonts w:ascii="Times New Roman" w:hAnsi="Times New Roman" w:cs="Times New Roman"/>
          <w:sz w:val="16"/>
          <w:szCs w:val="16"/>
        </w:rPr>
        <w:t xml:space="preserve"> JB, Williams BA, Thomas SD, Elsayed ME. S.T.E.P.S.: a comprehensive program for controlling and monitoring access to thalidomide. Clin Ther 1999;21(2):319–30. </w:t>
      </w:r>
    </w:p>
    <w:p w:rsidR="00AF20F9" w:rsidRPr="00387D85" w:rsidRDefault="00AF20F9" w:rsidP="00387D85">
      <w:pPr>
        <w:pStyle w:val="ListParagraph"/>
        <w:numPr>
          <w:ilvl w:val="0"/>
          <w:numId w:val="4"/>
        </w:numPr>
        <w:spacing w:after="0" w:line="240" w:lineRule="auto"/>
        <w:ind w:left="360"/>
        <w:jc w:val="both"/>
        <w:rPr>
          <w:rFonts w:ascii="Times New Roman" w:hAnsi="Times New Roman" w:cs="Times New Roman"/>
          <w:sz w:val="16"/>
          <w:szCs w:val="16"/>
        </w:rPr>
      </w:pPr>
      <w:r w:rsidRPr="00387D85">
        <w:rPr>
          <w:rFonts w:ascii="Times New Roman" w:hAnsi="Times New Roman" w:cs="Times New Roman"/>
          <w:sz w:val="16"/>
          <w:szCs w:val="16"/>
        </w:rPr>
        <w:t xml:space="preserve">Miller MT, </w:t>
      </w:r>
      <w:proofErr w:type="spellStart"/>
      <w:r w:rsidRPr="00387D85">
        <w:rPr>
          <w:rFonts w:ascii="Times New Roman" w:hAnsi="Times New Roman" w:cs="Times New Roman"/>
          <w:sz w:val="16"/>
          <w:szCs w:val="16"/>
        </w:rPr>
        <w:t>Stromland</w:t>
      </w:r>
      <w:proofErr w:type="spellEnd"/>
      <w:r w:rsidRPr="00387D85">
        <w:rPr>
          <w:rFonts w:ascii="Times New Roman" w:hAnsi="Times New Roman" w:cs="Times New Roman"/>
          <w:sz w:val="16"/>
          <w:szCs w:val="16"/>
        </w:rPr>
        <w:t xml:space="preserve"> K. Teratogen update: thalidomide: a review. Teratology 1999;60:306</w:t>
      </w:r>
      <w:r w:rsidR="00CD6F58">
        <w:rPr>
          <w:rFonts w:ascii="Times New Roman" w:hAnsi="Times New Roman" w:cs="Times New Roman"/>
          <w:sz w:val="16"/>
          <w:szCs w:val="16"/>
        </w:rPr>
        <w:t>-</w:t>
      </w:r>
      <w:r w:rsidRPr="00387D85">
        <w:rPr>
          <w:rFonts w:ascii="Times New Roman" w:hAnsi="Times New Roman" w:cs="Times New Roman"/>
          <w:sz w:val="16"/>
          <w:szCs w:val="16"/>
        </w:rPr>
        <w:t>21.</w:t>
      </w:r>
    </w:p>
    <w:sectPr w:rsidR="00AF20F9" w:rsidRPr="00387D85" w:rsidSect="006F6DF8">
      <w:pgSz w:w="11906" w:h="16838" w:code="9"/>
      <w:pgMar w:top="1440" w:right="1440" w:bottom="1440" w:left="1440" w:header="720" w:footer="72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464D8"/>
    <w:multiLevelType w:val="hybridMultilevel"/>
    <w:tmpl w:val="CAE2F1B8"/>
    <w:lvl w:ilvl="0" w:tplc="0E42451C">
      <w:start w:val="1"/>
      <w:numFmt w:val="upperLetter"/>
      <w:lvlText w:val="%1."/>
      <w:lvlJc w:val="left"/>
      <w:pPr>
        <w:ind w:left="900" w:hanging="360"/>
      </w:pPr>
      <w:rPr>
        <w:b/>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93E4308"/>
    <w:multiLevelType w:val="hybridMultilevel"/>
    <w:tmpl w:val="BB7C2F58"/>
    <w:lvl w:ilvl="0" w:tplc="9BAA4BF8">
      <w:start w:val="1"/>
      <w:numFmt w:val="decimal"/>
      <w:lvlText w:val="%1-"/>
      <w:lvlJc w:val="left"/>
      <w:pPr>
        <w:ind w:left="860" w:hanging="380"/>
      </w:pPr>
      <w:rPr>
        <w:rFonts w:hint="default"/>
      </w:r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2">
    <w:nsid w:val="0B7F3AD8"/>
    <w:multiLevelType w:val="hybridMultilevel"/>
    <w:tmpl w:val="3F368ED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10B05BB7"/>
    <w:multiLevelType w:val="hybridMultilevel"/>
    <w:tmpl w:val="A26EF9EC"/>
    <w:lvl w:ilvl="0" w:tplc="E7FC62B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43264F51"/>
    <w:multiLevelType w:val="hybridMultilevel"/>
    <w:tmpl w:val="C11E1B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7C97D8B"/>
    <w:multiLevelType w:val="hybridMultilevel"/>
    <w:tmpl w:val="3F1EDA3E"/>
    <w:lvl w:ilvl="0" w:tplc="0E42451C">
      <w:start w:val="1"/>
      <w:numFmt w:val="upperLetter"/>
      <w:lvlText w:val="%1."/>
      <w:lvlJc w:val="left"/>
      <w:pPr>
        <w:ind w:left="720" w:hanging="360"/>
      </w:pPr>
      <w:rPr>
        <w:rFonts w:hint="default"/>
        <w:b/>
        <w:bCs/>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50E1F0E"/>
    <w:multiLevelType w:val="hybridMultilevel"/>
    <w:tmpl w:val="4C42E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4D14F6F"/>
    <w:multiLevelType w:val="hybridMultilevel"/>
    <w:tmpl w:val="509E39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8C1AE3"/>
    <w:multiLevelType w:val="hybridMultilevel"/>
    <w:tmpl w:val="0C2064CE"/>
    <w:lvl w:ilvl="0" w:tplc="2E26EC2C">
      <w:start w:val="1"/>
      <w:numFmt w:val="decimal"/>
      <w:lvlText w:val="[%1]"/>
      <w:lvlJc w:val="left"/>
      <w:pPr>
        <w:ind w:left="1200" w:hanging="360"/>
      </w:pPr>
      <w:rPr>
        <w:rFonts w:hint="default"/>
      </w:rPr>
    </w:lvl>
    <w:lvl w:ilvl="1" w:tplc="40090019" w:tentative="1">
      <w:start w:val="1"/>
      <w:numFmt w:val="lowerLetter"/>
      <w:lvlText w:val="%2."/>
      <w:lvlJc w:val="left"/>
      <w:pPr>
        <w:ind w:left="1920" w:hanging="360"/>
      </w:pPr>
    </w:lvl>
    <w:lvl w:ilvl="2" w:tplc="4009001B" w:tentative="1">
      <w:start w:val="1"/>
      <w:numFmt w:val="lowerRoman"/>
      <w:lvlText w:val="%3."/>
      <w:lvlJc w:val="right"/>
      <w:pPr>
        <w:ind w:left="2640" w:hanging="180"/>
      </w:pPr>
    </w:lvl>
    <w:lvl w:ilvl="3" w:tplc="4009000F" w:tentative="1">
      <w:start w:val="1"/>
      <w:numFmt w:val="decimal"/>
      <w:lvlText w:val="%4."/>
      <w:lvlJc w:val="left"/>
      <w:pPr>
        <w:ind w:left="3360" w:hanging="360"/>
      </w:pPr>
    </w:lvl>
    <w:lvl w:ilvl="4" w:tplc="40090019" w:tentative="1">
      <w:start w:val="1"/>
      <w:numFmt w:val="lowerLetter"/>
      <w:lvlText w:val="%5."/>
      <w:lvlJc w:val="left"/>
      <w:pPr>
        <w:ind w:left="4080" w:hanging="360"/>
      </w:pPr>
    </w:lvl>
    <w:lvl w:ilvl="5" w:tplc="4009001B" w:tentative="1">
      <w:start w:val="1"/>
      <w:numFmt w:val="lowerRoman"/>
      <w:lvlText w:val="%6."/>
      <w:lvlJc w:val="right"/>
      <w:pPr>
        <w:ind w:left="4800" w:hanging="180"/>
      </w:pPr>
    </w:lvl>
    <w:lvl w:ilvl="6" w:tplc="4009000F" w:tentative="1">
      <w:start w:val="1"/>
      <w:numFmt w:val="decimal"/>
      <w:lvlText w:val="%7."/>
      <w:lvlJc w:val="left"/>
      <w:pPr>
        <w:ind w:left="5520" w:hanging="360"/>
      </w:pPr>
    </w:lvl>
    <w:lvl w:ilvl="7" w:tplc="40090019" w:tentative="1">
      <w:start w:val="1"/>
      <w:numFmt w:val="lowerLetter"/>
      <w:lvlText w:val="%8."/>
      <w:lvlJc w:val="left"/>
      <w:pPr>
        <w:ind w:left="6240" w:hanging="360"/>
      </w:pPr>
    </w:lvl>
    <w:lvl w:ilvl="8" w:tplc="4009001B" w:tentative="1">
      <w:start w:val="1"/>
      <w:numFmt w:val="lowerRoman"/>
      <w:lvlText w:val="%9."/>
      <w:lvlJc w:val="right"/>
      <w:pPr>
        <w:ind w:left="6960" w:hanging="180"/>
      </w:pPr>
    </w:lvl>
  </w:abstractNum>
  <w:num w:numId="1">
    <w:abstractNumId w:val="5"/>
  </w:num>
  <w:num w:numId="2">
    <w:abstractNumId w:val="2"/>
  </w:num>
  <w:num w:numId="3">
    <w:abstractNumId w:val="3"/>
  </w:num>
  <w:num w:numId="4">
    <w:abstractNumId w:val="8"/>
  </w:num>
  <w:num w:numId="5">
    <w:abstractNumId w:val="1"/>
  </w:num>
  <w:num w:numId="6">
    <w:abstractNumId w:val="4"/>
  </w:num>
  <w:num w:numId="7">
    <w:abstractNumId w:val="6"/>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D0554"/>
    <w:rsid w:val="00025D58"/>
    <w:rsid w:val="00035D01"/>
    <w:rsid w:val="00074A78"/>
    <w:rsid w:val="000A2C7E"/>
    <w:rsid w:val="000D59B5"/>
    <w:rsid w:val="000D6EEA"/>
    <w:rsid w:val="00106C2A"/>
    <w:rsid w:val="001835D0"/>
    <w:rsid w:val="00213601"/>
    <w:rsid w:val="00224421"/>
    <w:rsid w:val="00280B19"/>
    <w:rsid w:val="00387D85"/>
    <w:rsid w:val="003B0E0D"/>
    <w:rsid w:val="004224F3"/>
    <w:rsid w:val="00476699"/>
    <w:rsid w:val="004F4BDF"/>
    <w:rsid w:val="0052416B"/>
    <w:rsid w:val="00656710"/>
    <w:rsid w:val="006653E4"/>
    <w:rsid w:val="006F6DF8"/>
    <w:rsid w:val="00724959"/>
    <w:rsid w:val="007344B7"/>
    <w:rsid w:val="007377DA"/>
    <w:rsid w:val="00826828"/>
    <w:rsid w:val="00857560"/>
    <w:rsid w:val="008A3C01"/>
    <w:rsid w:val="00994B9F"/>
    <w:rsid w:val="00A24580"/>
    <w:rsid w:val="00A377B4"/>
    <w:rsid w:val="00A570BC"/>
    <w:rsid w:val="00AB5DDB"/>
    <w:rsid w:val="00AF20F9"/>
    <w:rsid w:val="00B135F2"/>
    <w:rsid w:val="00BD0554"/>
    <w:rsid w:val="00CB440A"/>
    <w:rsid w:val="00CD6F58"/>
    <w:rsid w:val="00D96084"/>
    <w:rsid w:val="00DC7B8A"/>
    <w:rsid w:val="00E13346"/>
    <w:rsid w:val="00E7015A"/>
    <w:rsid w:val="00FB42C6"/>
    <w:rsid w:val="00FC12E9"/>
    <w:rsid w:val="00FD5577"/>
    <w:rsid w:val="00FE65C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C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5CA"/>
    <w:pPr>
      <w:ind w:left="720"/>
      <w:contextualSpacing/>
    </w:pPr>
  </w:style>
  <w:style w:type="character" w:styleId="Hyperlink">
    <w:name w:val="Hyperlink"/>
    <w:basedOn w:val="DefaultParagraphFont"/>
    <w:uiPriority w:val="99"/>
    <w:unhideWhenUsed/>
    <w:rsid w:val="00857560"/>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TotalTime>
  <Pages>4</Pages>
  <Words>2891</Words>
  <Characters>16479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Anirudh Nautiyal</dc:creator>
  <cp:keywords/>
  <dc:description/>
  <cp:lastModifiedBy>ARYA</cp:lastModifiedBy>
  <cp:revision>31</cp:revision>
  <dcterms:created xsi:type="dcterms:W3CDTF">2023-04-04T06:46:00Z</dcterms:created>
  <dcterms:modified xsi:type="dcterms:W3CDTF">2023-07-30T11:27:00Z</dcterms:modified>
</cp:coreProperties>
</file>