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6D0C6" w14:textId="77777777" w:rsidR="00D00B24" w:rsidRDefault="00D00B24" w:rsidP="00D00B24">
      <w:pPr>
        <w:spacing w:after="0"/>
        <w:rPr>
          <w:rFonts w:ascii="Times New Roman" w:hAnsi="Times New Roman" w:cs="Times New Roman"/>
          <w:b/>
          <w:sz w:val="40"/>
          <w:szCs w:val="40"/>
        </w:rPr>
      </w:pPr>
    </w:p>
    <w:p w14:paraId="21FF6BD1" w14:textId="77777777" w:rsidR="00D00B24" w:rsidRDefault="00D00B24" w:rsidP="00D00B24">
      <w:pPr>
        <w:spacing w:after="0"/>
        <w:rPr>
          <w:rFonts w:ascii="Times New Roman" w:hAnsi="Times New Roman" w:cs="Times New Roman"/>
          <w:b/>
          <w:sz w:val="40"/>
          <w:szCs w:val="40"/>
        </w:rPr>
      </w:pPr>
    </w:p>
    <w:p w14:paraId="1CA6E67A" w14:textId="77777777" w:rsidR="00D00B24" w:rsidRDefault="00D00B24" w:rsidP="00D00B24">
      <w:pPr>
        <w:spacing w:after="0"/>
        <w:rPr>
          <w:rFonts w:ascii="Times New Roman" w:hAnsi="Times New Roman" w:cs="Times New Roman"/>
          <w:b/>
          <w:sz w:val="40"/>
          <w:szCs w:val="40"/>
        </w:rPr>
      </w:pPr>
    </w:p>
    <w:p w14:paraId="64699086" w14:textId="77777777" w:rsidR="00D00B24" w:rsidRDefault="00D00B24" w:rsidP="00D00B24">
      <w:pPr>
        <w:spacing w:after="0"/>
        <w:rPr>
          <w:rFonts w:ascii="Times New Roman" w:hAnsi="Times New Roman" w:cs="Times New Roman"/>
          <w:b/>
          <w:sz w:val="40"/>
          <w:szCs w:val="40"/>
        </w:rPr>
      </w:pPr>
    </w:p>
    <w:p w14:paraId="111B94CB" w14:textId="77777777" w:rsidR="00D00B24" w:rsidRDefault="00D00B24" w:rsidP="00D00B24">
      <w:pPr>
        <w:spacing w:after="0"/>
        <w:rPr>
          <w:rFonts w:ascii="Times New Roman" w:hAnsi="Times New Roman" w:cs="Times New Roman"/>
          <w:b/>
          <w:sz w:val="40"/>
          <w:szCs w:val="40"/>
        </w:rPr>
      </w:pPr>
    </w:p>
    <w:p w14:paraId="158D072B" w14:textId="77777777" w:rsidR="00D00B24" w:rsidRDefault="00D00B24" w:rsidP="00D00B24">
      <w:pPr>
        <w:spacing w:after="0"/>
        <w:rPr>
          <w:rFonts w:ascii="Times New Roman" w:hAnsi="Times New Roman" w:cs="Times New Roman"/>
          <w:b/>
          <w:sz w:val="40"/>
          <w:szCs w:val="40"/>
        </w:rPr>
      </w:pPr>
    </w:p>
    <w:p w14:paraId="0DD844B2" w14:textId="77777777" w:rsidR="00D00B24" w:rsidRDefault="00D00B24" w:rsidP="00D00B24">
      <w:pPr>
        <w:spacing w:after="0"/>
        <w:rPr>
          <w:rFonts w:ascii="Times New Roman" w:hAnsi="Times New Roman" w:cs="Times New Roman"/>
          <w:b/>
          <w:sz w:val="40"/>
          <w:szCs w:val="40"/>
        </w:rPr>
      </w:pPr>
    </w:p>
    <w:p w14:paraId="13C73017" w14:textId="77777777" w:rsidR="00D00B24" w:rsidRDefault="00D00B24" w:rsidP="00D00B24">
      <w:pPr>
        <w:spacing w:after="0"/>
        <w:rPr>
          <w:rFonts w:ascii="Times New Roman" w:hAnsi="Times New Roman" w:cs="Times New Roman"/>
          <w:b/>
          <w:sz w:val="40"/>
          <w:szCs w:val="40"/>
        </w:rPr>
      </w:pPr>
    </w:p>
    <w:p w14:paraId="3F760ED9" w14:textId="77777777" w:rsidR="00D00B24" w:rsidRDefault="00D00B24" w:rsidP="00D00B24">
      <w:pPr>
        <w:spacing w:after="0"/>
        <w:rPr>
          <w:rFonts w:ascii="Times New Roman" w:hAnsi="Times New Roman" w:cs="Times New Roman"/>
          <w:b/>
          <w:sz w:val="40"/>
          <w:szCs w:val="40"/>
        </w:rPr>
      </w:pPr>
    </w:p>
    <w:p w14:paraId="2357EAC6" w14:textId="77777777" w:rsidR="00D00B24" w:rsidRDefault="00D00B24" w:rsidP="00D00B24">
      <w:pPr>
        <w:spacing w:after="0"/>
        <w:rPr>
          <w:rFonts w:ascii="Times New Roman" w:hAnsi="Times New Roman" w:cs="Times New Roman"/>
          <w:b/>
          <w:sz w:val="40"/>
          <w:szCs w:val="40"/>
        </w:rPr>
      </w:pPr>
    </w:p>
    <w:p w14:paraId="021E7C0D" w14:textId="77777777" w:rsidR="00D00B24" w:rsidRDefault="00D00B24" w:rsidP="00D00B24">
      <w:pPr>
        <w:spacing w:after="0"/>
        <w:rPr>
          <w:rFonts w:ascii="Times New Roman" w:hAnsi="Times New Roman" w:cs="Times New Roman"/>
          <w:b/>
          <w:sz w:val="40"/>
          <w:szCs w:val="40"/>
        </w:rPr>
      </w:pPr>
    </w:p>
    <w:p w14:paraId="4B919FAF" w14:textId="77777777" w:rsidR="00D00B24" w:rsidRDefault="00D00B24" w:rsidP="00D00B24">
      <w:pPr>
        <w:spacing w:after="0"/>
        <w:rPr>
          <w:rFonts w:ascii="Times New Roman" w:hAnsi="Times New Roman" w:cs="Times New Roman"/>
          <w:b/>
          <w:sz w:val="40"/>
          <w:szCs w:val="40"/>
        </w:rPr>
      </w:pPr>
    </w:p>
    <w:p w14:paraId="3EC247B4" w14:textId="77777777" w:rsidR="00D00B24" w:rsidRPr="00106079" w:rsidRDefault="00D00B24" w:rsidP="00D00B24">
      <w:pPr>
        <w:spacing w:after="0"/>
        <w:rPr>
          <w:rFonts w:ascii="Times New Roman" w:hAnsi="Times New Roman" w:cs="Times New Roman"/>
          <w:b/>
          <w:sz w:val="40"/>
          <w:szCs w:val="40"/>
        </w:rPr>
      </w:pPr>
    </w:p>
    <w:p w14:paraId="0163B61A" w14:textId="23EFE19B" w:rsidR="00D00B24" w:rsidRPr="00106079" w:rsidRDefault="00406210" w:rsidP="0068383E">
      <w:pPr>
        <w:jc w:val="center"/>
        <w:rPr>
          <w:rFonts w:ascii="Times New Roman" w:hAnsi="Times New Roman" w:cs="Times New Roman"/>
          <w:sz w:val="36"/>
          <w:szCs w:val="36"/>
        </w:rPr>
      </w:pPr>
      <w:r>
        <w:rPr>
          <w:rFonts w:ascii="Times New Roman" w:hAnsi="Times New Roman" w:cs="Times New Roman"/>
          <w:sz w:val="36"/>
          <w:szCs w:val="36"/>
        </w:rPr>
        <w:t>PROTON-LIGAND</w:t>
      </w:r>
      <w:r w:rsidR="00D00B24" w:rsidRPr="00106079">
        <w:rPr>
          <w:rFonts w:ascii="Times New Roman" w:hAnsi="Times New Roman" w:cs="Times New Roman"/>
          <w:sz w:val="36"/>
          <w:szCs w:val="36"/>
        </w:rPr>
        <w:t xml:space="preserve"> EQUILIBRIA OF </w:t>
      </w:r>
      <w:r w:rsidR="0068383E">
        <w:rPr>
          <w:rFonts w:ascii="Times New Roman" w:hAnsi="Times New Roman" w:cs="Times New Roman"/>
          <w:sz w:val="36"/>
          <w:szCs w:val="36"/>
        </w:rPr>
        <w:t xml:space="preserve">ALIPHATIC, ATOXIC </w:t>
      </w:r>
      <w:r w:rsidR="00D00B24" w:rsidRPr="00106079">
        <w:rPr>
          <w:rFonts w:ascii="Times New Roman" w:hAnsi="Times New Roman" w:cs="Times New Roman"/>
          <w:sz w:val="36"/>
          <w:szCs w:val="36"/>
        </w:rPr>
        <w:t>DIHYDRAZIDES</w:t>
      </w:r>
      <w:r w:rsidR="0068383E">
        <w:rPr>
          <w:rFonts w:ascii="Times New Roman" w:hAnsi="Times New Roman" w:cs="Times New Roman"/>
          <w:sz w:val="36"/>
          <w:szCs w:val="36"/>
        </w:rPr>
        <w:t xml:space="preserve"> </w:t>
      </w:r>
      <w:r w:rsidR="00D00B24" w:rsidRPr="00106079">
        <w:rPr>
          <w:rFonts w:ascii="Times New Roman" w:hAnsi="Times New Roman" w:cs="Times New Roman"/>
          <w:sz w:val="36"/>
          <w:szCs w:val="36"/>
        </w:rPr>
        <w:t xml:space="preserve">AND </w:t>
      </w:r>
      <w:r w:rsidR="0068383E">
        <w:rPr>
          <w:rFonts w:ascii="Times New Roman" w:hAnsi="Times New Roman" w:cs="Times New Roman"/>
          <w:sz w:val="36"/>
          <w:szCs w:val="36"/>
        </w:rPr>
        <w:t>WATER-SOLUBLE</w:t>
      </w:r>
      <w:r w:rsidR="00D00B24" w:rsidRPr="00106079">
        <w:rPr>
          <w:rFonts w:ascii="Times New Roman" w:hAnsi="Times New Roman" w:cs="Times New Roman"/>
          <w:sz w:val="36"/>
          <w:szCs w:val="36"/>
        </w:rPr>
        <w:t xml:space="preserve"> AMINO ACIDS</w:t>
      </w:r>
      <w:r w:rsidR="0068383E">
        <w:rPr>
          <w:rFonts w:ascii="Times New Roman" w:hAnsi="Times New Roman" w:cs="Times New Roman"/>
          <w:sz w:val="36"/>
          <w:szCs w:val="36"/>
        </w:rPr>
        <w:t xml:space="preserve"> GLYCINE, ASPARTIC ACID &amp; HISTIDINE</w:t>
      </w:r>
    </w:p>
    <w:p w14:paraId="694DBD70" w14:textId="77777777" w:rsidR="00D00B24" w:rsidRPr="00106079" w:rsidRDefault="00D00B24" w:rsidP="00D00B24">
      <w:pPr>
        <w:spacing w:line="480" w:lineRule="auto"/>
        <w:jc w:val="both"/>
        <w:rPr>
          <w:rFonts w:ascii="Times New Roman" w:hAnsi="Times New Roman" w:cs="Times New Roman"/>
        </w:rPr>
      </w:pPr>
    </w:p>
    <w:p w14:paraId="66696227" w14:textId="77777777" w:rsidR="00D00B24" w:rsidRDefault="00D00B24" w:rsidP="00D00B24">
      <w:pPr>
        <w:spacing w:line="480" w:lineRule="auto"/>
        <w:jc w:val="both"/>
      </w:pPr>
    </w:p>
    <w:p w14:paraId="73E7701F" w14:textId="77777777" w:rsidR="00D00B24" w:rsidRDefault="00D00B24" w:rsidP="00D00B24">
      <w:pPr>
        <w:spacing w:line="480" w:lineRule="auto"/>
        <w:jc w:val="both"/>
      </w:pPr>
    </w:p>
    <w:p w14:paraId="10C53C11" w14:textId="77777777" w:rsidR="00D00B24" w:rsidRDefault="00D00B24" w:rsidP="00D00B24">
      <w:pPr>
        <w:spacing w:line="480" w:lineRule="auto"/>
        <w:jc w:val="both"/>
      </w:pPr>
    </w:p>
    <w:p w14:paraId="799E13BE" w14:textId="77777777" w:rsidR="00D00B24" w:rsidRDefault="00D00B24" w:rsidP="00D00B24">
      <w:pPr>
        <w:spacing w:line="480" w:lineRule="auto"/>
        <w:jc w:val="both"/>
      </w:pPr>
    </w:p>
    <w:p w14:paraId="4068495F" w14:textId="77777777" w:rsidR="00D00B24" w:rsidRDefault="00D00B24" w:rsidP="00D00B24">
      <w:pPr>
        <w:spacing w:line="480" w:lineRule="auto"/>
        <w:jc w:val="both"/>
      </w:pPr>
    </w:p>
    <w:p w14:paraId="7BD3AA55" w14:textId="77777777" w:rsidR="00D00B24" w:rsidRDefault="00D00B24" w:rsidP="00D00B24">
      <w:pPr>
        <w:spacing w:line="480" w:lineRule="auto"/>
        <w:jc w:val="both"/>
      </w:pPr>
    </w:p>
    <w:p w14:paraId="19D3B2D3" w14:textId="5B16D8CA" w:rsidR="00D00B24" w:rsidRDefault="00AB35D0" w:rsidP="00AB35D0">
      <w:pPr>
        <w:spacing w:line="480" w:lineRule="auto"/>
        <w:ind w:firstLine="720"/>
        <w:jc w:val="both"/>
        <w:rPr>
          <w:rFonts w:ascii="Times New Roman" w:eastAsia="Times New Roman" w:hAnsi="Times New Roman" w:cs="Times New Roman"/>
          <w:color w:val="222222"/>
          <w:sz w:val="24"/>
          <w:szCs w:val="24"/>
        </w:rPr>
      </w:pPr>
      <w:r>
        <w:rPr>
          <w:rFonts w:ascii="Times New Roman" w:hAnsi="Times New Roman" w:cs="Times New Roman"/>
          <w:sz w:val="24"/>
          <w:szCs w:val="24"/>
        </w:rPr>
        <w:lastRenderedPageBreak/>
        <w:t>T</w:t>
      </w:r>
      <w:r w:rsidRPr="00F16F9F">
        <w:rPr>
          <w:rFonts w:ascii="Times New Roman" w:hAnsi="Times New Roman" w:cs="Times New Roman"/>
          <w:sz w:val="24"/>
          <w:szCs w:val="24"/>
        </w:rPr>
        <w:t>he proton-ligand equilibria of both dihydrazides and amino acids</w:t>
      </w:r>
      <w:r>
        <w:rPr>
          <w:rFonts w:ascii="Times New Roman" w:hAnsi="Times New Roman" w:cs="Times New Roman"/>
          <w:sz w:val="24"/>
          <w:szCs w:val="24"/>
        </w:rPr>
        <w:t xml:space="preserve"> </w:t>
      </w:r>
      <w:r w:rsidRPr="00F16F9F">
        <w:rPr>
          <w:rFonts w:ascii="Times New Roman" w:hAnsi="Times New Roman" w:cs="Times New Roman"/>
          <w:sz w:val="24"/>
          <w:szCs w:val="24"/>
        </w:rPr>
        <w:t>is an essential prerequisite</w:t>
      </w:r>
      <w:r>
        <w:rPr>
          <w:rFonts w:ascii="Times New Roman" w:hAnsi="Times New Roman" w:cs="Times New Roman"/>
          <w:sz w:val="24"/>
          <w:szCs w:val="24"/>
        </w:rPr>
        <w:t xml:space="preserve"> for </w:t>
      </w:r>
      <w:r w:rsidRPr="00F16F9F">
        <w:rPr>
          <w:rFonts w:ascii="Times New Roman" w:hAnsi="Times New Roman" w:cs="Times New Roman"/>
          <w:sz w:val="24"/>
          <w:szCs w:val="24"/>
        </w:rPr>
        <w:t>the determination of formation constants of binary and ternary systems containing metal ions</w:t>
      </w:r>
      <w:r>
        <w:rPr>
          <w:rFonts w:ascii="Times New Roman" w:hAnsi="Times New Roman" w:cs="Times New Roman"/>
          <w:sz w:val="24"/>
          <w:szCs w:val="24"/>
        </w:rPr>
        <w:t xml:space="preserve">. It is mandatory </w:t>
      </w:r>
      <w:r w:rsidRPr="00F16F9F">
        <w:rPr>
          <w:rFonts w:ascii="Times New Roman" w:hAnsi="Times New Roman" w:cs="Times New Roman"/>
          <w:sz w:val="24"/>
          <w:szCs w:val="24"/>
        </w:rPr>
        <w:t xml:space="preserve">as the formation of a metal complex is also an acid-base equilibrium, where there is a competition between the metal ion and proton for the binding site(s) of the ligand.  This leads to the pH dependence of the formation of metal ligand species that can be monitored using a glass electrode.   Hence, by following the changes in hydrogen ion concentration of a system containing a metal ion and ligand </w:t>
      </w:r>
      <w:r>
        <w:rPr>
          <w:rFonts w:ascii="Times New Roman" w:hAnsi="Times New Roman" w:cs="Times New Roman"/>
          <w:sz w:val="24"/>
          <w:szCs w:val="24"/>
        </w:rPr>
        <w:t>using</w:t>
      </w:r>
      <w:r w:rsidRPr="00F16F9F">
        <w:rPr>
          <w:rFonts w:ascii="Times New Roman" w:hAnsi="Times New Roman" w:cs="Times New Roman"/>
          <w:sz w:val="24"/>
          <w:szCs w:val="24"/>
        </w:rPr>
        <w:t xml:space="preserve"> </w:t>
      </w:r>
      <w:r w:rsidRPr="006463A2">
        <w:rPr>
          <w:rFonts w:ascii="Times New Roman" w:eastAsia="Times New Roman" w:hAnsi="Times New Roman" w:cs="Times New Roman"/>
          <w:color w:val="222222"/>
          <w:sz w:val="24"/>
          <w:szCs w:val="24"/>
        </w:rPr>
        <w:t>Bjerrum's method</w:t>
      </w:r>
      <w:r w:rsidRPr="00F16F9F">
        <w:rPr>
          <w:rFonts w:ascii="Times New Roman" w:eastAsia="Times New Roman" w:hAnsi="Times New Roman" w:cs="Times New Roman"/>
          <w:color w:val="222222"/>
          <w:sz w:val="24"/>
          <w:szCs w:val="24"/>
        </w:rPr>
        <w:t xml:space="preserve"> of potentiometric titration and a knowledge of protonation constants of most anionic form of the ligand(s) could facilitate the speciation study of binary and ternary systems.</w:t>
      </w: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Hence </w:t>
      </w:r>
      <w:r w:rsidRPr="00F16F9F">
        <w:rPr>
          <w:rFonts w:ascii="Times New Roman" w:hAnsi="Times New Roman" w:cs="Times New Roman"/>
          <w:sz w:val="24"/>
          <w:szCs w:val="24"/>
        </w:rPr>
        <w:t>the author has taken up a study on the proton-ligand equilibria of both dihydrazides and amino acids under similar experimental conditions.</w:t>
      </w:r>
    </w:p>
    <w:p w14:paraId="697FFCA7" w14:textId="350FE51C" w:rsidR="00D00B24" w:rsidRDefault="00D00B24" w:rsidP="00D00B24">
      <w:pPr>
        <w:spacing w:line="480" w:lineRule="auto"/>
        <w:jc w:val="both"/>
        <w:rPr>
          <w:rFonts w:ascii="Times New Roman" w:hAnsi="Times New Roman" w:cs="Times New Roman"/>
          <w:sz w:val="24"/>
          <w:szCs w:val="24"/>
        </w:rPr>
      </w:pPr>
      <w:r>
        <w:rPr>
          <w:rFonts w:ascii="Times New Roman" w:eastAsia="Times New Roman" w:hAnsi="Times New Roman" w:cs="Times New Roman"/>
          <w:color w:val="222222"/>
          <w:sz w:val="24"/>
          <w:szCs w:val="24"/>
        </w:rPr>
        <w:tab/>
        <w:t xml:space="preserve">Dihydrazides selected for the study were, succinic acid dihydrazide (SADH) and Adipic acid dihydrazide (AADH).  </w:t>
      </w:r>
      <w:r>
        <w:rPr>
          <w:rFonts w:ascii="Times New Roman" w:hAnsi="Times New Roman" w:cs="Times New Roman"/>
          <w:sz w:val="24"/>
          <w:szCs w:val="24"/>
        </w:rPr>
        <w:t>Despite</w:t>
      </w:r>
      <w:r w:rsidRPr="00224BBF">
        <w:rPr>
          <w:rFonts w:ascii="Times New Roman" w:hAnsi="Times New Roman" w:cs="Times New Roman"/>
          <w:sz w:val="24"/>
          <w:szCs w:val="24"/>
        </w:rPr>
        <w:t xml:space="preserve"> the biological importance of dihydrazides</w:t>
      </w:r>
      <w:r>
        <w:rPr>
          <w:rFonts w:ascii="Times New Roman" w:hAnsi="Times New Roman" w:cs="Times New Roman"/>
          <w:sz w:val="24"/>
          <w:szCs w:val="24"/>
          <w:vertAlign w:val="superscript"/>
        </w:rPr>
        <w:t>1-5</w:t>
      </w:r>
      <w:r w:rsidRPr="00224BBF">
        <w:rPr>
          <w:rFonts w:ascii="Times New Roman" w:hAnsi="Times New Roman" w:cs="Times New Roman"/>
          <w:sz w:val="24"/>
          <w:szCs w:val="24"/>
        </w:rPr>
        <w:t xml:space="preserve"> there is a paucity of information </w:t>
      </w:r>
      <w:r>
        <w:rPr>
          <w:rFonts w:ascii="Times New Roman" w:hAnsi="Times New Roman" w:cs="Times New Roman"/>
          <w:sz w:val="24"/>
          <w:szCs w:val="24"/>
        </w:rPr>
        <w:t xml:space="preserve">in the literature </w:t>
      </w:r>
      <w:r w:rsidRPr="00224BBF">
        <w:rPr>
          <w:rFonts w:ascii="Times New Roman" w:hAnsi="Times New Roman" w:cs="Times New Roman"/>
          <w:sz w:val="24"/>
          <w:szCs w:val="24"/>
        </w:rPr>
        <w:t>on their solut</w:t>
      </w:r>
      <w:r>
        <w:rPr>
          <w:rFonts w:ascii="Times New Roman" w:hAnsi="Times New Roman" w:cs="Times New Roman"/>
          <w:sz w:val="24"/>
          <w:szCs w:val="24"/>
        </w:rPr>
        <w:t xml:space="preserve">ion equilibria.  </w:t>
      </w:r>
    </w:p>
    <w:p w14:paraId="6E0C85C1" w14:textId="33CD0B26" w:rsidR="00D00B24" w:rsidRPr="00D00B24" w:rsidRDefault="00D00B24" w:rsidP="00D00B24">
      <w:pPr>
        <w:pStyle w:val="ListParagraph"/>
        <w:numPr>
          <w:ilvl w:val="0"/>
          <w:numId w:val="23"/>
        </w:numPr>
        <w:spacing w:line="480" w:lineRule="auto"/>
        <w:jc w:val="both"/>
        <w:rPr>
          <w:b/>
        </w:rPr>
      </w:pPr>
      <w:r w:rsidRPr="00D00B24">
        <w:rPr>
          <w:b/>
        </w:rPr>
        <w:t>DATA ACQUISITION:</w:t>
      </w:r>
    </w:p>
    <w:p w14:paraId="71743D50" w14:textId="3DD530DF" w:rsidR="00D00B24" w:rsidRDefault="00D00B24" w:rsidP="00D00B24">
      <w:pPr>
        <w:spacing w:line="480" w:lineRule="auto"/>
        <w:ind w:firstLine="720"/>
        <w:jc w:val="both"/>
        <w:rPr>
          <w:rFonts w:ascii="Times New Roman" w:hAnsi="Times New Roman" w:cs="Times New Roman"/>
          <w:sz w:val="24"/>
          <w:szCs w:val="24"/>
        </w:rPr>
      </w:pPr>
      <w:r w:rsidRPr="00224BBF">
        <w:rPr>
          <w:rFonts w:ascii="Times New Roman" w:hAnsi="Times New Roman" w:cs="Times New Roman"/>
          <w:sz w:val="24"/>
          <w:szCs w:val="24"/>
        </w:rPr>
        <w:t>Calvin-Wilson titration technique</w:t>
      </w:r>
      <w:r>
        <w:rPr>
          <w:rFonts w:ascii="Times New Roman" w:hAnsi="Times New Roman" w:cs="Times New Roman"/>
          <w:sz w:val="24"/>
          <w:szCs w:val="24"/>
        </w:rPr>
        <w:t xml:space="preserve"> </w:t>
      </w:r>
      <w:r>
        <w:rPr>
          <w:rFonts w:ascii="Times New Roman" w:hAnsi="Times New Roman" w:cs="Times New Roman"/>
          <w:sz w:val="24"/>
          <w:szCs w:val="24"/>
          <w:vertAlign w:val="superscript"/>
        </w:rPr>
        <w:t>6, 7</w:t>
      </w:r>
      <w:r w:rsidRPr="00224BBF">
        <w:rPr>
          <w:rFonts w:ascii="Times New Roman" w:hAnsi="Times New Roman" w:cs="Times New Roman"/>
          <w:sz w:val="24"/>
          <w:szCs w:val="24"/>
          <w:vertAlign w:val="superscript"/>
        </w:rPr>
        <w:t xml:space="preserve"> </w:t>
      </w:r>
      <w:r w:rsidRPr="00224BBF">
        <w:rPr>
          <w:rFonts w:ascii="Times New Roman" w:hAnsi="Times New Roman" w:cs="Times New Roman"/>
          <w:sz w:val="24"/>
          <w:szCs w:val="24"/>
        </w:rPr>
        <w:t xml:space="preserve">was used for the study of protonation equilibria of </w:t>
      </w:r>
      <w:r>
        <w:rPr>
          <w:rFonts w:ascii="Times New Roman" w:hAnsi="Times New Roman" w:cs="Times New Roman"/>
          <w:sz w:val="24"/>
          <w:szCs w:val="24"/>
        </w:rPr>
        <w:t>S</w:t>
      </w:r>
      <w:r w:rsidRPr="00224BBF">
        <w:rPr>
          <w:rFonts w:ascii="Times New Roman" w:hAnsi="Times New Roman" w:cs="Times New Roman"/>
          <w:sz w:val="24"/>
          <w:szCs w:val="24"/>
        </w:rPr>
        <w:t>ADH, AADH and amino acids</w:t>
      </w:r>
      <w:r>
        <w:rPr>
          <w:rFonts w:ascii="Times New Roman" w:hAnsi="Times New Roman" w:cs="Times New Roman"/>
          <w:sz w:val="24"/>
          <w:szCs w:val="24"/>
        </w:rPr>
        <w:t xml:space="preserve"> in aqueous medium</w:t>
      </w:r>
      <w:r w:rsidRPr="00224BBF">
        <w:rPr>
          <w:rFonts w:ascii="Times New Roman" w:hAnsi="Times New Roman" w:cs="Times New Roman"/>
          <w:sz w:val="24"/>
          <w:szCs w:val="24"/>
        </w:rPr>
        <w:t>.  Requisite volumes of hydrochloric acid (to give an overall concentration of 0.02 -0.05 mol.dm</w:t>
      </w:r>
      <w:r w:rsidRPr="00224BBF">
        <w:rPr>
          <w:rFonts w:ascii="Times New Roman" w:hAnsi="Times New Roman" w:cs="Times New Roman"/>
          <w:sz w:val="24"/>
          <w:szCs w:val="24"/>
          <w:vertAlign w:val="superscript"/>
        </w:rPr>
        <w:t>-3</w:t>
      </w:r>
      <w:r w:rsidRPr="00224BBF">
        <w:rPr>
          <w:rFonts w:ascii="Times New Roman" w:hAnsi="Times New Roman" w:cs="Times New Roman"/>
          <w:sz w:val="24"/>
          <w:szCs w:val="24"/>
        </w:rPr>
        <w:t>), sodium chloride (ionic strength was maintained at 0.1 mol.dm</w:t>
      </w:r>
      <w:r w:rsidRPr="00224BBF">
        <w:rPr>
          <w:rFonts w:ascii="Times New Roman" w:hAnsi="Times New Roman" w:cs="Times New Roman"/>
          <w:sz w:val="24"/>
          <w:szCs w:val="24"/>
          <w:vertAlign w:val="superscript"/>
        </w:rPr>
        <w:t>-3</w:t>
      </w:r>
      <w:r w:rsidRPr="00224BBF">
        <w:rPr>
          <w:rFonts w:ascii="Times New Roman" w:hAnsi="Times New Roman" w:cs="Times New Roman"/>
          <w:sz w:val="24"/>
          <w:szCs w:val="24"/>
        </w:rPr>
        <w:t>) and water in the presence and absence of ligand in a total volume of 50 cm</w:t>
      </w:r>
      <w:r w:rsidRPr="00224BBF">
        <w:rPr>
          <w:rFonts w:ascii="Times New Roman" w:hAnsi="Times New Roman" w:cs="Times New Roman"/>
          <w:sz w:val="24"/>
          <w:szCs w:val="24"/>
          <w:vertAlign w:val="superscript"/>
        </w:rPr>
        <w:t xml:space="preserve">3 </w:t>
      </w:r>
      <w:r w:rsidRPr="00224BBF">
        <w:rPr>
          <w:rFonts w:ascii="Times New Roman" w:hAnsi="Times New Roman" w:cs="Times New Roman"/>
          <w:sz w:val="24"/>
          <w:szCs w:val="24"/>
        </w:rPr>
        <w:t xml:space="preserve">was titrated with </w:t>
      </w:r>
      <w:r>
        <w:rPr>
          <w:rFonts w:ascii="Times New Roman" w:hAnsi="Times New Roman" w:cs="Times New Roman"/>
          <w:sz w:val="24"/>
          <w:szCs w:val="24"/>
        </w:rPr>
        <w:t>~</w:t>
      </w:r>
      <w:r w:rsidRPr="00224BBF">
        <w:rPr>
          <w:rFonts w:ascii="Times New Roman" w:hAnsi="Times New Roman" w:cs="Times New Roman"/>
          <w:sz w:val="24"/>
          <w:szCs w:val="24"/>
        </w:rPr>
        <w:t>0.2 mol.</w:t>
      </w:r>
      <w:r>
        <w:rPr>
          <w:rFonts w:ascii="Times New Roman" w:hAnsi="Times New Roman" w:cs="Times New Roman"/>
          <w:sz w:val="24"/>
          <w:szCs w:val="24"/>
        </w:rPr>
        <w:t xml:space="preserve"> </w:t>
      </w:r>
      <w:r w:rsidRPr="00224BBF">
        <w:rPr>
          <w:rFonts w:ascii="Times New Roman" w:hAnsi="Times New Roman" w:cs="Times New Roman"/>
          <w:sz w:val="24"/>
          <w:szCs w:val="24"/>
        </w:rPr>
        <w:t>dm</w:t>
      </w:r>
      <w:r w:rsidRPr="00224BBF">
        <w:rPr>
          <w:rFonts w:ascii="Times New Roman" w:hAnsi="Times New Roman" w:cs="Times New Roman"/>
          <w:sz w:val="24"/>
          <w:szCs w:val="24"/>
          <w:vertAlign w:val="superscript"/>
        </w:rPr>
        <w:t>-3</w:t>
      </w:r>
      <w:r w:rsidRPr="00224BBF">
        <w:rPr>
          <w:rFonts w:ascii="Times New Roman" w:hAnsi="Times New Roman" w:cs="Times New Roman"/>
          <w:sz w:val="24"/>
          <w:szCs w:val="24"/>
        </w:rPr>
        <w:t xml:space="preserve"> sodium hydroxide.  The concentration of the ligand was between; 0.004 to 0.015 mol.dm</w:t>
      </w:r>
      <w:r w:rsidRPr="00224BBF">
        <w:rPr>
          <w:rFonts w:ascii="Times New Roman" w:hAnsi="Times New Roman" w:cs="Times New Roman"/>
          <w:sz w:val="24"/>
          <w:szCs w:val="24"/>
          <w:vertAlign w:val="superscript"/>
        </w:rPr>
        <w:t xml:space="preserve">-3 </w:t>
      </w:r>
      <w:r w:rsidRPr="00224BBF">
        <w:rPr>
          <w:rFonts w:ascii="Times New Roman" w:hAnsi="Times New Roman" w:cs="Times New Roman"/>
          <w:sz w:val="24"/>
          <w:szCs w:val="24"/>
        </w:rPr>
        <w:t xml:space="preserve">in different experiments.  Freshly prepared solutions of ligands were used in all the titrations. After the addition of each aliquot (0.1ml) of sodium hydroxide, the pH meter </w:t>
      </w:r>
      <w:r w:rsidRPr="00224BBF">
        <w:rPr>
          <w:rFonts w:ascii="Times New Roman" w:hAnsi="Times New Roman" w:cs="Times New Roman"/>
          <w:sz w:val="24"/>
          <w:szCs w:val="24"/>
        </w:rPr>
        <w:lastRenderedPageBreak/>
        <w:t>dial reading was recorded at regular intervals of time until two successive readings do not differ by more than 0.01 pH units. The pH correction factor and ionic product of water were calculated by Gran method</w:t>
      </w:r>
      <w:r>
        <w:rPr>
          <w:rFonts w:ascii="Times New Roman" w:hAnsi="Times New Roman" w:cs="Times New Roman"/>
          <w:sz w:val="24"/>
          <w:szCs w:val="24"/>
        </w:rPr>
        <w:t xml:space="preserve"> </w:t>
      </w:r>
      <w:r>
        <w:rPr>
          <w:rFonts w:ascii="Times New Roman" w:hAnsi="Times New Roman" w:cs="Times New Roman"/>
          <w:sz w:val="24"/>
          <w:szCs w:val="24"/>
          <w:vertAlign w:val="superscript"/>
        </w:rPr>
        <w:t>8, 9</w:t>
      </w:r>
      <w:r w:rsidRPr="00224BBF">
        <w:rPr>
          <w:rFonts w:ascii="Times New Roman" w:hAnsi="Times New Roman" w:cs="Times New Roman"/>
          <w:sz w:val="24"/>
          <w:szCs w:val="24"/>
        </w:rPr>
        <w:t xml:space="preserve">. </w:t>
      </w:r>
    </w:p>
    <w:p w14:paraId="13611E2D" w14:textId="06142F0B" w:rsidR="00D00B24" w:rsidRPr="00D00B24" w:rsidRDefault="00D00B24" w:rsidP="00D00B24">
      <w:pPr>
        <w:pStyle w:val="ListParagraph"/>
        <w:numPr>
          <w:ilvl w:val="0"/>
          <w:numId w:val="23"/>
        </w:numPr>
        <w:rPr>
          <w:b/>
        </w:rPr>
      </w:pPr>
      <w:r w:rsidRPr="00D00B24">
        <w:rPr>
          <w:b/>
        </w:rPr>
        <w:t xml:space="preserve">PROTON - LIGAND EQUILIBRIA OF SUCCINIC AND ADIPIC ACID DIHYDRAZIDES: </w:t>
      </w:r>
    </w:p>
    <w:p w14:paraId="0FCF5E6C" w14:textId="77777777" w:rsidR="00D00B24" w:rsidRDefault="00D00B24" w:rsidP="00D00B24">
      <w:pPr>
        <w:spacing w:after="0" w:line="240" w:lineRule="auto"/>
        <w:rPr>
          <w:rFonts w:ascii="Times New Roman" w:hAnsi="Times New Roman" w:cs="Times New Roman"/>
          <w:sz w:val="24"/>
          <w:szCs w:val="24"/>
        </w:rPr>
      </w:pPr>
    </w:p>
    <w:p w14:paraId="2165FFF2" w14:textId="7458C9A6" w:rsidR="00D00B24" w:rsidRPr="003D665A" w:rsidRDefault="00D00B24" w:rsidP="00D00B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Succinic</w:t>
      </w:r>
      <w:r w:rsidRPr="00224BBF">
        <w:rPr>
          <w:rFonts w:ascii="Times New Roman" w:hAnsi="Times New Roman" w:cs="Times New Roman"/>
          <w:sz w:val="24"/>
          <w:szCs w:val="24"/>
        </w:rPr>
        <w:t xml:space="preserve"> and adipic acid dihydrazides belong to a group of nitrogenous organic compounds with general formula,</w:t>
      </w:r>
      <w:r>
        <w:rPr>
          <w:rFonts w:ascii="Times New Roman" w:hAnsi="Times New Roman" w:cs="Times New Roman"/>
          <w:sz w:val="24"/>
          <w:szCs w:val="24"/>
        </w:rPr>
        <w:t xml:space="preserve"> R (-CO-NH-NH</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as shown in Figure1.  In the case of aliphatic dihydrazides R= (CH</w:t>
      </w:r>
      <w:r w:rsidR="00E15B52">
        <w:rPr>
          <w:rFonts w:ascii="Times New Roman" w:hAnsi="Times New Roman" w:cs="Times New Roman"/>
          <w:sz w:val="24"/>
          <w:szCs w:val="24"/>
          <w:vertAlign w:val="subscript"/>
        </w:rPr>
        <w:t>2</w:t>
      </w:r>
      <w:r w:rsidR="00E15B52">
        <w:rPr>
          <w:rFonts w:ascii="Times New Roman" w:hAnsi="Times New Roman" w:cs="Times New Roman"/>
          <w:sz w:val="24"/>
          <w:szCs w:val="24"/>
        </w:rPr>
        <w:t>)</w:t>
      </w:r>
      <w:r w:rsidR="00E15B52">
        <w:rPr>
          <w:rFonts w:ascii="Times New Roman" w:hAnsi="Times New Roman" w:cs="Times New Roman"/>
          <w:sz w:val="24"/>
          <w:szCs w:val="24"/>
          <w:vertAlign w:val="subscript"/>
        </w:rPr>
        <w:t xml:space="preserve"> n</w:t>
      </w:r>
      <w:r>
        <w:rPr>
          <w:rFonts w:ascii="Times New Roman" w:hAnsi="Times New Roman" w:cs="Times New Roman"/>
          <w:sz w:val="24"/>
          <w:szCs w:val="24"/>
        </w:rPr>
        <w:t>, the value of n= 2 for SADH and n=4 for AADH.</w:t>
      </w:r>
    </w:p>
    <w:p w14:paraId="6118AEEB" w14:textId="77777777" w:rsidR="00D00B24" w:rsidRDefault="00D00B24" w:rsidP="00D00B24">
      <w:pPr>
        <w:spacing w:line="480" w:lineRule="auto"/>
        <w:ind w:firstLine="720"/>
        <w:jc w:val="center"/>
      </w:pPr>
      <w:r>
        <w:object w:dxaOrig="3566" w:dyaOrig="1320" w14:anchorId="18E676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46.5pt" o:ole="">
            <v:imagedata r:id="rId7" o:title=""/>
          </v:shape>
          <o:OLEObject Type="Embed" ProgID="ChemDraw.Document.6.0" ShapeID="_x0000_i1025" DrawAspect="Content" ObjectID="_1756716892" r:id="rId8"/>
        </w:object>
      </w:r>
      <w:r>
        <w:t xml:space="preserve">            </w:t>
      </w:r>
      <w:r>
        <w:object w:dxaOrig="9181" w:dyaOrig="3501" w14:anchorId="5C589944">
          <v:shape id="_x0000_i1026" type="#_x0000_t75" style="width:153pt;height:57.75pt" o:ole="">
            <v:imagedata r:id="rId9" o:title=""/>
          </v:shape>
          <o:OLEObject Type="Embed" ProgID="Chem3D.Document.8" ShapeID="_x0000_i1026" DrawAspect="Content" ObjectID="_1756716893" r:id="rId10"/>
        </w:object>
      </w:r>
    </w:p>
    <w:p w14:paraId="0AFB5C91" w14:textId="28608702" w:rsidR="00D00B24" w:rsidRPr="00BE0C53" w:rsidRDefault="00D00B24" w:rsidP="00D00B24">
      <w:pPr>
        <w:spacing w:line="480" w:lineRule="auto"/>
        <w:ind w:firstLine="720"/>
        <w:jc w:val="center"/>
        <w:rPr>
          <w:rFonts w:ascii="Times New Roman" w:hAnsi="Times New Roman" w:cs="Times New Roman"/>
          <w:sz w:val="24"/>
          <w:szCs w:val="24"/>
        </w:rPr>
      </w:pPr>
      <w:r w:rsidRPr="00BE0C53">
        <w:rPr>
          <w:rFonts w:ascii="Times New Roman" w:hAnsi="Times New Roman" w:cs="Times New Roman"/>
          <w:b/>
          <w:sz w:val="24"/>
          <w:szCs w:val="24"/>
        </w:rPr>
        <w:t>Fig1</w:t>
      </w:r>
      <w:r w:rsidRPr="00BE0C53">
        <w:rPr>
          <w:rFonts w:ascii="Times New Roman" w:hAnsi="Times New Roman" w:cs="Times New Roman"/>
          <w:sz w:val="24"/>
          <w:szCs w:val="24"/>
        </w:rPr>
        <w:t>: General formula of a dihydrazide</w:t>
      </w:r>
    </w:p>
    <w:p w14:paraId="681AEF6E" w14:textId="77777777" w:rsidR="00D00B24" w:rsidRDefault="00D00B24" w:rsidP="00D00B2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224BBF">
        <w:rPr>
          <w:rFonts w:ascii="Times New Roman" w:hAnsi="Times New Roman" w:cs="Times New Roman"/>
          <w:sz w:val="24"/>
          <w:szCs w:val="24"/>
        </w:rPr>
        <w:t xml:space="preserve">n the presence of an acid </w:t>
      </w:r>
      <w:r>
        <w:rPr>
          <w:rFonts w:ascii="Times New Roman" w:hAnsi="Times New Roman" w:cs="Times New Roman"/>
          <w:sz w:val="24"/>
          <w:szCs w:val="24"/>
        </w:rPr>
        <w:t>t</w:t>
      </w:r>
      <w:r w:rsidRPr="00224BBF">
        <w:rPr>
          <w:rFonts w:ascii="Times New Roman" w:hAnsi="Times New Roman" w:cs="Times New Roman"/>
          <w:sz w:val="24"/>
          <w:szCs w:val="24"/>
        </w:rPr>
        <w:t>he neutral form of these ligands (L) may be protonated at the terminal -NH</w:t>
      </w:r>
      <w:r w:rsidRPr="00224BBF">
        <w:rPr>
          <w:rFonts w:ascii="Times New Roman" w:hAnsi="Times New Roman" w:cs="Times New Roman"/>
          <w:sz w:val="24"/>
          <w:szCs w:val="24"/>
          <w:vertAlign w:val="subscript"/>
        </w:rPr>
        <w:t>2</w:t>
      </w:r>
      <w:r w:rsidRPr="00224BBF">
        <w:rPr>
          <w:rFonts w:ascii="Times New Roman" w:hAnsi="Times New Roman" w:cs="Times New Roman"/>
          <w:sz w:val="24"/>
          <w:szCs w:val="24"/>
        </w:rPr>
        <w:t xml:space="preserve"> groups forming </w:t>
      </w:r>
      <w:r>
        <w:rPr>
          <w:rFonts w:ascii="Times New Roman" w:hAnsi="Times New Roman" w:cs="Times New Roman"/>
          <w:sz w:val="24"/>
          <w:szCs w:val="24"/>
        </w:rPr>
        <w:t>mono-protonated (LH</w:t>
      </w:r>
      <w:r>
        <w:rPr>
          <w:rFonts w:ascii="Times New Roman" w:hAnsi="Times New Roman" w:cs="Times New Roman"/>
          <w:sz w:val="24"/>
          <w:szCs w:val="24"/>
          <w:vertAlign w:val="superscript"/>
        </w:rPr>
        <w:t>+</w:t>
      </w:r>
      <w:r>
        <w:rPr>
          <w:rFonts w:ascii="Times New Roman" w:hAnsi="Times New Roman" w:cs="Times New Roman"/>
          <w:sz w:val="24"/>
          <w:szCs w:val="24"/>
        </w:rPr>
        <w:t xml:space="preserve">) and </w:t>
      </w:r>
      <w:r w:rsidRPr="00224BBF">
        <w:rPr>
          <w:rFonts w:ascii="Times New Roman" w:hAnsi="Times New Roman" w:cs="Times New Roman"/>
          <w:sz w:val="24"/>
          <w:szCs w:val="24"/>
        </w:rPr>
        <w:t xml:space="preserve">biprotonated </w:t>
      </w:r>
      <w:r>
        <w:rPr>
          <w:rFonts w:ascii="Times New Roman" w:hAnsi="Times New Roman" w:cs="Times New Roman"/>
          <w:sz w:val="24"/>
          <w:szCs w:val="24"/>
        </w:rPr>
        <w:t>(</w:t>
      </w:r>
      <w:r w:rsidRPr="00224BBF">
        <w:rPr>
          <w:rFonts w:ascii="Times New Roman" w:hAnsi="Times New Roman" w:cs="Times New Roman"/>
          <w:sz w:val="24"/>
          <w:szCs w:val="24"/>
        </w:rPr>
        <w:t>LH</w:t>
      </w:r>
      <w:r w:rsidRPr="00224BBF">
        <w:rPr>
          <w:rFonts w:ascii="Times New Roman" w:hAnsi="Times New Roman" w:cs="Times New Roman"/>
          <w:sz w:val="24"/>
          <w:szCs w:val="24"/>
          <w:vertAlign w:val="subscript"/>
        </w:rPr>
        <w:t>2</w:t>
      </w:r>
      <w:r w:rsidRPr="00224BBF">
        <w:rPr>
          <w:rFonts w:ascii="Times New Roman" w:hAnsi="Times New Roman" w:cs="Times New Roman"/>
          <w:sz w:val="24"/>
          <w:szCs w:val="24"/>
          <w:vertAlign w:val="superscript"/>
        </w:rPr>
        <w:t>2+</w:t>
      </w:r>
      <w:r>
        <w:rPr>
          <w:rFonts w:ascii="Times New Roman" w:hAnsi="Times New Roman" w:cs="Times New Roman"/>
          <w:sz w:val="24"/>
          <w:szCs w:val="24"/>
        </w:rPr>
        <w:t>)</w:t>
      </w:r>
      <w:r w:rsidRPr="00224BBF">
        <w:rPr>
          <w:rFonts w:ascii="Times New Roman" w:hAnsi="Times New Roman" w:cs="Times New Roman"/>
          <w:sz w:val="24"/>
          <w:szCs w:val="24"/>
        </w:rPr>
        <w:t xml:space="preserve"> species.  Hydrazides are </w:t>
      </w:r>
      <w:r>
        <w:rPr>
          <w:rFonts w:ascii="Times New Roman" w:hAnsi="Times New Roman" w:cs="Times New Roman"/>
          <w:sz w:val="24"/>
          <w:szCs w:val="24"/>
        </w:rPr>
        <w:t xml:space="preserve">also </w:t>
      </w:r>
      <w:r w:rsidRPr="00224BBF">
        <w:rPr>
          <w:rFonts w:ascii="Times New Roman" w:hAnsi="Times New Roman" w:cs="Times New Roman"/>
          <w:sz w:val="24"/>
          <w:szCs w:val="24"/>
        </w:rPr>
        <w:t xml:space="preserve">known to </w:t>
      </w:r>
      <w:r>
        <w:rPr>
          <w:rFonts w:ascii="Times New Roman" w:hAnsi="Times New Roman" w:cs="Times New Roman"/>
          <w:sz w:val="24"/>
          <w:szCs w:val="24"/>
        </w:rPr>
        <w:t>undergo keto-enol tautomerism</w:t>
      </w:r>
      <w:r w:rsidRPr="00224BBF">
        <w:rPr>
          <w:rFonts w:ascii="Times New Roman" w:hAnsi="Times New Roman" w:cs="Times New Roman"/>
          <w:sz w:val="24"/>
          <w:szCs w:val="24"/>
        </w:rPr>
        <w:t xml:space="preserve"> and may also lose enolic protons in basic medium, leading to the formation of LH</w:t>
      </w:r>
      <w:r w:rsidRPr="00224BBF">
        <w:rPr>
          <w:rFonts w:ascii="Times New Roman" w:hAnsi="Times New Roman" w:cs="Times New Roman"/>
          <w:sz w:val="24"/>
          <w:szCs w:val="24"/>
          <w:vertAlign w:val="subscript"/>
        </w:rPr>
        <w:t>-1</w:t>
      </w:r>
      <w:r w:rsidRPr="00224BBF">
        <w:rPr>
          <w:rFonts w:ascii="Times New Roman" w:hAnsi="Times New Roman" w:cs="Times New Roman"/>
          <w:sz w:val="24"/>
          <w:szCs w:val="24"/>
        </w:rPr>
        <w:t xml:space="preserve"> and LH</w:t>
      </w:r>
      <w:r w:rsidRPr="00224BBF">
        <w:rPr>
          <w:rFonts w:ascii="Times New Roman" w:hAnsi="Times New Roman" w:cs="Times New Roman"/>
          <w:sz w:val="24"/>
          <w:szCs w:val="24"/>
          <w:vertAlign w:val="subscript"/>
        </w:rPr>
        <w:t>-2</w:t>
      </w:r>
      <w:r w:rsidRPr="00224BBF">
        <w:rPr>
          <w:rFonts w:ascii="Times New Roman" w:hAnsi="Times New Roman" w:cs="Times New Roman"/>
          <w:sz w:val="24"/>
          <w:szCs w:val="24"/>
        </w:rPr>
        <w:t xml:space="preserve"> type of </w:t>
      </w:r>
      <w:r>
        <w:rPr>
          <w:rFonts w:ascii="Times New Roman" w:hAnsi="Times New Roman" w:cs="Times New Roman"/>
          <w:sz w:val="24"/>
          <w:szCs w:val="24"/>
        </w:rPr>
        <w:t xml:space="preserve">deprotonated </w:t>
      </w:r>
      <w:r w:rsidRPr="00224BBF">
        <w:rPr>
          <w:rFonts w:ascii="Times New Roman" w:hAnsi="Times New Roman" w:cs="Times New Roman"/>
          <w:sz w:val="24"/>
          <w:szCs w:val="24"/>
        </w:rPr>
        <w:t>species.</w:t>
      </w:r>
    </w:p>
    <w:p w14:paraId="6C60371C" w14:textId="77777777" w:rsidR="00D00B24" w:rsidRDefault="00D00B24" w:rsidP="00D00B24">
      <w:pPr>
        <w:spacing w:line="480" w:lineRule="auto"/>
        <w:ind w:firstLine="720"/>
        <w:jc w:val="center"/>
        <w:rPr>
          <w:rFonts w:ascii="Times New Roman" w:hAnsi="Times New Roman" w:cs="Times New Roman"/>
          <w:sz w:val="24"/>
          <w:szCs w:val="24"/>
        </w:rPr>
      </w:pPr>
      <w:r>
        <w:object w:dxaOrig="8727" w:dyaOrig="1320" w14:anchorId="4DFCB5B8">
          <v:shape id="_x0000_i1027" type="#_x0000_t75" style="width:311.25pt;height:46.5pt" o:ole="">
            <v:imagedata r:id="rId11" o:title=""/>
          </v:shape>
          <o:OLEObject Type="Embed" ProgID="ChemDraw.Document.6.0" ShapeID="_x0000_i1027" DrawAspect="Content" ObjectID="_1756716894" r:id="rId12"/>
        </w:object>
      </w:r>
    </w:p>
    <w:p w14:paraId="422F1972" w14:textId="5C134675" w:rsidR="00D00B24" w:rsidRPr="00937384" w:rsidRDefault="00D00B24" w:rsidP="00D00B24">
      <w:pPr>
        <w:spacing w:line="480" w:lineRule="auto"/>
        <w:ind w:firstLine="720"/>
        <w:jc w:val="center"/>
        <w:rPr>
          <w:rFonts w:ascii="Times New Roman" w:hAnsi="Times New Roman" w:cs="Times New Roman"/>
          <w:sz w:val="24"/>
          <w:szCs w:val="24"/>
        </w:rPr>
      </w:pPr>
      <w:r w:rsidRPr="00BE0C53">
        <w:rPr>
          <w:rFonts w:ascii="Times New Roman" w:hAnsi="Times New Roman" w:cs="Times New Roman"/>
          <w:b/>
          <w:sz w:val="24"/>
          <w:szCs w:val="24"/>
        </w:rPr>
        <w:t>Fig2:</w:t>
      </w:r>
      <w:r>
        <w:rPr>
          <w:rFonts w:ascii="Times New Roman" w:hAnsi="Times New Roman" w:cs="Times New Roman"/>
          <w:sz w:val="24"/>
          <w:szCs w:val="24"/>
        </w:rPr>
        <w:t xml:space="preserve">  Keto-enol tautomerism of dihydrazides</w:t>
      </w:r>
    </w:p>
    <w:p w14:paraId="23EFF006" w14:textId="77777777" w:rsidR="00D00B24" w:rsidRDefault="00D00B24" w:rsidP="00D00B24">
      <w:pPr>
        <w:spacing w:line="480" w:lineRule="auto"/>
        <w:ind w:firstLine="720"/>
        <w:jc w:val="both"/>
        <w:rPr>
          <w:rFonts w:ascii="Times New Roman" w:hAnsi="Times New Roman" w:cs="Times New Roman"/>
          <w:sz w:val="24"/>
          <w:szCs w:val="24"/>
        </w:rPr>
      </w:pPr>
      <w:r w:rsidRPr="00224BBF">
        <w:rPr>
          <w:rFonts w:ascii="Times New Roman" w:hAnsi="Times New Roman" w:cs="Times New Roman"/>
          <w:sz w:val="24"/>
          <w:szCs w:val="24"/>
        </w:rPr>
        <w:t>Thus, the acido-basic equilibria of dihydrazides may contain LH</w:t>
      </w:r>
      <w:r w:rsidRPr="00224BBF">
        <w:rPr>
          <w:rFonts w:ascii="Times New Roman" w:hAnsi="Times New Roman" w:cs="Times New Roman"/>
          <w:sz w:val="24"/>
          <w:szCs w:val="24"/>
          <w:vertAlign w:val="subscript"/>
        </w:rPr>
        <w:t>2</w:t>
      </w:r>
      <w:r w:rsidRPr="00224BBF">
        <w:rPr>
          <w:rFonts w:ascii="Times New Roman" w:hAnsi="Times New Roman" w:cs="Times New Roman"/>
          <w:sz w:val="24"/>
          <w:szCs w:val="24"/>
          <w:vertAlign w:val="superscript"/>
        </w:rPr>
        <w:t>2+</w:t>
      </w:r>
      <w:r w:rsidRPr="00224BBF">
        <w:rPr>
          <w:rFonts w:ascii="Times New Roman" w:hAnsi="Times New Roman" w:cs="Times New Roman"/>
          <w:sz w:val="24"/>
          <w:szCs w:val="24"/>
        </w:rPr>
        <w:t>, LH</w:t>
      </w:r>
      <w:r w:rsidRPr="00224BBF">
        <w:rPr>
          <w:rFonts w:ascii="Times New Roman" w:hAnsi="Times New Roman" w:cs="Times New Roman"/>
          <w:sz w:val="24"/>
          <w:szCs w:val="24"/>
          <w:vertAlign w:val="superscript"/>
        </w:rPr>
        <w:t>+</w:t>
      </w:r>
      <w:r w:rsidRPr="00224BBF">
        <w:rPr>
          <w:rFonts w:ascii="Times New Roman" w:hAnsi="Times New Roman" w:cs="Times New Roman"/>
          <w:sz w:val="24"/>
          <w:szCs w:val="24"/>
        </w:rPr>
        <w:t>, L, LH</w:t>
      </w:r>
      <w:r w:rsidRPr="00224BBF">
        <w:rPr>
          <w:rFonts w:ascii="Times New Roman" w:hAnsi="Times New Roman" w:cs="Times New Roman"/>
          <w:sz w:val="24"/>
          <w:szCs w:val="24"/>
          <w:vertAlign w:val="subscript"/>
        </w:rPr>
        <w:t>-1</w:t>
      </w:r>
      <w:r w:rsidRPr="00224BBF">
        <w:rPr>
          <w:rFonts w:ascii="Times New Roman" w:hAnsi="Times New Roman" w:cs="Times New Roman"/>
          <w:sz w:val="24"/>
          <w:szCs w:val="24"/>
        </w:rPr>
        <w:t xml:space="preserve"> and LH</w:t>
      </w:r>
      <w:r w:rsidRPr="00224BBF">
        <w:rPr>
          <w:rFonts w:ascii="Times New Roman" w:hAnsi="Times New Roman" w:cs="Times New Roman"/>
          <w:sz w:val="24"/>
          <w:szCs w:val="24"/>
          <w:vertAlign w:val="subscript"/>
        </w:rPr>
        <w:t>-2</w:t>
      </w:r>
      <w:r w:rsidRPr="00224BBF">
        <w:rPr>
          <w:rFonts w:ascii="Times New Roman" w:hAnsi="Times New Roman" w:cs="Times New Roman"/>
          <w:sz w:val="24"/>
          <w:szCs w:val="24"/>
        </w:rPr>
        <w:t xml:space="preserve"> type of species in solution.  In literature, there </w:t>
      </w:r>
      <w:r>
        <w:rPr>
          <w:rFonts w:ascii="Times New Roman" w:hAnsi="Times New Roman" w:cs="Times New Roman"/>
          <w:sz w:val="24"/>
          <w:szCs w:val="24"/>
        </w:rPr>
        <w:t>are</w:t>
      </w:r>
      <w:r w:rsidRPr="00224BBF">
        <w:rPr>
          <w:rFonts w:ascii="Times New Roman" w:hAnsi="Times New Roman" w:cs="Times New Roman"/>
          <w:sz w:val="24"/>
          <w:szCs w:val="24"/>
        </w:rPr>
        <w:t xml:space="preserve"> no reports on the proton-ligand equilibria of </w:t>
      </w:r>
      <w:r>
        <w:rPr>
          <w:rFonts w:ascii="Times New Roman" w:hAnsi="Times New Roman" w:cs="Times New Roman"/>
          <w:sz w:val="24"/>
          <w:szCs w:val="24"/>
        </w:rPr>
        <w:t>S</w:t>
      </w:r>
      <w:r w:rsidRPr="00224BBF">
        <w:rPr>
          <w:rFonts w:ascii="Times New Roman" w:hAnsi="Times New Roman" w:cs="Times New Roman"/>
          <w:sz w:val="24"/>
          <w:szCs w:val="24"/>
        </w:rPr>
        <w:t>ADH</w:t>
      </w:r>
      <w:r>
        <w:rPr>
          <w:rFonts w:ascii="Times New Roman" w:hAnsi="Times New Roman" w:cs="Times New Roman"/>
          <w:sz w:val="24"/>
          <w:szCs w:val="24"/>
        </w:rPr>
        <w:t>.  In the case of</w:t>
      </w:r>
      <w:r w:rsidRPr="00224BBF">
        <w:rPr>
          <w:rFonts w:ascii="Times New Roman" w:hAnsi="Times New Roman" w:cs="Times New Roman"/>
          <w:sz w:val="24"/>
          <w:szCs w:val="24"/>
        </w:rPr>
        <w:t xml:space="preserve"> AADH</w:t>
      </w:r>
      <w:r>
        <w:rPr>
          <w:rFonts w:ascii="Times New Roman" w:hAnsi="Times New Roman" w:cs="Times New Roman"/>
          <w:sz w:val="24"/>
          <w:szCs w:val="24"/>
        </w:rPr>
        <w:t>, there are two reports on the protonation in aqueous-dioxane</w:t>
      </w:r>
      <w:r>
        <w:rPr>
          <w:rFonts w:ascii="Times New Roman" w:hAnsi="Times New Roman" w:cs="Times New Roman"/>
          <w:sz w:val="24"/>
          <w:szCs w:val="24"/>
          <w:vertAlign w:val="superscript"/>
        </w:rPr>
        <w:t>10</w:t>
      </w:r>
      <w:r>
        <w:rPr>
          <w:rFonts w:ascii="Times New Roman" w:hAnsi="Times New Roman" w:cs="Times New Roman"/>
          <w:sz w:val="24"/>
          <w:szCs w:val="24"/>
        </w:rPr>
        <w:t>, aqueous-dimethylformamide</w:t>
      </w:r>
      <w:r>
        <w:rPr>
          <w:rFonts w:ascii="Times New Roman" w:hAnsi="Times New Roman" w:cs="Times New Roman"/>
          <w:sz w:val="24"/>
          <w:szCs w:val="24"/>
          <w:vertAlign w:val="superscript"/>
        </w:rPr>
        <w:t>10</w:t>
      </w:r>
      <w:r>
        <w:rPr>
          <w:rFonts w:ascii="Times New Roman" w:hAnsi="Times New Roman" w:cs="Times New Roman"/>
          <w:sz w:val="24"/>
          <w:szCs w:val="24"/>
        </w:rPr>
        <w:t xml:space="preserve"> and aqueous-</w:t>
      </w:r>
      <w:r>
        <w:rPr>
          <w:rFonts w:ascii="Times New Roman" w:hAnsi="Times New Roman" w:cs="Times New Roman"/>
          <w:sz w:val="24"/>
          <w:szCs w:val="24"/>
        </w:rPr>
        <w:lastRenderedPageBreak/>
        <w:t>ethanol</w:t>
      </w:r>
      <w:r>
        <w:rPr>
          <w:rFonts w:ascii="Times New Roman" w:hAnsi="Times New Roman" w:cs="Times New Roman"/>
          <w:sz w:val="24"/>
          <w:szCs w:val="24"/>
          <w:vertAlign w:val="superscript"/>
        </w:rPr>
        <w:t>11</w:t>
      </w:r>
      <w:r>
        <w:rPr>
          <w:rFonts w:ascii="Times New Roman" w:hAnsi="Times New Roman" w:cs="Times New Roman"/>
          <w:sz w:val="24"/>
          <w:szCs w:val="24"/>
        </w:rPr>
        <w:t xml:space="preserve"> media.  These authors did not consider the deprotonation of AADH in basic medium.</w:t>
      </w:r>
      <w:r w:rsidRPr="00224BBF">
        <w:rPr>
          <w:rFonts w:ascii="Times New Roman" w:hAnsi="Times New Roman" w:cs="Times New Roman"/>
          <w:sz w:val="24"/>
          <w:szCs w:val="24"/>
        </w:rPr>
        <w:t xml:space="preserve"> Therefore, the author has taken up a study on the proton-ligand equilibria of these ligands which is an essential pre-requisite for the determination of the formation constants of metal-ligand complexes. Preliminary experiments revealed that, addition of a drop of 0.1 mole dm</w:t>
      </w:r>
      <w:r w:rsidRPr="00224BBF">
        <w:rPr>
          <w:rFonts w:ascii="Times New Roman" w:hAnsi="Times New Roman" w:cs="Times New Roman"/>
          <w:sz w:val="24"/>
          <w:szCs w:val="24"/>
          <w:vertAlign w:val="superscript"/>
        </w:rPr>
        <w:t>-3</w:t>
      </w:r>
      <w:r>
        <w:rPr>
          <w:rFonts w:ascii="Times New Roman" w:hAnsi="Times New Roman" w:cs="Times New Roman"/>
          <w:sz w:val="24"/>
          <w:szCs w:val="24"/>
        </w:rPr>
        <w:t xml:space="preserve"> alkali suddenly r</w:t>
      </w:r>
      <w:r w:rsidRPr="00224BBF">
        <w:rPr>
          <w:rFonts w:ascii="Times New Roman" w:hAnsi="Times New Roman" w:cs="Times New Roman"/>
          <w:sz w:val="24"/>
          <w:szCs w:val="24"/>
        </w:rPr>
        <w:t xml:space="preserve">aised the pH of both </w:t>
      </w:r>
      <w:r>
        <w:rPr>
          <w:rFonts w:ascii="Times New Roman" w:hAnsi="Times New Roman" w:cs="Times New Roman"/>
          <w:sz w:val="24"/>
          <w:szCs w:val="24"/>
        </w:rPr>
        <w:t>S</w:t>
      </w:r>
      <w:r w:rsidRPr="00224BBF">
        <w:rPr>
          <w:rFonts w:ascii="Times New Roman" w:hAnsi="Times New Roman" w:cs="Times New Roman"/>
          <w:sz w:val="24"/>
          <w:szCs w:val="24"/>
        </w:rPr>
        <w:t>ADH and AADH solutions to about ~ 9.0.  This indicates that these lig</w:t>
      </w:r>
      <w:r>
        <w:rPr>
          <w:rFonts w:ascii="Times New Roman" w:hAnsi="Times New Roman" w:cs="Times New Roman"/>
          <w:sz w:val="24"/>
          <w:szCs w:val="24"/>
        </w:rPr>
        <w:t>a</w:t>
      </w:r>
      <w:r w:rsidRPr="00224BBF">
        <w:rPr>
          <w:rFonts w:ascii="Times New Roman" w:hAnsi="Times New Roman" w:cs="Times New Roman"/>
          <w:sz w:val="24"/>
          <w:szCs w:val="24"/>
        </w:rPr>
        <w:t>nds do not possess any dissociable protons in the pH r</w:t>
      </w:r>
      <w:r>
        <w:rPr>
          <w:rFonts w:ascii="Times New Roman" w:hAnsi="Times New Roman" w:cs="Times New Roman"/>
          <w:sz w:val="24"/>
          <w:szCs w:val="24"/>
        </w:rPr>
        <w:t>egion</w:t>
      </w:r>
      <w:r w:rsidRPr="00224BBF">
        <w:rPr>
          <w:rFonts w:ascii="Times New Roman" w:hAnsi="Times New Roman" w:cs="Times New Roman"/>
          <w:sz w:val="24"/>
          <w:szCs w:val="24"/>
        </w:rPr>
        <w:t xml:space="preserve"> below 9.0.</w:t>
      </w:r>
    </w:p>
    <w:p w14:paraId="46D7E634" w14:textId="1EA5C703" w:rsidR="00D00B24" w:rsidRDefault="00D00B24" w:rsidP="00D00B24">
      <w:pPr>
        <w:spacing w:line="480" w:lineRule="auto"/>
        <w:ind w:firstLine="720"/>
        <w:jc w:val="both"/>
        <w:rPr>
          <w:rFonts w:ascii="Times New Roman" w:hAnsi="Times New Roman" w:cs="Times New Roman"/>
          <w:sz w:val="24"/>
          <w:szCs w:val="24"/>
        </w:rPr>
      </w:pPr>
      <w:r w:rsidRPr="00224BBF">
        <w:rPr>
          <w:rFonts w:ascii="Times New Roman" w:hAnsi="Times New Roman" w:cs="Times New Roman"/>
          <w:sz w:val="24"/>
          <w:szCs w:val="24"/>
        </w:rPr>
        <w:t xml:space="preserve">The pH metric titration data for </w:t>
      </w:r>
      <w:r>
        <w:rPr>
          <w:rFonts w:ascii="Times New Roman" w:hAnsi="Times New Roman" w:cs="Times New Roman"/>
          <w:sz w:val="24"/>
          <w:szCs w:val="24"/>
        </w:rPr>
        <w:t>S</w:t>
      </w:r>
      <w:r w:rsidRPr="00224BBF">
        <w:rPr>
          <w:rFonts w:ascii="Times New Roman" w:hAnsi="Times New Roman" w:cs="Times New Roman"/>
          <w:sz w:val="24"/>
          <w:szCs w:val="24"/>
        </w:rPr>
        <w:t xml:space="preserve">ADH and AADH are shown graphically in </w:t>
      </w:r>
      <w:r>
        <w:rPr>
          <w:rFonts w:ascii="Times New Roman" w:hAnsi="Times New Roman" w:cs="Times New Roman"/>
          <w:sz w:val="24"/>
          <w:szCs w:val="24"/>
        </w:rPr>
        <w:t>Figures3a and 4</w:t>
      </w:r>
      <w:r w:rsidRPr="00224BBF">
        <w:rPr>
          <w:rFonts w:ascii="Times New Roman" w:hAnsi="Times New Roman" w:cs="Times New Roman"/>
          <w:sz w:val="24"/>
          <w:szCs w:val="24"/>
        </w:rPr>
        <w:t xml:space="preserve">a respectively.  Curve 1 represents titration of </w:t>
      </w:r>
      <w:r>
        <w:rPr>
          <w:rFonts w:ascii="Times New Roman" w:hAnsi="Times New Roman" w:cs="Times New Roman"/>
          <w:sz w:val="24"/>
          <w:szCs w:val="24"/>
        </w:rPr>
        <w:t xml:space="preserve">hydrochloric </w:t>
      </w:r>
      <w:r w:rsidRPr="00224BBF">
        <w:rPr>
          <w:rFonts w:ascii="Times New Roman" w:hAnsi="Times New Roman" w:cs="Times New Roman"/>
          <w:sz w:val="24"/>
          <w:szCs w:val="24"/>
        </w:rPr>
        <w:t xml:space="preserve">acid in the absence of ligand, while curve 2 represents the titration of acid + ligand with sodium hydroxide.  The titration curves of both </w:t>
      </w:r>
      <w:r>
        <w:rPr>
          <w:rFonts w:ascii="Times New Roman" w:hAnsi="Times New Roman" w:cs="Times New Roman"/>
          <w:sz w:val="24"/>
          <w:szCs w:val="24"/>
        </w:rPr>
        <w:t>S</w:t>
      </w:r>
      <w:r w:rsidRPr="00224BBF">
        <w:rPr>
          <w:rFonts w:ascii="Times New Roman" w:hAnsi="Times New Roman" w:cs="Times New Roman"/>
          <w:sz w:val="24"/>
          <w:szCs w:val="24"/>
        </w:rPr>
        <w:t xml:space="preserve">ADH </w:t>
      </w:r>
      <w:r>
        <w:rPr>
          <w:rFonts w:ascii="Times New Roman" w:hAnsi="Times New Roman" w:cs="Times New Roman"/>
          <w:sz w:val="24"/>
          <w:szCs w:val="24"/>
        </w:rPr>
        <w:t>and AADH (curve 2 in Figures 3a and 4</w:t>
      </w:r>
      <w:r w:rsidRPr="00224BBF">
        <w:rPr>
          <w:rFonts w:ascii="Times New Roman" w:hAnsi="Times New Roman" w:cs="Times New Roman"/>
          <w:sz w:val="24"/>
          <w:szCs w:val="24"/>
        </w:rPr>
        <w:t>a) are above tha</w:t>
      </w:r>
      <w:r>
        <w:rPr>
          <w:rFonts w:ascii="Times New Roman" w:hAnsi="Times New Roman" w:cs="Times New Roman"/>
          <w:sz w:val="24"/>
          <w:szCs w:val="24"/>
        </w:rPr>
        <w:t>t of free acid below a pH of ~</w:t>
      </w:r>
      <w:r w:rsidRPr="00224BBF">
        <w:rPr>
          <w:rFonts w:ascii="Times New Roman" w:hAnsi="Times New Roman" w:cs="Times New Roman"/>
          <w:sz w:val="24"/>
          <w:szCs w:val="24"/>
        </w:rPr>
        <w:t>5.</w:t>
      </w:r>
      <w:r>
        <w:rPr>
          <w:rFonts w:ascii="Times New Roman" w:hAnsi="Times New Roman" w:cs="Times New Roman"/>
          <w:sz w:val="24"/>
          <w:szCs w:val="24"/>
        </w:rPr>
        <w:t>0.</w:t>
      </w:r>
      <w:r w:rsidRPr="00224BBF">
        <w:rPr>
          <w:rFonts w:ascii="Times New Roman" w:hAnsi="Times New Roman" w:cs="Times New Roman"/>
          <w:color w:val="FF0000"/>
          <w:sz w:val="24"/>
          <w:szCs w:val="24"/>
        </w:rPr>
        <w:t xml:space="preserve">  </w:t>
      </w:r>
      <w:r w:rsidRPr="00224BBF">
        <w:rPr>
          <w:rFonts w:ascii="Times New Roman" w:hAnsi="Times New Roman" w:cs="Times New Roman"/>
          <w:sz w:val="24"/>
          <w:szCs w:val="24"/>
        </w:rPr>
        <w:t>This difference between the free acid and ligand curves in the lower pH region for both the ligands indicates the presence of proton associable centres</w:t>
      </w:r>
      <w:r>
        <w:rPr>
          <w:rFonts w:ascii="Times New Roman" w:hAnsi="Times New Roman" w:cs="Times New Roman"/>
          <w:sz w:val="24"/>
          <w:szCs w:val="24"/>
        </w:rPr>
        <w:t xml:space="preserve"> in the </w:t>
      </w:r>
      <w:r w:rsidR="00E15B52">
        <w:rPr>
          <w:rFonts w:ascii="Times New Roman" w:hAnsi="Times New Roman" w:cs="Times New Roman"/>
          <w:sz w:val="24"/>
          <w:szCs w:val="24"/>
        </w:rPr>
        <w:t>ligands.</w:t>
      </w:r>
      <w:r w:rsidRPr="00224BBF">
        <w:rPr>
          <w:rFonts w:ascii="Times New Roman" w:hAnsi="Times New Roman" w:cs="Times New Roman"/>
          <w:sz w:val="24"/>
          <w:szCs w:val="24"/>
        </w:rPr>
        <w:t xml:space="preserve"> </w:t>
      </w:r>
    </w:p>
    <w:tbl>
      <w:tblPr>
        <w:tblW w:w="8244" w:type="dxa"/>
        <w:jc w:val="center"/>
        <w:tblLook w:val="04A0" w:firstRow="1" w:lastRow="0" w:firstColumn="1" w:lastColumn="0" w:noHBand="0" w:noVBand="1"/>
      </w:tblPr>
      <w:tblGrid>
        <w:gridCol w:w="576"/>
        <w:gridCol w:w="270"/>
        <w:gridCol w:w="1908"/>
        <w:gridCol w:w="162"/>
        <w:gridCol w:w="1443"/>
        <w:gridCol w:w="54"/>
        <w:gridCol w:w="1023"/>
        <w:gridCol w:w="66"/>
        <w:gridCol w:w="2526"/>
        <w:gridCol w:w="216"/>
      </w:tblGrid>
      <w:tr w:rsidR="00D00B24" w:rsidRPr="003C307D" w14:paraId="6F031070" w14:textId="77777777" w:rsidTr="000D2B1D">
        <w:trPr>
          <w:trHeight w:val="3137"/>
          <w:jc w:val="center"/>
        </w:trPr>
        <w:tc>
          <w:tcPr>
            <w:tcW w:w="4413" w:type="dxa"/>
            <w:gridSpan w:val="6"/>
          </w:tcPr>
          <w:p w14:paraId="63A7326E" w14:textId="77777777" w:rsidR="00D00B24" w:rsidRDefault="00D00B24" w:rsidP="000D2B1D">
            <w:pPr>
              <w:spacing w:after="0" w:line="240" w:lineRule="auto"/>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14:anchorId="55706286" wp14:editId="538086DF">
                  <wp:extent cx="2276475" cy="19110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279484" cy="1913595"/>
                          </a:xfrm>
                          <a:prstGeom prst="rect">
                            <a:avLst/>
                          </a:prstGeom>
                          <a:noFill/>
                          <a:ln w="9525">
                            <a:noFill/>
                            <a:miter lim="800000"/>
                            <a:headEnd/>
                            <a:tailEnd/>
                          </a:ln>
                        </pic:spPr>
                      </pic:pic>
                    </a:graphicData>
                  </a:graphic>
                </wp:inline>
              </w:drawing>
            </w:r>
          </w:p>
          <w:p w14:paraId="20468220" w14:textId="77777777" w:rsidR="00D00B24" w:rsidRPr="003C307D" w:rsidRDefault="00D00B24" w:rsidP="000D2B1D">
            <w:pPr>
              <w:spacing w:after="0" w:line="240" w:lineRule="auto"/>
              <w:rPr>
                <w:rFonts w:ascii="Times New Roman" w:hAnsi="Times New Roman" w:cs="Times New Roman"/>
                <w:sz w:val="20"/>
                <w:szCs w:val="20"/>
              </w:rPr>
            </w:pPr>
          </w:p>
        </w:tc>
        <w:tc>
          <w:tcPr>
            <w:tcW w:w="3831" w:type="dxa"/>
            <w:gridSpan w:val="4"/>
          </w:tcPr>
          <w:p w14:paraId="4BFAC923" w14:textId="77777777" w:rsidR="00D00B24" w:rsidRPr="003C307D" w:rsidRDefault="00D00B24" w:rsidP="000D2B1D">
            <w:pPr>
              <w:spacing w:after="0" w:line="240" w:lineRule="auto"/>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14:anchorId="04C2EAD6" wp14:editId="44B7D4B4">
                  <wp:extent cx="1790700" cy="186324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1349" cy="1863922"/>
                          </a:xfrm>
                          <a:prstGeom prst="rect">
                            <a:avLst/>
                          </a:prstGeom>
                          <a:noFill/>
                          <a:ln>
                            <a:noFill/>
                          </a:ln>
                        </pic:spPr>
                      </pic:pic>
                    </a:graphicData>
                  </a:graphic>
                </wp:inline>
              </w:drawing>
            </w:r>
          </w:p>
        </w:tc>
      </w:tr>
      <w:tr w:rsidR="00D00B24" w:rsidRPr="003C307D" w14:paraId="31D6C1F2" w14:textId="77777777" w:rsidTr="000D2B1D">
        <w:trPr>
          <w:trHeight w:val="140"/>
          <w:jc w:val="center"/>
        </w:trPr>
        <w:tc>
          <w:tcPr>
            <w:tcW w:w="576" w:type="dxa"/>
          </w:tcPr>
          <w:p w14:paraId="639A98E3" w14:textId="77777777" w:rsidR="00D00B24" w:rsidRPr="003C307D" w:rsidRDefault="00D00B24" w:rsidP="000D2B1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C307D">
              <w:rPr>
                <w:rFonts w:ascii="Times New Roman" w:hAnsi="Times New Roman" w:cs="Times New Roman"/>
                <w:sz w:val="20"/>
                <w:szCs w:val="20"/>
              </w:rPr>
              <w:t>a.</w:t>
            </w:r>
          </w:p>
        </w:tc>
        <w:tc>
          <w:tcPr>
            <w:tcW w:w="3837" w:type="dxa"/>
            <w:gridSpan w:val="5"/>
          </w:tcPr>
          <w:p w14:paraId="3CE83493" w14:textId="77777777" w:rsidR="00D00B24" w:rsidRPr="003C307D" w:rsidRDefault="00D00B24" w:rsidP="000D2B1D">
            <w:pPr>
              <w:spacing w:after="0" w:line="240" w:lineRule="auto"/>
              <w:ind w:left="-72"/>
              <w:rPr>
                <w:rFonts w:ascii="Times New Roman" w:hAnsi="Times New Roman" w:cs="Times New Roman"/>
                <w:sz w:val="20"/>
                <w:szCs w:val="20"/>
              </w:rPr>
            </w:pPr>
            <w:r w:rsidRPr="003C307D">
              <w:rPr>
                <w:rFonts w:ascii="Times New Roman" w:hAnsi="Times New Roman" w:cs="Times New Roman"/>
                <w:sz w:val="20"/>
                <w:szCs w:val="20"/>
              </w:rPr>
              <w:t>1.  Titration curve of free mineral acid</w:t>
            </w:r>
          </w:p>
        </w:tc>
        <w:tc>
          <w:tcPr>
            <w:tcW w:w="3831" w:type="dxa"/>
            <w:gridSpan w:val="4"/>
          </w:tcPr>
          <w:p w14:paraId="3335CBC3" w14:textId="77777777"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 xml:space="preserve">              b. Species distribution diagram</w:t>
            </w:r>
          </w:p>
        </w:tc>
      </w:tr>
      <w:tr w:rsidR="00D00B24" w:rsidRPr="003C307D" w14:paraId="2BE1D46A" w14:textId="77777777" w:rsidTr="000D2B1D">
        <w:trPr>
          <w:trHeight w:val="167"/>
          <w:jc w:val="center"/>
        </w:trPr>
        <w:tc>
          <w:tcPr>
            <w:tcW w:w="576" w:type="dxa"/>
          </w:tcPr>
          <w:p w14:paraId="16DB2D0B" w14:textId="77777777" w:rsidR="00D00B24" w:rsidRPr="003C307D" w:rsidRDefault="00D00B24" w:rsidP="000D2B1D">
            <w:pPr>
              <w:spacing w:after="0" w:line="240" w:lineRule="auto"/>
              <w:rPr>
                <w:rFonts w:ascii="Times New Roman" w:hAnsi="Times New Roman" w:cs="Times New Roman"/>
                <w:b/>
                <w:sz w:val="20"/>
                <w:szCs w:val="20"/>
              </w:rPr>
            </w:pPr>
          </w:p>
        </w:tc>
        <w:tc>
          <w:tcPr>
            <w:tcW w:w="3837" w:type="dxa"/>
            <w:gridSpan w:val="5"/>
          </w:tcPr>
          <w:p w14:paraId="715BC773" w14:textId="77777777" w:rsidR="00D00B24" w:rsidRPr="003C307D" w:rsidRDefault="00D00B24" w:rsidP="000D2B1D">
            <w:pPr>
              <w:spacing w:after="0" w:line="240" w:lineRule="auto"/>
              <w:ind w:left="-72"/>
              <w:rPr>
                <w:rFonts w:ascii="Times New Roman" w:hAnsi="Times New Roman" w:cs="Times New Roman"/>
                <w:sz w:val="20"/>
                <w:szCs w:val="20"/>
              </w:rPr>
            </w:pPr>
            <w:r w:rsidRPr="003C307D">
              <w:rPr>
                <w:rFonts w:ascii="Times New Roman" w:hAnsi="Times New Roman" w:cs="Times New Roman"/>
                <w:sz w:val="20"/>
                <w:szCs w:val="20"/>
              </w:rPr>
              <w:t xml:space="preserve">2.  Titration curve for acid + SADH </w:t>
            </w:r>
          </w:p>
        </w:tc>
        <w:tc>
          <w:tcPr>
            <w:tcW w:w="3831" w:type="dxa"/>
            <w:gridSpan w:val="4"/>
          </w:tcPr>
          <w:p w14:paraId="68FF796A" w14:textId="77777777" w:rsidR="00D00B24" w:rsidRPr="003C307D" w:rsidRDefault="00D00B24" w:rsidP="000D2B1D">
            <w:pPr>
              <w:spacing w:after="0" w:line="240" w:lineRule="auto"/>
              <w:rPr>
                <w:rFonts w:ascii="Times New Roman" w:hAnsi="Times New Roman" w:cs="Times New Roman"/>
                <w:sz w:val="20"/>
                <w:szCs w:val="20"/>
              </w:rPr>
            </w:pPr>
          </w:p>
        </w:tc>
      </w:tr>
      <w:tr w:rsidR="00D00B24" w:rsidRPr="003C307D" w14:paraId="0F9AA00D" w14:textId="77777777" w:rsidTr="000D2B1D">
        <w:trPr>
          <w:trHeight w:val="203"/>
          <w:jc w:val="center"/>
        </w:trPr>
        <w:tc>
          <w:tcPr>
            <w:tcW w:w="2916" w:type="dxa"/>
            <w:gridSpan w:val="4"/>
          </w:tcPr>
          <w:p w14:paraId="119EB87C" w14:textId="405D7B00" w:rsidR="00D00B24" w:rsidRPr="003C307D" w:rsidRDefault="00D00B24" w:rsidP="000D2B1D">
            <w:pPr>
              <w:tabs>
                <w:tab w:val="left" w:pos="3420"/>
              </w:tabs>
              <w:spacing w:after="0" w:line="240" w:lineRule="auto"/>
              <w:rPr>
                <w:rFonts w:ascii="Times New Roman" w:hAnsi="Times New Roman" w:cs="Times New Roman"/>
                <w:sz w:val="20"/>
                <w:szCs w:val="20"/>
              </w:rPr>
            </w:pPr>
            <w:r w:rsidRPr="003C307D">
              <w:rPr>
                <w:rFonts w:ascii="Times New Roman" w:hAnsi="Times New Roman" w:cs="Times New Roman"/>
                <w:sz w:val="20"/>
                <w:szCs w:val="20"/>
              </w:rPr>
              <w:t xml:space="preserve">[SADH] </w:t>
            </w:r>
            <w:r w:rsidR="00E15B52" w:rsidRPr="003C307D">
              <w:rPr>
                <w:rFonts w:ascii="Times New Roman" w:hAnsi="Times New Roman" w:cs="Times New Roman"/>
                <w:sz w:val="20"/>
                <w:szCs w:val="20"/>
              </w:rPr>
              <w:t>= 0.00960 mol</w:t>
            </w:r>
            <w:r w:rsidRPr="003C307D">
              <w:rPr>
                <w:rFonts w:ascii="Times New Roman" w:hAnsi="Times New Roman" w:cs="Times New Roman"/>
                <w:sz w:val="20"/>
                <w:szCs w:val="20"/>
              </w:rPr>
              <w:t xml:space="preserve"> dm</w:t>
            </w:r>
            <w:r w:rsidRPr="003C307D">
              <w:rPr>
                <w:rFonts w:ascii="Times New Roman" w:hAnsi="Times New Roman" w:cs="Times New Roman"/>
                <w:sz w:val="20"/>
                <w:szCs w:val="20"/>
                <w:vertAlign w:val="superscript"/>
              </w:rPr>
              <w:t>-3</w:t>
            </w:r>
          </w:p>
        </w:tc>
        <w:tc>
          <w:tcPr>
            <w:tcW w:w="2520" w:type="dxa"/>
            <w:gridSpan w:val="3"/>
          </w:tcPr>
          <w:p w14:paraId="11181596" w14:textId="006F7DFC"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 xml:space="preserve"> [HCl] </w:t>
            </w:r>
            <w:r w:rsidR="00E15B52" w:rsidRPr="003C307D">
              <w:rPr>
                <w:rFonts w:ascii="Times New Roman" w:hAnsi="Times New Roman" w:cs="Times New Roman"/>
                <w:sz w:val="20"/>
                <w:szCs w:val="20"/>
              </w:rPr>
              <w:t>= 0.04039</w:t>
            </w:r>
            <w:r w:rsidRPr="003C307D">
              <w:rPr>
                <w:rFonts w:ascii="Times New Roman" w:hAnsi="Times New Roman" w:cs="Times New Roman"/>
                <w:sz w:val="20"/>
                <w:szCs w:val="20"/>
              </w:rPr>
              <w:t xml:space="preserve"> mol dm</w:t>
            </w:r>
            <w:r w:rsidRPr="003C307D">
              <w:rPr>
                <w:rFonts w:ascii="Times New Roman" w:hAnsi="Times New Roman" w:cs="Times New Roman"/>
                <w:sz w:val="20"/>
                <w:szCs w:val="20"/>
                <w:vertAlign w:val="superscript"/>
              </w:rPr>
              <w:t>-3</w:t>
            </w:r>
            <w:r w:rsidRPr="003C307D">
              <w:rPr>
                <w:rFonts w:ascii="Times New Roman" w:hAnsi="Times New Roman" w:cs="Times New Roman"/>
                <w:sz w:val="20"/>
                <w:szCs w:val="20"/>
              </w:rPr>
              <w:t xml:space="preserve">     </w:t>
            </w:r>
          </w:p>
        </w:tc>
        <w:tc>
          <w:tcPr>
            <w:tcW w:w="2808" w:type="dxa"/>
            <w:gridSpan w:val="3"/>
          </w:tcPr>
          <w:p w14:paraId="6400D93B" w14:textId="12D8F597"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w:t>
            </w:r>
            <w:r w:rsidR="00E15B52" w:rsidRPr="003C307D">
              <w:rPr>
                <w:rFonts w:ascii="Times New Roman" w:hAnsi="Times New Roman" w:cs="Times New Roman"/>
                <w:sz w:val="20"/>
                <w:szCs w:val="20"/>
              </w:rPr>
              <w:t>NaOH</w:t>
            </w:r>
            <w:r w:rsidR="00E15B52">
              <w:rPr>
                <w:rFonts w:ascii="Times New Roman" w:hAnsi="Times New Roman" w:cs="Times New Roman"/>
                <w:sz w:val="20"/>
                <w:szCs w:val="20"/>
              </w:rPr>
              <w:t>]</w:t>
            </w:r>
            <w:r>
              <w:rPr>
                <w:rFonts w:ascii="Times New Roman" w:hAnsi="Times New Roman" w:cs="Times New Roman"/>
                <w:sz w:val="20"/>
                <w:szCs w:val="20"/>
              </w:rPr>
              <w:t>= 0.201</w:t>
            </w:r>
            <w:r w:rsidRPr="003C307D">
              <w:rPr>
                <w:rFonts w:ascii="Times New Roman" w:hAnsi="Times New Roman" w:cs="Times New Roman"/>
                <w:sz w:val="20"/>
                <w:szCs w:val="20"/>
              </w:rPr>
              <w:t>6 moldm</w:t>
            </w:r>
            <w:r w:rsidRPr="003C307D">
              <w:rPr>
                <w:rFonts w:ascii="Times New Roman" w:hAnsi="Times New Roman" w:cs="Times New Roman"/>
                <w:sz w:val="20"/>
                <w:szCs w:val="20"/>
                <w:vertAlign w:val="superscript"/>
              </w:rPr>
              <w:t>-3</w:t>
            </w:r>
          </w:p>
        </w:tc>
      </w:tr>
      <w:tr w:rsidR="00D00B24" w:rsidRPr="003C307D" w14:paraId="6D637EC7" w14:textId="77777777" w:rsidTr="000D2B1D">
        <w:trPr>
          <w:trHeight w:val="140"/>
          <w:jc w:val="center"/>
        </w:trPr>
        <w:tc>
          <w:tcPr>
            <w:tcW w:w="2916" w:type="dxa"/>
            <w:gridSpan w:val="4"/>
          </w:tcPr>
          <w:p w14:paraId="39FAD09D" w14:textId="77777777"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Temp.: 30.0 ±0. 1</w:t>
            </w:r>
            <w:r w:rsidRPr="003C307D">
              <w:rPr>
                <w:rFonts w:ascii="Times New Roman" w:hAnsi="Times New Roman" w:cs="Times New Roman"/>
                <w:sz w:val="20"/>
                <w:szCs w:val="20"/>
                <w:vertAlign w:val="superscript"/>
              </w:rPr>
              <w:t>0</w:t>
            </w:r>
            <w:r w:rsidRPr="003C307D">
              <w:rPr>
                <w:rFonts w:ascii="Times New Roman" w:hAnsi="Times New Roman" w:cs="Times New Roman"/>
                <w:sz w:val="20"/>
                <w:szCs w:val="20"/>
              </w:rPr>
              <w:t xml:space="preserve">C                                        </w:t>
            </w:r>
          </w:p>
        </w:tc>
        <w:tc>
          <w:tcPr>
            <w:tcW w:w="2520" w:type="dxa"/>
            <w:gridSpan w:val="3"/>
          </w:tcPr>
          <w:p w14:paraId="6621F239" w14:textId="77777777" w:rsidR="00D00B24" w:rsidRPr="003C307D" w:rsidRDefault="00D00B24" w:rsidP="000D2B1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C307D">
              <w:rPr>
                <w:rFonts w:ascii="Times New Roman" w:hAnsi="Times New Roman" w:cs="Times New Roman"/>
                <w:sz w:val="20"/>
                <w:szCs w:val="20"/>
              </w:rPr>
              <w:t>Total volume= 50.0 cm</w:t>
            </w:r>
            <w:r w:rsidRPr="003C307D">
              <w:rPr>
                <w:rFonts w:ascii="Times New Roman" w:hAnsi="Times New Roman" w:cs="Times New Roman"/>
                <w:sz w:val="20"/>
                <w:szCs w:val="20"/>
                <w:vertAlign w:val="superscript"/>
              </w:rPr>
              <w:t>3</w:t>
            </w:r>
            <w:r w:rsidRPr="003C307D">
              <w:rPr>
                <w:rFonts w:ascii="Times New Roman" w:hAnsi="Times New Roman" w:cs="Times New Roman"/>
                <w:sz w:val="20"/>
                <w:szCs w:val="20"/>
              </w:rPr>
              <w:t xml:space="preserve">      </w:t>
            </w:r>
          </w:p>
        </w:tc>
        <w:tc>
          <w:tcPr>
            <w:tcW w:w="2808" w:type="dxa"/>
            <w:gridSpan w:val="3"/>
          </w:tcPr>
          <w:p w14:paraId="3F5650B8" w14:textId="77777777"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i/>
                <w:sz w:val="20"/>
                <w:szCs w:val="20"/>
              </w:rPr>
              <w:t>I</w:t>
            </w:r>
            <w:r w:rsidRPr="003C307D">
              <w:rPr>
                <w:rFonts w:ascii="Times New Roman" w:hAnsi="Times New Roman" w:cs="Times New Roman"/>
                <w:sz w:val="20"/>
                <w:szCs w:val="20"/>
              </w:rPr>
              <w:t xml:space="preserve"> = 0.1 mol dm</w:t>
            </w:r>
            <w:r w:rsidRPr="003C307D">
              <w:rPr>
                <w:rFonts w:ascii="Times New Roman" w:hAnsi="Times New Roman" w:cs="Times New Roman"/>
                <w:sz w:val="20"/>
                <w:szCs w:val="20"/>
                <w:vertAlign w:val="superscript"/>
              </w:rPr>
              <w:t>-3</w:t>
            </w:r>
            <w:r w:rsidRPr="003C307D">
              <w:rPr>
                <w:rFonts w:ascii="Times New Roman" w:hAnsi="Times New Roman" w:cs="Times New Roman"/>
                <w:sz w:val="20"/>
                <w:szCs w:val="20"/>
              </w:rPr>
              <w:t xml:space="preserve"> NaCl</w:t>
            </w:r>
          </w:p>
        </w:tc>
      </w:tr>
      <w:tr w:rsidR="00D00B24" w:rsidRPr="003C307D" w14:paraId="0722E871" w14:textId="77777777" w:rsidTr="000D2B1D">
        <w:trPr>
          <w:trHeight w:val="140"/>
          <w:jc w:val="center"/>
        </w:trPr>
        <w:tc>
          <w:tcPr>
            <w:tcW w:w="8244" w:type="dxa"/>
            <w:gridSpan w:val="10"/>
          </w:tcPr>
          <w:p w14:paraId="1D0393A1" w14:textId="77777777" w:rsidR="00D00B24" w:rsidRDefault="00D00B24" w:rsidP="000D2B1D">
            <w:pPr>
              <w:spacing w:after="0" w:line="240" w:lineRule="auto"/>
              <w:jc w:val="center"/>
              <w:rPr>
                <w:sz w:val="20"/>
                <w:szCs w:val="20"/>
              </w:rPr>
            </w:pPr>
          </w:p>
          <w:p w14:paraId="2D433A5E" w14:textId="110D3A37" w:rsidR="00D00B24" w:rsidRPr="00BA7012" w:rsidRDefault="00D00B24" w:rsidP="000D2B1D">
            <w:pPr>
              <w:spacing w:after="0" w:line="240" w:lineRule="auto"/>
              <w:jc w:val="center"/>
              <w:rPr>
                <w:rFonts w:ascii="Times New Roman" w:hAnsi="Times New Roman" w:cs="Times New Roman"/>
                <w:i/>
                <w:sz w:val="20"/>
                <w:szCs w:val="20"/>
              </w:rPr>
            </w:pPr>
            <w:r w:rsidRPr="00667C17">
              <w:rPr>
                <w:rFonts w:ascii="Times New Roman" w:hAnsi="Times New Roman" w:cs="Times New Roman"/>
                <w:b/>
                <w:sz w:val="20"/>
                <w:szCs w:val="20"/>
              </w:rPr>
              <w:t>Figure3</w:t>
            </w:r>
            <w:r w:rsidRPr="00BA7012">
              <w:rPr>
                <w:rFonts w:ascii="Times New Roman" w:hAnsi="Times New Roman" w:cs="Times New Roman"/>
                <w:sz w:val="20"/>
                <w:szCs w:val="20"/>
              </w:rPr>
              <w:t>: PROTON-LIGAND SYSTEM OF SADH</w:t>
            </w:r>
          </w:p>
        </w:tc>
      </w:tr>
      <w:tr w:rsidR="00D00B24" w:rsidRPr="00377912" w14:paraId="6E4A1865" w14:textId="77777777" w:rsidTr="000D2B1D">
        <w:trPr>
          <w:gridAfter w:val="1"/>
          <w:wAfter w:w="216" w:type="dxa"/>
          <w:trHeight w:val="3053"/>
          <w:jc w:val="center"/>
        </w:trPr>
        <w:tc>
          <w:tcPr>
            <w:tcW w:w="4359" w:type="dxa"/>
            <w:gridSpan w:val="5"/>
          </w:tcPr>
          <w:p w14:paraId="613BE4AE" w14:textId="77777777" w:rsidR="00D00B24" w:rsidRPr="00224BBF" w:rsidRDefault="00D00B24" w:rsidP="000D2B1D">
            <w:pPr>
              <w:spacing w:after="0" w:line="240" w:lineRule="auto"/>
              <w:jc w:val="center"/>
              <w:rPr>
                <w:rFonts w:ascii="Times New Roman" w:hAnsi="Times New Roman" w:cs="Times New Roman"/>
                <w:sz w:val="20"/>
                <w:szCs w:val="20"/>
              </w:rPr>
            </w:pPr>
            <w:r>
              <w:rPr>
                <w:noProof/>
                <w:lang w:val="en-US"/>
              </w:rPr>
              <w:lastRenderedPageBreak/>
              <w:drawing>
                <wp:inline distT="0" distB="0" distL="0" distR="0" wp14:anchorId="5B67E9BC" wp14:editId="3C7EC42A">
                  <wp:extent cx="2523686" cy="2114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2524213" cy="2114992"/>
                          </a:xfrm>
                          <a:prstGeom prst="rect">
                            <a:avLst/>
                          </a:prstGeom>
                          <a:noFill/>
                          <a:ln w="9525">
                            <a:noFill/>
                            <a:miter lim="800000"/>
                            <a:headEnd/>
                            <a:tailEnd/>
                          </a:ln>
                        </pic:spPr>
                      </pic:pic>
                    </a:graphicData>
                  </a:graphic>
                </wp:inline>
              </w:drawing>
            </w:r>
            <w:r w:rsidRPr="00224BBF">
              <w:t xml:space="preserve">    </w:t>
            </w:r>
          </w:p>
        </w:tc>
        <w:tc>
          <w:tcPr>
            <w:tcW w:w="3669" w:type="dxa"/>
            <w:gridSpan w:val="4"/>
            <w:vAlign w:val="center"/>
          </w:tcPr>
          <w:p w14:paraId="51C0D8CD" w14:textId="77777777" w:rsidR="00D00B24" w:rsidRPr="00852ECB" w:rsidRDefault="00D00B24" w:rsidP="000D2B1D">
            <w:pPr>
              <w:spacing w:after="0" w:line="240" w:lineRule="auto"/>
              <w:rPr>
                <w:rFonts w:ascii="Times New Roman" w:hAnsi="Times New Roman" w:cs="Times New Roman"/>
                <w:sz w:val="20"/>
                <w:szCs w:val="20"/>
              </w:rPr>
            </w:pPr>
            <w:r>
              <w:rPr>
                <w:noProof/>
                <w:lang w:val="en-US"/>
              </w:rPr>
              <w:drawing>
                <wp:inline distT="0" distB="0" distL="0" distR="0" wp14:anchorId="66384431" wp14:editId="179CE9D7">
                  <wp:extent cx="1899744" cy="1976707"/>
                  <wp:effectExtent l="0" t="0" r="571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7037" cy="1984295"/>
                          </a:xfrm>
                          <a:prstGeom prst="rect">
                            <a:avLst/>
                          </a:prstGeom>
                          <a:noFill/>
                          <a:ln>
                            <a:noFill/>
                          </a:ln>
                        </pic:spPr>
                      </pic:pic>
                    </a:graphicData>
                  </a:graphic>
                </wp:inline>
              </w:drawing>
            </w:r>
          </w:p>
        </w:tc>
      </w:tr>
      <w:tr w:rsidR="00D00B24" w:rsidRPr="00377912" w14:paraId="2197E72A" w14:textId="77777777" w:rsidTr="000D2B1D">
        <w:trPr>
          <w:gridAfter w:val="1"/>
          <w:wAfter w:w="216" w:type="dxa"/>
          <w:jc w:val="center"/>
        </w:trPr>
        <w:tc>
          <w:tcPr>
            <w:tcW w:w="846" w:type="dxa"/>
            <w:gridSpan w:val="2"/>
          </w:tcPr>
          <w:p w14:paraId="2B96D86C" w14:textId="77777777" w:rsidR="00D00B24" w:rsidRPr="00377912" w:rsidRDefault="00D00B24" w:rsidP="000D2B1D">
            <w:pPr>
              <w:spacing w:after="0" w:line="240" w:lineRule="auto"/>
              <w:jc w:val="right"/>
              <w:rPr>
                <w:rFonts w:ascii="Times New Roman" w:hAnsi="Times New Roman" w:cs="Times New Roman"/>
                <w:sz w:val="20"/>
                <w:szCs w:val="20"/>
              </w:rPr>
            </w:pPr>
            <w:r w:rsidRPr="00377912">
              <w:rPr>
                <w:rFonts w:ascii="Times New Roman" w:hAnsi="Times New Roman" w:cs="Times New Roman"/>
                <w:sz w:val="20"/>
                <w:szCs w:val="20"/>
              </w:rPr>
              <w:t>a.</w:t>
            </w:r>
          </w:p>
        </w:tc>
        <w:tc>
          <w:tcPr>
            <w:tcW w:w="3513" w:type="dxa"/>
            <w:gridSpan w:val="3"/>
          </w:tcPr>
          <w:p w14:paraId="54F97948" w14:textId="77777777" w:rsidR="00D00B24" w:rsidRPr="00377912" w:rsidRDefault="00D00B24" w:rsidP="000D2B1D">
            <w:pPr>
              <w:spacing w:after="0" w:line="240" w:lineRule="auto"/>
              <w:ind w:left="-72"/>
              <w:rPr>
                <w:rFonts w:ascii="Times New Roman" w:hAnsi="Times New Roman" w:cs="Times New Roman"/>
                <w:sz w:val="20"/>
                <w:szCs w:val="20"/>
              </w:rPr>
            </w:pPr>
            <w:r w:rsidRPr="00377912">
              <w:rPr>
                <w:rFonts w:ascii="Times New Roman" w:hAnsi="Times New Roman" w:cs="Times New Roman"/>
                <w:sz w:val="20"/>
                <w:szCs w:val="20"/>
              </w:rPr>
              <w:t>1.  Titration curve of free mineral acid</w:t>
            </w:r>
          </w:p>
        </w:tc>
        <w:tc>
          <w:tcPr>
            <w:tcW w:w="3669" w:type="dxa"/>
            <w:gridSpan w:val="4"/>
          </w:tcPr>
          <w:p w14:paraId="01AE9507" w14:textId="77777777"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77912">
              <w:rPr>
                <w:rFonts w:ascii="Times New Roman" w:hAnsi="Times New Roman" w:cs="Times New Roman"/>
                <w:sz w:val="20"/>
                <w:szCs w:val="20"/>
              </w:rPr>
              <w:t>b. Species distribution diagram</w:t>
            </w:r>
          </w:p>
        </w:tc>
      </w:tr>
      <w:tr w:rsidR="00D00B24" w:rsidRPr="00377912" w14:paraId="21F1FF79" w14:textId="77777777" w:rsidTr="000D2B1D">
        <w:trPr>
          <w:gridAfter w:val="1"/>
          <w:wAfter w:w="216" w:type="dxa"/>
          <w:jc w:val="center"/>
        </w:trPr>
        <w:tc>
          <w:tcPr>
            <w:tcW w:w="846" w:type="dxa"/>
            <w:gridSpan w:val="2"/>
          </w:tcPr>
          <w:p w14:paraId="5B8C03E2" w14:textId="77777777" w:rsidR="00D00B24" w:rsidRPr="00377912" w:rsidRDefault="00D00B24" w:rsidP="000D2B1D">
            <w:pPr>
              <w:spacing w:after="0" w:line="240" w:lineRule="auto"/>
              <w:rPr>
                <w:rFonts w:ascii="Times New Roman" w:hAnsi="Times New Roman" w:cs="Times New Roman"/>
                <w:b/>
                <w:sz w:val="20"/>
                <w:szCs w:val="20"/>
              </w:rPr>
            </w:pPr>
          </w:p>
        </w:tc>
        <w:tc>
          <w:tcPr>
            <w:tcW w:w="3513" w:type="dxa"/>
            <w:gridSpan w:val="3"/>
          </w:tcPr>
          <w:p w14:paraId="257DECD7" w14:textId="77777777" w:rsidR="00D00B24" w:rsidRPr="00377912" w:rsidRDefault="00D00B24" w:rsidP="000D2B1D">
            <w:pPr>
              <w:spacing w:after="0" w:line="240" w:lineRule="auto"/>
              <w:ind w:left="-72"/>
              <w:rPr>
                <w:rFonts w:ascii="Times New Roman" w:hAnsi="Times New Roman" w:cs="Times New Roman"/>
                <w:sz w:val="20"/>
                <w:szCs w:val="20"/>
              </w:rPr>
            </w:pPr>
            <w:r w:rsidRPr="00377912">
              <w:rPr>
                <w:rFonts w:ascii="Times New Roman" w:hAnsi="Times New Roman" w:cs="Times New Roman"/>
                <w:sz w:val="20"/>
                <w:szCs w:val="20"/>
              </w:rPr>
              <w:t xml:space="preserve">2.  Titration curve for acid + AADH </w:t>
            </w:r>
          </w:p>
        </w:tc>
        <w:tc>
          <w:tcPr>
            <w:tcW w:w="3669" w:type="dxa"/>
            <w:gridSpan w:val="4"/>
          </w:tcPr>
          <w:p w14:paraId="6AF3B19F" w14:textId="77777777" w:rsidR="00D00B24" w:rsidRPr="00377912" w:rsidRDefault="00D00B24" w:rsidP="000D2B1D">
            <w:pPr>
              <w:spacing w:after="0" w:line="240" w:lineRule="auto"/>
              <w:rPr>
                <w:rFonts w:ascii="Times New Roman" w:hAnsi="Times New Roman" w:cs="Times New Roman"/>
                <w:sz w:val="20"/>
                <w:szCs w:val="20"/>
              </w:rPr>
            </w:pPr>
          </w:p>
        </w:tc>
      </w:tr>
      <w:tr w:rsidR="00D00B24" w:rsidRPr="00377912" w14:paraId="71CC8B68" w14:textId="77777777" w:rsidTr="000D2B1D">
        <w:trPr>
          <w:gridAfter w:val="1"/>
          <w:wAfter w:w="216" w:type="dxa"/>
          <w:jc w:val="center"/>
        </w:trPr>
        <w:tc>
          <w:tcPr>
            <w:tcW w:w="2754" w:type="dxa"/>
            <w:gridSpan w:val="3"/>
          </w:tcPr>
          <w:p w14:paraId="5BE28F36" w14:textId="5E78BEA3" w:rsidR="00D00B24" w:rsidRPr="00377912" w:rsidRDefault="00D00B24" w:rsidP="000D2B1D">
            <w:pPr>
              <w:tabs>
                <w:tab w:val="left" w:pos="3420"/>
              </w:tabs>
              <w:spacing w:after="0" w:line="240" w:lineRule="auto"/>
              <w:jc w:val="right"/>
              <w:rPr>
                <w:rFonts w:ascii="Times New Roman" w:hAnsi="Times New Roman" w:cs="Times New Roman"/>
                <w:sz w:val="20"/>
                <w:szCs w:val="20"/>
              </w:rPr>
            </w:pPr>
            <w:r w:rsidRPr="00377912">
              <w:rPr>
                <w:rFonts w:ascii="Times New Roman" w:hAnsi="Times New Roman" w:cs="Times New Roman"/>
                <w:sz w:val="20"/>
                <w:szCs w:val="20"/>
              </w:rPr>
              <w:t>[</w:t>
            </w:r>
            <w:r>
              <w:rPr>
                <w:rFonts w:ascii="Times New Roman" w:hAnsi="Times New Roman" w:cs="Times New Roman"/>
                <w:sz w:val="20"/>
                <w:szCs w:val="20"/>
              </w:rPr>
              <w:t>A</w:t>
            </w:r>
            <w:r w:rsidRPr="00377912">
              <w:rPr>
                <w:rFonts w:ascii="Times New Roman" w:hAnsi="Times New Roman" w:cs="Times New Roman"/>
                <w:sz w:val="20"/>
                <w:szCs w:val="20"/>
              </w:rPr>
              <w:t xml:space="preserve">ADH] </w:t>
            </w:r>
            <w:r w:rsidR="00E15B52" w:rsidRPr="00377912">
              <w:rPr>
                <w:rFonts w:ascii="Times New Roman" w:hAnsi="Times New Roman" w:cs="Times New Roman"/>
                <w:sz w:val="20"/>
                <w:szCs w:val="20"/>
              </w:rPr>
              <w:t>= 0.0100 mol.</w:t>
            </w:r>
            <w:r w:rsidRPr="00377912">
              <w:rPr>
                <w:rFonts w:ascii="Times New Roman" w:hAnsi="Times New Roman" w:cs="Times New Roman"/>
                <w:sz w:val="20"/>
                <w:szCs w:val="20"/>
              </w:rPr>
              <w:t xml:space="preserve"> dm</w:t>
            </w:r>
            <w:r w:rsidRPr="00377912">
              <w:rPr>
                <w:rFonts w:ascii="Times New Roman" w:hAnsi="Times New Roman" w:cs="Times New Roman"/>
                <w:sz w:val="20"/>
                <w:szCs w:val="20"/>
                <w:vertAlign w:val="superscript"/>
              </w:rPr>
              <w:t>-3</w:t>
            </w:r>
          </w:p>
        </w:tc>
        <w:tc>
          <w:tcPr>
            <w:tcW w:w="2748" w:type="dxa"/>
            <w:gridSpan w:val="5"/>
          </w:tcPr>
          <w:p w14:paraId="1D9CE4AF" w14:textId="6F4C7A8C"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sz w:val="20"/>
                <w:szCs w:val="20"/>
              </w:rPr>
              <w:t xml:space="preserve"> [</w:t>
            </w:r>
            <w:r w:rsidR="00E15B52" w:rsidRPr="00377912">
              <w:rPr>
                <w:rFonts w:ascii="Times New Roman" w:hAnsi="Times New Roman" w:cs="Times New Roman"/>
                <w:sz w:val="20"/>
                <w:szCs w:val="20"/>
              </w:rPr>
              <w:t>HCl] =</w:t>
            </w:r>
            <w:r w:rsidRPr="00377912">
              <w:rPr>
                <w:rFonts w:ascii="Times New Roman" w:hAnsi="Times New Roman" w:cs="Times New Roman"/>
                <w:sz w:val="20"/>
                <w:szCs w:val="20"/>
              </w:rPr>
              <w:t xml:space="preserve"> 0.0</w:t>
            </w:r>
            <w:r>
              <w:rPr>
                <w:rFonts w:ascii="Times New Roman" w:hAnsi="Times New Roman" w:cs="Times New Roman"/>
                <w:sz w:val="20"/>
                <w:szCs w:val="20"/>
              </w:rPr>
              <w:t>4016</w:t>
            </w:r>
            <w:r w:rsidRPr="00377912">
              <w:rPr>
                <w:rFonts w:ascii="Times New Roman" w:hAnsi="Times New Roman" w:cs="Times New Roman"/>
                <w:sz w:val="20"/>
                <w:szCs w:val="20"/>
              </w:rPr>
              <w:t xml:space="preserve"> mol</w:t>
            </w:r>
            <w:r>
              <w:rPr>
                <w:rFonts w:ascii="Times New Roman" w:hAnsi="Times New Roman" w:cs="Times New Roman"/>
                <w:sz w:val="20"/>
                <w:szCs w:val="20"/>
              </w:rPr>
              <w:t>.</w:t>
            </w:r>
            <w:r w:rsidRPr="00377912">
              <w:rPr>
                <w:rFonts w:ascii="Times New Roman" w:hAnsi="Times New Roman" w:cs="Times New Roman"/>
                <w:sz w:val="20"/>
                <w:szCs w:val="20"/>
              </w:rPr>
              <w:t xml:space="preserve"> dm</w:t>
            </w:r>
            <w:r w:rsidRPr="00377912">
              <w:rPr>
                <w:rFonts w:ascii="Times New Roman" w:hAnsi="Times New Roman" w:cs="Times New Roman"/>
                <w:sz w:val="20"/>
                <w:szCs w:val="20"/>
                <w:vertAlign w:val="superscript"/>
              </w:rPr>
              <w:t>-3</w:t>
            </w:r>
          </w:p>
        </w:tc>
        <w:tc>
          <w:tcPr>
            <w:tcW w:w="2526" w:type="dxa"/>
          </w:tcPr>
          <w:p w14:paraId="26FDCDCA" w14:textId="4F66868B"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sz w:val="20"/>
                <w:szCs w:val="20"/>
              </w:rPr>
              <w:t>[</w:t>
            </w:r>
            <w:r w:rsidR="00E15B52" w:rsidRPr="00377912">
              <w:rPr>
                <w:rFonts w:ascii="Times New Roman" w:hAnsi="Times New Roman" w:cs="Times New Roman"/>
                <w:sz w:val="20"/>
                <w:szCs w:val="20"/>
              </w:rPr>
              <w:t>NaOH]= 0.2016</w:t>
            </w:r>
            <w:r w:rsidRPr="00377912">
              <w:rPr>
                <w:rFonts w:ascii="Times New Roman" w:hAnsi="Times New Roman" w:cs="Times New Roman"/>
                <w:sz w:val="20"/>
                <w:szCs w:val="20"/>
              </w:rPr>
              <w:t xml:space="preserve"> mol</w:t>
            </w:r>
            <w:r>
              <w:rPr>
                <w:rFonts w:ascii="Times New Roman" w:hAnsi="Times New Roman" w:cs="Times New Roman"/>
                <w:sz w:val="20"/>
                <w:szCs w:val="20"/>
              </w:rPr>
              <w:t>.</w:t>
            </w:r>
            <w:r w:rsidRPr="00377912">
              <w:rPr>
                <w:rFonts w:ascii="Times New Roman" w:hAnsi="Times New Roman" w:cs="Times New Roman"/>
                <w:sz w:val="20"/>
                <w:szCs w:val="20"/>
              </w:rPr>
              <w:t xml:space="preserve"> dm</w:t>
            </w:r>
            <w:r w:rsidRPr="00377912">
              <w:rPr>
                <w:rFonts w:ascii="Times New Roman" w:hAnsi="Times New Roman" w:cs="Times New Roman"/>
                <w:sz w:val="20"/>
                <w:szCs w:val="20"/>
                <w:vertAlign w:val="superscript"/>
              </w:rPr>
              <w:t>-3</w:t>
            </w:r>
          </w:p>
        </w:tc>
      </w:tr>
      <w:tr w:rsidR="00D00B24" w:rsidRPr="00377912" w14:paraId="56121206" w14:textId="77777777" w:rsidTr="000D2B1D">
        <w:trPr>
          <w:gridAfter w:val="1"/>
          <w:wAfter w:w="216" w:type="dxa"/>
          <w:jc w:val="center"/>
        </w:trPr>
        <w:tc>
          <w:tcPr>
            <w:tcW w:w="2754" w:type="dxa"/>
            <w:gridSpan w:val="3"/>
          </w:tcPr>
          <w:p w14:paraId="4F0D0A7E" w14:textId="77777777" w:rsidR="00D00B24" w:rsidRPr="00377912" w:rsidRDefault="00D00B24" w:rsidP="000D2B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377912">
              <w:rPr>
                <w:rFonts w:ascii="Times New Roman" w:hAnsi="Times New Roman" w:cs="Times New Roman"/>
                <w:sz w:val="20"/>
                <w:szCs w:val="20"/>
              </w:rPr>
              <w:t>Temp.: 30.0 ±0. 1</w:t>
            </w:r>
            <w:r w:rsidRPr="00377912">
              <w:rPr>
                <w:rFonts w:ascii="Times New Roman" w:hAnsi="Times New Roman" w:cs="Times New Roman"/>
                <w:sz w:val="20"/>
                <w:szCs w:val="20"/>
                <w:vertAlign w:val="superscript"/>
              </w:rPr>
              <w:t>0</w:t>
            </w:r>
            <w:r w:rsidRPr="00377912">
              <w:rPr>
                <w:rFonts w:ascii="Times New Roman" w:hAnsi="Times New Roman" w:cs="Times New Roman"/>
                <w:sz w:val="20"/>
                <w:szCs w:val="20"/>
              </w:rPr>
              <w:t xml:space="preserve">C                                        </w:t>
            </w:r>
          </w:p>
        </w:tc>
        <w:tc>
          <w:tcPr>
            <w:tcW w:w="2748" w:type="dxa"/>
            <w:gridSpan w:val="5"/>
          </w:tcPr>
          <w:p w14:paraId="42586B66" w14:textId="77777777"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sz w:val="20"/>
                <w:szCs w:val="20"/>
              </w:rPr>
              <w:t>Total volume= 50.0 cm</w:t>
            </w:r>
            <w:r w:rsidRPr="00377912">
              <w:rPr>
                <w:rFonts w:ascii="Times New Roman" w:hAnsi="Times New Roman" w:cs="Times New Roman"/>
                <w:sz w:val="20"/>
                <w:szCs w:val="20"/>
                <w:vertAlign w:val="superscript"/>
              </w:rPr>
              <w:t>3</w:t>
            </w:r>
            <w:r w:rsidRPr="00377912">
              <w:rPr>
                <w:rFonts w:ascii="Times New Roman" w:hAnsi="Times New Roman" w:cs="Times New Roman"/>
                <w:sz w:val="20"/>
                <w:szCs w:val="20"/>
              </w:rPr>
              <w:t xml:space="preserve">      </w:t>
            </w:r>
          </w:p>
        </w:tc>
        <w:tc>
          <w:tcPr>
            <w:tcW w:w="2526" w:type="dxa"/>
          </w:tcPr>
          <w:p w14:paraId="551D09E9" w14:textId="77777777"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i/>
                <w:sz w:val="20"/>
                <w:szCs w:val="20"/>
              </w:rPr>
              <w:t>I</w:t>
            </w:r>
            <w:r w:rsidRPr="00377912">
              <w:rPr>
                <w:rFonts w:ascii="Times New Roman" w:hAnsi="Times New Roman" w:cs="Times New Roman"/>
                <w:sz w:val="20"/>
                <w:szCs w:val="20"/>
              </w:rPr>
              <w:t xml:space="preserve"> = 0.1 mol</w:t>
            </w:r>
            <w:r>
              <w:rPr>
                <w:rFonts w:ascii="Times New Roman" w:hAnsi="Times New Roman" w:cs="Times New Roman"/>
                <w:sz w:val="20"/>
                <w:szCs w:val="20"/>
              </w:rPr>
              <w:t>.</w:t>
            </w:r>
            <w:r w:rsidRPr="00377912">
              <w:rPr>
                <w:rFonts w:ascii="Times New Roman" w:hAnsi="Times New Roman" w:cs="Times New Roman"/>
                <w:sz w:val="20"/>
                <w:szCs w:val="20"/>
              </w:rPr>
              <w:t xml:space="preserve"> dm</w:t>
            </w:r>
            <w:r w:rsidRPr="00377912">
              <w:rPr>
                <w:rFonts w:ascii="Times New Roman" w:hAnsi="Times New Roman" w:cs="Times New Roman"/>
                <w:sz w:val="20"/>
                <w:szCs w:val="20"/>
                <w:vertAlign w:val="superscript"/>
              </w:rPr>
              <w:t>-3</w:t>
            </w:r>
            <w:r w:rsidRPr="00377912">
              <w:rPr>
                <w:rFonts w:ascii="Times New Roman" w:hAnsi="Times New Roman" w:cs="Times New Roman"/>
                <w:sz w:val="20"/>
                <w:szCs w:val="20"/>
              </w:rPr>
              <w:t xml:space="preserve"> NaCl</w:t>
            </w:r>
          </w:p>
        </w:tc>
      </w:tr>
      <w:tr w:rsidR="00D00B24" w:rsidRPr="00377912" w14:paraId="35200223" w14:textId="77777777" w:rsidTr="000D2B1D">
        <w:trPr>
          <w:gridAfter w:val="1"/>
          <w:wAfter w:w="216" w:type="dxa"/>
          <w:jc w:val="center"/>
        </w:trPr>
        <w:tc>
          <w:tcPr>
            <w:tcW w:w="8028" w:type="dxa"/>
            <w:gridSpan w:val="9"/>
          </w:tcPr>
          <w:p w14:paraId="0E4A5CFB" w14:textId="77777777" w:rsidR="00D00B24" w:rsidRDefault="00D00B24" w:rsidP="000D2B1D">
            <w:pPr>
              <w:pStyle w:val="Heading1"/>
              <w:spacing w:line="240" w:lineRule="auto"/>
              <w:jc w:val="center"/>
              <w:rPr>
                <w:sz w:val="20"/>
                <w:szCs w:val="20"/>
                <w:u w:val="none"/>
              </w:rPr>
            </w:pPr>
          </w:p>
          <w:p w14:paraId="55DDB2C5" w14:textId="2B8CD765" w:rsidR="00D00B24" w:rsidRPr="00377912" w:rsidRDefault="00D00B24" w:rsidP="000D2B1D">
            <w:pPr>
              <w:pStyle w:val="Heading1"/>
              <w:spacing w:line="240" w:lineRule="auto"/>
              <w:jc w:val="center"/>
              <w:rPr>
                <w:b w:val="0"/>
                <w:sz w:val="20"/>
                <w:szCs w:val="20"/>
                <w:u w:val="none"/>
              </w:rPr>
            </w:pPr>
            <w:r>
              <w:rPr>
                <w:sz w:val="20"/>
                <w:szCs w:val="20"/>
                <w:u w:val="none"/>
              </w:rPr>
              <w:t>Figure 4:</w:t>
            </w:r>
            <w:r w:rsidRPr="00377912">
              <w:rPr>
                <w:sz w:val="20"/>
                <w:szCs w:val="20"/>
                <w:u w:val="none"/>
              </w:rPr>
              <w:t xml:space="preserve"> </w:t>
            </w:r>
            <w:r w:rsidRPr="00377912">
              <w:rPr>
                <w:b w:val="0"/>
                <w:sz w:val="20"/>
                <w:szCs w:val="20"/>
                <w:u w:val="none"/>
              </w:rPr>
              <w:t>PROTON-LIGAND SYSTEM OF AADH</w:t>
            </w:r>
          </w:p>
        </w:tc>
      </w:tr>
    </w:tbl>
    <w:p w14:paraId="27FED900" w14:textId="77777777" w:rsidR="00D00B24" w:rsidRDefault="00D00B24" w:rsidP="00D00B24">
      <w:pPr>
        <w:tabs>
          <w:tab w:val="left" w:pos="1005"/>
        </w:tabs>
        <w:spacing w:after="0"/>
      </w:pPr>
    </w:p>
    <w:p w14:paraId="76D79822" w14:textId="77777777" w:rsidR="00D00B24" w:rsidRDefault="00D00B24" w:rsidP="00D00B24">
      <w:pPr>
        <w:spacing w:after="0" w:line="240" w:lineRule="auto"/>
        <w:jc w:val="center"/>
        <w:rPr>
          <w:rFonts w:ascii="Times New Roman" w:hAnsi="Times New Roman" w:cs="Times New Roman"/>
          <w:b/>
          <w:sz w:val="24"/>
          <w:szCs w:val="24"/>
        </w:rPr>
      </w:pPr>
    </w:p>
    <w:p w14:paraId="47F446F7" w14:textId="7C49B69D" w:rsidR="00D00B24" w:rsidRDefault="00D00B24" w:rsidP="00D00B24">
      <w:pPr>
        <w:spacing w:line="480" w:lineRule="auto"/>
        <w:ind w:firstLine="720"/>
        <w:jc w:val="both"/>
        <w:rPr>
          <w:rFonts w:ascii="Times New Roman" w:hAnsi="Times New Roman" w:cs="Times New Roman"/>
          <w:sz w:val="24"/>
          <w:szCs w:val="24"/>
        </w:rPr>
      </w:pPr>
      <w:r w:rsidRPr="00224BBF">
        <w:rPr>
          <w:rFonts w:ascii="Times New Roman" w:hAnsi="Times New Roman" w:cs="Times New Roman"/>
          <w:sz w:val="24"/>
          <w:szCs w:val="24"/>
        </w:rPr>
        <w:t xml:space="preserve">On </w:t>
      </w:r>
      <w:r>
        <w:rPr>
          <w:rFonts w:ascii="Times New Roman" w:hAnsi="Times New Roman" w:cs="Times New Roman"/>
          <w:sz w:val="24"/>
          <w:szCs w:val="24"/>
        </w:rPr>
        <w:t xml:space="preserve">the basic side, </w:t>
      </w:r>
      <w:r w:rsidR="00E15B52">
        <w:rPr>
          <w:rFonts w:ascii="Times New Roman" w:hAnsi="Times New Roman" w:cs="Times New Roman"/>
          <w:sz w:val="24"/>
          <w:szCs w:val="24"/>
        </w:rPr>
        <w:t>i.e.,</w:t>
      </w:r>
      <w:r>
        <w:rPr>
          <w:rFonts w:ascii="Times New Roman" w:hAnsi="Times New Roman" w:cs="Times New Roman"/>
          <w:sz w:val="24"/>
          <w:szCs w:val="24"/>
        </w:rPr>
        <w:t xml:space="preserve"> above pH ~9</w:t>
      </w:r>
      <w:r w:rsidRPr="00224BBF">
        <w:rPr>
          <w:rFonts w:ascii="Times New Roman" w:hAnsi="Times New Roman" w:cs="Times New Roman"/>
          <w:sz w:val="24"/>
          <w:szCs w:val="24"/>
        </w:rPr>
        <w:t xml:space="preserve">.0, there is a significant lowering of the ligand titration curves relative to </w:t>
      </w:r>
      <w:r>
        <w:rPr>
          <w:rFonts w:ascii="Times New Roman" w:hAnsi="Times New Roman" w:cs="Times New Roman"/>
          <w:sz w:val="24"/>
          <w:szCs w:val="24"/>
        </w:rPr>
        <w:t xml:space="preserve">the </w:t>
      </w:r>
      <w:r w:rsidRPr="00224BBF">
        <w:rPr>
          <w:rFonts w:ascii="Times New Roman" w:hAnsi="Times New Roman" w:cs="Times New Roman"/>
          <w:sz w:val="24"/>
          <w:szCs w:val="24"/>
        </w:rPr>
        <w:t>free acid indicating deprotonation of the ligands.</w:t>
      </w:r>
      <w:r>
        <w:rPr>
          <w:rFonts w:ascii="Times New Roman" w:hAnsi="Times New Roman" w:cs="Times New Roman"/>
          <w:sz w:val="24"/>
          <w:szCs w:val="24"/>
        </w:rPr>
        <w:t xml:space="preserve"> </w:t>
      </w:r>
      <w:r w:rsidRPr="00224BBF">
        <w:rPr>
          <w:rFonts w:ascii="Times New Roman" w:hAnsi="Times New Roman" w:cs="Times New Roman"/>
          <w:sz w:val="24"/>
          <w:szCs w:val="24"/>
        </w:rPr>
        <w:t>In between the</w:t>
      </w:r>
      <w:r>
        <w:rPr>
          <w:rFonts w:ascii="Times New Roman" w:hAnsi="Times New Roman" w:cs="Times New Roman"/>
          <w:sz w:val="24"/>
          <w:szCs w:val="24"/>
        </w:rPr>
        <w:t>se</w:t>
      </w:r>
      <w:r w:rsidRPr="00224BBF">
        <w:rPr>
          <w:rFonts w:ascii="Times New Roman" w:hAnsi="Times New Roman" w:cs="Times New Roman"/>
          <w:sz w:val="24"/>
          <w:szCs w:val="24"/>
        </w:rPr>
        <w:t xml:space="preserve"> two </w:t>
      </w:r>
      <w:r>
        <w:rPr>
          <w:rFonts w:ascii="Times New Roman" w:hAnsi="Times New Roman" w:cs="Times New Roman"/>
          <w:sz w:val="24"/>
          <w:szCs w:val="24"/>
        </w:rPr>
        <w:t xml:space="preserve">pH regions </w:t>
      </w:r>
      <w:r w:rsidRPr="00224BBF">
        <w:rPr>
          <w:rFonts w:ascii="Times New Roman" w:hAnsi="Times New Roman" w:cs="Times New Roman"/>
          <w:sz w:val="24"/>
          <w:szCs w:val="24"/>
        </w:rPr>
        <w:t xml:space="preserve">free acid and ligand curves coincide indicating the absence of </w:t>
      </w:r>
      <w:r>
        <w:rPr>
          <w:rFonts w:ascii="Times New Roman" w:hAnsi="Times New Roman" w:cs="Times New Roman"/>
          <w:sz w:val="24"/>
          <w:szCs w:val="24"/>
        </w:rPr>
        <w:t xml:space="preserve">other </w:t>
      </w:r>
      <w:r w:rsidRPr="00224BBF">
        <w:rPr>
          <w:rFonts w:ascii="Times New Roman" w:hAnsi="Times New Roman" w:cs="Times New Roman"/>
          <w:sz w:val="24"/>
          <w:szCs w:val="24"/>
        </w:rPr>
        <w:t>proton-ligand equilibria.</w:t>
      </w:r>
    </w:p>
    <w:p w14:paraId="015339E4" w14:textId="7424B530" w:rsidR="00D00B24" w:rsidRDefault="00D00B24" w:rsidP="00D00B24">
      <w:pPr>
        <w:spacing w:line="480" w:lineRule="auto"/>
        <w:ind w:firstLine="720"/>
        <w:jc w:val="both"/>
        <w:rPr>
          <w:rFonts w:ascii="Times New Roman" w:hAnsi="Times New Roman" w:cs="Times New Roman"/>
          <w:sz w:val="24"/>
          <w:szCs w:val="24"/>
        </w:rPr>
      </w:pPr>
      <w:r w:rsidRPr="00D61192">
        <w:rPr>
          <w:rFonts w:ascii="Times New Roman" w:hAnsi="Times New Roman" w:cs="Times New Roman"/>
          <w:sz w:val="24"/>
          <w:szCs w:val="24"/>
        </w:rPr>
        <w:t>The titration data w</w:t>
      </w:r>
      <w:r>
        <w:rPr>
          <w:rFonts w:ascii="Times New Roman" w:hAnsi="Times New Roman" w:cs="Times New Roman"/>
          <w:sz w:val="24"/>
          <w:szCs w:val="24"/>
        </w:rPr>
        <w:t>as</w:t>
      </w:r>
      <w:r w:rsidRPr="00D61192">
        <w:rPr>
          <w:rFonts w:ascii="Times New Roman" w:hAnsi="Times New Roman" w:cs="Times New Roman"/>
          <w:sz w:val="24"/>
          <w:szCs w:val="24"/>
        </w:rPr>
        <w:t xml:space="preserve"> first subjected to analysis by ACBA computer program</w:t>
      </w:r>
      <w:r w:rsidRPr="00D6119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Pr="00D61192">
        <w:rPr>
          <w:rFonts w:ascii="Times New Roman" w:hAnsi="Times New Roman" w:cs="Times New Roman"/>
          <w:sz w:val="24"/>
          <w:szCs w:val="24"/>
        </w:rPr>
        <w:t>, modified by the author to run on a personal computer.  The formation constants obtained from ACBA program were taken as initial estimates for refinement by MINIQUAD-75 program</w:t>
      </w:r>
      <w:r w:rsidRPr="00D6119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3</w:t>
      </w:r>
      <w:r w:rsidRPr="00D61192">
        <w:rPr>
          <w:rFonts w:ascii="Times New Roman" w:hAnsi="Times New Roman" w:cs="Times New Roman"/>
          <w:sz w:val="24"/>
          <w:szCs w:val="24"/>
        </w:rPr>
        <w:t xml:space="preserve">.  </w:t>
      </w:r>
      <w:r w:rsidRPr="00D61192">
        <w:rPr>
          <w:rStyle w:val="A0"/>
          <w:rFonts w:ascii="Times New Roman" w:hAnsi="Times New Roman" w:cs="Times New Roman"/>
          <w:sz w:val="24"/>
          <w:szCs w:val="24"/>
        </w:rPr>
        <w:t xml:space="preserve">The protonation and deprotonation equilibria of </w:t>
      </w:r>
      <w:r>
        <w:rPr>
          <w:rStyle w:val="A0"/>
          <w:rFonts w:ascii="Times New Roman" w:hAnsi="Times New Roman" w:cs="Times New Roman"/>
          <w:sz w:val="24"/>
          <w:szCs w:val="24"/>
        </w:rPr>
        <w:t>SADH are shown in Figure5</w:t>
      </w:r>
      <w:r w:rsidRPr="00D61192">
        <w:rPr>
          <w:rStyle w:val="A0"/>
          <w:rFonts w:ascii="Times New Roman" w:hAnsi="Times New Roman" w:cs="Times New Roman"/>
          <w:sz w:val="24"/>
          <w:szCs w:val="24"/>
        </w:rPr>
        <w:t xml:space="preserve">.  </w:t>
      </w:r>
      <w:r w:rsidRPr="00D61192">
        <w:rPr>
          <w:rFonts w:ascii="Times New Roman" w:hAnsi="Times New Roman" w:cs="Times New Roman"/>
          <w:sz w:val="24"/>
          <w:szCs w:val="24"/>
        </w:rPr>
        <w:t>The best-fit model obtained using the Miniquad-75 program (Table1) contained three formation constants β</w:t>
      </w:r>
      <w:r w:rsidRPr="00D61192">
        <w:rPr>
          <w:rFonts w:ascii="Times New Roman" w:hAnsi="Times New Roman" w:cs="Times New Roman"/>
          <w:sz w:val="24"/>
          <w:szCs w:val="24"/>
          <w:vertAlign w:val="subscript"/>
        </w:rPr>
        <w:t>011</w:t>
      </w:r>
      <w:r w:rsidRPr="00D61192">
        <w:rPr>
          <w:rFonts w:ascii="Times New Roman" w:hAnsi="Times New Roman" w:cs="Times New Roman"/>
          <w:sz w:val="24"/>
          <w:szCs w:val="24"/>
        </w:rPr>
        <w:t>, β</w:t>
      </w:r>
      <w:r w:rsidRPr="00D61192">
        <w:rPr>
          <w:rFonts w:ascii="Times New Roman" w:hAnsi="Times New Roman" w:cs="Times New Roman"/>
          <w:sz w:val="24"/>
          <w:szCs w:val="24"/>
          <w:vertAlign w:val="subscript"/>
        </w:rPr>
        <w:t>012</w:t>
      </w:r>
      <w:r w:rsidRPr="00D61192">
        <w:rPr>
          <w:rFonts w:ascii="Times New Roman" w:hAnsi="Times New Roman" w:cs="Times New Roman"/>
          <w:sz w:val="24"/>
          <w:szCs w:val="24"/>
        </w:rPr>
        <w:t xml:space="preserve"> and β</w:t>
      </w:r>
      <w:r w:rsidRPr="00D61192">
        <w:rPr>
          <w:rFonts w:ascii="Times New Roman" w:hAnsi="Times New Roman" w:cs="Times New Roman"/>
          <w:sz w:val="24"/>
          <w:szCs w:val="24"/>
          <w:vertAlign w:val="subscript"/>
        </w:rPr>
        <w:t>01-1</w:t>
      </w:r>
      <w:r w:rsidRPr="00D61192">
        <w:rPr>
          <w:rFonts w:ascii="Times New Roman" w:hAnsi="Times New Roman" w:cs="Times New Roman"/>
          <w:sz w:val="24"/>
          <w:szCs w:val="24"/>
        </w:rPr>
        <w:t xml:space="preserve"> corresponding to the formation of LH, LH</w:t>
      </w:r>
      <w:r w:rsidRPr="00D61192">
        <w:rPr>
          <w:rFonts w:ascii="Times New Roman" w:hAnsi="Times New Roman" w:cs="Times New Roman"/>
          <w:sz w:val="24"/>
          <w:szCs w:val="24"/>
          <w:vertAlign w:val="subscript"/>
        </w:rPr>
        <w:t>2</w:t>
      </w:r>
      <w:r w:rsidRPr="00D61192">
        <w:rPr>
          <w:rFonts w:ascii="Times New Roman" w:hAnsi="Times New Roman" w:cs="Times New Roman"/>
          <w:sz w:val="24"/>
          <w:szCs w:val="24"/>
        </w:rPr>
        <w:t xml:space="preserve"> and LH</w:t>
      </w:r>
      <w:r w:rsidRPr="00D61192">
        <w:rPr>
          <w:rFonts w:ascii="Times New Roman" w:hAnsi="Times New Roman" w:cs="Times New Roman"/>
          <w:sz w:val="24"/>
          <w:szCs w:val="24"/>
          <w:vertAlign w:val="subscript"/>
        </w:rPr>
        <w:t>-1</w:t>
      </w:r>
      <w:r w:rsidRPr="00D61192">
        <w:rPr>
          <w:rFonts w:ascii="Times New Roman" w:hAnsi="Times New Roman" w:cs="Times New Roman"/>
          <w:sz w:val="24"/>
          <w:szCs w:val="24"/>
        </w:rPr>
        <w:t xml:space="preserve"> (charges are omitted for brevity) respectively</w:t>
      </w:r>
      <w:r>
        <w:rPr>
          <w:rFonts w:ascii="Times New Roman" w:hAnsi="Times New Roman" w:cs="Times New Roman"/>
          <w:sz w:val="24"/>
          <w:szCs w:val="24"/>
        </w:rPr>
        <w:t xml:space="preserve">.  </w:t>
      </w:r>
    </w:p>
    <w:p w14:paraId="70E0903B" w14:textId="5CAFE03F" w:rsidR="00D00B24" w:rsidRDefault="00D00B24" w:rsidP="00D00B24">
      <w:pPr>
        <w:spacing w:line="480" w:lineRule="auto"/>
        <w:ind w:firstLine="720"/>
        <w:jc w:val="both"/>
        <w:rPr>
          <w:rFonts w:ascii="Times New Roman" w:hAnsi="Times New Roman" w:cs="Times New Roman"/>
          <w:sz w:val="24"/>
          <w:szCs w:val="24"/>
        </w:rPr>
      </w:pPr>
      <w:r w:rsidRPr="00834B42">
        <w:rPr>
          <w:rFonts w:ascii="Times New Roman" w:hAnsi="Times New Roman" w:cs="Times New Roman"/>
          <w:sz w:val="24"/>
          <w:szCs w:val="24"/>
        </w:rPr>
        <w:t>The species distribution diagram of SADH (Figure 3b) indicates that the LH</w:t>
      </w:r>
      <w:r w:rsidRPr="00834B42">
        <w:rPr>
          <w:rFonts w:ascii="Times New Roman" w:hAnsi="Times New Roman" w:cs="Times New Roman"/>
          <w:sz w:val="24"/>
          <w:szCs w:val="24"/>
          <w:vertAlign w:val="subscript"/>
        </w:rPr>
        <w:t>2</w:t>
      </w:r>
      <w:r w:rsidRPr="00834B42">
        <w:rPr>
          <w:rFonts w:ascii="Times New Roman" w:hAnsi="Times New Roman" w:cs="Times New Roman"/>
          <w:sz w:val="24"/>
          <w:szCs w:val="24"/>
          <w:vertAlign w:val="superscript"/>
        </w:rPr>
        <w:t>2+</w:t>
      </w:r>
      <w:r w:rsidRPr="00834B42">
        <w:rPr>
          <w:rFonts w:ascii="Times New Roman" w:hAnsi="Times New Roman" w:cs="Times New Roman"/>
          <w:sz w:val="24"/>
          <w:szCs w:val="24"/>
        </w:rPr>
        <w:t xml:space="preserve"> form exists only below a pH of 4.0.  The extent of its formation is</w:t>
      </w:r>
      <w:r>
        <w:rPr>
          <w:rFonts w:ascii="Times New Roman" w:hAnsi="Times New Roman" w:cs="Times New Roman"/>
          <w:sz w:val="24"/>
          <w:szCs w:val="24"/>
        </w:rPr>
        <w:t xml:space="preserve"> </w:t>
      </w:r>
      <w:r w:rsidRPr="00834B42">
        <w:rPr>
          <w:rFonts w:ascii="Times New Roman" w:hAnsi="Times New Roman" w:cs="Times New Roman"/>
          <w:sz w:val="24"/>
          <w:szCs w:val="24"/>
        </w:rPr>
        <w:t>~84% (at ~1.8 pH) in the pH region of study.  The species LH</w:t>
      </w:r>
      <w:r w:rsidRPr="00834B42">
        <w:rPr>
          <w:rFonts w:ascii="Times New Roman" w:hAnsi="Times New Roman" w:cs="Times New Roman"/>
          <w:sz w:val="24"/>
          <w:szCs w:val="24"/>
          <w:vertAlign w:val="superscript"/>
        </w:rPr>
        <w:t>+</w:t>
      </w:r>
      <w:r w:rsidRPr="00834B42">
        <w:rPr>
          <w:rFonts w:ascii="Times New Roman" w:hAnsi="Times New Roman" w:cs="Times New Roman"/>
          <w:sz w:val="24"/>
          <w:szCs w:val="24"/>
        </w:rPr>
        <w:t xml:space="preserve"> which has a maximum of 62% around a pH of 3.1 ceases to exist above ~6.0 pH. </w:t>
      </w:r>
      <w:r>
        <w:rPr>
          <w:rFonts w:ascii="Times New Roman" w:hAnsi="Times New Roman" w:cs="Times New Roman"/>
          <w:sz w:val="24"/>
          <w:szCs w:val="24"/>
        </w:rPr>
        <w:t xml:space="preserve">  </w:t>
      </w:r>
      <w:r w:rsidRPr="00D479BC">
        <w:rPr>
          <w:rFonts w:ascii="Times New Roman" w:hAnsi="Times New Roman" w:cs="Times New Roman"/>
          <w:sz w:val="24"/>
          <w:szCs w:val="24"/>
        </w:rPr>
        <w:t>β</w:t>
      </w:r>
      <w:r w:rsidRPr="00D479BC">
        <w:rPr>
          <w:rFonts w:ascii="Times New Roman" w:hAnsi="Times New Roman" w:cs="Times New Roman"/>
          <w:sz w:val="24"/>
          <w:szCs w:val="24"/>
          <w:vertAlign w:val="subscript"/>
        </w:rPr>
        <w:t>011</w:t>
      </w:r>
      <w:r w:rsidRPr="00D479BC">
        <w:rPr>
          <w:rFonts w:ascii="Times New Roman" w:hAnsi="Times New Roman" w:cs="Times New Roman"/>
          <w:sz w:val="24"/>
          <w:szCs w:val="24"/>
        </w:rPr>
        <w:t xml:space="preserve"> and β</w:t>
      </w:r>
      <w:r w:rsidRPr="00D479BC">
        <w:rPr>
          <w:rFonts w:ascii="Times New Roman" w:hAnsi="Times New Roman" w:cs="Times New Roman"/>
          <w:sz w:val="24"/>
          <w:szCs w:val="24"/>
          <w:vertAlign w:val="subscript"/>
        </w:rPr>
        <w:t>012</w:t>
      </w:r>
      <w:r w:rsidRPr="00D479BC">
        <w:rPr>
          <w:rFonts w:ascii="Times New Roman" w:hAnsi="Times New Roman" w:cs="Times New Roman"/>
          <w:sz w:val="24"/>
          <w:szCs w:val="24"/>
        </w:rPr>
        <w:t xml:space="preserve"> are the formation constants (Figure </w:t>
      </w:r>
      <w:r w:rsidR="00195520">
        <w:rPr>
          <w:rFonts w:ascii="Times New Roman" w:hAnsi="Times New Roman" w:cs="Times New Roman"/>
          <w:sz w:val="24"/>
          <w:szCs w:val="24"/>
        </w:rPr>
        <w:lastRenderedPageBreak/>
        <w:t>5</w:t>
      </w:r>
      <w:r w:rsidRPr="00D479BC">
        <w:rPr>
          <w:rFonts w:ascii="Times New Roman" w:hAnsi="Times New Roman" w:cs="Times New Roman"/>
          <w:sz w:val="24"/>
          <w:szCs w:val="24"/>
        </w:rPr>
        <w:t xml:space="preserve">) of mono and biprotonated forms of SADH respectively, the protonation being at the terminal nitrogen atoms of the two hydrazide groups. </w:t>
      </w:r>
      <w:r>
        <w:rPr>
          <w:rFonts w:ascii="Times New Roman" w:hAnsi="Times New Roman" w:cs="Times New Roman"/>
          <w:sz w:val="24"/>
          <w:szCs w:val="24"/>
        </w:rPr>
        <w:t xml:space="preserve"> </w:t>
      </w:r>
    </w:p>
    <w:p w14:paraId="720A0E4F" w14:textId="77777777" w:rsidR="00D00B24" w:rsidRDefault="00D00B24" w:rsidP="00D00B24">
      <w:pPr>
        <w:spacing w:line="480" w:lineRule="auto"/>
        <w:ind w:firstLine="720"/>
        <w:jc w:val="center"/>
        <w:rPr>
          <w:rFonts w:ascii="Times New Roman" w:hAnsi="Times New Roman" w:cs="Times New Roman"/>
          <w:b/>
          <w:sz w:val="24"/>
          <w:szCs w:val="24"/>
        </w:rPr>
      </w:pPr>
      <w:r>
        <w:object w:dxaOrig="9449" w:dyaOrig="12011" w14:anchorId="72D442E2">
          <v:shape id="_x0000_i1028" type="#_x0000_t75" style="width:277.5pt;height:351.75pt" o:ole="">
            <v:imagedata r:id="rId17" o:title=""/>
          </v:shape>
          <o:OLEObject Type="Embed" ProgID="ChemDraw.Document.6.0" ShapeID="_x0000_i1028" DrawAspect="Content" ObjectID="_1756716895" r:id="rId18"/>
        </w:object>
      </w:r>
    </w:p>
    <w:p w14:paraId="06D3E137" w14:textId="7F8E5FBA" w:rsidR="00D00B24" w:rsidRDefault="00D00B24" w:rsidP="00D00B24">
      <w:pPr>
        <w:spacing w:after="0"/>
        <w:ind w:firstLine="720"/>
        <w:jc w:val="center"/>
        <w:rPr>
          <w:rStyle w:val="A0"/>
          <w:rFonts w:ascii="Times New Roman" w:hAnsi="Times New Roman" w:cs="Times New Roman"/>
          <w:sz w:val="24"/>
          <w:szCs w:val="24"/>
        </w:rPr>
      </w:pPr>
      <w:r>
        <w:rPr>
          <w:rStyle w:val="A0"/>
          <w:rFonts w:ascii="Times New Roman" w:hAnsi="Times New Roman" w:cs="Times New Roman"/>
          <w:b/>
          <w:sz w:val="24"/>
          <w:szCs w:val="24"/>
        </w:rPr>
        <w:t>Figure5</w:t>
      </w:r>
      <w:r w:rsidRPr="000F6456">
        <w:rPr>
          <w:rStyle w:val="A0"/>
          <w:rFonts w:ascii="Times New Roman" w:hAnsi="Times New Roman" w:cs="Times New Roman"/>
          <w:b/>
          <w:sz w:val="24"/>
          <w:szCs w:val="24"/>
        </w:rPr>
        <w:t xml:space="preserve">: </w:t>
      </w:r>
      <w:r w:rsidRPr="000F6456">
        <w:rPr>
          <w:rStyle w:val="A0"/>
          <w:rFonts w:ascii="Times New Roman" w:hAnsi="Times New Roman" w:cs="Times New Roman"/>
          <w:sz w:val="24"/>
          <w:szCs w:val="24"/>
        </w:rPr>
        <w:t xml:space="preserve">PROTONATION AND DEPROTONATION </w:t>
      </w:r>
    </w:p>
    <w:p w14:paraId="0973BFD8" w14:textId="77777777" w:rsidR="00D00B24" w:rsidRPr="000F6456" w:rsidRDefault="00D00B24" w:rsidP="00D00B24">
      <w:pPr>
        <w:spacing w:after="0"/>
        <w:ind w:firstLine="720"/>
        <w:jc w:val="center"/>
        <w:rPr>
          <w:rFonts w:ascii="Times New Roman" w:hAnsi="Times New Roman" w:cs="Times New Roman"/>
          <w:sz w:val="24"/>
          <w:szCs w:val="24"/>
        </w:rPr>
      </w:pPr>
      <w:r w:rsidRPr="000F6456">
        <w:rPr>
          <w:rStyle w:val="A0"/>
          <w:rFonts w:ascii="Times New Roman" w:hAnsi="Times New Roman" w:cs="Times New Roman"/>
          <w:sz w:val="24"/>
          <w:szCs w:val="24"/>
        </w:rPr>
        <w:t xml:space="preserve">EQUILIBRIA OF </w:t>
      </w:r>
      <w:r>
        <w:rPr>
          <w:rStyle w:val="A0"/>
          <w:rFonts w:ascii="Times New Roman" w:hAnsi="Times New Roman" w:cs="Times New Roman"/>
          <w:sz w:val="24"/>
          <w:szCs w:val="24"/>
        </w:rPr>
        <w:t>S</w:t>
      </w:r>
      <w:r w:rsidRPr="000F6456">
        <w:rPr>
          <w:rStyle w:val="A0"/>
          <w:rFonts w:ascii="Times New Roman" w:hAnsi="Times New Roman" w:cs="Times New Roman"/>
          <w:sz w:val="24"/>
          <w:szCs w:val="24"/>
        </w:rPr>
        <w:t>ADH</w:t>
      </w:r>
    </w:p>
    <w:p w14:paraId="3893722C" w14:textId="77777777" w:rsidR="00D00B24" w:rsidRDefault="00D00B24" w:rsidP="00D00B24">
      <w:pPr>
        <w:spacing w:after="0" w:line="240" w:lineRule="auto"/>
        <w:jc w:val="center"/>
        <w:rPr>
          <w:rFonts w:ascii="Times New Roman" w:hAnsi="Times New Roman" w:cs="Times New Roman"/>
          <w:b/>
          <w:sz w:val="24"/>
          <w:szCs w:val="24"/>
        </w:rPr>
      </w:pPr>
    </w:p>
    <w:p w14:paraId="0B8FDE60" w14:textId="77777777" w:rsidR="00D00B24" w:rsidRDefault="00D00B24" w:rsidP="00D00B24">
      <w:pPr>
        <w:spacing w:after="0" w:line="240" w:lineRule="auto"/>
        <w:jc w:val="center"/>
        <w:rPr>
          <w:rFonts w:ascii="Times New Roman" w:hAnsi="Times New Roman" w:cs="Times New Roman"/>
          <w:b/>
          <w:sz w:val="24"/>
          <w:szCs w:val="24"/>
        </w:rPr>
      </w:pPr>
    </w:p>
    <w:p w14:paraId="2952BAEE" w14:textId="0C901A45" w:rsidR="00D00B24" w:rsidRDefault="00D00B24" w:rsidP="00D00B24">
      <w:pPr>
        <w:spacing w:after="0" w:line="240" w:lineRule="auto"/>
        <w:jc w:val="center"/>
        <w:rPr>
          <w:rFonts w:ascii="Times New Roman" w:hAnsi="Times New Roman" w:cs="Times New Roman"/>
          <w:sz w:val="24"/>
          <w:szCs w:val="24"/>
        </w:rPr>
      </w:pPr>
      <w:r w:rsidRPr="00377912">
        <w:rPr>
          <w:rFonts w:ascii="Times New Roman" w:hAnsi="Times New Roman" w:cs="Times New Roman"/>
          <w:b/>
          <w:sz w:val="24"/>
          <w:szCs w:val="24"/>
        </w:rPr>
        <w:t>Table</w:t>
      </w:r>
      <w:r>
        <w:rPr>
          <w:rFonts w:ascii="Times New Roman" w:hAnsi="Times New Roman" w:cs="Times New Roman"/>
          <w:b/>
          <w:sz w:val="24"/>
          <w:szCs w:val="24"/>
        </w:rPr>
        <w:t>1</w:t>
      </w:r>
      <w:r w:rsidRPr="00377912">
        <w:rPr>
          <w:rFonts w:ascii="Times New Roman" w:hAnsi="Times New Roman" w:cs="Times New Roman"/>
          <w:b/>
          <w:sz w:val="24"/>
          <w:szCs w:val="24"/>
        </w:rPr>
        <w:t xml:space="preserve">:  </w:t>
      </w:r>
      <w:r w:rsidRPr="00377912">
        <w:rPr>
          <w:rFonts w:ascii="Times New Roman" w:hAnsi="Times New Roman" w:cs="Times New Roman"/>
          <w:sz w:val="24"/>
          <w:szCs w:val="24"/>
        </w:rPr>
        <w:t xml:space="preserve">Best fit chemical model for acido-basic equilibria of </w:t>
      </w:r>
      <w:r>
        <w:rPr>
          <w:rFonts w:ascii="Times New Roman" w:hAnsi="Times New Roman" w:cs="Times New Roman"/>
          <w:sz w:val="24"/>
          <w:szCs w:val="24"/>
        </w:rPr>
        <w:t>succinic</w:t>
      </w:r>
      <w:r w:rsidRPr="00377912">
        <w:rPr>
          <w:rFonts w:ascii="Times New Roman" w:hAnsi="Times New Roman" w:cs="Times New Roman"/>
          <w:sz w:val="24"/>
          <w:szCs w:val="24"/>
        </w:rPr>
        <w:t xml:space="preserve"> acid dihydrazide in aqueous medium.  Temp. = 30.0 ± 0.1°C</w:t>
      </w:r>
    </w:p>
    <w:p w14:paraId="65D9FCD3" w14:textId="77777777" w:rsidR="00D00B24" w:rsidRPr="00377912" w:rsidRDefault="00D00B24" w:rsidP="00D00B24">
      <w:pPr>
        <w:spacing w:after="0" w:line="240" w:lineRule="auto"/>
        <w:jc w:val="center"/>
        <w:rPr>
          <w:rFonts w:ascii="Times New Roman" w:hAnsi="Times New Roman" w:cs="Times New Roman"/>
          <w:sz w:val="24"/>
          <w:szCs w:val="24"/>
        </w:rPr>
      </w:pPr>
      <w:r w:rsidRPr="00377912">
        <w:rPr>
          <w:rFonts w:ascii="Times New Roman" w:hAnsi="Times New Roman" w:cs="Times New Roman"/>
          <w:sz w:val="24"/>
          <w:szCs w:val="24"/>
        </w:rPr>
        <w:t xml:space="preserve"> and ionic strength, </w:t>
      </w:r>
      <w:r w:rsidRPr="00377912">
        <w:rPr>
          <w:rFonts w:ascii="Times New Roman" w:hAnsi="Times New Roman" w:cs="Times New Roman"/>
          <w:i/>
          <w:sz w:val="24"/>
          <w:szCs w:val="24"/>
        </w:rPr>
        <w:t>I</w:t>
      </w:r>
      <w:r w:rsidRPr="00377912">
        <w:rPr>
          <w:rFonts w:ascii="Times New Roman" w:hAnsi="Times New Roman" w:cs="Times New Roman"/>
          <w:sz w:val="24"/>
          <w:szCs w:val="24"/>
        </w:rPr>
        <w:t xml:space="preserve"> = 0.1 mol dm</w:t>
      </w:r>
      <w:r w:rsidRPr="00377912">
        <w:rPr>
          <w:rFonts w:ascii="Times New Roman" w:hAnsi="Times New Roman" w:cs="Times New Roman"/>
          <w:sz w:val="24"/>
          <w:szCs w:val="24"/>
          <w:vertAlign w:val="superscript"/>
        </w:rPr>
        <w:t>–3</w:t>
      </w:r>
      <w:r w:rsidRPr="00377912">
        <w:rPr>
          <w:rFonts w:ascii="Times New Roman" w:hAnsi="Times New Roman" w:cs="Times New Roman"/>
          <w:sz w:val="24"/>
          <w:szCs w:val="24"/>
        </w:rPr>
        <w:t> (NaCl)</w:t>
      </w:r>
    </w:p>
    <w:tbl>
      <w:tblPr>
        <w:tblStyle w:val="TableGrid"/>
        <w:tblpPr w:leftFromText="180" w:rightFromText="180" w:vertAnchor="text" w:horzAnchor="margin" w:tblpXSpec="center" w:tblpY="4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530"/>
        <w:gridCol w:w="1800"/>
        <w:gridCol w:w="1710"/>
        <w:gridCol w:w="990"/>
      </w:tblGrid>
      <w:tr w:rsidR="00D00B24" w:rsidRPr="00377912" w14:paraId="56514270" w14:textId="77777777" w:rsidTr="000D2B1D">
        <w:tc>
          <w:tcPr>
            <w:tcW w:w="1188" w:type="dxa"/>
          </w:tcPr>
          <w:p w14:paraId="76C5059D"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Species</w:t>
            </w:r>
          </w:p>
          <w:p w14:paraId="7F754580" w14:textId="77777777" w:rsidR="00D00B24" w:rsidRPr="00377912" w:rsidRDefault="00D00B24" w:rsidP="000D2B1D">
            <w:pPr>
              <w:jc w:val="center"/>
              <w:rPr>
                <w:rFonts w:ascii="Times New Roman" w:hAnsi="Times New Roman" w:cs="Times New Roman"/>
                <w:i/>
                <w:sz w:val="24"/>
                <w:szCs w:val="24"/>
              </w:rPr>
            </w:pPr>
            <w:r w:rsidRPr="00377912">
              <w:rPr>
                <w:rFonts w:ascii="Times New Roman" w:hAnsi="Times New Roman" w:cs="Times New Roman"/>
                <w:i/>
                <w:sz w:val="24"/>
                <w:szCs w:val="24"/>
              </w:rPr>
              <w:t>mlh</w:t>
            </w:r>
          </w:p>
        </w:tc>
        <w:tc>
          <w:tcPr>
            <w:tcW w:w="1530" w:type="dxa"/>
          </w:tcPr>
          <w:p w14:paraId="50F84E3D"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L</w:t>
            </w:r>
            <w:r w:rsidRPr="00377912">
              <w:rPr>
                <w:rFonts w:ascii="Times New Roman" w:hAnsi="Times New Roman" w:cs="Times New Roman"/>
                <w:i/>
                <w:sz w:val="24"/>
                <w:szCs w:val="24"/>
              </w:rPr>
              <w:t>og β</w:t>
            </w:r>
            <w:r w:rsidRPr="00377912">
              <w:rPr>
                <w:rFonts w:ascii="Times New Roman" w:hAnsi="Times New Roman" w:cs="Times New Roman"/>
                <w:i/>
                <w:sz w:val="24"/>
                <w:szCs w:val="24"/>
                <w:vertAlign w:val="subscript"/>
              </w:rPr>
              <w:t xml:space="preserve">0lh </w:t>
            </w:r>
            <w:r w:rsidRPr="00377912">
              <w:rPr>
                <w:rFonts w:ascii="Times New Roman" w:hAnsi="Times New Roman" w:cs="Times New Roman"/>
                <w:i/>
                <w:sz w:val="24"/>
                <w:szCs w:val="24"/>
              </w:rPr>
              <w:t>(SD)</w:t>
            </w:r>
          </w:p>
        </w:tc>
        <w:tc>
          <w:tcPr>
            <w:tcW w:w="1800" w:type="dxa"/>
          </w:tcPr>
          <w:p w14:paraId="60DE550C"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Number of experimental points analysed</w:t>
            </w:r>
          </w:p>
        </w:tc>
        <w:tc>
          <w:tcPr>
            <w:tcW w:w="1710" w:type="dxa"/>
          </w:tcPr>
          <w:p w14:paraId="4C7193DC" w14:textId="77777777" w:rsidR="00D00B24" w:rsidRPr="00377912" w:rsidRDefault="00D00B24" w:rsidP="000D2B1D">
            <w:pPr>
              <w:jc w:val="center"/>
              <w:rPr>
                <w:rFonts w:ascii="Times New Roman" w:hAnsi="Times New Roman" w:cs="Times New Roman"/>
                <w:sz w:val="24"/>
                <w:szCs w:val="24"/>
                <w:vertAlign w:val="superscript"/>
              </w:rPr>
            </w:pPr>
            <w:r w:rsidRPr="00377912">
              <w:rPr>
                <w:rFonts w:ascii="Times New Roman" w:hAnsi="Times New Roman" w:cs="Times New Roman"/>
                <w:sz w:val="24"/>
                <w:szCs w:val="24"/>
              </w:rPr>
              <w:t xml:space="preserve">Sum of the squares of residuals, U </w:t>
            </w:r>
          </w:p>
        </w:tc>
        <w:tc>
          <w:tcPr>
            <w:tcW w:w="990" w:type="dxa"/>
          </w:tcPr>
          <w:p w14:paraId="3C424B58"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χ</w:t>
            </w:r>
            <w:r w:rsidRPr="00377912">
              <w:rPr>
                <w:rFonts w:ascii="Times New Roman" w:hAnsi="Times New Roman" w:cs="Times New Roman"/>
                <w:sz w:val="24"/>
                <w:szCs w:val="24"/>
                <w:vertAlign w:val="superscript"/>
              </w:rPr>
              <w:t>2</w:t>
            </w:r>
          </w:p>
        </w:tc>
      </w:tr>
      <w:tr w:rsidR="00D00B24" w:rsidRPr="00377912" w14:paraId="2EEB4BAA" w14:textId="77777777" w:rsidTr="000D2B1D">
        <w:tc>
          <w:tcPr>
            <w:tcW w:w="1188" w:type="dxa"/>
          </w:tcPr>
          <w:p w14:paraId="066EA9DE"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011</w:t>
            </w:r>
          </w:p>
        </w:tc>
        <w:tc>
          <w:tcPr>
            <w:tcW w:w="1530" w:type="dxa"/>
          </w:tcPr>
          <w:p w14:paraId="5E7761B1" w14:textId="77777777" w:rsidR="00D00B24" w:rsidRPr="004D2880" w:rsidRDefault="00D00B24" w:rsidP="000D2B1D">
            <w:pPr>
              <w:jc w:val="center"/>
              <w:rPr>
                <w:rFonts w:ascii="Times New Roman" w:hAnsi="Times New Roman" w:cs="Times New Roman"/>
              </w:rPr>
            </w:pPr>
            <w:r>
              <w:rPr>
                <w:rFonts w:ascii="Times New Roman" w:eastAsia="MS Mincho" w:hAnsi="Times New Roman" w:cs="Times New Roman"/>
              </w:rPr>
              <w:t xml:space="preserve">   3.58 (2)</w:t>
            </w:r>
          </w:p>
        </w:tc>
        <w:tc>
          <w:tcPr>
            <w:tcW w:w="1800" w:type="dxa"/>
            <w:vMerge w:val="restart"/>
          </w:tcPr>
          <w:p w14:paraId="24EBBE69" w14:textId="77777777" w:rsidR="00D00B24" w:rsidRPr="005C03AD" w:rsidRDefault="00D00B24" w:rsidP="000D2B1D">
            <w:pPr>
              <w:rPr>
                <w:rFonts w:ascii="Times New Roman" w:hAnsi="Times New Roman" w:cs="Times New Roman"/>
                <w:color w:val="FF0000"/>
                <w:sz w:val="24"/>
                <w:szCs w:val="24"/>
              </w:rPr>
            </w:pPr>
          </w:p>
          <w:p w14:paraId="02F48655" w14:textId="77777777" w:rsidR="00D00B24" w:rsidRPr="004D2880" w:rsidRDefault="00D00B24" w:rsidP="000D2B1D">
            <w:pPr>
              <w:jc w:val="center"/>
              <w:rPr>
                <w:rFonts w:ascii="Times New Roman" w:hAnsi="Times New Roman" w:cs="Times New Roman"/>
                <w:sz w:val="24"/>
                <w:szCs w:val="24"/>
              </w:rPr>
            </w:pPr>
            <w:r w:rsidRPr="004D2880">
              <w:rPr>
                <w:rFonts w:ascii="Times New Roman" w:hAnsi="Times New Roman" w:cs="Times New Roman"/>
                <w:sz w:val="24"/>
                <w:szCs w:val="24"/>
              </w:rPr>
              <w:t>110</w:t>
            </w:r>
          </w:p>
        </w:tc>
        <w:tc>
          <w:tcPr>
            <w:tcW w:w="1710" w:type="dxa"/>
            <w:vMerge w:val="restart"/>
          </w:tcPr>
          <w:p w14:paraId="79D22997" w14:textId="77777777" w:rsidR="00D00B24" w:rsidRPr="005C03AD" w:rsidRDefault="00D00B24" w:rsidP="000D2B1D">
            <w:pPr>
              <w:rPr>
                <w:rFonts w:ascii="Times New Roman" w:hAnsi="Times New Roman" w:cs="Times New Roman"/>
                <w:color w:val="FF0000"/>
                <w:sz w:val="24"/>
                <w:szCs w:val="24"/>
              </w:rPr>
            </w:pPr>
          </w:p>
          <w:p w14:paraId="0E928756" w14:textId="77777777" w:rsidR="00D00B24" w:rsidRPr="004D2880" w:rsidRDefault="00D00B24" w:rsidP="000D2B1D">
            <w:pPr>
              <w:jc w:val="center"/>
              <w:rPr>
                <w:rFonts w:ascii="Times New Roman" w:hAnsi="Times New Roman" w:cs="Times New Roman"/>
                <w:sz w:val="24"/>
                <w:szCs w:val="24"/>
              </w:rPr>
            </w:pPr>
            <w:r>
              <w:rPr>
                <w:rFonts w:ascii="Times New Roman" w:hAnsi="Times New Roman" w:cs="Times New Roman"/>
                <w:sz w:val="24"/>
                <w:szCs w:val="24"/>
              </w:rPr>
              <w:t>1.642</w:t>
            </w:r>
            <w:r w:rsidRPr="004D2880">
              <w:rPr>
                <w:rFonts w:ascii="Times New Roman" w:hAnsi="Times New Roman" w:cs="Times New Roman"/>
                <w:sz w:val="24"/>
                <w:szCs w:val="24"/>
              </w:rPr>
              <w:t xml:space="preserve"> X 10</w:t>
            </w:r>
            <w:r w:rsidRPr="004D2880">
              <w:rPr>
                <w:rFonts w:ascii="Times New Roman" w:hAnsi="Times New Roman" w:cs="Times New Roman"/>
                <w:sz w:val="24"/>
                <w:szCs w:val="24"/>
                <w:vertAlign w:val="superscript"/>
              </w:rPr>
              <w:t>-8</w:t>
            </w:r>
          </w:p>
        </w:tc>
        <w:tc>
          <w:tcPr>
            <w:tcW w:w="990" w:type="dxa"/>
            <w:vMerge w:val="restart"/>
          </w:tcPr>
          <w:p w14:paraId="265EB401" w14:textId="77777777" w:rsidR="00D00B24" w:rsidRPr="005C03AD" w:rsidRDefault="00D00B24" w:rsidP="000D2B1D">
            <w:pPr>
              <w:rPr>
                <w:rFonts w:ascii="Times New Roman" w:hAnsi="Times New Roman" w:cs="Times New Roman"/>
                <w:color w:val="FF0000"/>
                <w:sz w:val="24"/>
                <w:szCs w:val="24"/>
              </w:rPr>
            </w:pPr>
          </w:p>
          <w:p w14:paraId="1A2C41F6" w14:textId="77777777" w:rsidR="00D00B24" w:rsidRPr="004D2880" w:rsidRDefault="00D00B24" w:rsidP="000D2B1D">
            <w:pPr>
              <w:jc w:val="center"/>
              <w:rPr>
                <w:rFonts w:ascii="Times New Roman" w:hAnsi="Times New Roman" w:cs="Times New Roman"/>
                <w:sz w:val="24"/>
                <w:szCs w:val="24"/>
              </w:rPr>
            </w:pPr>
            <w:r w:rsidRPr="004D2880">
              <w:rPr>
                <w:rFonts w:ascii="Times New Roman" w:hAnsi="Times New Roman" w:cs="Times New Roman"/>
                <w:sz w:val="24"/>
                <w:szCs w:val="24"/>
              </w:rPr>
              <w:t>12.34</w:t>
            </w:r>
          </w:p>
        </w:tc>
      </w:tr>
      <w:tr w:rsidR="00D00B24" w:rsidRPr="00377912" w14:paraId="2184BFD1" w14:textId="77777777" w:rsidTr="000D2B1D">
        <w:tc>
          <w:tcPr>
            <w:tcW w:w="1188" w:type="dxa"/>
          </w:tcPr>
          <w:p w14:paraId="13C295AC"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012</w:t>
            </w:r>
          </w:p>
        </w:tc>
        <w:tc>
          <w:tcPr>
            <w:tcW w:w="1530" w:type="dxa"/>
          </w:tcPr>
          <w:p w14:paraId="2AF4A3F4" w14:textId="77777777" w:rsidR="00D00B24" w:rsidRPr="004D2880" w:rsidRDefault="00D00B24" w:rsidP="000D2B1D">
            <w:pPr>
              <w:jc w:val="center"/>
              <w:rPr>
                <w:rFonts w:ascii="Times New Roman" w:hAnsi="Times New Roman" w:cs="Times New Roman"/>
              </w:rPr>
            </w:pPr>
            <w:r>
              <w:rPr>
                <w:rFonts w:ascii="Times New Roman" w:hAnsi="Times New Roman" w:cs="Times New Roman"/>
              </w:rPr>
              <w:t xml:space="preserve">   </w:t>
            </w:r>
            <w:r w:rsidRPr="004D2880">
              <w:rPr>
                <w:rFonts w:ascii="Times New Roman" w:hAnsi="Times New Roman" w:cs="Times New Roman"/>
              </w:rPr>
              <w:t>6.1</w:t>
            </w:r>
            <w:r>
              <w:rPr>
                <w:rFonts w:ascii="Times New Roman" w:hAnsi="Times New Roman" w:cs="Times New Roman"/>
              </w:rPr>
              <w:t>4 (2)</w:t>
            </w:r>
          </w:p>
        </w:tc>
        <w:tc>
          <w:tcPr>
            <w:tcW w:w="1800" w:type="dxa"/>
            <w:vMerge/>
          </w:tcPr>
          <w:p w14:paraId="06429186" w14:textId="77777777" w:rsidR="00D00B24" w:rsidRPr="005C03AD" w:rsidRDefault="00D00B24" w:rsidP="000D2B1D">
            <w:pPr>
              <w:rPr>
                <w:rFonts w:ascii="Times New Roman" w:hAnsi="Times New Roman" w:cs="Times New Roman"/>
                <w:color w:val="FF0000"/>
                <w:sz w:val="24"/>
                <w:szCs w:val="24"/>
              </w:rPr>
            </w:pPr>
          </w:p>
        </w:tc>
        <w:tc>
          <w:tcPr>
            <w:tcW w:w="1710" w:type="dxa"/>
            <w:vMerge/>
          </w:tcPr>
          <w:p w14:paraId="42D578E7" w14:textId="77777777" w:rsidR="00D00B24" w:rsidRPr="005C03AD" w:rsidRDefault="00D00B24" w:rsidP="000D2B1D">
            <w:pPr>
              <w:rPr>
                <w:rFonts w:ascii="Times New Roman" w:hAnsi="Times New Roman" w:cs="Times New Roman"/>
                <w:color w:val="FF0000"/>
                <w:sz w:val="24"/>
                <w:szCs w:val="24"/>
              </w:rPr>
            </w:pPr>
          </w:p>
        </w:tc>
        <w:tc>
          <w:tcPr>
            <w:tcW w:w="990" w:type="dxa"/>
            <w:vMerge/>
          </w:tcPr>
          <w:p w14:paraId="128C0ABD" w14:textId="77777777" w:rsidR="00D00B24" w:rsidRPr="005C03AD" w:rsidRDefault="00D00B24" w:rsidP="000D2B1D">
            <w:pPr>
              <w:rPr>
                <w:rFonts w:ascii="Times New Roman" w:hAnsi="Times New Roman" w:cs="Times New Roman"/>
                <w:color w:val="FF0000"/>
                <w:sz w:val="24"/>
                <w:szCs w:val="24"/>
              </w:rPr>
            </w:pPr>
          </w:p>
        </w:tc>
      </w:tr>
      <w:tr w:rsidR="00D00B24" w:rsidRPr="00377912" w14:paraId="697C64AC" w14:textId="77777777" w:rsidTr="000D2B1D">
        <w:tc>
          <w:tcPr>
            <w:tcW w:w="1188" w:type="dxa"/>
          </w:tcPr>
          <w:p w14:paraId="7CBF6F84"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 xml:space="preserve"> 01-1</w:t>
            </w:r>
          </w:p>
        </w:tc>
        <w:tc>
          <w:tcPr>
            <w:tcW w:w="1530" w:type="dxa"/>
          </w:tcPr>
          <w:p w14:paraId="57261CCE" w14:textId="77777777" w:rsidR="00D00B24" w:rsidRPr="004D2880" w:rsidRDefault="00D00B24" w:rsidP="000D2B1D">
            <w:pPr>
              <w:jc w:val="center"/>
              <w:rPr>
                <w:rFonts w:ascii="Times New Roman" w:hAnsi="Times New Roman" w:cs="Times New Roman"/>
              </w:rPr>
            </w:pPr>
            <w:r w:rsidRPr="004D2880">
              <w:rPr>
                <w:rFonts w:ascii="Times New Roman" w:hAnsi="Times New Roman" w:cs="Times New Roman"/>
              </w:rPr>
              <w:t>-11.91 (3)</w:t>
            </w:r>
          </w:p>
        </w:tc>
        <w:tc>
          <w:tcPr>
            <w:tcW w:w="1800" w:type="dxa"/>
            <w:vMerge/>
          </w:tcPr>
          <w:p w14:paraId="6C2BDC6E" w14:textId="77777777" w:rsidR="00D00B24" w:rsidRPr="005C03AD" w:rsidRDefault="00D00B24" w:rsidP="000D2B1D">
            <w:pPr>
              <w:rPr>
                <w:rFonts w:ascii="Times New Roman" w:hAnsi="Times New Roman" w:cs="Times New Roman"/>
                <w:color w:val="FF0000"/>
                <w:sz w:val="24"/>
                <w:szCs w:val="24"/>
              </w:rPr>
            </w:pPr>
          </w:p>
        </w:tc>
        <w:tc>
          <w:tcPr>
            <w:tcW w:w="1710" w:type="dxa"/>
            <w:vMerge/>
          </w:tcPr>
          <w:p w14:paraId="69B460BE" w14:textId="77777777" w:rsidR="00D00B24" w:rsidRPr="005C03AD" w:rsidRDefault="00D00B24" w:rsidP="000D2B1D">
            <w:pPr>
              <w:rPr>
                <w:rFonts w:ascii="Times New Roman" w:hAnsi="Times New Roman" w:cs="Times New Roman"/>
                <w:color w:val="FF0000"/>
                <w:sz w:val="24"/>
                <w:szCs w:val="24"/>
              </w:rPr>
            </w:pPr>
          </w:p>
        </w:tc>
        <w:tc>
          <w:tcPr>
            <w:tcW w:w="990" w:type="dxa"/>
            <w:vMerge/>
          </w:tcPr>
          <w:p w14:paraId="47F051BC" w14:textId="77777777" w:rsidR="00D00B24" w:rsidRPr="005C03AD" w:rsidRDefault="00D00B24" w:rsidP="000D2B1D">
            <w:pPr>
              <w:rPr>
                <w:rFonts w:ascii="Times New Roman" w:hAnsi="Times New Roman" w:cs="Times New Roman"/>
                <w:color w:val="FF0000"/>
                <w:sz w:val="24"/>
                <w:szCs w:val="24"/>
              </w:rPr>
            </w:pPr>
          </w:p>
        </w:tc>
      </w:tr>
    </w:tbl>
    <w:p w14:paraId="642F1058" w14:textId="77777777" w:rsidR="00D00B24" w:rsidRPr="00702B0B" w:rsidRDefault="00D00B24" w:rsidP="00D00B24">
      <w:pPr>
        <w:spacing w:line="480" w:lineRule="auto"/>
        <w:ind w:firstLine="720"/>
        <w:jc w:val="both"/>
        <w:rPr>
          <w:rFonts w:ascii="Times New Roman" w:hAnsi="Times New Roman" w:cs="Times New Roman"/>
          <w:sz w:val="24"/>
          <w:szCs w:val="24"/>
        </w:rPr>
      </w:pPr>
      <w:r w:rsidRPr="00702B0B">
        <w:rPr>
          <w:rFonts w:ascii="Times New Roman" w:hAnsi="Times New Roman" w:cs="Times New Roman"/>
          <w:sz w:val="24"/>
          <w:szCs w:val="24"/>
        </w:rPr>
        <w:t>Up to ~99% of the ligand is</w:t>
      </w:r>
      <w:r>
        <w:rPr>
          <w:rFonts w:ascii="Times New Roman" w:hAnsi="Times New Roman" w:cs="Times New Roman"/>
          <w:sz w:val="24"/>
          <w:szCs w:val="24"/>
        </w:rPr>
        <w:t xml:space="preserve"> in</w:t>
      </w:r>
      <w:r w:rsidRPr="00702B0B">
        <w:rPr>
          <w:rFonts w:ascii="Times New Roman" w:hAnsi="Times New Roman" w:cs="Times New Roman"/>
          <w:sz w:val="24"/>
          <w:szCs w:val="24"/>
        </w:rPr>
        <w:t xml:space="preserve"> neutral form between 6.0 and 9.0 pH.  In basic medium hydrazides are prone to lose a proton from the enolic form. As SADH contains two hydrazide groups, there is a probability of losing two enolic protons at higher pH.   </w:t>
      </w:r>
      <w:r w:rsidRPr="00702B0B">
        <w:rPr>
          <w:rFonts w:ascii="Times New Roman" w:hAnsi="Times New Roman" w:cs="Times New Roman"/>
          <w:sz w:val="24"/>
          <w:szCs w:val="24"/>
        </w:rPr>
        <w:lastRenderedPageBreak/>
        <w:t>The formation constant, β</w:t>
      </w:r>
      <w:r w:rsidRPr="00702B0B">
        <w:rPr>
          <w:rFonts w:ascii="Times New Roman" w:hAnsi="Times New Roman" w:cs="Times New Roman"/>
          <w:sz w:val="24"/>
          <w:szCs w:val="24"/>
          <w:vertAlign w:val="subscript"/>
        </w:rPr>
        <w:t>01-1</w:t>
      </w:r>
      <w:r w:rsidRPr="00702B0B">
        <w:rPr>
          <w:rFonts w:ascii="Times New Roman" w:hAnsi="Times New Roman" w:cs="Times New Roman"/>
          <w:sz w:val="24"/>
          <w:szCs w:val="24"/>
        </w:rPr>
        <w:t xml:space="preserve"> in the best-fit model corresponds to the deprotonation of one of the enolic protons leading to the formation of LH</w:t>
      </w:r>
      <w:r w:rsidRPr="00702B0B">
        <w:rPr>
          <w:rFonts w:ascii="Times New Roman" w:hAnsi="Times New Roman" w:cs="Times New Roman"/>
          <w:sz w:val="24"/>
          <w:szCs w:val="24"/>
          <w:vertAlign w:val="subscript"/>
        </w:rPr>
        <w:t>-1</w:t>
      </w:r>
      <w:r w:rsidRPr="00702B0B">
        <w:rPr>
          <w:rFonts w:ascii="Times New Roman" w:hAnsi="Times New Roman" w:cs="Times New Roman"/>
          <w:sz w:val="24"/>
          <w:szCs w:val="24"/>
        </w:rPr>
        <w:t xml:space="preserve"> species.  This species appears in the solution above a pH of ~9.0 and represents </w:t>
      </w:r>
      <w:r>
        <w:rPr>
          <w:rFonts w:ascii="Times New Roman" w:hAnsi="Times New Roman" w:cs="Times New Roman"/>
          <w:sz w:val="24"/>
          <w:szCs w:val="24"/>
        </w:rPr>
        <w:t>49</w:t>
      </w:r>
      <w:r w:rsidRPr="00702B0B">
        <w:rPr>
          <w:rFonts w:ascii="Times New Roman" w:hAnsi="Times New Roman" w:cs="Times New Roman"/>
          <w:sz w:val="24"/>
          <w:szCs w:val="24"/>
        </w:rPr>
        <w:t>% of the total ligand at a pH of 11.</w:t>
      </w:r>
      <w:r>
        <w:rPr>
          <w:rFonts w:ascii="Times New Roman" w:hAnsi="Times New Roman" w:cs="Times New Roman"/>
          <w:sz w:val="24"/>
          <w:szCs w:val="24"/>
        </w:rPr>
        <w:t>5</w:t>
      </w:r>
      <w:r w:rsidRPr="00702B0B">
        <w:rPr>
          <w:rFonts w:ascii="Times New Roman" w:hAnsi="Times New Roman" w:cs="Times New Roman"/>
          <w:sz w:val="24"/>
          <w:szCs w:val="24"/>
        </w:rPr>
        <w:t>.  The formation constant, β</w:t>
      </w:r>
      <w:r w:rsidRPr="00702B0B">
        <w:rPr>
          <w:rFonts w:ascii="Times New Roman" w:hAnsi="Times New Roman" w:cs="Times New Roman"/>
          <w:sz w:val="24"/>
          <w:szCs w:val="24"/>
          <w:vertAlign w:val="subscript"/>
        </w:rPr>
        <w:t>01-2</w:t>
      </w:r>
      <w:r w:rsidRPr="00702B0B">
        <w:rPr>
          <w:rFonts w:ascii="Times New Roman" w:hAnsi="Times New Roman" w:cs="Times New Roman"/>
          <w:sz w:val="24"/>
          <w:szCs w:val="24"/>
        </w:rPr>
        <w:t xml:space="preserve"> which corresponds to the deprotonation of the second enolic group leading to the formation of LH</w:t>
      </w:r>
      <w:r w:rsidRPr="00702B0B">
        <w:rPr>
          <w:rFonts w:ascii="Times New Roman" w:hAnsi="Times New Roman" w:cs="Times New Roman"/>
          <w:sz w:val="24"/>
          <w:szCs w:val="24"/>
          <w:vertAlign w:val="subscript"/>
        </w:rPr>
        <w:t>-2</w:t>
      </w:r>
      <w:r w:rsidRPr="00702B0B">
        <w:rPr>
          <w:rFonts w:ascii="Times New Roman" w:hAnsi="Times New Roman" w:cs="Times New Roman"/>
          <w:sz w:val="24"/>
          <w:szCs w:val="24"/>
        </w:rPr>
        <w:t>, was not converged.  This is because its equilibrium may lie well above the pH range of the study. However, in the presence of a metal ion the ligand may also lose the second enolic proton forming both deprotonated M</w:t>
      </w:r>
      <w:r w:rsidRPr="00702B0B">
        <w:rPr>
          <w:rFonts w:ascii="Times New Roman" w:hAnsi="Times New Roman" w:cs="Times New Roman"/>
          <w:sz w:val="24"/>
          <w:szCs w:val="24"/>
          <w:vertAlign w:val="subscript"/>
        </w:rPr>
        <w:t>m</w:t>
      </w:r>
      <w:r w:rsidRPr="00702B0B">
        <w:rPr>
          <w:rFonts w:ascii="Times New Roman" w:hAnsi="Times New Roman" w:cs="Times New Roman"/>
          <w:sz w:val="24"/>
          <w:szCs w:val="24"/>
        </w:rPr>
        <w:t>L</w:t>
      </w:r>
      <w:r w:rsidRPr="00702B0B">
        <w:rPr>
          <w:rFonts w:ascii="Times New Roman" w:hAnsi="Times New Roman" w:cs="Times New Roman"/>
          <w:i/>
          <w:sz w:val="24"/>
          <w:szCs w:val="24"/>
          <w:vertAlign w:val="subscript"/>
        </w:rPr>
        <w:t>l</w:t>
      </w:r>
      <w:r w:rsidRPr="00702B0B">
        <w:rPr>
          <w:rFonts w:ascii="Times New Roman" w:hAnsi="Times New Roman" w:cs="Times New Roman"/>
          <w:sz w:val="24"/>
          <w:szCs w:val="24"/>
        </w:rPr>
        <w:t>H</w:t>
      </w:r>
      <w:r w:rsidRPr="00702B0B">
        <w:rPr>
          <w:rFonts w:ascii="Times New Roman" w:hAnsi="Times New Roman" w:cs="Times New Roman"/>
          <w:sz w:val="24"/>
          <w:szCs w:val="24"/>
          <w:vertAlign w:val="subscript"/>
        </w:rPr>
        <w:t xml:space="preserve">-1 </w:t>
      </w:r>
      <w:r w:rsidRPr="00702B0B">
        <w:rPr>
          <w:rFonts w:ascii="Times New Roman" w:hAnsi="Times New Roman" w:cs="Times New Roman"/>
          <w:sz w:val="24"/>
          <w:szCs w:val="24"/>
        </w:rPr>
        <w:t>and M</w:t>
      </w:r>
      <w:r w:rsidRPr="00702B0B">
        <w:rPr>
          <w:rFonts w:ascii="Times New Roman" w:hAnsi="Times New Roman" w:cs="Times New Roman"/>
          <w:sz w:val="24"/>
          <w:szCs w:val="24"/>
          <w:vertAlign w:val="subscript"/>
        </w:rPr>
        <w:t>m</w:t>
      </w:r>
      <w:r w:rsidRPr="00702B0B">
        <w:rPr>
          <w:rFonts w:ascii="Times New Roman" w:hAnsi="Times New Roman" w:cs="Times New Roman"/>
          <w:sz w:val="24"/>
          <w:szCs w:val="24"/>
        </w:rPr>
        <w:t>L</w:t>
      </w:r>
      <w:r w:rsidRPr="00702B0B">
        <w:rPr>
          <w:rFonts w:ascii="Times New Roman" w:hAnsi="Times New Roman" w:cs="Times New Roman"/>
          <w:i/>
          <w:sz w:val="24"/>
          <w:szCs w:val="24"/>
          <w:vertAlign w:val="subscript"/>
        </w:rPr>
        <w:t>l</w:t>
      </w:r>
      <w:r w:rsidRPr="00702B0B">
        <w:rPr>
          <w:rFonts w:ascii="Times New Roman" w:hAnsi="Times New Roman" w:cs="Times New Roman"/>
          <w:sz w:val="24"/>
          <w:szCs w:val="24"/>
        </w:rPr>
        <w:t>H</w:t>
      </w:r>
      <w:r w:rsidRPr="00702B0B">
        <w:rPr>
          <w:rFonts w:ascii="Times New Roman" w:hAnsi="Times New Roman" w:cs="Times New Roman"/>
          <w:sz w:val="24"/>
          <w:szCs w:val="24"/>
          <w:vertAlign w:val="subscript"/>
        </w:rPr>
        <w:t>-2</w:t>
      </w:r>
      <w:r w:rsidRPr="00702B0B">
        <w:rPr>
          <w:rFonts w:ascii="Times New Roman" w:hAnsi="Times New Roman" w:cs="Times New Roman"/>
          <w:sz w:val="24"/>
          <w:szCs w:val="24"/>
        </w:rPr>
        <w:t xml:space="preserve"> type of species.  </w:t>
      </w:r>
    </w:p>
    <w:p w14:paraId="7C92F574" w14:textId="5F8020FA" w:rsidR="00D00B24" w:rsidRDefault="00D00B24" w:rsidP="00D00B24">
      <w:pPr>
        <w:autoSpaceDE w:val="0"/>
        <w:autoSpaceDN w:val="0"/>
        <w:adjustRightInd w:val="0"/>
        <w:spacing w:line="480" w:lineRule="auto"/>
        <w:jc w:val="both"/>
        <w:rPr>
          <w:rFonts w:ascii="Times New Roman" w:hAnsi="Times New Roman" w:cs="Times New Roman"/>
          <w:sz w:val="24"/>
          <w:szCs w:val="24"/>
        </w:rPr>
      </w:pPr>
      <w:r w:rsidRPr="00B21091">
        <w:rPr>
          <w:rFonts w:ascii="Times New Roman" w:hAnsi="Times New Roman" w:cs="Times New Roman"/>
          <w:sz w:val="24"/>
          <w:szCs w:val="24"/>
        </w:rPr>
        <w:tab/>
        <w:t xml:space="preserve">The best-fit model and the corresponding protonation and deprotonation equilibria of </w:t>
      </w:r>
      <w:r>
        <w:rPr>
          <w:rFonts w:ascii="Times New Roman" w:hAnsi="Times New Roman" w:cs="Times New Roman"/>
          <w:sz w:val="24"/>
          <w:szCs w:val="24"/>
        </w:rPr>
        <w:t xml:space="preserve">AADH are shown in </w:t>
      </w:r>
      <w:r w:rsidRPr="00B21091">
        <w:rPr>
          <w:rFonts w:ascii="Times New Roman" w:hAnsi="Times New Roman" w:cs="Times New Roman"/>
          <w:sz w:val="24"/>
          <w:szCs w:val="24"/>
        </w:rPr>
        <w:t>Table</w:t>
      </w:r>
      <w:r w:rsidR="00E15B52">
        <w:rPr>
          <w:rFonts w:ascii="Times New Roman" w:hAnsi="Times New Roman" w:cs="Times New Roman"/>
          <w:sz w:val="24"/>
          <w:szCs w:val="24"/>
        </w:rPr>
        <w:t xml:space="preserve"> </w:t>
      </w:r>
      <w:r w:rsidRPr="00B21091">
        <w:rPr>
          <w:rFonts w:ascii="Times New Roman" w:hAnsi="Times New Roman" w:cs="Times New Roman"/>
          <w:sz w:val="24"/>
          <w:szCs w:val="24"/>
        </w:rPr>
        <w:t xml:space="preserve">2 </w:t>
      </w:r>
      <w:r>
        <w:rPr>
          <w:rFonts w:ascii="Times New Roman" w:hAnsi="Times New Roman" w:cs="Times New Roman"/>
          <w:sz w:val="24"/>
          <w:szCs w:val="24"/>
        </w:rPr>
        <w:t>and Figure</w:t>
      </w:r>
      <w:r w:rsidR="00E15B52">
        <w:rPr>
          <w:rFonts w:ascii="Times New Roman" w:hAnsi="Times New Roman" w:cs="Times New Roman"/>
          <w:sz w:val="24"/>
          <w:szCs w:val="24"/>
        </w:rPr>
        <w:t xml:space="preserve"> </w:t>
      </w:r>
      <w:r>
        <w:rPr>
          <w:rFonts w:ascii="Times New Roman" w:hAnsi="Times New Roman" w:cs="Times New Roman"/>
          <w:sz w:val="24"/>
          <w:szCs w:val="24"/>
        </w:rPr>
        <w:t>6</w:t>
      </w:r>
      <w:r w:rsidRPr="00B21091">
        <w:rPr>
          <w:rFonts w:ascii="Times New Roman" w:hAnsi="Times New Roman" w:cs="Times New Roman"/>
          <w:sz w:val="24"/>
          <w:szCs w:val="24"/>
        </w:rPr>
        <w:t xml:space="preserve"> respectiv</w:t>
      </w:r>
      <w:r w:rsidRPr="009A3C46">
        <w:t>ely.</w:t>
      </w:r>
      <w:r>
        <w:t xml:space="preserve">   </w:t>
      </w:r>
      <w:r w:rsidRPr="00C6738B">
        <w:rPr>
          <w:rFonts w:ascii="Times New Roman" w:hAnsi="Times New Roman" w:cs="Times New Roman"/>
          <w:sz w:val="24"/>
          <w:szCs w:val="24"/>
        </w:rPr>
        <w:t>The best-fit model for AADH (L) indicates the formation of LH</w:t>
      </w:r>
      <w:r w:rsidRPr="00C6738B">
        <w:rPr>
          <w:rFonts w:ascii="Times New Roman" w:hAnsi="Times New Roman" w:cs="Times New Roman"/>
          <w:sz w:val="24"/>
          <w:szCs w:val="24"/>
          <w:vertAlign w:val="subscript"/>
        </w:rPr>
        <w:t>2</w:t>
      </w:r>
      <w:r w:rsidRPr="00C6738B">
        <w:rPr>
          <w:rFonts w:ascii="Times New Roman" w:hAnsi="Times New Roman" w:cs="Times New Roman"/>
          <w:sz w:val="24"/>
          <w:szCs w:val="24"/>
          <w:vertAlign w:val="superscript"/>
        </w:rPr>
        <w:t>2+</w:t>
      </w:r>
      <w:r w:rsidRPr="00C6738B">
        <w:rPr>
          <w:rFonts w:ascii="Times New Roman" w:hAnsi="Times New Roman" w:cs="Times New Roman"/>
          <w:sz w:val="24"/>
          <w:szCs w:val="24"/>
        </w:rPr>
        <w:t>, LH</w:t>
      </w:r>
      <w:r w:rsidRPr="00C6738B">
        <w:rPr>
          <w:rFonts w:ascii="Times New Roman" w:hAnsi="Times New Roman" w:cs="Times New Roman"/>
          <w:sz w:val="24"/>
          <w:szCs w:val="24"/>
          <w:vertAlign w:val="superscript"/>
        </w:rPr>
        <w:t>+</w:t>
      </w:r>
      <w:r w:rsidRPr="00C6738B">
        <w:rPr>
          <w:rFonts w:ascii="Times New Roman" w:hAnsi="Times New Roman" w:cs="Times New Roman"/>
          <w:sz w:val="24"/>
          <w:szCs w:val="24"/>
        </w:rPr>
        <w:t>, L and LH</w:t>
      </w:r>
      <w:r w:rsidRPr="00C6738B">
        <w:rPr>
          <w:rFonts w:ascii="Times New Roman" w:hAnsi="Times New Roman" w:cs="Times New Roman"/>
          <w:sz w:val="24"/>
          <w:szCs w:val="24"/>
          <w:vertAlign w:val="subscript"/>
        </w:rPr>
        <w:t>-1</w:t>
      </w:r>
      <w:r w:rsidRPr="00C6738B">
        <w:rPr>
          <w:rFonts w:ascii="Times New Roman" w:hAnsi="Times New Roman" w:cs="Times New Roman"/>
          <w:sz w:val="24"/>
          <w:szCs w:val="24"/>
        </w:rPr>
        <w:t xml:space="preserve"> species in aqueous medium.  At lower pH (below ~3.0</w:t>
      </w:r>
      <w:r>
        <w:rPr>
          <w:rFonts w:ascii="Times New Roman" w:hAnsi="Times New Roman" w:cs="Times New Roman"/>
          <w:sz w:val="24"/>
          <w:szCs w:val="24"/>
        </w:rPr>
        <w:t xml:space="preserve"> pH</w:t>
      </w:r>
      <w:r w:rsidRPr="00C6738B">
        <w:rPr>
          <w:rFonts w:ascii="Times New Roman" w:hAnsi="Times New Roman" w:cs="Times New Roman"/>
          <w:sz w:val="24"/>
          <w:szCs w:val="24"/>
        </w:rPr>
        <w:t xml:space="preserve">), </w:t>
      </w:r>
      <w:r>
        <w:rPr>
          <w:rFonts w:ascii="Times New Roman" w:hAnsi="Times New Roman" w:cs="Times New Roman"/>
          <w:sz w:val="24"/>
          <w:szCs w:val="24"/>
        </w:rPr>
        <w:t>the</w:t>
      </w:r>
      <w:r w:rsidRPr="00C6738B">
        <w:rPr>
          <w:rFonts w:ascii="Times New Roman" w:hAnsi="Times New Roman" w:cs="Times New Roman"/>
          <w:sz w:val="24"/>
          <w:szCs w:val="24"/>
        </w:rPr>
        <w:t xml:space="preserve"> biprotonated form, LH</w:t>
      </w:r>
      <w:r w:rsidRPr="00C6738B">
        <w:rPr>
          <w:rFonts w:ascii="Times New Roman" w:hAnsi="Times New Roman" w:cs="Times New Roman"/>
          <w:sz w:val="24"/>
          <w:szCs w:val="24"/>
          <w:vertAlign w:val="subscript"/>
        </w:rPr>
        <w:t>2</w:t>
      </w:r>
      <w:r w:rsidRPr="00C6738B">
        <w:rPr>
          <w:rFonts w:ascii="Times New Roman" w:hAnsi="Times New Roman" w:cs="Times New Roman"/>
          <w:sz w:val="24"/>
          <w:szCs w:val="24"/>
          <w:vertAlign w:val="superscript"/>
        </w:rPr>
        <w:t>2+</w:t>
      </w:r>
      <w:r>
        <w:rPr>
          <w:rFonts w:ascii="Times New Roman" w:hAnsi="Times New Roman" w:cs="Times New Roman"/>
          <w:sz w:val="24"/>
          <w:szCs w:val="24"/>
        </w:rPr>
        <w:t xml:space="preserve"> of AADH dominates</w:t>
      </w:r>
      <w:r w:rsidRPr="00C6738B">
        <w:rPr>
          <w:rFonts w:ascii="Times New Roman" w:hAnsi="Times New Roman" w:cs="Times New Roman"/>
          <w:sz w:val="24"/>
          <w:szCs w:val="24"/>
        </w:rPr>
        <w:t xml:space="preserve"> and with increase in pH, undergoes successive deprotonation to form the mono-protonated (LH</w:t>
      </w:r>
      <w:r w:rsidRPr="00C6738B">
        <w:rPr>
          <w:rFonts w:ascii="Times New Roman" w:hAnsi="Times New Roman" w:cs="Times New Roman"/>
          <w:sz w:val="24"/>
          <w:szCs w:val="24"/>
          <w:vertAlign w:val="superscript"/>
        </w:rPr>
        <w:t>+</w:t>
      </w:r>
      <w:r w:rsidRPr="00C6738B">
        <w:rPr>
          <w:rFonts w:ascii="Times New Roman" w:hAnsi="Times New Roman" w:cs="Times New Roman"/>
          <w:sz w:val="24"/>
          <w:szCs w:val="24"/>
        </w:rPr>
        <w:t>) and neutral species (L).  β</w:t>
      </w:r>
      <w:r w:rsidRPr="00C6738B">
        <w:rPr>
          <w:rFonts w:ascii="Times New Roman" w:hAnsi="Times New Roman" w:cs="Times New Roman"/>
          <w:sz w:val="24"/>
          <w:szCs w:val="24"/>
          <w:vertAlign w:val="subscript"/>
        </w:rPr>
        <w:t>011</w:t>
      </w:r>
      <w:r w:rsidRPr="00C6738B">
        <w:rPr>
          <w:rFonts w:ascii="Times New Roman" w:hAnsi="Times New Roman" w:cs="Times New Roman"/>
          <w:sz w:val="24"/>
          <w:szCs w:val="24"/>
        </w:rPr>
        <w:t xml:space="preserve"> and β</w:t>
      </w:r>
      <w:r w:rsidRPr="00C6738B">
        <w:rPr>
          <w:rFonts w:ascii="Times New Roman" w:hAnsi="Times New Roman" w:cs="Times New Roman"/>
          <w:sz w:val="24"/>
          <w:szCs w:val="24"/>
          <w:vertAlign w:val="subscript"/>
        </w:rPr>
        <w:t>012</w:t>
      </w:r>
      <w:r w:rsidRPr="00C6738B">
        <w:rPr>
          <w:rFonts w:ascii="Times New Roman" w:hAnsi="Times New Roman" w:cs="Times New Roman"/>
          <w:sz w:val="24"/>
          <w:szCs w:val="24"/>
        </w:rPr>
        <w:t xml:space="preserve"> are </w:t>
      </w:r>
      <w:r w:rsidR="00E15B52" w:rsidRPr="00C6738B">
        <w:rPr>
          <w:rFonts w:ascii="Times New Roman" w:hAnsi="Times New Roman" w:cs="Times New Roman"/>
          <w:sz w:val="24"/>
          <w:szCs w:val="24"/>
        </w:rPr>
        <w:t xml:space="preserve">the </w:t>
      </w:r>
      <w:r w:rsidR="00E15B52">
        <w:rPr>
          <w:rFonts w:ascii="Times New Roman" w:hAnsi="Times New Roman" w:cs="Times New Roman"/>
          <w:sz w:val="24"/>
          <w:szCs w:val="24"/>
        </w:rPr>
        <w:t>formation</w:t>
      </w:r>
      <w:r>
        <w:rPr>
          <w:rFonts w:ascii="Times New Roman" w:hAnsi="Times New Roman" w:cs="Times New Roman"/>
          <w:sz w:val="24"/>
          <w:szCs w:val="24"/>
        </w:rPr>
        <w:t xml:space="preserve"> constants (Figure 6</w:t>
      </w:r>
      <w:r w:rsidRPr="00C6738B">
        <w:rPr>
          <w:rFonts w:ascii="Times New Roman" w:hAnsi="Times New Roman" w:cs="Times New Roman"/>
          <w:sz w:val="24"/>
          <w:szCs w:val="24"/>
        </w:rPr>
        <w:t xml:space="preserve">) of mono and biprotonated forms of AADH from its neutral form.   </w:t>
      </w:r>
    </w:p>
    <w:p w14:paraId="2CDF5C27" w14:textId="72621D6B" w:rsidR="00D00B24" w:rsidRDefault="00D00B24" w:rsidP="00D00B24">
      <w:pPr>
        <w:spacing w:after="0" w:line="240" w:lineRule="auto"/>
        <w:jc w:val="center"/>
        <w:rPr>
          <w:rFonts w:ascii="Times New Roman" w:hAnsi="Times New Roman" w:cs="Times New Roman"/>
          <w:sz w:val="24"/>
          <w:szCs w:val="24"/>
        </w:rPr>
      </w:pPr>
      <w:r w:rsidRPr="00377912">
        <w:rPr>
          <w:rFonts w:ascii="Times New Roman" w:hAnsi="Times New Roman" w:cs="Times New Roman"/>
          <w:b/>
          <w:sz w:val="24"/>
          <w:szCs w:val="24"/>
        </w:rPr>
        <w:t xml:space="preserve">Table </w:t>
      </w:r>
      <w:r>
        <w:rPr>
          <w:rFonts w:ascii="Times New Roman" w:hAnsi="Times New Roman" w:cs="Times New Roman"/>
          <w:b/>
          <w:sz w:val="24"/>
          <w:szCs w:val="24"/>
        </w:rPr>
        <w:t>2</w:t>
      </w:r>
      <w:r w:rsidRPr="00377912">
        <w:rPr>
          <w:rFonts w:ascii="Times New Roman" w:hAnsi="Times New Roman" w:cs="Times New Roman"/>
          <w:b/>
          <w:sz w:val="24"/>
          <w:szCs w:val="24"/>
        </w:rPr>
        <w:t xml:space="preserve">:  </w:t>
      </w:r>
      <w:r w:rsidRPr="00377912">
        <w:rPr>
          <w:rFonts w:ascii="Times New Roman" w:hAnsi="Times New Roman" w:cs="Times New Roman"/>
          <w:sz w:val="24"/>
          <w:szCs w:val="24"/>
        </w:rPr>
        <w:t>Best fit chemical model for acido-basic equilibria of adipic acid dihydrazide in aqueous medium.</w:t>
      </w:r>
      <w:r w:rsidR="00E15B52">
        <w:rPr>
          <w:rFonts w:ascii="Times New Roman" w:hAnsi="Times New Roman" w:cs="Times New Roman"/>
          <w:sz w:val="24"/>
          <w:szCs w:val="24"/>
        </w:rPr>
        <w:t xml:space="preserve"> </w:t>
      </w:r>
      <w:r w:rsidRPr="00377912">
        <w:rPr>
          <w:rFonts w:ascii="Times New Roman" w:hAnsi="Times New Roman" w:cs="Times New Roman"/>
          <w:sz w:val="24"/>
          <w:szCs w:val="24"/>
        </w:rPr>
        <w:t xml:space="preserve">Temp.= 30.0 ± 0.1°C and ionic strength, </w:t>
      </w:r>
      <w:r w:rsidRPr="00377912">
        <w:rPr>
          <w:rFonts w:ascii="Times New Roman" w:hAnsi="Times New Roman" w:cs="Times New Roman"/>
          <w:i/>
          <w:sz w:val="24"/>
          <w:szCs w:val="24"/>
        </w:rPr>
        <w:t>I</w:t>
      </w:r>
      <w:r w:rsidRPr="00377912">
        <w:rPr>
          <w:rFonts w:ascii="Times New Roman" w:hAnsi="Times New Roman" w:cs="Times New Roman"/>
          <w:sz w:val="24"/>
          <w:szCs w:val="24"/>
        </w:rPr>
        <w:t xml:space="preserve"> = 0.1 mol dm</w:t>
      </w:r>
      <w:r w:rsidRPr="00377912">
        <w:rPr>
          <w:rFonts w:ascii="Times New Roman" w:hAnsi="Times New Roman" w:cs="Times New Roman"/>
          <w:sz w:val="24"/>
          <w:szCs w:val="24"/>
          <w:vertAlign w:val="superscript"/>
        </w:rPr>
        <w:t>–3</w:t>
      </w:r>
      <w:r w:rsidRPr="00377912">
        <w:rPr>
          <w:rFonts w:ascii="Times New Roman" w:hAnsi="Times New Roman" w:cs="Times New Roman"/>
          <w:sz w:val="24"/>
          <w:szCs w:val="24"/>
        </w:rPr>
        <w:t> (NaCl)</w:t>
      </w:r>
    </w:p>
    <w:p w14:paraId="0FDF0522" w14:textId="77777777" w:rsidR="00D00B24" w:rsidRDefault="00D00B24" w:rsidP="00D00B24">
      <w:pPr>
        <w:spacing w:after="0" w:line="240" w:lineRule="auto"/>
        <w:jc w:val="center"/>
        <w:rPr>
          <w:rFonts w:ascii="Times New Roman" w:hAnsi="Times New Roman" w:cs="Times New Roman"/>
          <w:sz w:val="24"/>
          <w:szCs w:val="24"/>
        </w:rPr>
      </w:pPr>
    </w:p>
    <w:tbl>
      <w:tblPr>
        <w:tblStyle w:val="TableGrid"/>
        <w:tblpPr w:leftFromText="180" w:rightFromText="180"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1530"/>
        <w:gridCol w:w="1800"/>
        <w:gridCol w:w="1710"/>
        <w:gridCol w:w="990"/>
      </w:tblGrid>
      <w:tr w:rsidR="00D00B24" w:rsidRPr="00377912" w14:paraId="07D262DC" w14:textId="77777777" w:rsidTr="000D2B1D">
        <w:tc>
          <w:tcPr>
            <w:tcW w:w="1188" w:type="dxa"/>
          </w:tcPr>
          <w:p w14:paraId="79D4AF55"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Species</w:t>
            </w:r>
          </w:p>
          <w:p w14:paraId="6F5742BE" w14:textId="77777777" w:rsidR="00D00B24" w:rsidRPr="00377912" w:rsidRDefault="00D00B24" w:rsidP="000D2B1D">
            <w:pPr>
              <w:jc w:val="center"/>
              <w:rPr>
                <w:rFonts w:ascii="Times New Roman" w:hAnsi="Times New Roman" w:cs="Times New Roman"/>
                <w:i/>
                <w:sz w:val="24"/>
                <w:szCs w:val="24"/>
              </w:rPr>
            </w:pPr>
            <w:r w:rsidRPr="00377912">
              <w:rPr>
                <w:rFonts w:ascii="Times New Roman" w:hAnsi="Times New Roman" w:cs="Times New Roman"/>
                <w:i/>
                <w:sz w:val="24"/>
                <w:szCs w:val="24"/>
              </w:rPr>
              <w:t>mlh</w:t>
            </w:r>
          </w:p>
        </w:tc>
        <w:tc>
          <w:tcPr>
            <w:tcW w:w="1530" w:type="dxa"/>
          </w:tcPr>
          <w:p w14:paraId="01A85E66"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L</w:t>
            </w:r>
            <w:r w:rsidRPr="00377912">
              <w:rPr>
                <w:rFonts w:ascii="Times New Roman" w:hAnsi="Times New Roman" w:cs="Times New Roman"/>
                <w:i/>
                <w:sz w:val="24"/>
                <w:szCs w:val="24"/>
              </w:rPr>
              <w:t>og β</w:t>
            </w:r>
            <w:r w:rsidRPr="00377912">
              <w:rPr>
                <w:rFonts w:ascii="Times New Roman" w:hAnsi="Times New Roman" w:cs="Times New Roman"/>
                <w:i/>
                <w:sz w:val="24"/>
                <w:szCs w:val="24"/>
                <w:vertAlign w:val="subscript"/>
              </w:rPr>
              <w:t xml:space="preserve">0lh </w:t>
            </w:r>
            <w:r w:rsidRPr="00377912">
              <w:rPr>
                <w:rFonts w:ascii="Times New Roman" w:hAnsi="Times New Roman" w:cs="Times New Roman"/>
                <w:i/>
                <w:sz w:val="24"/>
                <w:szCs w:val="24"/>
              </w:rPr>
              <w:t>(SD)</w:t>
            </w:r>
          </w:p>
        </w:tc>
        <w:tc>
          <w:tcPr>
            <w:tcW w:w="1800" w:type="dxa"/>
          </w:tcPr>
          <w:p w14:paraId="333A2DC5"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Number of experimental points analysed</w:t>
            </w:r>
          </w:p>
        </w:tc>
        <w:tc>
          <w:tcPr>
            <w:tcW w:w="1710" w:type="dxa"/>
          </w:tcPr>
          <w:p w14:paraId="59FAB9AE" w14:textId="77777777" w:rsidR="00D00B24" w:rsidRPr="00377912" w:rsidRDefault="00D00B24" w:rsidP="000D2B1D">
            <w:pPr>
              <w:jc w:val="center"/>
              <w:rPr>
                <w:rFonts w:ascii="Times New Roman" w:hAnsi="Times New Roman" w:cs="Times New Roman"/>
                <w:sz w:val="24"/>
                <w:szCs w:val="24"/>
                <w:vertAlign w:val="superscript"/>
              </w:rPr>
            </w:pPr>
            <w:r w:rsidRPr="00377912">
              <w:rPr>
                <w:rFonts w:ascii="Times New Roman" w:hAnsi="Times New Roman" w:cs="Times New Roman"/>
                <w:sz w:val="24"/>
                <w:szCs w:val="24"/>
              </w:rPr>
              <w:t xml:space="preserve">Sum of the squares of residuals, U </w:t>
            </w:r>
          </w:p>
        </w:tc>
        <w:tc>
          <w:tcPr>
            <w:tcW w:w="990" w:type="dxa"/>
          </w:tcPr>
          <w:p w14:paraId="02B228C3"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χ</w:t>
            </w:r>
            <w:r w:rsidRPr="00377912">
              <w:rPr>
                <w:rFonts w:ascii="Times New Roman" w:hAnsi="Times New Roman" w:cs="Times New Roman"/>
                <w:sz w:val="24"/>
                <w:szCs w:val="24"/>
                <w:vertAlign w:val="superscript"/>
              </w:rPr>
              <w:t>2</w:t>
            </w:r>
          </w:p>
        </w:tc>
      </w:tr>
      <w:tr w:rsidR="00D00B24" w:rsidRPr="00377912" w14:paraId="15222094" w14:textId="77777777" w:rsidTr="000D2B1D">
        <w:tc>
          <w:tcPr>
            <w:tcW w:w="1188" w:type="dxa"/>
          </w:tcPr>
          <w:p w14:paraId="2D27573C"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011</w:t>
            </w:r>
          </w:p>
        </w:tc>
        <w:tc>
          <w:tcPr>
            <w:tcW w:w="1530" w:type="dxa"/>
          </w:tcPr>
          <w:p w14:paraId="594A63F0" w14:textId="77777777" w:rsidR="00D00B24" w:rsidRPr="00495165" w:rsidRDefault="00D00B24" w:rsidP="000D2B1D">
            <w:pPr>
              <w:rPr>
                <w:rFonts w:ascii="Times New Roman" w:hAnsi="Times New Roman" w:cs="Times New Roman"/>
              </w:rPr>
            </w:pPr>
            <w:r w:rsidRPr="00495165">
              <w:rPr>
                <w:rFonts w:ascii="Times New Roman" w:hAnsi="Times New Roman" w:cs="Times New Roman"/>
              </w:rPr>
              <w:t xml:space="preserve">   3.67 (3)</w:t>
            </w:r>
          </w:p>
        </w:tc>
        <w:tc>
          <w:tcPr>
            <w:tcW w:w="1800" w:type="dxa"/>
            <w:vMerge w:val="restart"/>
          </w:tcPr>
          <w:p w14:paraId="15E8E643" w14:textId="77777777" w:rsidR="00D00B24" w:rsidRPr="00377912" w:rsidRDefault="00D00B24" w:rsidP="000D2B1D">
            <w:pPr>
              <w:rPr>
                <w:rFonts w:ascii="Times New Roman" w:hAnsi="Times New Roman" w:cs="Times New Roman"/>
                <w:sz w:val="24"/>
                <w:szCs w:val="24"/>
              </w:rPr>
            </w:pPr>
          </w:p>
          <w:p w14:paraId="22D66212" w14:textId="77777777" w:rsidR="00D00B24" w:rsidRPr="00377912" w:rsidRDefault="00D00B24" w:rsidP="000D2B1D">
            <w:pPr>
              <w:jc w:val="center"/>
              <w:rPr>
                <w:rFonts w:ascii="Times New Roman" w:hAnsi="Times New Roman" w:cs="Times New Roman"/>
                <w:sz w:val="24"/>
                <w:szCs w:val="24"/>
              </w:rPr>
            </w:pPr>
            <w:r>
              <w:rPr>
                <w:rFonts w:ascii="Times New Roman" w:hAnsi="Times New Roman" w:cs="Times New Roman"/>
                <w:sz w:val="24"/>
                <w:szCs w:val="24"/>
              </w:rPr>
              <w:t>75</w:t>
            </w:r>
          </w:p>
        </w:tc>
        <w:tc>
          <w:tcPr>
            <w:tcW w:w="1710" w:type="dxa"/>
            <w:vMerge w:val="restart"/>
          </w:tcPr>
          <w:p w14:paraId="157D1C31" w14:textId="77777777" w:rsidR="00D00B24" w:rsidRPr="00377912" w:rsidRDefault="00D00B24" w:rsidP="000D2B1D">
            <w:pPr>
              <w:rPr>
                <w:rFonts w:ascii="Times New Roman" w:hAnsi="Times New Roman" w:cs="Times New Roman"/>
                <w:sz w:val="24"/>
                <w:szCs w:val="24"/>
              </w:rPr>
            </w:pPr>
          </w:p>
          <w:p w14:paraId="7BAF3A7F" w14:textId="77777777" w:rsidR="00D00B24" w:rsidRPr="00377912" w:rsidRDefault="00D00B24" w:rsidP="000D2B1D">
            <w:pPr>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4.099 </w:t>
            </w:r>
            <w:r w:rsidRPr="00377912">
              <w:rPr>
                <w:rFonts w:ascii="Times New Roman" w:hAnsi="Times New Roman" w:cs="Times New Roman"/>
                <w:sz w:val="24"/>
                <w:szCs w:val="24"/>
              </w:rPr>
              <w:t>X 10</w:t>
            </w:r>
            <w:r w:rsidRPr="00377912">
              <w:rPr>
                <w:rFonts w:ascii="Times New Roman" w:hAnsi="Times New Roman" w:cs="Times New Roman"/>
                <w:sz w:val="24"/>
                <w:szCs w:val="24"/>
                <w:vertAlign w:val="superscript"/>
              </w:rPr>
              <w:t>-8</w:t>
            </w:r>
          </w:p>
        </w:tc>
        <w:tc>
          <w:tcPr>
            <w:tcW w:w="990" w:type="dxa"/>
            <w:vMerge w:val="restart"/>
          </w:tcPr>
          <w:p w14:paraId="0C640AE8" w14:textId="77777777" w:rsidR="00D00B24" w:rsidRPr="00377912" w:rsidRDefault="00D00B24" w:rsidP="000D2B1D">
            <w:pPr>
              <w:rPr>
                <w:rFonts w:ascii="Times New Roman" w:hAnsi="Times New Roman" w:cs="Times New Roman"/>
                <w:sz w:val="24"/>
                <w:szCs w:val="24"/>
              </w:rPr>
            </w:pPr>
          </w:p>
          <w:p w14:paraId="750327FE" w14:textId="77777777" w:rsidR="00D00B24" w:rsidRPr="00377912" w:rsidRDefault="00D00B24" w:rsidP="000D2B1D">
            <w:pPr>
              <w:jc w:val="center"/>
              <w:rPr>
                <w:rFonts w:ascii="Times New Roman" w:hAnsi="Times New Roman" w:cs="Times New Roman"/>
                <w:sz w:val="24"/>
                <w:szCs w:val="24"/>
              </w:rPr>
            </w:pPr>
            <w:r>
              <w:rPr>
                <w:rFonts w:ascii="Times New Roman" w:hAnsi="Times New Roman" w:cs="Times New Roman"/>
                <w:sz w:val="24"/>
                <w:szCs w:val="24"/>
              </w:rPr>
              <w:t>11.92</w:t>
            </w:r>
          </w:p>
        </w:tc>
      </w:tr>
      <w:tr w:rsidR="00D00B24" w:rsidRPr="00377912" w14:paraId="10C67FCA" w14:textId="77777777" w:rsidTr="000D2B1D">
        <w:tc>
          <w:tcPr>
            <w:tcW w:w="1188" w:type="dxa"/>
          </w:tcPr>
          <w:p w14:paraId="5948976B"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012</w:t>
            </w:r>
          </w:p>
        </w:tc>
        <w:tc>
          <w:tcPr>
            <w:tcW w:w="1530" w:type="dxa"/>
          </w:tcPr>
          <w:p w14:paraId="50E5D2EA" w14:textId="77777777" w:rsidR="00D00B24" w:rsidRPr="00495165" w:rsidRDefault="00D00B24" w:rsidP="000D2B1D">
            <w:pPr>
              <w:rPr>
                <w:rFonts w:ascii="Times New Roman" w:hAnsi="Times New Roman" w:cs="Times New Roman"/>
              </w:rPr>
            </w:pPr>
            <w:r w:rsidRPr="00495165">
              <w:rPr>
                <w:rFonts w:ascii="Times New Roman" w:hAnsi="Times New Roman" w:cs="Times New Roman"/>
              </w:rPr>
              <w:t xml:space="preserve">   6.24 (7)</w:t>
            </w:r>
          </w:p>
        </w:tc>
        <w:tc>
          <w:tcPr>
            <w:tcW w:w="1800" w:type="dxa"/>
            <w:vMerge/>
          </w:tcPr>
          <w:p w14:paraId="1BD93C31" w14:textId="77777777" w:rsidR="00D00B24" w:rsidRPr="00377912" w:rsidRDefault="00D00B24" w:rsidP="000D2B1D">
            <w:pPr>
              <w:rPr>
                <w:rFonts w:ascii="Times New Roman" w:hAnsi="Times New Roman" w:cs="Times New Roman"/>
                <w:sz w:val="24"/>
                <w:szCs w:val="24"/>
              </w:rPr>
            </w:pPr>
          </w:p>
        </w:tc>
        <w:tc>
          <w:tcPr>
            <w:tcW w:w="1710" w:type="dxa"/>
            <w:vMerge/>
          </w:tcPr>
          <w:p w14:paraId="77E6EDD4" w14:textId="77777777" w:rsidR="00D00B24" w:rsidRPr="00377912" w:rsidRDefault="00D00B24" w:rsidP="000D2B1D">
            <w:pPr>
              <w:rPr>
                <w:rFonts w:ascii="Times New Roman" w:hAnsi="Times New Roman" w:cs="Times New Roman"/>
                <w:sz w:val="24"/>
                <w:szCs w:val="24"/>
              </w:rPr>
            </w:pPr>
          </w:p>
        </w:tc>
        <w:tc>
          <w:tcPr>
            <w:tcW w:w="990" w:type="dxa"/>
            <w:vMerge/>
          </w:tcPr>
          <w:p w14:paraId="713EC989" w14:textId="77777777" w:rsidR="00D00B24" w:rsidRPr="00377912" w:rsidRDefault="00D00B24" w:rsidP="000D2B1D">
            <w:pPr>
              <w:rPr>
                <w:rFonts w:ascii="Times New Roman" w:hAnsi="Times New Roman" w:cs="Times New Roman"/>
                <w:sz w:val="24"/>
                <w:szCs w:val="24"/>
              </w:rPr>
            </w:pPr>
          </w:p>
        </w:tc>
      </w:tr>
      <w:tr w:rsidR="00D00B24" w:rsidRPr="00377912" w14:paraId="75404448" w14:textId="77777777" w:rsidTr="000D2B1D">
        <w:tc>
          <w:tcPr>
            <w:tcW w:w="1188" w:type="dxa"/>
          </w:tcPr>
          <w:p w14:paraId="2A2114F8"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 xml:space="preserve"> 01-1</w:t>
            </w:r>
          </w:p>
        </w:tc>
        <w:tc>
          <w:tcPr>
            <w:tcW w:w="1530" w:type="dxa"/>
          </w:tcPr>
          <w:p w14:paraId="522E247E" w14:textId="77777777" w:rsidR="00D00B24" w:rsidRPr="00495165" w:rsidRDefault="00D00B24" w:rsidP="000D2B1D">
            <w:pPr>
              <w:rPr>
                <w:rFonts w:ascii="Times New Roman" w:hAnsi="Times New Roman" w:cs="Times New Roman"/>
              </w:rPr>
            </w:pPr>
            <w:r w:rsidRPr="00495165">
              <w:rPr>
                <w:rFonts w:ascii="Times New Roman" w:hAnsi="Times New Roman" w:cs="Times New Roman"/>
              </w:rPr>
              <w:t>-12.03 (5)</w:t>
            </w:r>
          </w:p>
        </w:tc>
        <w:tc>
          <w:tcPr>
            <w:tcW w:w="1800" w:type="dxa"/>
            <w:vMerge/>
          </w:tcPr>
          <w:p w14:paraId="4F3ACAAB" w14:textId="77777777" w:rsidR="00D00B24" w:rsidRPr="00377912" w:rsidRDefault="00D00B24" w:rsidP="000D2B1D">
            <w:pPr>
              <w:rPr>
                <w:rFonts w:ascii="Times New Roman" w:hAnsi="Times New Roman" w:cs="Times New Roman"/>
                <w:sz w:val="24"/>
                <w:szCs w:val="24"/>
              </w:rPr>
            </w:pPr>
          </w:p>
        </w:tc>
        <w:tc>
          <w:tcPr>
            <w:tcW w:w="1710" w:type="dxa"/>
            <w:vMerge/>
          </w:tcPr>
          <w:p w14:paraId="1D7DD43F" w14:textId="77777777" w:rsidR="00D00B24" w:rsidRPr="00377912" w:rsidRDefault="00D00B24" w:rsidP="000D2B1D">
            <w:pPr>
              <w:rPr>
                <w:rFonts w:ascii="Times New Roman" w:hAnsi="Times New Roman" w:cs="Times New Roman"/>
                <w:sz w:val="24"/>
                <w:szCs w:val="24"/>
              </w:rPr>
            </w:pPr>
          </w:p>
        </w:tc>
        <w:tc>
          <w:tcPr>
            <w:tcW w:w="990" w:type="dxa"/>
            <w:vMerge/>
          </w:tcPr>
          <w:p w14:paraId="7F442B5B" w14:textId="77777777" w:rsidR="00D00B24" w:rsidRPr="00377912" w:rsidRDefault="00D00B24" w:rsidP="000D2B1D">
            <w:pPr>
              <w:rPr>
                <w:rFonts w:ascii="Times New Roman" w:hAnsi="Times New Roman" w:cs="Times New Roman"/>
                <w:sz w:val="24"/>
                <w:szCs w:val="24"/>
              </w:rPr>
            </w:pPr>
          </w:p>
        </w:tc>
      </w:tr>
    </w:tbl>
    <w:p w14:paraId="3D8872AC" w14:textId="77777777" w:rsidR="00D00B24" w:rsidRPr="00C30D56" w:rsidRDefault="00D00B24" w:rsidP="00D00B2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t xml:space="preserve">                                          </w:t>
      </w:r>
    </w:p>
    <w:p w14:paraId="36A3F558" w14:textId="77777777" w:rsidR="00D00B24" w:rsidRDefault="00D00B24" w:rsidP="00D00B24">
      <w:pPr>
        <w:spacing w:line="480" w:lineRule="auto"/>
        <w:ind w:firstLine="720"/>
        <w:jc w:val="both"/>
        <w:rPr>
          <w:rFonts w:ascii="Times New Roman" w:hAnsi="Times New Roman" w:cs="Times New Roman"/>
          <w:sz w:val="24"/>
          <w:szCs w:val="24"/>
        </w:rPr>
      </w:pPr>
      <w:r>
        <w:lastRenderedPageBreak/>
        <w:t xml:space="preserve">            </w:t>
      </w:r>
      <w:r>
        <w:object w:dxaOrig="10328" w:dyaOrig="11511" w14:anchorId="5416DFA5">
          <v:shape id="_x0000_i1029" type="#_x0000_t75" style="width:330.75pt;height:368.25pt" o:ole="">
            <v:imagedata r:id="rId19" o:title=""/>
          </v:shape>
          <o:OLEObject Type="Embed" ProgID="ChemDraw.Document.6.0" ShapeID="_x0000_i1029" DrawAspect="Content" ObjectID="_1756716896" r:id="rId20"/>
        </w:object>
      </w:r>
    </w:p>
    <w:p w14:paraId="4B080809" w14:textId="22501816" w:rsidR="00D00B24" w:rsidRDefault="00D00B24" w:rsidP="00D00B24">
      <w:pPr>
        <w:spacing w:after="0"/>
        <w:ind w:firstLine="720"/>
        <w:jc w:val="center"/>
        <w:rPr>
          <w:rStyle w:val="A0"/>
          <w:rFonts w:ascii="Times New Roman" w:hAnsi="Times New Roman" w:cs="Times New Roman"/>
          <w:sz w:val="24"/>
          <w:szCs w:val="24"/>
        </w:rPr>
      </w:pPr>
      <w:r>
        <w:rPr>
          <w:rStyle w:val="A0"/>
          <w:rFonts w:ascii="Times New Roman" w:hAnsi="Times New Roman" w:cs="Times New Roman"/>
          <w:b/>
          <w:sz w:val="24"/>
          <w:szCs w:val="24"/>
        </w:rPr>
        <w:t>Figure 6</w:t>
      </w:r>
      <w:r w:rsidRPr="000F6456">
        <w:rPr>
          <w:rStyle w:val="A0"/>
          <w:rFonts w:ascii="Times New Roman" w:hAnsi="Times New Roman" w:cs="Times New Roman"/>
          <w:b/>
          <w:sz w:val="24"/>
          <w:szCs w:val="24"/>
        </w:rPr>
        <w:t xml:space="preserve">: </w:t>
      </w:r>
      <w:r w:rsidRPr="000F6456">
        <w:rPr>
          <w:rStyle w:val="A0"/>
          <w:rFonts w:ascii="Times New Roman" w:hAnsi="Times New Roman" w:cs="Times New Roman"/>
          <w:sz w:val="24"/>
          <w:szCs w:val="24"/>
        </w:rPr>
        <w:t>PROTONATION AND DEPROTONATION EQUILIBRIA</w:t>
      </w:r>
    </w:p>
    <w:p w14:paraId="0E291DA9" w14:textId="77777777" w:rsidR="00D00B24" w:rsidRPr="000F6456" w:rsidRDefault="00D00B24" w:rsidP="00D00B24">
      <w:pPr>
        <w:spacing w:after="0"/>
        <w:ind w:firstLine="720"/>
        <w:jc w:val="center"/>
        <w:rPr>
          <w:rFonts w:ascii="Times New Roman" w:hAnsi="Times New Roman" w:cs="Times New Roman"/>
          <w:sz w:val="24"/>
          <w:szCs w:val="24"/>
        </w:rPr>
      </w:pPr>
      <w:r w:rsidRPr="000F6456">
        <w:rPr>
          <w:rStyle w:val="A0"/>
          <w:rFonts w:ascii="Times New Roman" w:hAnsi="Times New Roman" w:cs="Times New Roman"/>
          <w:sz w:val="24"/>
          <w:szCs w:val="24"/>
        </w:rPr>
        <w:t xml:space="preserve">OF </w:t>
      </w:r>
      <w:r>
        <w:rPr>
          <w:rStyle w:val="A0"/>
          <w:rFonts w:ascii="Times New Roman" w:hAnsi="Times New Roman" w:cs="Times New Roman"/>
          <w:sz w:val="24"/>
          <w:szCs w:val="24"/>
        </w:rPr>
        <w:t>A</w:t>
      </w:r>
      <w:r w:rsidRPr="000F6456">
        <w:rPr>
          <w:rStyle w:val="A0"/>
          <w:rFonts w:ascii="Times New Roman" w:hAnsi="Times New Roman" w:cs="Times New Roman"/>
          <w:sz w:val="24"/>
          <w:szCs w:val="24"/>
        </w:rPr>
        <w:t>ADH</w:t>
      </w:r>
    </w:p>
    <w:p w14:paraId="5A638E72" w14:textId="77777777" w:rsidR="00D00B24" w:rsidRDefault="00D00B24" w:rsidP="00D00B24">
      <w:pPr>
        <w:spacing w:after="0" w:line="240" w:lineRule="auto"/>
        <w:jc w:val="center"/>
        <w:rPr>
          <w:rFonts w:ascii="Times New Roman" w:hAnsi="Times New Roman" w:cs="Times New Roman"/>
          <w:b/>
          <w:sz w:val="24"/>
          <w:szCs w:val="24"/>
        </w:rPr>
      </w:pPr>
    </w:p>
    <w:p w14:paraId="385C9224" w14:textId="78D60261" w:rsidR="00D00B24" w:rsidRPr="00F30CF2" w:rsidRDefault="00D00B24" w:rsidP="00D00B24">
      <w:pPr>
        <w:spacing w:line="480" w:lineRule="auto"/>
        <w:ind w:firstLine="720"/>
        <w:jc w:val="both"/>
        <w:rPr>
          <w:rFonts w:ascii="Times New Roman" w:hAnsi="Times New Roman" w:cs="Times New Roman"/>
          <w:sz w:val="24"/>
          <w:szCs w:val="24"/>
        </w:rPr>
      </w:pPr>
      <w:r w:rsidRPr="00C6738B">
        <w:rPr>
          <w:rFonts w:ascii="Times New Roman" w:hAnsi="Times New Roman" w:cs="Times New Roman"/>
          <w:sz w:val="24"/>
          <w:szCs w:val="24"/>
        </w:rPr>
        <w:t>The relatively high values of these formation constants compared to SADH indicate the increase in basicity of the ligand with increase in chain length of “R” group connecting the two hydrazide groups. The formation constant, β</w:t>
      </w:r>
      <w:r w:rsidRPr="00C6738B">
        <w:rPr>
          <w:rFonts w:ascii="Times New Roman" w:hAnsi="Times New Roman" w:cs="Times New Roman"/>
          <w:sz w:val="24"/>
          <w:szCs w:val="24"/>
          <w:vertAlign w:val="subscript"/>
        </w:rPr>
        <w:t>01-1</w:t>
      </w:r>
      <w:r w:rsidRPr="00C6738B">
        <w:rPr>
          <w:rFonts w:ascii="Times New Roman" w:hAnsi="Times New Roman" w:cs="Times New Roman"/>
          <w:sz w:val="24"/>
          <w:szCs w:val="24"/>
        </w:rPr>
        <w:t xml:space="preserve"> in the best-fit model corresponds to the deprotonation of one of the enolic protons leading to the formation of LH</w:t>
      </w:r>
      <w:r w:rsidRPr="00C6738B">
        <w:rPr>
          <w:rFonts w:ascii="Times New Roman" w:hAnsi="Times New Roman" w:cs="Times New Roman"/>
          <w:sz w:val="24"/>
          <w:szCs w:val="24"/>
          <w:vertAlign w:val="subscript"/>
        </w:rPr>
        <w:t>-1</w:t>
      </w:r>
      <w:r w:rsidRPr="00C6738B">
        <w:rPr>
          <w:rFonts w:ascii="Times New Roman" w:hAnsi="Times New Roman" w:cs="Times New Roman"/>
          <w:sz w:val="24"/>
          <w:szCs w:val="24"/>
        </w:rPr>
        <w:t xml:space="preserve"> species.  The other, β</w:t>
      </w:r>
      <w:r w:rsidRPr="00C6738B">
        <w:rPr>
          <w:rFonts w:ascii="Times New Roman" w:hAnsi="Times New Roman" w:cs="Times New Roman"/>
          <w:sz w:val="24"/>
          <w:szCs w:val="24"/>
          <w:vertAlign w:val="subscript"/>
        </w:rPr>
        <w:t>01-2</w:t>
      </w:r>
      <w:r w:rsidRPr="00C6738B">
        <w:rPr>
          <w:rFonts w:ascii="Times New Roman" w:hAnsi="Times New Roman" w:cs="Times New Roman"/>
          <w:sz w:val="24"/>
          <w:szCs w:val="24"/>
        </w:rPr>
        <w:t xml:space="preserve"> which corresponds to the formation of LH</w:t>
      </w:r>
      <w:r w:rsidRPr="00C6738B">
        <w:rPr>
          <w:rFonts w:ascii="Times New Roman" w:hAnsi="Times New Roman" w:cs="Times New Roman"/>
          <w:sz w:val="24"/>
          <w:szCs w:val="24"/>
          <w:vertAlign w:val="subscript"/>
        </w:rPr>
        <w:t>-2</w:t>
      </w:r>
      <w:r w:rsidRPr="00C6738B">
        <w:rPr>
          <w:rFonts w:ascii="Times New Roman" w:hAnsi="Times New Roman" w:cs="Times New Roman"/>
          <w:sz w:val="24"/>
          <w:szCs w:val="24"/>
        </w:rPr>
        <w:t>, is not observed as its equilibrium may lie well above the pH range of study</w:t>
      </w:r>
      <w:r w:rsidRPr="00750B0F">
        <w:rPr>
          <w:rFonts w:ascii="Times New Roman" w:hAnsi="Times New Roman" w:cs="Times New Roman"/>
          <w:color w:val="FF0000"/>
          <w:sz w:val="24"/>
          <w:szCs w:val="24"/>
        </w:rPr>
        <w:t xml:space="preserve">.  </w:t>
      </w:r>
      <w:r w:rsidRPr="00F30CF2">
        <w:rPr>
          <w:rFonts w:ascii="Times New Roman" w:hAnsi="Times New Roman" w:cs="Times New Roman"/>
          <w:sz w:val="24"/>
          <w:szCs w:val="24"/>
        </w:rPr>
        <w:t xml:space="preserve">The species distribution diagram (Figure 4b) indicates that AADH exists in the protonated form below pH ~6.5, deprotonated form above pH ~9.0 and in neutral form between pH ~6.5 and ~9.0.  The maximum percentage concentrations (with respect to total ligand) of </w:t>
      </w:r>
      <w:r w:rsidRPr="00F30CF2">
        <w:rPr>
          <w:rFonts w:ascii="Times New Roman" w:hAnsi="Times New Roman" w:cs="Times New Roman"/>
          <w:sz w:val="24"/>
          <w:szCs w:val="24"/>
        </w:rPr>
        <w:lastRenderedPageBreak/>
        <w:t>LH</w:t>
      </w:r>
      <w:r w:rsidRPr="00F30CF2">
        <w:rPr>
          <w:rFonts w:ascii="Times New Roman" w:hAnsi="Times New Roman" w:cs="Times New Roman"/>
          <w:sz w:val="24"/>
          <w:szCs w:val="24"/>
          <w:vertAlign w:val="subscript"/>
        </w:rPr>
        <w:t>2</w:t>
      </w:r>
      <w:r w:rsidRPr="00F30CF2">
        <w:rPr>
          <w:rFonts w:ascii="Times New Roman" w:hAnsi="Times New Roman" w:cs="Times New Roman"/>
          <w:sz w:val="24"/>
          <w:szCs w:val="24"/>
          <w:vertAlign w:val="superscript"/>
        </w:rPr>
        <w:t>2+</w:t>
      </w:r>
      <w:r w:rsidRPr="00F30CF2">
        <w:rPr>
          <w:rFonts w:ascii="Times New Roman" w:hAnsi="Times New Roman" w:cs="Times New Roman"/>
          <w:sz w:val="24"/>
          <w:szCs w:val="24"/>
        </w:rPr>
        <w:t>, LH</w:t>
      </w:r>
      <w:r w:rsidRPr="00F30CF2">
        <w:rPr>
          <w:rFonts w:ascii="Times New Roman" w:hAnsi="Times New Roman" w:cs="Times New Roman"/>
          <w:sz w:val="24"/>
          <w:szCs w:val="24"/>
          <w:vertAlign w:val="superscript"/>
        </w:rPr>
        <w:t>+</w:t>
      </w:r>
      <w:r w:rsidRPr="00F30CF2">
        <w:rPr>
          <w:rFonts w:ascii="Times New Roman" w:hAnsi="Times New Roman" w:cs="Times New Roman"/>
          <w:sz w:val="24"/>
          <w:szCs w:val="24"/>
        </w:rPr>
        <w:t xml:space="preserve"> and L</w:t>
      </w:r>
      <w:r w:rsidRPr="00F30CF2">
        <w:rPr>
          <w:rFonts w:ascii="Times New Roman" w:hAnsi="Times New Roman" w:cs="Times New Roman"/>
          <w:sz w:val="24"/>
          <w:szCs w:val="24"/>
          <w:vertAlign w:val="superscript"/>
        </w:rPr>
        <w:t>-</w:t>
      </w:r>
      <w:r w:rsidRPr="00F30CF2">
        <w:rPr>
          <w:rFonts w:ascii="Times New Roman" w:hAnsi="Times New Roman" w:cs="Times New Roman"/>
          <w:sz w:val="24"/>
          <w:szCs w:val="24"/>
        </w:rPr>
        <w:t xml:space="preserve"> are 85% (1.8 pH), 64%(3.1pH) and 23%(11.5 pH) respectively in the pH region of study.</w:t>
      </w:r>
    </w:p>
    <w:p w14:paraId="525F4A0A" w14:textId="77777777" w:rsidR="00D00B24" w:rsidRDefault="00D00B24" w:rsidP="00D00B24">
      <w:pPr>
        <w:pStyle w:val="Heading3"/>
        <w:rPr>
          <w:rFonts w:ascii="Times New Roman" w:hAnsi="Times New Roman" w:cs="Times New Roman"/>
          <w:color w:val="auto"/>
          <w:sz w:val="28"/>
          <w:szCs w:val="28"/>
        </w:rPr>
      </w:pPr>
    </w:p>
    <w:p w14:paraId="2CA84F1B" w14:textId="13333551" w:rsidR="00D00B24" w:rsidRDefault="00E15B52" w:rsidP="00E15B52">
      <w:pPr>
        <w:pStyle w:val="Heading3"/>
        <w:numPr>
          <w:ilvl w:val="0"/>
          <w:numId w:val="23"/>
        </w:numPr>
        <w:rPr>
          <w:rFonts w:ascii="Times New Roman" w:hAnsi="Times New Roman" w:cs="Times New Roman"/>
          <w:color w:val="auto"/>
          <w:sz w:val="28"/>
          <w:szCs w:val="28"/>
        </w:rPr>
      </w:pPr>
      <w:r w:rsidRPr="009A3C46">
        <w:rPr>
          <w:rFonts w:ascii="Times New Roman" w:hAnsi="Times New Roman" w:cs="Times New Roman"/>
          <w:color w:val="auto"/>
          <w:sz w:val="28"/>
          <w:szCs w:val="28"/>
        </w:rPr>
        <w:t>PROTON</w:t>
      </w:r>
      <w:r w:rsidR="00D00B24" w:rsidRPr="009A3C46">
        <w:rPr>
          <w:rFonts w:ascii="Times New Roman" w:hAnsi="Times New Roman" w:cs="Times New Roman"/>
          <w:color w:val="auto"/>
          <w:sz w:val="28"/>
          <w:szCs w:val="28"/>
        </w:rPr>
        <w:t xml:space="preserve">-LIGAND EQUILIBRIA OF AMINO ACIDS: </w:t>
      </w:r>
    </w:p>
    <w:p w14:paraId="4FEF80BF" w14:textId="77777777" w:rsidR="00D00B24" w:rsidRPr="001A70CA" w:rsidRDefault="00D00B24" w:rsidP="00D00B24"/>
    <w:p w14:paraId="322AF33C" w14:textId="64B77A5A" w:rsidR="00D00B24" w:rsidRPr="005213DD" w:rsidRDefault="00D00B24" w:rsidP="00D00B24">
      <w:pPr>
        <w:autoSpaceDE w:val="0"/>
        <w:autoSpaceDN w:val="0"/>
        <w:adjustRightInd w:val="0"/>
        <w:spacing w:line="480" w:lineRule="auto"/>
        <w:ind w:firstLine="720"/>
        <w:jc w:val="both"/>
        <w:rPr>
          <w:rFonts w:ascii="Times New Roman" w:eastAsiaTheme="minorHAnsi" w:hAnsi="Times New Roman" w:cs="Times New Roman"/>
          <w:sz w:val="24"/>
          <w:szCs w:val="24"/>
        </w:rPr>
      </w:pPr>
      <w:r w:rsidRPr="005213DD">
        <w:rPr>
          <w:rFonts w:ascii="Times New Roman" w:eastAsiaTheme="minorHAnsi" w:hAnsi="Times New Roman" w:cs="Times New Roman"/>
          <w:sz w:val="24"/>
          <w:szCs w:val="24"/>
        </w:rPr>
        <w:t xml:space="preserve">Equilibrium constants of acid- base equilibria of amino acids reported in literature were determined using different methods in various solvents </w:t>
      </w:r>
      <w:r w:rsidR="00E15B52" w:rsidRPr="005213DD">
        <w:rPr>
          <w:rFonts w:ascii="Times New Roman" w:eastAsiaTheme="minorHAnsi" w:hAnsi="Times New Roman" w:cs="Times New Roman"/>
          <w:sz w:val="24"/>
          <w:szCs w:val="24"/>
        </w:rPr>
        <w:t>and at</w:t>
      </w:r>
      <w:r w:rsidRPr="005213DD">
        <w:rPr>
          <w:rFonts w:ascii="Times New Roman" w:eastAsiaTheme="minorHAnsi" w:hAnsi="Times New Roman" w:cs="Times New Roman"/>
          <w:sz w:val="24"/>
          <w:szCs w:val="24"/>
        </w:rPr>
        <w:t xml:space="preserve"> specific conditions of temperature, ionic strength etc.  Several databases are available that give the formation constants of proton-ligand and metal-ligand systems, including,</w:t>
      </w:r>
    </w:p>
    <w:p w14:paraId="34C20217" w14:textId="77777777" w:rsidR="00D00B24" w:rsidRPr="005213DD" w:rsidRDefault="00D00B24" w:rsidP="00D00B24">
      <w:pPr>
        <w:pStyle w:val="Heading2"/>
        <w:numPr>
          <w:ilvl w:val="0"/>
          <w:numId w:val="8"/>
        </w:numPr>
        <w:spacing w:line="480" w:lineRule="auto"/>
        <w:jc w:val="both"/>
        <w:rPr>
          <w:rFonts w:ascii="Times New Roman" w:hAnsi="Times New Roman" w:cs="Times New Roman"/>
          <w:b w:val="0"/>
          <w:color w:val="000000"/>
          <w:sz w:val="24"/>
          <w:szCs w:val="24"/>
        </w:rPr>
      </w:pPr>
      <w:r w:rsidRPr="005213DD">
        <w:rPr>
          <w:rFonts w:ascii="Times New Roman" w:hAnsi="Times New Roman" w:cs="Times New Roman"/>
          <w:b w:val="0"/>
          <w:color w:val="000000"/>
          <w:sz w:val="24"/>
          <w:szCs w:val="24"/>
        </w:rPr>
        <w:t>The IUPAC Stability Constants Database, SC-Database and Mini-SC Database, 2006 and</w:t>
      </w:r>
    </w:p>
    <w:p w14:paraId="11D6F62A" w14:textId="7009AE3A" w:rsidR="00D00B24" w:rsidRPr="005213DD" w:rsidRDefault="00D00B24" w:rsidP="00D00B24">
      <w:pPr>
        <w:pStyle w:val="ListParagraph"/>
        <w:numPr>
          <w:ilvl w:val="0"/>
          <w:numId w:val="8"/>
        </w:numPr>
        <w:autoSpaceDE w:val="0"/>
        <w:autoSpaceDN w:val="0"/>
        <w:adjustRightInd w:val="0"/>
        <w:spacing w:line="480" w:lineRule="auto"/>
        <w:jc w:val="both"/>
      </w:pPr>
      <w:r w:rsidRPr="005213DD">
        <w:t>NIST (National Institute of Standards and Technology) -Critically Selected Stability Constants of Metal Complexes- Database Version 8.0 For Windows, R. M. Smith and A. E. Martell, (</w:t>
      </w:r>
      <w:r w:rsidR="00E15B52" w:rsidRPr="005213DD">
        <w:t>May</w:t>
      </w:r>
      <w:r w:rsidRPr="005213DD">
        <w:t xml:space="preserve"> 2004)</w:t>
      </w:r>
    </w:p>
    <w:p w14:paraId="7EAE5982" w14:textId="77777777" w:rsidR="00D00B24" w:rsidRDefault="00D00B24" w:rsidP="00D00B24">
      <w:pPr>
        <w:autoSpaceDE w:val="0"/>
        <w:autoSpaceDN w:val="0"/>
        <w:adjustRightInd w:val="0"/>
        <w:spacing w:before="240" w:line="480" w:lineRule="auto"/>
        <w:jc w:val="both"/>
        <w:rPr>
          <w:rFonts w:ascii="Times New Roman" w:eastAsiaTheme="minorHAnsi" w:hAnsi="Times New Roman" w:cs="Times New Roman"/>
          <w:sz w:val="24"/>
          <w:szCs w:val="24"/>
        </w:rPr>
      </w:pPr>
      <w:r w:rsidRPr="005213DD">
        <w:rPr>
          <w:rFonts w:ascii="Times New Roman" w:eastAsiaTheme="minorHAnsi" w:hAnsi="Times New Roman" w:cs="Times New Roman"/>
          <w:sz w:val="24"/>
          <w:szCs w:val="24"/>
        </w:rPr>
        <w:t xml:space="preserve">Along with the formation constants, these databases give the experimental conditions and methods that can be used to adjust the values for different conditions.  </w:t>
      </w:r>
    </w:p>
    <w:p w14:paraId="01ACCF89" w14:textId="4C16DF52" w:rsidR="00D00B24" w:rsidRDefault="00D00B24" w:rsidP="00D00B24">
      <w:pPr>
        <w:autoSpaceDE w:val="0"/>
        <w:autoSpaceDN w:val="0"/>
        <w:adjustRightInd w:val="0"/>
        <w:spacing w:before="240" w:line="480" w:lineRule="auto"/>
        <w:jc w:val="both"/>
        <w:rPr>
          <w:rFonts w:ascii="Times New Roman" w:hAnsi="Times New Roman" w:cs="Times New Roman"/>
          <w:sz w:val="24"/>
          <w:szCs w:val="24"/>
        </w:rPr>
      </w:pPr>
      <w:r>
        <w:rPr>
          <w:rFonts w:ascii="Times New Roman" w:eastAsiaTheme="minorHAnsi" w:hAnsi="Times New Roman" w:cs="Times New Roman"/>
          <w:sz w:val="24"/>
          <w:szCs w:val="24"/>
        </w:rPr>
        <w:tab/>
      </w:r>
      <w:r>
        <w:rPr>
          <w:rFonts w:ascii="Times New Roman" w:hAnsi="Times New Roman" w:cs="Times New Roman"/>
          <w:sz w:val="24"/>
          <w:szCs w:val="24"/>
        </w:rPr>
        <w:t>S</w:t>
      </w:r>
      <w:r w:rsidRPr="005213DD">
        <w:rPr>
          <w:rFonts w:ascii="Times New Roman" w:hAnsi="Times New Roman" w:cs="Times New Roman"/>
          <w:sz w:val="24"/>
          <w:szCs w:val="24"/>
        </w:rPr>
        <w:t xml:space="preserve">tability constants reported in </w:t>
      </w:r>
      <w:r>
        <w:rPr>
          <w:rFonts w:ascii="Times New Roman" w:hAnsi="Times New Roman" w:cs="Times New Roman"/>
          <w:sz w:val="24"/>
          <w:szCs w:val="24"/>
        </w:rPr>
        <w:t xml:space="preserve">the </w:t>
      </w:r>
      <w:r w:rsidRPr="005213DD">
        <w:rPr>
          <w:rFonts w:ascii="Times New Roman" w:hAnsi="Times New Roman" w:cs="Times New Roman"/>
          <w:sz w:val="24"/>
          <w:szCs w:val="24"/>
        </w:rPr>
        <w:t>literature</w:t>
      </w:r>
      <w:r>
        <w:rPr>
          <w:rFonts w:ascii="Times New Roman" w:hAnsi="Times New Roman" w:cs="Times New Roman"/>
          <w:sz w:val="24"/>
          <w:szCs w:val="24"/>
        </w:rPr>
        <w:t>,</w:t>
      </w:r>
      <w:r w:rsidRPr="005213DD">
        <w:rPr>
          <w:rFonts w:ascii="Times New Roman" w:hAnsi="Times New Roman" w:cs="Times New Roman"/>
          <w:sz w:val="24"/>
          <w:szCs w:val="24"/>
        </w:rPr>
        <w:t xml:space="preserve"> </w:t>
      </w:r>
      <w:r>
        <w:rPr>
          <w:rFonts w:ascii="Times New Roman" w:hAnsi="Times New Roman" w:cs="Times New Roman"/>
          <w:sz w:val="24"/>
          <w:szCs w:val="24"/>
        </w:rPr>
        <w:t xml:space="preserve">mostly for amino acids and some of the other ligands, </w:t>
      </w:r>
      <w:r w:rsidRPr="005213DD">
        <w:rPr>
          <w:rFonts w:ascii="Times New Roman" w:hAnsi="Times New Roman" w:cs="Times New Roman"/>
          <w:sz w:val="24"/>
          <w:szCs w:val="24"/>
        </w:rPr>
        <w:t xml:space="preserve">were </w:t>
      </w:r>
      <w:r>
        <w:rPr>
          <w:rFonts w:ascii="Times New Roman" w:hAnsi="Times New Roman" w:cs="Times New Roman"/>
          <w:sz w:val="24"/>
          <w:szCs w:val="24"/>
        </w:rPr>
        <w:t xml:space="preserve">critically surveyed and published by </w:t>
      </w:r>
      <w:r w:rsidRPr="005213DD">
        <w:rPr>
          <w:rFonts w:ascii="Times New Roman" w:hAnsi="Times New Roman" w:cs="Times New Roman"/>
          <w:sz w:val="24"/>
          <w:szCs w:val="24"/>
        </w:rPr>
        <w:t>Martel et al.</w:t>
      </w:r>
      <w:r w:rsidRPr="005213D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4</w:t>
      </w:r>
      <w:r w:rsidRPr="005213DD">
        <w:rPr>
          <w:rFonts w:ascii="Times New Roman" w:hAnsi="Times New Roman" w:cs="Times New Roman"/>
          <w:sz w:val="24"/>
          <w:szCs w:val="24"/>
        </w:rPr>
        <w:t>, Pettit</w:t>
      </w:r>
      <w:r w:rsidRPr="005213D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r w:rsidRPr="005213DD">
        <w:rPr>
          <w:rFonts w:ascii="Times New Roman" w:hAnsi="Times New Roman" w:cs="Times New Roman"/>
          <w:sz w:val="24"/>
          <w:szCs w:val="24"/>
        </w:rPr>
        <w:t>, Kiss et al.</w:t>
      </w:r>
      <w:r w:rsidRPr="005213D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6</w:t>
      </w:r>
      <w:r w:rsidRPr="005213DD">
        <w:rPr>
          <w:rFonts w:ascii="Times New Roman" w:hAnsi="Times New Roman" w:cs="Times New Roman"/>
          <w:sz w:val="24"/>
          <w:szCs w:val="24"/>
        </w:rPr>
        <w:t>, Sovago et al.</w:t>
      </w:r>
      <w:r w:rsidRPr="005213D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5213DD">
        <w:rPr>
          <w:rFonts w:ascii="Times New Roman" w:hAnsi="Times New Roman" w:cs="Times New Roman"/>
          <w:sz w:val="24"/>
          <w:szCs w:val="24"/>
        </w:rPr>
        <w:t>, Berthon</w:t>
      </w:r>
      <w:r w:rsidRPr="005213D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5213DD">
        <w:rPr>
          <w:rFonts w:ascii="Times New Roman" w:hAnsi="Times New Roman" w:cs="Times New Roman"/>
          <w:sz w:val="24"/>
          <w:szCs w:val="24"/>
        </w:rPr>
        <w:t>and Yamauchi et al.</w:t>
      </w:r>
      <w:r w:rsidRPr="005213D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sidRPr="005213DD">
        <w:rPr>
          <w:rFonts w:ascii="Times New Roman" w:hAnsi="Times New Roman" w:cs="Times New Roman"/>
          <w:sz w:val="24"/>
          <w:szCs w:val="24"/>
        </w:rPr>
        <w:t xml:space="preserve">.   Use of the values obtained either from data bases or critical surveys </w:t>
      </w:r>
      <w:r>
        <w:rPr>
          <w:rFonts w:ascii="Times New Roman" w:hAnsi="Times New Roman" w:cs="Times New Roman"/>
          <w:sz w:val="24"/>
          <w:szCs w:val="24"/>
        </w:rPr>
        <w:t>in</w:t>
      </w:r>
      <w:r w:rsidRPr="005213DD">
        <w:rPr>
          <w:rFonts w:ascii="Times New Roman" w:hAnsi="Times New Roman" w:cs="Times New Roman"/>
          <w:sz w:val="24"/>
          <w:szCs w:val="24"/>
        </w:rPr>
        <w:t xml:space="preserve"> speciation calculations</w:t>
      </w:r>
      <w:r>
        <w:rPr>
          <w:rFonts w:ascii="Times New Roman" w:hAnsi="Times New Roman" w:cs="Times New Roman"/>
          <w:sz w:val="24"/>
          <w:szCs w:val="24"/>
        </w:rPr>
        <w:t xml:space="preserve"> at different experimental conditions</w:t>
      </w:r>
      <w:r w:rsidRPr="005213DD">
        <w:rPr>
          <w:rFonts w:ascii="Times New Roman" w:hAnsi="Times New Roman" w:cs="Times New Roman"/>
          <w:sz w:val="24"/>
          <w:szCs w:val="24"/>
        </w:rPr>
        <w:t xml:space="preserve"> can lead to </w:t>
      </w:r>
      <w:r>
        <w:rPr>
          <w:rFonts w:ascii="Times New Roman" w:hAnsi="Times New Roman" w:cs="Times New Roman"/>
          <w:sz w:val="24"/>
          <w:szCs w:val="24"/>
        </w:rPr>
        <w:t xml:space="preserve">a </w:t>
      </w:r>
      <w:r w:rsidRPr="005213DD">
        <w:rPr>
          <w:rFonts w:ascii="Times New Roman" w:hAnsi="Times New Roman" w:cs="Times New Roman"/>
          <w:sz w:val="24"/>
          <w:szCs w:val="24"/>
        </w:rPr>
        <w:t xml:space="preserve">significant uncertainty.   This may be attributed to the variations in experimental conditions and the use of classical/ graphical methods </w:t>
      </w:r>
      <w:r>
        <w:rPr>
          <w:rFonts w:ascii="Times New Roman" w:hAnsi="Times New Roman" w:cs="Times New Roman"/>
          <w:sz w:val="24"/>
          <w:szCs w:val="24"/>
        </w:rPr>
        <w:t>of</w:t>
      </w:r>
      <w:r w:rsidRPr="005213DD">
        <w:rPr>
          <w:rFonts w:ascii="Times New Roman" w:hAnsi="Times New Roman" w:cs="Times New Roman"/>
          <w:sz w:val="24"/>
          <w:szCs w:val="24"/>
        </w:rPr>
        <w:t xml:space="preserve"> </w:t>
      </w:r>
      <w:r>
        <w:rPr>
          <w:rFonts w:ascii="Times New Roman" w:hAnsi="Times New Roman" w:cs="Times New Roman"/>
          <w:sz w:val="24"/>
          <w:szCs w:val="24"/>
        </w:rPr>
        <w:t xml:space="preserve">formation constant </w:t>
      </w:r>
      <w:r w:rsidRPr="005213DD">
        <w:rPr>
          <w:rFonts w:ascii="Times New Roman" w:hAnsi="Times New Roman" w:cs="Times New Roman"/>
          <w:sz w:val="24"/>
          <w:szCs w:val="24"/>
        </w:rPr>
        <w:t>calculation</w:t>
      </w:r>
      <w:r>
        <w:rPr>
          <w:rFonts w:ascii="Times New Roman" w:hAnsi="Times New Roman" w:cs="Times New Roman"/>
          <w:sz w:val="24"/>
          <w:szCs w:val="24"/>
        </w:rPr>
        <w:t>s</w:t>
      </w:r>
      <w:r w:rsidRPr="005213DD">
        <w:rPr>
          <w:rFonts w:ascii="Times New Roman" w:hAnsi="Times New Roman" w:cs="Times New Roman"/>
          <w:sz w:val="24"/>
          <w:szCs w:val="24"/>
        </w:rPr>
        <w:t xml:space="preserve"> </w:t>
      </w:r>
      <w:r>
        <w:rPr>
          <w:rFonts w:ascii="Times New Roman" w:hAnsi="Times New Roman" w:cs="Times New Roman"/>
          <w:sz w:val="24"/>
          <w:szCs w:val="24"/>
        </w:rPr>
        <w:t>by earlier workers</w:t>
      </w:r>
      <w:r w:rsidRPr="005213DD">
        <w:rPr>
          <w:rFonts w:ascii="Times New Roman" w:hAnsi="Times New Roman" w:cs="Times New Roman"/>
          <w:sz w:val="24"/>
          <w:szCs w:val="24"/>
        </w:rPr>
        <w:t xml:space="preserve">.  Most of the classical methods ignore the possibility of formation of protonated and hydroxylated species in addition </w:t>
      </w:r>
      <w:r w:rsidRPr="005213DD">
        <w:rPr>
          <w:rFonts w:ascii="Times New Roman" w:hAnsi="Times New Roman" w:cs="Times New Roman"/>
          <w:sz w:val="24"/>
          <w:szCs w:val="24"/>
        </w:rPr>
        <w:lastRenderedPageBreak/>
        <w:t xml:space="preserve">to the formation of simple mono-nuclear species. The formation constants obtained without considering these aspects are unreliable and associate with some systematic error. </w:t>
      </w:r>
      <w:r w:rsidR="00E15B52" w:rsidRPr="005213DD">
        <w:rPr>
          <w:rFonts w:ascii="Times New Roman" w:hAnsi="Times New Roman" w:cs="Times New Roman"/>
          <w:sz w:val="24"/>
          <w:szCs w:val="24"/>
        </w:rPr>
        <w:t>Also,</w:t>
      </w:r>
      <w:r w:rsidRPr="005213DD">
        <w:rPr>
          <w:rFonts w:ascii="Times New Roman" w:hAnsi="Times New Roman" w:cs="Times New Roman"/>
          <w:sz w:val="24"/>
          <w:szCs w:val="24"/>
        </w:rPr>
        <w:t xml:space="preserve"> the methods used for adjusting the equilibrium constants to the required conditions of temperature and ionic strength introduce some uncertainty in the predicted values</w:t>
      </w:r>
      <w:r>
        <w:rPr>
          <w:rFonts w:ascii="Times New Roman" w:hAnsi="Times New Roman" w:cs="Times New Roman"/>
          <w:sz w:val="24"/>
          <w:szCs w:val="24"/>
        </w:rPr>
        <w:t xml:space="preserve"> as experienced by several workers</w:t>
      </w:r>
      <w:r>
        <w:rPr>
          <w:rFonts w:ascii="Times New Roman" w:hAnsi="Times New Roman" w:cs="Times New Roman"/>
          <w:sz w:val="24"/>
          <w:szCs w:val="24"/>
          <w:vertAlign w:val="superscript"/>
        </w:rPr>
        <w:t>20-22</w:t>
      </w:r>
      <w:r w:rsidRPr="005213DD">
        <w:rPr>
          <w:rFonts w:ascii="Times New Roman" w:hAnsi="Times New Roman" w:cs="Times New Roman"/>
          <w:sz w:val="24"/>
          <w:szCs w:val="24"/>
        </w:rPr>
        <w:t xml:space="preserve">.  </w:t>
      </w:r>
    </w:p>
    <w:p w14:paraId="5DA25F42" w14:textId="77777777" w:rsidR="00D00B24" w:rsidRPr="005213DD" w:rsidRDefault="00D00B24" w:rsidP="00D00B24">
      <w:pPr>
        <w:autoSpaceDE w:val="0"/>
        <w:autoSpaceDN w:val="0"/>
        <w:adjustRightInd w:val="0"/>
        <w:spacing w:before="240" w:after="0" w:line="480" w:lineRule="auto"/>
        <w:ind w:firstLine="720"/>
        <w:jc w:val="both"/>
        <w:rPr>
          <w:rFonts w:ascii="Times New Roman" w:eastAsiaTheme="minorHAnsi" w:hAnsi="Times New Roman" w:cs="Times New Roman"/>
          <w:sz w:val="24"/>
          <w:szCs w:val="24"/>
        </w:rPr>
      </w:pPr>
      <w:r w:rsidRPr="005213DD">
        <w:rPr>
          <w:rFonts w:ascii="Times New Roman" w:eastAsiaTheme="minorHAnsi" w:hAnsi="Times New Roman" w:cs="Times New Roman"/>
          <w:sz w:val="24"/>
          <w:szCs w:val="24"/>
        </w:rPr>
        <w:t>The protonation constants of glycine, aspartic acid and histidine</w:t>
      </w:r>
      <w:r>
        <w:rPr>
          <w:rFonts w:ascii="Times New Roman" w:eastAsiaTheme="minorHAnsi" w:hAnsi="Times New Roman" w:cs="Times New Roman"/>
          <w:sz w:val="24"/>
          <w:szCs w:val="24"/>
        </w:rPr>
        <w:t>, although available in literature,</w:t>
      </w:r>
      <w:r w:rsidRPr="005213DD">
        <w:rPr>
          <w:rFonts w:ascii="Times New Roman" w:eastAsiaTheme="minorHAnsi" w:hAnsi="Times New Roman" w:cs="Times New Roman"/>
          <w:sz w:val="24"/>
          <w:szCs w:val="24"/>
        </w:rPr>
        <w:t xml:space="preserve"> were, therefore, </w:t>
      </w:r>
      <w:r>
        <w:rPr>
          <w:rFonts w:ascii="Times New Roman" w:eastAsiaTheme="minorHAnsi" w:hAnsi="Times New Roman" w:cs="Times New Roman"/>
          <w:sz w:val="24"/>
          <w:szCs w:val="24"/>
        </w:rPr>
        <w:t>re</w:t>
      </w:r>
      <w:r w:rsidRPr="005213DD">
        <w:rPr>
          <w:rFonts w:ascii="Times New Roman" w:eastAsiaTheme="minorHAnsi" w:hAnsi="Times New Roman" w:cs="Times New Roman"/>
          <w:sz w:val="24"/>
          <w:szCs w:val="24"/>
        </w:rPr>
        <w:t>determined under the same experimental conditions of ionic strength and temperature used to study the binary and the ternary complexes.</w:t>
      </w:r>
      <w:r>
        <w:rPr>
          <w:rStyle w:val="apple-converted-space"/>
          <w:rFonts w:ascii="Arial" w:hAnsi="Arial" w:cs="Arial"/>
          <w:color w:val="222222"/>
          <w:sz w:val="21"/>
          <w:szCs w:val="21"/>
          <w:shd w:val="clear" w:color="auto" w:fill="FFFFFF"/>
        </w:rPr>
        <w:t> </w:t>
      </w:r>
    </w:p>
    <w:p w14:paraId="392D526D" w14:textId="2799045F" w:rsidR="00D00B24" w:rsidRPr="009A3C46" w:rsidRDefault="00D00B24" w:rsidP="00E15B52">
      <w:pPr>
        <w:pStyle w:val="Heading3"/>
        <w:numPr>
          <w:ilvl w:val="0"/>
          <w:numId w:val="23"/>
        </w:numPr>
        <w:rPr>
          <w:rFonts w:ascii="Times New Roman" w:hAnsi="Times New Roman" w:cs="Times New Roman"/>
          <w:color w:val="auto"/>
        </w:rPr>
      </w:pPr>
      <w:r>
        <w:rPr>
          <w:rFonts w:ascii="Times New Roman" w:hAnsi="Times New Roman" w:cs="Times New Roman"/>
          <w:color w:val="auto"/>
        </w:rPr>
        <w:t>Proton-ligand equilibria of Glycine</w:t>
      </w:r>
      <w:r w:rsidRPr="009A3C46">
        <w:rPr>
          <w:rFonts w:ascii="Times New Roman" w:hAnsi="Times New Roman" w:cs="Times New Roman"/>
          <w:color w:val="auto"/>
        </w:rPr>
        <w:t>:</w:t>
      </w:r>
    </w:p>
    <w:p w14:paraId="1ABFFC36" w14:textId="77777777" w:rsidR="00D00B24" w:rsidRPr="00C54872" w:rsidRDefault="00D00B24" w:rsidP="00D00B24"/>
    <w:p w14:paraId="523B6A93" w14:textId="4A49983B" w:rsidR="00D00B24" w:rsidRDefault="00D00B24" w:rsidP="00D00B24">
      <w:pPr>
        <w:pStyle w:val="BodyText"/>
        <w:spacing w:line="480" w:lineRule="auto"/>
        <w:ind w:firstLine="720"/>
      </w:pPr>
      <w:r>
        <w:t xml:space="preserve">Glycine is the simplest possible proteinogenic non-essential amino acid with the chemical formula </w:t>
      </w:r>
      <w:r w:rsidRPr="00401064">
        <w:rPr>
          <w:shd w:val="clear" w:color="auto" w:fill="FFFFFF"/>
        </w:rPr>
        <w:t>NH</w:t>
      </w:r>
      <w:r w:rsidRPr="00401064">
        <w:rPr>
          <w:shd w:val="clear" w:color="auto" w:fill="FFFFFF"/>
          <w:vertAlign w:val="subscript"/>
        </w:rPr>
        <w:t>2</w:t>
      </w:r>
      <w:r w:rsidRPr="00401064">
        <w:rPr>
          <w:color w:val="222222"/>
          <w:shd w:val="clear" w:color="auto" w:fill="FFFFFF"/>
        </w:rPr>
        <w:t>‐</w:t>
      </w:r>
      <w:r w:rsidRPr="00401064">
        <w:rPr>
          <w:shd w:val="clear" w:color="auto" w:fill="FFFFFF"/>
        </w:rPr>
        <w:t>CH</w:t>
      </w:r>
      <w:r w:rsidRPr="00401064">
        <w:rPr>
          <w:shd w:val="clear" w:color="auto" w:fill="FFFFFF"/>
          <w:vertAlign w:val="subscript"/>
        </w:rPr>
        <w:t>2</w:t>
      </w:r>
      <w:r w:rsidRPr="00401064">
        <w:rPr>
          <w:color w:val="222222"/>
          <w:shd w:val="clear" w:color="auto" w:fill="FFFFFF"/>
        </w:rPr>
        <w:t>‐</w:t>
      </w:r>
      <w:r w:rsidRPr="00401064">
        <w:rPr>
          <w:shd w:val="clear" w:color="auto" w:fill="FFFFFF"/>
        </w:rPr>
        <w:t>COOH</w:t>
      </w:r>
      <w:r w:rsidRPr="00401064">
        <w:rPr>
          <w:color w:val="222222"/>
          <w:shd w:val="clear" w:color="auto" w:fill="FFFFFF"/>
        </w:rPr>
        <w:t>.</w:t>
      </w:r>
      <w:r>
        <w:t xml:space="preserve">  It is amphoteric in nature and in aqueous solution, d</w:t>
      </w:r>
      <w:r w:rsidRPr="009A3C46">
        <w:t xml:space="preserve">epending on the pH, </w:t>
      </w:r>
      <w:r>
        <w:t>can</w:t>
      </w:r>
      <w:r w:rsidRPr="009A3C46">
        <w:rPr>
          <w:rFonts w:ascii="Courier New" w:hAnsi="Courier New" w:cs="Courier New"/>
          <w:i/>
          <w:iCs/>
        </w:rPr>
        <w:t xml:space="preserve"> </w:t>
      </w:r>
      <w:r w:rsidRPr="009A3C46">
        <w:rPr>
          <w:szCs w:val="21"/>
        </w:rPr>
        <w:t>exist in three different forms (Figure</w:t>
      </w:r>
      <w:r w:rsidR="00E15B52">
        <w:rPr>
          <w:szCs w:val="21"/>
        </w:rPr>
        <w:t xml:space="preserve"> </w:t>
      </w:r>
      <w:r>
        <w:rPr>
          <w:szCs w:val="21"/>
        </w:rPr>
        <w:t>7</w:t>
      </w:r>
      <w:r w:rsidRPr="009A3C46">
        <w:rPr>
          <w:szCs w:val="21"/>
        </w:rPr>
        <w:t xml:space="preserve">) </w:t>
      </w:r>
      <w:r w:rsidRPr="008F4C09">
        <w:rPr>
          <w:i/>
          <w:szCs w:val="21"/>
        </w:rPr>
        <w:t>viz.</w:t>
      </w:r>
      <w:r w:rsidRPr="009A3C46">
        <w:rPr>
          <w:szCs w:val="21"/>
        </w:rPr>
        <w:t xml:space="preserve"> the cationic </w:t>
      </w:r>
      <w:r w:rsidRPr="009A3C46">
        <w:rPr>
          <w:b/>
          <w:bCs/>
          <w:szCs w:val="22"/>
        </w:rPr>
        <w:t>(</w:t>
      </w:r>
      <w:r w:rsidRPr="009A3C46">
        <w:rPr>
          <w:szCs w:val="22"/>
        </w:rPr>
        <w:t>XH</w:t>
      </w:r>
      <w:r w:rsidRPr="009A3C46">
        <w:rPr>
          <w:szCs w:val="22"/>
          <w:vertAlign w:val="subscript"/>
        </w:rPr>
        <w:t>2</w:t>
      </w:r>
      <w:r w:rsidRPr="009A3C46">
        <w:rPr>
          <w:szCs w:val="22"/>
          <w:vertAlign w:val="superscript"/>
        </w:rPr>
        <w:t>+</w:t>
      </w:r>
      <w:r w:rsidRPr="009A3C46">
        <w:rPr>
          <w:b/>
          <w:bCs/>
          <w:szCs w:val="22"/>
        </w:rPr>
        <w:t xml:space="preserve">), </w:t>
      </w:r>
      <w:r w:rsidRPr="009A3C46">
        <w:rPr>
          <w:szCs w:val="21"/>
        </w:rPr>
        <w:t xml:space="preserve">the neutral or zwitter ionic (XH) and the anionic </w:t>
      </w:r>
      <w:r w:rsidRPr="009A3C46">
        <w:rPr>
          <w:szCs w:val="20"/>
        </w:rPr>
        <w:t>(X</w:t>
      </w:r>
      <w:r w:rsidRPr="009A3C46">
        <w:rPr>
          <w:szCs w:val="20"/>
          <w:vertAlign w:val="superscript"/>
        </w:rPr>
        <w:t>-</w:t>
      </w:r>
      <w:r w:rsidRPr="009A3C46">
        <w:rPr>
          <w:szCs w:val="20"/>
        </w:rPr>
        <w:t xml:space="preserve">) </w:t>
      </w:r>
      <w:r w:rsidRPr="009A3C46">
        <w:rPr>
          <w:szCs w:val="21"/>
        </w:rPr>
        <w:t xml:space="preserve">forms.  </w:t>
      </w:r>
      <w:r w:rsidRPr="009A3C46">
        <w:t>XH is the zwitter</w:t>
      </w:r>
      <w:r>
        <w:t xml:space="preserve"> </w:t>
      </w:r>
      <w:r w:rsidRPr="009A3C46">
        <w:t>ionic form in which the amino group is protonated while the carboxyl group is deprotonated.</w:t>
      </w:r>
    </w:p>
    <w:p w14:paraId="4C7463C4" w14:textId="77777777" w:rsidR="00D00B24" w:rsidRDefault="00D00B24" w:rsidP="00D00B24">
      <w:pPr>
        <w:spacing w:line="480" w:lineRule="auto"/>
        <w:ind w:firstLine="720"/>
        <w:jc w:val="center"/>
      </w:pPr>
      <w:r>
        <w:object w:dxaOrig="6618" w:dyaOrig="5355" w14:anchorId="0C8EAD6A">
          <v:shape id="_x0000_i1030" type="#_x0000_t75" style="width:202.5pt;height:163.5pt" o:ole="">
            <v:imagedata r:id="rId21" o:title=""/>
          </v:shape>
          <o:OLEObject Type="Embed" ProgID="ChemDraw.Document.6.0" ShapeID="_x0000_i1030" DrawAspect="Content" ObjectID="_1756716897" r:id="rId22"/>
        </w:object>
      </w:r>
    </w:p>
    <w:p w14:paraId="2824324B" w14:textId="3C10CAA9" w:rsidR="00D00B24" w:rsidRDefault="00D00B24" w:rsidP="00D00B24">
      <w:pPr>
        <w:spacing w:line="480" w:lineRule="auto"/>
        <w:ind w:firstLine="720"/>
        <w:jc w:val="center"/>
        <w:rPr>
          <w:sz w:val="28"/>
        </w:rPr>
      </w:pPr>
      <w:r w:rsidRPr="008F1561">
        <w:rPr>
          <w:rFonts w:ascii="Times New Roman" w:hAnsi="Times New Roman" w:cs="Times New Roman"/>
          <w:b/>
          <w:sz w:val="24"/>
          <w:szCs w:val="24"/>
        </w:rPr>
        <w:t xml:space="preserve">Figure </w:t>
      </w:r>
      <w:r>
        <w:rPr>
          <w:rFonts w:ascii="Times New Roman" w:hAnsi="Times New Roman" w:cs="Times New Roman"/>
          <w:b/>
          <w:sz w:val="24"/>
          <w:szCs w:val="24"/>
        </w:rPr>
        <w:t>7</w:t>
      </w:r>
      <w:r>
        <w:t xml:space="preserve">: </w:t>
      </w:r>
      <w:r w:rsidRPr="000F6456">
        <w:rPr>
          <w:rStyle w:val="A0"/>
          <w:rFonts w:ascii="Times New Roman" w:hAnsi="Times New Roman" w:cs="Times New Roman"/>
          <w:b/>
          <w:sz w:val="24"/>
          <w:szCs w:val="24"/>
        </w:rPr>
        <w:t xml:space="preserve"> </w:t>
      </w:r>
      <w:r w:rsidRPr="000F6456">
        <w:rPr>
          <w:rStyle w:val="A0"/>
          <w:rFonts w:ascii="Times New Roman" w:hAnsi="Times New Roman" w:cs="Times New Roman"/>
          <w:sz w:val="24"/>
          <w:szCs w:val="24"/>
        </w:rPr>
        <w:t>P</w:t>
      </w:r>
      <w:r>
        <w:rPr>
          <w:rStyle w:val="A0"/>
          <w:rFonts w:ascii="Times New Roman" w:hAnsi="Times New Roman" w:cs="Times New Roman"/>
          <w:sz w:val="24"/>
          <w:szCs w:val="24"/>
        </w:rPr>
        <w:t>rotonation equilibria of glycine</w:t>
      </w:r>
    </w:p>
    <w:p w14:paraId="0FAA23CB" w14:textId="2FEA0990" w:rsidR="00D00B24" w:rsidRDefault="00D00B24" w:rsidP="00D00B24">
      <w:pPr>
        <w:pStyle w:val="BodyText"/>
        <w:spacing w:line="480" w:lineRule="auto"/>
        <w:ind w:firstLine="720"/>
      </w:pPr>
      <w:r w:rsidRPr="009A3C46">
        <w:lastRenderedPageBreak/>
        <w:t xml:space="preserve">The </w:t>
      </w:r>
      <w:r>
        <w:t>Calvin-Wilson</w:t>
      </w:r>
      <w:r>
        <w:rPr>
          <w:vertAlign w:val="superscript"/>
        </w:rPr>
        <w:t>6, 7</w:t>
      </w:r>
      <w:r>
        <w:t xml:space="preserve"> </w:t>
      </w:r>
      <w:r w:rsidRPr="009A3C46">
        <w:t>potentiometric titration curves</w:t>
      </w:r>
      <w:r>
        <w:t xml:space="preserve"> obtained</w:t>
      </w:r>
      <w:r w:rsidRPr="009A3C46">
        <w:t xml:space="preserve"> for </w:t>
      </w:r>
      <w:r>
        <w:rPr>
          <w:rFonts w:eastAsiaTheme="minorHAnsi"/>
        </w:rPr>
        <w:t>glycine</w:t>
      </w:r>
      <w:r w:rsidRPr="009A3C46">
        <w:t xml:space="preserve"> are shown in Figure </w:t>
      </w:r>
      <w:r>
        <w:t>8</w:t>
      </w:r>
      <w:r w:rsidRPr="009A3C46">
        <w:t>a.   Curve 1 represents the titration of free acid in the absence of amino acid.  The titration curve for acid + amino acid (</w:t>
      </w:r>
      <w:r w:rsidR="00E15B52" w:rsidRPr="009A3C46">
        <w:t>curve 2</w:t>
      </w:r>
      <w:r w:rsidRPr="009A3C46">
        <w:t xml:space="preserve">) lies above that of the free acid in the region below a pH of ~ 4.0 indicating association of a proton to the ligand.  Above ~7.5 pH, </w:t>
      </w:r>
      <w:r w:rsidR="00E50704" w:rsidRPr="009A3C46">
        <w:t>i.e.,</w:t>
      </w:r>
      <w:r w:rsidRPr="009A3C46">
        <w:t xml:space="preserve"> in the basic region, the titration curve of ligand is well below that of the free acid, indicating the dissociation of proton from the ligand. </w:t>
      </w:r>
      <w:r>
        <w:t xml:space="preserve"> The difference at lower pH is due to the protonation of the zwitter ionic form of the ligand at the </w:t>
      </w:r>
      <w:r w:rsidRPr="00287BAD">
        <w:t xml:space="preserve">carboxylate group </w:t>
      </w:r>
      <w:r>
        <w:t>and at higher pH the lowering of the curve relative to that of free acid is due to the ionization of the –NH</w:t>
      </w:r>
      <w:r>
        <w:rPr>
          <w:vertAlign w:val="subscript"/>
        </w:rPr>
        <w:t>3</w:t>
      </w:r>
      <w:r>
        <w:rPr>
          <w:vertAlign w:val="superscript"/>
        </w:rPr>
        <w:t>+</w:t>
      </w:r>
      <w:r>
        <w:t xml:space="preserve"> group. </w:t>
      </w:r>
      <w:r w:rsidR="00E50704">
        <w:t>T</w:t>
      </w:r>
      <w:r w:rsidR="00E50704" w:rsidRPr="00287BAD">
        <w:t>herefore,</w:t>
      </w:r>
      <w:r w:rsidRPr="00287BAD">
        <w:t xml:space="preserve"> the </w:t>
      </w:r>
      <w:r>
        <w:t xml:space="preserve">proton association and </w:t>
      </w:r>
      <w:r w:rsidRPr="00287BAD">
        <w:t xml:space="preserve">dissociation processes of the </w:t>
      </w:r>
      <w:r>
        <w:t>zwitter ionic form of the ligand</w:t>
      </w:r>
      <w:r w:rsidRPr="00287BAD">
        <w:t xml:space="preserve"> (</w:t>
      </w:r>
      <w:r>
        <w:rPr>
          <w:szCs w:val="21"/>
        </w:rPr>
        <w:t>X</w:t>
      </w:r>
      <w:r>
        <w:t>H</w:t>
      </w:r>
      <w:r w:rsidRPr="00287BAD">
        <w:t xml:space="preserve">) are </w:t>
      </w:r>
      <w:r>
        <w:t>widely</w:t>
      </w:r>
      <w:r w:rsidRPr="00287BAD">
        <w:t xml:space="preserve"> separated.</w:t>
      </w:r>
      <w:r>
        <w:t xml:space="preserve">  </w:t>
      </w:r>
    </w:p>
    <w:p w14:paraId="0D2BCD3C" w14:textId="77777777" w:rsidR="00D00B24" w:rsidRDefault="00D00B24" w:rsidP="00D00B24">
      <w:pPr>
        <w:pStyle w:val="BodyText"/>
        <w:spacing w:line="480" w:lineRule="auto"/>
        <w:ind w:firstLine="720"/>
      </w:pPr>
    </w:p>
    <w:tbl>
      <w:tblPr>
        <w:tblW w:w="8028" w:type="dxa"/>
        <w:jc w:val="center"/>
        <w:tblLook w:val="04A0" w:firstRow="1" w:lastRow="0" w:firstColumn="1" w:lastColumn="0" w:noHBand="0" w:noVBand="1"/>
      </w:tblPr>
      <w:tblGrid>
        <w:gridCol w:w="846"/>
        <w:gridCol w:w="1908"/>
        <w:gridCol w:w="1605"/>
        <w:gridCol w:w="1143"/>
        <w:gridCol w:w="2526"/>
      </w:tblGrid>
      <w:tr w:rsidR="00D00B24" w:rsidRPr="00377912" w14:paraId="089A5A63" w14:textId="77777777" w:rsidTr="000D2B1D">
        <w:trPr>
          <w:trHeight w:val="3293"/>
          <w:jc w:val="center"/>
        </w:trPr>
        <w:tc>
          <w:tcPr>
            <w:tcW w:w="4359" w:type="dxa"/>
            <w:gridSpan w:val="3"/>
          </w:tcPr>
          <w:p w14:paraId="646D29E5" w14:textId="77777777" w:rsidR="00D00B24" w:rsidRPr="00224BBF" w:rsidRDefault="00D00B24" w:rsidP="000D2B1D">
            <w:pPr>
              <w:spacing w:after="0" w:line="240" w:lineRule="auto"/>
              <w:jc w:val="center"/>
              <w:rPr>
                <w:rFonts w:ascii="Times New Roman" w:hAnsi="Times New Roman" w:cs="Times New Roman"/>
                <w:sz w:val="20"/>
                <w:szCs w:val="20"/>
              </w:rPr>
            </w:pPr>
            <w:r>
              <w:rPr>
                <w:noProof/>
                <w:lang w:val="en-US"/>
              </w:rPr>
              <w:drawing>
                <wp:inline distT="0" distB="0" distL="0" distR="0" wp14:anchorId="79C38F01" wp14:editId="5E521884">
                  <wp:extent cx="2549708" cy="21240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2554543" cy="2128103"/>
                          </a:xfrm>
                          <a:prstGeom prst="rect">
                            <a:avLst/>
                          </a:prstGeom>
                          <a:noFill/>
                          <a:ln w="9525">
                            <a:noFill/>
                            <a:miter lim="800000"/>
                            <a:headEnd/>
                            <a:tailEnd/>
                          </a:ln>
                        </pic:spPr>
                      </pic:pic>
                    </a:graphicData>
                  </a:graphic>
                </wp:inline>
              </w:drawing>
            </w:r>
            <w:r w:rsidRPr="00224BBF">
              <w:t xml:space="preserve">    </w:t>
            </w:r>
          </w:p>
        </w:tc>
        <w:tc>
          <w:tcPr>
            <w:tcW w:w="3669" w:type="dxa"/>
            <w:gridSpan w:val="2"/>
            <w:vAlign w:val="center"/>
          </w:tcPr>
          <w:p w14:paraId="4AED31BF" w14:textId="77777777" w:rsidR="00D00B24" w:rsidRPr="00852ECB" w:rsidRDefault="00D00B24" w:rsidP="000D2B1D">
            <w:pPr>
              <w:spacing w:after="0" w:line="240" w:lineRule="auto"/>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14:anchorId="0E83633D" wp14:editId="6182C21F">
                  <wp:extent cx="1914525" cy="20002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1914525" cy="2000250"/>
                          </a:xfrm>
                          <a:prstGeom prst="rect">
                            <a:avLst/>
                          </a:prstGeom>
                          <a:noFill/>
                          <a:ln w="9525">
                            <a:noFill/>
                            <a:miter lim="800000"/>
                            <a:headEnd/>
                            <a:tailEnd/>
                          </a:ln>
                        </pic:spPr>
                      </pic:pic>
                    </a:graphicData>
                  </a:graphic>
                </wp:inline>
              </w:drawing>
            </w:r>
          </w:p>
        </w:tc>
      </w:tr>
      <w:tr w:rsidR="00D00B24" w:rsidRPr="00377912" w14:paraId="03CB4850" w14:textId="77777777" w:rsidTr="000D2B1D">
        <w:trPr>
          <w:jc w:val="center"/>
        </w:trPr>
        <w:tc>
          <w:tcPr>
            <w:tcW w:w="846" w:type="dxa"/>
          </w:tcPr>
          <w:p w14:paraId="248A2DF5" w14:textId="77777777" w:rsidR="00D00B24" w:rsidRPr="00377912" w:rsidRDefault="00D00B24" w:rsidP="000D2B1D">
            <w:pPr>
              <w:spacing w:after="0" w:line="240" w:lineRule="auto"/>
              <w:jc w:val="right"/>
              <w:rPr>
                <w:rFonts w:ascii="Times New Roman" w:hAnsi="Times New Roman" w:cs="Times New Roman"/>
                <w:sz w:val="20"/>
                <w:szCs w:val="20"/>
              </w:rPr>
            </w:pPr>
            <w:r w:rsidRPr="00377912">
              <w:rPr>
                <w:rFonts w:ascii="Times New Roman" w:hAnsi="Times New Roman" w:cs="Times New Roman"/>
                <w:sz w:val="20"/>
                <w:szCs w:val="20"/>
              </w:rPr>
              <w:t>a.</w:t>
            </w:r>
          </w:p>
        </w:tc>
        <w:tc>
          <w:tcPr>
            <w:tcW w:w="3513" w:type="dxa"/>
            <w:gridSpan w:val="2"/>
          </w:tcPr>
          <w:p w14:paraId="6411C700" w14:textId="77777777" w:rsidR="00D00B24" w:rsidRPr="00377912" w:rsidRDefault="00D00B24" w:rsidP="000D2B1D">
            <w:pPr>
              <w:spacing w:after="0" w:line="240" w:lineRule="auto"/>
              <w:ind w:left="-72"/>
              <w:rPr>
                <w:rFonts w:ascii="Times New Roman" w:hAnsi="Times New Roman" w:cs="Times New Roman"/>
                <w:sz w:val="20"/>
                <w:szCs w:val="20"/>
              </w:rPr>
            </w:pPr>
            <w:r w:rsidRPr="00377912">
              <w:rPr>
                <w:rFonts w:ascii="Times New Roman" w:hAnsi="Times New Roman" w:cs="Times New Roman"/>
                <w:sz w:val="20"/>
                <w:szCs w:val="20"/>
              </w:rPr>
              <w:t>1.  Titration curve of free mineral acid</w:t>
            </w:r>
          </w:p>
        </w:tc>
        <w:tc>
          <w:tcPr>
            <w:tcW w:w="3669" w:type="dxa"/>
            <w:gridSpan w:val="2"/>
          </w:tcPr>
          <w:p w14:paraId="190C3148" w14:textId="77777777"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77912">
              <w:rPr>
                <w:rFonts w:ascii="Times New Roman" w:hAnsi="Times New Roman" w:cs="Times New Roman"/>
                <w:sz w:val="20"/>
                <w:szCs w:val="20"/>
              </w:rPr>
              <w:t>b. Species distribution diagram</w:t>
            </w:r>
          </w:p>
        </w:tc>
      </w:tr>
      <w:tr w:rsidR="00D00B24" w:rsidRPr="00377912" w14:paraId="0C195685" w14:textId="77777777" w:rsidTr="000D2B1D">
        <w:trPr>
          <w:jc w:val="center"/>
        </w:trPr>
        <w:tc>
          <w:tcPr>
            <w:tcW w:w="846" w:type="dxa"/>
          </w:tcPr>
          <w:p w14:paraId="28A1DE89" w14:textId="77777777" w:rsidR="00D00B24" w:rsidRPr="00377912" w:rsidRDefault="00D00B24" w:rsidP="000D2B1D">
            <w:pPr>
              <w:spacing w:after="0" w:line="240" w:lineRule="auto"/>
              <w:rPr>
                <w:rFonts w:ascii="Times New Roman" w:hAnsi="Times New Roman" w:cs="Times New Roman"/>
                <w:b/>
                <w:sz w:val="20"/>
                <w:szCs w:val="20"/>
              </w:rPr>
            </w:pPr>
          </w:p>
        </w:tc>
        <w:tc>
          <w:tcPr>
            <w:tcW w:w="3513" w:type="dxa"/>
            <w:gridSpan w:val="2"/>
          </w:tcPr>
          <w:p w14:paraId="64E2ED75" w14:textId="77777777" w:rsidR="00D00B24" w:rsidRPr="00377912" w:rsidRDefault="00D00B24" w:rsidP="000D2B1D">
            <w:pPr>
              <w:spacing w:after="0" w:line="240" w:lineRule="auto"/>
              <w:ind w:left="-72"/>
              <w:rPr>
                <w:rFonts w:ascii="Times New Roman" w:hAnsi="Times New Roman" w:cs="Times New Roman"/>
                <w:sz w:val="20"/>
                <w:szCs w:val="20"/>
              </w:rPr>
            </w:pPr>
            <w:r w:rsidRPr="00377912">
              <w:rPr>
                <w:rFonts w:ascii="Times New Roman" w:hAnsi="Times New Roman" w:cs="Times New Roman"/>
                <w:sz w:val="20"/>
                <w:szCs w:val="20"/>
              </w:rPr>
              <w:t xml:space="preserve">2.  Titration curve for acid + </w:t>
            </w:r>
            <w:r>
              <w:rPr>
                <w:rFonts w:ascii="Times New Roman" w:hAnsi="Times New Roman" w:cs="Times New Roman"/>
                <w:sz w:val="20"/>
                <w:szCs w:val="20"/>
              </w:rPr>
              <w:t>Glycine</w:t>
            </w:r>
          </w:p>
        </w:tc>
        <w:tc>
          <w:tcPr>
            <w:tcW w:w="3669" w:type="dxa"/>
            <w:gridSpan w:val="2"/>
          </w:tcPr>
          <w:p w14:paraId="70BC8A7A" w14:textId="77777777" w:rsidR="00D00B24" w:rsidRPr="00377912" w:rsidRDefault="00D00B24" w:rsidP="000D2B1D">
            <w:pPr>
              <w:spacing w:after="0" w:line="240" w:lineRule="auto"/>
              <w:rPr>
                <w:rFonts w:ascii="Times New Roman" w:hAnsi="Times New Roman" w:cs="Times New Roman"/>
                <w:sz w:val="20"/>
                <w:szCs w:val="20"/>
              </w:rPr>
            </w:pPr>
          </w:p>
        </w:tc>
      </w:tr>
      <w:tr w:rsidR="00D00B24" w:rsidRPr="00377912" w14:paraId="74EF9092" w14:textId="77777777" w:rsidTr="000D2B1D">
        <w:trPr>
          <w:jc w:val="center"/>
        </w:trPr>
        <w:tc>
          <w:tcPr>
            <w:tcW w:w="2754" w:type="dxa"/>
            <w:gridSpan w:val="2"/>
          </w:tcPr>
          <w:p w14:paraId="4318EAE2" w14:textId="69662220" w:rsidR="00D00B24" w:rsidRPr="00377912" w:rsidRDefault="00D00B24" w:rsidP="000D2B1D">
            <w:pPr>
              <w:tabs>
                <w:tab w:val="left" w:pos="3420"/>
              </w:tabs>
              <w:spacing w:after="0" w:line="240" w:lineRule="auto"/>
              <w:jc w:val="right"/>
              <w:rPr>
                <w:rFonts w:ascii="Times New Roman" w:hAnsi="Times New Roman" w:cs="Times New Roman"/>
                <w:sz w:val="20"/>
                <w:szCs w:val="20"/>
              </w:rPr>
            </w:pPr>
            <w:r w:rsidRPr="00377912">
              <w:rPr>
                <w:rFonts w:ascii="Times New Roman" w:hAnsi="Times New Roman" w:cs="Times New Roman"/>
                <w:sz w:val="20"/>
                <w:szCs w:val="20"/>
              </w:rPr>
              <w:t>[</w:t>
            </w:r>
            <w:r>
              <w:rPr>
                <w:rFonts w:ascii="Times New Roman" w:hAnsi="Times New Roman" w:cs="Times New Roman"/>
                <w:sz w:val="20"/>
                <w:szCs w:val="20"/>
              </w:rPr>
              <w:t>Glycine</w:t>
            </w:r>
            <w:r w:rsidRPr="00377912">
              <w:rPr>
                <w:rFonts w:ascii="Times New Roman" w:hAnsi="Times New Roman" w:cs="Times New Roman"/>
                <w:sz w:val="20"/>
                <w:szCs w:val="20"/>
              </w:rPr>
              <w:t xml:space="preserve">] </w:t>
            </w:r>
            <w:r w:rsidR="00E50704" w:rsidRPr="00377912">
              <w:rPr>
                <w:rFonts w:ascii="Times New Roman" w:hAnsi="Times New Roman" w:cs="Times New Roman"/>
                <w:sz w:val="20"/>
                <w:szCs w:val="20"/>
              </w:rPr>
              <w:t>= 0.0100 mol.</w:t>
            </w:r>
            <w:r w:rsidRPr="00377912">
              <w:rPr>
                <w:rFonts w:ascii="Times New Roman" w:hAnsi="Times New Roman" w:cs="Times New Roman"/>
                <w:sz w:val="20"/>
                <w:szCs w:val="20"/>
              </w:rPr>
              <w:t xml:space="preserve"> dm</w:t>
            </w:r>
            <w:r w:rsidRPr="00377912">
              <w:rPr>
                <w:rFonts w:ascii="Times New Roman" w:hAnsi="Times New Roman" w:cs="Times New Roman"/>
                <w:sz w:val="20"/>
                <w:szCs w:val="20"/>
                <w:vertAlign w:val="superscript"/>
              </w:rPr>
              <w:t>-3</w:t>
            </w:r>
          </w:p>
        </w:tc>
        <w:tc>
          <w:tcPr>
            <w:tcW w:w="2748" w:type="dxa"/>
            <w:gridSpan w:val="2"/>
          </w:tcPr>
          <w:p w14:paraId="2DF7AD47" w14:textId="1AA2CC9B"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sz w:val="20"/>
                <w:szCs w:val="20"/>
              </w:rPr>
              <w:t xml:space="preserve"> [</w:t>
            </w:r>
            <w:r w:rsidR="00E50704" w:rsidRPr="00377912">
              <w:rPr>
                <w:rFonts w:ascii="Times New Roman" w:hAnsi="Times New Roman" w:cs="Times New Roman"/>
                <w:sz w:val="20"/>
                <w:szCs w:val="20"/>
              </w:rPr>
              <w:t xml:space="preserve">HCl] </w:t>
            </w:r>
            <w:r w:rsidRPr="00377912">
              <w:rPr>
                <w:rFonts w:ascii="Times New Roman" w:hAnsi="Times New Roman" w:cs="Times New Roman"/>
                <w:sz w:val="20"/>
                <w:szCs w:val="20"/>
              </w:rPr>
              <w:t>=</w:t>
            </w:r>
            <w:r>
              <w:rPr>
                <w:rFonts w:ascii="Times New Roman" w:hAnsi="Times New Roman" w:cs="Times New Roman"/>
                <w:sz w:val="20"/>
                <w:szCs w:val="20"/>
              </w:rPr>
              <w:t>0.03099</w:t>
            </w:r>
            <w:r w:rsidRPr="00377912">
              <w:rPr>
                <w:rFonts w:ascii="Times New Roman" w:hAnsi="Times New Roman" w:cs="Times New Roman"/>
                <w:sz w:val="20"/>
                <w:szCs w:val="20"/>
              </w:rPr>
              <w:t xml:space="preserve"> mol</w:t>
            </w:r>
            <w:r>
              <w:rPr>
                <w:rFonts w:ascii="Times New Roman" w:hAnsi="Times New Roman" w:cs="Times New Roman"/>
                <w:sz w:val="20"/>
                <w:szCs w:val="20"/>
              </w:rPr>
              <w:t>.</w:t>
            </w:r>
            <w:r w:rsidRPr="00377912">
              <w:rPr>
                <w:rFonts w:ascii="Times New Roman" w:hAnsi="Times New Roman" w:cs="Times New Roman"/>
                <w:sz w:val="20"/>
                <w:szCs w:val="20"/>
              </w:rPr>
              <w:t xml:space="preserve"> dm</w:t>
            </w:r>
            <w:r w:rsidRPr="00377912">
              <w:rPr>
                <w:rFonts w:ascii="Times New Roman" w:hAnsi="Times New Roman" w:cs="Times New Roman"/>
                <w:sz w:val="20"/>
                <w:szCs w:val="20"/>
                <w:vertAlign w:val="superscript"/>
              </w:rPr>
              <w:t>-3</w:t>
            </w:r>
          </w:p>
        </w:tc>
        <w:tc>
          <w:tcPr>
            <w:tcW w:w="2526" w:type="dxa"/>
          </w:tcPr>
          <w:p w14:paraId="11BF5A15" w14:textId="1B3BB10A"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sz w:val="20"/>
                <w:szCs w:val="20"/>
              </w:rPr>
              <w:t>[</w:t>
            </w:r>
            <w:r w:rsidR="00E50704" w:rsidRPr="00377912">
              <w:rPr>
                <w:rFonts w:ascii="Times New Roman" w:hAnsi="Times New Roman" w:cs="Times New Roman"/>
                <w:sz w:val="20"/>
                <w:szCs w:val="20"/>
              </w:rPr>
              <w:t>NaOH]</w:t>
            </w:r>
            <w:r w:rsidRPr="00377912">
              <w:rPr>
                <w:rFonts w:ascii="Times New Roman" w:hAnsi="Times New Roman" w:cs="Times New Roman"/>
                <w:sz w:val="20"/>
                <w:szCs w:val="20"/>
              </w:rPr>
              <w:t xml:space="preserve">= </w:t>
            </w:r>
            <w:r>
              <w:rPr>
                <w:rFonts w:ascii="Times New Roman" w:hAnsi="Times New Roman" w:cs="Times New Roman"/>
                <w:sz w:val="20"/>
                <w:szCs w:val="20"/>
              </w:rPr>
              <w:t>0.2066</w:t>
            </w:r>
            <w:r w:rsidRPr="00377912">
              <w:rPr>
                <w:rFonts w:ascii="Times New Roman" w:hAnsi="Times New Roman" w:cs="Times New Roman"/>
                <w:sz w:val="20"/>
                <w:szCs w:val="20"/>
              </w:rPr>
              <w:t xml:space="preserve"> mol</w:t>
            </w:r>
            <w:r>
              <w:rPr>
                <w:rFonts w:ascii="Times New Roman" w:hAnsi="Times New Roman" w:cs="Times New Roman"/>
                <w:sz w:val="20"/>
                <w:szCs w:val="20"/>
              </w:rPr>
              <w:t>.</w:t>
            </w:r>
            <w:r w:rsidRPr="00377912">
              <w:rPr>
                <w:rFonts w:ascii="Times New Roman" w:hAnsi="Times New Roman" w:cs="Times New Roman"/>
                <w:sz w:val="20"/>
                <w:szCs w:val="20"/>
              </w:rPr>
              <w:t xml:space="preserve"> dm</w:t>
            </w:r>
            <w:r w:rsidRPr="00377912">
              <w:rPr>
                <w:rFonts w:ascii="Times New Roman" w:hAnsi="Times New Roman" w:cs="Times New Roman"/>
                <w:sz w:val="20"/>
                <w:szCs w:val="20"/>
                <w:vertAlign w:val="superscript"/>
              </w:rPr>
              <w:t>-3</w:t>
            </w:r>
          </w:p>
        </w:tc>
      </w:tr>
      <w:tr w:rsidR="00D00B24" w:rsidRPr="00377912" w14:paraId="43E09091" w14:textId="77777777" w:rsidTr="000D2B1D">
        <w:trPr>
          <w:jc w:val="center"/>
        </w:trPr>
        <w:tc>
          <w:tcPr>
            <w:tcW w:w="2754" w:type="dxa"/>
            <w:gridSpan w:val="2"/>
          </w:tcPr>
          <w:p w14:paraId="258A330B" w14:textId="77777777" w:rsidR="00D00B24" w:rsidRPr="00377912" w:rsidRDefault="00D00B24" w:rsidP="000D2B1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377912">
              <w:rPr>
                <w:rFonts w:ascii="Times New Roman" w:hAnsi="Times New Roman" w:cs="Times New Roman"/>
                <w:sz w:val="20"/>
                <w:szCs w:val="20"/>
              </w:rPr>
              <w:t>Temp.: 30.0 ±0. 1</w:t>
            </w:r>
            <w:r w:rsidRPr="00377912">
              <w:rPr>
                <w:rFonts w:ascii="Times New Roman" w:hAnsi="Times New Roman" w:cs="Times New Roman"/>
                <w:sz w:val="20"/>
                <w:szCs w:val="20"/>
                <w:vertAlign w:val="superscript"/>
              </w:rPr>
              <w:t>0</w:t>
            </w:r>
            <w:r w:rsidRPr="00377912">
              <w:rPr>
                <w:rFonts w:ascii="Times New Roman" w:hAnsi="Times New Roman" w:cs="Times New Roman"/>
                <w:sz w:val="20"/>
                <w:szCs w:val="20"/>
              </w:rPr>
              <w:t xml:space="preserve">C                                        </w:t>
            </w:r>
          </w:p>
        </w:tc>
        <w:tc>
          <w:tcPr>
            <w:tcW w:w="2748" w:type="dxa"/>
            <w:gridSpan w:val="2"/>
          </w:tcPr>
          <w:p w14:paraId="41D4E62B" w14:textId="77777777"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sz w:val="20"/>
                <w:szCs w:val="20"/>
              </w:rPr>
              <w:t>Total volume= 50.0 cm</w:t>
            </w:r>
            <w:r w:rsidRPr="00377912">
              <w:rPr>
                <w:rFonts w:ascii="Times New Roman" w:hAnsi="Times New Roman" w:cs="Times New Roman"/>
                <w:sz w:val="20"/>
                <w:szCs w:val="20"/>
                <w:vertAlign w:val="superscript"/>
              </w:rPr>
              <w:t>3</w:t>
            </w:r>
            <w:r w:rsidRPr="00377912">
              <w:rPr>
                <w:rFonts w:ascii="Times New Roman" w:hAnsi="Times New Roman" w:cs="Times New Roman"/>
                <w:sz w:val="20"/>
                <w:szCs w:val="20"/>
              </w:rPr>
              <w:t xml:space="preserve">      </w:t>
            </w:r>
          </w:p>
        </w:tc>
        <w:tc>
          <w:tcPr>
            <w:tcW w:w="2526" w:type="dxa"/>
          </w:tcPr>
          <w:p w14:paraId="1F8EC9CD" w14:textId="77777777"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i/>
                <w:sz w:val="20"/>
                <w:szCs w:val="20"/>
              </w:rPr>
              <w:t>I</w:t>
            </w:r>
            <w:r w:rsidRPr="00377912">
              <w:rPr>
                <w:rFonts w:ascii="Times New Roman" w:hAnsi="Times New Roman" w:cs="Times New Roman"/>
                <w:sz w:val="20"/>
                <w:szCs w:val="20"/>
              </w:rPr>
              <w:t xml:space="preserve"> = 0.1 mol</w:t>
            </w:r>
            <w:r>
              <w:rPr>
                <w:rFonts w:ascii="Times New Roman" w:hAnsi="Times New Roman" w:cs="Times New Roman"/>
                <w:sz w:val="20"/>
                <w:szCs w:val="20"/>
              </w:rPr>
              <w:t>.</w:t>
            </w:r>
            <w:r w:rsidRPr="00377912">
              <w:rPr>
                <w:rFonts w:ascii="Times New Roman" w:hAnsi="Times New Roman" w:cs="Times New Roman"/>
                <w:sz w:val="20"/>
                <w:szCs w:val="20"/>
              </w:rPr>
              <w:t xml:space="preserve"> dm</w:t>
            </w:r>
            <w:r w:rsidRPr="00377912">
              <w:rPr>
                <w:rFonts w:ascii="Times New Roman" w:hAnsi="Times New Roman" w:cs="Times New Roman"/>
                <w:sz w:val="20"/>
                <w:szCs w:val="20"/>
                <w:vertAlign w:val="superscript"/>
              </w:rPr>
              <w:t>-3</w:t>
            </w:r>
            <w:r w:rsidRPr="00377912">
              <w:rPr>
                <w:rFonts w:ascii="Times New Roman" w:hAnsi="Times New Roman" w:cs="Times New Roman"/>
                <w:sz w:val="20"/>
                <w:szCs w:val="20"/>
              </w:rPr>
              <w:t xml:space="preserve"> NaCl</w:t>
            </w:r>
          </w:p>
        </w:tc>
      </w:tr>
      <w:tr w:rsidR="00D00B24" w:rsidRPr="00377912" w14:paraId="6DE27DE9" w14:textId="77777777" w:rsidTr="000D2B1D">
        <w:trPr>
          <w:jc w:val="center"/>
        </w:trPr>
        <w:tc>
          <w:tcPr>
            <w:tcW w:w="8028" w:type="dxa"/>
            <w:gridSpan w:val="5"/>
          </w:tcPr>
          <w:p w14:paraId="1916F560" w14:textId="77777777" w:rsidR="00D00B24" w:rsidRDefault="00D00B24" w:rsidP="000D2B1D">
            <w:pPr>
              <w:pStyle w:val="Heading1"/>
              <w:spacing w:line="240" w:lineRule="auto"/>
              <w:jc w:val="center"/>
              <w:rPr>
                <w:sz w:val="20"/>
                <w:szCs w:val="20"/>
                <w:u w:val="none"/>
              </w:rPr>
            </w:pPr>
          </w:p>
          <w:p w14:paraId="20D03087" w14:textId="3193ADBD" w:rsidR="00D00B24" w:rsidRPr="00377912" w:rsidRDefault="00D00B24" w:rsidP="000D2B1D">
            <w:pPr>
              <w:pStyle w:val="Heading1"/>
              <w:spacing w:line="240" w:lineRule="auto"/>
              <w:jc w:val="center"/>
              <w:rPr>
                <w:b w:val="0"/>
                <w:sz w:val="20"/>
                <w:szCs w:val="20"/>
                <w:u w:val="none"/>
              </w:rPr>
            </w:pPr>
            <w:r>
              <w:rPr>
                <w:sz w:val="20"/>
                <w:szCs w:val="20"/>
                <w:u w:val="none"/>
              </w:rPr>
              <w:t>Figure 8:</w:t>
            </w:r>
            <w:r w:rsidRPr="00377912">
              <w:rPr>
                <w:sz w:val="20"/>
                <w:szCs w:val="20"/>
                <w:u w:val="none"/>
              </w:rPr>
              <w:t xml:space="preserve"> </w:t>
            </w:r>
            <w:r>
              <w:rPr>
                <w:sz w:val="20"/>
                <w:szCs w:val="20"/>
                <w:u w:val="none"/>
              </w:rPr>
              <w:t xml:space="preserve"> </w:t>
            </w:r>
            <w:r w:rsidRPr="00377912">
              <w:rPr>
                <w:b w:val="0"/>
                <w:sz w:val="20"/>
                <w:szCs w:val="20"/>
                <w:u w:val="none"/>
              </w:rPr>
              <w:t xml:space="preserve">PROTON-LIGAND SYSTEM OF </w:t>
            </w:r>
            <w:r>
              <w:rPr>
                <w:b w:val="0"/>
                <w:sz w:val="20"/>
                <w:szCs w:val="20"/>
                <w:u w:val="none"/>
              </w:rPr>
              <w:t>GLYCINE</w:t>
            </w:r>
          </w:p>
        </w:tc>
      </w:tr>
    </w:tbl>
    <w:p w14:paraId="25054FCD" w14:textId="77777777" w:rsidR="00D00B24" w:rsidRDefault="00D00B24" w:rsidP="00D00B24">
      <w:pPr>
        <w:pStyle w:val="BodyText"/>
        <w:spacing w:line="480" w:lineRule="auto"/>
        <w:ind w:firstLine="720"/>
      </w:pPr>
    </w:p>
    <w:p w14:paraId="57D34490" w14:textId="77777777" w:rsidR="00D00B24" w:rsidRDefault="00D00B24" w:rsidP="00D00B24">
      <w:pPr>
        <w:pStyle w:val="BodyText"/>
        <w:spacing w:line="480" w:lineRule="auto"/>
        <w:ind w:firstLine="720"/>
      </w:pPr>
      <w:r>
        <w:t>T</w:t>
      </w:r>
      <w:r w:rsidRPr="009A3C46">
        <w:t xml:space="preserve">he protonation equilibria of </w:t>
      </w:r>
      <w:r>
        <w:t>glycine</w:t>
      </w:r>
      <w:r w:rsidRPr="009A3C46">
        <w:t xml:space="preserve"> (XH) can be expressed as,</w:t>
      </w:r>
    </w:p>
    <w:p w14:paraId="5EFA2107" w14:textId="77777777" w:rsidR="00D00B24" w:rsidRDefault="00D00B24" w:rsidP="00D00B24">
      <w:pPr>
        <w:pStyle w:val="BodyText"/>
        <w:spacing w:line="480" w:lineRule="auto"/>
      </w:pPr>
      <w:r>
        <w:t xml:space="preserve">                                      </w:t>
      </w:r>
      <w:r>
        <w:object w:dxaOrig="1768" w:dyaOrig="875" w14:anchorId="589F6145">
          <v:shape id="_x0000_i1031" type="#_x0000_t75" style="width:114.75pt;height:56.25pt" o:ole="">
            <v:imagedata r:id="rId25" o:title=""/>
          </v:shape>
          <o:OLEObject Type="Embed" ProgID="ChemDraw.Document.6.0" ShapeID="_x0000_i1031" DrawAspect="Content" ObjectID="_1756716898" r:id="rId26"/>
        </w:object>
      </w:r>
    </w:p>
    <w:p w14:paraId="3CD1E5C8" w14:textId="5CA747DC" w:rsidR="00D00B24" w:rsidRDefault="00D00B24" w:rsidP="00D00B24">
      <w:pPr>
        <w:pStyle w:val="BodyText"/>
        <w:spacing w:line="480" w:lineRule="auto"/>
      </w:pPr>
      <w:r>
        <w:lastRenderedPageBreak/>
        <w:tab/>
        <w:t>The best-fit model obtained using Miniquad-75 program for glycine</w:t>
      </w:r>
      <w:r>
        <w:rPr>
          <w:szCs w:val="21"/>
        </w:rPr>
        <w:t xml:space="preserve">, is </w:t>
      </w:r>
      <w:r>
        <w:t xml:space="preserve">shown in Table-3.  </w:t>
      </w:r>
      <w:r w:rsidRPr="008F4C09">
        <w:t>The IUPAC recommended</w:t>
      </w:r>
      <w:r w:rsidRPr="008F4C09">
        <w:rPr>
          <w:vertAlign w:val="superscript"/>
        </w:rPr>
        <w:t>14, 15</w:t>
      </w:r>
      <w:r w:rsidRPr="008F4C09">
        <w:t xml:space="preserve"> values for the protonation constants of glycine</w:t>
      </w:r>
      <w:r w:rsidRPr="008F4C09">
        <w:rPr>
          <w:color w:val="FF0000"/>
        </w:rPr>
        <w:t xml:space="preserve"> </w:t>
      </w:r>
      <w:r w:rsidRPr="008F4C09">
        <w:t>are 9.</w:t>
      </w:r>
      <w:r>
        <w:t xml:space="preserve">60 </w:t>
      </w:r>
      <w:r w:rsidRPr="008F4C09">
        <w:t xml:space="preserve">and </w:t>
      </w:r>
      <w:r>
        <w:t>11.97</w:t>
      </w:r>
      <w:r w:rsidRPr="008F4C09">
        <w:t xml:space="preserve"> for </w:t>
      </w:r>
      <w:r w:rsidRPr="000145FF">
        <w:rPr>
          <w:i/>
        </w:rPr>
        <w:t>log β</w:t>
      </w:r>
      <w:r w:rsidRPr="000145FF">
        <w:rPr>
          <w:i/>
          <w:vertAlign w:val="subscript"/>
        </w:rPr>
        <w:t>011</w:t>
      </w:r>
      <w:r w:rsidRPr="008F4C09">
        <w:t xml:space="preserve"> and </w:t>
      </w:r>
      <w:r w:rsidRPr="000145FF">
        <w:rPr>
          <w:i/>
        </w:rPr>
        <w:t>log β</w:t>
      </w:r>
      <w:r w:rsidRPr="000145FF">
        <w:rPr>
          <w:i/>
          <w:vertAlign w:val="subscript"/>
        </w:rPr>
        <w:t>012</w:t>
      </w:r>
      <w:r w:rsidRPr="008F4C09">
        <w:t xml:space="preserve"> respectively at 25.0</w:t>
      </w:r>
      <w:r w:rsidRPr="008F4C09">
        <w:rPr>
          <w:vertAlign w:val="superscript"/>
        </w:rPr>
        <w:t>0</w:t>
      </w:r>
      <w:r w:rsidRPr="008F4C09">
        <w:t>C and ionic strength between 0.1 and 0.2M.  The observed values are in good agreement with the IUPAC and other literature values</w:t>
      </w:r>
      <w:r w:rsidRPr="008F4C09">
        <w:rPr>
          <w:vertAlign w:val="superscript"/>
        </w:rPr>
        <w:t>17, 18</w:t>
      </w:r>
      <w:r w:rsidRPr="008F4C09">
        <w:t xml:space="preserve"> after allowing for changes in experimental conditions.</w:t>
      </w:r>
    </w:p>
    <w:p w14:paraId="5B68F422" w14:textId="77777777" w:rsidR="00D00B24" w:rsidRDefault="00D00B24" w:rsidP="00D00B24">
      <w:pPr>
        <w:spacing w:after="0" w:line="240" w:lineRule="auto"/>
        <w:jc w:val="center"/>
        <w:rPr>
          <w:rFonts w:ascii="Times New Roman" w:hAnsi="Times New Roman" w:cs="Times New Roman"/>
          <w:b/>
          <w:sz w:val="24"/>
          <w:szCs w:val="24"/>
        </w:rPr>
      </w:pPr>
    </w:p>
    <w:p w14:paraId="646AAB52" w14:textId="0171012D" w:rsidR="00D00B24" w:rsidRDefault="00D00B24" w:rsidP="00D00B24">
      <w:pPr>
        <w:spacing w:after="0" w:line="240" w:lineRule="auto"/>
        <w:jc w:val="center"/>
        <w:rPr>
          <w:rFonts w:ascii="Times New Roman" w:hAnsi="Times New Roman" w:cs="Times New Roman"/>
          <w:sz w:val="24"/>
          <w:szCs w:val="24"/>
        </w:rPr>
      </w:pPr>
      <w:r w:rsidRPr="006116E3">
        <w:rPr>
          <w:rFonts w:ascii="Times New Roman" w:hAnsi="Times New Roman" w:cs="Times New Roman"/>
          <w:b/>
          <w:sz w:val="24"/>
          <w:szCs w:val="24"/>
        </w:rPr>
        <w:t xml:space="preserve">Table 3: </w:t>
      </w:r>
      <w:r w:rsidRPr="006116E3">
        <w:rPr>
          <w:rFonts w:ascii="Times New Roman" w:hAnsi="Times New Roman" w:cs="Times New Roman"/>
          <w:sz w:val="24"/>
          <w:szCs w:val="24"/>
        </w:rPr>
        <w:t>B</w:t>
      </w:r>
      <w:r>
        <w:rPr>
          <w:rFonts w:ascii="Times New Roman" w:hAnsi="Times New Roman" w:cs="Times New Roman"/>
          <w:sz w:val="24"/>
          <w:szCs w:val="24"/>
        </w:rPr>
        <w:t>est fit chemical model for acid-base</w:t>
      </w:r>
      <w:r w:rsidRPr="006116E3">
        <w:rPr>
          <w:rFonts w:ascii="Times New Roman" w:hAnsi="Times New Roman" w:cs="Times New Roman"/>
          <w:sz w:val="24"/>
          <w:szCs w:val="24"/>
        </w:rPr>
        <w:t xml:space="preserve"> equilibria of glycine in aqueous </w:t>
      </w:r>
      <w:r>
        <w:rPr>
          <w:rFonts w:ascii="Times New Roman" w:hAnsi="Times New Roman" w:cs="Times New Roman"/>
          <w:sz w:val="24"/>
          <w:szCs w:val="24"/>
        </w:rPr>
        <w:t xml:space="preserve">medium </w:t>
      </w:r>
      <w:r w:rsidRPr="00377912">
        <w:rPr>
          <w:rFonts w:ascii="Times New Roman" w:hAnsi="Times New Roman" w:cs="Times New Roman"/>
          <w:sz w:val="24"/>
          <w:szCs w:val="24"/>
        </w:rPr>
        <w:t xml:space="preserve">Temp. = 30.0 ± 0.1°C and ionic strength, </w:t>
      </w:r>
      <w:r w:rsidRPr="00377912">
        <w:rPr>
          <w:rFonts w:ascii="Times New Roman" w:hAnsi="Times New Roman" w:cs="Times New Roman"/>
          <w:i/>
          <w:sz w:val="24"/>
          <w:szCs w:val="24"/>
        </w:rPr>
        <w:t>I</w:t>
      </w:r>
      <w:r w:rsidRPr="00377912">
        <w:rPr>
          <w:rFonts w:ascii="Times New Roman" w:hAnsi="Times New Roman" w:cs="Times New Roman"/>
          <w:sz w:val="24"/>
          <w:szCs w:val="24"/>
        </w:rPr>
        <w:t xml:space="preserve"> = 0.1 mol dm</w:t>
      </w:r>
      <w:r w:rsidRPr="00377912">
        <w:rPr>
          <w:rFonts w:ascii="Times New Roman" w:hAnsi="Times New Roman" w:cs="Times New Roman"/>
          <w:sz w:val="24"/>
          <w:szCs w:val="24"/>
          <w:vertAlign w:val="superscript"/>
        </w:rPr>
        <w:t>–3</w:t>
      </w:r>
      <w:r w:rsidRPr="00377912">
        <w:rPr>
          <w:rFonts w:ascii="Times New Roman" w:hAnsi="Times New Roman" w:cs="Times New Roman"/>
          <w:sz w:val="24"/>
          <w:szCs w:val="24"/>
        </w:rPr>
        <w:t> (NaCl)</w:t>
      </w:r>
    </w:p>
    <w:p w14:paraId="6B3B4300" w14:textId="77777777" w:rsidR="00D00B24" w:rsidRDefault="00D00B24" w:rsidP="00D00B24">
      <w:pPr>
        <w:spacing w:after="0" w:line="240" w:lineRule="auto"/>
        <w:jc w:val="center"/>
        <w:rPr>
          <w:rFonts w:ascii="Times New Roman" w:hAnsi="Times New Roman" w:cs="Times New Roman"/>
          <w:sz w:val="24"/>
          <w:szCs w:val="24"/>
        </w:rPr>
      </w:pPr>
    </w:p>
    <w:tbl>
      <w:tblPr>
        <w:tblStyle w:val="TableGrid"/>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9"/>
        <w:gridCol w:w="1307"/>
        <w:gridCol w:w="1735"/>
        <w:gridCol w:w="1705"/>
        <w:gridCol w:w="1543"/>
        <w:gridCol w:w="888"/>
      </w:tblGrid>
      <w:tr w:rsidR="00D00B24" w:rsidRPr="006116E3" w14:paraId="66A32096" w14:textId="77777777" w:rsidTr="000D2B1D">
        <w:tc>
          <w:tcPr>
            <w:tcW w:w="1188" w:type="dxa"/>
          </w:tcPr>
          <w:p w14:paraId="5B864B83" w14:textId="77777777" w:rsidR="00D00B24" w:rsidRPr="006116E3" w:rsidRDefault="00D00B24" w:rsidP="000D2B1D">
            <w:pPr>
              <w:jc w:val="center"/>
              <w:rPr>
                <w:rFonts w:ascii="Times New Roman" w:hAnsi="Times New Roman" w:cs="Times New Roman"/>
                <w:sz w:val="24"/>
                <w:szCs w:val="24"/>
              </w:rPr>
            </w:pPr>
            <w:r w:rsidRPr="006116E3">
              <w:rPr>
                <w:rFonts w:ascii="Times New Roman" w:hAnsi="Times New Roman" w:cs="Times New Roman"/>
                <w:sz w:val="24"/>
                <w:szCs w:val="24"/>
              </w:rPr>
              <w:t>Species</w:t>
            </w:r>
          </w:p>
          <w:p w14:paraId="4A0BCBD0" w14:textId="77777777" w:rsidR="00D00B24" w:rsidRPr="006116E3" w:rsidRDefault="00D00B24" w:rsidP="000D2B1D">
            <w:pPr>
              <w:jc w:val="center"/>
              <w:rPr>
                <w:rFonts w:ascii="Times New Roman" w:hAnsi="Times New Roman" w:cs="Times New Roman"/>
                <w:i/>
                <w:sz w:val="24"/>
                <w:szCs w:val="24"/>
              </w:rPr>
            </w:pPr>
            <w:r w:rsidRPr="006116E3">
              <w:rPr>
                <w:rFonts w:ascii="Times New Roman" w:hAnsi="Times New Roman" w:cs="Times New Roman"/>
                <w:i/>
                <w:sz w:val="24"/>
                <w:szCs w:val="24"/>
              </w:rPr>
              <w:t>Mxh</w:t>
            </w:r>
          </w:p>
        </w:tc>
        <w:tc>
          <w:tcPr>
            <w:tcW w:w="1530" w:type="dxa"/>
          </w:tcPr>
          <w:p w14:paraId="4196C1A1" w14:textId="77777777" w:rsidR="00D00B24" w:rsidRPr="006116E3" w:rsidRDefault="00D00B24" w:rsidP="000D2B1D">
            <w:pPr>
              <w:jc w:val="center"/>
              <w:rPr>
                <w:rFonts w:ascii="Times New Roman" w:hAnsi="Times New Roman" w:cs="Times New Roman"/>
                <w:sz w:val="24"/>
                <w:szCs w:val="24"/>
              </w:rPr>
            </w:pPr>
            <w:r w:rsidRPr="006116E3">
              <w:rPr>
                <w:rFonts w:ascii="Times New Roman" w:hAnsi="Times New Roman" w:cs="Times New Roman"/>
                <w:sz w:val="24"/>
                <w:szCs w:val="24"/>
              </w:rPr>
              <w:t>L</w:t>
            </w:r>
            <w:r w:rsidRPr="006116E3">
              <w:rPr>
                <w:rFonts w:ascii="Times New Roman" w:hAnsi="Times New Roman" w:cs="Times New Roman"/>
                <w:i/>
                <w:sz w:val="24"/>
                <w:szCs w:val="24"/>
              </w:rPr>
              <w:t>og β</w:t>
            </w:r>
            <w:r w:rsidRPr="006116E3">
              <w:rPr>
                <w:rFonts w:ascii="Times New Roman" w:hAnsi="Times New Roman" w:cs="Times New Roman"/>
                <w:i/>
                <w:sz w:val="24"/>
                <w:szCs w:val="24"/>
                <w:vertAlign w:val="subscript"/>
              </w:rPr>
              <w:t xml:space="preserve">0xh </w:t>
            </w:r>
            <w:r w:rsidRPr="006116E3">
              <w:rPr>
                <w:rFonts w:ascii="Times New Roman" w:hAnsi="Times New Roman" w:cs="Times New Roman"/>
                <w:i/>
                <w:sz w:val="24"/>
                <w:szCs w:val="24"/>
              </w:rPr>
              <w:t>(SD)</w:t>
            </w:r>
          </w:p>
        </w:tc>
        <w:tc>
          <w:tcPr>
            <w:tcW w:w="1800" w:type="dxa"/>
          </w:tcPr>
          <w:p w14:paraId="4F8F19E0" w14:textId="77777777" w:rsidR="00D00B24" w:rsidRDefault="00D00B24" w:rsidP="000D2B1D">
            <w:pPr>
              <w:jc w:val="center"/>
              <w:rPr>
                <w:rFonts w:ascii="Times New Roman" w:hAnsi="Times New Roman" w:cs="Times New Roman"/>
                <w:sz w:val="24"/>
                <w:szCs w:val="24"/>
              </w:rPr>
            </w:pPr>
            <w:r>
              <w:rPr>
                <w:rFonts w:ascii="Times New Roman" w:hAnsi="Times New Roman" w:cs="Times New Roman"/>
                <w:sz w:val="24"/>
                <w:szCs w:val="24"/>
              </w:rPr>
              <w:t>Literature</w:t>
            </w:r>
            <w:r>
              <w:rPr>
                <w:rFonts w:ascii="Times New Roman" w:hAnsi="Times New Roman" w:cs="Times New Roman"/>
                <w:sz w:val="24"/>
                <w:szCs w:val="24"/>
                <w:vertAlign w:val="superscript"/>
              </w:rPr>
              <w:t>14, 15</w:t>
            </w:r>
            <w:r>
              <w:rPr>
                <w:rFonts w:ascii="Times New Roman" w:hAnsi="Times New Roman" w:cs="Times New Roman"/>
                <w:sz w:val="24"/>
                <w:szCs w:val="24"/>
              </w:rPr>
              <w:t xml:space="preserve"> recommended values</w:t>
            </w:r>
          </w:p>
          <w:p w14:paraId="3FE07ECA" w14:textId="77777777" w:rsidR="00D00B24" w:rsidRPr="000D542C" w:rsidRDefault="00D00B24" w:rsidP="000D2B1D">
            <w:pPr>
              <w:jc w:val="center"/>
              <w:rPr>
                <w:rFonts w:ascii="Times New Roman" w:hAnsi="Times New Roman" w:cs="Times New Roman"/>
                <w:sz w:val="24"/>
                <w:szCs w:val="24"/>
              </w:rPr>
            </w:pPr>
            <w:r>
              <w:rPr>
                <w:rFonts w:ascii="Times New Roman" w:hAnsi="Times New Roman" w:cs="Times New Roman"/>
                <w:sz w:val="24"/>
                <w:szCs w:val="24"/>
              </w:rPr>
              <w:t xml:space="preserve">At 25.0 </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800" w:type="dxa"/>
          </w:tcPr>
          <w:p w14:paraId="226CF21D" w14:textId="77777777" w:rsidR="00D00B24" w:rsidRPr="006116E3" w:rsidRDefault="00D00B24" w:rsidP="000D2B1D">
            <w:pPr>
              <w:jc w:val="center"/>
              <w:rPr>
                <w:rFonts w:ascii="Times New Roman" w:hAnsi="Times New Roman" w:cs="Times New Roman"/>
                <w:sz w:val="24"/>
                <w:szCs w:val="24"/>
              </w:rPr>
            </w:pPr>
            <w:r w:rsidRPr="006116E3">
              <w:rPr>
                <w:rFonts w:ascii="Times New Roman" w:hAnsi="Times New Roman" w:cs="Times New Roman"/>
                <w:sz w:val="24"/>
                <w:szCs w:val="24"/>
              </w:rPr>
              <w:t>Number of experimental points analysed</w:t>
            </w:r>
          </w:p>
        </w:tc>
        <w:tc>
          <w:tcPr>
            <w:tcW w:w="1710" w:type="dxa"/>
          </w:tcPr>
          <w:p w14:paraId="4890F722" w14:textId="77777777" w:rsidR="00D00B24" w:rsidRPr="006116E3" w:rsidRDefault="00D00B24" w:rsidP="000D2B1D">
            <w:pPr>
              <w:jc w:val="center"/>
              <w:rPr>
                <w:rFonts w:ascii="Times New Roman" w:hAnsi="Times New Roman" w:cs="Times New Roman"/>
                <w:sz w:val="24"/>
                <w:szCs w:val="24"/>
                <w:vertAlign w:val="superscript"/>
              </w:rPr>
            </w:pPr>
            <w:r w:rsidRPr="006116E3">
              <w:rPr>
                <w:rFonts w:ascii="Times New Roman" w:hAnsi="Times New Roman" w:cs="Times New Roman"/>
                <w:sz w:val="24"/>
                <w:szCs w:val="24"/>
              </w:rPr>
              <w:t xml:space="preserve">Sum of the squares of residuals, U </w:t>
            </w:r>
          </w:p>
        </w:tc>
        <w:tc>
          <w:tcPr>
            <w:tcW w:w="990" w:type="dxa"/>
          </w:tcPr>
          <w:p w14:paraId="7C65C0D2" w14:textId="77777777" w:rsidR="00D00B24" w:rsidRPr="006116E3" w:rsidRDefault="00D00B24" w:rsidP="000D2B1D">
            <w:pPr>
              <w:jc w:val="center"/>
              <w:rPr>
                <w:rFonts w:ascii="Times New Roman" w:hAnsi="Times New Roman" w:cs="Times New Roman"/>
                <w:sz w:val="24"/>
                <w:szCs w:val="24"/>
              </w:rPr>
            </w:pPr>
            <w:r w:rsidRPr="006116E3">
              <w:rPr>
                <w:rFonts w:ascii="Times New Roman" w:hAnsi="Times New Roman" w:cs="Times New Roman"/>
                <w:sz w:val="24"/>
                <w:szCs w:val="24"/>
              </w:rPr>
              <w:t>χ</w:t>
            </w:r>
            <w:r w:rsidRPr="006116E3">
              <w:rPr>
                <w:rFonts w:ascii="Times New Roman" w:hAnsi="Times New Roman" w:cs="Times New Roman"/>
                <w:sz w:val="24"/>
                <w:szCs w:val="24"/>
                <w:vertAlign w:val="superscript"/>
              </w:rPr>
              <w:t>2</w:t>
            </w:r>
          </w:p>
        </w:tc>
      </w:tr>
      <w:tr w:rsidR="00D00B24" w:rsidRPr="006116E3" w14:paraId="31F64F21" w14:textId="77777777" w:rsidTr="000D2B1D">
        <w:tc>
          <w:tcPr>
            <w:tcW w:w="1188" w:type="dxa"/>
          </w:tcPr>
          <w:p w14:paraId="1B2614B4" w14:textId="77777777" w:rsidR="00D00B24" w:rsidRPr="006116E3" w:rsidRDefault="00D00B24" w:rsidP="000D2B1D">
            <w:pPr>
              <w:jc w:val="center"/>
              <w:rPr>
                <w:rFonts w:ascii="Times New Roman" w:hAnsi="Times New Roman" w:cs="Times New Roman"/>
                <w:sz w:val="24"/>
                <w:szCs w:val="24"/>
              </w:rPr>
            </w:pPr>
            <w:r w:rsidRPr="006116E3">
              <w:rPr>
                <w:rFonts w:ascii="Times New Roman" w:hAnsi="Times New Roman" w:cs="Times New Roman"/>
                <w:sz w:val="24"/>
                <w:szCs w:val="24"/>
              </w:rPr>
              <w:t>011</w:t>
            </w:r>
          </w:p>
        </w:tc>
        <w:tc>
          <w:tcPr>
            <w:tcW w:w="1530" w:type="dxa"/>
          </w:tcPr>
          <w:p w14:paraId="1EF4FAAF" w14:textId="77777777" w:rsidR="00D00B24" w:rsidRPr="006116E3" w:rsidRDefault="00D00B24" w:rsidP="000D2B1D">
            <w:pPr>
              <w:rPr>
                <w:rFonts w:ascii="Times New Roman" w:hAnsi="Times New Roman" w:cs="Times New Roman"/>
                <w:sz w:val="24"/>
                <w:szCs w:val="24"/>
              </w:rPr>
            </w:pPr>
            <w:r>
              <w:rPr>
                <w:rFonts w:ascii="Times New Roman" w:eastAsia="MS Mincho" w:hAnsi="Times New Roman" w:cs="Times New Roman"/>
                <w:sz w:val="24"/>
                <w:szCs w:val="24"/>
              </w:rPr>
              <w:t xml:space="preserve">09.56 </w:t>
            </w:r>
            <w:r w:rsidRPr="006116E3">
              <w:rPr>
                <w:rFonts w:ascii="Times New Roman" w:eastAsia="MS Mincho" w:hAnsi="Times New Roman" w:cs="Times New Roman"/>
                <w:sz w:val="24"/>
                <w:szCs w:val="24"/>
              </w:rPr>
              <w:t>(</w:t>
            </w:r>
            <w:r>
              <w:rPr>
                <w:rFonts w:ascii="Times New Roman" w:eastAsia="MS Mincho" w:hAnsi="Times New Roman" w:cs="Times New Roman"/>
                <w:sz w:val="24"/>
                <w:szCs w:val="24"/>
              </w:rPr>
              <w:t>1</w:t>
            </w:r>
            <w:r w:rsidRPr="006116E3">
              <w:rPr>
                <w:rFonts w:ascii="Times New Roman" w:hAnsi="Times New Roman" w:cs="Times New Roman"/>
                <w:sz w:val="24"/>
                <w:szCs w:val="24"/>
              </w:rPr>
              <w:t>)</w:t>
            </w:r>
          </w:p>
        </w:tc>
        <w:tc>
          <w:tcPr>
            <w:tcW w:w="1800" w:type="dxa"/>
          </w:tcPr>
          <w:p w14:paraId="3741D561" w14:textId="77777777"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09.60</w:t>
            </w:r>
          </w:p>
        </w:tc>
        <w:tc>
          <w:tcPr>
            <w:tcW w:w="1800" w:type="dxa"/>
            <w:vMerge w:val="restart"/>
          </w:tcPr>
          <w:p w14:paraId="73A3C0DA" w14:textId="77777777" w:rsidR="00D00B24" w:rsidRPr="006116E3" w:rsidRDefault="00D00B24" w:rsidP="000D2B1D">
            <w:pPr>
              <w:rPr>
                <w:rFonts w:ascii="Times New Roman" w:hAnsi="Times New Roman" w:cs="Times New Roman"/>
                <w:sz w:val="24"/>
                <w:szCs w:val="24"/>
              </w:rPr>
            </w:pPr>
          </w:p>
          <w:p w14:paraId="6C2A6A7F" w14:textId="77777777"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84</w:t>
            </w:r>
          </w:p>
        </w:tc>
        <w:tc>
          <w:tcPr>
            <w:tcW w:w="1710" w:type="dxa"/>
            <w:vMerge w:val="restart"/>
          </w:tcPr>
          <w:p w14:paraId="32447B5B" w14:textId="77777777" w:rsidR="00D00B24" w:rsidRPr="006116E3" w:rsidRDefault="00D00B24" w:rsidP="000D2B1D">
            <w:pPr>
              <w:rPr>
                <w:rFonts w:ascii="Times New Roman" w:hAnsi="Times New Roman" w:cs="Times New Roman"/>
                <w:sz w:val="24"/>
                <w:szCs w:val="24"/>
              </w:rPr>
            </w:pPr>
          </w:p>
          <w:p w14:paraId="083D1739" w14:textId="77777777" w:rsidR="00D00B24" w:rsidRPr="006116E3" w:rsidRDefault="00D00B24" w:rsidP="000D2B1D">
            <w:pPr>
              <w:rPr>
                <w:rFonts w:ascii="Times New Roman" w:hAnsi="Times New Roman" w:cs="Times New Roman"/>
                <w:sz w:val="24"/>
                <w:szCs w:val="24"/>
                <w:vertAlign w:val="superscript"/>
              </w:rPr>
            </w:pPr>
            <w:r>
              <w:rPr>
                <w:rFonts w:ascii="Times New Roman" w:hAnsi="Times New Roman" w:cs="Times New Roman"/>
                <w:sz w:val="24"/>
                <w:szCs w:val="24"/>
              </w:rPr>
              <w:t xml:space="preserve">3.56 </w:t>
            </w:r>
            <w:r w:rsidRPr="006116E3">
              <w:rPr>
                <w:rFonts w:ascii="Times New Roman" w:hAnsi="Times New Roman" w:cs="Times New Roman"/>
                <w:sz w:val="24"/>
                <w:szCs w:val="24"/>
              </w:rPr>
              <w:t>X 10</w:t>
            </w:r>
            <w:r w:rsidRPr="006116E3">
              <w:rPr>
                <w:rFonts w:ascii="Times New Roman" w:hAnsi="Times New Roman" w:cs="Times New Roman"/>
                <w:sz w:val="24"/>
                <w:szCs w:val="24"/>
                <w:vertAlign w:val="superscript"/>
              </w:rPr>
              <w:t>-8</w:t>
            </w:r>
          </w:p>
        </w:tc>
        <w:tc>
          <w:tcPr>
            <w:tcW w:w="990" w:type="dxa"/>
            <w:vMerge w:val="restart"/>
          </w:tcPr>
          <w:p w14:paraId="2AB08BEC" w14:textId="77777777" w:rsidR="00D00B24" w:rsidRPr="006116E3" w:rsidRDefault="00D00B24" w:rsidP="000D2B1D">
            <w:pPr>
              <w:rPr>
                <w:rFonts w:ascii="Times New Roman" w:hAnsi="Times New Roman" w:cs="Times New Roman"/>
                <w:sz w:val="24"/>
                <w:szCs w:val="24"/>
              </w:rPr>
            </w:pPr>
          </w:p>
          <w:p w14:paraId="51F4A8A3" w14:textId="77777777"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6.86</w:t>
            </w:r>
          </w:p>
        </w:tc>
      </w:tr>
      <w:tr w:rsidR="00D00B24" w:rsidRPr="006116E3" w14:paraId="0599A87B" w14:textId="77777777" w:rsidTr="000D2B1D">
        <w:trPr>
          <w:trHeight w:val="398"/>
        </w:trPr>
        <w:tc>
          <w:tcPr>
            <w:tcW w:w="1188" w:type="dxa"/>
          </w:tcPr>
          <w:p w14:paraId="51467DA1" w14:textId="77777777" w:rsidR="00D00B24" w:rsidRPr="006116E3" w:rsidRDefault="00D00B24" w:rsidP="000D2B1D">
            <w:pPr>
              <w:jc w:val="center"/>
              <w:rPr>
                <w:rFonts w:ascii="Times New Roman" w:hAnsi="Times New Roman" w:cs="Times New Roman"/>
                <w:sz w:val="24"/>
                <w:szCs w:val="24"/>
              </w:rPr>
            </w:pPr>
            <w:r w:rsidRPr="006116E3">
              <w:rPr>
                <w:rFonts w:ascii="Times New Roman" w:hAnsi="Times New Roman" w:cs="Times New Roman"/>
                <w:sz w:val="24"/>
                <w:szCs w:val="24"/>
              </w:rPr>
              <w:t>012</w:t>
            </w:r>
          </w:p>
        </w:tc>
        <w:tc>
          <w:tcPr>
            <w:tcW w:w="1530" w:type="dxa"/>
          </w:tcPr>
          <w:p w14:paraId="184E5EC2" w14:textId="77777777" w:rsidR="00D00B24" w:rsidRPr="006116E3" w:rsidRDefault="00D00B24" w:rsidP="000D2B1D">
            <w:pPr>
              <w:rPr>
                <w:rFonts w:ascii="Times New Roman" w:hAnsi="Times New Roman" w:cs="Times New Roman"/>
                <w:sz w:val="24"/>
                <w:szCs w:val="24"/>
              </w:rPr>
            </w:pPr>
            <w:r>
              <w:rPr>
                <w:rFonts w:ascii="Times New Roman" w:hAnsi="Times New Roman" w:cs="Times New Roman"/>
                <w:sz w:val="24"/>
                <w:szCs w:val="24"/>
              </w:rPr>
              <w:t>11.86 (2</w:t>
            </w:r>
            <w:r w:rsidRPr="006116E3">
              <w:rPr>
                <w:rFonts w:ascii="Times New Roman" w:hAnsi="Times New Roman" w:cs="Times New Roman"/>
                <w:sz w:val="24"/>
                <w:szCs w:val="24"/>
              </w:rPr>
              <w:t>)</w:t>
            </w:r>
          </w:p>
        </w:tc>
        <w:tc>
          <w:tcPr>
            <w:tcW w:w="1800" w:type="dxa"/>
          </w:tcPr>
          <w:p w14:paraId="11960714" w14:textId="77777777"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11.97</w:t>
            </w:r>
          </w:p>
        </w:tc>
        <w:tc>
          <w:tcPr>
            <w:tcW w:w="1800" w:type="dxa"/>
            <w:vMerge/>
          </w:tcPr>
          <w:p w14:paraId="439A527F" w14:textId="77777777" w:rsidR="00D00B24" w:rsidRPr="006116E3" w:rsidRDefault="00D00B24" w:rsidP="000D2B1D">
            <w:pPr>
              <w:rPr>
                <w:rFonts w:ascii="Times New Roman" w:hAnsi="Times New Roman" w:cs="Times New Roman"/>
                <w:sz w:val="24"/>
                <w:szCs w:val="24"/>
              </w:rPr>
            </w:pPr>
          </w:p>
        </w:tc>
        <w:tc>
          <w:tcPr>
            <w:tcW w:w="1710" w:type="dxa"/>
            <w:vMerge/>
          </w:tcPr>
          <w:p w14:paraId="125BAFE0" w14:textId="77777777" w:rsidR="00D00B24" w:rsidRPr="006116E3" w:rsidRDefault="00D00B24" w:rsidP="000D2B1D">
            <w:pPr>
              <w:rPr>
                <w:rFonts w:ascii="Times New Roman" w:hAnsi="Times New Roman" w:cs="Times New Roman"/>
                <w:sz w:val="24"/>
                <w:szCs w:val="24"/>
              </w:rPr>
            </w:pPr>
          </w:p>
        </w:tc>
        <w:tc>
          <w:tcPr>
            <w:tcW w:w="990" w:type="dxa"/>
            <w:vMerge/>
          </w:tcPr>
          <w:p w14:paraId="6276E0C4" w14:textId="77777777" w:rsidR="00D00B24" w:rsidRPr="006116E3" w:rsidRDefault="00D00B24" w:rsidP="000D2B1D">
            <w:pPr>
              <w:rPr>
                <w:rFonts w:ascii="Times New Roman" w:hAnsi="Times New Roman" w:cs="Times New Roman"/>
                <w:sz w:val="24"/>
                <w:szCs w:val="24"/>
              </w:rPr>
            </w:pPr>
          </w:p>
        </w:tc>
      </w:tr>
    </w:tbl>
    <w:p w14:paraId="72E13206" w14:textId="77777777" w:rsidR="00D00B24" w:rsidRPr="006116E3" w:rsidRDefault="00D00B24" w:rsidP="00D00B24">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116E3">
        <w:rPr>
          <w:rFonts w:ascii="Times New Roman" w:hAnsi="Times New Roman" w:cs="Times New Roman"/>
          <w:sz w:val="24"/>
          <w:szCs w:val="24"/>
        </w:rPr>
        <w:t>SD= Standard Deviation in the least significant digit</w:t>
      </w:r>
      <w:r>
        <w:rPr>
          <w:rFonts w:ascii="Times New Roman" w:hAnsi="Times New Roman" w:cs="Times New Roman"/>
          <w:sz w:val="24"/>
          <w:szCs w:val="24"/>
        </w:rPr>
        <w:t>)</w:t>
      </w:r>
    </w:p>
    <w:p w14:paraId="44490AFD" w14:textId="77777777" w:rsidR="00D00B24" w:rsidRDefault="00D00B24" w:rsidP="00D00B24">
      <w:pPr>
        <w:pStyle w:val="BodyText"/>
        <w:spacing w:line="480" w:lineRule="auto"/>
      </w:pPr>
    </w:p>
    <w:p w14:paraId="41375AA9" w14:textId="48AD9A3F" w:rsidR="00D00B24" w:rsidRPr="00DC7889" w:rsidRDefault="00D00B24" w:rsidP="00D00B24">
      <w:pPr>
        <w:pStyle w:val="BodyText"/>
        <w:spacing w:line="480" w:lineRule="auto"/>
        <w:ind w:firstLine="720"/>
      </w:pPr>
      <w:r>
        <w:t xml:space="preserve">The constant </w:t>
      </w:r>
      <w:r w:rsidRPr="00DC7889">
        <w:rPr>
          <w:i/>
        </w:rPr>
        <w:t>log β</w:t>
      </w:r>
      <w:r w:rsidRPr="00DC7889">
        <w:rPr>
          <w:i/>
          <w:vertAlign w:val="subscript"/>
        </w:rPr>
        <w:t>011</w:t>
      </w:r>
      <w:r>
        <w:t xml:space="preserve"> is due to the protonation of the amino group of the most basic form of the ligand, to form a zwitter ion.  The magnitude of the protonation constant is low, when compared to the corresponding amine and may be explained as due to the electron withdrawing effect of neighbouring deprotonated carboxylate group.  The second protonation constant, </w:t>
      </w:r>
      <w:r w:rsidRPr="000145FF">
        <w:rPr>
          <w:i/>
        </w:rPr>
        <w:t>log β</w:t>
      </w:r>
      <w:r w:rsidRPr="000145FF">
        <w:rPr>
          <w:i/>
          <w:vertAlign w:val="subscript"/>
        </w:rPr>
        <w:t>012</w:t>
      </w:r>
      <w:r>
        <w:t xml:space="preserve"> is due to the addition of one more proton to the ligand at the carboxylate group. Again, the relative decrease in magnitude of the constant to that of alkyl carboxylate is due to the strong withdrawing effect of the protonated amino group.  The species distribution diagram for glycine is shown in fig. 3.8b.  </w:t>
      </w:r>
      <w:r w:rsidRPr="00DC7889">
        <w:t>Nearly 75% of the ligand is</w:t>
      </w:r>
      <w:r>
        <w:t xml:space="preserve"> in b</w:t>
      </w:r>
      <w:r w:rsidRPr="00DC7889">
        <w:t xml:space="preserve">iprotonated form at 1.80 pH.  The zwitter ion form dominates in the intermediate region </w:t>
      </w:r>
      <w:r w:rsidR="00E50704" w:rsidRPr="00DC7889">
        <w:t>i.e.,</w:t>
      </w:r>
      <w:r w:rsidRPr="00DC7889">
        <w:t xml:space="preserve"> between ~4.0 and ~8.0 pH.  The deprotonated form of the ligand (X</w:t>
      </w:r>
      <w:r w:rsidRPr="00DC7889">
        <w:rPr>
          <w:vertAlign w:val="superscript"/>
        </w:rPr>
        <w:t>-</w:t>
      </w:r>
      <w:r w:rsidRPr="00DC7889">
        <w:t>) exists only above 7.5 pH and increases monotonically above this point.</w:t>
      </w:r>
    </w:p>
    <w:p w14:paraId="039DDB91" w14:textId="7CD3E575" w:rsidR="00D00B24" w:rsidRPr="009A3C46" w:rsidRDefault="00D00B24" w:rsidP="00E50704">
      <w:pPr>
        <w:pStyle w:val="BodyText"/>
        <w:numPr>
          <w:ilvl w:val="0"/>
          <w:numId w:val="23"/>
        </w:numPr>
        <w:spacing w:line="480" w:lineRule="auto"/>
        <w:rPr>
          <w:b/>
        </w:rPr>
      </w:pPr>
      <w:r w:rsidRPr="00A96D2E">
        <w:rPr>
          <w:b/>
        </w:rPr>
        <w:lastRenderedPageBreak/>
        <w:t>Proton-ligand equilibria of</w:t>
      </w:r>
      <w:r>
        <w:t xml:space="preserve"> </w:t>
      </w:r>
      <w:r>
        <w:rPr>
          <w:b/>
        </w:rPr>
        <w:t>L-H</w:t>
      </w:r>
      <w:r w:rsidRPr="009A3C46">
        <w:rPr>
          <w:b/>
        </w:rPr>
        <w:t xml:space="preserve">istidine: </w:t>
      </w:r>
    </w:p>
    <w:p w14:paraId="59FCF8CE" w14:textId="5E6BFFFB" w:rsidR="00D00B24" w:rsidRPr="00960F4C" w:rsidRDefault="00D00B24" w:rsidP="00D00B24">
      <w:pPr>
        <w:autoSpaceDE w:val="0"/>
        <w:autoSpaceDN w:val="0"/>
        <w:adjustRightInd w:val="0"/>
        <w:spacing w:after="0" w:line="480" w:lineRule="auto"/>
        <w:jc w:val="both"/>
        <w:rPr>
          <w:rFonts w:ascii="Times New Roman" w:eastAsiaTheme="minorHAnsi" w:hAnsi="Times New Roman" w:cs="Times New Roman"/>
          <w:sz w:val="24"/>
          <w:szCs w:val="24"/>
        </w:rPr>
      </w:pPr>
      <w:r w:rsidRPr="009A3C46">
        <w:rPr>
          <w:rFonts w:eastAsiaTheme="minorHAnsi"/>
          <w:color w:val="000000"/>
        </w:rPr>
        <w:tab/>
      </w:r>
      <w:r w:rsidRPr="00960F4C">
        <w:rPr>
          <w:rFonts w:ascii="Times New Roman" w:eastAsiaTheme="minorHAnsi" w:hAnsi="Times New Roman" w:cs="Times New Roman"/>
          <w:color w:val="000000"/>
          <w:sz w:val="24"/>
          <w:szCs w:val="24"/>
        </w:rPr>
        <w:t xml:space="preserve">Among the amino acids, L-histidine is one of the strongest metal coordinating </w:t>
      </w:r>
      <w:r w:rsidR="00E50704" w:rsidRPr="00960F4C">
        <w:rPr>
          <w:rFonts w:ascii="Times New Roman" w:eastAsiaTheme="minorHAnsi" w:hAnsi="Times New Roman" w:cs="Times New Roman"/>
          <w:color w:val="000000"/>
          <w:sz w:val="24"/>
          <w:szCs w:val="24"/>
        </w:rPr>
        <w:t>ligands</w:t>
      </w:r>
      <w:r w:rsidRPr="00960F4C">
        <w:rPr>
          <w:rFonts w:ascii="Times New Roman" w:eastAsiaTheme="minorHAnsi" w:hAnsi="Times New Roman" w:cs="Times New Roman"/>
          <w:color w:val="000000"/>
          <w:sz w:val="24"/>
          <w:szCs w:val="24"/>
        </w:rPr>
        <w:t xml:space="preserve"> which plays an important role in the binding of metal ions by proteins.   Histidine has three potential metal-binding sites, namely the carboxylate oxygen, the imidazole imido nitrogen and the amino nitrogen. The imidazole nitrogen of histid</w:t>
      </w:r>
      <w:r>
        <w:rPr>
          <w:rFonts w:ascii="Times New Roman" w:eastAsiaTheme="minorHAnsi" w:hAnsi="Times New Roman" w:cs="Times New Roman"/>
          <w:color w:val="000000"/>
          <w:sz w:val="24"/>
          <w:szCs w:val="24"/>
        </w:rPr>
        <w:t>ine residue</w:t>
      </w:r>
      <w:r w:rsidRPr="00960F4C">
        <w:rPr>
          <w:rFonts w:ascii="Times New Roman" w:eastAsiaTheme="minorHAnsi" w:hAnsi="Times New Roman" w:cs="Times New Roman"/>
          <w:color w:val="000000"/>
          <w:sz w:val="24"/>
          <w:szCs w:val="24"/>
        </w:rPr>
        <w:t xml:space="preserve"> often provides the primary means by which the metal ions are bound to proteins.</w:t>
      </w:r>
    </w:p>
    <w:p w14:paraId="58E1DA57" w14:textId="77777777" w:rsidR="00D00B24" w:rsidRDefault="00D00B24" w:rsidP="00D00B24">
      <w:pPr>
        <w:pStyle w:val="BodyText"/>
        <w:spacing w:line="480" w:lineRule="auto"/>
        <w:jc w:val="center"/>
      </w:pPr>
      <w:r w:rsidRPr="00960F4C">
        <w:object w:dxaOrig="3332" w:dyaOrig="1883" w14:anchorId="756382E2">
          <v:shape id="_x0000_i1032" type="#_x0000_t75" style="width:93.75pt;height:53.25pt" o:ole="">
            <v:imagedata r:id="rId27" o:title=""/>
          </v:shape>
          <o:OLEObject Type="Embed" ProgID="ChemDraw.Document.6.0" ShapeID="_x0000_i1032" DrawAspect="Content" ObjectID="_1756716899" r:id="rId28"/>
        </w:object>
      </w:r>
      <w:r w:rsidRPr="00960F4C">
        <w:t xml:space="preserve">    </w:t>
      </w:r>
      <w:r>
        <w:t xml:space="preserve">    </w:t>
      </w:r>
      <w:r>
        <w:object w:dxaOrig="9244" w:dyaOrig="6403" w14:anchorId="05A10ABF">
          <v:shape id="_x0000_i1033" type="#_x0000_t75" style="width:100.5pt;height:69.75pt" o:ole="">
            <v:imagedata r:id="rId29" o:title=""/>
          </v:shape>
          <o:OLEObject Type="Embed" ProgID="Chem3D.Document.8" ShapeID="_x0000_i1033" DrawAspect="Content" ObjectID="_1756716900" r:id="rId30"/>
        </w:object>
      </w:r>
      <w:r w:rsidRPr="00960F4C">
        <w:t xml:space="preserve">        </w:t>
      </w:r>
    </w:p>
    <w:p w14:paraId="6B821DD6" w14:textId="1A8B194D" w:rsidR="00D00B24" w:rsidRDefault="00D00B24" w:rsidP="00D00B24">
      <w:pPr>
        <w:pStyle w:val="BodyText"/>
        <w:spacing w:line="480" w:lineRule="auto"/>
        <w:jc w:val="center"/>
      </w:pPr>
      <w:r w:rsidRPr="00AE5F15">
        <w:rPr>
          <w:b/>
        </w:rPr>
        <w:t>Figure 9</w:t>
      </w:r>
      <w:r>
        <w:t>: L-Histidine</w:t>
      </w:r>
    </w:p>
    <w:p w14:paraId="79BF7999" w14:textId="330688FE" w:rsidR="00D00B24" w:rsidRDefault="00D00B24" w:rsidP="00D00B24">
      <w:pPr>
        <w:spacing w:line="480" w:lineRule="auto"/>
        <w:ind w:firstLine="720"/>
        <w:jc w:val="both"/>
        <w:rPr>
          <w:rFonts w:ascii="Times New Roman" w:hAnsi="Times New Roman" w:cs="Times New Roman"/>
          <w:sz w:val="24"/>
          <w:szCs w:val="24"/>
        </w:rPr>
      </w:pPr>
      <w:r w:rsidRPr="00960F4C">
        <w:rPr>
          <w:rFonts w:ascii="Times New Roman" w:hAnsi="Times New Roman" w:cs="Times New Roman"/>
          <w:sz w:val="24"/>
          <w:szCs w:val="24"/>
        </w:rPr>
        <w:t xml:space="preserve">Histidine belongs to a group of amino acids that contain one or more amino groups in the side chain. Because amine groups can accept protons, they are bases and these amino acids are considered </w:t>
      </w:r>
      <w:r>
        <w:rPr>
          <w:rFonts w:ascii="Times New Roman" w:hAnsi="Times New Roman" w:cs="Times New Roman"/>
          <w:sz w:val="24"/>
          <w:szCs w:val="24"/>
        </w:rPr>
        <w:t xml:space="preserve">as </w:t>
      </w:r>
      <w:r w:rsidRPr="00960F4C">
        <w:rPr>
          <w:rFonts w:ascii="Times New Roman" w:hAnsi="Times New Roman" w:cs="Times New Roman"/>
          <w:sz w:val="24"/>
          <w:szCs w:val="24"/>
        </w:rPr>
        <w:t>basic amino acids. In solution they can accept proton</w:t>
      </w:r>
      <w:r>
        <w:rPr>
          <w:rFonts w:ascii="Times New Roman" w:hAnsi="Times New Roman" w:cs="Times New Roman"/>
          <w:sz w:val="24"/>
          <w:szCs w:val="24"/>
        </w:rPr>
        <w:t>s</w:t>
      </w:r>
      <w:r w:rsidRPr="00960F4C">
        <w:rPr>
          <w:rFonts w:ascii="Times New Roman" w:hAnsi="Times New Roman" w:cs="Times New Roman"/>
          <w:sz w:val="24"/>
          <w:szCs w:val="24"/>
        </w:rPr>
        <w:t xml:space="preserve"> from water to become positively charged. </w:t>
      </w:r>
      <w:r>
        <w:rPr>
          <w:rFonts w:ascii="Times New Roman" w:hAnsi="Times New Roman" w:cs="Times New Roman"/>
          <w:sz w:val="24"/>
          <w:szCs w:val="24"/>
        </w:rPr>
        <w:t xml:space="preserve"> </w:t>
      </w:r>
      <w:r w:rsidRPr="00960F4C">
        <w:rPr>
          <w:rFonts w:ascii="Times New Roman" w:hAnsi="Times New Roman" w:cs="Times New Roman"/>
          <w:sz w:val="24"/>
          <w:szCs w:val="24"/>
        </w:rPr>
        <w:t xml:space="preserve">In histidine </w:t>
      </w:r>
      <w:r>
        <w:rPr>
          <w:rFonts w:ascii="Times New Roman" w:hAnsi="Times New Roman" w:cs="Times New Roman"/>
          <w:sz w:val="24"/>
          <w:szCs w:val="24"/>
        </w:rPr>
        <w:t xml:space="preserve">in addition to the amino group, </w:t>
      </w:r>
      <w:r w:rsidRPr="00960F4C">
        <w:rPr>
          <w:rFonts w:ascii="Times New Roman" w:hAnsi="Times New Roman" w:cs="Times New Roman"/>
          <w:sz w:val="24"/>
          <w:szCs w:val="24"/>
        </w:rPr>
        <w:t>it is the double bonded nitrogen atom that accepts the proton and has a pK</w:t>
      </w:r>
      <w:r w:rsidRPr="00960F4C">
        <w:rPr>
          <w:rFonts w:ascii="Times New Roman" w:hAnsi="Times New Roman" w:cs="Times New Roman"/>
          <w:sz w:val="24"/>
          <w:szCs w:val="24"/>
          <w:vertAlign w:val="subscript"/>
        </w:rPr>
        <w:t>a</w:t>
      </w:r>
      <w:r w:rsidRPr="00960F4C">
        <w:rPr>
          <w:rFonts w:ascii="Times New Roman" w:hAnsi="Times New Roman" w:cs="Times New Roman"/>
          <w:sz w:val="24"/>
          <w:szCs w:val="24"/>
        </w:rPr>
        <w:t xml:space="preserve"> value in the physiological pH range, hence often is the only amino acid seen in biologically active sites when the donation or abstraction of a proton is needed.  </w:t>
      </w:r>
      <w:r>
        <w:rPr>
          <w:rFonts w:ascii="Times New Roman" w:hAnsi="Times New Roman" w:cs="Times New Roman"/>
          <w:sz w:val="24"/>
          <w:szCs w:val="24"/>
        </w:rPr>
        <w:t xml:space="preserve">  Structurally</w:t>
      </w:r>
      <w:r w:rsidRPr="00960F4C">
        <w:rPr>
          <w:rFonts w:ascii="Times New Roman" w:hAnsi="Times New Roman" w:cs="Times New Roman"/>
          <w:sz w:val="24"/>
          <w:szCs w:val="24"/>
        </w:rPr>
        <w:t xml:space="preserve">, </w:t>
      </w:r>
      <w:r>
        <w:rPr>
          <w:rFonts w:ascii="Times New Roman" w:hAnsi="Times New Roman" w:cs="Times New Roman"/>
          <w:sz w:val="24"/>
          <w:szCs w:val="24"/>
        </w:rPr>
        <w:t xml:space="preserve">it is possible that </w:t>
      </w:r>
      <w:r w:rsidRPr="00960F4C">
        <w:rPr>
          <w:rFonts w:ascii="Times New Roman" w:hAnsi="Times New Roman" w:cs="Times New Roman"/>
          <w:sz w:val="24"/>
          <w:szCs w:val="24"/>
        </w:rPr>
        <w:t xml:space="preserve">histidine (XH) </w:t>
      </w:r>
      <w:r>
        <w:rPr>
          <w:rFonts w:ascii="Times New Roman" w:hAnsi="Times New Roman" w:cs="Times New Roman"/>
          <w:sz w:val="24"/>
          <w:szCs w:val="24"/>
        </w:rPr>
        <w:t>can</w:t>
      </w:r>
      <w:r w:rsidRPr="00960F4C">
        <w:rPr>
          <w:rFonts w:ascii="Times New Roman" w:hAnsi="Times New Roman" w:cs="Times New Roman"/>
          <w:sz w:val="24"/>
          <w:szCs w:val="24"/>
        </w:rPr>
        <w:t xml:space="preserve"> exist</w:t>
      </w:r>
      <w:r>
        <w:rPr>
          <w:rFonts w:ascii="Times New Roman" w:hAnsi="Times New Roman" w:cs="Times New Roman"/>
          <w:sz w:val="24"/>
          <w:szCs w:val="24"/>
        </w:rPr>
        <w:t xml:space="preserve"> (Figure</w:t>
      </w:r>
      <w:r w:rsidR="00E50704">
        <w:rPr>
          <w:rFonts w:ascii="Times New Roman" w:hAnsi="Times New Roman" w:cs="Times New Roman"/>
          <w:sz w:val="24"/>
          <w:szCs w:val="24"/>
        </w:rPr>
        <w:t xml:space="preserve"> </w:t>
      </w:r>
      <w:r>
        <w:rPr>
          <w:rFonts w:ascii="Times New Roman" w:hAnsi="Times New Roman" w:cs="Times New Roman"/>
          <w:sz w:val="24"/>
          <w:szCs w:val="24"/>
        </w:rPr>
        <w:t xml:space="preserve">10) </w:t>
      </w:r>
      <w:r w:rsidRPr="00960F4C">
        <w:rPr>
          <w:rFonts w:ascii="Times New Roman" w:hAnsi="Times New Roman" w:cs="Times New Roman"/>
          <w:sz w:val="24"/>
          <w:szCs w:val="24"/>
        </w:rPr>
        <w:t>in solution as XH</w:t>
      </w:r>
      <w:r w:rsidRPr="00960F4C">
        <w:rPr>
          <w:rFonts w:ascii="Times New Roman" w:hAnsi="Times New Roman" w:cs="Times New Roman"/>
          <w:sz w:val="24"/>
          <w:szCs w:val="24"/>
          <w:vertAlign w:val="subscript"/>
        </w:rPr>
        <w:t>3</w:t>
      </w:r>
      <w:r w:rsidRPr="00960F4C">
        <w:rPr>
          <w:rFonts w:ascii="Times New Roman" w:hAnsi="Times New Roman" w:cs="Times New Roman"/>
          <w:sz w:val="24"/>
          <w:szCs w:val="24"/>
          <w:vertAlign w:val="superscript"/>
        </w:rPr>
        <w:t>2+</w:t>
      </w:r>
      <w:r w:rsidRPr="00960F4C">
        <w:rPr>
          <w:rFonts w:ascii="Times New Roman" w:hAnsi="Times New Roman" w:cs="Times New Roman"/>
          <w:sz w:val="24"/>
          <w:szCs w:val="24"/>
        </w:rPr>
        <w:t>, XH</w:t>
      </w:r>
      <w:r w:rsidRPr="00960F4C">
        <w:rPr>
          <w:rFonts w:ascii="Times New Roman" w:hAnsi="Times New Roman" w:cs="Times New Roman"/>
          <w:sz w:val="24"/>
          <w:szCs w:val="24"/>
          <w:vertAlign w:val="subscript"/>
        </w:rPr>
        <w:t>2</w:t>
      </w:r>
      <w:r w:rsidRPr="00960F4C">
        <w:rPr>
          <w:rFonts w:ascii="Times New Roman" w:hAnsi="Times New Roman" w:cs="Times New Roman"/>
          <w:sz w:val="24"/>
          <w:szCs w:val="24"/>
          <w:vertAlign w:val="superscript"/>
        </w:rPr>
        <w:t>+</w:t>
      </w:r>
      <w:r w:rsidRPr="00960F4C">
        <w:rPr>
          <w:rFonts w:ascii="Times New Roman" w:hAnsi="Times New Roman" w:cs="Times New Roman"/>
          <w:sz w:val="24"/>
          <w:szCs w:val="24"/>
        </w:rPr>
        <w:t>, XH and X</w:t>
      </w:r>
      <w:r w:rsidRPr="00960F4C">
        <w:rPr>
          <w:rFonts w:ascii="Times New Roman" w:hAnsi="Times New Roman" w:cs="Times New Roman"/>
          <w:sz w:val="24"/>
          <w:szCs w:val="24"/>
          <w:vertAlign w:val="superscript"/>
        </w:rPr>
        <w:t>-</w:t>
      </w:r>
      <w:r w:rsidRPr="00960F4C">
        <w:rPr>
          <w:rFonts w:ascii="Times New Roman" w:hAnsi="Times New Roman" w:cs="Times New Roman"/>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530"/>
        <w:gridCol w:w="1530"/>
        <w:gridCol w:w="1530"/>
      </w:tblGrid>
      <w:tr w:rsidR="00D00B24" w14:paraId="42CFD09E" w14:textId="77777777" w:rsidTr="000D2B1D">
        <w:trPr>
          <w:trHeight w:val="1826"/>
          <w:jc w:val="center"/>
        </w:trPr>
        <w:tc>
          <w:tcPr>
            <w:tcW w:w="1548" w:type="dxa"/>
          </w:tcPr>
          <w:p w14:paraId="41A8E149" w14:textId="77777777" w:rsidR="00D00B24" w:rsidRPr="004220F9" w:rsidRDefault="00D00B24" w:rsidP="000D2B1D">
            <w:r>
              <w:object w:dxaOrig="2607" w:dyaOrig="4124" w14:anchorId="0E25F192">
                <v:shape id="_x0000_i1034" type="#_x0000_t75" style="width:58.5pt;height:92.25pt" o:ole="">
                  <v:imagedata r:id="rId31" o:title=""/>
                </v:shape>
                <o:OLEObject Type="Embed" ProgID="ChemDraw.Document.6.0" ShapeID="_x0000_i1034" DrawAspect="Content" ObjectID="_1756716901" r:id="rId32"/>
              </w:object>
            </w:r>
          </w:p>
        </w:tc>
        <w:tc>
          <w:tcPr>
            <w:tcW w:w="1530" w:type="dxa"/>
          </w:tcPr>
          <w:p w14:paraId="06D78D5B" w14:textId="77777777" w:rsidR="00D00B24" w:rsidRDefault="00D00B24" w:rsidP="000D2B1D">
            <w:r>
              <w:object w:dxaOrig="2762" w:dyaOrig="4189" w14:anchorId="60B119A5">
                <v:shape id="_x0000_i1035" type="#_x0000_t75" style="width:60pt;height:91.5pt" o:ole="">
                  <v:imagedata r:id="rId33" o:title=""/>
                </v:shape>
                <o:OLEObject Type="Embed" ProgID="ChemDraw.Document.6.0" ShapeID="_x0000_i1035" DrawAspect="Content" ObjectID="_1756716902" r:id="rId34"/>
              </w:object>
            </w:r>
          </w:p>
        </w:tc>
        <w:tc>
          <w:tcPr>
            <w:tcW w:w="1530" w:type="dxa"/>
          </w:tcPr>
          <w:p w14:paraId="16569BC0" w14:textId="77777777" w:rsidR="00D00B24" w:rsidRDefault="00D00B24" w:rsidP="000D2B1D">
            <w:r>
              <w:object w:dxaOrig="2762" w:dyaOrig="4131" w14:anchorId="0531C435">
                <v:shape id="_x0000_i1036" type="#_x0000_t75" style="width:60pt;height:89.25pt" o:ole="">
                  <v:imagedata r:id="rId35" o:title=""/>
                </v:shape>
                <o:OLEObject Type="Embed" ProgID="ChemDraw.Document.6.0" ShapeID="_x0000_i1036" DrawAspect="Content" ObjectID="_1756716903" r:id="rId36"/>
              </w:object>
            </w:r>
          </w:p>
        </w:tc>
        <w:tc>
          <w:tcPr>
            <w:tcW w:w="1530" w:type="dxa"/>
          </w:tcPr>
          <w:p w14:paraId="13A1D75D" w14:textId="77777777" w:rsidR="00D00B24" w:rsidRDefault="00D00B24" w:rsidP="000D2B1D">
            <w:r>
              <w:object w:dxaOrig="2952" w:dyaOrig="4046" w14:anchorId="6140E2FE">
                <v:shape id="_x0000_i1037" type="#_x0000_t75" style="width:65.25pt;height:89.25pt" o:ole="">
                  <v:imagedata r:id="rId37" o:title=""/>
                </v:shape>
                <o:OLEObject Type="Embed" ProgID="ChemDraw.Document.6.0" ShapeID="_x0000_i1037" DrawAspect="Content" ObjectID="_1756716904" r:id="rId38"/>
              </w:object>
            </w:r>
          </w:p>
        </w:tc>
      </w:tr>
    </w:tbl>
    <w:p w14:paraId="39832254" w14:textId="618525DE" w:rsidR="00D00B24" w:rsidRDefault="00D00B24" w:rsidP="00D00B24">
      <w:pPr>
        <w:pStyle w:val="BodyText"/>
        <w:spacing w:before="240" w:after="240" w:line="276" w:lineRule="auto"/>
        <w:ind w:firstLine="720"/>
        <w:jc w:val="center"/>
        <w:rPr>
          <w:rFonts w:eastAsiaTheme="minorHAnsi"/>
        </w:rPr>
      </w:pPr>
      <w:r w:rsidRPr="004220F9">
        <w:rPr>
          <w:rFonts w:eastAsiaTheme="minorHAnsi"/>
          <w:b/>
        </w:rPr>
        <w:t>Figure 10</w:t>
      </w:r>
      <w:r>
        <w:rPr>
          <w:rFonts w:eastAsiaTheme="minorHAnsi"/>
        </w:rPr>
        <w:t xml:space="preserve">: </w:t>
      </w:r>
      <w:r>
        <w:t>Fischer Projections of s</w:t>
      </w:r>
      <w:r>
        <w:rPr>
          <w:rFonts w:eastAsiaTheme="minorHAnsi"/>
        </w:rPr>
        <w:t>uccessive protonated species of L-Histidine</w:t>
      </w:r>
    </w:p>
    <w:p w14:paraId="76C8BDB0" w14:textId="0EA523AD" w:rsidR="00D00B24" w:rsidRDefault="00D00B24" w:rsidP="00D00B24">
      <w:pPr>
        <w:autoSpaceDE w:val="0"/>
        <w:autoSpaceDN w:val="0"/>
        <w:adjustRightInd w:val="0"/>
        <w:spacing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ab/>
      </w:r>
      <w:r w:rsidRPr="00960F4C">
        <w:rPr>
          <w:rFonts w:ascii="Times New Roman" w:eastAsiaTheme="minorHAnsi" w:hAnsi="Times New Roman" w:cs="Times New Roman"/>
          <w:sz w:val="24"/>
          <w:szCs w:val="24"/>
        </w:rPr>
        <w:t>The first centre to protonate in the fully ionized histidinate anion (X</w:t>
      </w:r>
      <w:r w:rsidRPr="00960F4C">
        <w:rPr>
          <w:rFonts w:ascii="Times New Roman" w:eastAsiaTheme="minorHAnsi" w:hAnsi="Times New Roman" w:cs="Times New Roman"/>
          <w:sz w:val="24"/>
          <w:szCs w:val="24"/>
          <w:vertAlign w:val="superscript"/>
        </w:rPr>
        <w:t>-</w:t>
      </w:r>
      <w:r w:rsidRPr="00960F4C">
        <w:rPr>
          <w:rFonts w:ascii="Times New Roman" w:eastAsiaTheme="minorHAnsi" w:hAnsi="Times New Roman" w:cs="Times New Roman"/>
          <w:sz w:val="24"/>
          <w:szCs w:val="24"/>
        </w:rPr>
        <w:t xml:space="preserve">) is the amino-nitrogen, followed by the pyridine-like imidazole-nitrogen of the side chain and finally the carboxylate group.   Since these protonation reactions take place over a </w:t>
      </w:r>
      <w:r>
        <w:rPr>
          <w:rFonts w:ascii="Times New Roman" w:eastAsiaTheme="minorHAnsi" w:hAnsi="Times New Roman" w:cs="Times New Roman"/>
          <w:sz w:val="24"/>
          <w:szCs w:val="24"/>
        </w:rPr>
        <w:t>widely separated and</w:t>
      </w:r>
      <w:r w:rsidRPr="00960F4C">
        <w:rPr>
          <w:rFonts w:ascii="Times New Roman" w:eastAsiaTheme="minorHAnsi" w:hAnsi="Times New Roman" w:cs="Times New Roman"/>
          <w:sz w:val="24"/>
          <w:szCs w:val="24"/>
        </w:rPr>
        <w:t xml:space="preserve"> accessible pH range</w:t>
      </w:r>
      <w:r>
        <w:rPr>
          <w:rFonts w:ascii="Times New Roman" w:eastAsiaTheme="minorHAnsi" w:hAnsi="Times New Roman" w:cs="Times New Roman"/>
          <w:sz w:val="24"/>
          <w:szCs w:val="24"/>
        </w:rPr>
        <w:t>s</w:t>
      </w:r>
      <w:r w:rsidRPr="00960F4C">
        <w:rPr>
          <w:rFonts w:ascii="Times New Roman" w:eastAsiaTheme="minorHAnsi" w:hAnsi="Times New Roman" w:cs="Times New Roman"/>
          <w:sz w:val="24"/>
          <w:szCs w:val="24"/>
        </w:rPr>
        <w:t xml:space="preserve">, the </w:t>
      </w:r>
      <w:r>
        <w:rPr>
          <w:rFonts w:ascii="Times New Roman" w:eastAsiaTheme="minorHAnsi" w:hAnsi="Times New Roman" w:cs="Times New Roman"/>
          <w:sz w:val="24"/>
          <w:szCs w:val="24"/>
        </w:rPr>
        <w:t xml:space="preserve">formation </w:t>
      </w:r>
      <w:r w:rsidRPr="00960F4C">
        <w:rPr>
          <w:rFonts w:ascii="Times New Roman" w:eastAsiaTheme="minorHAnsi" w:hAnsi="Times New Roman" w:cs="Times New Roman"/>
          <w:sz w:val="24"/>
          <w:szCs w:val="24"/>
        </w:rPr>
        <w:t xml:space="preserve">constants </w:t>
      </w:r>
      <w:r>
        <w:rPr>
          <w:rFonts w:ascii="Times New Roman" w:eastAsiaTheme="minorHAnsi" w:hAnsi="Times New Roman" w:cs="Times New Roman"/>
          <w:sz w:val="24"/>
          <w:szCs w:val="24"/>
        </w:rPr>
        <w:t xml:space="preserve">(Fig.11) </w:t>
      </w:r>
      <w:r w:rsidRPr="00960F4C">
        <w:rPr>
          <w:rFonts w:ascii="Times New Roman" w:eastAsiaTheme="minorHAnsi" w:hAnsi="Times New Roman" w:cs="Times New Roman"/>
          <w:sz w:val="24"/>
          <w:szCs w:val="24"/>
        </w:rPr>
        <w:t xml:space="preserve">can be determined comparatively accurately.  At higher pH (&gt;14), the pyrrole like proton may also ionize (forming an imidazolate side chain) to give a </w:t>
      </w:r>
      <w:r w:rsidR="00BC5FBA" w:rsidRPr="00960F4C">
        <w:rPr>
          <w:rFonts w:ascii="Times New Roman" w:eastAsiaTheme="minorHAnsi" w:hAnsi="Times New Roman" w:cs="Times New Roman"/>
          <w:sz w:val="24"/>
          <w:szCs w:val="24"/>
        </w:rPr>
        <w:t>dianion</w:t>
      </w:r>
      <w:r w:rsidR="00BC5FBA">
        <w:rPr>
          <w:rFonts w:ascii="Times New Roman" w:eastAsiaTheme="minorHAnsi" w:hAnsi="Times New Roman" w:cs="Times New Roman"/>
          <w:sz w:val="24"/>
          <w:szCs w:val="24"/>
        </w:rPr>
        <w:t xml:space="preserve"> (</w:t>
      </w:r>
      <w:r w:rsidRPr="00960F4C">
        <w:rPr>
          <w:rFonts w:ascii="Times New Roman" w:eastAsiaTheme="minorHAnsi" w:hAnsi="Times New Roman" w:cs="Times New Roman"/>
          <w:sz w:val="24"/>
          <w:szCs w:val="24"/>
        </w:rPr>
        <w:t>X</w:t>
      </w:r>
      <w:r w:rsidRPr="00960F4C">
        <w:rPr>
          <w:rFonts w:ascii="Times New Roman" w:eastAsiaTheme="minorHAnsi" w:hAnsi="Times New Roman" w:cs="Times New Roman"/>
          <w:sz w:val="24"/>
          <w:szCs w:val="24"/>
          <w:vertAlign w:val="superscript"/>
        </w:rPr>
        <w:t>2-</w:t>
      </w:r>
      <w:r w:rsidRPr="00960F4C">
        <w:rPr>
          <w:rFonts w:ascii="Times New Roman" w:eastAsiaTheme="minorHAnsi" w:hAnsi="Times New Roman" w:cs="Times New Roman"/>
          <w:sz w:val="24"/>
          <w:szCs w:val="24"/>
        </w:rPr>
        <w:t>)</w:t>
      </w:r>
      <w:r>
        <w:rPr>
          <w:rFonts w:ascii="Times New Roman" w:eastAsiaTheme="minorHAnsi" w:hAnsi="Times New Roman" w:cs="Times New Roman"/>
          <w:sz w:val="24"/>
          <w:szCs w:val="24"/>
          <w:vertAlign w:val="superscript"/>
        </w:rPr>
        <w:t>15</w:t>
      </w:r>
      <w:r>
        <w:rPr>
          <w:rFonts w:ascii="Times New Roman" w:eastAsiaTheme="minorHAnsi" w:hAnsi="Times New Roman" w:cs="Times New Roman"/>
          <w:sz w:val="24"/>
          <w:szCs w:val="24"/>
        </w:rPr>
        <w:t xml:space="preserve"> which is </w:t>
      </w:r>
      <w:r w:rsidRPr="00960F4C">
        <w:rPr>
          <w:rFonts w:ascii="Times New Roman" w:eastAsiaTheme="minorHAnsi" w:hAnsi="Times New Roman" w:cs="Times New Roman"/>
          <w:sz w:val="24"/>
          <w:szCs w:val="24"/>
        </w:rPr>
        <w:t>of course out of the pH region in aqueous solutions.</w:t>
      </w:r>
    </w:p>
    <w:p w14:paraId="0E220C97" w14:textId="77777777" w:rsidR="00D00B24" w:rsidRDefault="00D00B24" w:rsidP="00D00B24">
      <w:pPr>
        <w:autoSpaceDE w:val="0"/>
        <w:autoSpaceDN w:val="0"/>
        <w:adjustRightInd w:val="0"/>
        <w:spacing w:line="480" w:lineRule="auto"/>
        <w:jc w:val="center"/>
        <w:rPr>
          <w:rFonts w:eastAsiaTheme="minorHAnsi"/>
        </w:rPr>
      </w:pPr>
      <w:r>
        <w:object w:dxaOrig="10123" w:dyaOrig="9137" w14:anchorId="11511DE4">
          <v:shape id="_x0000_i1038" type="#_x0000_t75" style="width:255pt;height:229.5pt" o:ole="">
            <v:imagedata r:id="rId39" o:title=""/>
          </v:shape>
          <o:OLEObject Type="Embed" ProgID="ChemDraw.Document.6.0" ShapeID="_x0000_i1038" DrawAspect="Content" ObjectID="_1756716905" r:id="rId40"/>
        </w:object>
      </w:r>
    </w:p>
    <w:p w14:paraId="4B49B5E0" w14:textId="7D452E4B" w:rsidR="00D00B24" w:rsidRDefault="00D00B24" w:rsidP="00D00B24">
      <w:pPr>
        <w:autoSpaceDE w:val="0"/>
        <w:autoSpaceDN w:val="0"/>
        <w:adjustRightInd w:val="0"/>
        <w:spacing w:line="480" w:lineRule="auto"/>
        <w:jc w:val="center"/>
        <w:rPr>
          <w:rFonts w:ascii="Times New Roman" w:hAnsi="Times New Roman" w:cs="Times New Roman"/>
          <w:bCs/>
        </w:rPr>
      </w:pPr>
      <w:r w:rsidRPr="00AE5F15">
        <w:rPr>
          <w:rFonts w:ascii="Times New Roman" w:hAnsi="Times New Roman" w:cs="Times New Roman"/>
          <w:b/>
          <w:bCs/>
        </w:rPr>
        <w:t xml:space="preserve">Figure </w:t>
      </w:r>
      <w:r>
        <w:rPr>
          <w:rFonts w:ascii="Times New Roman" w:hAnsi="Times New Roman" w:cs="Times New Roman"/>
          <w:b/>
          <w:bCs/>
        </w:rPr>
        <w:t>11</w:t>
      </w:r>
      <w:r w:rsidRPr="00AE5F15">
        <w:rPr>
          <w:rFonts w:ascii="Times New Roman" w:hAnsi="Times New Roman" w:cs="Times New Roman"/>
          <w:bCs/>
        </w:rPr>
        <w:t>:  PROTON-LIGAND EQUILIBRIA OF L-HISTIDINE</w:t>
      </w:r>
    </w:p>
    <w:p w14:paraId="65D334FB" w14:textId="4B7AFD86" w:rsidR="00D00B24" w:rsidRDefault="00D00B24" w:rsidP="00D00B24">
      <w:pPr>
        <w:autoSpaceDE w:val="0"/>
        <w:autoSpaceDN w:val="0"/>
        <w:adjustRightInd w:val="0"/>
        <w:spacing w:line="480" w:lineRule="auto"/>
        <w:jc w:val="both"/>
        <w:rPr>
          <w:szCs w:val="21"/>
        </w:rPr>
      </w:pPr>
      <w:r w:rsidRPr="00960F4C">
        <w:rPr>
          <w:rFonts w:ascii="Times New Roman" w:hAnsi="Times New Roman" w:cs="Times New Roman"/>
          <w:sz w:val="24"/>
          <w:szCs w:val="24"/>
        </w:rPr>
        <w:t>The alkalimetric titration curves</w:t>
      </w:r>
      <w:r>
        <w:rPr>
          <w:rFonts w:ascii="Times New Roman" w:hAnsi="Times New Roman" w:cs="Times New Roman"/>
          <w:sz w:val="24"/>
          <w:szCs w:val="24"/>
        </w:rPr>
        <w:t xml:space="preserve"> obtained,</w:t>
      </w:r>
      <w:r w:rsidRPr="00960F4C">
        <w:rPr>
          <w:rFonts w:ascii="Times New Roman" w:hAnsi="Times New Roman" w:cs="Times New Roman"/>
          <w:sz w:val="24"/>
          <w:szCs w:val="24"/>
        </w:rPr>
        <w:t xml:space="preserve"> in the presence and absence of histidine are shown in Figure </w:t>
      </w:r>
      <w:r>
        <w:rPr>
          <w:rFonts w:ascii="Times New Roman" w:hAnsi="Times New Roman" w:cs="Times New Roman"/>
          <w:sz w:val="24"/>
          <w:szCs w:val="24"/>
        </w:rPr>
        <w:t>12</w:t>
      </w:r>
      <w:r w:rsidRPr="00960F4C">
        <w:rPr>
          <w:rFonts w:ascii="Times New Roman" w:hAnsi="Times New Roman" w:cs="Times New Roman"/>
          <w:sz w:val="24"/>
          <w:szCs w:val="24"/>
        </w:rPr>
        <w:t xml:space="preserve">a.  The titration curve for the </w:t>
      </w:r>
      <w:r>
        <w:rPr>
          <w:rFonts w:ascii="Times New Roman" w:hAnsi="Times New Roman" w:cs="Times New Roman"/>
          <w:sz w:val="24"/>
          <w:szCs w:val="24"/>
        </w:rPr>
        <w:t>acid+ ligand</w:t>
      </w:r>
      <w:r w:rsidRPr="00960F4C">
        <w:rPr>
          <w:rFonts w:ascii="Times New Roman" w:hAnsi="Times New Roman" w:cs="Times New Roman"/>
          <w:sz w:val="24"/>
          <w:szCs w:val="24"/>
        </w:rPr>
        <w:t xml:space="preserve"> (curve 2) is above that of free acid (curve 1) up to a pH of ~ 7.0 indicating the initial association of the proton to the ligand.  The wide difference </w:t>
      </w:r>
      <w:r>
        <w:rPr>
          <w:rFonts w:ascii="Times New Roman" w:hAnsi="Times New Roman" w:cs="Times New Roman"/>
          <w:sz w:val="24"/>
          <w:szCs w:val="24"/>
        </w:rPr>
        <w:t xml:space="preserve">between the curves </w:t>
      </w:r>
      <w:r w:rsidRPr="00960F4C">
        <w:rPr>
          <w:rFonts w:ascii="Times New Roman" w:hAnsi="Times New Roman" w:cs="Times New Roman"/>
          <w:sz w:val="24"/>
          <w:szCs w:val="24"/>
        </w:rPr>
        <w:t xml:space="preserve">indicates proton associations at more than one centre.  The two buffer regions below ~7.0 pH correspond to the </w:t>
      </w:r>
      <w:r>
        <w:rPr>
          <w:rFonts w:ascii="Times New Roman" w:hAnsi="Times New Roman" w:cs="Times New Roman"/>
          <w:sz w:val="24"/>
          <w:szCs w:val="24"/>
        </w:rPr>
        <w:t>titrations</w:t>
      </w:r>
      <w:r w:rsidRPr="00960F4C">
        <w:rPr>
          <w:rFonts w:ascii="Times New Roman" w:hAnsi="Times New Roman" w:cs="Times New Roman"/>
          <w:sz w:val="24"/>
          <w:szCs w:val="24"/>
        </w:rPr>
        <w:t xml:space="preserve"> of carboxylic and ring protons. The buffer region above pH ~7.0 indicates the </w:t>
      </w:r>
      <w:r>
        <w:rPr>
          <w:rFonts w:ascii="Times New Roman" w:hAnsi="Times New Roman" w:cs="Times New Roman"/>
          <w:sz w:val="24"/>
          <w:szCs w:val="24"/>
        </w:rPr>
        <w:t>titration</w:t>
      </w:r>
      <w:r w:rsidRPr="00960F4C">
        <w:rPr>
          <w:rFonts w:ascii="Times New Roman" w:hAnsi="Times New Roman" w:cs="Times New Roman"/>
          <w:sz w:val="24"/>
          <w:szCs w:val="24"/>
        </w:rPr>
        <w:t xml:space="preserve"> of ammonium</w:t>
      </w:r>
      <w:r w:rsidRPr="00960F4C">
        <w:rPr>
          <w:rFonts w:ascii="Times New Roman" w:hAnsi="Times New Roman" w:cs="Times New Roman"/>
          <w:color w:val="FF0000"/>
          <w:sz w:val="24"/>
          <w:szCs w:val="24"/>
        </w:rPr>
        <w:t xml:space="preserve"> </w:t>
      </w:r>
      <w:r w:rsidRPr="00960F4C">
        <w:rPr>
          <w:rFonts w:ascii="Times New Roman" w:hAnsi="Times New Roman" w:cs="Times New Roman"/>
          <w:sz w:val="24"/>
          <w:szCs w:val="24"/>
        </w:rPr>
        <w:t xml:space="preserve">proton.  </w:t>
      </w:r>
    </w:p>
    <w:tbl>
      <w:tblPr>
        <w:tblW w:w="8244" w:type="dxa"/>
        <w:jc w:val="center"/>
        <w:tblLook w:val="04A0" w:firstRow="1" w:lastRow="0" w:firstColumn="1" w:lastColumn="0" w:noHBand="0" w:noVBand="1"/>
      </w:tblPr>
      <w:tblGrid>
        <w:gridCol w:w="576"/>
        <w:gridCol w:w="2340"/>
        <w:gridCol w:w="1497"/>
        <w:gridCol w:w="1023"/>
        <w:gridCol w:w="2808"/>
      </w:tblGrid>
      <w:tr w:rsidR="00D00B24" w:rsidRPr="003C307D" w14:paraId="550DB88C" w14:textId="77777777" w:rsidTr="000D2B1D">
        <w:trPr>
          <w:trHeight w:val="3293"/>
          <w:jc w:val="center"/>
        </w:trPr>
        <w:tc>
          <w:tcPr>
            <w:tcW w:w="4413" w:type="dxa"/>
            <w:gridSpan w:val="3"/>
          </w:tcPr>
          <w:p w14:paraId="72A45C85" w14:textId="77777777" w:rsidR="00D00B24" w:rsidRPr="003C307D" w:rsidRDefault="00D00B24" w:rsidP="000D2B1D">
            <w:pPr>
              <w:spacing w:after="0" w:line="240" w:lineRule="auto"/>
              <w:rPr>
                <w:rFonts w:ascii="Times New Roman" w:hAnsi="Times New Roman" w:cs="Times New Roman"/>
                <w:sz w:val="20"/>
                <w:szCs w:val="20"/>
              </w:rPr>
            </w:pPr>
            <w:r w:rsidRPr="00960F4C">
              <w:rPr>
                <w:rFonts w:ascii="Times New Roman" w:hAnsi="Times New Roman" w:cs="Times New Roman"/>
                <w:sz w:val="24"/>
                <w:szCs w:val="24"/>
              </w:rPr>
              <w:lastRenderedPageBreak/>
              <w:t xml:space="preserve"> </w:t>
            </w:r>
            <w:r>
              <w:rPr>
                <w:rFonts w:ascii="Times New Roman" w:hAnsi="Times New Roman" w:cs="Times New Roman"/>
                <w:noProof/>
                <w:sz w:val="20"/>
                <w:szCs w:val="20"/>
                <w:lang w:val="en-US"/>
              </w:rPr>
              <w:drawing>
                <wp:inline distT="0" distB="0" distL="0" distR="0" wp14:anchorId="705E0A7B" wp14:editId="62C50E1D">
                  <wp:extent cx="2507516" cy="210502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srcRect/>
                          <a:stretch>
                            <a:fillRect/>
                          </a:stretch>
                        </pic:blipFill>
                        <pic:spPr bwMode="auto">
                          <a:xfrm>
                            <a:off x="0" y="0"/>
                            <a:ext cx="2507516" cy="2105025"/>
                          </a:xfrm>
                          <a:prstGeom prst="rect">
                            <a:avLst/>
                          </a:prstGeom>
                          <a:noFill/>
                          <a:ln w="9525">
                            <a:noFill/>
                            <a:miter lim="800000"/>
                            <a:headEnd/>
                            <a:tailEnd/>
                          </a:ln>
                        </pic:spPr>
                      </pic:pic>
                    </a:graphicData>
                  </a:graphic>
                </wp:inline>
              </w:drawing>
            </w:r>
          </w:p>
        </w:tc>
        <w:tc>
          <w:tcPr>
            <w:tcW w:w="3831" w:type="dxa"/>
            <w:gridSpan w:val="2"/>
            <w:vAlign w:val="center"/>
          </w:tcPr>
          <w:p w14:paraId="267E4444" w14:textId="77777777" w:rsidR="00D00B24" w:rsidRPr="003C307D" w:rsidRDefault="00D00B24" w:rsidP="000D2B1D">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14:anchorId="3CBB4B12" wp14:editId="783BD7E3">
                  <wp:extent cx="1914525" cy="2000250"/>
                  <wp:effectExtent l="1905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srcRect/>
                          <a:stretch>
                            <a:fillRect/>
                          </a:stretch>
                        </pic:blipFill>
                        <pic:spPr bwMode="auto">
                          <a:xfrm>
                            <a:off x="0" y="0"/>
                            <a:ext cx="1914525" cy="2000250"/>
                          </a:xfrm>
                          <a:prstGeom prst="rect">
                            <a:avLst/>
                          </a:prstGeom>
                          <a:noFill/>
                          <a:ln w="9525">
                            <a:noFill/>
                            <a:miter lim="800000"/>
                            <a:headEnd/>
                            <a:tailEnd/>
                          </a:ln>
                        </pic:spPr>
                      </pic:pic>
                    </a:graphicData>
                  </a:graphic>
                </wp:inline>
              </w:drawing>
            </w:r>
          </w:p>
        </w:tc>
      </w:tr>
      <w:tr w:rsidR="00D00B24" w:rsidRPr="003C307D" w14:paraId="24D37DA9" w14:textId="77777777" w:rsidTr="000D2B1D">
        <w:trPr>
          <w:trHeight w:val="140"/>
          <w:jc w:val="center"/>
        </w:trPr>
        <w:tc>
          <w:tcPr>
            <w:tcW w:w="576" w:type="dxa"/>
          </w:tcPr>
          <w:p w14:paraId="0A6DB685" w14:textId="77777777" w:rsidR="00D00B24" w:rsidRPr="003C307D" w:rsidRDefault="00D00B24" w:rsidP="000D2B1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C307D">
              <w:rPr>
                <w:rFonts w:ascii="Times New Roman" w:hAnsi="Times New Roman" w:cs="Times New Roman"/>
                <w:sz w:val="20"/>
                <w:szCs w:val="20"/>
              </w:rPr>
              <w:t>a.</w:t>
            </w:r>
          </w:p>
        </w:tc>
        <w:tc>
          <w:tcPr>
            <w:tcW w:w="3837" w:type="dxa"/>
            <w:gridSpan w:val="2"/>
          </w:tcPr>
          <w:p w14:paraId="2DFFAFC2" w14:textId="77777777" w:rsidR="00D00B24" w:rsidRPr="003C307D" w:rsidRDefault="00D00B24" w:rsidP="000D2B1D">
            <w:pPr>
              <w:spacing w:after="0" w:line="240" w:lineRule="auto"/>
              <w:ind w:left="-72"/>
              <w:rPr>
                <w:rFonts w:ascii="Times New Roman" w:hAnsi="Times New Roman" w:cs="Times New Roman"/>
                <w:sz w:val="20"/>
                <w:szCs w:val="20"/>
              </w:rPr>
            </w:pPr>
            <w:r w:rsidRPr="003C307D">
              <w:rPr>
                <w:rFonts w:ascii="Times New Roman" w:hAnsi="Times New Roman" w:cs="Times New Roman"/>
                <w:sz w:val="20"/>
                <w:szCs w:val="20"/>
              </w:rPr>
              <w:t>1.  Titration curve of free mineral acid</w:t>
            </w:r>
          </w:p>
        </w:tc>
        <w:tc>
          <w:tcPr>
            <w:tcW w:w="3831" w:type="dxa"/>
            <w:gridSpan w:val="2"/>
          </w:tcPr>
          <w:p w14:paraId="45067C18" w14:textId="77777777"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 xml:space="preserve">              b. Species distribution diagram</w:t>
            </w:r>
          </w:p>
        </w:tc>
      </w:tr>
      <w:tr w:rsidR="00D00B24" w:rsidRPr="003C307D" w14:paraId="7AC01203" w14:textId="77777777" w:rsidTr="000D2B1D">
        <w:trPr>
          <w:trHeight w:val="167"/>
          <w:jc w:val="center"/>
        </w:trPr>
        <w:tc>
          <w:tcPr>
            <w:tcW w:w="576" w:type="dxa"/>
          </w:tcPr>
          <w:p w14:paraId="6088872C" w14:textId="77777777" w:rsidR="00D00B24" w:rsidRPr="003C307D" w:rsidRDefault="00D00B24" w:rsidP="000D2B1D">
            <w:pPr>
              <w:spacing w:after="0" w:line="240" w:lineRule="auto"/>
              <w:rPr>
                <w:rFonts w:ascii="Times New Roman" w:hAnsi="Times New Roman" w:cs="Times New Roman"/>
                <w:b/>
                <w:sz w:val="20"/>
                <w:szCs w:val="20"/>
              </w:rPr>
            </w:pPr>
          </w:p>
        </w:tc>
        <w:tc>
          <w:tcPr>
            <w:tcW w:w="3837" w:type="dxa"/>
            <w:gridSpan w:val="2"/>
          </w:tcPr>
          <w:p w14:paraId="70B68776" w14:textId="77777777" w:rsidR="00D00B24" w:rsidRPr="003C307D" w:rsidRDefault="00D00B24" w:rsidP="000D2B1D">
            <w:pPr>
              <w:spacing w:after="0" w:line="240" w:lineRule="auto"/>
              <w:ind w:left="-72"/>
              <w:rPr>
                <w:rFonts w:ascii="Times New Roman" w:hAnsi="Times New Roman" w:cs="Times New Roman"/>
                <w:sz w:val="20"/>
                <w:szCs w:val="20"/>
              </w:rPr>
            </w:pPr>
            <w:r w:rsidRPr="003C307D">
              <w:rPr>
                <w:rFonts w:ascii="Times New Roman" w:hAnsi="Times New Roman" w:cs="Times New Roman"/>
                <w:sz w:val="20"/>
                <w:szCs w:val="20"/>
              </w:rPr>
              <w:t xml:space="preserve">2.  Titration curve for acid + </w:t>
            </w:r>
            <w:r>
              <w:rPr>
                <w:rFonts w:ascii="Times New Roman" w:hAnsi="Times New Roman" w:cs="Times New Roman"/>
                <w:sz w:val="20"/>
                <w:szCs w:val="20"/>
              </w:rPr>
              <w:t>Histidine</w:t>
            </w:r>
          </w:p>
        </w:tc>
        <w:tc>
          <w:tcPr>
            <w:tcW w:w="3831" w:type="dxa"/>
            <w:gridSpan w:val="2"/>
          </w:tcPr>
          <w:p w14:paraId="2577A9F6" w14:textId="77777777" w:rsidR="00D00B24" w:rsidRPr="003C307D" w:rsidRDefault="00D00B24" w:rsidP="000D2B1D">
            <w:pPr>
              <w:spacing w:after="0" w:line="240" w:lineRule="auto"/>
              <w:rPr>
                <w:rFonts w:ascii="Times New Roman" w:hAnsi="Times New Roman" w:cs="Times New Roman"/>
                <w:sz w:val="20"/>
                <w:szCs w:val="20"/>
              </w:rPr>
            </w:pPr>
          </w:p>
        </w:tc>
      </w:tr>
      <w:tr w:rsidR="00D00B24" w:rsidRPr="003C307D" w14:paraId="12BF1291" w14:textId="77777777" w:rsidTr="000D2B1D">
        <w:trPr>
          <w:trHeight w:val="203"/>
          <w:jc w:val="center"/>
        </w:trPr>
        <w:tc>
          <w:tcPr>
            <w:tcW w:w="2916" w:type="dxa"/>
            <w:gridSpan w:val="2"/>
          </w:tcPr>
          <w:p w14:paraId="35800084" w14:textId="5533E985" w:rsidR="00D00B24" w:rsidRPr="003C307D" w:rsidRDefault="00D00B24" w:rsidP="000D2B1D">
            <w:pPr>
              <w:tabs>
                <w:tab w:val="left" w:pos="3420"/>
              </w:tabs>
              <w:spacing w:after="0" w:line="240" w:lineRule="auto"/>
              <w:rPr>
                <w:rFonts w:ascii="Times New Roman" w:hAnsi="Times New Roman" w:cs="Times New Roman"/>
                <w:sz w:val="20"/>
                <w:szCs w:val="20"/>
              </w:rPr>
            </w:pPr>
            <w:r w:rsidRPr="003C307D">
              <w:rPr>
                <w:rFonts w:ascii="Times New Roman" w:hAnsi="Times New Roman" w:cs="Times New Roman"/>
                <w:sz w:val="20"/>
                <w:szCs w:val="20"/>
              </w:rPr>
              <w:t>[</w:t>
            </w:r>
            <w:r>
              <w:rPr>
                <w:rFonts w:ascii="Times New Roman" w:hAnsi="Times New Roman" w:cs="Times New Roman"/>
                <w:sz w:val="20"/>
                <w:szCs w:val="20"/>
              </w:rPr>
              <w:t>Histidine</w:t>
            </w:r>
            <w:r w:rsidRPr="003C307D">
              <w:rPr>
                <w:rFonts w:ascii="Times New Roman" w:hAnsi="Times New Roman" w:cs="Times New Roman"/>
                <w:sz w:val="20"/>
                <w:szCs w:val="20"/>
              </w:rPr>
              <w:t xml:space="preserve">] </w:t>
            </w:r>
            <w:r w:rsidR="00E50704" w:rsidRPr="003C307D">
              <w:rPr>
                <w:rFonts w:ascii="Times New Roman" w:hAnsi="Times New Roman" w:cs="Times New Roman"/>
                <w:sz w:val="20"/>
                <w:szCs w:val="20"/>
              </w:rPr>
              <w:t>= 0.0100 mol</w:t>
            </w:r>
            <w:r w:rsidRPr="003C307D">
              <w:rPr>
                <w:rFonts w:ascii="Times New Roman" w:hAnsi="Times New Roman" w:cs="Times New Roman"/>
                <w:sz w:val="20"/>
                <w:szCs w:val="20"/>
              </w:rPr>
              <w:t xml:space="preserve"> dm</w:t>
            </w:r>
            <w:r w:rsidRPr="003C307D">
              <w:rPr>
                <w:rFonts w:ascii="Times New Roman" w:hAnsi="Times New Roman" w:cs="Times New Roman"/>
                <w:sz w:val="20"/>
                <w:szCs w:val="20"/>
                <w:vertAlign w:val="superscript"/>
              </w:rPr>
              <w:t>-3</w:t>
            </w:r>
          </w:p>
        </w:tc>
        <w:tc>
          <w:tcPr>
            <w:tcW w:w="2520" w:type="dxa"/>
            <w:gridSpan w:val="2"/>
          </w:tcPr>
          <w:p w14:paraId="0AA09283" w14:textId="08737AD4"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 xml:space="preserve"> [HCl] </w:t>
            </w:r>
            <w:r w:rsidR="00E50704" w:rsidRPr="003C307D">
              <w:rPr>
                <w:rFonts w:ascii="Times New Roman" w:hAnsi="Times New Roman" w:cs="Times New Roman"/>
                <w:sz w:val="20"/>
                <w:szCs w:val="20"/>
              </w:rPr>
              <w:t>= 0.02944</w:t>
            </w:r>
            <w:r w:rsidRPr="003C307D">
              <w:rPr>
                <w:rFonts w:ascii="Times New Roman" w:hAnsi="Times New Roman" w:cs="Times New Roman"/>
                <w:sz w:val="20"/>
                <w:szCs w:val="20"/>
              </w:rPr>
              <w:t xml:space="preserve"> mol dm</w:t>
            </w:r>
            <w:r w:rsidRPr="003C307D">
              <w:rPr>
                <w:rFonts w:ascii="Times New Roman" w:hAnsi="Times New Roman" w:cs="Times New Roman"/>
                <w:sz w:val="20"/>
                <w:szCs w:val="20"/>
                <w:vertAlign w:val="superscript"/>
              </w:rPr>
              <w:t>-3</w:t>
            </w:r>
            <w:r w:rsidRPr="003C307D">
              <w:rPr>
                <w:rFonts w:ascii="Times New Roman" w:hAnsi="Times New Roman" w:cs="Times New Roman"/>
                <w:sz w:val="20"/>
                <w:szCs w:val="20"/>
              </w:rPr>
              <w:t xml:space="preserve">     </w:t>
            </w:r>
          </w:p>
        </w:tc>
        <w:tc>
          <w:tcPr>
            <w:tcW w:w="2808" w:type="dxa"/>
          </w:tcPr>
          <w:p w14:paraId="4D2154CD" w14:textId="29129DCD"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w:t>
            </w:r>
            <w:r w:rsidR="00E50704" w:rsidRPr="003C307D">
              <w:rPr>
                <w:rFonts w:ascii="Times New Roman" w:hAnsi="Times New Roman" w:cs="Times New Roman"/>
                <w:sz w:val="20"/>
                <w:szCs w:val="20"/>
              </w:rPr>
              <w:t>NaOH</w:t>
            </w:r>
            <w:r w:rsidR="00E50704">
              <w:rPr>
                <w:rFonts w:ascii="Times New Roman" w:hAnsi="Times New Roman" w:cs="Times New Roman"/>
                <w:sz w:val="20"/>
                <w:szCs w:val="20"/>
              </w:rPr>
              <w:t>]</w:t>
            </w:r>
            <w:r>
              <w:rPr>
                <w:rFonts w:ascii="Times New Roman" w:hAnsi="Times New Roman" w:cs="Times New Roman"/>
                <w:sz w:val="20"/>
                <w:szCs w:val="20"/>
              </w:rPr>
              <w:t>= 0.2030</w:t>
            </w:r>
            <w:r w:rsidRPr="003C307D">
              <w:rPr>
                <w:rFonts w:ascii="Times New Roman" w:hAnsi="Times New Roman" w:cs="Times New Roman"/>
                <w:sz w:val="20"/>
                <w:szCs w:val="20"/>
              </w:rPr>
              <w:t xml:space="preserve"> moldm</w:t>
            </w:r>
            <w:r w:rsidRPr="003C307D">
              <w:rPr>
                <w:rFonts w:ascii="Times New Roman" w:hAnsi="Times New Roman" w:cs="Times New Roman"/>
                <w:sz w:val="20"/>
                <w:szCs w:val="20"/>
                <w:vertAlign w:val="superscript"/>
              </w:rPr>
              <w:t>-3</w:t>
            </w:r>
          </w:p>
        </w:tc>
      </w:tr>
      <w:tr w:rsidR="00D00B24" w:rsidRPr="003C307D" w14:paraId="76E5A58F" w14:textId="77777777" w:rsidTr="000D2B1D">
        <w:trPr>
          <w:trHeight w:val="140"/>
          <w:jc w:val="center"/>
        </w:trPr>
        <w:tc>
          <w:tcPr>
            <w:tcW w:w="2916" w:type="dxa"/>
            <w:gridSpan w:val="2"/>
          </w:tcPr>
          <w:p w14:paraId="47381333" w14:textId="77777777"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Temp.: 30.0 ±0. 1</w:t>
            </w:r>
            <w:r w:rsidRPr="003C307D">
              <w:rPr>
                <w:rFonts w:ascii="Times New Roman" w:hAnsi="Times New Roman" w:cs="Times New Roman"/>
                <w:sz w:val="20"/>
                <w:szCs w:val="20"/>
                <w:vertAlign w:val="superscript"/>
              </w:rPr>
              <w:t>0</w:t>
            </w:r>
            <w:r w:rsidRPr="003C307D">
              <w:rPr>
                <w:rFonts w:ascii="Times New Roman" w:hAnsi="Times New Roman" w:cs="Times New Roman"/>
                <w:sz w:val="20"/>
                <w:szCs w:val="20"/>
              </w:rPr>
              <w:t xml:space="preserve">C                                        </w:t>
            </w:r>
          </w:p>
        </w:tc>
        <w:tc>
          <w:tcPr>
            <w:tcW w:w="2520" w:type="dxa"/>
            <w:gridSpan w:val="2"/>
          </w:tcPr>
          <w:p w14:paraId="4D457327" w14:textId="77777777" w:rsidR="00D00B24" w:rsidRPr="003C307D" w:rsidRDefault="00D00B24" w:rsidP="000D2B1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C307D">
              <w:rPr>
                <w:rFonts w:ascii="Times New Roman" w:hAnsi="Times New Roman" w:cs="Times New Roman"/>
                <w:sz w:val="20"/>
                <w:szCs w:val="20"/>
              </w:rPr>
              <w:t>Total volume= 50.0 cm</w:t>
            </w:r>
            <w:r w:rsidRPr="003C307D">
              <w:rPr>
                <w:rFonts w:ascii="Times New Roman" w:hAnsi="Times New Roman" w:cs="Times New Roman"/>
                <w:sz w:val="20"/>
                <w:szCs w:val="20"/>
                <w:vertAlign w:val="superscript"/>
              </w:rPr>
              <w:t>3</w:t>
            </w:r>
            <w:r w:rsidRPr="003C307D">
              <w:rPr>
                <w:rFonts w:ascii="Times New Roman" w:hAnsi="Times New Roman" w:cs="Times New Roman"/>
                <w:sz w:val="20"/>
                <w:szCs w:val="20"/>
              </w:rPr>
              <w:t xml:space="preserve">      </w:t>
            </w:r>
          </w:p>
        </w:tc>
        <w:tc>
          <w:tcPr>
            <w:tcW w:w="2808" w:type="dxa"/>
          </w:tcPr>
          <w:p w14:paraId="7C5F8105" w14:textId="77777777"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i/>
                <w:sz w:val="20"/>
                <w:szCs w:val="20"/>
              </w:rPr>
              <w:t>I</w:t>
            </w:r>
            <w:r w:rsidRPr="003C307D">
              <w:rPr>
                <w:rFonts w:ascii="Times New Roman" w:hAnsi="Times New Roman" w:cs="Times New Roman"/>
                <w:sz w:val="20"/>
                <w:szCs w:val="20"/>
              </w:rPr>
              <w:t xml:space="preserve"> = 0.1 mol dm</w:t>
            </w:r>
            <w:r w:rsidRPr="003C307D">
              <w:rPr>
                <w:rFonts w:ascii="Times New Roman" w:hAnsi="Times New Roman" w:cs="Times New Roman"/>
                <w:sz w:val="20"/>
                <w:szCs w:val="20"/>
                <w:vertAlign w:val="superscript"/>
              </w:rPr>
              <w:t>-3</w:t>
            </w:r>
            <w:r w:rsidRPr="003C307D">
              <w:rPr>
                <w:rFonts w:ascii="Times New Roman" w:hAnsi="Times New Roman" w:cs="Times New Roman"/>
                <w:sz w:val="20"/>
                <w:szCs w:val="20"/>
              </w:rPr>
              <w:t xml:space="preserve"> NaCl</w:t>
            </w:r>
          </w:p>
        </w:tc>
      </w:tr>
      <w:tr w:rsidR="00D00B24" w:rsidRPr="003C307D" w14:paraId="18B93594" w14:textId="77777777" w:rsidTr="000D2B1D">
        <w:trPr>
          <w:trHeight w:val="70"/>
          <w:jc w:val="center"/>
        </w:trPr>
        <w:tc>
          <w:tcPr>
            <w:tcW w:w="8244" w:type="dxa"/>
            <w:gridSpan w:val="5"/>
          </w:tcPr>
          <w:p w14:paraId="630D4BD1" w14:textId="77777777" w:rsidR="00D00B24" w:rsidRDefault="00D00B24" w:rsidP="000D2B1D">
            <w:pPr>
              <w:pStyle w:val="Heading1"/>
              <w:spacing w:line="240" w:lineRule="auto"/>
              <w:jc w:val="center"/>
              <w:rPr>
                <w:sz w:val="20"/>
                <w:szCs w:val="20"/>
                <w:u w:val="none"/>
              </w:rPr>
            </w:pPr>
            <w:bookmarkStart w:id="0" w:name="_Toc345947045"/>
            <w:bookmarkStart w:id="1" w:name="_Toc345947438"/>
          </w:p>
          <w:p w14:paraId="10228E49" w14:textId="2B690AA3" w:rsidR="00D00B24" w:rsidRPr="003C307D" w:rsidRDefault="00D00B24" w:rsidP="000D2B1D">
            <w:pPr>
              <w:pStyle w:val="Heading1"/>
              <w:spacing w:line="240" w:lineRule="auto"/>
              <w:jc w:val="center"/>
              <w:rPr>
                <w:b w:val="0"/>
                <w:sz w:val="20"/>
                <w:szCs w:val="20"/>
              </w:rPr>
            </w:pPr>
            <w:r w:rsidRPr="003C307D">
              <w:rPr>
                <w:sz w:val="20"/>
                <w:szCs w:val="20"/>
                <w:u w:val="none"/>
              </w:rPr>
              <w:t>Figure</w:t>
            </w:r>
            <w:r>
              <w:rPr>
                <w:sz w:val="20"/>
                <w:szCs w:val="20"/>
                <w:u w:val="none"/>
              </w:rPr>
              <w:t xml:space="preserve"> 12</w:t>
            </w:r>
            <w:r w:rsidRPr="003C307D">
              <w:rPr>
                <w:sz w:val="20"/>
                <w:szCs w:val="20"/>
                <w:u w:val="none"/>
              </w:rPr>
              <w:t xml:space="preserve">: </w:t>
            </w:r>
            <w:r>
              <w:rPr>
                <w:sz w:val="20"/>
                <w:szCs w:val="20"/>
                <w:u w:val="none"/>
              </w:rPr>
              <w:t xml:space="preserve"> </w:t>
            </w:r>
            <w:r w:rsidRPr="003C307D">
              <w:rPr>
                <w:b w:val="0"/>
                <w:sz w:val="20"/>
                <w:szCs w:val="20"/>
                <w:u w:val="none"/>
              </w:rPr>
              <w:t xml:space="preserve">PROTON-LIGAND SYSTEM OF </w:t>
            </w:r>
            <w:bookmarkEnd w:id="0"/>
            <w:bookmarkEnd w:id="1"/>
            <w:r>
              <w:rPr>
                <w:b w:val="0"/>
                <w:sz w:val="20"/>
                <w:szCs w:val="20"/>
                <w:u w:val="none"/>
              </w:rPr>
              <w:t>L-HISTIDINE</w:t>
            </w:r>
          </w:p>
        </w:tc>
      </w:tr>
    </w:tbl>
    <w:p w14:paraId="144924F1" w14:textId="77777777" w:rsidR="00D00B24" w:rsidRDefault="00D00B24" w:rsidP="00D00B24">
      <w:pPr>
        <w:autoSpaceDE w:val="0"/>
        <w:autoSpaceDN w:val="0"/>
        <w:adjustRightInd w:val="0"/>
        <w:spacing w:line="480" w:lineRule="auto"/>
        <w:jc w:val="both"/>
        <w:rPr>
          <w:szCs w:val="21"/>
        </w:rPr>
      </w:pPr>
    </w:p>
    <w:p w14:paraId="551AF18A" w14:textId="77777777" w:rsidR="00D00B24" w:rsidRDefault="00D00B24" w:rsidP="00D00B24">
      <w:pPr>
        <w:autoSpaceDE w:val="0"/>
        <w:autoSpaceDN w:val="0"/>
        <w:adjustRightInd w:val="0"/>
        <w:spacing w:line="480" w:lineRule="auto"/>
        <w:jc w:val="both"/>
        <w:rPr>
          <w:szCs w:val="21"/>
        </w:rPr>
      </w:pPr>
      <w:r>
        <w:rPr>
          <w:rFonts w:ascii="Times New Roman" w:hAnsi="Times New Roman" w:cs="Times New Roman"/>
          <w:sz w:val="24"/>
          <w:szCs w:val="24"/>
        </w:rPr>
        <w:tab/>
      </w:r>
      <w:r w:rsidRPr="00960F4C">
        <w:rPr>
          <w:rFonts w:ascii="Times New Roman" w:hAnsi="Times New Roman" w:cs="Times New Roman"/>
          <w:sz w:val="24"/>
          <w:szCs w:val="24"/>
        </w:rPr>
        <w:t xml:space="preserve">The titration curve for the </w:t>
      </w:r>
      <w:r>
        <w:rPr>
          <w:rFonts w:ascii="Times New Roman" w:hAnsi="Times New Roman" w:cs="Times New Roman"/>
          <w:sz w:val="24"/>
          <w:szCs w:val="24"/>
        </w:rPr>
        <w:t>acid+ ligand</w:t>
      </w:r>
      <w:r w:rsidRPr="00960F4C">
        <w:rPr>
          <w:rFonts w:ascii="Times New Roman" w:hAnsi="Times New Roman" w:cs="Times New Roman"/>
          <w:sz w:val="24"/>
          <w:szCs w:val="24"/>
        </w:rPr>
        <w:t xml:space="preserve"> (curve 2) is above that of free acid (curve 1) up to a pH of ~ 7.0 indicating the initial association of the proton to the ligand.  The wide difference </w:t>
      </w:r>
      <w:r>
        <w:rPr>
          <w:rFonts w:ascii="Times New Roman" w:hAnsi="Times New Roman" w:cs="Times New Roman"/>
          <w:sz w:val="24"/>
          <w:szCs w:val="24"/>
        </w:rPr>
        <w:t xml:space="preserve">between the curves </w:t>
      </w:r>
      <w:r w:rsidRPr="00960F4C">
        <w:rPr>
          <w:rFonts w:ascii="Times New Roman" w:hAnsi="Times New Roman" w:cs="Times New Roman"/>
          <w:sz w:val="24"/>
          <w:szCs w:val="24"/>
        </w:rPr>
        <w:t xml:space="preserve">indicates proton associations at more than one centre.  The two buffer regions below ~7.0 pH correspond to the </w:t>
      </w:r>
      <w:r>
        <w:rPr>
          <w:rFonts w:ascii="Times New Roman" w:hAnsi="Times New Roman" w:cs="Times New Roman"/>
          <w:sz w:val="24"/>
          <w:szCs w:val="24"/>
        </w:rPr>
        <w:t>titrations</w:t>
      </w:r>
      <w:r w:rsidRPr="00960F4C">
        <w:rPr>
          <w:rFonts w:ascii="Times New Roman" w:hAnsi="Times New Roman" w:cs="Times New Roman"/>
          <w:sz w:val="24"/>
          <w:szCs w:val="24"/>
        </w:rPr>
        <w:t xml:space="preserve"> of carboxylic and ring protons. The buffer region above pH ~7.0 indicates the </w:t>
      </w:r>
      <w:r>
        <w:rPr>
          <w:rFonts w:ascii="Times New Roman" w:hAnsi="Times New Roman" w:cs="Times New Roman"/>
          <w:sz w:val="24"/>
          <w:szCs w:val="24"/>
        </w:rPr>
        <w:t>titration</w:t>
      </w:r>
      <w:r w:rsidRPr="00960F4C">
        <w:rPr>
          <w:rFonts w:ascii="Times New Roman" w:hAnsi="Times New Roman" w:cs="Times New Roman"/>
          <w:sz w:val="24"/>
          <w:szCs w:val="24"/>
        </w:rPr>
        <w:t xml:space="preserve"> of ammonium</w:t>
      </w:r>
      <w:r w:rsidRPr="00960F4C">
        <w:rPr>
          <w:rFonts w:ascii="Times New Roman" w:hAnsi="Times New Roman" w:cs="Times New Roman"/>
          <w:color w:val="FF0000"/>
          <w:sz w:val="24"/>
          <w:szCs w:val="24"/>
        </w:rPr>
        <w:t xml:space="preserve"> </w:t>
      </w:r>
      <w:r w:rsidRPr="00960F4C">
        <w:rPr>
          <w:rFonts w:ascii="Times New Roman" w:hAnsi="Times New Roman" w:cs="Times New Roman"/>
          <w:sz w:val="24"/>
          <w:szCs w:val="24"/>
        </w:rPr>
        <w:t xml:space="preserve">proton.  </w:t>
      </w:r>
    </w:p>
    <w:p w14:paraId="05B1199F" w14:textId="05A38781" w:rsidR="00D00B24" w:rsidRDefault="00D00B24" w:rsidP="00D00B24">
      <w:pPr>
        <w:autoSpaceDE w:val="0"/>
        <w:autoSpaceDN w:val="0"/>
        <w:adjustRightInd w:val="0"/>
        <w:spacing w:line="480" w:lineRule="auto"/>
        <w:jc w:val="both"/>
        <w:rPr>
          <w:rFonts w:ascii="Times New Roman" w:hAnsi="Times New Roman" w:cs="Times New Roman"/>
          <w:sz w:val="24"/>
          <w:szCs w:val="24"/>
        </w:rPr>
      </w:pPr>
      <w:r w:rsidRPr="009A3C46">
        <w:rPr>
          <w:szCs w:val="21"/>
        </w:rPr>
        <w:tab/>
      </w:r>
      <w:r w:rsidRPr="00960F4C">
        <w:rPr>
          <w:rFonts w:ascii="Times New Roman" w:hAnsi="Times New Roman" w:cs="Times New Roman"/>
          <w:sz w:val="24"/>
          <w:szCs w:val="24"/>
        </w:rPr>
        <w:t>The titration data of all the experiments with different concentrations of the ligand (0.004, 0.01 and 0.015 mol dm</w:t>
      </w:r>
      <w:r w:rsidRPr="00960F4C">
        <w:rPr>
          <w:rFonts w:ascii="Times New Roman" w:hAnsi="Times New Roman" w:cs="Times New Roman"/>
          <w:sz w:val="24"/>
          <w:szCs w:val="24"/>
          <w:vertAlign w:val="superscript"/>
        </w:rPr>
        <w:t>-3</w:t>
      </w:r>
      <w:r w:rsidRPr="00960F4C">
        <w:rPr>
          <w:rFonts w:ascii="Times New Roman" w:hAnsi="Times New Roman" w:cs="Times New Roman"/>
          <w:sz w:val="24"/>
          <w:szCs w:val="24"/>
        </w:rPr>
        <w:t>) were analysed by the ACBA</w:t>
      </w:r>
      <w:r>
        <w:rPr>
          <w:rFonts w:ascii="Times New Roman" w:hAnsi="Times New Roman" w:cs="Times New Roman"/>
          <w:sz w:val="24"/>
          <w:szCs w:val="24"/>
          <w:vertAlign w:val="superscript"/>
        </w:rPr>
        <w:t>12</w:t>
      </w:r>
      <w:r w:rsidRPr="00960F4C">
        <w:rPr>
          <w:rFonts w:ascii="Times New Roman" w:hAnsi="Times New Roman" w:cs="Times New Roman"/>
          <w:sz w:val="24"/>
          <w:szCs w:val="24"/>
        </w:rPr>
        <w:t xml:space="preserve"> computer program and the constants obtained were used as the initial estimates for the refinement using the MINIQUAD-75 program</w:t>
      </w:r>
      <w:r>
        <w:rPr>
          <w:rFonts w:ascii="Times New Roman" w:hAnsi="Times New Roman" w:cs="Times New Roman"/>
          <w:sz w:val="24"/>
          <w:szCs w:val="24"/>
          <w:vertAlign w:val="superscript"/>
        </w:rPr>
        <w:t>13</w:t>
      </w:r>
      <w:r w:rsidRPr="00960F4C">
        <w:rPr>
          <w:rFonts w:ascii="Times New Roman" w:hAnsi="Times New Roman" w:cs="Times New Roman"/>
          <w:sz w:val="24"/>
          <w:szCs w:val="24"/>
        </w:rPr>
        <w:t xml:space="preserve">. The best-fit chemical model thus obtained along with the statistical parameters is shown in Table 4.   </w:t>
      </w:r>
    </w:p>
    <w:p w14:paraId="76309E1C" w14:textId="77777777" w:rsidR="00D00B24" w:rsidRDefault="00D00B24" w:rsidP="00D00B24">
      <w:pPr>
        <w:autoSpaceDE w:val="0"/>
        <w:autoSpaceDN w:val="0"/>
        <w:adjustRightInd w:val="0"/>
        <w:spacing w:line="480" w:lineRule="auto"/>
        <w:jc w:val="both"/>
        <w:rPr>
          <w:rFonts w:ascii="Times New Roman" w:hAnsi="Times New Roman" w:cs="Times New Roman"/>
          <w:sz w:val="24"/>
          <w:szCs w:val="24"/>
        </w:rPr>
      </w:pPr>
    </w:p>
    <w:p w14:paraId="422E7E99" w14:textId="77777777" w:rsidR="00D00B24" w:rsidRPr="00960F4C" w:rsidRDefault="00D00B24" w:rsidP="00D00B24">
      <w:pPr>
        <w:autoSpaceDE w:val="0"/>
        <w:autoSpaceDN w:val="0"/>
        <w:adjustRightInd w:val="0"/>
        <w:spacing w:line="480" w:lineRule="auto"/>
        <w:jc w:val="both"/>
        <w:rPr>
          <w:rFonts w:ascii="Times New Roman" w:hAnsi="Times New Roman" w:cs="Times New Roman"/>
          <w:sz w:val="24"/>
          <w:szCs w:val="24"/>
        </w:rPr>
      </w:pPr>
    </w:p>
    <w:p w14:paraId="0CBB991D" w14:textId="631F0CF4" w:rsidR="00D00B24" w:rsidRDefault="00D00B24" w:rsidP="00D00B2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Table 4</w:t>
      </w:r>
      <w:r w:rsidRPr="006116E3">
        <w:rPr>
          <w:rFonts w:ascii="Times New Roman" w:hAnsi="Times New Roman" w:cs="Times New Roman"/>
          <w:b/>
          <w:sz w:val="24"/>
          <w:szCs w:val="24"/>
        </w:rPr>
        <w:t xml:space="preserve">: </w:t>
      </w:r>
      <w:r w:rsidRPr="006116E3">
        <w:rPr>
          <w:rFonts w:ascii="Times New Roman" w:hAnsi="Times New Roman" w:cs="Times New Roman"/>
          <w:sz w:val="24"/>
          <w:szCs w:val="24"/>
        </w:rPr>
        <w:t xml:space="preserve">Best fit chemical model for acido-basic equilibria of </w:t>
      </w:r>
      <w:r>
        <w:rPr>
          <w:rFonts w:ascii="Times New Roman" w:hAnsi="Times New Roman" w:cs="Times New Roman"/>
          <w:sz w:val="24"/>
          <w:szCs w:val="24"/>
        </w:rPr>
        <w:t>L-histidine</w:t>
      </w:r>
      <w:r w:rsidRPr="006116E3">
        <w:rPr>
          <w:rFonts w:ascii="Times New Roman" w:hAnsi="Times New Roman" w:cs="Times New Roman"/>
          <w:sz w:val="24"/>
          <w:szCs w:val="24"/>
        </w:rPr>
        <w:t xml:space="preserve"> in aqueous </w:t>
      </w:r>
      <w:r>
        <w:rPr>
          <w:rFonts w:ascii="Times New Roman" w:hAnsi="Times New Roman" w:cs="Times New Roman"/>
          <w:sz w:val="24"/>
          <w:szCs w:val="24"/>
        </w:rPr>
        <w:t xml:space="preserve">medium.  </w:t>
      </w:r>
      <w:r w:rsidRPr="00377912">
        <w:rPr>
          <w:rFonts w:ascii="Times New Roman" w:hAnsi="Times New Roman" w:cs="Times New Roman"/>
          <w:sz w:val="24"/>
          <w:szCs w:val="24"/>
        </w:rPr>
        <w:t xml:space="preserve">Temp. = 30.0 ± 0.1°C and ionic strength, </w:t>
      </w:r>
      <w:r w:rsidRPr="00377912">
        <w:rPr>
          <w:rFonts w:ascii="Times New Roman" w:hAnsi="Times New Roman" w:cs="Times New Roman"/>
          <w:i/>
          <w:sz w:val="24"/>
          <w:szCs w:val="24"/>
        </w:rPr>
        <w:t>I</w:t>
      </w:r>
      <w:r w:rsidRPr="00377912">
        <w:rPr>
          <w:rFonts w:ascii="Times New Roman" w:hAnsi="Times New Roman" w:cs="Times New Roman"/>
          <w:sz w:val="24"/>
          <w:szCs w:val="24"/>
        </w:rPr>
        <w:t xml:space="preserve"> = 0.1 mol dm</w:t>
      </w:r>
      <w:r w:rsidRPr="00377912">
        <w:rPr>
          <w:rFonts w:ascii="Times New Roman" w:hAnsi="Times New Roman" w:cs="Times New Roman"/>
          <w:sz w:val="24"/>
          <w:szCs w:val="24"/>
          <w:vertAlign w:val="superscript"/>
        </w:rPr>
        <w:t>–3</w:t>
      </w:r>
      <w:r w:rsidRPr="00377912">
        <w:rPr>
          <w:rFonts w:ascii="Times New Roman" w:hAnsi="Times New Roman" w:cs="Times New Roman"/>
          <w:sz w:val="24"/>
          <w:szCs w:val="24"/>
        </w:rPr>
        <w:t> (NaCl)</w:t>
      </w:r>
    </w:p>
    <w:p w14:paraId="13EDA5BC" w14:textId="77777777" w:rsidR="00D00B24" w:rsidRDefault="00D00B24" w:rsidP="00D00B24">
      <w:pPr>
        <w:spacing w:after="0" w:line="240" w:lineRule="auto"/>
        <w:jc w:val="center"/>
        <w:rPr>
          <w:rFonts w:ascii="Times New Roman" w:hAnsi="Times New Roman" w:cs="Times New Roman"/>
          <w:sz w:val="24"/>
          <w:szCs w:val="24"/>
        </w:rPr>
      </w:pPr>
    </w:p>
    <w:tbl>
      <w:tblPr>
        <w:tblStyle w:val="TableGrid"/>
        <w:tblpPr w:leftFromText="180" w:rightFromText="180" w:vertAnchor="text" w:horzAnchor="margin" w:tblpXSpec="center"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530"/>
        <w:gridCol w:w="1800"/>
        <w:gridCol w:w="1710"/>
        <w:gridCol w:w="1278"/>
      </w:tblGrid>
      <w:tr w:rsidR="00D00B24" w:rsidRPr="006116E3" w14:paraId="4679DDCF" w14:textId="77777777" w:rsidTr="000D2B1D">
        <w:tc>
          <w:tcPr>
            <w:tcW w:w="1620" w:type="dxa"/>
          </w:tcPr>
          <w:p w14:paraId="1EFBD99E" w14:textId="77777777" w:rsidR="00D00B24" w:rsidRPr="009046B7" w:rsidRDefault="00D00B24" w:rsidP="000D2B1D">
            <w:pPr>
              <w:jc w:val="center"/>
              <w:rPr>
                <w:rFonts w:ascii="Times New Roman" w:hAnsi="Times New Roman" w:cs="Times New Roman"/>
                <w:sz w:val="24"/>
                <w:szCs w:val="24"/>
              </w:rPr>
            </w:pPr>
            <w:r w:rsidRPr="009046B7">
              <w:rPr>
                <w:rFonts w:ascii="Times New Roman" w:hAnsi="Times New Roman" w:cs="Times New Roman"/>
                <w:sz w:val="24"/>
                <w:szCs w:val="24"/>
              </w:rPr>
              <w:t>Species</w:t>
            </w:r>
          </w:p>
          <w:p w14:paraId="3ED83E57" w14:textId="77777777" w:rsidR="00D00B24" w:rsidRPr="009046B7" w:rsidRDefault="00D00B24" w:rsidP="000D2B1D">
            <w:pPr>
              <w:jc w:val="center"/>
              <w:rPr>
                <w:rFonts w:ascii="Times New Roman" w:hAnsi="Times New Roman" w:cs="Times New Roman"/>
                <w:i/>
                <w:sz w:val="24"/>
                <w:szCs w:val="24"/>
              </w:rPr>
            </w:pPr>
            <w:r w:rsidRPr="009046B7">
              <w:rPr>
                <w:rFonts w:ascii="Times New Roman" w:hAnsi="Times New Roman" w:cs="Times New Roman"/>
                <w:i/>
                <w:sz w:val="24"/>
                <w:szCs w:val="24"/>
              </w:rPr>
              <w:t>mlh</w:t>
            </w:r>
          </w:p>
        </w:tc>
        <w:tc>
          <w:tcPr>
            <w:tcW w:w="1530" w:type="dxa"/>
          </w:tcPr>
          <w:p w14:paraId="08DC7570" w14:textId="77777777" w:rsidR="00D00B24" w:rsidRPr="009046B7" w:rsidRDefault="00D00B24" w:rsidP="000D2B1D">
            <w:pPr>
              <w:jc w:val="center"/>
              <w:rPr>
                <w:rFonts w:ascii="Times New Roman" w:hAnsi="Times New Roman" w:cs="Times New Roman"/>
                <w:sz w:val="24"/>
                <w:szCs w:val="24"/>
              </w:rPr>
            </w:pPr>
            <w:r w:rsidRPr="009046B7">
              <w:rPr>
                <w:rFonts w:ascii="Times New Roman" w:hAnsi="Times New Roman" w:cs="Times New Roman"/>
                <w:sz w:val="24"/>
                <w:szCs w:val="24"/>
              </w:rPr>
              <w:t>L</w:t>
            </w:r>
            <w:r w:rsidRPr="009046B7">
              <w:rPr>
                <w:rFonts w:ascii="Times New Roman" w:hAnsi="Times New Roman" w:cs="Times New Roman"/>
                <w:i/>
                <w:sz w:val="24"/>
                <w:szCs w:val="24"/>
              </w:rPr>
              <w:t>og β</w:t>
            </w:r>
            <w:r w:rsidRPr="009046B7">
              <w:rPr>
                <w:rFonts w:ascii="Times New Roman" w:hAnsi="Times New Roman" w:cs="Times New Roman"/>
                <w:i/>
                <w:sz w:val="24"/>
                <w:szCs w:val="24"/>
                <w:vertAlign w:val="subscript"/>
              </w:rPr>
              <w:t xml:space="preserve">0lh </w:t>
            </w:r>
            <w:r w:rsidRPr="009046B7">
              <w:rPr>
                <w:rFonts w:ascii="Times New Roman" w:hAnsi="Times New Roman" w:cs="Times New Roman"/>
                <w:i/>
                <w:sz w:val="24"/>
                <w:szCs w:val="24"/>
              </w:rPr>
              <w:t>(SD)</w:t>
            </w:r>
          </w:p>
        </w:tc>
        <w:tc>
          <w:tcPr>
            <w:tcW w:w="1800" w:type="dxa"/>
          </w:tcPr>
          <w:p w14:paraId="0C91F766" w14:textId="77777777" w:rsidR="00D00B24" w:rsidRPr="009046B7" w:rsidRDefault="00D00B24" w:rsidP="000D2B1D">
            <w:pPr>
              <w:jc w:val="center"/>
              <w:rPr>
                <w:rFonts w:ascii="Times New Roman" w:hAnsi="Times New Roman" w:cs="Times New Roman"/>
                <w:sz w:val="24"/>
                <w:szCs w:val="24"/>
              </w:rPr>
            </w:pPr>
            <w:r w:rsidRPr="009046B7">
              <w:rPr>
                <w:rFonts w:ascii="Times New Roman" w:hAnsi="Times New Roman" w:cs="Times New Roman"/>
                <w:sz w:val="24"/>
                <w:szCs w:val="24"/>
              </w:rPr>
              <w:t>Number of experimental points analysed</w:t>
            </w:r>
          </w:p>
        </w:tc>
        <w:tc>
          <w:tcPr>
            <w:tcW w:w="1710" w:type="dxa"/>
          </w:tcPr>
          <w:p w14:paraId="56CCAFE3" w14:textId="77777777" w:rsidR="00D00B24" w:rsidRPr="009046B7" w:rsidRDefault="00D00B24" w:rsidP="000D2B1D">
            <w:pPr>
              <w:jc w:val="center"/>
              <w:rPr>
                <w:rFonts w:ascii="Times New Roman" w:hAnsi="Times New Roman" w:cs="Times New Roman"/>
                <w:sz w:val="24"/>
                <w:szCs w:val="24"/>
                <w:vertAlign w:val="superscript"/>
              </w:rPr>
            </w:pPr>
            <w:r w:rsidRPr="009046B7">
              <w:rPr>
                <w:rFonts w:ascii="Times New Roman" w:hAnsi="Times New Roman" w:cs="Times New Roman"/>
                <w:sz w:val="24"/>
                <w:szCs w:val="24"/>
              </w:rPr>
              <w:t xml:space="preserve">Sum of the squares of residuals, U </w:t>
            </w:r>
          </w:p>
        </w:tc>
        <w:tc>
          <w:tcPr>
            <w:tcW w:w="1278" w:type="dxa"/>
          </w:tcPr>
          <w:p w14:paraId="05847B46" w14:textId="77777777" w:rsidR="00D00B24" w:rsidRPr="009046B7" w:rsidRDefault="00D00B24" w:rsidP="000D2B1D">
            <w:pPr>
              <w:jc w:val="center"/>
              <w:rPr>
                <w:rFonts w:ascii="Times New Roman" w:hAnsi="Times New Roman" w:cs="Times New Roman"/>
                <w:sz w:val="24"/>
                <w:szCs w:val="24"/>
              </w:rPr>
            </w:pPr>
            <w:r w:rsidRPr="009046B7">
              <w:rPr>
                <w:rFonts w:ascii="Times New Roman" w:hAnsi="Times New Roman" w:cs="Times New Roman"/>
                <w:sz w:val="24"/>
                <w:szCs w:val="24"/>
              </w:rPr>
              <w:t>χ</w:t>
            </w:r>
            <w:r w:rsidRPr="009046B7">
              <w:rPr>
                <w:rFonts w:ascii="Times New Roman" w:hAnsi="Times New Roman" w:cs="Times New Roman"/>
                <w:sz w:val="24"/>
                <w:szCs w:val="24"/>
                <w:vertAlign w:val="superscript"/>
              </w:rPr>
              <w:t>2</w:t>
            </w:r>
          </w:p>
        </w:tc>
      </w:tr>
      <w:tr w:rsidR="00D00B24" w:rsidRPr="006116E3" w14:paraId="4420E304" w14:textId="77777777" w:rsidTr="000D2B1D">
        <w:tc>
          <w:tcPr>
            <w:tcW w:w="1620" w:type="dxa"/>
          </w:tcPr>
          <w:p w14:paraId="4C3F1C93"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011</w:t>
            </w:r>
          </w:p>
        </w:tc>
        <w:tc>
          <w:tcPr>
            <w:tcW w:w="1530" w:type="dxa"/>
          </w:tcPr>
          <w:p w14:paraId="2C380D18" w14:textId="77777777" w:rsidR="00D00B24" w:rsidRDefault="00D00B24" w:rsidP="000D2B1D">
            <w:pPr>
              <w:rPr>
                <w:rFonts w:ascii="Times New Roman" w:hAnsi="Times New Roman" w:cs="Times New Roman"/>
              </w:rPr>
            </w:pPr>
            <w:r>
              <w:rPr>
                <w:rFonts w:ascii="Times New Roman" w:eastAsia="MS Mincho" w:hAnsi="Times New Roman" w:cs="Times New Roman"/>
              </w:rPr>
              <w:t xml:space="preserve">     08.95 (1)</w:t>
            </w:r>
          </w:p>
        </w:tc>
        <w:tc>
          <w:tcPr>
            <w:tcW w:w="1800" w:type="dxa"/>
            <w:vMerge w:val="restart"/>
          </w:tcPr>
          <w:p w14:paraId="7D5B1573" w14:textId="77777777" w:rsidR="00D00B24" w:rsidRPr="006116E3" w:rsidRDefault="00D00B24" w:rsidP="000D2B1D">
            <w:pPr>
              <w:rPr>
                <w:rFonts w:ascii="Times New Roman" w:hAnsi="Times New Roman" w:cs="Times New Roman"/>
                <w:sz w:val="24"/>
                <w:szCs w:val="24"/>
              </w:rPr>
            </w:pPr>
          </w:p>
          <w:p w14:paraId="2A52E4C6" w14:textId="77777777"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102</w:t>
            </w:r>
          </w:p>
        </w:tc>
        <w:tc>
          <w:tcPr>
            <w:tcW w:w="1710" w:type="dxa"/>
            <w:vMerge w:val="restart"/>
          </w:tcPr>
          <w:p w14:paraId="491F4D7B" w14:textId="77777777" w:rsidR="00D00B24" w:rsidRPr="006116E3" w:rsidRDefault="00D00B24" w:rsidP="000D2B1D">
            <w:pPr>
              <w:rPr>
                <w:rFonts w:ascii="Times New Roman" w:hAnsi="Times New Roman" w:cs="Times New Roman"/>
                <w:sz w:val="24"/>
                <w:szCs w:val="24"/>
              </w:rPr>
            </w:pPr>
          </w:p>
          <w:p w14:paraId="50EC4172" w14:textId="77777777" w:rsidR="00D00B24" w:rsidRPr="006116E3" w:rsidRDefault="00D00B24" w:rsidP="000D2B1D">
            <w:pPr>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4.021 </w:t>
            </w:r>
            <w:r w:rsidRPr="006116E3">
              <w:rPr>
                <w:rFonts w:ascii="Times New Roman" w:hAnsi="Times New Roman" w:cs="Times New Roman"/>
                <w:sz w:val="24"/>
                <w:szCs w:val="24"/>
              </w:rPr>
              <w:t>X 10</w:t>
            </w:r>
            <w:r w:rsidRPr="006116E3">
              <w:rPr>
                <w:rFonts w:ascii="Times New Roman" w:hAnsi="Times New Roman" w:cs="Times New Roman"/>
                <w:sz w:val="24"/>
                <w:szCs w:val="24"/>
                <w:vertAlign w:val="superscript"/>
              </w:rPr>
              <w:t>-</w:t>
            </w:r>
            <w:r>
              <w:rPr>
                <w:rFonts w:ascii="Times New Roman" w:hAnsi="Times New Roman" w:cs="Times New Roman"/>
                <w:sz w:val="24"/>
                <w:szCs w:val="24"/>
                <w:vertAlign w:val="superscript"/>
              </w:rPr>
              <w:t>8</w:t>
            </w:r>
          </w:p>
        </w:tc>
        <w:tc>
          <w:tcPr>
            <w:tcW w:w="1278" w:type="dxa"/>
            <w:vMerge w:val="restart"/>
          </w:tcPr>
          <w:p w14:paraId="1297A37C" w14:textId="77777777" w:rsidR="00D00B24" w:rsidRPr="006116E3" w:rsidRDefault="00D00B24" w:rsidP="000D2B1D">
            <w:pPr>
              <w:rPr>
                <w:rFonts w:ascii="Times New Roman" w:hAnsi="Times New Roman" w:cs="Times New Roman"/>
                <w:sz w:val="24"/>
                <w:szCs w:val="24"/>
              </w:rPr>
            </w:pPr>
          </w:p>
          <w:p w14:paraId="5E678331" w14:textId="77777777"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23.12</w:t>
            </w:r>
          </w:p>
        </w:tc>
      </w:tr>
      <w:tr w:rsidR="00D00B24" w:rsidRPr="006116E3" w14:paraId="1FC816A2" w14:textId="77777777" w:rsidTr="000D2B1D">
        <w:trPr>
          <w:trHeight w:val="255"/>
        </w:trPr>
        <w:tc>
          <w:tcPr>
            <w:tcW w:w="1620" w:type="dxa"/>
          </w:tcPr>
          <w:p w14:paraId="3CB1DFBA"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012</w:t>
            </w:r>
          </w:p>
        </w:tc>
        <w:tc>
          <w:tcPr>
            <w:tcW w:w="1530" w:type="dxa"/>
          </w:tcPr>
          <w:p w14:paraId="0EE0C328" w14:textId="77777777" w:rsidR="00D00B24" w:rsidRDefault="00D00B24" w:rsidP="000D2B1D">
            <w:pPr>
              <w:rPr>
                <w:rFonts w:ascii="Times New Roman" w:hAnsi="Times New Roman" w:cs="Times New Roman"/>
              </w:rPr>
            </w:pPr>
            <w:r>
              <w:rPr>
                <w:rFonts w:ascii="Times New Roman" w:hAnsi="Times New Roman" w:cs="Times New Roman"/>
              </w:rPr>
              <w:t xml:space="preserve">     15.02 (2)</w:t>
            </w:r>
          </w:p>
        </w:tc>
        <w:tc>
          <w:tcPr>
            <w:tcW w:w="1800" w:type="dxa"/>
            <w:vMerge/>
          </w:tcPr>
          <w:p w14:paraId="5FAB8E2D" w14:textId="77777777" w:rsidR="00D00B24" w:rsidRPr="006116E3" w:rsidRDefault="00D00B24" w:rsidP="000D2B1D">
            <w:pPr>
              <w:rPr>
                <w:rFonts w:ascii="Times New Roman" w:hAnsi="Times New Roman" w:cs="Times New Roman"/>
                <w:sz w:val="24"/>
                <w:szCs w:val="24"/>
              </w:rPr>
            </w:pPr>
          </w:p>
        </w:tc>
        <w:tc>
          <w:tcPr>
            <w:tcW w:w="1710" w:type="dxa"/>
            <w:vMerge/>
          </w:tcPr>
          <w:p w14:paraId="537A3A79" w14:textId="77777777" w:rsidR="00D00B24" w:rsidRPr="006116E3" w:rsidRDefault="00D00B24" w:rsidP="000D2B1D">
            <w:pPr>
              <w:rPr>
                <w:rFonts w:ascii="Times New Roman" w:hAnsi="Times New Roman" w:cs="Times New Roman"/>
                <w:sz w:val="24"/>
                <w:szCs w:val="24"/>
              </w:rPr>
            </w:pPr>
          </w:p>
        </w:tc>
        <w:tc>
          <w:tcPr>
            <w:tcW w:w="1278" w:type="dxa"/>
            <w:vMerge/>
          </w:tcPr>
          <w:p w14:paraId="132223E7" w14:textId="77777777" w:rsidR="00D00B24" w:rsidRPr="006116E3" w:rsidRDefault="00D00B24" w:rsidP="000D2B1D">
            <w:pPr>
              <w:rPr>
                <w:rFonts w:ascii="Times New Roman" w:hAnsi="Times New Roman" w:cs="Times New Roman"/>
                <w:sz w:val="24"/>
                <w:szCs w:val="24"/>
              </w:rPr>
            </w:pPr>
          </w:p>
        </w:tc>
      </w:tr>
      <w:tr w:rsidR="00D00B24" w:rsidRPr="006116E3" w14:paraId="7F0D8774" w14:textId="77777777" w:rsidTr="000D2B1D">
        <w:trPr>
          <w:trHeight w:val="128"/>
        </w:trPr>
        <w:tc>
          <w:tcPr>
            <w:tcW w:w="1620" w:type="dxa"/>
          </w:tcPr>
          <w:p w14:paraId="5A1903CA" w14:textId="77777777" w:rsidR="00D00B24" w:rsidRPr="00377912" w:rsidRDefault="00D00B24" w:rsidP="000D2B1D">
            <w:pPr>
              <w:jc w:val="center"/>
              <w:rPr>
                <w:rFonts w:ascii="Times New Roman" w:hAnsi="Times New Roman" w:cs="Times New Roman"/>
                <w:sz w:val="24"/>
                <w:szCs w:val="24"/>
              </w:rPr>
            </w:pPr>
            <w:r>
              <w:rPr>
                <w:rFonts w:ascii="Times New Roman" w:hAnsi="Times New Roman" w:cs="Times New Roman"/>
                <w:sz w:val="24"/>
                <w:szCs w:val="24"/>
              </w:rPr>
              <w:t>013</w:t>
            </w:r>
          </w:p>
        </w:tc>
        <w:tc>
          <w:tcPr>
            <w:tcW w:w="1530" w:type="dxa"/>
          </w:tcPr>
          <w:p w14:paraId="0CB34C67" w14:textId="77777777" w:rsidR="00D00B24" w:rsidRDefault="00D00B24" w:rsidP="000D2B1D">
            <w:pPr>
              <w:rPr>
                <w:rFonts w:ascii="Times New Roman" w:hAnsi="Times New Roman" w:cs="Times New Roman"/>
              </w:rPr>
            </w:pPr>
            <w:r>
              <w:rPr>
                <w:rFonts w:ascii="Times New Roman" w:hAnsi="Times New Roman" w:cs="Times New Roman"/>
              </w:rPr>
              <w:t xml:space="preserve">     16.74 (2)</w:t>
            </w:r>
          </w:p>
        </w:tc>
        <w:tc>
          <w:tcPr>
            <w:tcW w:w="1800" w:type="dxa"/>
            <w:vMerge/>
          </w:tcPr>
          <w:p w14:paraId="5586D419" w14:textId="77777777" w:rsidR="00D00B24" w:rsidRPr="006116E3" w:rsidRDefault="00D00B24" w:rsidP="000D2B1D">
            <w:pPr>
              <w:rPr>
                <w:rFonts w:ascii="Times New Roman" w:hAnsi="Times New Roman" w:cs="Times New Roman"/>
                <w:sz w:val="24"/>
                <w:szCs w:val="24"/>
              </w:rPr>
            </w:pPr>
          </w:p>
        </w:tc>
        <w:tc>
          <w:tcPr>
            <w:tcW w:w="1710" w:type="dxa"/>
            <w:vMerge/>
          </w:tcPr>
          <w:p w14:paraId="3083A444" w14:textId="77777777" w:rsidR="00D00B24" w:rsidRPr="006116E3" w:rsidRDefault="00D00B24" w:rsidP="000D2B1D">
            <w:pPr>
              <w:rPr>
                <w:rFonts w:ascii="Times New Roman" w:hAnsi="Times New Roman" w:cs="Times New Roman"/>
                <w:sz w:val="24"/>
                <w:szCs w:val="24"/>
              </w:rPr>
            </w:pPr>
          </w:p>
        </w:tc>
        <w:tc>
          <w:tcPr>
            <w:tcW w:w="1278" w:type="dxa"/>
            <w:vMerge/>
          </w:tcPr>
          <w:p w14:paraId="45418EBB" w14:textId="77777777" w:rsidR="00D00B24" w:rsidRPr="006116E3" w:rsidRDefault="00D00B24" w:rsidP="000D2B1D">
            <w:pPr>
              <w:rPr>
                <w:rFonts w:ascii="Times New Roman" w:hAnsi="Times New Roman" w:cs="Times New Roman"/>
                <w:sz w:val="24"/>
                <w:szCs w:val="24"/>
              </w:rPr>
            </w:pPr>
          </w:p>
        </w:tc>
      </w:tr>
    </w:tbl>
    <w:p w14:paraId="45126015" w14:textId="77777777" w:rsidR="00D00B24" w:rsidRDefault="00D00B24" w:rsidP="00D00B24">
      <w:pPr>
        <w:spacing w:before="240"/>
        <w:rPr>
          <w:rFonts w:ascii="Times New Roman" w:hAnsi="Times New Roman" w:cs="Times New Roman"/>
          <w:sz w:val="20"/>
          <w:szCs w:val="20"/>
        </w:rPr>
      </w:pPr>
      <w:r>
        <w:rPr>
          <w:rFonts w:ascii="Times New Roman" w:hAnsi="Times New Roman" w:cs="Times New Roman"/>
          <w:sz w:val="24"/>
          <w:szCs w:val="24"/>
        </w:rPr>
        <w:t xml:space="preserve">                                   </w:t>
      </w:r>
      <w:r>
        <w:rPr>
          <w:rFonts w:ascii="Times New Roman" w:hAnsi="Times New Roman" w:cs="Times New Roman"/>
          <w:sz w:val="20"/>
          <w:szCs w:val="20"/>
        </w:rPr>
        <w:t>(</w:t>
      </w:r>
      <w:r w:rsidRPr="00202C5F">
        <w:rPr>
          <w:rFonts w:ascii="Times New Roman" w:hAnsi="Times New Roman" w:cs="Times New Roman"/>
          <w:sz w:val="20"/>
          <w:szCs w:val="20"/>
        </w:rPr>
        <w:t>SD= Standard Deviation in the least significant digit</w:t>
      </w:r>
      <w:r>
        <w:rPr>
          <w:rFonts w:ascii="Times New Roman" w:hAnsi="Times New Roman" w:cs="Times New Roman"/>
          <w:sz w:val="20"/>
          <w:szCs w:val="20"/>
        </w:rPr>
        <w:t>)</w:t>
      </w:r>
    </w:p>
    <w:p w14:paraId="6CFCD1AE" w14:textId="77777777" w:rsidR="00D00B24" w:rsidRPr="00202C5F" w:rsidRDefault="00D00B24" w:rsidP="00D00B24">
      <w:pPr>
        <w:spacing w:after="0"/>
        <w:jc w:val="center"/>
        <w:rPr>
          <w:sz w:val="20"/>
          <w:szCs w:val="20"/>
        </w:rPr>
      </w:pPr>
    </w:p>
    <w:p w14:paraId="3A04E810" w14:textId="19AECEC0" w:rsidR="00D00B24" w:rsidRPr="00960F4C" w:rsidRDefault="00D00B24" w:rsidP="00D00B24">
      <w:pPr>
        <w:autoSpaceDE w:val="0"/>
        <w:autoSpaceDN w:val="0"/>
        <w:adjustRightInd w:val="0"/>
        <w:spacing w:line="480" w:lineRule="auto"/>
        <w:jc w:val="both"/>
        <w:rPr>
          <w:rFonts w:ascii="Times New Roman" w:hAnsi="Times New Roman" w:cs="Times New Roman"/>
          <w:sz w:val="24"/>
          <w:szCs w:val="24"/>
        </w:rPr>
      </w:pPr>
      <w:r w:rsidRPr="00960F4C">
        <w:rPr>
          <w:rFonts w:ascii="Times New Roman" w:hAnsi="Times New Roman" w:cs="Times New Roman"/>
          <w:sz w:val="24"/>
          <w:szCs w:val="24"/>
        </w:rPr>
        <w:t xml:space="preserve">The results are in good agreement with the literature reports (Table 5) after allowing for </w:t>
      </w:r>
      <w:r>
        <w:rPr>
          <w:rFonts w:ascii="Times New Roman" w:hAnsi="Times New Roman" w:cs="Times New Roman"/>
          <w:sz w:val="24"/>
          <w:szCs w:val="24"/>
        </w:rPr>
        <w:t xml:space="preserve">the </w:t>
      </w:r>
      <w:r w:rsidRPr="00960F4C">
        <w:rPr>
          <w:rFonts w:ascii="Times New Roman" w:hAnsi="Times New Roman" w:cs="Times New Roman"/>
          <w:sz w:val="24"/>
          <w:szCs w:val="24"/>
        </w:rPr>
        <w:t>changes in experimental conditions and calculation methods.</w:t>
      </w:r>
    </w:p>
    <w:p w14:paraId="69477E5C" w14:textId="0FDEC2CB" w:rsidR="00D00B24" w:rsidRPr="006B4741" w:rsidRDefault="00D00B24" w:rsidP="00D00B24">
      <w:pPr>
        <w:jc w:val="center"/>
        <w:rPr>
          <w:rFonts w:ascii="Times New Roman" w:hAnsi="Times New Roman" w:cs="Times New Roman"/>
          <w:sz w:val="24"/>
          <w:szCs w:val="24"/>
        </w:rPr>
      </w:pPr>
      <w:r w:rsidRPr="006B4741">
        <w:rPr>
          <w:rFonts w:ascii="Times New Roman" w:hAnsi="Times New Roman" w:cs="Times New Roman"/>
          <w:b/>
          <w:sz w:val="24"/>
          <w:szCs w:val="24"/>
        </w:rPr>
        <w:t>Table 5</w:t>
      </w:r>
      <w:r w:rsidRPr="006B4741">
        <w:rPr>
          <w:rFonts w:ascii="Times New Roman" w:hAnsi="Times New Roman" w:cs="Times New Roman"/>
          <w:sz w:val="24"/>
          <w:szCs w:val="24"/>
        </w:rPr>
        <w:t>:  Some representative literature reports on the protonation constants of Histidine</w:t>
      </w:r>
    </w:p>
    <w:tbl>
      <w:tblPr>
        <w:tblStyle w:val="TableGrid"/>
        <w:tblW w:w="0" w:type="auto"/>
        <w:jc w:val="center"/>
        <w:tblLook w:val="04A0" w:firstRow="1" w:lastRow="0" w:firstColumn="1" w:lastColumn="0" w:noHBand="0" w:noVBand="1"/>
      </w:tblPr>
      <w:tblGrid>
        <w:gridCol w:w="763"/>
        <w:gridCol w:w="1076"/>
        <w:gridCol w:w="1869"/>
        <w:gridCol w:w="1080"/>
        <w:gridCol w:w="1080"/>
        <w:gridCol w:w="1080"/>
        <w:gridCol w:w="1108"/>
      </w:tblGrid>
      <w:tr w:rsidR="00D00B24" w14:paraId="4D33EC02" w14:textId="77777777" w:rsidTr="000D2B1D">
        <w:trPr>
          <w:jc w:val="center"/>
        </w:trPr>
        <w:tc>
          <w:tcPr>
            <w:tcW w:w="763" w:type="dxa"/>
            <w:vMerge w:val="restart"/>
          </w:tcPr>
          <w:p w14:paraId="76C77360" w14:textId="77777777" w:rsidR="00D00B24" w:rsidRPr="009046B7" w:rsidRDefault="00D00B24" w:rsidP="000D2B1D">
            <w:pPr>
              <w:jc w:val="center"/>
              <w:rPr>
                <w:rFonts w:ascii="Times New Roman" w:hAnsi="Times New Roman" w:cs="Times New Roman"/>
                <w:sz w:val="20"/>
                <w:szCs w:val="20"/>
              </w:rPr>
            </w:pPr>
            <w:r w:rsidRPr="009046B7">
              <w:rPr>
                <w:rFonts w:ascii="Times New Roman" w:hAnsi="Times New Roman" w:cs="Times New Roman"/>
                <w:sz w:val="20"/>
                <w:szCs w:val="20"/>
              </w:rPr>
              <w:t>S.No.</w:t>
            </w:r>
          </w:p>
        </w:tc>
        <w:tc>
          <w:tcPr>
            <w:tcW w:w="2945" w:type="dxa"/>
            <w:gridSpan w:val="2"/>
          </w:tcPr>
          <w:p w14:paraId="5CA20F8D" w14:textId="77777777" w:rsidR="00D00B24" w:rsidRPr="009046B7" w:rsidRDefault="00D00B24" w:rsidP="000D2B1D">
            <w:pPr>
              <w:jc w:val="center"/>
              <w:rPr>
                <w:rFonts w:ascii="Times New Roman" w:hAnsi="Times New Roman" w:cs="Times New Roman"/>
                <w:sz w:val="20"/>
                <w:szCs w:val="20"/>
              </w:rPr>
            </w:pPr>
            <w:r w:rsidRPr="009046B7">
              <w:rPr>
                <w:rFonts w:ascii="Times New Roman" w:hAnsi="Times New Roman" w:cs="Times New Roman"/>
                <w:sz w:val="20"/>
                <w:szCs w:val="20"/>
              </w:rPr>
              <w:t>Experimental conditions</w:t>
            </w:r>
          </w:p>
        </w:tc>
        <w:tc>
          <w:tcPr>
            <w:tcW w:w="1080" w:type="dxa"/>
            <w:vMerge w:val="restart"/>
          </w:tcPr>
          <w:p w14:paraId="503B80CB" w14:textId="77777777" w:rsidR="00D00B24" w:rsidRPr="009046B7" w:rsidRDefault="00D00B24" w:rsidP="000D2B1D">
            <w:pPr>
              <w:jc w:val="center"/>
              <w:rPr>
                <w:rFonts w:ascii="Times New Roman" w:hAnsi="Times New Roman" w:cs="Times New Roman"/>
                <w:i/>
                <w:sz w:val="20"/>
                <w:szCs w:val="20"/>
              </w:rPr>
            </w:pPr>
            <w:r w:rsidRPr="009046B7">
              <w:rPr>
                <w:rFonts w:ascii="Times New Roman" w:hAnsi="Times New Roman" w:cs="Times New Roman"/>
                <w:i/>
                <w:sz w:val="20"/>
                <w:szCs w:val="20"/>
              </w:rPr>
              <w:t>Log β</w:t>
            </w:r>
            <w:r w:rsidRPr="009046B7">
              <w:rPr>
                <w:rFonts w:ascii="Times New Roman" w:hAnsi="Times New Roman" w:cs="Times New Roman"/>
                <w:i/>
                <w:sz w:val="20"/>
                <w:szCs w:val="20"/>
                <w:vertAlign w:val="subscript"/>
              </w:rPr>
              <w:t>011</w:t>
            </w:r>
          </w:p>
        </w:tc>
        <w:tc>
          <w:tcPr>
            <w:tcW w:w="1080" w:type="dxa"/>
            <w:vMerge w:val="restart"/>
          </w:tcPr>
          <w:p w14:paraId="15C8CD28" w14:textId="77777777" w:rsidR="00D00B24" w:rsidRPr="009046B7" w:rsidRDefault="00D00B24" w:rsidP="000D2B1D">
            <w:pPr>
              <w:jc w:val="center"/>
              <w:rPr>
                <w:rFonts w:ascii="Times New Roman" w:hAnsi="Times New Roman" w:cs="Times New Roman"/>
                <w:i/>
                <w:sz w:val="20"/>
                <w:szCs w:val="20"/>
              </w:rPr>
            </w:pPr>
            <w:r w:rsidRPr="009046B7">
              <w:rPr>
                <w:rFonts w:ascii="Times New Roman" w:hAnsi="Times New Roman" w:cs="Times New Roman"/>
                <w:i/>
                <w:sz w:val="20"/>
                <w:szCs w:val="20"/>
              </w:rPr>
              <w:t>Log β</w:t>
            </w:r>
            <w:r w:rsidRPr="009046B7">
              <w:rPr>
                <w:rFonts w:ascii="Times New Roman" w:hAnsi="Times New Roman" w:cs="Times New Roman"/>
                <w:i/>
                <w:sz w:val="20"/>
                <w:szCs w:val="20"/>
                <w:vertAlign w:val="subscript"/>
              </w:rPr>
              <w:t>012</w:t>
            </w:r>
          </w:p>
        </w:tc>
        <w:tc>
          <w:tcPr>
            <w:tcW w:w="1080" w:type="dxa"/>
            <w:vMerge w:val="restart"/>
          </w:tcPr>
          <w:p w14:paraId="5373301A" w14:textId="77777777" w:rsidR="00D00B24" w:rsidRPr="009046B7" w:rsidRDefault="00D00B24" w:rsidP="000D2B1D">
            <w:pPr>
              <w:jc w:val="center"/>
              <w:rPr>
                <w:rFonts w:ascii="Times New Roman" w:hAnsi="Times New Roman" w:cs="Times New Roman"/>
                <w:i/>
                <w:sz w:val="20"/>
                <w:szCs w:val="20"/>
              </w:rPr>
            </w:pPr>
            <w:r w:rsidRPr="009046B7">
              <w:rPr>
                <w:rFonts w:ascii="Times New Roman" w:hAnsi="Times New Roman" w:cs="Times New Roman"/>
                <w:i/>
                <w:sz w:val="20"/>
                <w:szCs w:val="20"/>
              </w:rPr>
              <w:t>Log β</w:t>
            </w:r>
            <w:r w:rsidRPr="009046B7">
              <w:rPr>
                <w:rFonts w:ascii="Times New Roman" w:hAnsi="Times New Roman" w:cs="Times New Roman"/>
                <w:i/>
                <w:sz w:val="20"/>
                <w:szCs w:val="20"/>
                <w:vertAlign w:val="subscript"/>
              </w:rPr>
              <w:t>013</w:t>
            </w:r>
          </w:p>
        </w:tc>
        <w:tc>
          <w:tcPr>
            <w:tcW w:w="1108" w:type="dxa"/>
            <w:vMerge w:val="restart"/>
          </w:tcPr>
          <w:p w14:paraId="0509349C" w14:textId="77777777" w:rsidR="00D00B24" w:rsidRPr="009046B7" w:rsidRDefault="00D00B24" w:rsidP="000D2B1D">
            <w:pPr>
              <w:jc w:val="center"/>
              <w:rPr>
                <w:rFonts w:ascii="Times New Roman" w:hAnsi="Times New Roman" w:cs="Times New Roman"/>
                <w:sz w:val="20"/>
                <w:szCs w:val="20"/>
              </w:rPr>
            </w:pPr>
            <w:r w:rsidRPr="009046B7">
              <w:rPr>
                <w:rFonts w:ascii="Times New Roman" w:hAnsi="Times New Roman" w:cs="Times New Roman"/>
                <w:sz w:val="20"/>
                <w:szCs w:val="20"/>
              </w:rPr>
              <w:t>Reference</w:t>
            </w:r>
          </w:p>
        </w:tc>
      </w:tr>
      <w:tr w:rsidR="00D00B24" w14:paraId="56CB07AF" w14:textId="77777777" w:rsidTr="000D2B1D">
        <w:trPr>
          <w:jc w:val="center"/>
        </w:trPr>
        <w:tc>
          <w:tcPr>
            <w:tcW w:w="763" w:type="dxa"/>
            <w:vMerge/>
          </w:tcPr>
          <w:p w14:paraId="5BF1F06D" w14:textId="77777777" w:rsidR="00D00B24" w:rsidRPr="00D72D92" w:rsidRDefault="00D00B24" w:rsidP="000D2B1D">
            <w:pPr>
              <w:jc w:val="center"/>
              <w:rPr>
                <w:rFonts w:ascii="Times New Roman" w:hAnsi="Times New Roman" w:cs="Times New Roman"/>
                <w:sz w:val="20"/>
                <w:szCs w:val="20"/>
              </w:rPr>
            </w:pPr>
          </w:p>
        </w:tc>
        <w:tc>
          <w:tcPr>
            <w:tcW w:w="1076" w:type="dxa"/>
          </w:tcPr>
          <w:p w14:paraId="6BA16E6C" w14:textId="77777777" w:rsidR="00D00B24" w:rsidRPr="009046B7" w:rsidRDefault="00D00B24" w:rsidP="000D2B1D">
            <w:pPr>
              <w:jc w:val="center"/>
              <w:rPr>
                <w:rFonts w:ascii="Times New Roman" w:hAnsi="Times New Roman" w:cs="Times New Roman"/>
                <w:sz w:val="20"/>
                <w:szCs w:val="20"/>
              </w:rPr>
            </w:pPr>
            <w:r w:rsidRPr="009046B7">
              <w:rPr>
                <w:rFonts w:ascii="Times New Roman" w:hAnsi="Times New Roman" w:cs="Times New Roman"/>
                <w:sz w:val="20"/>
                <w:szCs w:val="20"/>
              </w:rPr>
              <w:t>Temp.</w:t>
            </w:r>
            <w:r w:rsidRPr="009046B7">
              <w:rPr>
                <w:rFonts w:ascii="Times New Roman" w:hAnsi="Times New Roman" w:cs="Times New Roman"/>
                <w:sz w:val="20"/>
                <w:szCs w:val="20"/>
                <w:vertAlign w:val="superscript"/>
              </w:rPr>
              <w:t>0</w:t>
            </w:r>
            <w:r w:rsidRPr="009046B7">
              <w:rPr>
                <w:rFonts w:ascii="Times New Roman" w:hAnsi="Times New Roman" w:cs="Times New Roman"/>
                <w:sz w:val="20"/>
                <w:szCs w:val="20"/>
              </w:rPr>
              <w:t>C</w:t>
            </w:r>
          </w:p>
        </w:tc>
        <w:tc>
          <w:tcPr>
            <w:tcW w:w="1869" w:type="dxa"/>
          </w:tcPr>
          <w:p w14:paraId="2B16037F" w14:textId="77777777" w:rsidR="00D00B24" w:rsidRPr="009046B7" w:rsidRDefault="00D00B24" w:rsidP="000D2B1D">
            <w:pPr>
              <w:rPr>
                <w:rFonts w:ascii="Times New Roman" w:hAnsi="Times New Roman" w:cs="Times New Roman"/>
                <w:sz w:val="20"/>
                <w:szCs w:val="20"/>
              </w:rPr>
            </w:pPr>
            <w:r w:rsidRPr="009046B7">
              <w:rPr>
                <w:rFonts w:ascii="Times New Roman" w:hAnsi="Times New Roman" w:cs="Times New Roman"/>
                <w:sz w:val="20"/>
                <w:szCs w:val="20"/>
              </w:rPr>
              <w:t>Ionic strength</w:t>
            </w:r>
          </w:p>
        </w:tc>
        <w:tc>
          <w:tcPr>
            <w:tcW w:w="1080" w:type="dxa"/>
            <w:vMerge/>
          </w:tcPr>
          <w:p w14:paraId="0690E619" w14:textId="77777777" w:rsidR="00D00B24" w:rsidRPr="00D72D92" w:rsidRDefault="00D00B24" w:rsidP="000D2B1D">
            <w:pPr>
              <w:rPr>
                <w:rFonts w:ascii="Times New Roman" w:hAnsi="Times New Roman" w:cs="Times New Roman"/>
                <w:sz w:val="20"/>
                <w:szCs w:val="20"/>
                <w:vertAlign w:val="subscript"/>
              </w:rPr>
            </w:pPr>
          </w:p>
        </w:tc>
        <w:tc>
          <w:tcPr>
            <w:tcW w:w="1080" w:type="dxa"/>
            <w:vMerge/>
          </w:tcPr>
          <w:p w14:paraId="7FD80114" w14:textId="77777777" w:rsidR="00D00B24" w:rsidRPr="00D72D92" w:rsidRDefault="00D00B24" w:rsidP="000D2B1D">
            <w:pPr>
              <w:rPr>
                <w:rFonts w:ascii="Times New Roman" w:hAnsi="Times New Roman" w:cs="Times New Roman"/>
                <w:sz w:val="20"/>
                <w:szCs w:val="20"/>
              </w:rPr>
            </w:pPr>
          </w:p>
        </w:tc>
        <w:tc>
          <w:tcPr>
            <w:tcW w:w="1080" w:type="dxa"/>
            <w:vMerge/>
          </w:tcPr>
          <w:p w14:paraId="1CAE5EB8" w14:textId="77777777" w:rsidR="00D00B24" w:rsidRPr="00D72D92" w:rsidRDefault="00D00B24" w:rsidP="000D2B1D">
            <w:pPr>
              <w:rPr>
                <w:rFonts w:ascii="Times New Roman" w:hAnsi="Times New Roman" w:cs="Times New Roman"/>
                <w:sz w:val="20"/>
                <w:szCs w:val="20"/>
              </w:rPr>
            </w:pPr>
          </w:p>
        </w:tc>
        <w:tc>
          <w:tcPr>
            <w:tcW w:w="1108" w:type="dxa"/>
            <w:vMerge/>
          </w:tcPr>
          <w:p w14:paraId="68747575" w14:textId="77777777" w:rsidR="00D00B24" w:rsidRPr="00D72D92" w:rsidRDefault="00D00B24" w:rsidP="000D2B1D">
            <w:pPr>
              <w:rPr>
                <w:rFonts w:ascii="Times New Roman" w:hAnsi="Times New Roman" w:cs="Times New Roman"/>
                <w:sz w:val="20"/>
                <w:szCs w:val="20"/>
              </w:rPr>
            </w:pPr>
          </w:p>
        </w:tc>
      </w:tr>
      <w:tr w:rsidR="00D00B24" w14:paraId="107FD304" w14:textId="77777777" w:rsidTr="000D2B1D">
        <w:trPr>
          <w:jc w:val="center"/>
        </w:trPr>
        <w:tc>
          <w:tcPr>
            <w:tcW w:w="763" w:type="dxa"/>
          </w:tcPr>
          <w:p w14:paraId="45F299EB"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w:t>
            </w:r>
          </w:p>
        </w:tc>
        <w:tc>
          <w:tcPr>
            <w:tcW w:w="1076" w:type="dxa"/>
          </w:tcPr>
          <w:p w14:paraId="0707A1F1"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37.0</w:t>
            </w:r>
          </w:p>
        </w:tc>
        <w:tc>
          <w:tcPr>
            <w:tcW w:w="1869" w:type="dxa"/>
          </w:tcPr>
          <w:p w14:paraId="4ADC5EA9" w14:textId="77777777" w:rsidR="00D00B24" w:rsidRPr="00D72D92" w:rsidRDefault="00D00B24" w:rsidP="000D2B1D">
            <w:pPr>
              <w:rPr>
                <w:rFonts w:ascii="Times New Roman" w:hAnsi="Times New Roman" w:cs="Times New Roman"/>
                <w:sz w:val="20"/>
                <w:szCs w:val="20"/>
              </w:rPr>
            </w:pPr>
            <w:r w:rsidRPr="00D72D92">
              <w:rPr>
                <w:rFonts w:ascii="Times New Roman" w:hAnsi="Times New Roman" w:cs="Times New Roman"/>
                <w:sz w:val="20"/>
                <w:szCs w:val="20"/>
              </w:rPr>
              <w:t>0.10 M (NaNO</w:t>
            </w:r>
            <w:r w:rsidRPr="00D72D92">
              <w:rPr>
                <w:rFonts w:ascii="Times New Roman" w:hAnsi="Times New Roman" w:cs="Times New Roman"/>
                <w:sz w:val="20"/>
                <w:szCs w:val="20"/>
                <w:vertAlign w:val="subscript"/>
              </w:rPr>
              <w:t>3</w:t>
            </w:r>
            <w:r w:rsidRPr="00D72D92">
              <w:rPr>
                <w:rFonts w:ascii="Times New Roman" w:hAnsi="Times New Roman" w:cs="Times New Roman"/>
                <w:sz w:val="20"/>
                <w:szCs w:val="20"/>
              </w:rPr>
              <w:t>)</w:t>
            </w:r>
          </w:p>
        </w:tc>
        <w:tc>
          <w:tcPr>
            <w:tcW w:w="1080" w:type="dxa"/>
          </w:tcPr>
          <w:p w14:paraId="03285782" w14:textId="77777777" w:rsidR="00D00B24" w:rsidRPr="00D72D92" w:rsidRDefault="00D00B24" w:rsidP="000D2B1D">
            <w:pPr>
              <w:pStyle w:val="Default"/>
              <w:jc w:val="center"/>
              <w:rPr>
                <w:sz w:val="20"/>
                <w:szCs w:val="20"/>
              </w:rPr>
            </w:pPr>
            <w:r w:rsidRPr="00D72D92">
              <w:rPr>
                <w:sz w:val="20"/>
                <w:szCs w:val="20"/>
              </w:rPr>
              <w:t>8.80</w:t>
            </w:r>
          </w:p>
        </w:tc>
        <w:tc>
          <w:tcPr>
            <w:tcW w:w="1080" w:type="dxa"/>
          </w:tcPr>
          <w:p w14:paraId="3DB1CF19" w14:textId="77777777" w:rsidR="00D00B24" w:rsidRPr="00D72D92" w:rsidRDefault="00D00B24" w:rsidP="000D2B1D">
            <w:pPr>
              <w:pStyle w:val="Default"/>
              <w:jc w:val="center"/>
              <w:rPr>
                <w:color w:val="FF0000"/>
                <w:sz w:val="20"/>
                <w:szCs w:val="20"/>
              </w:rPr>
            </w:pPr>
            <w:r w:rsidRPr="00D72D92">
              <w:rPr>
                <w:sz w:val="20"/>
                <w:szCs w:val="20"/>
              </w:rPr>
              <w:t>14.55</w:t>
            </w:r>
          </w:p>
        </w:tc>
        <w:tc>
          <w:tcPr>
            <w:tcW w:w="1080" w:type="dxa"/>
          </w:tcPr>
          <w:p w14:paraId="6962C6C0" w14:textId="77777777" w:rsidR="00D00B24" w:rsidRPr="00D72D92" w:rsidRDefault="00D00B24" w:rsidP="000D2B1D">
            <w:pPr>
              <w:jc w:val="center"/>
              <w:rPr>
                <w:rFonts w:ascii="Times New Roman" w:hAnsi="Times New Roman" w:cs="Times New Roman"/>
                <w:color w:val="FF0000"/>
                <w:sz w:val="20"/>
                <w:szCs w:val="20"/>
              </w:rPr>
            </w:pPr>
            <w:r w:rsidRPr="00D72D92">
              <w:rPr>
                <w:rFonts w:ascii="Times New Roman" w:hAnsi="Times New Roman" w:cs="Times New Roman"/>
                <w:sz w:val="20"/>
                <w:szCs w:val="20"/>
              </w:rPr>
              <w:t>16.65</w:t>
            </w:r>
          </w:p>
        </w:tc>
        <w:tc>
          <w:tcPr>
            <w:tcW w:w="1108" w:type="dxa"/>
          </w:tcPr>
          <w:p w14:paraId="0D6FAE56"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23</w:t>
            </w:r>
          </w:p>
        </w:tc>
      </w:tr>
      <w:tr w:rsidR="00D00B24" w14:paraId="18E57B71" w14:textId="77777777" w:rsidTr="000D2B1D">
        <w:trPr>
          <w:jc w:val="center"/>
        </w:trPr>
        <w:tc>
          <w:tcPr>
            <w:tcW w:w="763" w:type="dxa"/>
          </w:tcPr>
          <w:p w14:paraId="12CEF5A8"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w:t>
            </w:r>
          </w:p>
        </w:tc>
        <w:tc>
          <w:tcPr>
            <w:tcW w:w="1076" w:type="dxa"/>
          </w:tcPr>
          <w:p w14:paraId="28B2E029"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25.0</w:t>
            </w:r>
          </w:p>
        </w:tc>
        <w:tc>
          <w:tcPr>
            <w:tcW w:w="1869" w:type="dxa"/>
          </w:tcPr>
          <w:p w14:paraId="714E4C39" w14:textId="77777777" w:rsidR="00D00B24" w:rsidRPr="00D72D92" w:rsidRDefault="00D00B24" w:rsidP="000D2B1D">
            <w:pPr>
              <w:rPr>
                <w:rFonts w:ascii="Times New Roman" w:hAnsi="Times New Roman" w:cs="Times New Roman"/>
                <w:sz w:val="20"/>
                <w:szCs w:val="20"/>
              </w:rPr>
            </w:pPr>
            <w:r w:rsidRPr="00D72D92">
              <w:rPr>
                <w:rFonts w:ascii="Times New Roman" w:hAnsi="Times New Roman" w:cs="Times New Roman"/>
                <w:sz w:val="20"/>
                <w:szCs w:val="20"/>
              </w:rPr>
              <w:t>0</w:t>
            </w:r>
            <w:r w:rsidRPr="00D72D92">
              <w:rPr>
                <w:rFonts w:ascii="Times New Roman" w:hAnsi="Times New Roman" w:cs="Times New Roman"/>
                <w:i/>
                <w:iCs/>
                <w:sz w:val="20"/>
                <w:szCs w:val="20"/>
              </w:rPr>
              <w:t>.</w:t>
            </w:r>
            <w:r w:rsidRPr="00D72D92">
              <w:rPr>
                <w:rFonts w:ascii="Times New Roman" w:hAnsi="Times New Roman" w:cs="Times New Roman"/>
                <w:sz w:val="20"/>
                <w:szCs w:val="20"/>
              </w:rPr>
              <w:t>10 M (KCl)</w:t>
            </w:r>
          </w:p>
        </w:tc>
        <w:tc>
          <w:tcPr>
            <w:tcW w:w="1080" w:type="dxa"/>
          </w:tcPr>
          <w:p w14:paraId="63CF23E9"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9.11</w:t>
            </w:r>
          </w:p>
        </w:tc>
        <w:tc>
          <w:tcPr>
            <w:tcW w:w="1080" w:type="dxa"/>
          </w:tcPr>
          <w:p w14:paraId="1CA18F91"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15.19</w:t>
            </w:r>
          </w:p>
        </w:tc>
        <w:tc>
          <w:tcPr>
            <w:tcW w:w="1080" w:type="dxa"/>
          </w:tcPr>
          <w:p w14:paraId="7D0D730E"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16.96</w:t>
            </w:r>
          </w:p>
        </w:tc>
        <w:tc>
          <w:tcPr>
            <w:tcW w:w="1108" w:type="dxa"/>
          </w:tcPr>
          <w:p w14:paraId="0803E7EF"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24</w:t>
            </w:r>
          </w:p>
        </w:tc>
      </w:tr>
      <w:tr w:rsidR="00D00B24" w14:paraId="509F71FA" w14:textId="77777777" w:rsidTr="000D2B1D">
        <w:trPr>
          <w:jc w:val="center"/>
        </w:trPr>
        <w:tc>
          <w:tcPr>
            <w:tcW w:w="763" w:type="dxa"/>
          </w:tcPr>
          <w:p w14:paraId="36BD59B2"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3.</w:t>
            </w:r>
          </w:p>
        </w:tc>
        <w:tc>
          <w:tcPr>
            <w:tcW w:w="1076" w:type="dxa"/>
          </w:tcPr>
          <w:p w14:paraId="1926CB9F"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25.0</w:t>
            </w:r>
          </w:p>
        </w:tc>
        <w:tc>
          <w:tcPr>
            <w:tcW w:w="1869" w:type="dxa"/>
          </w:tcPr>
          <w:p w14:paraId="005E50F5" w14:textId="77777777" w:rsidR="00D00B24" w:rsidRPr="00D72D92" w:rsidRDefault="00D00B24" w:rsidP="000D2B1D">
            <w:pPr>
              <w:rPr>
                <w:rFonts w:ascii="Times New Roman" w:hAnsi="Times New Roman" w:cs="Times New Roman"/>
                <w:sz w:val="20"/>
                <w:szCs w:val="20"/>
              </w:rPr>
            </w:pPr>
            <w:r w:rsidRPr="00D72D92">
              <w:rPr>
                <w:rFonts w:ascii="Times New Roman" w:hAnsi="Times New Roman" w:cs="Times New Roman"/>
                <w:sz w:val="20"/>
                <w:szCs w:val="20"/>
              </w:rPr>
              <w:t>0.10M (KNO</w:t>
            </w:r>
            <w:r w:rsidRPr="00D72D92">
              <w:rPr>
                <w:rFonts w:ascii="Times New Roman" w:hAnsi="Times New Roman" w:cs="Times New Roman"/>
                <w:sz w:val="20"/>
                <w:szCs w:val="20"/>
                <w:vertAlign w:val="subscript"/>
              </w:rPr>
              <w:t>3</w:t>
            </w:r>
            <w:r w:rsidRPr="00D72D92">
              <w:rPr>
                <w:rFonts w:ascii="Times New Roman" w:hAnsi="Times New Roman" w:cs="Times New Roman"/>
                <w:sz w:val="20"/>
                <w:szCs w:val="20"/>
              </w:rPr>
              <w:t>)</w:t>
            </w:r>
          </w:p>
        </w:tc>
        <w:tc>
          <w:tcPr>
            <w:tcW w:w="1080" w:type="dxa"/>
          </w:tcPr>
          <w:p w14:paraId="3D547157" w14:textId="77777777" w:rsidR="00D00B24" w:rsidRPr="00D72D92" w:rsidRDefault="00D00B24" w:rsidP="000D2B1D">
            <w:pPr>
              <w:pStyle w:val="Default"/>
              <w:jc w:val="center"/>
              <w:rPr>
                <w:sz w:val="20"/>
                <w:szCs w:val="20"/>
              </w:rPr>
            </w:pPr>
            <w:r w:rsidRPr="00D72D92">
              <w:rPr>
                <w:sz w:val="20"/>
                <w:szCs w:val="20"/>
              </w:rPr>
              <w:t>9.16</w:t>
            </w:r>
          </w:p>
        </w:tc>
        <w:tc>
          <w:tcPr>
            <w:tcW w:w="1080" w:type="dxa"/>
          </w:tcPr>
          <w:p w14:paraId="6B8CE222" w14:textId="77777777" w:rsidR="00D00B24" w:rsidRPr="00D72D92" w:rsidRDefault="00D00B24" w:rsidP="000D2B1D">
            <w:pPr>
              <w:pStyle w:val="Default"/>
              <w:jc w:val="center"/>
              <w:rPr>
                <w:sz w:val="20"/>
                <w:szCs w:val="20"/>
              </w:rPr>
            </w:pPr>
            <w:r w:rsidRPr="00D72D92">
              <w:rPr>
                <w:sz w:val="20"/>
                <w:szCs w:val="20"/>
              </w:rPr>
              <w:t>15.25</w:t>
            </w:r>
          </w:p>
        </w:tc>
        <w:tc>
          <w:tcPr>
            <w:tcW w:w="1080" w:type="dxa"/>
          </w:tcPr>
          <w:p w14:paraId="16CC1E2D"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17.31</w:t>
            </w:r>
          </w:p>
        </w:tc>
        <w:tc>
          <w:tcPr>
            <w:tcW w:w="1108" w:type="dxa"/>
          </w:tcPr>
          <w:p w14:paraId="2FAE6683"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25</w:t>
            </w:r>
          </w:p>
        </w:tc>
      </w:tr>
      <w:tr w:rsidR="00D00B24" w14:paraId="149C6C09" w14:textId="77777777" w:rsidTr="000D2B1D">
        <w:trPr>
          <w:jc w:val="center"/>
        </w:trPr>
        <w:tc>
          <w:tcPr>
            <w:tcW w:w="763" w:type="dxa"/>
          </w:tcPr>
          <w:p w14:paraId="0FE45B1D"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4.</w:t>
            </w:r>
          </w:p>
        </w:tc>
        <w:tc>
          <w:tcPr>
            <w:tcW w:w="1076" w:type="dxa"/>
          </w:tcPr>
          <w:p w14:paraId="46883277"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25.0</w:t>
            </w:r>
          </w:p>
        </w:tc>
        <w:tc>
          <w:tcPr>
            <w:tcW w:w="1869" w:type="dxa"/>
          </w:tcPr>
          <w:p w14:paraId="7204CB48" w14:textId="77777777" w:rsidR="00D00B24" w:rsidRPr="00D72D92" w:rsidRDefault="00D00B24" w:rsidP="000D2B1D">
            <w:pPr>
              <w:rPr>
                <w:rFonts w:ascii="Times New Roman" w:hAnsi="Times New Roman" w:cs="Times New Roman"/>
                <w:sz w:val="20"/>
                <w:szCs w:val="20"/>
              </w:rPr>
            </w:pPr>
            <w:r w:rsidRPr="00D72D92">
              <w:rPr>
                <w:rFonts w:ascii="Times New Roman" w:hAnsi="Times New Roman" w:cs="Times New Roman"/>
                <w:sz w:val="20"/>
                <w:szCs w:val="20"/>
              </w:rPr>
              <w:t>0.10M (KNO</w:t>
            </w:r>
            <w:r w:rsidRPr="00D72D92">
              <w:rPr>
                <w:rFonts w:ascii="Times New Roman" w:hAnsi="Times New Roman" w:cs="Times New Roman"/>
                <w:sz w:val="20"/>
                <w:szCs w:val="20"/>
                <w:vertAlign w:val="subscript"/>
              </w:rPr>
              <w:t>3</w:t>
            </w:r>
            <w:r w:rsidRPr="00D72D92">
              <w:rPr>
                <w:rFonts w:ascii="Times New Roman" w:hAnsi="Times New Roman" w:cs="Times New Roman"/>
                <w:sz w:val="20"/>
                <w:szCs w:val="20"/>
              </w:rPr>
              <w:t>)</w:t>
            </w:r>
          </w:p>
        </w:tc>
        <w:tc>
          <w:tcPr>
            <w:tcW w:w="1080" w:type="dxa"/>
          </w:tcPr>
          <w:p w14:paraId="3CF77102"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9.12</w:t>
            </w:r>
          </w:p>
        </w:tc>
        <w:tc>
          <w:tcPr>
            <w:tcW w:w="1080" w:type="dxa"/>
          </w:tcPr>
          <w:p w14:paraId="7BB72A45"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15.17</w:t>
            </w:r>
          </w:p>
        </w:tc>
        <w:tc>
          <w:tcPr>
            <w:tcW w:w="1080" w:type="dxa"/>
          </w:tcPr>
          <w:p w14:paraId="3CDDA362"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16.60</w:t>
            </w:r>
          </w:p>
        </w:tc>
        <w:tc>
          <w:tcPr>
            <w:tcW w:w="1108" w:type="dxa"/>
          </w:tcPr>
          <w:p w14:paraId="1DD1CC6E"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26</w:t>
            </w:r>
          </w:p>
        </w:tc>
      </w:tr>
      <w:tr w:rsidR="00D00B24" w14:paraId="73C72FEA" w14:textId="77777777" w:rsidTr="000D2B1D">
        <w:trPr>
          <w:jc w:val="center"/>
        </w:trPr>
        <w:tc>
          <w:tcPr>
            <w:tcW w:w="763" w:type="dxa"/>
          </w:tcPr>
          <w:p w14:paraId="4FE9411A"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5.</w:t>
            </w:r>
          </w:p>
        </w:tc>
        <w:tc>
          <w:tcPr>
            <w:tcW w:w="1076" w:type="dxa"/>
          </w:tcPr>
          <w:p w14:paraId="42736640"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25.0</w:t>
            </w:r>
          </w:p>
        </w:tc>
        <w:tc>
          <w:tcPr>
            <w:tcW w:w="1869" w:type="dxa"/>
          </w:tcPr>
          <w:p w14:paraId="60267CFD" w14:textId="77777777" w:rsidR="00D00B24" w:rsidRPr="00D72D92" w:rsidRDefault="00D00B24" w:rsidP="000D2B1D">
            <w:pPr>
              <w:rPr>
                <w:rFonts w:ascii="Times New Roman" w:hAnsi="Times New Roman" w:cs="Times New Roman"/>
                <w:sz w:val="20"/>
                <w:szCs w:val="20"/>
              </w:rPr>
            </w:pPr>
            <w:r w:rsidRPr="00D72D92">
              <w:rPr>
                <w:rFonts w:ascii="Times New Roman" w:hAnsi="Times New Roman" w:cs="Times New Roman"/>
                <w:sz w:val="20"/>
                <w:szCs w:val="20"/>
              </w:rPr>
              <w:t>0.10M (KNO</w:t>
            </w:r>
            <w:r w:rsidRPr="00D72D92">
              <w:rPr>
                <w:rFonts w:ascii="Times New Roman" w:hAnsi="Times New Roman" w:cs="Times New Roman"/>
                <w:sz w:val="20"/>
                <w:szCs w:val="20"/>
                <w:vertAlign w:val="subscript"/>
              </w:rPr>
              <w:t>3</w:t>
            </w:r>
            <w:r w:rsidRPr="00D72D92">
              <w:rPr>
                <w:rFonts w:ascii="Times New Roman" w:hAnsi="Times New Roman" w:cs="Times New Roman"/>
                <w:sz w:val="20"/>
                <w:szCs w:val="20"/>
              </w:rPr>
              <w:t>)</w:t>
            </w:r>
          </w:p>
        </w:tc>
        <w:tc>
          <w:tcPr>
            <w:tcW w:w="1080" w:type="dxa"/>
          </w:tcPr>
          <w:p w14:paraId="3F95EAA6"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9.12</w:t>
            </w:r>
          </w:p>
        </w:tc>
        <w:tc>
          <w:tcPr>
            <w:tcW w:w="1080" w:type="dxa"/>
          </w:tcPr>
          <w:p w14:paraId="7557BBFE"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15.22</w:t>
            </w:r>
          </w:p>
        </w:tc>
        <w:tc>
          <w:tcPr>
            <w:tcW w:w="1080" w:type="dxa"/>
          </w:tcPr>
          <w:p w14:paraId="41D3E95F"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16.93</w:t>
            </w:r>
          </w:p>
        </w:tc>
        <w:tc>
          <w:tcPr>
            <w:tcW w:w="1108" w:type="dxa"/>
          </w:tcPr>
          <w:p w14:paraId="79ACC324"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27</w:t>
            </w:r>
          </w:p>
        </w:tc>
      </w:tr>
      <w:tr w:rsidR="00D00B24" w14:paraId="63906B10" w14:textId="77777777" w:rsidTr="000D2B1D">
        <w:trPr>
          <w:jc w:val="center"/>
        </w:trPr>
        <w:tc>
          <w:tcPr>
            <w:tcW w:w="763" w:type="dxa"/>
          </w:tcPr>
          <w:p w14:paraId="3B861D51"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6.</w:t>
            </w:r>
          </w:p>
        </w:tc>
        <w:tc>
          <w:tcPr>
            <w:tcW w:w="1076" w:type="dxa"/>
          </w:tcPr>
          <w:p w14:paraId="231F8944"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25.0</w:t>
            </w:r>
          </w:p>
        </w:tc>
        <w:tc>
          <w:tcPr>
            <w:tcW w:w="1869" w:type="dxa"/>
          </w:tcPr>
          <w:p w14:paraId="0BE1AB35" w14:textId="77777777" w:rsidR="00D00B24" w:rsidRPr="00D72D92" w:rsidRDefault="00D00B24" w:rsidP="000D2B1D">
            <w:pPr>
              <w:rPr>
                <w:rFonts w:ascii="Times New Roman" w:hAnsi="Times New Roman" w:cs="Times New Roman"/>
                <w:sz w:val="20"/>
                <w:szCs w:val="20"/>
              </w:rPr>
            </w:pPr>
            <w:r w:rsidRPr="00D72D92">
              <w:rPr>
                <w:rFonts w:ascii="Times New Roman" w:hAnsi="Times New Roman" w:cs="Times New Roman"/>
                <w:sz w:val="20"/>
                <w:szCs w:val="20"/>
              </w:rPr>
              <w:t>0.10 M (KNO</w:t>
            </w:r>
            <w:r w:rsidRPr="00D72D92">
              <w:rPr>
                <w:rFonts w:ascii="Times New Roman" w:hAnsi="Times New Roman" w:cs="Times New Roman"/>
                <w:sz w:val="20"/>
                <w:szCs w:val="20"/>
                <w:vertAlign w:val="subscript"/>
              </w:rPr>
              <w:t>3</w:t>
            </w:r>
            <w:r w:rsidRPr="00D72D92">
              <w:rPr>
                <w:rFonts w:ascii="Times New Roman" w:hAnsi="Times New Roman" w:cs="Times New Roman"/>
                <w:sz w:val="20"/>
                <w:szCs w:val="20"/>
              </w:rPr>
              <w:t>)</w:t>
            </w:r>
          </w:p>
        </w:tc>
        <w:tc>
          <w:tcPr>
            <w:tcW w:w="1080" w:type="dxa"/>
          </w:tcPr>
          <w:p w14:paraId="6B71B7E3" w14:textId="77777777" w:rsidR="00D00B24" w:rsidRPr="00D72D92" w:rsidRDefault="00D00B24" w:rsidP="000D2B1D">
            <w:pPr>
              <w:autoSpaceDE w:val="0"/>
              <w:autoSpaceDN w:val="0"/>
              <w:adjustRightInd w:val="0"/>
              <w:jc w:val="center"/>
              <w:rPr>
                <w:rFonts w:ascii="Times New Roman" w:hAnsi="Times New Roman" w:cs="Times New Roman"/>
                <w:sz w:val="20"/>
                <w:szCs w:val="20"/>
              </w:rPr>
            </w:pPr>
            <w:r w:rsidRPr="00D72D92">
              <w:rPr>
                <w:rFonts w:ascii="Times New Roman" w:hAnsi="Times New Roman" w:cs="Times New Roman"/>
                <w:sz w:val="20"/>
                <w:szCs w:val="20"/>
              </w:rPr>
              <w:t>9.11</w:t>
            </w:r>
          </w:p>
        </w:tc>
        <w:tc>
          <w:tcPr>
            <w:tcW w:w="1080" w:type="dxa"/>
          </w:tcPr>
          <w:p w14:paraId="04A8830B" w14:textId="77777777" w:rsidR="00D00B24" w:rsidRPr="00D72D92" w:rsidRDefault="00D00B24" w:rsidP="000D2B1D">
            <w:pPr>
              <w:jc w:val="center"/>
              <w:rPr>
                <w:rFonts w:ascii="Times New Roman" w:hAnsi="Times New Roman" w:cs="Times New Roman"/>
                <w:color w:val="FF0000"/>
                <w:sz w:val="20"/>
                <w:szCs w:val="20"/>
              </w:rPr>
            </w:pPr>
            <w:r w:rsidRPr="00D72D92">
              <w:rPr>
                <w:rFonts w:ascii="Times New Roman" w:hAnsi="Times New Roman" w:cs="Times New Roman"/>
                <w:sz w:val="20"/>
                <w:szCs w:val="20"/>
              </w:rPr>
              <w:t>15.15</w:t>
            </w:r>
          </w:p>
        </w:tc>
        <w:tc>
          <w:tcPr>
            <w:tcW w:w="1080" w:type="dxa"/>
          </w:tcPr>
          <w:p w14:paraId="4FB7EEF9" w14:textId="77777777" w:rsidR="00D00B24" w:rsidRPr="00D72D92" w:rsidRDefault="00D00B24" w:rsidP="000D2B1D">
            <w:pPr>
              <w:jc w:val="center"/>
              <w:rPr>
                <w:rFonts w:ascii="Times New Roman" w:hAnsi="Times New Roman" w:cs="Times New Roman"/>
                <w:color w:val="FF0000"/>
                <w:sz w:val="20"/>
                <w:szCs w:val="20"/>
              </w:rPr>
            </w:pPr>
            <w:r w:rsidRPr="00D72D92">
              <w:rPr>
                <w:rFonts w:ascii="Times New Roman" w:hAnsi="Times New Roman" w:cs="Times New Roman"/>
                <w:sz w:val="20"/>
                <w:szCs w:val="20"/>
              </w:rPr>
              <w:t>16.92</w:t>
            </w:r>
          </w:p>
        </w:tc>
        <w:tc>
          <w:tcPr>
            <w:tcW w:w="1108" w:type="dxa"/>
          </w:tcPr>
          <w:p w14:paraId="5E57A637"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28</w:t>
            </w:r>
          </w:p>
        </w:tc>
      </w:tr>
      <w:tr w:rsidR="00D00B24" w14:paraId="5F2CD357" w14:textId="77777777" w:rsidTr="000D2B1D">
        <w:trPr>
          <w:jc w:val="center"/>
        </w:trPr>
        <w:tc>
          <w:tcPr>
            <w:tcW w:w="763" w:type="dxa"/>
          </w:tcPr>
          <w:p w14:paraId="366831E9"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7.</w:t>
            </w:r>
          </w:p>
        </w:tc>
        <w:tc>
          <w:tcPr>
            <w:tcW w:w="1076" w:type="dxa"/>
          </w:tcPr>
          <w:p w14:paraId="564F7D1A"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25.0</w:t>
            </w:r>
          </w:p>
        </w:tc>
        <w:tc>
          <w:tcPr>
            <w:tcW w:w="1869" w:type="dxa"/>
          </w:tcPr>
          <w:p w14:paraId="427F36E5" w14:textId="77777777" w:rsidR="00D00B24" w:rsidRPr="00D72D92" w:rsidRDefault="00D00B24" w:rsidP="000D2B1D">
            <w:pPr>
              <w:rPr>
                <w:rFonts w:ascii="Times New Roman" w:hAnsi="Times New Roman" w:cs="Times New Roman"/>
                <w:sz w:val="20"/>
                <w:szCs w:val="20"/>
              </w:rPr>
            </w:pPr>
            <w:r w:rsidRPr="00D72D92">
              <w:rPr>
                <w:rFonts w:ascii="Times New Roman" w:hAnsi="Times New Roman" w:cs="Times New Roman"/>
                <w:sz w:val="20"/>
                <w:szCs w:val="20"/>
              </w:rPr>
              <w:t>0</w:t>
            </w:r>
            <w:r w:rsidRPr="00D72D92">
              <w:rPr>
                <w:rFonts w:ascii="Times New Roman" w:hAnsi="Times New Roman" w:cs="Times New Roman"/>
                <w:i/>
                <w:iCs/>
                <w:sz w:val="20"/>
                <w:szCs w:val="20"/>
              </w:rPr>
              <w:t>.</w:t>
            </w:r>
            <w:r w:rsidRPr="00D72D92">
              <w:rPr>
                <w:rFonts w:ascii="Times New Roman" w:hAnsi="Times New Roman" w:cs="Times New Roman"/>
                <w:sz w:val="20"/>
                <w:szCs w:val="20"/>
              </w:rPr>
              <w:t>10 M (KCl)</w:t>
            </w:r>
          </w:p>
        </w:tc>
        <w:tc>
          <w:tcPr>
            <w:tcW w:w="1080" w:type="dxa"/>
          </w:tcPr>
          <w:p w14:paraId="2569D0FA"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9.09</w:t>
            </w:r>
          </w:p>
        </w:tc>
        <w:tc>
          <w:tcPr>
            <w:tcW w:w="1080" w:type="dxa"/>
          </w:tcPr>
          <w:p w14:paraId="6782BBDE"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15.11</w:t>
            </w:r>
          </w:p>
        </w:tc>
        <w:tc>
          <w:tcPr>
            <w:tcW w:w="1080" w:type="dxa"/>
          </w:tcPr>
          <w:p w14:paraId="1D6E2491"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16.81</w:t>
            </w:r>
          </w:p>
        </w:tc>
        <w:tc>
          <w:tcPr>
            <w:tcW w:w="1108" w:type="dxa"/>
          </w:tcPr>
          <w:p w14:paraId="257D9E40"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14,</w:t>
            </w:r>
            <w:r>
              <w:rPr>
                <w:rFonts w:ascii="Times New Roman" w:hAnsi="Times New Roman" w:cs="Times New Roman"/>
                <w:sz w:val="20"/>
                <w:szCs w:val="20"/>
              </w:rPr>
              <w:t xml:space="preserve"> </w:t>
            </w:r>
            <w:r w:rsidRPr="00D72D92">
              <w:rPr>
                <w:rFonts w:ascii="Times New Roman" w:hAnsi="Times New Roman" w:cs="Times New Roman"/>
                <w:sz w:val="20"/>
                <w:szCs w:val="20"/>
              </w:rPr>
              <w:t>29</w:t>
            </w:r>
          </w:p>
        </w:tc>
      </w:tr>
      <w:tr w:rsidR="00D00B24" w14:paraId="6FDFE046" w14:textId="77777777" w:rsidTr="000D2B1D">
        <w:trPr>
          <w:jc w:val="center"/>
        </w:trPr>
        <w:tc>
          <w:tcPr>
            <w:tcW w:w="763" w:type="dxa"/>
          </w:tcPr>
          <w:p w14:paraId="55B4A57E"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8.</w:t>
            </w:r>
          </w:p>
        </w:tc>
        <w:tc>
          <w:tcPr>
            <w:tcW w:w="1076" w:type="dxa"/>
          </w:tcPr>
          <w:p w14:paraId="0E3DBA67"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25.0</w:t>
            </w:r>
          </w:p>
        </w:tc>
        <w:tc>
          <w:tcPr>
            <w:tcW w:w="1869" w:type="dxa"/>
          </w:tcPr>
          <w:p w14:paraId="7124BCE9" w14:textId="77777777" w:rsidR="00D00B24" w:rsidRPr="00D72D92" w:rsidRDefault="00D00B24" w:rsidP="000D2B1D">
            <w:pPr>
              <w:rPr>
                <w:rFonts w:ascii="Times New Roman" w:hAnsi="Times New Roman" w:cs="Times New Roman"/>
                <w:sz w:val="20"/>
                <w:szCs w:val="20"/>
              </w:rPr>
            </w:pPr>
            <w:r w:rsidRPr="00D72D92">
              <w:rPr>
                <w:rFonts w:ascii="Times New Roman" w:hAnsi="Times New Roman" w:cs="Times New Roman"/>
                <w:sz w:val="20"/>
                <w:szCs w:val="20"/>
              </w:rPr>
              <w:t>0.10-0.15M (KCl)</w:t>
            </w:r>
          </w:p>
        </w:tc>
        <w:tc>
          <w:tcPr>
            <w:tcW w:w="1080" w:type="dxa"/>
          </w:tcPr>
          <w:p w14:paraId="29701907"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9.11</w:t>
            </w:r>
          </w:p>
        </w:tc>
        <w:tc>
          <w:tcPr>
            <w:tcW w:w="1080" w:type="dxa"/>
          </w:tcPr>
          <w:p w14:paraId="4C7CE80D"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15.16</w:t>
            </w:r>
          </w:p>
        </w:tc>
        <w:tc>
          <w:tcPr>
            <w:tcW w:w="1080" w:type="dxa"/>
          </w:tcPr>
          <w:p w14:paraId="6EDF11A3"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16.88</w:t>
            </w:r>
          </w:p>
        </w:tc>
        <w:tc>
          <w:tcPr>
            <w:tcW w:w="1108" w:type="dxa"/>
          </w:tcPr>
          <w:p w14:paraId="7EB48F06" w14:textId="77777777"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 xml:space="preserve">15 </w:t>
            </w:r>
          </w:p>
        </w:tc>
      </w:tr>
    </w:tbl>
    <w:p w14:paraId="7AABCA72" w14:textId="77777777" w:rsidR="00D00B24" w:rsidRDefault="00D00B24" w:rsidP="00D00B24">
      <w:pPr>
        <w:spacing w:line="480" w:lineRule="auto"/>
        <w:jc w:val="both"/>
      </w:pPr>
      <w:r w:rsidRPr="009A3C46">
        <w:tab/>
      </w:r>
    </w:p>
    <w:p w14:paraId="2B8282B5" w14:textId="0EDECA96" w:rsidR="00D00B24" w:rsidRDefault="00D00B24" w:rsidP="00D00B24">
      <w:pPr>
        <w:spacing w:line="480" w:lineRule="auto"/>
        <w:jc w:val="both"/>
        <w:rPr>
          <w:rFonts w:ascii="Times New Roman" w:hAnsi="Times New Roman" w:cs="Times New Roman"/>
          <w:sz w:val="24"/>
          <w:szCs w:val="24"/>
        </w:rPr>
      </w:pPr>
      <w:r>
        <w:tab/>
      </w:r>
      <w:r w:rsidRPr="00960F4C">
        <w:rPr>
          <w:rFonts w:ascii="Times New Roman" w:hAnsi="Times New Roman" w:cs="Times New Roman"/>
          <w:sz w:val="24"/>
          <w:szCs w:val="24"/>
        </w:rPr>
        <w:t>The species distribution diagram for proton-ligand equilibria of histidine is shown in Figure 3.</w:t>
      </w:r>
      <w:r>
        <w:rPr>
          <w:rFonts w:ascii="Times New Roman" w:hAnsi="Times New Roman" w:cs="Times New Roman"/>
          <w:sz w:val="24"/>
          <w:szCs w:val="24"/>
        </w:rPr>
        <w:t>12</w:t>
      </w:r>
      <w:r w:rsidRPr="00960F4C">
        <w:rPr>
          <w:rFonts w:ascii="Times New Roman" w:hAnsi="Times New Roman" w:cs="Times New Roman"/>
          <w:sz w:val="24"/>
          <w:szCs w:val="24"/>
        </w:rPr>
        <w:t>b.  The fully protonated form XH</w:t>
      </w:r>
      <w:r w:rsidRPr="00960F4C">
        <w:rPr>
          <w:rFonts w:ascii="Times New Roman" w:hAnsi="Times New Roman" w:cs="Times New Roman"/>
          <w:sz w:val="24"/>
          <w:szCs w:val="24"/>
          <w:vertAlign w:val="subscript"/>
        </w:rPr>
        <w:t>3</w:t>
      </w:r>
      <w:r w:rsidRPr="00960F4C">
        <w:rPr>
          <w:rFonts w:ascii="Times New Roman" w:hAnsi="Times New Roman" w:cs="Times New Roman"/>
          <w:sz w:val="24"/>
          <w:szCs w:val="24"/>
          <w:vertAlign w:val="superscript"/>
        </w:rPr>
        <w:t>2+</w:t>
      </w:r>
      <w:r w:rsidRPr="00960F4C">
        <w:rPr>
          <w:rFonts w:ascii="Times New Roman" w:hAnsi="Times New Roman" w:cs="Times New Roman"/>
          <w:sz w:val="24"/>
          <w:szCs w:val="24"/>
        </w:rPr>
        <w:t xml:space="preserve"> exists only below a pH of </w:t>
      </w:r>
      <w:r>
        <w:rPr>
          <w:rFonts w:ascii="Times New Roman" w:hAnsi="Times New Roman" w:cs="Times New Roman"/>
          <w:sz w:val="24"/>
          <w:szCs w:val="24"/>
        </w:rPr>
        <w:t>4.0</w:t>
      </w:r>
      <w:r w:rsidRPr="00960F4C">
        <w:rPr>
          <w:rFonts w:ascii="Times New Roman" w:hAnsi="Times New Roman" w:cs="Times New Roman"/>
          <w:sz w:val="24"/>
          <w:szCs w:val="24"/>
        </w:rPr>
        <w:t xml:space="preserve">.  This species </w:t>
      </w:r>
      <w:r w:rsidR="00E50704" w:rsidRPr="00960F4C">
        <w:rPr>
          <w:rFonts w:ascii="Times New Roman" w:hAnsi="Times New Roman" w:cs="Times New Roman"/>
          <w:sz w:val="24"/>
          <w:szCs w:val="24"/>
        </w:rPr>
        <w:t>loses</w:t>
      </w:r>
      <w:r w:rsidRPr="00960F4C">
        <w:rPr>
          <w:rFonts w:ascii="Times New Roman" w:hAnsi="Times New Roman" w:cs="Times New Roman"/>
          <w:sz w:val="24"/>
          <w:szCs w:val="24"/>
        </w:rPr>
        <w:t xml:space="preserve"> the carboxylate proton and forms XH</w:t>
      </w:r>
      <w:r w:rsidRPr="00960F4C">
        <w:rPr>
          <w:rFonts w:ascii="Times New Roman" w:hAnsi="Times New Roman" w:cs="Times New Roman"/>
          <w:sz w:val="24"/>
          <w:szCs w:val="24"/>
          <w:vertAlign w:val="subscript"/>
        </w:rPr>
        <w:t>2</w:t>
      </w:r>
      <w:r w:rsidRPr="00960F4C">
        <w:rPr>
          <w:rFonts w:ascii="Times New Roman" w:hAnsi="Times New Roman" w:cs="Times New Roman"/>
          <w:sz w:val="24"/>
          <w:szCs w:val="24"/>
          <w:vertAlign w:val="superscript"/>
        </w:rPr>
        <w:t>+</w:t>
      </w:r>
      <w:r w:rsidRPr="00960F4C">
        <w:rPr>
          <w:rFonts w:ascii="Times New Roman" w:hAnsi="Times New Roman" w:cs="Times New Roman"/>
          <w:sz w:val="24"/>
          <w:szCs w:val="24"/>
        </w:rPr>
        <w:t xml:space="preserve"> which is a dominating species between 2 to </w:t>
      </w:r>
      <w:r>
        <w:rPr>
          <w:rFonts w:ascii="Times New Roman" w:hAnsi="Times New Roman" w:cs="Times New Roman"/>
          <w:sz w:val="24"/>
          <w:szCs w:val="24"/>
        </w:rPr>
        <w:t>6</w:t>
      </w:r>
      <w:r w:rsidRPr="00960F4C">
        <w:rPr>
          <w:rFonts w:ascii="Times New Roman" w:hAnsi="Times New Roman" w:cs="Times New Roman"/>
          <w:sz w:val="24"/>
          <w:szCs w:val="24"/>
        </w:rPr>
        <w:t xml:space="preserve"> pH and represents nearly 99% of the ligand at </w:t>
      </w:r>
      <w:r>
        <w:rPr>
          <w:rFonts w:ascii="Times New Roman" w:hAnsi="Times New Roman" w:cs="Times New Roman"/>
          <w:sz w:val="24"/>
          <w:szCs w:val="24"/>
        </w:rPr>
        <w:t>3.90</w:t>
      </w:r>
      <w:r w:rsidRPr="00960F4C">
        <w:rPr>
          <w:rFonts w:ascii="Times New Roman" w:hAnsi="Times New Roman" w:cs="Times New Roman"/>
          <w:sz w:val="24"/>
          <w:szCs w:val="24"/>
        </w:rPr>
        <w:t xml:space="preserve"> pH.  Further increase in pH causes neutralization of the side chain proton resulting in the zwitter ionic species XH.  The formation of the XH reaches a maximum of 9</w:t>
      </w:r>
      <w:r>
        <w:rPr>
          <w:rFonts w:ascii="Times New Roman" w:hAnsi="Times New Roman" w:cs="Times New Roman"/>
          <w:sz w:val="24"/>
          <w:szCs w:val="24"/>
        </w:rPr>
        <w:t>3</w:t>
      </w:r>
      <w:r w:rsidRPr="00960F4C">
        <w:rPr>
          <w:rFonts w:ascii="Times New Roman" w:hAnsi="Times New Roman" w:cs="Times New Roman"/>
          <w:sz w:val="24"/>
          <w:szCs w:val="24"/>
        </w:rPr>
        <w:t>% of the total ligand around 7.</w:t>
      </w:r>
      <w:r>
        <w:rPr>
          <w:rFonts w:ascii="Times New Roman" w:hAnsi="Times New Roman" w:cs="Times New Roman"/>
          <w:sz w:val="24"/>
          <w:szCs w:val="24"/>
        </w:rPr>
        <w:t>5</w:t>
      </w:r>
      <w:r w:rsidRPr="00960F4C">
        <w:rPr>
          <w:rFonts w:ascii="Times New Roman" w:hAnsi="Times New Roman" w:cs="Times New Roman"/>
          <w:sz w:val="24"/>
          <w:szCs w:val="24"/>
        </w:rPr>
        <w:t xml:space="preserve"> pH.  Above a pH of 9.0, the major species is the most anionic form of the ligand (X</w:t>
      </w:r>
      <w:r w:rsidRPr="00960F4C">
        <w:rPr>
          <w:rFonts w:ascii="Times New Roman" w:hAnsi="Times New Roman" w:cs="Times New Roman"/>
          <w:sz w:val="24"/>
          <w:szCs w:val="24"/>
          <w:vertAlign w:val="superscript"/>
        </w:rPr>
        <w:t>-</w:t>
      </w:r>
      <w:r w:rsidRPr="00960F4C">
        <w:rPr>
          <w:rFonts w:ascii="Times New Roman" w:hAnsi="Times New Roman" w:cs="Times New Roman"/>
          <w:sz w:val="24"/>
          <w:szCs w:val="24"/>
        </w:rPr>
        <w:t>) and represents the total ligand concentration a</w:t>
      </w:r>
      <w:r>
        <w:rPr>
          <w:rFonts w:ascii="Times New Roman" w:hAnsi="Times New Roman" w:cs="Times New Roman"/>
          <w:sz w:val="24"/>
          <w:szCs w:val="24"/>
        </w:rPr>
        <w:t>round</w:t>
      </w:r>
      <w:r w:rsidRPr="00960F4C">
        <w:rPr>
          <w:rFonts w:ascii="Times New Roman" w:hAnsi="Times New Roman" w:cs="Times New Roman"/>
          <w:sz w:val="24"/>
          <w:szCs w:val="24"/>
        </w:rPr>
        <w:t xml:space="preserve"> ~11.0 pH.</w:t>
      </w:r>
    </w:p>
    <w:p w14:paraId="48DD2701" w14:textId="77777777" w:rsidR="00D00B24" w:rsidRPr="00960F4C" w:rsidRDefault="00D00B24" w:rsidP="00D00B24">
      <w:pPr>
        <w:spacing w:line="480" w:lineRule="auto"/>
        <w:jc w:val="both"/>
        <w:rPr>
          <w:rFonts w:ascii="Times New Roman" w:hAnsi="Times New Roman" w:cs="Times New Roman"/>
          <w:sz w:val="24"/>
          <w:szCs w:val="24"/>
        </w:rPr>
      </w:pPr>
    </w:p>
    <w:p w14:paraId="672E359E" w14:textId="19090E8F" w:rsidR="00D00B24" w:rsidRPr="00E50704" w:rsidRDefault="00D00B24" w:rsidP="00E50704">
      <w:pPr>
        <w:pStyle w:val="ListParagraph"/>
        <w:numPr>
          <w:ilvl w:val="0"/>
          <w:numId w:val="23"/>
        </w:numPr>
        <w:spacing w:line="480" w:lineRule="auto"/>
        <w:rPr>
          <w:b/>
        </w:rPr>
      </w:pPr>
      <w:r w:rsidRPr="00E50704">
        <w:rPr>
          <w:b/>
        </w:rPr>
        <w:lastRenderedPageBreak/>
        <w:t>Proton-ligand equilibria of</w:t>
      </w:r>
      <w:r w:rsidRPr="00E50704">
        <w:t xml:space="preserve"> L</w:t>
      </w:r>
      <w:r w:rsidRPr="00E50704">
        <w:rPr>
          <w:b/>
        </w:rPr>
        <w:t>-Aspartic acid:</w:t>
      </w:r>
    </w:p>
    <w:p w14:paraId="72CBC995" w14:textId="61FEB952" w:rsidR="00D00B24" w:rsidRPr="00A96D2E" w:rsidRDefault="00D00B24" w:rsidP="00D00B24">
      <w:pPr>
        <w:spacing w:line="480" w:lineRule="auto"/>
        <w:jc w:val="both"/>
        <w:rPr>
          <w:rFonts w:ascii="Times New Roman" w:eastAsia="Times New Roman" w:hAnsi="Times New Roman" w:cs="Times New Roman"/>
          <w:sz w:val="24"/>
          <w:szCs w:val="24"/>
        </w:rPr>
      </w:pPr>
      <w:r w:rsidRPr="00A96D2E">
        <w:rPr>
          <w:rFonts w:ascii="Times New Roman" w:hAnsi="Times New Roman" w:cs="Times New Roman"/>
          <w:sz w:val="24"/>
          <w:szCs w:val="24"/>
        </w:rPr>
        <w:t xml:space="preserve">       </w:t>
      </w:r>
      <w:r w:rsidRPr="00A96D2E">
        <w:rPr>
          <w:rFonts w:ascii="Times New Roman" w:eastAsia="Times New Roman" w:hAnsi="Times New Roman" w:cs="Times New Roman"/>
          <w:sz w:val="24"/>
          <w:szCs w:val="24"/>
        </w:rPr>
        <w:t xml:space="preserve">Aspartic acid (2-Aminobutanedioic acid) is </w:t>
      </w:r>
      <w:r>
        <w:rPr>
          <w:rFonts w:ascii="Times New Roman" w:eastAsia="Times New Roman" w:hAnsi="Times New Roman" w:cs="Times New Roman"/>
          <w:sz w:val="24"/>
          <w:szCs w:val="24"/>
        </w:rPr>
        <w:t xml:space="preserve">an acidic amino </w:t>
      </w:r>
      <w:r w:rsidRPr="00FD6D2B">
        <w:rPr>
          <w:rFonts w:ascii="Times New Roman" w:eastAsia="Times New Roman" w:hAnsi="Times New Roman" w:cs="Times New Roman"/>
          <w:sz w:val="24"/>
          <w:szCs w:val="24"/>
        </w:rPr>
        <w:t xml:space="preserve">acid </w:t>
      </w:r>
      <w:r w:rsidRPr="00A96D2E">
        <w:rPr>
          <w:rFonts w:ascii="Times New Roman" w:eastAsia="Times New Roman" w:hAnsi="Times New Roman" w:cs="Times New Roman"/>
          <w:sz w:val="24"/>
          <w:szCs w:val="24"/>
        </w:rPr>
        <w:t xml:space="preserve">with two –COOH groups, one on alpha carbon atom and the other on the side chain.  It is a nonessential amino acid generally found in proteins and acts as an excitatory neurotransmitter in the central nervous system </w:t>
      </w:r>
      <w:r w:rsidR="00E50704" w:rsidRPr="00A96D2E">
        <w:rPr>
          <w:rFonts w:ascii="Times New Roman" w:eastAsia="Times New Roman" w:hAnsi="Times New Roman" w:cs="Times New Roman"/>
          <w:sz w:val="24"/>
          <w:szCs w:val="24"/>
        </w:rPr>
        <w:t>and</w:t>
      </w:r>
      <w:r w:rsidRPr="00A96D2E">
        <w:rPr>
          <w:rFonts w:ascii="Times New Roman" w:eastAsia="Times New Roman" w:hAnsi="Times New Roman" w:cs="Times New Roman"/>
          <w:sz w:val="24"/>
          <w:szCs w:val="24"/>
        </w:rPr>
        <w:t xml:space="preserve"> for hormone production and release.  Biochemically, it plays an important role in the citric acid cycle.</w:t>
      </w:r>
    </w:p>
    <w:p w14:paraId="0F015B82" w14:textId="77777777" w:rsidR="00D00B24" w:rsidRPr="00A96D2E" w:rsidRDefault="00D00B24" w:rsidP="00D00B24">
      <w:pPr>
        <w:spacing w:line="480" w:lineRule="auto"/>
        <w:jc w:val="center"/>
        <w:rPr>
          <w:rFonts w:ascii="Times New Roman" w:hAnsi="Times New Roman" w:cs="Times New Roman"/>
          <w:sz w:val="24"/>
          <w:szCs w:val="24"/>
        </w:rPr>
      </w:pPr>
      <w:r w:rsidRPr="00A96D2E">
        <w:rPr>
          <w:rFonts w:ascii="Times New Roman" w:hAnsi="Times New Roman" w:cs="Times New Roman"/>
          <w:sz w:val="24"/>
          <w:szCs w:val="24"/>
        </w:rPr>
        <w:object w:dxaOrig="2172" w:dyaOrig="2644" w14:anchorId="6FF471B7">
          <v:shape id="_x0000_i1039" type="#_x0000_t75" style="width:90pt;height:108.75pt" o:ole="">
            <v:imagedata r:id="rId43" o:title=""/>
          </v:shape>
          <o:OLEObject Type="Embed" ProgID="ChemDraw.Document.6.0" ShapeID="_x0000_i1039" DrawAspect="Content" ObjectID="_1756716906" r:id="rId44"/>
        </w:object>
      </w:r>
      <w:r w:rsidRPr="00A96D2E">
        <w:rPr>
          <w:rFonts w:ascii="Times New Roman" w:hAnsi="Times New Roman" w:cs="Times New Roman"/>
          <w:sz w:val="24"/>
          <w:szCs w:val="24"/>
        </w:rPr>
        <w:t xml:space="preserve">                          </w:t>
      </w:r>
      <w:r w:rsidRPr="00A96D2E">
        <w:rPr>
          <w:rFonts w:ascii="Times New Roman" w:hAnsi="Times New Roman" w:cs="Times New Roman"/>
          <w:sz w:val="24"/>
          <w:szCs w:val="24"/>
        </w:rPr>
        <w:object w:dxaOrig="5363" w:dyaOrig="7950" w14:anchorId="0FBB7B09">
          <v:shape id="_x0000_i1040" type="#_x0000_t75" style="width:77.25pt;height:114pt" o:ole="">
            <v:imagedata r:id="rId45" o:title=""/>
          </v:shape>
          <o:OLEObject Type="Embed" ProgID="Chem3D.Document.8" ShapeID="_x0000_i1040" DrawAspect="Content" ObjectID="_1756716907" r:id="rId46"/>
        </w:object>
      </w:r>
    </w:p>
    <w:p w14:paraId="42203FCD" w14:textId="3893818D" w:rsidR="00D00B24" w:rsidRPr="00A3339E" w:rsidRDefault="00D00B24" w:rsidP="00D00B24">
      <w:pPr>
        <w:spacing w:line="480" w:lineRule="auto"/>
        <w:jc w:val="center"/>
        <w:rPr>
          <w:rFonts w:ascii="Times New Roman" w:hAnsi="Times New Roman" w:cs="Times New Roman"/>
          <w:sz w:val="24"/>
          <w:szCs w:val="24"/>
        </w:rPr>
      </w:pPr>
      <w:r w:rsidRPr="00A96D2E">
        <w:rPr>
          <w:rFonts w:ascii="Times New Roman" w:hAnsi="Times New Roman" w:cs="Times New Roman"/>
          <w:b/>
          <w:sz w:val="24"/>
          <w:szCs w:val="24"/>
        </w:rPr>
        <w:t>Figure 13</w:t>
      </w:r>
      <w:r w:rsidRPr="00A96D2E">
        <w:rPr>
          <w:rFonts w:ascii="Times New Roman" w:hAnsi="Times New Roman" w:cs="Times New Roman"/>
          <w:sz w:val="24"/>
          <w:szCs w:val="24"/>
        </w:rPr>
        <w:t>: L- Aspartic acid</w:t>
      </w:r>
      <w:r>
        <w:rPr>
          <w:rFonts w:ascii="Times New Roman" w:hAnsi="Times New Roman" w:cs="Times New Roman"/>
          <w:sz w:val="24"/>
          <w:szCs w:val="24"/>
        </w:rPr>
        <w:t xml:space="preserve"> (XH</w:t>
      </w:r>
      <w:r>
        <w:rPr>
          <w:rFonts w:ascii="Times New Roman" w:hAnsi="Times New Roman" w:cs="Times New Roman"/>
          <w:sz w:val="24"/>
          <w:szCs w:val="24"/>
          <w:vertAlign w:val="subscript"/>
        </w:rPr>
        <w:t>2</w:t>
      </w:r>
      <w:r>
        <w:rPr>
          <w:rFonts w:ascii="Times New Roman" w:hAnsi="Times New Roman" w:cs="Times New Roman"/>
          <w:sz w:val="24"/>
          <w:szCs w:val="24"/>
        </w:rPr>
        <w:t>)</w:t>
      </w:r>
    </w:p>
    <w:p w14:paraId="6A3C7070" w14:textId="294F3078" w:rsidR="00D00B24" w:rsidRPr="006E709E" w:rsidRDefault="00D00B24" w:rsidP="00D00B24">
      <w:pPr>
        <w:spacing w:line="480" w:lineRule="auto"/>
        <w:jc w:val="both"/>
        <w:rPr>
          <w:rFonts w:ascii="Times New Roman" w:eastAsia="Times New Roman" w:hAnsi="Times New Roman" w:cs="Times New Roman"/>
          <w:sz w:val="24"/>
          <w:szCs w:val="24"/>
        </w:rPr>
      </w:pPr>
      <w:r w:rsidRPr="00A96D2E">
        <w:rPr>
          <w:rFonts w:ascii="Times New Roman" w:eastAsia="Times New Roman" w:hAnsi="Times New Roman" w:cs="Times New Roman"/>
          <w:sz w:val="24"/>
          <w:szCs w:val="24"/>
        </w:rPr>
        <w:tab/>
      </w:r>
      <w:r>
        <w:rPr>
          <w:rFonts w:ascii="Times New Roman" w:eastAsia="Times New Roman" w:hAnsi="Times New Roman" w:cs="Times New Roman"/>
          <w:sz w:val="24"/>
          <w:szCs w:val="24"/>
        </w:rPr>
        <w:t>In aqueous solution depending on the pH, L-aspartic acid may exist (Fig</w:t>
      </w:r>
      <w:r w:rsidR="00E5070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14) in cationic (XH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neutral zwitter ionic (XH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or anionic (XH</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and X</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forms.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2098"/>
        <w:gridCol w:w="2098"/>
        <w:gridCol w:w="1987"/>
      </w:tblGrid>
      <w:tr w:rsidR="00D00B24" w14:paraId="775274BD" w14:textId="77777777" w:rsidTr="000D2B1D">
        <w:trPr>
          <w:trHeight w:val="2663"/>
        </w:trPr>
        <w:tc>
          <w:tcPr>
            <w:tcW w:w="2343" w:type="dxa"/>
          </w:tcPr>
          <w:p w14:paraId="2BB27824" w14:textId="77777777" w:rsidR="00D00B24" w:rsidRDefault="00D00B24" w:rsidP="000D2B1D">
            <w:pPr>
              <w:spacing w:line="480" w:lineRule="auto"/>
              <w:jc w:val="center"/>
            </w:pPr>
            <w:r>
              <w:object w:dxaOrig="2172" w:dyaOrig="2572" w14:anchorId="266BBDFF">
                <v:shape id="_x0000_i1041" type="#_x0000_t75" style="width:81.75pt;height:96pt" o:ole="">
                  <v:imagedata r:id="rId47" o:title=""/>
                </v:shape>
                <o:OLEObject Type="Embed" ProgID="ChemDraw.Document.6.0" ShapeID="_x0000_i1041" DrawAspect="Content" ObjectID="_1756716908" r:id="rId48"/>
              </w:object>
            </w:r>
          </w:p>
          <w:p w14:paraId="78B7D5CA" w14:textId="77777777" w:rsidR="00D00B24" w:rsidRPr="00177D99" w:rsidRDefault="00D00B24" w:rsidP="000D2B1D">
            <w:pPr>
              <w:spacing w:line="480" w:lineRule="auto"/>
              <w:jc w:val="center"/>
              <w:rPr>
                <w:b/>
                <w:sz w:val="32"/>
                <w:szCs w:val="32"/>
              </w:rPr>
            </w:pPr>
            <w:r>
              <w:rPr>
                <w:b/>
                <w:sz w:val="32"/>
                <w:szCs w:val="32"/>
              </w:rPr>
              <w:t>X</w:t>
            </w:r>
            <w:r w:rsidRPr="005E6CCE">
              <w:rPr>
                <w:b/>
                <w:sz w:val="32"/>
                <w:szCs w:val="32"/>
              </w:rPr>
              <w:t>H</w:t>
            </w:r>
            <w:r w:rsidRPr="005E6CCE">
              <w:rPr>
                <w:b/>
                <w:sz w:val="32"/>
                <w:szCs w:val="32"/>
                <w:vertAlign w:val="subscript"/>
              </w:rPr>
              <w:t>3</w:t>
            </w:r>
            <w:r w:rsidRPr="005E6CCE">
              <w:rPr>
                <w:b/>
                <w:sz w:val="32"/>
                <w:szCs w:val="32"/>
                <w:vertAlign w:val="superscript"/>
              </w:rPr>
              <w:t>+</w:t>
            </w:r>
          </w:p>
        </w:tc>
        <w:tc>
          <w:tcPr>
            <w:tcW w:w="2344" w:type="dxa"/>
          </w:tcPr>
          <w:p w14:paraId="3F91A8FC" w14:textId="77777777" w:rsidR="00D00B24" w:rsidRDefault="00D00B24" w:rsidP="000D2B1D">
            <w:pPr>
              <w:spacing w:line="480" w:lineRule="auto"/>
              <w:jc w:val="center"/>
            </w:pPr>
            <w:r>
              <w:object w:dxaOrig="2172" w:dyaOrig="2644" w14:anchorId="0E649C2F">
                <v:shape id="_x0000_i1042" type="#_x0000_t75" style="width:78.75pt;height:96pt" o:ole="">
                  <v:imagedata r:id="rId43" o:title=""/>
                </v:shape>
                <o:OLEObject Type="Embed" ProgID="ChemDraw.Document.6.0" ShapeID="_x0000_i1042" DrawAspect="Content" ObjectID="_1756716909" r:id="rId49"/>
              </w:object>
            </w:r>
          </w:p>
          <w:p w14:paraId="520C961A" w14:textId="77777777" w:rsidR="00D00B24" w:rsidRPr="00177D99" w:rsidRDefault="00D00B24" w:rsidP="000D2B1D">
            <w:pPr>
              <w:spacing w:line="480" w:lineRule="auto"/>
              <w:jc w:val="center"/>
              <w:rPr>
                <w:b/>
                <w:sz w:val="32"/>
                <w:szCs w:val="32"/>
              </w:rPr>
            </w:pPr>
            <w:r>
              <w:rPr>
                <w:b/>
                <w:sz w:val="32"/>
                <w:szCs w:val="32"/>
              </w:rPr>
              <w:t>X</w:t>
            </w:r>
            <w:r w:rsidRPr="005E6CCE">
              <w:rPr>
                <w:b/>
                <w:sz w:val="32"/>
                <w:szCs w:val="32"/>
              </w:rPr>
              <w:t>H</w:t>
            </w:r>
            <w:r w:rsidRPr="005E6CCE">
              <w:rPr>
                <w:b/>
                <w:sz w:val="32"/>
                <w:szCs w:val="32"/>
                <w:vertAlign w:val="subscript"/>
              </w:rPr>
              <w:t>2</w:t>
            </w:r>
          </w:p>
        </w:tc>
        <w:tc>
          <w:tcPr>
            <w:tcW w:w="2344" w:type="dxa"/>
          </w:tcPr>
          <w:p w14:paraId="47E73305" w14:textId="77777777" w:rsidR="00D00B24" w:rsidRDefault="00D00B24" w:rsidP="000D2B1D">
            <w:pPr>
              <w:spacing w:line="480" w:lineRule="auto"/>
              <w:jc w:val="center"/>
            </w:pPr>
            <w:r>
              <w:object w:dxaOrig="2172" w:dyaOrig="2643" w14:anchorId="44C8618F">
                <v:shape id="_x0000_i1043" type="#_x0000_t75" style="width:78.75pt;height:96pt" o:ole="">
                  <v:imagedata r:id="rId50" o:title=""/>
                </v:shape>
                <o:OLEObject Type="Embed" ProgID="ChemDraw.Document.6.0" ShapeID="_x0000_i1043" DrawAspect="Content" ObjectID="_1756716910" r:id="rId51"/>
              </w:object>
            </w:r>
          </w:p>
          <w:p w14:paraId="0B9D1CEA" w14:textId="77777777" w:rsidR="00D00B24" w:rsidRPr="00177D99" w:rsidRDefault="00D00B24" w:rsidP="000D2B1D">
            <w:pPr>
              <w:jc w:val="center"/>
            </w:pPr>
            <w:r>
              <w:rPr>
                <w:b/>
                <w:sz w:val="32"/>
                <w:szCs w:val="32"/>
              </w:rPr>
              <w:t>X</w:t>
            </w:r>
            <w:r w:rsidRPr="005E6CCE">
              <w:rPr>
                <w:b/>
                <w:sz w:val="32"/>
                <w:szCs w:val="32"/>
              </w:rPr>
              <w:t>H</w:t>
            </w:r>
            <w:r w:rsidRPr="005E6CCE">
              <w:rPr>
                <w:b/>
                <w:sz w:val="32"/>
                <w:szCs w:val="32"/>
                <w:vertAlign w:val="superscript"/>
              </w:rPr>
              <w:t>-</w:t>
            </w:r>
          </w:p>
        </w:tc>
        <w:tc>
          <w:tcPr>
            <w:tcW w:w="2212" w:type="dxa"/>
          </w:tcPr>
          <w:p w14:paraId="256AE52C" w14:textId="77777777" w:rsidR="00D00B24" w:rsidRDefault="00D00B24" w:rsidP="000D2B1D">
            <w:pPr>
              <w:spacing w:line="480" w:lineRule="auto"/>
              <w:jc w:val="center"/>
            </w:pPr>
            <w:r>
              <w:object w:dxaOrig="2046" w:dyaOrig="2643" w14:anchorId="5653846A">
                <v:shape id="_x0000_i1044" type="#_x0000_t75" style="width:74.25pt;height:96pt" o:ole="">
                  <v:imagedata r:id="rId52" o:title=""/>
                </v:shape>
                <o:OLEObject Type="Embed" ProgID="ChemDraw.Document.6.0" ShapeID="_x0000_i1044" DrawAspect="Content" ObjectID="_1756716911" r:id="rId53"/>
              </w:object>
            </w:r>
          </w:p>
          <w:p w14:paraId="10E68A40" w14:textId="77777777" w:rsidR="00D00B24" w:rsidRPr="00177D99" w:rsidRDefault="00D00B24" w:rsidP="000D2B1D">
            <w:pPr>
              <w:spacing w:line="480" w:lineRule="auto"/>
              <w:jc w:val="center"/>
            </w:pPr>
            <w:r>
              <w:rPr>
                <w:b/>
                <w:sz w:val="32"/>
                <w:szCs w:val="32"/>
              </w:rPr>
              <w:t>X</w:t>
            </w:r>
            <w:r w:rsidRPr="005E6CCE">
              <w:rPr>
                <w:b/>
                <w:sz w:val="32"/>
                <w:szCs w:val="32"/>
                <w:vertAlign w:val="superscript"/>
              </w:rPr>
              <w:t>2-</w:t>
            </w:r>
          </w:p>
        </w:tc>
      </w:tr>
    </w:tbl>
    <w:p w14:paraId="31557F68" w14:textId="3D101611" w:rsidR="00D00B24" w:rsidRPr="00177D99" w:rsidRDefault="00D00B24" w:rsidP="00D00B24">
      <w:pPr>
        <w:spacing w:line="480" w:lineRule="auto"/>
        <w:jc w:val="center"/>
        <w:rPr>
          <w:rFonts w:ascii="Times New Roman" w:eastAsia="Times New Roman" w:hAnsi="Times New Roman" w:cs="Times New Roman"/>
          <w:sz w:val="24"/>
          <w:szCs w:val="24"/>
        </w:rPr>
      </w:pPr>
      <w:r w:rsidRPr="00177D99">
        <w:rPr>
          <w:rFonts w:ascii="Times New Roman" w:eastAsiaTheme="minorHAnsi" w:hAnsi="Times New Roman" w:cs="Times New Roman"/>
          <w:b/>
          <w:sz w:val="24"/>
          <w:szCs w:val="24"/>
        </w:rPr>
        <w:t>Figure</w:t>
      </w:r>
      <w:r>
        <w:rPr>
          <w:rFonts w:ascii="Times New Roman" w:eastAsiaTheme="minorHAnsi" w:hAnsi="Times New Roman" w:cs="Times New Roman"/>
          <w:b/>
          <w:sz w:val="24"/>
          <w:szCs w:val="24"/>
        </w:rPr>
        <w:t xml:space="preserve"> 14</w:t>
      </w:r>
      <w:r w:rsidRPr="00177D99">
        <w:rPr>
          <w:rFonts w:ascii="Times New Roman" w:eastAsiaTheme="minorHAnsi" w:hAnsi="Times New Roman" w:cs="Times New Roman"/>
          <w:b/>
          <w:sz w:val="24"/>
          <w:szCs w:val="24"/>
        </w:rPr>
        <w:t>:</w:t>
      </w:r>
      <w:r>
        <w:rPr>
          <w:rFonts w:ascii="Times New Roman" w:eastAsiaTheme="minorHAnsi" w:hAnsi="Times New Roman" w:cs="Times New Roman"/>
          <w:sz w:val="24"/>
          <w:szCs w:val="24"/>
        </w:rPr>
        <w:t xml:space="preserve"> S</w:t>
      </w:r>
      <w:r w:rsidRPr="00177D99">
        <w:rPr>
          <w:rFonts w:ascii="Times New Roman" w:eastAsiaTheme="minorHAnsi" w:hAnsi="Times New Roman" w:cs="Times New Roman"/>
          <w:sz w:val="24"/>
          <w:szCs w:val="24"/>
        </w:rPr>
        <w:t>uccessive protonated species of L-Aspartic acid</w:t>
      </w:r>
    </w:p>
    <w:p w14:paraId="38057F4A" w14:textId="77777777" w:rsidR="00D00B24" w:rsidRDefault="00D00B24" w:rsidP="00D00B24">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A96D2E">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 xml:space="preserve">and above </w:t>
      </w:r>
      <w:r w:rsidRPr="00A96D2E">
        <w:rPr>
          <w:rFonts w:ascii="Times New Roman" w:eastAsia="Times New Roman" w:hAnsi="Times New Roman" w:cs="Times New Roman"/>
          <w:sz w:val="24"/>
          <w:szCs w:val="24"/>
        </w:rPr>
        <w:t>neutral pH the overall molecule is negatively charged. Due to the presence of negatively charged carboxyl group, it is found almost at the surface of proteins.</w:t>
      </w:r>
      <w:r>
        <w:rPr>
          <w:rFonts w:ascii="Times New Roman" w:eastAsia="Times New Roman" w:hAnsi="Times New Roman" w:cs="Times New Roman"/>
          <w:sz w:val="24"/>
          <w:szCs w:val="24"/>
        </w:rPr>
        <w:t xml:space="preserve"> </w:t>
      </w:r>
      <w:r w:rsidRPr="00A96D2E">
        <w:rPr>
          <w:rFonts w:ascii="Times New Roman" w:eastAsia="Times New Roman" w:hAnsi="Times New Roman" w:cs="Times New Roman"/>
          <w:sz w:val="24"/>
          <w:szCs w:val="24"/>
        </w:rPr>
        <w:t xml:space="preserve">The charged group can form ionic bond with various metal ions as well as </w:t>
      </w:r>
      <w:r w:rsidRPr="00A96D2E">
        <w:rPr>
          <w:rFonts w:ascii="Times New Roman" w:eastAsia="Times New Roman" w:hAnsi="Times New Roman" w:cs="Times New Roman"/>
          <w:sz w:val="24"/>
          <w:szCs w:val="24"/>
        </w:rPr>
        <w:lastRenderedPageBreak/>
        <w:t xml:space="preserve">dipole interaction with water which is important concept of solubility of amino acid in water.  </w:t>
      </w:r>
    </w:p>
    <w:p w14:paraId="45F110CD" w14:textId="1B631EF5" w:rsidR="00D00B24" w:rsidRPr="00581A01" w:rsidRDefault="00D00B24" w:rsidP="00D00B24">
      <w:pPr>
        <w:tabs>
          <w:tab w:val="left" w:pos="900"/>
          <w:tab w:val="center" w:pos="4513"/>
        </w:tabs>
        <w:spacing w:line="480" w:lineRule="auto"/>
        <w:ind w:firstLine="720"/>
        <w:jc w:val="both"/>
      </w:pPr>
      <w:r w:rsidRPr="00296971">
        <w:rPr>
          <w:rFonts w:ascii="Times New Roman" w:hAnsi="Times New Roman" w:cs="Times New Roman"/>
          <w:sz w:val="24"/>
          <w:szCs w:val="24"/>
        </w:rPr>
        <w:t xml:space="preserve">The pH-metric titration curves of free acid (curve 1) and acid + ligand (curve 2) </w:t>
      </w:r>
      <w:r w:rsidR="00BC5FBA" w:rsidRPr="00296971">
        <w:rPr>
          <w:rFonts w:ascii="Times New Roman" w:hAnsi="Times New Roman" w:cs="Times New Roman"/>
          <w:sz w:val="24"/>
          <w:szCs w:val="24"/>
        </w:rPr>
        <w:t>is</w:t>
      </w:r>
      <w:r w:rsidRPr="00296971">
        <w:rPr>
          <w:rFonts w:ascii="Times New Roman" w:hAnsi="Times New Roman" w:cs="Times New Roman"/>
          <w:sz w:val="24"/>
          <w:szCs w:val="24"/>
        </w:rPr>
        <w:t xml:space="preserve"> shown in Figure 1</w:t>
      </w:r>
      <w:r>
        <w:rPr>
          <w:rFonts w:ascii="Times New Roman" w:hAnsi="Times New Roman" w:cs="Times New Roman"/>
          <w:sz w:val="24"/>
          <w:szCs w:val="24"/>
        </w:rPr>
        <w:t>5</w:t>
      </w:r>
      <w:r w:rsidRPr="00296971">
        <w:rPr>
          <w:rFonts w:ascii="Times New Roman" w:hAnsi="Times New Roman" w:cs="Times New Roman"/>
          <w:sz w:val="24"/>
          <w:szCs w:val="24"/>
        </w:rPr>
        <w:t>a</w:t>
      </w:r>
      <w:r>
        <w:rPr>
          <w:rFonts w:ascii="Times New Roman" w:hAnsi="Times New Roman" w:cs="Times New Roman"/>
          <w:sz w:val="24"/>
          <w:szCs w:val="24"/>
        </w:rPr>
        <w:t xml:space="preserve">.  </w:t>
      </w:r>
    </w:p>
    <w:tbl>
      <w:tblPr>
        <w:tblW w:w="8244" w:type="dxa"/>
        <w:jc w:val="center"/>
        <w:tblLook w:val="04A0" w:firstRow="1" w:lastRow="0" w:firstColumn="1" w:lastColumn="0" w:noHBand="0" w:noVBand="1"/>
      </w:tblPr>
      <w:tblGrid>
        <w:gridCol w:w="576"/>
        <w:gridCol w:w="2340"/>
        <w:gridCol w:w="1497"/>
        <w:gridCol w:w="1023"/>
        <w:gridCol w:w="2808"/>
      </w:tblGrid>
      <w:tr w:rsidR="00D00B24" w:rsidRPr="003C307D" w14:paraId="7825EE4D" w14:textId="77777777" w:rsidTr="000D2B1D">
        <w:trPr>
          <w:trHeight w:val="3137"/>
          <w:jc w:val="center"/>
        </w:trPr>
        <w:tc>
          <w:tcPr>
            <w:tcW w:w="4413" w:type="dxa"/>
            <w:gridSpan w:val="3"/>
          </w:tcPr>
          <w:p w14:paraId="4C1E56EC" w14:textId="77777777" w:rsidR="00D00B24" w:rsidRPr="003C307D" w:rsidRDefault="00D00B24" w:rsidP="000D2B1D">
            <w:pPr>
              <w:spacing w:after="0" w:line="240" w:lineRule="auto"/>
              <w:rPr>
                <w:rFonts w:ascii="Times New Roman" w:hAnsi="Times New Roman" w:cs="Times New Roman"/>
                <w:sz w:val="20"/>
                <w:szCs w:val="20"/>
              </w:rPr>
            </w:pPr>
            <w:r w:rsidRPr="000E5E35">
              <w:rPr>
                <w:rFonts w:ascii="Times New Roman" w:hAnsi="Times New Roman" w:cs="Times New Roman"/>
                <w:noProof/>
                <w:sz w:val="20"/>
                <w:szCs w:val="20"/>
                <w:lang w:val="en-US"/>
              </w:rPr>
              <w:drawing>
                <wp:inline distT="0" distB="0" distL="0" distR="0" wp14:anchorId="2AD62450" wp14:editId="743BECD9">
                  <wp:extent cx="2552325" cy="2128837"/>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srcRect/>
                          <a:stretch>
                            <a:fillRect/>
                          </a:stretch>
                        </pic:blipFill>
                        <pic:spPr bwMode="auto">
                          <a:xfrm>
                            <a:off x="0" y="0"/>
                            <a:ext cx="2555802" cy="2131737"/>
                          </a:xfrm>
                          <a:prstGeom prst="rect">
                            <a:avLst/>
                          </a:prstGeom>
                          <a:noFill/>
                          <a:ln w="9525">
                            <a:noFill/>
                            <a:miter lim="800000"/>
                            <a:headEnd/>
                            <a:tailEnd/>
                          </a:ln>
                        </pic:spPr>
                      </pic:pic>
                    </a:graphicData>
                  </a:graphic>
                </wp:inline>
              </w:drawing>
            </w:r>
          </w:p>
        </w:tc>
        <w:tc>
          <w:tcPr>
            <w:tcW w:w="3831" w:type="dxa"/>
            <w:gridSpan w:val="2"/>
          </w:tcPr>
          <w:p w14:paraId="42F97C64" w14:textId="77777777" w:rsidR="00D00B24" w:rsidRPr="003C307D" w:rsidRDefault="00D00B24" w:rsidP="000D2B1D">
            <w:pPr>
              <w:spacing w:after="0" w:line="240" w:lineRule="auto"/>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14:anchorId="39FA2E3A" wp14:editId="4DCC4867">
                  <wp:extent cx="1914525" cy="200025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cstate="print"/>
                          <a:srcRect/>
                          <a:stretch>
                            <a:fillRect/>
                          </a:stretch>
                        </pic:blipFill>
                        <pic:spPr bwMode="auto">
                          <a:xfrm>
                            <a:off x="0" y="0"/>
                            <a:ext cx="1914525" cy="2000250"/>
                          </a:xfrm>
                          <a:prstGeom prst="rect">
                            <a:avLst/>
                          </a:prstGeom>
                          <a:noFill/>
                          <a:ln w="9525">
                            <a:noFill/>
                            <a:miter lim="800000"/>
                            <a:headEnd/>
                            <a:tailEnd/>
                          </a:ln>
                        </pic:spPr>
                      </pic:pic>
                    </a:graphicData>
                  </a:graphic>
                </wp:inline>
              </w:drawing>
            </w:r>
          </w:p>
        </w:tc>
      </w:tr>
      <w:tr w:rsidR="00D00B24" w:rsidRPr="003C307D" w14:paraId="09E98A96" w14:textId="77777777" w:rsidTr="000D2B1D">
        <w:trPr>
          <w:trHeight w:val="140"/>
          <w:jc w:val="center"/>
        </w:trPr>
        <w:tc>
          <w:tcPr>
            <w:tcW w:w="576" w:type="dxa"/>
          </w:tcPr>
          <w:p w14:paraId="62340857" w14:textId="77777777" w:rsidR="00D00B24" w:rsidRPr="003C307D" w:rsidRDefault="00D00B24" w:rsidP="000D2B1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3C307D">
              <w:rPr>
                <w:rFonts w:ascii="Times New Roman" w:hAnsi="Times New Roman" w:cs="Times New Roman"/>
                <w:sz w:val="20"/>
                <w:szCs w:val="20"/>
              </w:rPr>
              <w:t>a.</w:t>
            </w:r>
          </w:p>
        </w:tc>
        <w:tc>
          <w:tcPr>
            <w:tcW w:w="3837" w:type="dxa"/>
            <w:gridSpan w:val="2"/>
          </w:tcPr>
          <w:p w14:paraId="0130E1ED" w14:textId="77777777" w:rsidR="00D00B24" w:rsidRPr="003C307D" w:rsidRDefault="00D00B24" w:rsidP="000D2B1D">
            <w:pPr>
              <w:spacing w:after="0" w:line="240" w:lineRule="auto"/>
              <w:ind w:left="-72"/>
              <w:rPr>
                <w:rFonts w:ascii="Times New Roman" w:hAnsi="Times New Roman" w:cs="Times New Roman"/>
                <w:sz w:val="20"/>
                <w:szCs w:val="20"/>
              </w:rPr>
            </w:pPr>
            <w:r w:rsidRPr="003C307D">
              <w:rPr>
                <w:rFonts w:ascii="Times New Roman" w:hAnsi="Times New Roman" w:cs="Times New Roman"/>
                <w:sz w:val="20"/>
                <w:szCs w:val="20"/>
              </w:rPr>
              <w:t>1.  Titration curve of free mineral acid</w:t>
            </w:r>
          </w:p>
        </w:tc>
        <w:tc>
          <w:tcPr>
            <w:tcW w:w="3831" w:type="dxa"/>
            <w:gridSpan w:val="2"/>
          </w:tcPr>
          <w:p w14:paraId="4B57FF4A" w14:textId="77777777"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 xml:space="preserve">              b. Species distribution diagram</w:t>
            </w:r>
          </w:p>
        </w:tc>
      </w:tr>
      <w:tr w:rsidR="00D00B24" w:rsidRPr="003C307D" w14:paraId="2E0AA3BD" w14:textId="77777777" w:rsidTr="000D2B1D">
        <w:trPr>
          <w:trHeight w:val="167"/>
          <w:jc w:val="center"/>
        </w:trPr>
        <w:tc>
          <w:tcPr>
            <w:tcW w:w="576" w:type="dxa"/>
          </w:tcPr>
          <w:p w14:paraId="5F764D1E" w14:textId="77777777" w:rsidR="00D00B24" w:rsidRPr="003C307D" w:rsidRDefault="00D00B24" w:rsidP="000D2B1D">
            <w:pPr>
              <w:spacing w:after="0" w:line="240" w:lineRule="auto"/>
              <w:rPr>
                <w:rFonts w:ascii="Times New Roman" w:hAnsi="Times New Roman" w:cs="Times New Roman"/>
                <w:b/>
                <w:sz w:val="20"/>
                <w:szCs w:val="20"/>
              </w:rPr>
            </w:pPr>
          </w:p>
        </w:tc>
        <w:tc>
          <w:tcPr>
            <w:tcW w:w="3837" w:type="dxa"/>
            <w:gridSpan w:val="2"/>
          </w:tcPr>
          <w:p w14:paraId="587973AE" w14:textId="77777777" w:rsidR="00D00B24" w:rsidRPr="003C307D" w:rsidRDefault="00D00B24" w:rsidP="000D2B1D">
            <w:pPr>
              <w:spacing w:after="0" w:line="240" w:lineRule="auto"/>
              <w:ind w:left="-72"/>
              <w:rPr>
                <w:rFonts w:ascii="Times New Roman" w:hAnsi="Times New Roman" w:cs="Times New Roman"/>
                <w:sz w:val="20"/>
                <w:szCs w:val="20"/>
              </w:rPr>
            </w:pPr>
            <w:r w:rsidRPr="003C307D">
              <w:rPr>
                <w:rFonts w:ascii="Times New Roman" w:hAnsi="Times New Roman" w:cs="Times New Roman"/>
                <w:sz w:val="20"/>
                <w:szCs w:val="20"/>
              </w:rPr>
              <w:t xml:space="preserve">2.  Titration curve for acid + </w:t>
            </w:r>
            <w:r>
              <w:rPr>
                <w:rFonts w:ascii="Times New Roman" w:hAnsi="Times New Roman" w:cs="Times New Roman"/>
                <w:sz w:val="20"/>
                <w:szCs w:val="20"/>
              </w:rPr>
              <w:t>Aspartic acid</w:t>
            </w:r>
          </w:p>
        </w:tc>
        <w:tc>
          <w:tcPr>
            <w:tcW w:w="3831" w:type="dxa"/>
            <w:gridSpan w:val="2"/>
          </w:tcPr>
          <w:p w14:paraId="4657B6BF" w14:textId="77777777" w:rsidR="00D00B24" w:rsidRPr="003C307D" w:rsidRDefault="00D00B24" w:rsidP="000D2B1D">
            <w:pPr>
              <w:spacing w:after="0" w:line="240" w:lineRule="auto"/>
              <w:rPr>
                <w:rFonts w:ascii="Times New Roman" w:hAnsi="Times New Roman" w:cs="Times New Roman"/>
                <w:sz w:val="20"/>
                <w:szCs w:val="20"/>
              </w:rPr>
            </w:pPr>
          </w:p>
        </w:tc>
      </w:tr>
      <w:tr w:rsidR="00D00B24" w:rsidRPr="003C307D" w14:paraId="40FE99AC" w14:textId="77777777" w:rsidTr="000D2B1D">
        <w:trPr>
          <w:trHeight w:val="203"/>
          <w:jc w:val="center"/>
        </w:trPr>
        <w:tc>
          <w:tcPr>
            <w:tcW w:w="2916" w:type="dxa"/>
            <w:gridSpan w:val="2"/>
          </w:tcPr>
          <w:p w14:paraId="69386824" w14:textId="480EAFEE" w:rsidR="00D00B24" w:rsidRPr="003C307D" w:rsidRDefault="00D00B24" w:rsidP="000D2B1D">
            <w:pPr>
              <w:tabs>
                <w:tab w:val="left" w:pos="3420"/>
              </w:tabs>
              <w:spacing w:after="0" w:line="240" w:lineRule="auto"/>
              <w:rPr>
                <w:rFonts w:ascii="Times New Roman" w:hAnsi="Times New Roman" w:cs="Times New Roman"/>
                <w:sz w:val="20"/>
                <w:szCs w:val="20"/>
              </w:rPr>
            </w:pPr>
            <w:r w:rsidRPr="003C307D">
              <w:rPr>
                <w:rFonts w:ascii="Times New Roman" w:hAnsi="Times New Roman" w:cs="Times New Roman"/>
                <w:sz w:val="20"/>
                <w:szCs w:val="20"/>
              </w:rPr>
              <w:t>[</w:t>
            </w:r>
            <w:r>
              <w:rPr>
                <w:rFonts w:ascii="Times New Roman" w:hAnsi="Times New Roman" w:cs="Times New Roman"/>
                <w:sz w:val="20"/>
                <w:szCs w:val="20"/>
              </w:rPr>
              <w:t>ASP]</w:t>
            </w:r>
            <w:r w:rsidRPr="003C307D">
              <w:rPr>
                <w:rFonts w:ascii="Times New Roman" w:hAnsi="Times New Roman" w:cs="Times New Roman"/>
                <w:sz w:val="20"/>
                <w:szCs w:val="20"/>
              </w:rPr>
              <w:t xml:space="preserve"> </w:t>
            </w:r>
            <w:r w:rsidR="00E50704" w:rsidRPr="003C307D">
              <w:rPr>
                <w:rFonts w:ascii="Times New Roman" w:hAnsi="Times New Roman" w:cs="Times New Roman"/>
                <w:sz w:val="20"/>
                <w:szCs w:val="20"/>
              </w:rPr>
              <w:t>= 0.0100 mol</w:t>
            </w:r>
            <w:r w:rsidRPr="003C307D">
              <w:rPr>
                <w:rFonts w:ascii="Times New Roman" w:hAnsi="Times New Roman" w:cs="Times New Roman"/>
                <w:sz w:val="20"/>
                <w:szCs w:val="20"/>
              </w:rPr>
              <w:t xml:space="preserve"> dm</w:t>
            </w:r>
            <w:r w:rsidRPr="003C307D">
              <w:rPr>
                <w:rFonts w:ascii="Times New Roman" w:hAnsi="Times New Roman" w:cs="Times New Roman"/>
                <w:sz w:val="20"/>
                <w:szCs w:val="20"/>
                <w:vertAlign w:val="superscript"/>
              </w:rPr>
              <w:t>-3</w:t>
            </w:r>
          </w:p>
        </w:tc>
        <w:tc>
          <w:tcPr>
            <w:tcW w:w="2520" w:type="dxa"/>
            <w:gridSpan w:val="2"/>
          </w:tcPr>
          <w:p w14:paraId="34002F28" w14:textId="56418C7D"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 xml:space="preserve"> [HCl] </w:t>
            </w:r>
            <w:r w:rsidR="00E50704" w:rsidRPr="003C307D">
              <w:rPr>
                <w:rFonts w:ascii="Times New Roman" w:hAnsi="Times New Roman" w:cs="Times New Roman"/>
                <w:sz w:val="20"/>
                <w:szCs w:val="20"/>
              </w:rPr>
              <w:t>= 0.0300</w:t>
            </w:r>
            <w:r w:rsidRPr="003C307D">
              <w:rPr>
                <w:rFonts w:ascii="Times New Roman" w:hAnsi="Times New Roman" w:cs="Times New Roman"/>
                <w:sz w:val="20"/>
                <w:szCs w:val="20"/>
              </w:rPr>
              <w:t xml:space="preserve"> mol dm</w:t>
            </w:r>
            <w:r w:rsidRPr="003C307D">
              <w:rPr>
                <w:rFonts w:ascii="Times New Roman" w:hAnsi="Times New Roman" w:cs="Times New Roman"/>
                <w:sz w:val="20"/>
                <w:szCs w:val="20"/>
                <w:vertAlign w:val="superscript"/>
              </w:rPr>
              <w:t>-3</w:t>
            </w:r>
            <w:r w:rsidRPr="003C307D">
              <w:rPr>
                <w:rFonts w:ascii="Times New Roman" w:hAnsi="Times New Roman" w:cs="Times New Roman"/>
                <w:sz w:val="20"/>
                <w:szCs w:val="20"/>
              </w:rPr>
              <w:t xml:space="preserve">     </w:t>
            </w:r>
          </w:p>
        </w:tc>
        <w:tc>
          <w:tcPr>
            <w:tcW w:w="2808" w:type="dxa"/>
          </w:tcPr>
          <w:p w14:paraId="061DD199" w14:textId="2FF1DB6A"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w:t>
            </w:r>
            <w:r w:rsidR="00E50704" w:rsidRPr="003C307D">
              <w:rPr>
                <w:rFonts w:ascii="Times New Roman" w:hAnsi="Times New Roman" w:cs="Times New Roman"/>
                <w:sz w:val="20"/>
                <w:szCs w:val="20"/>
              </w:rPr>
              <w:t>NaOH</w:t>
            </w:r>
            <w:r w:rsidR="00E50704">
              <w:rPr>
                <w:rFonts w:ascii="Times New Roman" w:hAnsi="Times New Roman" w:cs="Times New Roman"/>
                <w:sz w:val="20"/>
                <w:szCs w:val="20"/>
              </w:rPr>
              <w:t>]</w:t>
            </w:r>
            <w:r>
              <w:rPr>
                <w:rFonts w:ascii="Times New Roman" w:hAnsi="Times New Roman" w:cs="Times New Roman"/>
                <w:sz w:val="20"/>
                <w:szCs w:val="20"/>
              </w:rPr>
              <w:t xml:space="preserve">= 0.1773 </w:t>
            </w:r>
            <w:r w:rsidRPr="003C307D">
              <w:rPr>
                <w:rFonts w:ascii="Times New Roman" w:hAnsi="Times New Roman" w:cs="Times New Roman"/>
                <w:sz w:val="20"/>
                <w:szCs w:val="20"/>
              </w:rPr>
              <w:t>moldm</w:t>
            </w:r>
            <w:r w:rsidRPr="003C307D">
              <w:rPr>
                <w:rFonts w:ascii="Times New Roman" w:hAnsi="Times New Roman" w:cs="Times New Roman"/>
                <w:sz w:val="20"/>
                <w:szCs w:val="20"/>
                <w:vertAlign w:val="superscript"/>
              </w:rPr>
              <w:t>-3</w:t>
            </w:r>
          </w:p>
        </w:tc>
      </w:tr>
      <w:tr w:rsidR="00D00B24" w:rsidRPr="003C307D" w14:paraId="5010CF24" w14:textId="77777777" w:rsidTr="000D2B1D">
        <w:trPr>
          <w:trHeight w:val="140"/>
          <w:jc w:val="center"/>
        </w:trPr>
        <w:tc>
          <w:tcPr>
            <w:tcW w:w="2916" w:type="dxa"/>
            <w:gridSpan w:val="2"/>
          </w:tcPr>
          <w:p w14:paraId="025A3314" w14:textId="77777777"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Temp.: 30.0 ±0. 1</w:t>
            </w:r>
            <w:r w:rsidRPr="003C307D">
              <w:rPr>
                <w:rFonts w:ascii="Times New Roman" w:hAnsi="Times New Roman" w:cs="Times New Roman"/>
                <w:sz w:val="20"/>
                <w:szCs w:val="20"/>
                <w:vertAlign w:val="superscript"/>
              </w:rPr>
              <w:t>0</w:t>
            </w:r>
            <w:r w:rsidRPr="003C307D">
              <w:rPr>
                <w:rFonts w:ascii="Times New Roman" w:hAnsi="Times New Roman" w:cs="Times New Roman"/>
                <w:sz w:val="20"/>
                <w:szCs w:val="20"/>
              </w:rPr>
              <w:t xml:space="preserve">C                                        </w:t>
            </w:r>
          </w:p>
        </w:tc>
        <w:tc>
          <w:tcPr>
            <w:tcW w:w="2520" w:type="dxa"/>
            <w:gridSpan w:val="2"/>
          </w:tcPr>
          <w:p w14:paraId="596646B4" w14:textId="77777777"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Total volume= 50.0 cm</w:t>
            </w:r>
            <w:r w:rsidRPr="003C307D">
              <w:rPr>
                <w:rFonts w:ascii="Times New Roman" w:hAnsi="Times New Roman" w:cs="Times New Roman"/>
                <w:sz w:val="20"/>
                <w:szCs w:val="20"/>
                <w:vertAlign w:val="superscript"/>
              </w:rPr>
              <w:t>3</w:t>
            </w:r>
            <w:r w:rsidRPr="003C307D">
              <w:rPr>
                <w:rFonts w:ascii="Times New Roman" w:hAnsi="Times New Roman" w:cs="Times New Roman"/>
                <w:sz w:val="20"/>
                <w:szCs w:val="20"/>
              </w:rPr>
              <w:t xml:space="preserve">      </w:t>
            </w:r>
          </w:p>
        </w:tc>
        <w:tc>
          <w:tcPr>
            <w:tcW w:w="2808" w:type="dxa"/>
          </w:tcPr>
          <w:p w14:paraId="43B34953" w14:textId="77777777"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i/>
                <w:sz w:val="20"/>
                <w:szCs w:val="20"/>
              </w:rPr>
              <w:t>I</w:t>
            </w:r>
            <w:r w:rsidRPr="003C307D">
              <w:rPr>
                <w:rFonts w:ascii="Times New Roman" w:hAnsi="Times New Roman" w:cs="Times New Roman"/>
                <w:sz w:val="20"/>
                <w:szCs w:val="20"/>
              </w:rPr>
              <w:t xml:space="preserve"> = 0.1 mol dm</w:t>
            </w:r>
            <w:r w:rsidRPr="003C307D">
              <w:rPr>
                <w:rFonts w:ascii="Times New Roman" w:hAnsi="Times New Roman" w:cs="Times New Roman"/>
                <w:sz w:val="20"/>
                <w:szCs w:val="20"/>
                <w:vertAlign w:val="superscript"/>
              </w:rPr>
              <w:t>-3</w:t>
            </w:r>
            <w:r w:rsidRPr="003C307D">
              <w:rPr>
                <w:rFonts w:ascii="Times New Roman" w:hAnsi="Times New Roman" w:cs="Times New Roman"/>
                <w:sz w:val="20"/>
                <w:szCs w:val="20"/>
              </w:rPr>
              <w:t xml:space="preserve"> NaCl</w:t>
            </w:r>
          </w:p>
        </w:tc>
      </w:tr>
      <w:tr w:rsidR="00D00B24" w:rsidRPr="003C307D" w14:paraId="122A56F8" w14:textId="77777777" w:rsidTr="000D2B1D">
        <w:trPr>
          <w:trHeight w:val="70"/>
          <w:jc w:val="center"/>
        </w:trPr>
        <w:tc>
          <w:tcPr>
            <w:tcW w:w="8244" w:type="dxa"/>
            <w:gridSpan w:val="5"/>
          </w:tcPr>
          <w:p w14:paraId="2FE777B0" w14:textId="77777777" w:rsidR="00D00B24" w:rsidRDefault="00D00B24" w:rsidP="000D2B1D">
            <w:pPr>
              <w:pStyle w:val="Heading1"/>
              <w:spacing w:line="240" w:lineRule="auto"/>
              <w:jc w:val="center"/>
              <w:rPr>
                <w:sz w:val="20"/>
                <w:szCs w:val="20"/>
                <w:u w:val="none"/>
              </w:rPr>
            </w:pPr>
          </w:p>
          <w:p w14:paraId="5DE76C15" w14:textId="4DEA2AD4" w:rsidR="00D00B24" w:rsidRPr="003C307D" w:rsidRDefault="00D00B24" w:rsidP="000D2B1D">
            <w:pPr>
              <w:pStyle w:val="Heading1"/>
              <w:spacing w:line="240" w:lineRule="auto"/>
              <w:jc w:val="center"/>
              <w:rPr>
                <w:b w:val="0"/>
                <w:sz w:val="20"/>
                <w:szCs w:val="20"/>
              </w:rPr>
            </w:pPr>
            <w:r w:rsidRPr="003C307D">
              <w:rPr>
                <w:sz w:val="20"/>
                <w:szCs w:val="20"/>
                <w:u w:val="none"/>
              </w:rPr>
              <w:t>Figure</w:t>
            </w:r>
            <w:r>
              <w:rPr>
                <w:sz w:val="20"/>
                <w:szCs w:val="20"/>
                <w:u w:val="none"/>
              </w:rPr>
              <w:t xml:space="preserve"> 15:</w:t>
            </w:r>
            <w:r w:rsidRPr="003C307D">
              <w:rPr>
                <w:sz w:val="20"/>
                <w:szCs w:val="20"/>
                <w:u w:val="none"/>
              </w:rPr>
              <w:t xml:space="preserve"> </w:t>
            </w:r>
            <w:r w:rsidRPr="003C307D">
              <w:rPr>
                <w:b w:val="0"/>
                <w:sz w:val="20"/>
                <w:szCs w:val="20"/>
                <w:u w:val="none"/>
              </w:rPr>
              <w:t xml:space="preserve">PROTON-LIGAND SYSTEM OF </w:t>
            </w:r>
            <w:r>
              <w:rPr>
                <w:b w:val="0"/>
                <w:sz w:val="20"/>
                <w:szCs w:val="20"/>
                <w:u w:val="none"/>
              </w:rPr>
              <w:t>L-ASPARTIC ACID</w:t>
            </w:r>
          </w:p>
        </w:tc>
      </w:tr>
    </w:tbl>
    <w:p w14:paraId="7D572CCD" w14:textId="77777777" w:rsidR="00D00B24" w:rsidRDefault="00D00B24" w:rsidP="00D00B24">
      <w:pPr>
        <w:pStyle w:val="BodyText"/>
        <w:spacing w:line="480" w:lineRule="auto"/>
        <w:ind w:firstLine="720"/>
      </w:pPr>
    </w:p>
    <w:p w14:paraId="145EA3F8" w14:textId="70566C87" w:rsidR="00D00B24" w:rsidRDefault="00D00B24" w:rsidP="00D00B2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titration curve of the ligand possesses three buffer regions corresponding to the titration of the three protons associated with the cationic (XH</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w:t>
      </w:r>
      <w:r>
        <w:rPr>
          <w:rFonts w:ascii="Times New Roman" w:hAnsi="Times New Roman" w:cs="Times New Roman"/>
          <w:sz w:val="24"/>
          <w:szCs w:val="24"/>
        </w:rPr>
        <w:t xml:space="preserve">) form of the ligand. The ligand curve is above that of the free acid in the lower pH region indicating proton association to the ligand.  </w:t>
      </w:r>
      <w:r w:rsidRPr="00296971">
        <w:rPr>
          <w:rFonts w:ascii="Times New Roman" w:hAnsi="Times New Roman" w:cs="Times New Roman"/>
          <w:sz w:val="24"/>
          <w:szCs w:val="24"/>
        </w:rPr>
        <w:t xml:space="preserve">The </w:t>
      </w:r>
      <w:r>
        <w:rPr>
          <w:rFonts w:ascii="Times New Roman" w:hAnsi="Times New Roman" w:cs="Times New Roman"/>
          <w:sz w:val="24"/>
          <w:szCs w:val="24"/>
        </w:rPr>
        <w:t xml:space="preserve">experimental </w:t>
      </w:r>
      <w:r w:rsidRPr="00296971">
        <w:rPr>
          <w:rFonts w:ascii="Times New Roman" w:hAnsi="Times New Roman" w:cs="Times New Roman"/>
          <w:sz w:val="24"/>
          <w:szCs w:val="24"/>
        </w:rPr>
        <w:t>data were subjected to analysis by the Miniquad-75 program</w:t>
      </w:r>
      <w:r w:rsidR="00BC5FBA">
        <w:rPr>
          <w:rFonts w:ascii="Times New Roman" w:hAnsi="Times New Roman" w:cs="Times New Roman"/>
          <w:sz w:val="24"/>
          <w:szCs w:val="24"/>
        </w:rPr>
        <w:t xml:space="preserve"> </w:t>
      </w:r>
      <w:r>
        <w:rPr>
          <w:rFonts w:ascii="Times New Roman" w:hAnsi="Times New Roman" w:cs="Times New Roman"/>
          <w:sz w:val="24"/>
          <w:szCs w:val="24"/>
          <w:vertAlign w:val="superscript"/>
        </w:rPr>
        <w:t>13</w:t>
      </w:r>
      <w:r w:rsidR="00E50704">
        <w:rPr>
          <w:rFonts w:ascii="Times New Roman" w:hAnsi="Times New Roman" w:cs="Times New Roman"/>
          <w:sz w:val="24"/>
          <w:szCs w:val="24"/>
        </w:rPr>
        <w:t xml:space="preserve"> </w:t>
      </w:r>
      <w:r w:rsidRPr="00296971">
        <w:rPr>
          <w:rFonts w:ascii="Times New Roman" w:hAnsi="Times New Roman" w:cs="Times New Roman"/>
          <w:sz w:val="24"/>
          <w:szCs w:val="24"/>
        </w:rPr>
        <w:t xml:space="preserve">and the best-fit chemical model obtained along with statistical parameters is shown in Table 6.  </w:t>
      </w:r>
    </w:p>
    <w:p w14:paraId="0DC51F5D" w14:textId="52F9FD98" w:rsidR="00D00B24" w:rsidRPr="00D318AE" w:rsidRDefault="00D00B24" w:rsidP="00D00B24">
      <w:pPr>
        <w:spacing w:before="240" w:line="480" w:lineRule="auto"/>
        <w:ind w:firstLine="720"/>
        <w:jc w:val="both"/>
        <w:rPr>
          <w:rFonts w:ascii="Times New Roman" w:hAnsi="Times New Roman" w:cs="Times New Roman"/>
          <w:sz w:val="24"/>
          <w:szCs w:val="24"/>
        </w:rPr>
      </w:pPr>
      <w:r w:rsidRPr="00D318AE">
        <w:rPr>
          <w:rFonts w:ascii="Times New Roman" w:hAnsi="Times New Roman" w:cs="Times New Roman"/>
          <w:sz w:val="24"/>
          <w:szCs w:val="24"/>
        </w:rPr>
        <w:t xml:space="preserve">The obtained values are in close agreement with the IUPAC recommended values, </w:t>
      </w:r>
      <w:r>
        <w:rPr>
          <w:rFonts w:ascii="Times New Roman" w:hAnsi="Times New Roman" w:cs="Times New Roman"/>
          <w:sz w:val="24"/>
          <w:szCs w:val="24"/>
        </w:rPr>
        <w:t xml:space="preserve">with due considerations of the differences in experimental conditions.  </w:t>
      </w:r>
      <w:r w:rsidRPr="00D318AE">
        <w:rPr>
          <w:rFonts w:ascii="Times New Roman" w:hAnsi="Times New Roman" w:cs="Times New Roman"/>
          <w:sz w:val="24"/>
          <w:szCs w:val="24"/>
        </w:rPr>
        <w:t xml:space="preserve">The formation constants obtained represent the </w:t>
      </w:r>
      <w:r w:rsidR="00E50704" w:rsidRPr="00D318AE">
        <w:rPr>
          <w:rFonts w:ascii="Times New Roman" w:hAnsi="Times New Roman" w:cs="Times New Roman"/>
          <w:sz w:val="24"/>
          <w:szCs w:val="24"/>
        </w:rPr>
        <w:t>equilibria.</w:t>
      </w:r>
    </w:p>
    <w:p w14:paraId="5E50E416" w14:textId="77777777" w:rsidR="00D00B24" w:rsidRDefault="00D00B24" w:rsidP="00D00B24">
      <w:pPr>
        <w:spacing w:line="480" w:lineRule="auto"/>
        <w:ind w:firstLine="720"/>
        <w:jc w:val="both"/>
        <w:rPr>
          <w:rFonts w:ascii="Times New Roman" w:hAnsi="Times New Roman" w:cs="Times New Roman"/>
          <w:sz w:val="24"/>
          <w:szCs w:val="24"/>
        </w:rPr>
      </w:pPr>
    </w:p>
    <w:p w14:paraId="604B0DC3" w14:textId="388743AD" w:rsidR="00D00B24" w:rsidRDefault="00D00B24" w:rsidP="00D00B2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Table 6</w:t>
      </w:r>
      <w:r w:rsidRPr="006116E3">
        <w:rPr>
          <w:rFonts w:ascii="Times New Roman" w:hAnsi="Times New Roman" w:cs="Times New Roman"/>
          <w:b/>
          <w:sz w:val="24"/>
          <w:szCs w:val="24"/>
        </w:rPr>
        <w:t xml:space="preserve">: </w:t>
      </w:r>
      <w:r w:rsidRPr="006116E3">
        <w:rPr>
          <w:rFonts w:ascii="Times New Roman" w:hAnsi="Times New Roman" w:cs="Times New Roman"/>
          <w:sz w:val="24"/>
          <w:szCs w:val="24"/>
        </w:rPr>
        <w:t>B</w:t>
      </w:r>
      <w:r>
        <w:rPr>
          <w:rFonts w:ascii="Times New Roman" w:hAnsi="Times New Roman" w:cs="Times New Roman"/>
          <w:sz w:val="24"/>
          <w:szCs w:val="24"/>
        </w:rPr>
        <w:t>est fit chemical model for acid-base</w:t>
      </w:r>
      <w:r w:rsidRPr="006116E3">
        <w:rPr>
          <w:rFonts w:ascii="Times New Roman" w:hAnsi="Times New Roman" w:cs="Times New Roman"/>
          <w:sz w:val="24"/>
          <w:szCs w:val="24"/>
        </w:rPr>
        <w:t xml:space="preserve"> equilibria of </w:t>
      </w:r>
      <w:r>
        <w:rPr>
          <w:rFonts w:ascii="Times New Roman" w:hAnsi="Times New Roman" w:cs="Times New Roman"/>
          <w:sz w:val="24"/>
          <w:szCs w:val="24"/>
        </w:rPr>
        <w:t>L-aspartic acid</w:t>
      </w:r>
      <w:r w:rsidRPr="006116E3">
        <w:rPr>
          <w:rFonts w:ascii="Times New Roman" w:hAnsi="Times New Roman" w:cs="Times New Roman"/>
          <w:sz w:val="24"/>
          <w:szCs w:val="24"/>
        </w:rPr>
        <w:t xml:space="preserve"> in aqueous </w:t>
      </w:r>
      <w:r>
        <w:rPr>
          <w:rFonts w:ascii="Times New Roman" w:hAnsi="Times New Roman" w:cs="Times New Roman"/>
          <w:sz w:val="24"/>
          <w:szCs w:val="24"/>
        </w:rPr>
        <w:t xml:space="preserve">medium.  </w:t>
      </w:r>
      <w:r w:rsidRPr="00377912">
        <w:rPr>
          <w:rFonts w:ascii="Times New Roman" w:hAnsi="Times New Roman" w:cs="Times New Roman"/>
          <w:sz w:val="24"/>
          <w:szCs w:val="24"/>
        </w:rPr>
        <w:t xml:space="preserve">Temp. = 30.0 ± 0.1°C and ionic strength, </w:t>
      </w:r>
      <w:r w:rsidRPr="00377912">
        <w:rPr>
          <w:rFonts w:ascii="Times New Roman" w:hAnsi="Times New Roman" w:cs="Times New Roman"/>
          <w:i/>
          <w:sz w:val="24"/>
          <w:szCs w:val="24"/>
        </w:rPr>
        <w:t>I</w:t>
      </w:r>
      <w:r w:rsidRPr="00377912">
        <w:rPr>
          <w:rFonts w:ascii="Times New Roman" w:hAnsi="Times New Roman" w:cs="Times New Roman"/>
          <w:sz w:val="24"/>
          <w:szCs w:val="24"/>
        </w:rPr>
        <w:t xml:space="preserve"> = 0.1 mol dm</w:t>
      </w:r>
      <w:r w:rsidRPr="00377912">
        <w:rPr>
          <w:rFonts w:ascii="Times New Roman" w:hAnsi="Times New Roman" w:cs="Times New Roman"/>
          <w:sz w:val="24"/>
          <w:szCs w:val="24"/>
          <w:vertAlign w:val="superscript"/>
        </w:rPr>
        <w:t>–3</w:t>
      </w:r>
      <w:r w:rsidRPr="00377912">
        <w:rPr>
          <w:rFonts w:ascii="Times New Roman" w:hAnsi="Times New Roman" w:cs="Times New Roman"/>
          <w:sz w:val="24"/>
          <w:szCs w:val="24"/>
        </w:rPr>
        <w:t> (NaCl)</w:t>
      </w:r>
    </w:p>
    <w:p w14:paraId="3A5BCFA7" w14:textId="77777777" w:rsidR="00D00B24" w:rsidRDefault="00D00B24" w:rsidP="00D00B24">
      <w:pPr>
        <w:spacing w:after="0" w:line="240" w:lineRule="auto"/>
        <w:jc w:val="center"/>
        <w:rPr>
          <w:rFonts w:ascii="Times New Roman" w:hAnsi="Times New Roman" w:cs="Times New Roman"/>
          <w:sz w:val="24"/>
          <w:szCs w:val="24"/>
        </w:rPr>
      </w:pPr>
    </w:p>
    <w:tbl>
      <w:tblPr>
        <w:tblStyle w:val="TableGrid"/>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1298"/>
        <w:gridCol w:w="1737"/>
        <w:gridCol w:w="1706"/>
        <w:gridCol w:w="1546"/>
        <w:gridCol w:w="890"/>
      </w:tblGrid>
      <w:tr w:rsidR="00D00B24" w:rsidRPr="006116E3" w14:paraId="5187CE03" w14:textId="77777777" w:rsidTr="000D2B1D">
        <w:tc>
          <w:tcPr>
            <w:tcW w:w="1188" w:type="dxa"/>
          </w:tcPr>
          <w:p w14:paraId="6F39FD07"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Species</w:t>
            </w:r>
          </w:p>
          <w:p w14:paraId="1EACDAB3" w14:textId="77777777" w:rsidR="00D00B24" w:rsidRPr="00377912" w:rsidRDefault="00D00B24" w:rsidP="000D2B1D">
            <w:pPr>
              <w:jc w:val="center"/>
              <w:rPr>
                <w:rFonts w:ascii="Times New Roman" w:hAnsi="Times New Roman" w:cs="Times New Roman"/>
                <w:i/>
                <w:sz w:val="24"/>
                <w:szCs w:val="24"/>
              </w:rPr>
            </w:pPr>
            <w:r w:rsidRPr="00377912">
              <w:rPr>
                <w:rFonts w:ascii="Times New Roman" w:hAnsi="Times New Roman" w:cs="Times New Roman"/>
                <w:i/>
                <w:sz w:val="24"/>
                <w:szCs w:val="24"/>
              </w:rPr>
              <w:t>Mlh</w:t>
            </w:r>
          </w:p>
        </w:tc>
        <w:tc>
          <w:tcPr>
            <w:tcW w:w="1530" w:type="dxa"/>
          </w:tcPr>
          <w:p w14:paraId="684EC0E5" w14:textId="77777777" w:rsidR="00D00B24" w:rsidRPr="00377912" w:rsidRDefault="00D00B24" w:rsidP="000D2B1D">
            <w:pPr>
              <w:jc w:val="center"/>
              <w:rPr>
                <w:rFonts w:ascii="Times New Roman" w:hAnsi="Times New Roman" w:cs="Times New Roman"/>
                <w:sz w:val="24"/>
                <w:szCs w:val="24"/>
              </w:rPr>
            </w:pPr>
            <w:r w:rsidRPr="00D42AFB">
              <w:rPr>
                <w:rFonts w:ascii="Times New Roman" w:hAnsi="Times New Roman" w:cs="Times New Roman"/>
                <w:i/>
                <w:sz w:val="24"/>
                <w:szCs w:val="24"/>
              </w:rPr>
              <w:t xml:space="preserve">Log </w:t>
            </w:r>
            <w:r w:rsidRPr="00377912">
              <w:rPr>
                <w:rFonts w:ascii="Times New Roman" w:hAnsi="Times New Roman" w:cs="Times New Roman"/>
                <w:i/>
                <w:sz w:val="24"/>
                <w:szCs w:val="24"/>
              </w:rPr>
              <w:t>β</w:t>
            </w:r>
            <w:r w:rsidRPr="00377912">
              <w:rPr>
                <w:rFonts w:ascii="Times New Roman" w:hAnsi="Times New Roman" w:cs="Times New Roman"/>
                <w:i/>
                <w:sz w:val="24"/>
                <w:szCs w:val="24"/>
                <w:vertAlign w:val="subscript"/>
              </w:rPr>
              <w:t xml:space="preserve">0lh </w:t>
            </w:r>
            <w:r w:rsidRPr="00377912">
              <w:rPr>
                <w:rFonts w:ascii="Times New Roman" w:hAnsi="Times New Roman" w:cs="Times New Roman"/>
                <w:i/>
                <w:sz w:val="24"/>
                <w:szCs w:val="24"/>
              </w:rPr>
              <w:t>(SD)</w:t>
            </w:r>
          </w:p>
        </w:tc>
        <w:tc>
          <w:tcPr>
            <w:tcW w:w="1800" w:type="dxa"/>
          </w:tcPr>
          <w:p w14:paraId="304AF00D" w14:textId="3C675EB7" w:rsidR="00D00B24" w:rsidRDefault="00D00B24" w:rsidP="000D2B1D">
            <w:pPr>
              <w:jc w:val="center"/>
              <w:rPr>
                <w:rFonts w:ascii="Times New Roman" w:hAnsi="Times New Roman" w:cs="Times New Roman"/>
                <w:sz w:val="24"/>
                <w:szCs w:val="24"/>
              </w:rPr>
            </w:pPr>
            <w:r>
              <w:rPr>
                <w:rFonts w:ascii="Times New Roman" w:hAnsi="Times New Roman" w:cs="Times New Roman"/>
                <w:sz w:val="24"/>
                <w:szCs w:val="24"/>
              </w:rPr>
              <w:t>Literature</w:t>
            </w:r>
            <w:r>
              <w:rPr>
                <w:rFonts w:ascii="Times New Roman" w:hAnsi="Times New Roman" w:cs="Times New Roman"/>
                <w:sz w:val="24"/>
                <w:szCs w:val="24"/>
                <w:vertAlign w:val="superscript"/>
              </w:rPr>
              <w:t>14</w:t>
            </w:r>
            <w:r>
              <w:rPr>
                <w:rFonts w:ascii="Times New Roman" w:hAnsi="Times New Roman" w:cs="Times New Roman"/>
                <w:sz w:val="24"/>
                <w:szCs w:val="24"/>
              </w:rPr>
              <w:t xml:space="preserve"> recommended </w:t>
            </w:r>
            <w:r w:rsidR="00E50704">
              <w:rPr>
                <w:rFonts w:ascii="Times New Roman" w:hAnsi="Times New Roman" w:cs="Times New Roman"/>
                <w:sz w:val="24"/>
                <w:szCs w:val="24"/>
              </w:rPr>
              <w:t>values.</w:t>
            </w:r>
          </w:p>
          <w:p w14:paraId="45E7FAEA" w14:textId="77777777" w:rsidR="00D00B24" w:rsidRPr="000D542C" w:rsidRDefault="00D00B24" w:rsidP="000D2B1D">
            <w:pPr>
              <w:jc w:val="center"/>
              <w:rPr>
                <w:rFonts w:ascii="Times New Roman" w:hAnsi="Times New Roman" w:cs="Times New Roman"/>
                <w:sz w:val="24"/>
                <w:szCs w:val="24"/>
              </w:rPr>
            </w:pPr>
            <w:r>
              <w:rPr>
                <w:rFonts w:ascii="Times New Roman" w:hAnsi="Times New Roman" w:cs="Times New Roman"/>
                <w:sz w:val="24"/>
                <w:szCs w:val="24"/>
              </w:rPr>
              <w:t xml:space="preserve">At 25.0 </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800" w:type="dxa"/>
          </w:tcPr>
          <w:p w14:paraId="6F91B4D4" w14:textId="77777777" w:rsidR="00D00B24" w:rsidRPr="006116E3" w:rsidRDefault="00D00B24" w:rsidP="000D2B1D">
            <w:pPr>
              <w:jc w:val="center"/>
              <w:rPr>
                <w:rFonts w:ascii="Times New Roman" w:hAnsi="Times New Roman" w:cs="Times New Roman"/>
                <w:sz w:val="24"/>
                <w:szCs w:val="24"/>
              </w:rPr>
            </w:pPr>
            <w:r w:rsidRPr="006116E3">
              <w:rPr>
                <w:rFonts w:ascii="Times New Roman" w:hAnsi="Times New Roman" w:cs="Times New Roman"/>
                <w:sz w:val="24"/>
                <w:szCs w:val="24"/>
              </w:rPr>
              <w:t>Number of experimental points analysed</w:t>
            </w:r>
          </w:p>
        </w:tc>
        <w:tc>
          <w:tcPr>
            <w:tcW w:w="1710" w:type="dxa"/>
          </w:tcPr>
          <w:p w14:paraId="43D31058" w14:textId="77777777" w:rsidR="00D00B24" w:rsidRPr="006116E3" w:rsidRDefault="00D00B24" w:rsidP="000D2B1D">
            <w:pPr>
              <w:jc w:val="center"/>
              <w:rPr>
                <w:rFonts w:ascii="Times New Roman" w:hAnsi="Times New Roman" w:cs="Times New Roman"/>
                <w:sz w:val="24"/>
                <w:szCs w:val="24"/>
                <w:vertAlign w:val="superscript"/>
              </w:rPr>
            </w:pPr>
            <w:r w:rsidRPr="006116E3">
              <w:rPr>
                <w:rFonts w:ascii="Times New Roman" w:hAnsi="Times New Roman" w:cs="Times New Roman"/>
                <w:sz w:val="24"/>
                <w:szCs w:val="24"/>
              </w:rPr>
              <w:t xml:space="preserve">Sum of the squares of residuals, U </w:t>
            </w:r>
          </w:p>
        </w:tc>
        <w:tc>
          <w:tcPr>
            <w:tcW w:w="990" w:type="dxa"/>
          </w:tcPr>
          <w:p w14:paraId="1326C608" w14:textId="77777777" w:rsidR="00D00B24" w:rsidRPr="006116E3" w:rsidRDefault="00D00B24" w:rsidP="000D2B1D">
            <w:pPr>
              <w:jc w:val="center"/>
              <w:rPr>
                <w:rFonts w:ascii="Times New Roman" w:hAnsi="Times New Roman" w:cs="Times New Roman"/>
                <w:sz w:val="24"/>
                <w:szCs w:val="24"/>
              </w:rPr>
            </w:pPr>
            <w:r w:rsidRPr="006116E3">
              <w:rPr>
                <w:rFonts w:ascii="Times New Roman" w:hAnsi="Times New Roman" w:cs="Times New Roman"/>
                <w:sz w:val="24"/>
                <w:szCs w:val="24"/>
              </w:rPr>
              <w:t>χ</w:t>
            </w:r>
            <w:r w:rsidRPr="006116E3">
              <w:rPr>
                <w:rFonts w:ascii="Times New Roman" w:hAnsi="Times New Roman" w:cs="Times New Roman"/>
                <w:sz w:val="24"/>
                <w:szCs w:val="24"/>
                <w:vertAlign w:val="superscript"/>
              </w:rPr>
              <w:t>2</w:t>
            </w:r>
          </w:p>
        </w:tc>
      </w:tr>
      <w:tr w:rsidR="00D00B24" w:rsidRPr="006116E3" w14:paraId="601B9F53" w14:textId="77777777" w:rsidTr="000D2B1D">
        <w:tc>
          <w:tcPr>
            <w:tcW w:w="1188" w:type="dxa"/>
          </w:tcPr>
          <w:p w14:paraId="61F73044"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011</w:t>
            </w:r>
          </w:p>
        </w:tc>
        <w:tc>
          <w:tcPr>
            <w:tcW w:w="1530" w:type="dxa"/>
          </w:tcPr>
          <w:p w14:paraId="63037F1C" w14:textId="77777777" w:rsidR="00D00B24" w:rsidRDefault="00D00B24" w:rsidP="000D2B1D">
            <w:pPr>
              <w:rPr>
                <w:rFonts w:ascii="Times New Roman" w:hAnsi="Times New Roman" w:cs="Times New Roman"/>
              </w:rPr>
            </w:pPr>
            <w:r>
              <w:rPr>
                <w:rFonts w:ascii="Times New Roman" w:eastAsia="MS Mincho" w:hAnsi="Times New Roman" w:cs="Times New Roman"/>
              </w:rPr>
              <w:t xml:space="preserve">     09.58 (2)</w:t>
            </w:r>
          </w:p>
        </w:tc>
        <w:tc>
          <w:tcPr>
            <w:tcW w:w="1800" w:type="dxa"/>
          </w:tcPr>
          <w:p w14:paraId="18305048" w14:textId="77777777"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9.62</w:t>
            </w:r>
          </w:p>
        </w:tc>
        <w:tc>
          <w:tcPr>
            <w:tcW w:w="1800" w:type="dxa"/>
            <w:vMerge w:val="restart"/>
          </w:tcPr>
          <w:p w14:paraId="10849E58" w14:textId="77777777" w:rsidR="00D00B24" w:rsidRPr="006116E3" w:rsidRDefault="00D00B24" w:rsidP="000D2B1D">
            <w:pPr>
              <w:rPr>
                <w:rFonts w:ascii="Times New Roman" w:hAnsi="Times New Roman" w:cs="Times New Roman"/>
                <w:sz w:val="24"/>
                <w:szCs w:val="24"/>
              </w:rPr>
            </w:pPr>
          </w:p>
          <w:p w14:paraId="4ABB54AF" w14:textId="77777777"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104</w:t>
            </w:r>
          </w:p>
        </w:tc>
        <w:tc>
          <w:tcPr>
            <w:tcW w:w="1710" w:type="dxa"/>
            <w:vMerge w:val="restart"/>
          </w:tcPr>
          <w:p w14:paraId="0FAC98B1" w14:textId="77777777" w:rsidR="00D00B24" w:rsidRPr="006116E3" w:rsidRDefault="00D00B24" w:rsidP="000D2B1D">
            <w:pPr>
              <w:rPr>
                <w:rFonts w:ascii="Times New Roman" w:hAnsi="Times New Roman" w:cs="Times New Roman"/>
                <w:sz w:val="24"/>
                <w:szCs w:val="24"/>
              </w:rPr>
            </w:pPr>
          </w:p>
          <w:p w14:paraId="6B6A6CFB" w14:textId="77777777" w:rsidR="00D00B24" w:rsidRPr="006116E3" w:rsidRDefault="00D00B24" w:rsidP="000D2B1D">
            <w:pPr>
              <w:rPr>
                <w:rFonts w:ascii="Times New Roman" w:hAnsi="Times New Roman" w:cs="Times New Roman"/>
                <w:sz w:val="24"/>
                <w:szCs w:val="24"/>
                <w:vertAlign w:val="superscript"/>
              </w:rPr>
            </w:pPr>
            <w:r>
              <w:rPr>
                <w:rFonts w:ascii="Times New Roman" w:hAnsi="Times New Roman" w:cs="Times New Roman"/>
                <w:sz w:val="24"/>
                <w:szCs w:val="24"/>
              </w:rPr>
              <w:t xml:space="preserve">4.28 </w:t>
            </w:r>
            <w:r w:rsidRPr="006116E3">
              <w:rPr>
                <w:rFonts w:ascii="Times New Roman" w:hAnsi="Times New Roman" w:cs="Times New Roman"/>
                <w:sz w:val="24"/>
                <w:szCs w:val="24"/>
              </w:rPr>
              <w:t>X 10</w:t>
            </w:r>
            <w:r w:rsidRPr="006116E3">
              <w:rPr>
                <w:rFonts w:ascii="Times New Roman" w:hAnsi="Times New Roman" w:cs="Times New Roman"/>
                <w:sz w:val="24"/>
                <w:szCs w:val="24"/>
                <w:vertAlign w:val="superscript"/>
              </w:rPr>
              <w:t>-</w:t>
            </w:r>
            <w:r>
              <w:rPr>
                <w:rFonts w:ascii="Times New Roman" w:hAnsi="Times New Roman" w:cs="Times New Roman"/>
                <w:sz w:val="24"/>
                <w:szCs w:val="24"/>
                <w:vertAlign w:val="superscript"/>
              </w:rPr>
              <w:t>9</w:t>
            </w:r>
          </w:p>
        </w:tc>
        <w:tc>
          <w:tcPr>
            <w:tcW w:w="990" w:type="dxa"/>
            <w:vMerge w:val="restart"/>
          </w:tcPr>
          <w:p w14:paraId="6CE3B93D" w14:textId="77777777" w:rsidR="00D00B24" w:rsidRPr="006116E3" w:rsidRDefault="00D00B24" w:rsidP="000D2B1D">
            <w:pPr>
              <w:rPr>
                <w:rFonts w:ascii="Times New Roman" w:hAnsi="Times New Roman" w:cs="Times New Roman"/>
                <w:sz w:val="24"/>
                <w:szCs w:val="24"/>
              </w:rPr>
            </w:pPr>
          </w:p>
          <w:p w14:paraId="77465444" w14:textId="77777777"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6.37</w:t>
            </w:r>
          </w:p>
        </w:tc>
      </w:tr>
      <w:tr w:rsidR="00D00B24" w:rsidRPr="006116E3" w14:paraId="6E7BD2BC" w14:textId="77777777" w:rsidTr="000D2B1D">
        <w:trPr>
          <w:trHeight w:val="255"/>
        </w:trPr>
        <w:tc>
          <w:tcPr>
            <w:tcW w:w="1188" w:type="dxa"/>
          </w:tcPr>
          <w:p w14:paraId="1EBC1F47" w14:textId="77777777"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012</w:t>
            </w:r>
          </w:p>
        </w:tc>
        <w:tc>
          <w:tcPr>
            <w:tcW w:w="1530" w:type="dxa"/>
          </w:tcPr>
          <w:p w14:paraId="32089E64" w14:textId="77777777" w:rsidR="00D00B24" w:rsidRDefault="00D00B24" w:rsidP="000D2B1D">
            <w:pPr>
              <w:rPr>
                <w:rFonts w:ascii="Times New Roman" w:hAnsi="Times New Roman" w:cs="Times New Roman"/>
              </w:rPr>
            </w:pPr>
            <w:r>
              <w:rPr>
                <w:rFonts w:ascii="Times New Roman" w:hAnsi="Times New Roman" w:cs="Times New Roman"/>
              </w:rPr>
              <w:t xml:space="preserve">     13.30 (2)</w:t>
            </w:r>
          </w:p>
        </w:tc>
        <w:tc>
          <w:tcPr>
            <w:tcW w:w="1800" w:type="dxa"/>
          </w:tcPr>
          <w:p w14:paraId="0FB133A1" w14:textId="77777777"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13.32</w:t>
            </w:r>
          </w:p>
        </w:tc>
        <w:tc>
          <w:tcPr>
            <w:tcW w:w="1800" w:type="dxa"/>
            <w:vMerge/>
          </w:tcPr>
          <w:p w14:paraId="1C165E0A" w14:textId="77777777" w:rsidR="00D00B24" w:rsidRPr="006116E3" w:rsidRDefault="00D00B24" w:rsidP="000D2B1D">
            <w:pPr>
              <w:rPr>
                <w:rFonts w:ascii="Times New Roman" w:hAnsi="Times New Roman" w:cs="Times New Roman"/>
                <w:sz w:val="24"/>
                <w:szCs w:val="24"/>
              </w:rPr>
            </w:pPr>
          </w:p>
        </w:tc>
        <w:tc>
          <w:tcPr>
            <w:tcW w:w="1710" w:type="dxa"/>
            <w:vMerge/>
          </w:tcPr>
          <w:p w14:paraId="2122621A" w14:textId="77777777" w:rsidR="00D00B24" w:rsidRPr="006116E3" w:rsidRDefault="00D00B24" w:rsidP="000D2B1D">
            <w:pPr>
              <w:rPr>
                <w:rFonts w:ascii="Times New Roman" w:hAnsi="Times New Roman" w:cs="Times New Roman"/>
                <w:sz w:val="24"/>
                <w:szCs w:val="24"/>
              </w:rPr>
            </w:pPr>
          </w:p>
        </w:tc>
        <w:tc>
          <w:tcPr>
            <w:tcW w:w="990" w:type="dxa"/>
            <w:vMerge/>
          </w:tcPr>
          <w:p w14:paraId="3F1A4953" w14:textId="77777777" w:rsidR="00D00B24" w:rsidRPr="006116E3" w:rsidRDefault="00D00B24" w:rsidP="000D2B1D">
            <w:pPr>
              <w:rPr>
                <w:rFonts w:ascii="Times New Roman" w:hAnsi="Times New Roman" w:cs="Times New Roman"/>
                <w:sz w:val="24"/>
                <w:szCs w:val="24"/>
              </w:rPr>
            </w:pPr>
          </w:p>
        </w:tc>
      </w:tr>
      <w:tr w:rsidR="00D00B24" w:rsidRPr="006116E3" w14:paraId="7BA0F0CD" w14:textId="77777777" w:rsidTr="000D2B1D">
        <w:trPr>
          <w:trHeight w:val="128"/>
        </w:trPr>
        <w:tc>
          <w:tcPr>
            <w:tcW w:w="1188" w:type="dxa"/>
          </w:tcPr>
          <w:p w14:paraId="1F50717B" w14:textId="77777777" w:rsidR="00D00B24" w:rsidRPr="00377912" w:rsidRDefault="00D00B24" w:rsidP="000D2B1D">
            <w:pPr>
              <w:jc w:val="center"/>
              <w:rPr>
                <w:rFonts w:ascii="Times New Roman" w:hAnsi="Times New Roman" w:cs="Times New Roman"/>
                <w:sz w:val="24"/>
                <w:szCs w:val="24"/>
              </w:rPr>
            </w:pPr>
            <w:r>
              <w:rPr>
                <w:rFonts w:ascii="Times New Roman" w:hAnsi="Times New Roman" w:cs="Times New Roman"/>
                <w:sz w:val="24"/>
                <w:szCs w:val="24"/>
              </w:rPr>
              <w:t>013</w:t>
            </w:r>
          </w:p>
        </w:tc>
        <w:tc>
          <w:tcPr>
            <w:tcW w:w="1530" w:type="dxa"/>
          </w:tcPr>
          <w:p w14:paraId="6C1E46D6" w14:textId="77777777" w:rsidR="00D00B24" w:rsidRDefault="00D00B24" w:rsidP="000D2B1D">
            <w:pPr>
              <w:rPr>
                <w:rFonts w:ascii="Times New Roman" w:hAnsi="Times New Roman" w:cs="Times New Roman"/>
              </w:rPr>
            </w:pPr>
            <w:r>
              <w:rPr>
                <w:rFonts w:ascii="Times New Roman" w:hAnsi="Times New Roman" w:cs="Times New Roman"/>
              </w:rPr>
              <w:t xml:space="preserve">     15.16 (2)</w:t>
            </w:r>
          </w:p>
        </w:tc>
        <w:tc>
          <w:tcPr>
            <w:tcW w:w="1800" w:type="dxa"/>
          </w:tcPr>
          <w:p w14:paraId="609060B3" w14:textId="77777777" w:rsidR="00D00B24" w:rsidRDefault="00D00B24" w:rsidP="000D2B1D">
            <w:pPr>
              <w:jc w:val="center"/>
              <w:rPr>
                <w:rFonts w:ascii="Times New Roman" w:hAnsi="Times New Roman" w:cs="Times New Roman"/>
                <w:sz w:val="24"/>
                <w:szCs w:val="24"/>
              </w:rPr>
            </w:pPr>
            <w:r>
              <w:rPr>
                <w:rFonts w:ascii="Times New Roman" w:hAnsi="Times New Roman" w:cs="Times New Roman"/>
                <w:sz w:val="24"/>
                <w:szCs w:val="24"/>
              </w:rPr>
              <w:t>15.26</w:t>
            </w:r>
          </w:p>
        </w:tc>
        <w:tc>
          <w:tcPr>
            <w:tcW w:w="1800" w:type="dxa"/>
            <w:vMerge/>
          </w:tcPr>
          <w:p w14:paraId="1DDA8EAB" w14:textId="77777777" w:rsidR="00D00B24" w:rsidRPr="006116E3" w:rsidRDefault="00D00B24" w:rsidP="000D2B1D">
            <w:pPr>
              <w:rPr>
                <w:rFonts w:ascii="Times New Roman" w:hAnsi="Times New Roman" w:cs="Times New Roman"/>
                <w:sz w:val="24"/>
                <w:szCs w:val="24"/>
              </w:rPr>
            </w:pPr>
          </w:p>
        </w:tc>
        <w:tc>
          <w:tcPr>
            <w:tcW w:w="1710" w:type="dxa"/>
            <w:vMerge/>
          </w:tcPr>
          <w:p w14:paraId="649FEF37" w14:textId="77777777" w:rsidR="00D00B24" w:rsidRPr="006116E3" w:rsidRDefault="00D00B24" w:rsidP="000D2B1D">
            <w:pPr>
              <w:rPr>
                <w:rFonts w:ascii="Times New Roman" w:hAnsi="Times New Roman" w:cs="Times New Roman"/>
                <w:sz w:val="24"/>
                <w:szCs w:val="24"/>
              </w:rPr>
            </w:pPr>
          </w:p>
        </w:tc>
        <w:tc>
          <w:tcPr>
            <w:tcW w:w="990" w:type="dxa"/>
            <w:vMerge/>
          </w:tcPr>
          <w:p w14:paraId="66A8FA8D" w14:textId="77777777" w:rsidR="00D00B24" w:rsidRPr="006116E3" w:rsidRDefault="00D00B24" w:rsidP="000D2B1D">
            <w:pPr>
              <w:rPr>
                <w:rFonts w:ascii="Times New Roman" w:hAnsi="Times New Roman" w:cs="Times New Roman"/>
                <w:sz w:val="24"/>
                <w:szCs w:val="24"/>
              </w:rPr>
            </w:pPr>
          </w:p>
        </w:tc>
      </w:tr>
    </w:tbl>
    <w:p w14:paraId="6842D2CB" w14:textId="77777777" w:rsidR="00D00B24" w:rsidRDefault="00D00B24" w:rsidP="00D00B24">
      <w:pPr>
        <w:spacing w:before="240" w:line="480" w:lineRule="auto"/>
        <w:ind w:firstLine="720"/>
        <w:jc w:val="both"/>
        <w:rPr>
          <w:rFonts w:ascii="Times New Roman" w:hAnsi="Times New Roman" w:cs="Times New Roman"/>
          <w:sz w:val="24"/>
          <w:szCs w:val="24"/>
        </w:rPr>
      </w:pPr>
    </w:p>
    <w:p w14:paraId="669DAC5B" w14:textId="77777777" w:rsidR="00D00B24" w:rsidRDefault="00D00B24" w:rsidP="00D00B24">
      <w:pPr>
        <w:pStyle w:val="BodyText"/>
        <w:tabs>
          <w:tab w:val="left" w:pos="2190"/>
        </w:tabs>
        <w:spacing w:line="480" w:lineRule="auto"/>
        <w:ind w:firstLine="720"/>
        <w:jc w:val="center"/>
      </w:pPr>
      <w:r>
        <w:object w:dxaOrig="8887" w:dyaOrig="11679" w14:anchorId="5D0BABB3">
          <v:shape id="_x0000_i1045" type="#_x0000_t75" style="width:221.25pt;height:291pt" o:ole="">
            <v:imagedata r:id="rId56" o:title=""/>
          </v:shape>
          <o:OLEObject Type="Embed" ProgID="ChemDraw.Document.6.0" ShapeID="_x0000_i1045" DrawAspect="Content" ObjectID="_1756716912" r:id="rId57"/>
        </w:object>
      </w:r>
    </w:p>
    <w:p w14:paraId="49EA0D81" w14:textId="4F2C7FCF" w:rsidR="00D00B24" w:rsidRDefault="00D00B24" w:rsidP="00D00B24">
      <w:pPr>
        <w:pStyle w:val="BodyText"/>
        <w:spacing w:line="480" w:lineRule="auto"/>
        <w:jc w:val="center"/>
        <w:rPr>
          <w:color w:val="00B0F0"/>
        </w:rPr>
      </w:pPr>
      <w:r w:rsidRPr="00D318AE">
        <w:rPr>
          <w:b/>
          <w:bCs/>
        </w:rPr>
        <w:t>Figure 16</w:t>
      </w:r>
      <w:r>
        <w:rPr>
          <w:bCs/>
        </w:rPr>
        <w:t xml:space="preserve">: </w:t>
      </w:r>
      <w:r w:rsidRPr="00AE5F15">
        <w:rPr>
          <w:bCs/>
        </w:rPr>
        <w:t>P</w:t>
      </w:r>
      <w:r>
        <w:rPr>
          <w:bCs/>
        </w:rPr>
        <w:t>roton</w:t>
      </w:r>
      <w:r w:rsidRPr="00AE5F15">
        <w:rPr>
          <w:bCs/>
        </w:rPr>
        <w:t>-L</w:t>
      </w:r>
      <w:r>
        <w:rPr>
          <w:bCs/>
        </w:rPr>
        <w:t>igand equilibria of</w:t>
      </w:r>
      <w:r w:rsidRPr="00AE5F15">
        <w:rPr>
          <w:bCs/>
        </w:rPr>
        <w:t xml:space="preserve"> L-</w:t>
      </w:r>
      <w:r>
        <w:rPr>
          <w:bCs/>
        </w:rPr>
        <w:t>ASPARTIC ACID</w:t>
      </w:r>
    </w:p>
    <w:p w14:paraId="3314DDAA" w14:textId="77777777" w:rsidR="00D00B24" w:rsidRDefault="00D00B24" w:rsidP="00D00B24">
      <w:pPr>
        <w:pStyle w:val="BodyText"/>
        <w:spacing w:line="480" w:lineRule="auto"/>
        <w:ind w:firstLine="720"/>
      </w:pPr>
    </w:p>
    <w:p w14:paraId="42888764" w14:textId="77777777" w:rsidR="00D00B24" w:rsidRDefault="00D00B24" w:rsidP="00D00B24">
      <w:pPr>
        <w:pStyle w:val="BodyText"/>
        <w:spacing w:line="480" w:lineRule="auto"/>
        <w:ind w:firstLine="720"/>
      </w:pPr>
      <w:r w:rsidRPr="005F5D1F">
        <w:t xml:space="preserve">The formation constant </w:t>
      </w:r>
      <w:r w:rsidRPr="005F5D1F">
        <w:rPr>
          <w:i/>
        </w:rPr>
        <w:t>β</w:t>
      </w:r>
      <w:r w:rsidRPr="005F5D1F">
        <w:rPr>
          <w:i/>
          <w:vertAlign w:val="subscript"/>
        </w:rPr>
        <w:t>011</w:t>
      </w:r>
      <w:r>
        <w:rPr>
          <w:i/>
        </w:rPr>
        <w:t xml:space="preserve"> </w:t>
      </w:r>
      <w:r>
        <w:t xml:space="preserve">is due to the protonation of the amino group of the most anionic form of the ligand.  </w:t>
      </w:r>
      <w:r w:rsidRPr="005F5D1F">
        <w:rPr>
          <w:i/>
        </w:rPr>
        <w:t>β</w:t>
      </w:r>
      <w:r>
        <w:rPr>
          <w:i/>
          <w:vertAlign w:val="subscript"/>
        </w:rPr>
        <w:t>012</w:t>
      </w:r>
      <w:r>
        <w:t xml:space="preserve"> is due to the protonation of both amino and carboxylate group in the side chain of the molecule.  </w:t>
      </w:r>
      <w:r w:rsidRPr="005F5D1F">
        <w:rPr>
          <w:i/>
        </w:rPr>
        <w:t>β</w:t>
      </w:r>
      <w:r>
        <w:rPr>
          <w:i/>
          <w:vertAlign w:val="subscript"/>
        </w:rPr>
        <w:t>013</w:t>
      </w:r>
      <w:r>
        <w:t xml:space="preserve"> corresponds to the overall formation constants for the complete protonation of the most anionic form of the ligand.</w:t>
      </w:r>
    </w:p>
    <w:p w14:paraId="0ABEEFDB" w14:textId="45B10C10" w:rsidR="00D00B24" w:rsidRDefault="00D00B24" w:rsidP="00D00B24">
      <w:pPr>
        <w:spacing w:line="480" w:lineRule="auto"/>
        <w:ind w:firstLine="720"/>
        <w:jc w:val="both"/>
        <w:rPr>
          <w:rFonts w:ascii="Times New Roman" w:hAnsi="Times New Roman" w:cs="Times New Roman"/>
          <w:sz w:val="24"/>
          <w:szCs w:val="24"/>
        </w:rPr>
      </w:pPr>
      <w:r w:rsidRPr="00D66C35">
        <w:rPr>
          <w:rFonts w:ascii="Times New Roman" w:hAnsi="Times New Roman" w:cs="Times New Roman"/>
          <w:sz w:val="24"/>
          <w:szCs w:val="24"/>
        </w:rPr>
        <w:lastRenderedPageBreak/>
        <w:t>The species distribution diagram indicating the percentage of formation of each species against pH is shown in Figure 1</w:t>
      </w:r>
      <w:r>
        <w:rPr>
          <w:rFonts w:ascii="Times New Roman" w:hAnsi="Times New Roman" w:cs="Times New Roman"/>
          <w:sz w:val="24"/>
          <w:szCs w:val="24"/>
        </w:rPr>
        <w:t>5</w:t>
      </w:r>
      <w:r w:rsidRPr="00D66C35">
        <w:rPr>
          <w:rFonts w:ascii="Times New Roman" w:hAnsi="Times New Roman" w:cs="Times New Roman"/>
          <w:sz w:val="24"/>
          <w:szCs w:val="24"/>
        </w:rPr>
        <w:t xml:space="preserve"> b. The fully protonated form XH</w:t>
      </w:r>
      <w:r w:rsidRPr="00D66C35">
        <w:rPr>
          <w:rFonts w:ascii="Times New Roman" w:hAnsi="Times New Roman" w:cs="Times New Roman"/>
          <w:sz w:val="24"/>
          <w:szCs w:val="24"/>
          <w:vertAlign w:val="subscript"/>
        </w:rPr>
        <w:t>3</w:t>
      </w:r>
      <w:r w:rsidRPr="00D66C35">
        <w:rPr>
          <w:rFonts w:ascii="Times New Roman" w:hAnsi="Times New Roman" w:cs="Times New Roman"/>
          <w:sz w:val="24"/>
          <w:szCs w:val="24"/>
          <w:vertAlign w:val="superscript"/>
        </w:rPr>
        <w:t>+</w:t>
      </w:r>
      <w:r w:rsidRPr="00D66C35">
        <w:rPr>
          <w:rFonts w:ascii="Times New Roman" w:hAnsi="Times New Roman" w:cs="Times New Roman"/>
          <w:sz w:val="24"/>
          <w:szCs w:val="24"/>
        </w:rPr>
        <w:t xml:space="preserve"> exists up to a pH of ~4.0. </w:t>
      </w:r>
      <w:r>
        <w:rPr>
          <w:rFonts w:ascii="Times New Roman" w:hAnsi="Times New Roman" w:cs="Times New Roman"/>
          <w:sz w:val="24"/>
          <w:szCs w:val="24"/>
        </w:rPr>
        <w:t xml:space="preserve">With increase in </w:t>
      </w:r>
      <w:r w:rsidR="00E50704">
        <w:rPr>
          <w:rFonts w:ascii="Times New Roman" w:hAnsi="Times New Roman" w:cs="Times New Roman"/>
          <w:sz w:val="24"/>
          <w:szCs w:val="24"/>
        </w:rPr>
        <w:t>pH,</w:t>
      </w:r>
      <w:r>
        <w:rPr>
          <w:rFonts w:ascii="Times New Roman" w:hAnsi="Times New Roman" w:cs="Times New Roman"/>
          <w:sz w:val="24"/>
          <w:szCs w:val="24"/>
        </w:rPr>
        <w:t xml:space="preserve"> it loses the ‘α- carboxylic’ proton leading to the formation of g neutral zwitter ion. The maximum extent of formation of XH</w:t>
      </w:r>
      <w:r>
        <w:rPr>
          <w:rFonts w:ascii="Times New Roman" w:hAnsi="Times New Roman" w:cs="Times New Roman"/>
          <w:sz w:val="24"/>
          <w:szCs w:val="24"/>
          <w:vertAlign w:val="subscript"/>
        </w:rPr>
        <w:t>2</w:t>
      </w:r>
      <w:r>
        <w:rPr>
          <w:rFonts w:ascii="Times New Roman" w:hAnsi="Times New Roman" w:cs="Times New Roman"/>
          <w:sz w:val="24"/>
          <w:szCs w:val="24"/>
        </w:rPr>
        <w:t xml:space="preserve"> form </w:t>
      </w:r>
      <w:r w:rsidRPr="00D66C35">
        <w:rPr>
          <w:rFonts w:ascii="Times New Roman" w:hAnsi="Times New Roman" w:cs="Times New Roman"/>
          <w:sz w:val="24"/>
          <w:szCs w:val="24"/>
        </w:rPr>
        <w:t xml:space="preserve">is 80.6% at 2.83 pH.  This species exists up to ~6.0 pH. </w:t>
      </w:r>
      <w:r>
        <w:rPr>
          <w:rFonts w:ascii="Times New Roman" w:hAnsi="Times New Roman" w:cs="Times New Roman"/>
          <w:sz w:val="24"/>
          <w:szCs w:val="24"/>
        </w:rPr>
        <w:t xml:space="preserve"> The neutral form of the ligand, with increase in pH, loses carboxylic proton of the side chain forming anionic </w:t>
      </w:r>
      <w:r w:rsidRPr="00D66C35">
        <w:rPr>
          <w:rFonts w:ascii="Times New Roman" w:hAnsi="Times New Roman" w:cs="Times New Roman"/>
          <w:sz w:val="24"/>
          <w:szCs w:val="24"/>
        </w:rPr>
        <w:t>XH</w:t>
      </w:r>
      <w:r w:rsidRPr="00D66C35">
        <w:rPr>
          <w:rFonts w:ascii="Times New Roman" w:hAnsi="Times New Roman" w:cs="Times New Roman"/>
          <w:sz w:val="24"/>
          <w:szCs w:val="24"/>
          <w:vertAlign w:val="superscript"/>
        </w:rPr>
        <w:t>-</w:t>
      </w:r>
      <w:r>
        <w:rPr>
          <w:rFonts w:ascii="Times New Roman" w:hAnsi="Times New Roman" w:cs="Times New Roman"/>
          <w:sz w:val="24"/>
          <w:szCs w:val="24"/>
        </w:rPr>
        <w:t xml:space="preserve"> form of aspartic acid. </w:t>
      </w:r>
      <w:r w:rsidRPr="00D66C35">
        <w:rPr>
          <w:rFonts w:ascii="Times New Roman" w:hAnsi="Times New Roman" w:cs="Times New Roman"/>
          <w:sz w:val="24"/>
          <w:szCs w:val="24"/>
        </w:rPr>
        <w:t xml:space="preserve"> </w:t>
      </w:r>
      <w:r>
        <w:rPr>
          <w:rFonts w:ascii="Times New Roman" w:hAnsi="Times New Roman" w:cs="Times New Roman"/>
          <w:sz w:val="24"/>
          <w:szCs w:val="24"/>
        </w:rPr>
        <w:t>Nearly 99% of the ligand is in this form between 5.8 to 7.8 pH. Further increase in pH leads to the formation of the most anionic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form by the loss of the proton associated to amino group.</w:t>
      </w:r>
    </w:p>
    <w:p w14:paraId="5A0466F2" w14:textId="77777777" w:rsidR="00D00B24" w:rsidRDefault="00D00B24" w:rsidP="00D00B24">
      <w:pPr>
        <w:spacing w:line="480" w:lineRule="auto"/>
        <w:ind w:firstLine="720"/>
        <w:jc w:val="both"/>
      </w:pPr>
    </w:p>
    <w:p w14:paraId="75EE2934" w14:textId="77777777" w:rsidR="00D00B24" w:rsidRDefault="00D00B24" w:rsidP="00D00B24">
      <w:pPr>
        <w:spacing w:line="480" w:lineRule="auto"/>
        <w:ind w:firstLine="720"/>
        <w:jc w:val="both"/>
      </w:pPr>
    </w:p>
    <w:p w14:paraId="4CAFA12F" w14:textId="77777777" w:rsidR="00D00B24" w:rsidRDefault="00D00B24" w:rsidP="00D00B24">
      <w:pPr>
        <w:spacing w:line="480" w:lineRule="auto"/>
        <w:ind w:firstLine="720"/>
        <w:jc w:val="both"/>
      </w:pPr>
    </w:p>
    <w:p w14:paraId="08C75421" w14:textId="77777777" w:rsidR="00D00B24" w:rsidRDefault="00D00B24" w:rsidP="00D00B24">
      <w:pPr>
        <w:spacing w:line="480" w:lineRule="auto"/>
        <w:ind w:firstLine="720"/>
        <w:jc w:val="both"/>
      </w:pPr>
    </w:p>
    <w:p w14:paraId="61F33779" w14:textId="77777777" w:rsidR="00D00B24" w:rsidRDefault="00D00B24" w:rsidP="00D00B24">
      <w:pPr>
        <w:spacing w:line="480" w:lineRule="auto"/>
        <w:ind w:firstLine="720"/>
        <w:jc w:val="both"/>
      </w:pPr>
    </w:p>
    <w:p w14:paraId="4AA413B8" w14:textId="77777777" w:rsidR="00D00B24" w:rsidRDefault="00D00B24" w:rsidP="00D00B24">
      <w:pPr>
        <w:spacing w:line="480" w:lineRule="auto"/>
        <w:ind w:firstLine="720"/>
        <w:jc w:val="both"/>
      </w:pPr>
    </w:p>
    <w:p w14:paraId="13954FDD" w14:textId="77777777" w:rsidR="00D00B24" w:rsidRDefault="00D00B24" w:rsidP="00D00B24">
      <w:pPr>
        <w:spacing w:line="480" w:lineRule="auto"/>
        <w:ind w:firstLine="720"/>
        <w:jc w:val="both"/>
      </w:pPr>
    </w:p>
    <w:p w14:paraId="622598D7" w14:textId="77777777" w:rsidR="00D00B24" w:rsidRDefault="00D00B24" w:rsidP="00D00B24">
      <w:pPr>
        <w:spacing w:line="480" w:lineRule="auto"/>
        <w:ind w:firstLine="720"/>
        <w:jc w:val="both"/>
      </w:pPr>
    </w:p>
    <w:p w14:paraId="57655BDA" w14:textId="77777777" w:rsidR="00D00B24" w:rsidRDefault="00D00B24" w:rsidP="00D00B24">
      <w:pPr>
        <w:spacing w:line="480" w:lineRule="auto"/>
        <w:ind w:firstLine="720"/>
        <w:jc w:val="both"/>
      </w:pPr>
    </w:p>
    <w:p w14:paraId="66819BAD" w14:textId="77777777" w:rsidR="00D00B24" w:rsidRDefault="00D00B24" w:rsidP="00D00B24">
      <w:pPr>
        <w:spacing w:line="480" w:lineRule="auto"/>
        <w:ind w:firstLine="720"/>
        <w:jc w:val="both"/>
      </w:pPr>
    </w:p>
    <w:p w14:paraId="153E21C1" w14:textId="77777777" w:rsidR="00D00B24" w:rsidRDefault="00D00B24" w:rsidP="00D00B24">
      <w:pPr>
        <w:spacing w:line="480" w:lineRule="auto"/>
        <w:ind w:firstLine="720"/>
        <w:jc w:val="both"/>
      </w:pPr>
    </w:p>
    <w:p w14:paraId="0BA19DCB" w14:textId="77777777" w:rsidR="00D00B24" w:rsidRDefault="00D00B24" w:rsidP="00D00B24">
      <w:pPr>
        <w:spacing w:line="480" w:lineRule="auto"/>
        <w:ind w:firstLine="720"/>
        <w:jc w:val="both"/>
      </w:pPr>
    </w:p>
    <w:p w14:paraId="522F1C75" w14:textId="6D1D9DE8" w:rsidR="00D00B24" w:rsidRPr="00E50704" w:rsidRDefault="00D00B24" w:rsidP="00E50704">
      <w:pPr>
        <w:pStyle w:val="ListParagraph"/>
        <w:numPr>
          <w:ilvl w:val="0"/>
          <w:numId w:val="23"/>
        </w:numPr>
        <w:spacing w:line="360" w:lineRule="auto"/>
        <w:rPr>
          <w:b/>
        </w:rPr>
      </w:pPr>
      <w:r w:rsidRPr="00E50704">
        <w:rPr>
          <w:b/>
        </w:rPr>
        <w:lastRenderedPageBreak/>
        <w:t>REFERENCES:</w:t>
      </w:r>
    </w:p>
    <w:p w14:paraId="746398AE" w14:textId="77777777" w:rsidR="00D00B24" w:rsidRPr="007A1761" w:rsidRDefault="00D00B24" w:rsidP="00D00B24">
      <w:pPr>
        <w:pStyle w:val="ListParagraph"/>
        <w:numPr>
          <w:ilvl w:val="0"/>
          <w:numId w:val="4"/>
        </w:numPr>
        <w:shd w:val="clear" w:color="auto" w:fill="FFFFFF"/>
        <w:spacing w:line="360" w:lineRule="auto"/>
        <w:jc w:val="both"/>
        <w:outlineLvl w:val="0"/>
      </w:pPr>
      <w:r w:rsidRPr="007A1761">
        <w:t>N.Vandana Jugran, Ashok Kumar Sharma, N. Jeetendra Singh, Veerma Ram</w:t>
      </w:r>
      <w:r w:rsidRPr="007A1761">
        <w:rPr>
          <w:kern w:val="36"/>
        </w:rPr>
        <w:t xml:space="preserve">, “Biological activities of hydrazide derivatives in the new millennium”, </w:t>
      </w:r>
      <w:r w:rsidRPr="007A1761">
        <w:rPr>
          <w:i/>
        </w:rPr>
        <w:t>International Journal of Pharmaceutical Chemistry</w:t>
      </w:r>
      <w:r w:rsidRPr="007A1761">
        <w:t>, 2 (4) (2012) pp 100-109.</w:t>
      </w:r>
    </w:p>
    <w:p w14:paraId="2BE545CC" w14:textId="77777777" w:rsidR="00D00B24" w:rsidRPr="00946150" w:rsidRDefault="00D00B24" w:rsidP="00D00B24">
      <w:pPr>
        <w:pStyle w:val="Heading1"/>
        <w:keepNext w:val="0"/>
        <w:numPr>
          <w:ilvl w:val="0"/>
          <w:numId w:val="4"/>
        </w:numPr>
        <w:shd w:val="clear" w:color="auto" w:fill="FFFFFF"/>
        <w:spacing w:line="360" w:lineRule="auto"/>
        <w:rPr>
          <w:b w:val="0"/>
          <w:u w:val="none"/>
        </w:rPr>
      </w:pPr>
      <w:r w:rsidRPr="00946150">
        <w:rPr>
          <w:b w:val="0"/>
          <w:u w:val="none"/>
        </w:rPr>
        <w:t>R.Narang,</w:t>
      </w:r>
      <w:r w:rsidRPr="00946150">
        <w:rPr>
          <w:rStyle w:val="apple-converted-space"/>
          <w:b w:val="0"/>
          <w:u w:val="none"/>
        </w:rPr>
        <w:t> B.</w:t>
      </w:r>
      <w:r w:rsidRPr="00946150">
        <w:rPr>
          <w:b w:val="0"/>
          <w:u w:val="none"/>
        </w:rPr>
        <w:t>Narasimhan and B.</w:t>
      </w:r>
      <w:r w:rsidRPr="00946150">
        <w:rPr>
          <w:rStyle w:val="apple-converted-space"/>
          <w:b w:val="0"/>
          <w:u w:val="none"/>
        </w:rPr>
        <w:t> </w:t>
      </w:r>
      <w:r w:rsidRPr="00946150">
        <w:rPr>
          <w:b w:val="0"/>
          <w:u w:val="none"/>
        </w:rPr>
        <w:t xml:space="preserve">Sharma, “A review on biological activities and chemical synthesis of hydrazide derivatives”, </w:t>
      </w:r>
      <w:r w:rsidRPr="00946150">
        <w:rPr>
          <w:b w:val="0"/>
          <w:i/>
          <w:u w:val="none"/>
        </w:rPr>
        <w:t>Curr. Med. Chem</w:t>
      </w:r>
      <w:r w:rsidRPr="00946150">
        <w:rPr>
          <w:b w:val="0"/>
          <w:u w:val="none"/>
        </w:rPr>
        <w:t>.,</w:t>
      </w:r>
      <w:r w:rsidRPr="00946150">
        <w:rPr>
          <w:rStyle w:val="apple-converted-space"/>
          <w:b w:val="0"/>
          <w:u w:val="none"/>
        </w:rPr>
        <w:t> </w:t>
      </w:r>
      <w:r w:rsidRPr="00946150">
        <w:rPr>
          <w:b w:val="0"/>
          <w:u w:val="none"/>
        </w:rPr>
        <w:t>19(4) (2012) pp 569-612.</w:t>
      </w:r>
    </w:p>
    <w:p w14:paraId="15B35CE2" w14:textId="77777777" w:rsidR="00D00B24" w:rsidRPr="00946150" w:rsidRDefault="00D00B24" w:rsidP="00D00B24">
      <w:pPr>
        <w:pStyle w:val="Heading1"/>
        <w:keepNext w:val="0"/>
        <w:numPr>
          <w:ilvl w:val="0"/>
          <w:numId w:val="4"/>
        </w:numPr>
        <w:shd w:val="clear" w:color="auto" w:fill="FFFFFF"/>
        <w:spacing w:line="360" w:lineRule="auto"/>
        <w:rPr>
          <w:b w:val="0"/>
          <w:u w:val="none"/>
        </w:rPr>
      </w:pPr>
      <w:r w:rsidRPr="00946150">
        <w:rPr>
          <w:b w:val="0"/>
          <w:u w:val="none"/>
          <w:shd w:val="clear" w:color="auto" w:fill="FFFFFF"/>
        </w:rPr>
        <w:t>B.K. Kaymakçioğlu</w:t>
      </w:r>
      <w:r w:rsidRPr="00946150">
        <w:rPr>
          <w:b w:val="0"/>
          <w:u w:val="none"/>
        </w:rPr>
        <w:t xml:space="preserve">, </w:t>
      </w:r>
      <w:r w:rsidRPr="00946150">
        <w:rPr>
          <w:b w:val="0"/>
          <w:u w:val="none"/>
          <w:shd w:val="clear" w:color="auto" w:fill="FFFFFF"/>
        </w:rPr>
        <w:t>E. E. Oruç-Emre</w:t>
      </w:r>
      <w:r w:rsidRPr="00946150">
        <w:rPr>
          <w:b w:val="0"/>
          <w:u w:val="none"/>
        </w:rPr>
        <w:t xml:space="preserve"> , </w:t>
      </w:r>
      <w:r w:rsidRPr="00946150">
        <w:rPr>
          <w:b w:val="0"/>
          <w:u w:val="none"/>
          <w:shd w:val="clear" w:color="auto" w:fill="FFFFFF"/>
        </w:rPr>
        <w:t>U. Seda</w:t>
      </w:r>
      <w:r w:rsidRPr="00946150">
        <w:rPr>
          <w:b w:val="0"/>
          <w:u w:val="none"/>
        </w:rPr>
        <w:t xml:space="preserve">  and </w:t>
      </w:r>
      <w:r w:rsidRPr="00946150">
        <w:rPr>
          <w:b w:val="0"/>
          <w:u w:val="none"/>
          <w:shd w:val="clear" w:color="auto" w:fill="FFFFFF"/>
        </w:rPr>
        <w:t>A. Dimoglo</w:t>
      </w:r>
      <w:r w:rsidRPr="00946150">
        <w:rPr>
          <w:b w:val="0"/>
          <w:u w:val="none"/>
        </w:rPr>
        <w:t xml:space="preserve"> “Synthesis and characterization of novel hydrazide-hydrazones and the study of their structure-antituberculosis activity”, </w:t>
      </w:r>
      <w:r w:rsidRPr="00946150">
        <w:rPr>
          <w:rStyle w:val="publication-meta-journal"/>
          <w:rFonts w:eastAsiaTheme="minorEastAsia"/>
          <w:b w:val="0"/>
          <w:u w:val="none"/>
          <w:shd w:val="clear" w:color="auto" w:fill="FFFFFF"/>
        </w:rPr>
        <w:t> </w:t>
      </w:r>
      <w:r w:rsidRPr="00946150">
        <w:rPr>
          <w:rStyle w:val="publication-meta-journal"/>
          <w:rFonts w:eastAsiaTheme="minorEastAsia"/>
          <w:b w:val="0"/>
          <w:i/>
          <w:u w:val="none"/>
          <w:shd w:val="clear" w:color="auto" w:fill="FFFFFF"/>
        </w:rPr>
        <w:t>European Journal of Medicinal Chemistry,</w:t>
      </w:r>
      <w:r w:rsidRPr="00946150">
        <w:rPr>
          <w:rStyle w:val="apple-converted-space"/>
          <w:b w:val="0"/>
          <w:u w:val="none"/>
          <w:shd w:val="clear" w:color="auto" w:fill="FFFFFF"/>
        </w:rPr>
        <w:t> </w:t>
      </w:r>
      <w:r w:rsidRPr="00946150">
        <w:rPr>
          <w:rStyle w:val="publication-meta-journal"/>
          <w:rFonts w:eastAsiaTheme="minorEastAsia"/>
          <w:b w:val="0"/>
          <w:u w:val="none"/>
          <w:shd w:val="clear" w:color="auto" w:fill="FFFFFF"/>
        </w:rPr>
        <w:t>41(11)(2006) pp 1253-1261.</w:t>
      </w:r>
    </w:p>
    <w:p w14:paraId="1CFEFF4E" w14:textId="77777777" w:rsidR="00D00B24" w:rsidRDefault="00D00B24" w:rsidP="00D00B24">
      <w:pPr>
        <w:pStyle w:val="ListParagraph"/>
        <w:numPr>
          <w:ilvl w:val="0"/>
          <w:numId w:val="4"/>
        </w:numPr>
        <w:shd w:val="clear" w:color="auto" w:fill="FFFFFF"/>
        <w:spacing w:line="360" w:lineRule="auto"/>
        <w:jc w:val="both"/>
        <w:textAlignment w:val="top"/>
      </w:pPr>
      <w:r w:rsidRPr="007A1761">
        <w:t>G. Verma, A. Marella, Md. Shaquiquzzaman, M. Akhtar, Md. Rahmat Ali and Md. Mumtaz Alam, “</w:t>
      </w:r>
      <w:r w:rsidRPr="007A1761">
        <w:rPr>
          <w:bCs/>
          <w:kern w:val="36"/>
        </w:rPr>
        <w:t xml:space="preserve">A review exploring biological activities of hydrazones”, </w:t>
      </w:r>
      <w:r w:rsidRPr="007A1761">
        <w:rPr>
          <w:i/>
        </w:rPr>
        <w:t>J Pharm Bioallied Sci.,</w:t>
      </w:r>
      <w:r w:rsidRPr="007A1761">
        <w:t xml:space="preserve"> 6(2) (2014) pp 69-80. </w:t>
      </w:r>
    </w:p>
    <w:p w14:paraId="7D950576" w14:textId="77777777" w:rsidR="00D00B24" w:rsidRDefault="00D00B24" w:rsidP="00D00B24">
      <w:pPr>
        <w:pStyle w:val="ListParagraph"/>
        <w:numPr>
          <w:ilvl w:val="0"/>
          <w:numId w:val="4"/>
        </w:numPr>
        <w:shd w:val="clear" w:color="auto" w:fill="FFFFFF"/>
        <w:spacing w:line="360" w:lineRule="auto"/>
        <w:jc w:val="both"/>
        <w:textAlignment w:val="top"/>
      </w:pPr>
      <w:r w:rsidRPr="007A1761">
        <w:t xml:space="preserve">S. Rollas and Ş. Güniz Küçükgüzel, “Review- Biological activities of hydrazone derivatives”, </w:t>
      </w:r>
      <w:r w:rsidRPr="007A1761">
        <w:rPr>
          <w:i/>
        </w:rPr>
        <w:t>Molecules,</w:t>
      </w:r>
      <w:r w:rsidRPr="007A1761">
        <w:t xml:space="preserve"> 12(2007) pp 1910-1939.</w:t>
      </w:r>
    </w:p>
    <w:p w14:paraId="58FF6D90" w14:textId="77777777" w:rsidR="00D00B24" w:rsidRPr="002A6C82" w:rsidRDefault="00D00B24" w:rsidP="00D00B24">
      <w:pPr>
        <w:pStyle w:val="ListParagraph"/>
        <w:numPr>
          <w:ilvl w:val="0"/>
          <w:numId w:val="4"/>
        </w:numPr>
        <w:shd w:val="clear" w:color="auto" w:fill="FFFFFF"/>
        <w:spacing w:line="360" w:lineRule="auto"/>
        <w:jc w:val="both"/>
        <w:textAlignment w:val="top"/>
        <w:rPr>
          <w:b/>
        </w:rPr>
      </w:pPr>
      <w:r w:rsidRPr="00E401F3">
        <w:t>H. M. Irving and H. S. Rossotti</w:t>
      </w:r>
      <w:r>
        <w:t>,</w:t>
      </w:r>
      <w:r w:rsidRPr="00E401F3">
        <w:t xml:space="preserve"> “Methods for Computing Successive Stability Constants from Experimental Formation Curves”, </w:t>
      </w:r>
      <w:r w:rsidRPr="00D455EF">
        <w:rPr>
          <w:i/>
        </w:rPr>
        <w:t>J</w:t>
      </w:r>
      <w:r w:rsidRPr="002A6C82">
        <w:rPr>
          <w:i/>
          <w:iCs/>
        </w:rPr>
        <w:t>. Chem. Soc</w:t>
      </w:r>
      <w:r w:rsidRPr="002A6C82">
        <w:rPr>
          <w:iCs/>
        </w:rPr>
        <w:t xml:space="preserve">. </w:t>
      </w:r>
      <w:r w:rsidRPr="00E401F3">
        <w:t xml:space="preserve"> (1953)</w:t>
      </w:r>
      <w:r>
        <w:t xml:space="preserve"> pp</w:t>
      </w:r>
      <w:r w:rsidRPr="00E401F3">
        <w:t xml:space="preserve"> 3397–3405.</w:t>
      </w:r>
    </w:p>
    <w:p w14:paraId="5A1B0427" w14:textId="77777777" w:rsidR="00D00B24" w:rsidRDefault="00D00B24" w:rsidP="00D00B24">
      <w:pPr>
        <w:pStyle w:val="ListParagraph"/>
        <w:numPr>
          <w:ilvl w:val="0"/>
          <w:numId w:val="4"/>
        </w:numPr>
        <w:autoSpaceDE w:val="0"/>
        <w:autoSpaceDN w:val="0"/>
        <w:adjustRightInd w:val="0"/>
        <w:spacing w:line="360" w:lineRule="auto"/>
        <w:jc w:val="both"/>
      </w:pPr>
      <w:r w:rsidRPr="00E401F3">
        <w:t>H. M</w:t>
      </w:r>
      <w:r>
        <w:t xml:space="preserve">. </w:t>
      </w:r>
      <w:r w:rsidRPr="00E401F3">
        <w:t xml:space="preserve">Irving and H. S. Rossotti “The Calculation of Formation Curves of Metal Complexes from pH-Titration Curves in Mixed Solvents”, </w:t>
      </w:r>
      <w:r w:rsidRPr="00E401F3">
        <w:rPr>
          <w:i/>
          <w:iCs/>
        </w:rPr>
        <w:t>J. Chem. Soc</w:t>
      </w:r>
      <w:r w:rsidRPr="00E401F3">
        <w:rPr>
          <w:iCs/>
        </w:rPr>
        <w:t>. (</w:t>
      </w:r>
      <w:r w:rsidRPr="00E401F3">
        <w:t xml:space="preserve">1954) </w:t>
      </w:r>
      <w:r>
        <w:t xml:space="preserve">pp </w:t>
      </w:r>
      <w:r w:rsidRPr="00E401F3">
        <w:t>2904–2910</w:t>
      </w:r>
      <w:r>
        <w:t>.</w:t>
      </w:r>
    </w:p>
    <w:p w14:paraId="597B3A03" w14:textId="77777777" w:rsidR="00D00B24" w:rsidRDefault="00D00B24" w:rsidP="00D00B24">
      <w:pPr>
        <w:pStyle w:val="ListParagraph"/>
        <w:numPr>
          <w:ilvl w:val="0"/>
          <w:numId w:val="4"/>
        </w:numPr>
        <w:autoSpaceDE w:val="0"/>
        <w:autoSpaceDN w:val="0"/>
        <w:adjustRightInd w:val="0"/>
        <w:spacing w:line="360" w:lineRule="auto"/>
        <w:jc w:val="both"/>
      </w:pPr>
      <w:r w:rsidRPr="00E401F3">
        <w:t xml:space="preserve">G. Gran, </w:t>
      </w:r>
      <w:r>
        <w:t>Analyst</w:t>
      </w:r>
      <w:r>
        <w:rPr>
          <w:i/>
          <w:iCs/>
        </w:rPr>
        <w:t>,</w:t>
      </w:r>
      <w:r w:rsidRPr="00E401F3">
        <w:rPr>
          <w:i/>
          <w:iCs/>
        </w:rPr>
        <w:t xml:space="preserve"> </w:t>
      </w:r>
      <w:r w:rsidRPr="00E401F3">
        <w:rPr>
          <w:bCs/>
        </w:rPr>
        <w:t>77</w:t>
      </w:r>
      <w:r w:rsidRPr="00E401F3">
        <w:t xml:space="preserve"> (1952) </w:t>
      </w:r>
      <w:r>
        <w:t xml:space="preserve">p </w:t>
      </w:r>
      <w:r w:rsidRPr="00E401F3">
        <w:t>661.</w:t>
      </w:r>
    </w:p>
    <w:p w14:paraId="676D69DE" w14:textId="77777777" w:rsidR="00D00B24" w:rsidRDefault="00D00B24" w:rsidP="00D00B24">
      <w:pPr>
        <w:pStyle w:val="ListParagraph"/>
        <w:numPr>
          <w:ilvl w:val="0"/>
          <w:numId w:val="4"/>
        </w:numPr>
        <w:autoSpaceDE w:val="0"/>
        <w:autoSpaceDN w:val="0"/>
        <w:adjustRightInd w:val="0"/>
        <w:spacing w:line="360" w:lineRule="auto"/>
        <w:jc w:val="both"/>
      </w:pPr>
      <w:r w:rsidRPr="00E401F3">
        <w:t>G. Gran, Acta</w:t>
      </w:r>
      <w:r w:rsidRPr="00E401F3">
        <w:rPr>
          <w:i/>
          <w:iCs/>
        </w:rPr>
        <w:t xml:space="preserve"> Chem. Scand.</w:t>
      </w:r>
      <w:r>
        <w:rPr>
          <w:i/>
          <w:iCs/>
        </w:rPr>
        <w:t>,</w:t>
      </w:r>
      <w:r w:rsidRPr="00E401F3">
        <w:rPr>
          <w:i/>
          <w:iCs/>
        </w:rPr>
        <w:t xml:space="preserve"> </w:t>
      </w:r>
      <w:r w:rsidRPr="00E401F3">
        <w:rPr>
          <w:bCs/>
        </w:rPr>
        <w:t>4</w:t>
      </w:r>
      <w:r w:rsidRPr="00E401F3">
        <w:t xml:space="preserve"> (1950) </w:t>
      </w:r>
      <w:r>
        <w:t xml:space="preserve">p </w:t>
      </w:r>
      <w:r w:rsidRPr="00E401F3">
        <w:t>559.</w:t>
      </w:r>
    </w:p>
    <w:p w14:paraId="6B834F40" w14:textId="77777777" w:rsidR="00D00B24"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pPr>
      <w:r w:rsidRPr="0071423D">
        <w:t xml:space="preserve">A.Ravindra Babu, J. S. V. M. Lingeswara Rao, D. Murali Krishna, and R. Sambasiva Rao,   </w:t>
      </w:r>
      <w:r w:rsidRPr="0071423D">
        <w:rPr>
          <w:i/>
        </w:rPr>
        <w:t>Analytica Chimica Acta,</w:t>
      </w:r>
      <w:r w:rsidRPr="0071423D">
        <w:t xml:space="preserve">  306(2-3) (1995) </w:t>
      </w:r>
      <w:r>
        <w:t xml:space="preserve">pp </w:t>
      </w:r>
      <w:r w:rsidRPr="0071423D">
        <w:t xml:space="preserve">297-300.  </w:t>
      </w:r>
    </w:p>
    <w:p w14:paraId="27842FC8" w14:textId="77777777" w:rsidR="00D00B24" w:rsidRPr="00192FF1"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rsidRPr="0071423D">
        <w:rPr>
          <w:bCs/>
        </w:rPr>
        <w:t>G.V. Afanas’eva, T. I. Bychkova, V. G. Shtyrlin, A. R. Shakirova, and A. V. Zakharov,</w:t>
      </w:r>
      <w:r w:rsidRPr="0071423D">
        <w:rPr>
          <w:b/>
          <w:bCs/>
        </w:rPr>
        <w:t xml:space="preserve"> </w:t>
      </w:r>
      <w:r w:rsidRPr="0071423D">
        <w:rPr>
          <w:i/>
        </w:rPr>
        <w:t>Russian Journal of General Ch</w:t>
      </w:r>
      <w:r w:rsidRPr="0071423D">
        <w:t xml:space="preserve">emistry.  76(5) (2006) </w:t>
      </w:r>
      <w:r>
        <w:t>pp</w:t>
      </w:r>
      <w:r w:rsidRPr="0071423D">
        <w:t>757-765</w:t>
      </w:r>
      <w:r>
        <w:t>.</w:t>
      </w:r>
    </w:p>
    <w:p w14:paraId="1529C3EE" w14:textId="77777777" w:rsidR="00D00B24" w:rsidRPr="00192FF1"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rsidRPr="00192FF1">
        <w:rPr>
          <w:rFonts w:eastAsia="Calibri"/>
          <w:lang w:val="pt-BR"/>
        </w:rPr>
        <w:t xml:space="preserve">G. Arena, E. Rizzarelli, S. Sammartano  and C. Rigano. </w:t>
      </w:r>
      <w:r w:rsidRPr="00192FF1">
        <w:rPr>
          <w:rFonts w:eastAsia="Calibri"/>
          <w:i/>
          <w:lang w:val="pt-BR"/>
        </w:rPr>
        <w:t>Talanta.</w:t>
      </w:r>
      <w:r w:rsidRPr="00192FF1">
        <w:rPr>
          <w:rFonts w:eastAsia="Calibri"/>
          <w:lang w:val="pt-BR"/>
        </w:rPr>
        <w:t xml:space="preserve">, </w:t>
      </w:r>
      <w:r w:rsidRPr="00192FF1">
        <w:rPr>
          <w:rFonts w:eastAsia="Calibri"/>
          <w:bCs/>
          <w:lang w:val="pt-BR"/>
        </w:rPr>
        <w:t xml:space="preserve">26 </w:t>
      </w:r>
      <w:r w:rsidRPr="00192FF1">
        <w:rPr>
          <w:rFonts w:eastAsia="Calibri"/>
          <w:lang w:val="pt-BR"/>
        </w:rPr>
        <w:t>(1979)</w:t>
      </w:r>
      <w:r w:rsidRPr="00192FF1">
        <w:rPr>
          <w:rFonts w:eastAsia="Calibri"/>
          <w:bCs/>
          <w:lang w:val="pt-BR"/>
        </w:rPr>
        <w:t xml:space="preserve"> </w:t>
      </w:r>
      <w:r>
        <w:rPr>
          <w:rFonts w:eastAsia="Calibri"/>
          <w:bCs/>
          <w:lang w:val="pt-BR"/>
        </w:rPr>
        <w:t>p</w:t>
      </w:r>
      <w:r w:rsidRPr="00192FF1">
        <w:rPr>
          <w:rFonts w:eastAsia="Calibri"/>
          <w:bCs/>
          <w:lang w:val="pt-BR"/>
        </w:rPr>
        <w:t>1</w:t>
      </w:r>
    </w:p>
    <w:p w14:paraId="7E4E44BE" w14:textId="77777777" w:rsidR="00D00B24" w:rsidRPr="00192FF1"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rsidRPr="00192FF1">
        <w:rPr>
          <w:rStyle w:val="citation"/>
          <w:rFonts w:eastAsia="Calibri"/>
        </w:rPr>
        <w:t>P. Gans</w:t>
      </w:r>
      <w:r w:rsidRPr="00192FF1">
        <w:rPr>
          <w:rFonts w:eastAsia="Calibri"/>
        </w:rPr>
        <w:t xml:space="preserve">, </w:t>
      </w:r>
      <w:r w:rsidRPr="00192FF1">
        <w:rPr>
          <w:rStyle w:val="citation"/>
          <w:rFonts w:eastAsia="Calibri"/>
        </w:rPr>
        <w:t>A. Sabatini</w:t>
      </w:r>
      <w:r w:rsidRPr="00192FF1">
        <w:rPr>
          <w:rFonts w:eastAsia="Calibri"/>
        </w:rPr>
        <w:t xml:space="preserve"> and </w:t>
      </w:r>
      <w:r w:rsidRPr="00192FF1">
        <w:rPr>
          <w:rStyle w:val="citation"/>
          <w:rFonts w:eastAsia="Calibri"/>
        </w:rPr>
        <w:t>A. Vacca</w:t>
      </w:r>
      <w:r w:rsidRPr="00192FF1">
        <w:rPr>
          <w:rFonts w:eastAsia="Calibri"/>
        </w:rPr>
        <w:t xml:space="preserve">., </w:t>
      </w:r>
      <w:r w:rsidRPr="00192FF1">
        <w:rPr>
          <w:rFonts w:eastAsia="Calibri"/>
          <w:i/>
        </w:rPr>
        <w:t>Inorg. Chim. Acta</w:t>
      </w:r>
      <w:r w:rsidRPr="00192FF1">
        <w:rPr>
          <w:rFonts w:eastAsia="Calibri"/>
        </w:rPr>
        <w:t xml:space="preserve">., </w:t>
      </w:r>
      <w:r w:rsidRPr="00192FF1">
        <w:rPr>
          <w:rFonts w:eastAsia="Calibri"/>
          <w:bCs/>
        </w:rPr>
        <w:t xml:space="preserve">18 </w:t>
      </w:r>
      <w:r w:rsidRPr="00192FF1">
        <w:rPr>
          <w:rFonts w:eastAsia="Calibri"/>
        </w:rPr>
        <w:t xml:space="preserve">(1976) </w:t>
      </w:r>
      <w:r>
        <w:rPr>
          <w:rFonts w:eastAsia="Calibri"/>
        </w:rPr>
        <w:t>p</w:t>
      </w:r>
      <w:r w:rsidRPr="00192FF1">
        <w:rPr>
          <w:rFonts w:eastAsia="Calibri"/>
        </w:rPr>
        <w:t>237.</w:t>
      </w:r>
    </w:p>
    <w:p w14:paraId="1BB03193" w14:textId="77777777" w:rsidR="00D00B24" w:rsidRPr="003C5CCA"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rsidRPr="000E20E3">
        <w:t>A.E. Martell and R.M. Smith, "Critical stability constants Volumes 1 to 5", Plenum Press, NY and London, (1974-1982):  Volume 1: Amino acids (1974), Volume 2: Amines (1975), Volume 3: Other Ligands (1977), Volume 4: Inorganic Complexes (1976)</w:t>
      </w:r>
      <w:r>
        <w:t xml:space="preserve">, Volume 5: First Supplement, (1982) and Volume </w:t>
      </w:r>
      <w:r>
        <w:lastRenderedPageBreak/>
        <w:t>6: Second Supplement (1989).</w:t>
      </w:r>
    </w:p>
    <w:p w14:paraId="516A9451" w14:textId="77777777" w:rsidR="00D00B24" w:rsidRPr="003C5CCA"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t xml:space="preserve">L.D. Pettit, “Critical survey of formation constants of Histidine Phenylalanine, Tyrosine, L-Dopa and Tryptophan”, </w:t>
      </w:r>
      <w:r w:rsidRPr="000E20E3">
        <w:t xml:space="preserve">IUPAC, </w:t>
      </w:r>
      <w:r w:rsidRPr="003C5CCA">
        <w:rPr>
          <w:bCs/>
          <w:i/>
          <w:iCs/>
        </w:rPr>
        <w:t xml:space="preserve">Pure &amp; App/. Chem., </w:t>
      </w:r>
      <w:r w:rsidRPr="003C5CCA">
        <w:rPr>
          <w:bCs/>
          <w:iCs/>
        </w:rPr>
        <w:t>56(2) (1984) pp 247-292.</w:t>
      </w:r>
    </w:p>
    <w:p w14:paraId="00C8BEF2" w14:textId="77777777" w:rsidR="00D00B24" w:rsidRPr="003C5CCA"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rsidRPr="000E20E3">
        <w:t>T. Kiss</w:t>
      </w:r>
      <w:r>
        <w:t xml:space="preserve">, </w:t>
      </w:r>
      <w:r w:rsidRPr="000E20E3">
        <w:t>I. Sovago and A. Gergely, “Critical</w:t>
      </w:r>
      <w:r>
        <w:t xml:space="preserve"> survey of stability constants of complexes of Glycine”, </w:t>
      </w:r>
      <w:r w:rsidRPr="000E20E3">
        <w:t xml:space="preserve">IUPAC, </w:t>
      </w:r>
      <w:r w:rsidRPr="003C5CCA">
        <w:rPr>
          <w:bCs/>
          <w:i/>
          <w:iCs/>
        </w:rPr>
        <w:t xml:space="preserve">Pure &amp; App/. Chem., </w:t>
      </w:r>
      <w:r w:rsidRPr="003C5CCA">
        <w:rPr>
          <w:bCs/>
          <w:iCs/>
        </w:rPr>
        <w:t>63(4) (1993) pp 597-638.</w:t>
      </w:r>
    </w:p>
    <w:p w14:paraId="30520363" w14:textId="77777777" w:rsidR="00D00B24" w:rsidRPr="003C5CCA"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rsidRPr="000E20E3">
        <w:t xml:space="preserve">I. Sovago, T. Kiss and A. Gergely, “Critical survey of the stability constants of complexes of aliphatic amino acids”, IUPAC, </w:t>
      </w:r>
      <w:r w:rsidRPr="003C5CCA">
        <w:rPr>
          <w:bCs/>
          <w:i/>
          <w:iCs/>
        </w:rPr>
        <w:t xml:space="preserve">Pure &amp; App/. Chem., </w:t>
      </w:r>
      <w:r w:rsidRPr="003C5CCA">
        <w:rPr>
          <w:bCs/>
          <w:iCs/>
        </w:rPr>
        <w:t xml:space="preserve">65(5) (1993) pp 1029-1080. </w:t>
      </w:r>
    </w:p>
    <w:p w14:paraId="5558ACA7" w14:textId="77777777" w:rsidR="00D00B24" w:rsidRPr="003C5CCA"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t xml:space="preserve">G. Berthon, “The stability constants of metal complexes of amino acids with polar side chains”, </w:t>
      </w:r>
      <w:r w:rsidRPr="000E20E3">
        <w:t xml:space="preserve">IUPAC, </w:t>
      </w:r>
      <w:r w:rsidRPr="003C5CCA">
        <w:rPr>
          <w:bCs/>
          <w:i/>
          <w:iCs/>
        </w:rPr>
        <w:t xml:space="preserve">Pure &amp; App/. Chem., </w:t>
      </w:r>
      <w:r w:rsidRPr="003C5CCA">
        <w:rPr>
          <w:bCs/>
          <w:iCs/>
        </w:rPr>
        <w:t xml:space="preserve">67(7) (1995) pp 1117-1240. </w:t>
      </w:r>
    </w:p>
    <w:p w14:paraId="45E47725" w14:textId="77777777" w:rsidR="00D00B24" w:rsidRPr="006223F5"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rsidRPr="00977BCF">
        <w:t>O. Yamauchi and A. Odani, “Stability constants of metal complexes of amino acids with charged side chains- Part-I: Positively charged side chains”, IUPAC</w:t>
      </w:r>
      <w:r w:rsidRPr="003C5CCA">
        <w:rPr>
          <w:bCs/>
          <w:i/>
          <w:iCs/>
        </w:rPr>
        <w:t xml:space="preserve">, Pure </w:t>
      </w:r>
      <w:r w:rsidRPr="00977BCF">
        <w:t xml:space="preserve">&amp; </w:t>
      </w:r>
      <w:r w:rsidRPr="003C5CCA">
        <w:rPr>
          <w:bCs/>
          <w:i/>
          <w:iCs/>
        </w:rPr>
        <w:t>Appl. Chem.,</w:t>
      </w:r>
      <w:r w:rsidRPr="003C5CCA">
        <w:rPr>
          <w:b/>
          <w:bCs/>
          <w:i/>
          <w:iCs/>
        </w:rPr>
        <w:t xml:space="preserve"> </w:t>
      </w:r>
      <w:r w:rsidRPr="003C5CCA">
        <w:rPr>
          <w:bCs/>
          <w:iCs/>
        </w:rPr>
        <w:t xml:space="preserve">68(2) (1996) </w:t>
      </w:r>
      <w:r w:rsidRPr="003C5CCA">
        <w:rPr>
          <w:bCs/>
        </w:rPr>
        <w:t>pp 469-496.</w:t>
      </w:r>
    </w:p>
    <w:p w14:paraId="68BB9AF5" w14:textId="77777777" w:rsidR="00D00B24" w:rsidRPr="006223F5"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t xml:space="preserve">R.F. Criscent, G.F.Laniak and R.L. Erikson, “Propagation of uncertainty through geochemical code calculations”, </w:t>
      </w:r>
      <w:r w:rsidRPr="006223F5">
        <w:rPr>
          <w:i/>
        </w:rPr>
        <w:t>Geochimica et Cosmochimica Acta</w:t>
      </w:r>
      <w:r>
        <w:t>, 60(1996) pp 3551-3568.</w:t>
      </w:r>
    </w:p>
    <w:p w14:paraId="0034A504" w14:textId="77777777" w:rsidR="00D00B24" w:rsidRPr="006223F5"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t xml:space="preserve">C.Ekberg and I. Lunden Burro, “Uncertainty analysis for some actinides under groundwater conditions”, </w:t>
      </w:r>
      <w:r w:rsidRPr="006223F5">
        <w:rPr>
          <w:i/>
        </w:rPr>
        <w:t>Journal of Statistical Computation and Simulation,</w:t>
      </w:r>
      <w:r>
        <w:t xml:space="preserve"> 57(1997) pp 271-284.</w:t>
      </w:r>
    </w:p>
    <w:p w14:paraId="7EAB2F2A" w14:textId="77777777" w:rsidR="00D00B24" w:rsidRPr="00CF0A9E"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t xml:space="preserve">F.H. Denison and J. Granier-LaPace, “The effect of database parameter uncertainty on uranium (IV) equilibrium calculations”, </w:t>
      </w:r>
      <w:r w:rsidRPr="006223F5">
        <w:rPr>
          <w:i/>
        </w:rPr>
        <w:t>Geochimica et Cosmochimica Acta</w:t>
      </w:r>
      <w:r>
        <w:t>, 69(2005) pp 2183-2191.</w:t>
      </w:r>
    </w:p>
    <w:p w14:paraId="083D5E9D" w14:textId="77777777" w:rsidR="00D00B24" w:rsidRDefault="00D00B24" w:rsidP="00D00B24">
      <w:pPr>
        <w:pStyle w:val="ListParagraph"/>
        <w:numPr>
          <w:ilvl w:val="0"/>
          <w:numId w:val="4"/>
        </w:numPr>
        <w:autoSpaceDE w:val="0"/>
        <w:autoSpaceDN w:val="0"/>
        <w:adjustRightInd w:val="0"/>
        <w:spacing w:line="360" w:lineRule="auto"/>
        <w:jc w:val="both"/>
      </w:pPr>
      <w:r w:rsidRPr="00285E05">
        <w:rPr>
          <w:iCs/>
        </w:rPr>
        <w:t>Reda A. Ammar, Nawal A. Alarfaj and Maha F. El-Tohamy, “</w:t>
      </w:r>
      <w:r>
        <w:t xml:space="preserve">Potentiometric Study of 1, 2-Diphenylethylenediamine Palladium (II) Complex with Some Selected Amino Acids”, </w:t>
      </w:r>
      <w:r w:rsidRPr="00872773">
        <w:t xml:space="preserve"> </w:t>
      </w:r>
      <w:r w:rsidRPr="00285E05">
        <w:rPr>
          <w:i/>
          <w:iCs/>
        </w:rPr>
        <w:t xml:space="preserve">Int. J. Electrochem. Sci., </w:t>
      </w:r>
      <w:r w:rsidRPr="00872773">
        <w:t xml:space="preserve">7 </w:t>
      </w:r>
      <w:r w:rsidRPr="00285E05">
        <w:rPr>
          <w:bCs/>
        </w:rPr>
        <w:t xml:space="preserve">(2012) pp </w:t>
      </w:r>
      <w:r w:rsidRPr="00872773">
        <w:t>1512 – 1521.</w:t>
      </w:r>
      <w:r>
        <w:t xml:space="preserve"> </w:t>
      </w:r>
    </w:p>
    <w:p w14:paraId="356374BE" w14:textId="77777777" w:rsidR="00D00B24" w:rsidRPr="002E4A45" w:rsidRDefault="00D00B24" w:rsidP="00D00B24">
      <w:pPr>
        <w:pStyle w:val="ListParagraph"/>
        <w:numPr>
          <w:ilvl w:val="0"/>
          <w:numId w:val="4"/>
        </w:numPr>
        <w:shd w:val="clear" w:color="auto" w:fill="FFFFFF"/>
        <w:autoSpaceDE w:val="0"/>
        <w:autoSpaceDN w:val="0"/>
        <w:adjustRightInd w:val="0"/>
        <w:spacing w:after="200" w:line="360" w:lineRule="auto"/>
        <w:jc w:val="both"/>
        <w:textAlignment w:val="baseline"/>
        <w:rPr>
          <w:color w:val="2E2E2E"/>
        </w:rPr>
      </w:pPr>
      <w:r w:rsidRPr="002E4A45">
        <w:rPr>
          <w:bCs/>
        </w:rPr>
        <w:t>Y. Altun</w:t>
      </w:r>
      <w:r w:rsidRPr="002E4A45">
        <w:rPr>
          <w:i/>
          <w:iCs/>
        </w:rPr>
        <w:t xml:space="preserve"> and </w:t>
      </w:r>
      <w:r w:rsidRPr="002E4A45">
        <w:rPr>
          <w:rFonts w:eastAsia="MTSY"/>
        </w:rPr>
        <w:t xml:space="preserve"> </w:t>
      </w:r>
      <w:r w:rsidRPr="002E4A45">
        <w:rPr>
          <w:bCs/>
        </w:rPr>
        <w:t xml:space="preserve">F. Koseoglu, </w:t>
      </w:r>
      <w:r w:rsidRPr="002E4A45">
        <w:rPr>
          <w:bCs/>
          <w:lang w:val="en-US"/>
        </w:rPr>
        <w:t xml:space="preserve">“Stability of Copper(II), Nickel(II) and Zinc(II) Binary and Ternary Complexes of Histidine, Histamine and Glycine in Aqueous Solution”, </w:t>
      </w:r>
      <w:r w:rsidRPr="002E4A45">
        <w:rPr>
          <w:i/>
          <w:iCs/>
        </w:rPr>
        <w:t xml:space="preserve">Journal of Solution Chemistry, </w:t>
      </w:r>
      <w:r w:rsidRPr="00872773">
        <w:t xml:space="preserve">34 (2) (2005) </w:t>
      </w:r>
      <w:r>
        <w:t>pp.</w:t>
      </w:r>
      <w:r w:rsidRPr="00872773">
        <w:t>213</w:t>
      </w:r>
      <w:r>
        <w:t>-231</w:t>
      </w:r>
      <w:r w:rsidRPr="00872773">
        <w:t>.</w:t>
      </w:r>
    </w:p>
    <w:p w14:paraId="43827058" w14:textId="77777777" w:rsidR="00D00B24" w:rsidRPr="00872773" w:rsidRDefault="00D00B24" w:rsidP="00D00B24">
      <w:pPr>
        <w:pStyle w:val="ListParagraph"/>
        <w:numPr>
          <w:ilvl w:val="0"/>
          <w:numId w:val="4"/>
        </w:numPr>
        <w:shd w:val="clear" w:color="auto" w:fill="FFFFFF"/>
        <w:autoSpaceDE w:val="0"/>
        <w:autoSpaceDN w:val="0"/>
        <w:adjustRightInd w:val="0"/>
        <w:spacing w:after="200" w:line="360" w:lineRule="auto"/>
        <w:jc w:val="both"/>
        <w:textAlignment w:val="baseline"/>
      </w:pPr>
      <w:r w:rsidRPr="002E4A45">
        <w:rPr>
          <w:rStyle w:val="ft"/>
          <w:lang w:val="en-IN"/>
        </w:rPr>
        <w:t xml:space="preserve">M. J. Bojczuk,  P. Kaczmarek, W. Bal and K. S. Kasprzak,  </w:t>
      </w:r>
      <w:r w:rsidRPr="002E4A45">
        <w:rPr>
          <w:bCs/>
          <w:color w:val="2E2E2E"/>
        </w:rPr>
        <w:t>“Determination of the stability constants and oxidation susceptibility of nickel(II) complexes with 2′-deoxyguanosine 5′-triphosphate and</w:t>
      </w:r>
      <w:r w:rsidRPr="002E4A45">
        <w:rPr>
          <w:rStyle w:val="apple-converted-space"/>
          <w:bCs/>
          <w:color w:val="2E2E2E"/>
        </w:rPr>
        <w:t> </w:t>
      </w:r>
      <w:r w:rsidRPr="002E4A45">
        <w:rPr>
          <w:rStyle w:val="smallcaps"/>
          <w:bCs/>
          <w:smallCaps/>
          <w:color w:val="2E2E2E"/>
          <w:bdr w:val="none" w:sz="0" w:space="0" w:color="auto" w:frame="1"/>
        </w:rPr>
        <w:t>l</w:t>
      </w:r>
      <w:r w:rsidRPr="002E4A45">
        <w:rPr>
          <w:bCs/>
          <w:color w:val="2E2E2E"/>
        </w:rPr>
        <w:t xml:space="preserve">-histidine”, </w:t>
      </w:r>
      <w:r w:rsidRPr="002E4A45">
        <w:rPr>
          <w:rStyle w:val="ft"/>
          <w:lang w:val="en-IN"/>
        </w:rPr>
        <w:t xml:space="preserve"> </w:t>
      </w:r>
      <w:r w:rsidRPr="002E4A45">
        <w:rPr>
          <w:i/>
        </w:rPr>
        <w:t>J. Inorg. Biochem</w:t>
      </w:r>
      <w:r w:rsidRPr="00872773">
        <w:t xml:space="preserve">. 99 (2005) </w:t>
      </w:r>
      <w:r>
        <w:t xml:space="preserve">p </w:t>
      </w:r>
      <w:r w:rsidRPr="00872773">
        <w:t>737</w:t>
      </w:r>
      <w:r>
        <w:t>-746</w:t>
      </w:r>
      <w:r w:rsidRPr="00872773">
        <w:t>.</w:t>
      </w:r>
    </w:p>
    <w:p w14:paraId="7E1CB934" w14:textId="77777777" w:rsidR="00D00B24" w:rsidRPr="00872773" w:rsidRDefault="00D00B24" w:rsidP="00D00B24">
      <w:pPr>
        <w:pStyle w:val="ListParagraph"/>
        <w:numPr>
          <w:ilvl w:val="0"/>
          <w:numId w:val="4"/>
        </w:numPr>
        <w:spacing w:line="360" w:lineRule="auto"/>
        <w:jc w:val="both"/>
        <w:rPr>
          <w:i/>
          <w:iCs/>
        </w:rPr>
      </w:pPr>
      <w:r w:rsidRPr="00872773">
        <w:lastRenderedPageBreak/>
        <w:t xml:space="preserve">Piotr Kaczmarek, Wojciech Szczepanik and Małgorzata Jeżowska-Bojczuk, </w:t>
      </w:r>
      <w:r w:rsidRPr="00872773">
        <w:rPr>
          <w:bCs/>
          <w:i/>
          <w:iCs/>
        </w:rPr>
        <w:t>Dalton Trans.</w:t>
      </w:r>
      <w:r w:rsidRPr="00872773">
        <w:t xml:space="preserve">, (2005) </w:t>
      </w:r>
      <w:r>
        <w:t xml:space="preserve">pp </w:t>
      </w:r>
      <w:r w:rsidRPr="00872773">
        <w:t>3653-3657.</w:t>
      </w:r>
    </w:p>
    <w:p w14:paraId="2EFA0CE8" w14:textId="77777777" w:rsidR="00D00B24" w:rsidRPr="00872773" w:rsidRDefault="00D00B24" w:rsidP="00D00B24">
      <w:pPr>
        <w:pStyle w:val="ListParagraph"/>
        <w:numPr>
          <w:ilvl w:val="0"/>
          <w:numId w:val="4"/>
        </w:numPr>
        <w:spacing w:before="45" w:line="360" w:lineRule="auto"/>
        <w:jc w:val="both"/>
      </w:pPr>
      <w:r w:rsidRPr="00872773">
        <w:t>Leslie D. Pettit and John L. M. Swash,</w:t>
      </w:r>
      <w:r w:rsidRPr="00872773">
        <w:rPr>
          <w:rStyle w:val="Strong"/>
          <w:rFonts w:eastAsiaTheme="majorEastAsia"/>
          <w:i/>
          <w:iCs/>
        </w:rPr>
        <w:t xml:space="preserve"> </w:t>
      </w:r>
      <w:r w:rsidRPr="000E5E35">
        <w:rPr>
          <w:rStyle w:val="Strong"/>
          <w:rFonts w:eastAsiaTheme="majorEastAsia"/>
          <w:i/>
          <w:iCs/>
        </w:rPr>
        <w:t>Dalton Trans</w:t>
      </w:r>
      <w:r w:rsidRPr="00872773">
        <w:rPr>
          <w:rStyle w:val="Strong"/>
          <w:rFonts w:eastAsiaTheme="majorEastAsia"/>
          <w:i/>
          <w:iCs/>
        </w:rPr>
        <w:t>.</w:t>
      </w:r>
      <w:r w:rsidRPr="00872773">
        <w:t xml:space="preserve">, (1976) 588-594.    </w:t>
      </w:r>
    </w:p>
    <w:p w14:paraId="49CDF46D" w14:textId="77777777" w:rsidR="00D00B24" w:rsidRPr="00872773" w:rsidRDefault="00D00B24" w:rsidP="00D00B24">
      <w:pPr>
        <w:pStyle w:val="ListParagraph"/>
        <w:numPr>
          <w:ilvl w:val="0"/>
          <w:numId w:val="4"/>
        </w:numPr>
        <w:autoSpaceDE w:val="0"/>
        <w:autoSpaceDN w:val="0"/>
        <w:adjustRightInd w:val="0"/>
        <w:spacing w:after="200" w:line="360" w:lineRule="auto"/>
        <w:jc w:val="both"/>
      </w:pPr>
      <w:r w:rsidRPr="00872773">
        <w:t xml:space="preserve">H. C. Freeman and R. P. Martin, </w:t>
      </w:r>
      <w:r w:rsidRPr="00872773">
        <w:rPr>
          <w:i/>
        </w:rPr>
        <w:t>The Journal of Biological Chemistry</w:t>
      </w:r>
      <w:r w:rsidRPr="00872773">
        <w:t xml:space="preserve">, 244 (1969) </w:t>
      </w:r>
      <w:r>
        <w:t xml:space="preserve">p </w:t>
      </w:r>
      <w:r w:rsidRPr="00872773">
        <w:t>4823.</w:t>
      </w:r>
    </w:p>
    <w:p w14:paraId="7D26D2C2" w14:textId="77777777" w:rsidR="00D00B24" w:rsidRDefault="00D00B24" w:rsidP="00D00B24">
      <w:pPr>
        <w:pStyle w:val="ListParagraph"/>
        <w:widowControl w:val="0"/>
        <w:numPr>
          <w:ilvl w:val="0"/>
          <w:numId w:val="4"/>
        </w:numPr>
        <w:autoSpaceDE w:val="0"/>
        <w:autoSpaceDN w:val="0"/>
        <w:adjustRightInd w:val="0"/>
        <w:spacing w:after="200" w:line="360" w:lineRule="auto"/>
        <w:jc w:val="both"/>
      </w:pPr>
      <w:r w:rsidRPr="00872773">
        <w:t xml:space="preserve">B. L. Mickel and A. C. Andrews,  </w:t>
      </w:r>
      <w:r w:rsidRPr="002E4A45">
        <w:rPr>
          <w:i/>
          <w:iCs/>
        </w:rPr>
        <w:t>J</w:t>
      </w:r>
      <w:r w:rsidRPr="00872773">
        <w:t xml:space="preserve">. </w:t>
      </w:r>
      <w:r w:rsidRPr="002E4A45">
        <w:rPr>
          <w:i/>
          <w:iCs/>
        </w:rPr>
        <w:t xml:space="preserve">Am. Chem. Soc. </w:t>
      </w:r>
      <w:r w:rsidRPr="000316C7">
        <w:rPr>
          <w:bCs/>
        </w:rPr>
        <w:t>77</w:t>
      </w:r>
      <w:r w:rsidRPr="000316C7">
        <w:t xml:space="preserve"> (1955) p 1955.</w:t>
      </w:r>
    </w:p>
    <w:p w14:paraId="7B36991E" w14:textId="77777777" w:rsidR="00072D79" w:rsidRDefault="00072D79"/>
    <w:sectPr w:rsidR="00072D79" w:rsidSect="00F353C2">
      <w:pgSz w:w="11907" w:h="16839" w:code="9"/>
      <w:pgMar w:top="1440" w:right="1440" w:bottom="1440" w:left="2160" w:header="720" w:footer="720" w:gutter="0"/>
      <w:pgNumType w:start="7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40E6" w14:textId="77777777" w:rsidR="00AD066B" w:rsidRDefault="00AD066B" w:rsidP="00D00B24">
      <w:pPr>
        <w:spacing w:after="0" w:line="240" w:lineRule="auto"/>
      </w:pPr>
      <w:r>
        <w:separator/>
      </w:r>
    </w:p>
  </w:endnote>
  <w:endnote w:type="continuationSeparator" w:id="0">
    <w:p w14:paraId="4B9B1BE1" w14:textId="77777777" w:rsidR="00AD066B" w:rsidRDefault="00AD066B" w:rsidP="00D00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TSY">
    <w:altName w:val="Arial Unicode MS"/>
    <w:panose1 w:val="00000000000000000000"/>
    <w:charset w:val="81"/>
    <w:family w:val="auto"/>
    <w:notTrueType/>
    <w:pitch w:val="default"/>
    <w:sig w:usb0="00000003" w:usb1="09060000"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DDB1D" w14:textId="77777777" w:rsidR="00AD066B" w:rsidRDefault="00AD066B" w:rsidP="00D00B24">
      <w:pPr>
        <w:spacing w:after="0" w:line="240" w:lineRule="auto"/>
      </w:pPr>
      <w:r>
        <w:separator/>
      </w:r>
    </w:p>
  </w:footnote>
  <w:footnote w:type="continuationSeparator" w:id="0">
    <w:p w14:paraId="76612310" w14:textId="77777777" w:rsidR="00AD066B" w:rsidRDefault="00AD066B" w:rsidP="00D00B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7C5"/>
    <w:multiLevelType w:val="multilevel"/>
    <w:tmpl w:val="071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0B194D"/>
    <w:multiLevelType w:val="multilevel"/>
    <w:tmpl w:val="B710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1F451F"/>
    <w:multiLevelType w:val="hybridMultilevel"/>
    <w:tmpl w:val="0C6C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956BE"/>
    <w:multiLevelType w:val="multilevel"/>
    <w:tmpl w:val="E000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0E2466"/>
    <w:multiLevelType w:val="multilevel"/>
    <w:tmpl w:val="2BC8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443E4B"/>
    <w:multiLevelType w:val="hybridMultilevel"/>
    <w:tmpl w:val="177687C8"/>
    <w:lvl w:ilvl="0" w:tplc="538480E4">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76AC5"/>
    <w:multiLevelType w:val="hybridMultilevel"/>
    <w:tmpl w:val="85EE8F96"/>
    <w:lvl w:ilvl="0" w:tplc="588EA51E">
      <w:start w:val="1"/>
      <w:numFmt w:val="decimal"/>
      <w:lvlText w:val="%1."/>
      <w:lvlJc w:val="left"/>
      <w:pPr>
        <w:ind w:left="72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E60069"/>
    <w:multiLevelType w:val="hybridMultilevel"/>
    <w:tmpl w:val="412A77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2703C"/>
    <w:multiLevelType w:val="multilevel"/>
    <w:tmpl w:val="11B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2160F6"/>
    <w:multiLevelType w:val="hybridMultilevel"/>
    <w:tmpl w:val="A8684970"/>
    <w:lvl w:ilvl="0" w:tplc="40090001">
      <w:start w:val="1"/>
      <w:numFmt w:val="bullet"/>
      <w:lvlText w:val=""/>
      <w:lvlJc w:val="left"/>
      <w:pPr>
        <w:ind w:left="779" w:hanging="360"/>
      </w:pPr>
      <w:rPr>
        <w:rFonts w:ascii="Symbol" w:hAnsi="Symbol" w:hint="default"/>
      </w:rPr>
    </w:lvl>
    <w:lvl w:ilvl="1" w:tplc="40090003" w:tentative="1">
      <w:start w:val="1"/>
      <w:numFmt w:val="bullet"/>
      <w:lvlText w:val="o"/>
      <w:lvlJc w:val="left"/>
      <w:pPr>
        <w:ind w:left="1499" w:hanging="360"/>
      </w:pPr>
      <w:rPr>
        <w:rFonts w:ascii="Courier New" w:hAnsi="Courier New" w:cs="Courier New" w:hint="default"/>
      </w:rPr>
    </w:lvl>
    <w:lvl w:ilvl="2" w:tplc="40090005" w:tentative="1">
      <w:start w:val="1"/>
      <w:numFmt w:val="bullet"/>
      <w:lvlText w:val=""/>
      <w:lvlJc w:val="left"/>
      <w:pPr>
        <w:ind w:left="2219" w:hanging="360"/>
      </w:pPr>
      <w:rPr>
        <w:rFonts w:ascii="Wingdings" w:hAnsi="Wingdings" w:hint="default"/>
      </w:rPr>
    </w:lvl>
    <w:lvl w:ilvl="3" w:tplc="40090001" w:tentative="1">
      <w:start w:val="1"/>
      <w:numFmt w:val="bullet"/>
      <w:lvlText w:val=""/>
      <w:lvlJc w:val="left"/>
      <w:pPr>
        <w:ind w:left="2939" w:hanging="360"/>
      </w:pPr>
      <w:rPr>
        <w:rFonts w:ascii="Symbol" w:hAnsi="Symbol" w:hint="default"/>
      </w:rPr>
    </w:lvl>
    <w:lvl w:ilvl="4" w:tplc="40090003" w:tentative="1">
      <w:start w:val="1"/>
      <w:numFmt w:val="bullet"/>
      <w:lvlText w:val="o"/>
      <w:lvlJc w:val="left"/>
      <w:pPr>
        <w:ind w:left="3659" w:hanging="360"/>
      </w:pPr>
      <w:rPr>
        <w:rFonts w:ascii="Courier New" w:hAnsi="Courier New" w:cs="Courier New" w:hint="default"/>
      </w:rPr>
    </w:lvl>
    <w:lvl w:ilvl="5" w:tplc="40090005" w:tentative="1">
      <w:start w:val="1"/>
      <w:numFmt w:val="bullet"/>
      <w:lvlText w:val=""/>
      <w:lvlJc w:val="left"/>
      <w:pPr>
        <w:ind w:left="4379" w:hanging="360"/>
      </w:pPr>
      <w:rPr>
        <w:rFonts w:ascii="Wingdings" w:hAnsi="Wingdings" w:hint="default"/>
      </w:rPr>
    </w:lvl>
    <w:lvl w:ilvl="6" w:tplc="40090001" w:tentative="1">
      <w:start w:val="1"/>
      <w:numFmt w:val="bullet"/>
      <w:lvlText w:val=""/>
      <w:lvlJc w:val="left"/>
      <w:pPr>
        <w:ind w:left="5099" w:hanging="360"/>
      </w:pPr>
      <w:rPr>
        <w:rFonts w:ascii="Symbol" w:hAnsi="Symbol" w:hint="default"/>
      </w:rPr>
    </w:lvl>
    <w:lvl w:ilvl="7" w:tplc="40090003" w:tentative="1">
      <w:start w:val="1"/>
      <w:numFmt w:val="bullet"/>
      <w:lvlText w:val="o"/>
      <w:lvlJc w:val="left"/>
      <w:pPr>
        <w:ind w:left="5819" w:hanging="360"/>
      </w:pPr>
      <w:rPr>
        <w:rFonts w:ascii="Courier New" w:hAnsi="Courier New" w:cs="Courier New" w:hint="default"/>
      </w:rPr>
    </w:lvl>
    <w:lvl w:ilvl="8" w:tplc="40090005" w:tentative="1">
      <w:start w:val="1"/>
      <w:numFmt w:val="bullet"/>
      <w:lvlText w:val=""/>
      <w:lvlJc w:val="left"/>
      <w:pPr>
        <w:ind w:left="6539" w:hanging="360"/>
      </w:pPr>
      <w:rPr>
        <w:rFonts w:ascii="Wingdings" w:hAnsi="Wingdings" w:hint="default"/>
      </w:rPr>
    </w:lvl>
  </w:abstractNum>
  <w:abstractNum w:abstractNumId="10" w15:restartNumberingAfterBreak="0">
    <w:nsid w:val="2C8648BB"/>
    <w:multiLevelType w:val="hybridMultilevel"/>
    <w:tmpl w:val="0718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0118BD"/>
    <w:multiLevelType w:val="hybridMultilevel"/>
    <w:tmpl w:val="DA5E0248"/>
    <w:lvl w:ilvl="0" w:tplc="EC46F9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A5689"/>
    <w:multiLevelType w:val="multilevel"/>
    <w:tmpl w:val="17E6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03320D"/>
    <w:multiLevelType w:val="multilevel"/>
    <w:tmpl w:val="AB28B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82679E5"/>
    <w:multiLevelType w:val="multilevel"/>
    <w:tmpl w:val="18B2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1009D8"/>
    <w:multiLevelType w:val="hybridMultilevel"/>
    <w:tmpl w:val="8E2E0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3202CF"/>
    <w:multiLevelType w:val="multilevel"/>
    <w:tmpl w:val="EB84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1073DC"/>
    <w:multiLevelType w:val="hybridMultilevel"/>
    <w:tmpl w:val="F18AE158"/>
    <w:lvl w:ilvl="0" w:tplc="5A82A38E">
      <w:start w:val="23"/>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615274"/>
    <w:multiLevelType w:val="hybridMultilevel"/>
    <w:tmpl w:val="9AA2E26E"/>
    <w:lvl w:ilvl="0" w:tplc="5464F858">
      <w:start w:val="10"/>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A93383"/>
    <w:multiLevelType w:val="hybridMultilevel"/>
    <w:tmpl w:val="A780898A"/>
    <w:lvl w:ilvl="0" w:tplc="9D147E1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BA1EAE"/>
    <w:multiLevelType w:val="multilevel"/>
    <w:tmpl w:val="7A42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9B5E54"/>
    <w:multiLevelType w:val="hybridMultilevel"/>
    <w:tmpl w:val="0096F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DF532A"/>
    <w:multiLevelType w:val="multilevel"/>
    <w:tmpl w:val="957E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5"/>
  </w:num>
  <w:num w:numId="3">
    <w:abstractNumId w:val="18"/>
  </w:num>
  <w:num w:numId="4">
    <w:abstractNumId w:val="11"/>
  </w:num>
  <w:num w:numId="5">
    <w:abstractNumId w:val="19"/>
  </w:num>
  <w:num w:numId="6">
    <w:abstractNumId w:val="17"/>
  </w:num>
  <w:num w:numId="7">
    <w:abstractNumId w:val="6"/>
  </w:num>
  <w:num w:numId="8">
    <w:abstractNumId w:val="2"/>
  </w:num>
  <w:num w:numId="9">
    <w:abstractNumId w:val="10"/>
  </w:num>
  <w:num w:numId="10">
    <w:abstractNumId w:val="12"/>
  </w:num>
  <w:num w:numId="11">
    <w:abstractNumId w:val="22"/>
  </w:num>
  <w:num w:numId="12">
    <w:abstractNumId w:val="3"/>
  </w:num>
  <w:num w:numId="13">
    <w:abstractNumId w:val="8"/>
  </w:num>
  <w:num w:numId="14">
    <w:abstractNumId w:val="14"/>
  </w:num>
  <w:num w:numId="15">
    <w:abstractNumId w:val="4"/>
  </w:num>
  <w:num w:numId="16">
    <w:abstractNumId w:val="0"/>
  </w:num>
  <w:num w:numId="17">
    <w:abstractNumId w:val="20"/>
  </w:num>
  <w:num w:numId="18">
    <w:abstractNumId w:val="1"/>
  </w:num>
  <w:num w:numId="19">
    <w:abstractNumId w:val="16"/>
  </w:num>
  <w:num w:numId="20">
    <w:abstractNumId w:val="15"/>
  </w:num>
  <w:num w:numId="21">
    <w:abstractNumId w:val="7"/>
  </w:num>
  <w:num w:numId="22">
    <w:abstractNumId w:val="1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24"/>
    <w:rsid w:val="00072D79"/>
    <w:rsid w:val="00195520"/>
    <w:rsid w:val="001D25B5"/>
    <w:rsid w:val="00406210"/>
    <w:rsid w:val="0068383E"/>
    <w:rsid w:val="00AB35D0"/>
    <w:rsid w:val="00AD066B"/>
    <w:rsid w:val="00BC0C2B"/>
    <w:rsid w:val="00BC5FBA"/>
    <w:rsid w:val="00D00B24"/>
    <w:rsid w:val="00E15B52"/>
    <w:rsid w:val="00E507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55867"/>
  <w15:chartTrackingRefBased/>
  <w15:docId w15:val="{73FC71D2-702F-4CCA-AA73-56D86FEF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B24"/>
    <w:rPr>
      <w:rFonts w:eastAsiaTheme="minorEastAsia"/>
      <w:lang w:val="en-GB"/>
    </w:rPr>
  </w:style>
  <w:style w:type="paragraph" w:styleId="Heading1">
    <w:name w:val="heading 1"/>
    <w:basedOn w:val="Normal"/>
    <w:next w:val="Normal"/>
    <w:link w:val="Heading1Char"/>
    <w:qFormat/>
    <w:rsid w:val="00D00B24"/>
    <w:pPr>
      <w:keepNext/>
      <w:spacing w:after="0" w:line="480" w:lineRule="auto"/>
      <w:jc w:val="both"/>
      <w:outlineLvl w:val="0"/>
    </w:pPr>
    <w:rPr>
      <w:rFonts w:ascii="Times New Roman" w:eastAsia="Times New Roman" w:hAnsi="Times New Roman" w:cs="Times New Roman"/>
      <w:b/>
      <w:sz w:val="24"/>
      <w:szCs w:val="24"/>
      <w:u w:val="single"/>
    </w:rPr>
  </w:style>
  <w:style w:type="paragraph" w:styleId="Heading2">
    <w:name w:val="heading 2"/>
    <w:basedOn w:val="Normal"/>
    <w:next w:val="Normal"/>
    <w:link w:val="Heading2Char"/>
    <w:uiPriority w:val="9"/>
    <w:semiHidden/>
    <w:unhideWhenUsed/>
    <w:qFormat/>
    <w:rsid w:val="00D00B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0B2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B24"/>
    <w:rPr>
      <w:rFonts w:ascii="Times New Roman" w:eastAsia="Times New Roman" w:hAnsi="Times New Roman" w:cs="Times New Roman"/>
      <w:b/>
      <w:sz w:val="24"/>
      <w:szCs w:val="24"/>
      <w:u w:val="single"/>
      <w:lang w:val="en-GB"/>
    </w:rPr>
  </w:style>
  <w:style w:type="character" w:customStyle="1" w:styleId="Heading2Char">
    <w:name w:val="Heading 2 Char"/>
    <w:basedOn w:val="DefaultParagraphFont"/>
    <w:link w:val="Heading2"/>
    <w:uiPriority w:val="9"/>
    <w:semiHidden/>
    <w:rsid w:val="00D00B24"/>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D00B24"/>
    <w:rPr>
      <w:rFonts w:asciiTheme="majorHAnsi" w:eastAsiaTheme="majorEastAsia" w:hAnsiTheme="majorHAnsi" w:cstheme="majorBidi"/>
      <w:b/>
      <w:bCs/>
      <w:color w:val="4F81BD" w:themeColor="accent1"/>
      <w:sz w:val="24"/>
      <w:szCs w:val="24"/>
      <w:lang w:val="en-GB"/>
    </w:rPr>
  </w:style>
  <w:style w:type="paragraph" w:styleId="BodyText">
    <w:name w:val="Body Text"/>
    <w:basedOn w:val="Normal"/>
    <w:link w:val="BodyTextChar"/>
    <w:rsid w:val="00D00B2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00B24"/>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D00B24"/>
    <w:pPr>
      <w:spacing w:after="0" w:line="240" w:lineRule="auto"/>
      <w:ind w:left="720"/>
      <w:contextualSpacing/>
    </w:pPr>
    <w:rPr>
      <w:rFonts w:ascii="Times New Roman" w:eastAsia="Times New Roman" w:hAnsi="Times New Roman" w:cs="Times New Roman"/>
      <w:sz w:val="24"/>
      <w:szCs w:val="24"/>
    </w:rPr>
  </w:style>
  <w:style w:type="character" w:customStyle="1" w:styleId="A0">
    <w:name w:val="A0"/>
    <w:uiPriority w:val="99"/>
    <w:rsid w:val="00D00B24"/>
    <w:rPr>
      <w:color w:val="000000"/>
      <w:sz w:val="16"/>
      <w:szCs w:val="16"/>
    </w:rPr>
  </w:style>
  <w:style w:type="character" w:customStyle="1" w:styleId="citation">
    <w:name w:val="citation"/>
    <w:basedOn w:val="DefaultParagraphFont"/>
    <w:rsid w:val="00D00B24"/>
    <w:rPr>
      <w:i w:val="0"/>
      <w:iCs w:val="0"/>
    </w:rPr>
  </w:style>
  <w:style w:type="paragraph" w:styleId="BalloonText">
    <w:name w:val="Balloon Text"/>
    <w:basedOn w:val="Normal"/>
    <w:link w:val="BalloonTextChar"/>
    <w:uiPriority w:val="99"/>
    <w:semiHidden/>
    <w:unhideWhenUsed/>
    <w:rsid w:val="00D00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24"/>
    <w:rPr>
      <w:rFonts w:ascii="Tahoma" w:eastAsiaTheme="minorEastAsia" w:hAnsi="Tahoma" w:cs="Tahoma"/>
      <w:sz w:val="16"/>
      <w:szCs w:val="16"/>
      <w:lang w:val="en-GB"/>
    </w:rPr>
  </w:style>
  <w:style w:type="table" w:styleId="TableGrid">
    <w:name w:val="Table Grid"/>
    <w:basedOn w:val="TableNormal"/>
    <w:uiPriority w:val="59"/>
    <w:rsid w:val="00D00B24"/>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00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B24"/>
    <w:rPr>
      <w:rFonts w:eastAsiaTheme="minorEastAsia"/>
      <w:lang w:val="en-GB"/>
    </w:rPr>
  </w:style>
  <w:style w:type="paragraph" w:styleId="Footer">
    <w:name w:val="footer"/>
    <w:basedOn w:val="Normal"/>
    <w:link w:val="FooterChar"/>
    <w:uiPriority w:val="99"/>
    <w:unhideWhenUsed/>
    <w:rsid w:val="00D00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B24"/>
    <w:rPr>
      <w:rFonts w:eastAsiaTheme="minorEastAsia"/>
      <w:lang w:val="en-GB"/>
    </w:rPr>
  </w:style>
  <w:style w:type="character" w:customStyle="1" w:styleId="publication-meta-journal">
    <w:name w:val="publication-meta-journal"/>
    <w:basedOn w:val="DefaultParagraphFont"/>
    <w:rsid w:val="00D00B24"/>
  </w:style>
  <w:style w:type="character" w:customStyle="1" w:styleId="apple-converted-space">
    <w:name w:val="apple-converted-space"/>
    <w:basedOn w:val="DefaultParagraphFont"/>
    <w:rsid w:val="00D00B24"/>
  </w:style>
  <w:style w:type="character" w:styleId="Emphasis">
    <w:name w:val="Emphasis"/>
    <w:basedOn w:val="DefaultParagraphFont"/>
    <w:uiPriority w:val="20"/>
    <w:qFormat/>
    <w:rsid w:val="00D00B24"/>
    <w:rPr>
      <w:i/>
      <w:iCs/>
    </w:rPr>
  </w:style>
  <w:style w:type="paragraph" w:customStyle="1" w:styleId="Default">
    <w:name w:val="Default"/>
    <w:rsid w:val="00D00B2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Strong">
    <w:name w:val="Strong"/>
    <w:basedOn w:val="DefaultParagraphFont"/>
    <w:uiPriority w:val="22"/>
    <w:qFormat/>
    <w:rsid w:val="00D00B24"/>
    <w:rPr>
      <w:b/>
      <w:bCs/>
    </w:rPr>
  </w:style>
  <w:style w:type="character" w:customStyle="1" w:styleId="ft">
    <w:name w:val="ft"/>
    <w:basedOn w:val="DefaultParagraphFont"/>
    <w:rsid w:val="00D00B24"/>
  </w:style>
  <w:style w:type="character" w:customStyle="1" w:styleId="mw-headline">
    <w:name w:val="mw-headline"/>
    <w:basedOn w:val="DefaultParagraphFont"/>
    <w:rsid w:val="00D00B24"/>
  </w:style>
  <w:style w:type="character" w:customStyle="1" w:styleId="mw-editsection">
    <w:name w:val="mw-editsection"/>
    <w:basedOn w:val="DefaultParagraphFont"/>
    <w:rsid w:val="00D00B24"/>
  </w:style>
  <w:style w:type="character" w:customStyle="1" w:styleId="mw-editsection-bracket">
    <w:name w:val="mw-editsection-bracket"/>
    <w:basedOn w:val="DefaultParagraphFont"/>
    <w:rsid w:val="00D00B24"/>
  </w:style>
  <w:style w:type="character" w:styleId="Hyperlink">
    <w:name w:val="Hyperlink"/>
    <w:basedOn w:val="DefaultParagraphFont"/>
    <w:uiPriority w:val="99"/>
    <w:semiHidden/>
    <w:unhideWhenUsed/>
    <w:rsid w:val="00D00B24"/>
    <w:rPr>
      <w:color w:val="0000FF"/>
      <w:u w:val="single"/>
    </w:rPr>
  </w:style>
  <w:style w:type="paragraph" w:styleId="NormalWeb">
    <w:name w:val="Normal (Web)"/>
    <w:basedOn w:val="Normal"/>
    <w:uiPriority w:val="99"/>
    <w:semiHidden/>
    <w:unhideWhenUsed/>
    <w:rsid w:val="00D00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basedOn w:val="DefaultParagraphFont"/>
    <w:rsid w:val="00D00B24"/>
  </w:style>
  <w:style w:type="character" w:customStyle="1" w:styleId="vol-info">
    <w:name w:val="vol-info"/>
    <w:basedOn w:val="DefaultParagraphFont"/>
    <w:rsid w:val="00D00B24"/>
  </w:style>
  <w:style w:type="character" w:customStyle="1" w:styleId="copyright-year">
    <w:name w:val="copyright-year"/>
    <w:basedOn w:val="DefaultParagraphFont"/>
    <w:rsid w:val="00D00B24"/>
  </w:style>
  <w:style w:type="character" w:styleId="FollowedHyperlink">
    <w:name w:val="FollowedHyperlink"/>
    <w:basedOn w:val="DefaultParagraphFont"/>
    <w:uiPriority w:val="99"/>
    <w:semiHidden/>
    <w:unhideWhenUsed/>
    <w:rsid w:val="00D00B24"/>
    <w:rPr>
      <w:color w:val="800080" w:themeColor="followedHyperlink"/>
      <w:u w:val="single"/>
    </w:rPr>
  </w:style>
  <w:style w:type="character" w:customStyle="1" w:styleId="smallcaps">
    <w:name w:val="smallcaps"/>
    <w:basedOn w:val="DefaultParagraphFont"/>
    <w:rsid w:val="00D00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7.bin"/><Relationship Id="rId39" Type="http://schemas.openxmlformats.org/officeDocument/2006/relationships/image" Target="media/image20.emf"/><Relationship Id="rId21" Type="http://schemas.openxmlformats.org/officeDocument/2006/relationships/image" Target="media/image10.emf"/><Relationship Id="rId34" Type="http://schemas.openxmlformats.org/officeDocument/2006/relationships/oleObject" Target="embeddings/oleObject11.bin"/><Relationship Id="rId42" Type="http://schemas.openxmlformats.org/officeDocument/2006/relationships/image" Target="media/image22.emf"/><Relationship Id="rId47" Type="http://schemas.openxmlformats.org/officeDocument/2006/relationships/image" Target="media/image25.emf"/><Relationship Id="rId50" Type="http://schemas.openxmlformats.org/officeDocument/2006/relationships/image" Target="media/image26.emf"/><Relationship Id="rId55" Type="http://schemas.openxmlformats.org/officeDocument/2006/relationships/image" Target="media/image29.emf"/><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7.emf"/><Relationship Id="rId29" Type="http://schemas.openxmlformats.org/officeDocument/2006/relationships/image" Target="media/image15.png"/><Relationship Id="rId11" Type="http://schemas.openxmlformats.org/officeDocument/2006/relationships/image" Target="media/image3.emf"/><Relationship Id="rId24" Type="http://schemas.openxmlformats.org/officeDocument/2006/relationships/image" Target="media/image12.emf"/><Relationship Id="rId32" Type="http://schemas.openxmlformats.org/officeDocument/2006/relationships/oleObject" Target="embeddings/oleObject10.bin"/><Relationship Id="rId37" Type="http://schemas.openxmlformats.org/officeDocument/2006/relationships/image" Target="media/image19.emf"/><Relationship Id="rId40" Type="http://schemas.openxmlformats.org/officeDocument/2006/relationships/oleObject" Target="embeddings/oleObject14.bin"/><Relationship Id="rId45" Type="http://schemas.openxmlformats.org/officeDocument/2006/relationships/image" Target="media/image24.png"/><Relationship Id="rId53" Type="http://schemas.openxmlformats.org/officeDocument/2006/relationships/oleObject" Target="embeddings/oleObject20.bin"/><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image" Target="media/image9.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oleObject" Target="embeddings/oleObject6.bin"/><Relationship Id="rId27" Type="http://schemas.openxmlformats.org/officeDocument/2006/relationships/image" Target="media/image14.emf"/><Relationship Id="rId30" Type="http://schemas.openxmlformats.org/officeDocument/2006/relationships/oleObject" Target="embeddings/oleObject9.bin"/><Relationship Id="rId35" Type="http://schemas.openxmlformats.org/officeDocument/2006/relationships/image" Target="media/image18.emf"/><Relationship Id="rId43" Type="http://schemas.openxmlformats.org/officeDocument/2006/relationships/image" Target="media/image23.emf"/><Relationship Id="rId48" Type="http://schemas.openxmlformats.org/officeDocument/2006/relationships/oleObject" Target="embeddings/oleObject17.bin"/><Relationship Id="rId56" Type="http://schemas.openxmlformats.org/officeDocument/2006/relationships/image" Target="media/image30.emf"/><Relationship Id="rId8" Type="http://schemas.openxmlformats.org/officeDocument/2006/relationships/oleObject" Target="embeddings/oleObject1.bin"/><Relationship Id="rId51" Type="http://schemas.openxmlformats.org/officeDocument/2006/relationships/oleObject" Target="embeddings/oleObject1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emf"/><Relationship Id="rId25" Type="http://schemas.openxmlformats.org/officeDocument/2006/relationships/image" Target="media/image13.emf"/><Relationship Id="rId33" Type="http://schemas.openxmlformats.org/officeDocument/2006/relationships/image" Target="media/image17.emf"/><Relationship Id="rId38" Type="http://schemas.openxmlformats.org/officeDocument/2006/relationships/oleObject" Target="embeddings/oleObject13.bin"/><Relationship Id="rId46" Type="http://schemas.openxmlformats.org/officeDocument/2006/relationships/oleObject" Target="embeddings/oleObject16.bin"/><Relationship Id="rId59"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image" Target="media/image21.emf"/><Relationship Id="rId54" Type="http://schemas.openxmlformats.org/officeDocument/2006/relationships/image" Target="media/image28.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emf"/><Relationship Id="rId23" Type="http://schemas.openxmlformats.org/officeDocument/2006/relationships/image" Target="media/image11.e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1.bin"/><Relationship Id="rId10" Type="http://schemas.openxmlformats.org/officeDocument/2006/relationships/oleObject" Target="embeddings/oleObject2.bin"/><Relationship Id="rId31" Type="http://schemas.openxmlformats.org/officeDocument/2006/relationships/image" Target="media/image16.emf"/><Relationship Id="rId44" Type="http://schemas.openxmlformats.org/officeDocument/2006/relationships/oleObject" Target="embeddings/oleObject15.bin"/><Relationship Id="rId52" Type="http://schemas.openxmlformats.org/officeDocument/2006/relationships/image" Target="media/image2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23</Pages>
  <Words>4494</Words>
  <Characters>25619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Kiranmai</dc:creator>
  <cp:keywords/>
  <dc:description/>
  <cp:lastModifiedBy>PGCHEM STAFFROOM</cp:lastModifiedBy>
  <cp:revision>3</cp:revision>
  <dcterms:created xsi:type="dcterms:W3CDTF">2023-09-07T17:14:00Z</dcterms:created>
  <dcterms:modified xsi:type="dcterms:W3CDTF">2023-09-20T06:38:00Z</dcterms:modified>
</cp:coreProperties>
</file>