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0B22" w14:textId="1716ECBA" w:rsidR="00BB3C2A" w:rsidRPr="00BB3C2A" w:rsidRDefault="00BB3C2A" w:rsidP="00BB3C2A">
      <w:pPr>
        <w:jc w:val="center"/>
        <w:rPr>
          <w:rFonts w:ascii="Times New Roman" w:hAnsi="Times New Roman" w:cs="Times New Roman"/>
          <w:sz w:val="28"/>
          <w:szCs w:val="28"/>
        </w:rPr>
      </w:pPr>
      <w:r w:rsidRPr="00BB3C2A">
        <w:rPr>
          <w:rFonts w:ascii="Times New Roman" w:hAnsi="Times New Roman" w:cs="Times New Roman"/>
          <w:sz w:val="28"/>
          <w:szCs w:val="28"/>
        </w:rPr>
        <w:t>Materials in Medicine: Advancements, Applications, and Innovations</w:t>
      </w:r>
    </w:p>
    <w:p w14:paraId="24291F5F" w14:textId="77777777" w:rsidR="00BB3C2A" w:rsidRPr="00BB3C2A" w:rsidRDefault="00BB3C2A" w:rsidP="00BB3C2A">
      <w:pPr>
        <w:jc w:val="center"/>
        <w:rPr>
          <w:rFonts w:ascii="Times New Roman" w:hAnsi="Times New Roman" w:cs="Times New Roman"/>
          <w:sz w:val="24"/>
          <w:szCs w:val="24"/>
        </w:rPr>
      </w:pPr>
    </w:p>
    <w:p w14:paraId="1E5E0F64" w14:textId="77777777" w:rsidR="00BB3C2A" w:rsidRPr="00BB3C2A" w:rsidRDefault="00BB3C2A" w:rsidP="00BB3C2A">
      <w:pPr>
        <w:rPr>
          <w:rFonts w:ascii="Times New Roman" w:hAnsi="Times New Roman" w:cs="Times New Roman"/>
          <w:b/>
          <w:bCs/>
          <w:sz w:val="24"/>
          <w:szCs w:val="24"/>
        </w:rPr>
      </w:pPr>
      <w:r w:rsidRPr="00BB3C2A">
        <w:rPr>
          <w:rFonts w:ascii="Times New Roman" w:hAnsi="Times New Roman" w:cs="Times New Roman"/>
          <w:b/>
          <w:bCs/>
          <w:sz w:val="24"/>
          <w:szCs w:val="24"/>
        </w:rPr>
        <w:t>Introduction</w:t>
      </w:r>
    </w:p>
    <w:p w14:paraId="1981225B"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Materials have played a pivotal role in the field of medicine since its inception. From ancient civilizations using natural materials for wound dressings to the modern era of sophisticated biomaterials and nanotechnology, the relationship between materials and medicine has evolved dramatically. This article explores the crucial role of materials in medicine, examining their historical significance, contemporary applications, and future innovations. Through the lens of various materials, we will delve into their contributions to medical devices, drug delivery systems, tissue engineering, and diagnostics, supported by relevant references and case studies.</w:t>
      </w:r>
    </w:p>
    <w:p w14:paraId="0A0FCB4A" w14:textId="77777777" w:rsidR="00BB3C2A" w:rsidRPr="00BB3C2A" w:rsidRDefault="00BB3C2A" w:rsidP="00BB3C2A">
      <w:pPr>
        <w:rPr>
          <w:rFonts w:ascii="Times New Roman" w:hAnsi="Times New Roman" w:cs="Times New Roman"/>
          <w:b/>
          <w:bCs/>
          <w:sz w:val="24"/>
          <w:szCs w:val="24"/>
        </w:rPr>
      </w:pPr>
      <w:r w:rsidRPr="00BB3C2A">
        <w:rPr>
          <w:rFonts w:ascii="Times New Roman" w:hAnsi="Times New Roman" w:cs="Times New Roman"/>
          <w:b/>
          <w:bCs/>
          <w:sz w:val="24"/>
          <w:szCs w:val="24"/>
        </w:rPr>
        <w:t>I. Historical Significance of Materials in Medicine</w:t>
      </w:r>
    </w:p>
    <w:p w14:paraId="1AF67B46"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 xml:space="preserve">1.1 Ancient Civilizations and Natural Materials </w:t>
      </w:r>
      <w:proofErr w:type="spellStart"/>
      <w:r w:rsidRPr="00BB3C2A">
        <w:rPr>
          <w:rFonts w:ascii="Times New Roman" w:hAnsi="Times New Roman" w:cs="Times New Roman"/>
          <w:sz w:val="24"/>
          <w:szCs w:val="24"/>
        </w:rPr>
        <w:t>Materials</w:t>
      </w:r>
      <w:proofErr w:type="spellEnd"/>
      <w:r w:rsidRPr="00BB3C2A">
        <w:rPr>
          <w:rFonts w:ascii="Times New Roman" w:hAnsi="Times New Roman" w:cs="Times New Roman"/>
          <w:sz w:val="24"/>
          <w:szCs w:val="24"/>
        </w:rPr>
        <w:t xml:space="preserve"> have been integral to medical practices for thousands of years. Ancient civilizations, such as the Egyptians and Greeks, used natural materials like linen, honey, and various plant extracts for wound dressings and treatments. The knowledge of these materials laid the foundation for modern wound care.</w:t>
      </w:r>
    </w:p>
    <w:p w14:paraId="7CE3F867"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1.2 Early Surgical Instruments The development of surgical instruments saw the use of materials like bronze and iron in ancient times. These rudimentary tools have evolved into advanced surgical instruments made from stainless steel, titanium, and other alloys with enhanced strength, durability, and biocompatibility.</w:t>
      </w:r>
    </w:p>
    <w:p w14:paraId="50BD8EAA"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1.3 The Renaissance and the Birth of Biocompatible Materials During the Renaissance, pioneers like Ambroise Paré introduced the use of silver in wound care. This marked a shift towards biocompatible materials. The discovery of biocompatible polymers, such as silicone, in the mid-20th century paved the way for implants and prosthetics.</w:t>
      </w:r>
    </w:p>
    <w:p w14:paraId="1316E45B" w14:textId="77777777" w:rsidR="00BB3C2A" w:rsidRPr="00BB3C2A" w:rsidRDefault="00BB3C2A" w:rsidP="00BB3C2A">
      <w:pPr>
        <w:rPr>
          <w:rFonts w:ascii="Times New Roman" w:hAnsi="Times New Roman" w:cs="Times New Roman"/>
          <w:b/>
          <w:bCs/>
          <w:sz w:val="24"/>
          <w:szCs w:val="24"/>
        </w:rPr>
      </w:pPr>
      <w:r w:rsidRPr="00BB3C2A">
        <w:rPr>
          <w:rFonts w:ascii="Times New Roman" w:hAnsi="Times New Roman" w:cs="Times New Roman"/>
          <w:b/>
          <w:bCs/>
          <w:sz w:val="24"/>
          <w:szCs w:val="24"/>
        </w:rPr>
        <w:t>II. Contemporary Applications of Materials in Medicine</w:t>
      </w:r>
    </w:p>
    <w:p w14:paraId="70432D4E"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2.1 Biomaterials for Implants and Prosthetics Modern medicine heavily relies on biomaterials for various implants, ranging from joint replacements to dental implants. Materials like titanium, hydroxyapatite, and biodegradable polymers have revolutionized patient care by providing strong and biocompatible options.</w:t>
      </w:r>
    </w:p>
    <w:p w14:paraId="5C2DF6A8"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2.2 Drug Delivery Systems Materials have transformed drug delivery, enabling precise control over the release of medications. Nanoparticles, liposomes, and hydrogels have been designed to improve drug efficacy and minimize side effects. Case study: Liposomal Doxorubicin in cancer treatment.</w:t>
      </w:r>
    </w:p>
    <w:p w14:paraId="6A5C6578"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2.3 Tissue Engineering Materials play a pivotal role in tissue engineering, a promising field that aims to regenerate damaged or lost tissues. Scaffolds made from biocompatible polymers guide cell growth and tissue formation. The development of artificial organs and tissues is now within reach. Case study: 3D-printed bone scaffolds.</w:t>
      </w:r>
    </w:p>
    <w:p w14:paraId="75AD8FA5"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 xml:space="preserve">2.4 Medical Devices Materials are essential for the fabrication of various medical devices, such as pacemakers, stents, and catheters. Advancements in materials science have enhanced </w:t>
      </w:r>
      <w:r w:rsidRPr="00BB3C2A">
        <w:rPr>
          <w:rFonts w:ascii="Times New Roman" w:hAnsi="Times New Roman" w:cs="Times New Roman"/>
          <w:sz w:val="24"/>
          <w:szCs w:val="24"/>
        </w:rPr>
        <w:lastRenderedPageBreak/>
        <w:t>the performance and biocompatibility of these devices, improving patient outcomes. Case study: Nitinol stents for cardiovascular applications.</w:t>
      </w:r>
    </w:p>
    <w:p w14:paraId="1E6CB217"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2.5 Diagnostic Tools The materials used in diagnostic tools, such as biosensors and imaging agents, are critical for accurate and timely medical assessments. Quantum dots, nanomaterials, and functionalized nanoparticles have expanded the capabilities of diagnostic tests. Case study: Magnetic resonance imaging (MRI) contrast agents.</w:t>
      </w:r>
    </w:p>
    <w:p w14:paraId="4AF8EDA7" w14:textId="77777777" w:rsidR="00BB3C2A" w:rsidRPr="00BB3C2A" w:rsidRDefault="00BB3C2A" w:rsidP="00BB3C2A">
      <w:pPr>
        <w:rPr>
          <w:rFonts w:ascii="Times New Roman" w:hAnsi="Times New Roman" w:cs="Times New Roman"/>
          <w:b/>
          <w:bCs/>
          <w:sz w:val="24"/>
          <w:szCs w:val="24"/>
        </w:rPr>
      </w:pPr>
      <w:r w:rsidRPr="00BB3C2A">
        <w:rPr>
          <w:rFonts w:ascii="Times New Roman" w:hAnsi="Times New Roman" w:cs="Times New Roman"/>
          <w:b/>
          <w:bCs/>
          <w:sz w:val="24"/>
          <w:szCs w:val="24"/>
        </w:rPr>
        <w:t>III. Future Innovations in Materials for Medicine</w:t>
      </w:r>
    </w:p>
    <w:p w14:paraId="4AC1FC94"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3.1 Nanotechnology in Medicine Nanotechnology holds immense promise in medicine, with nanoparticles and nanocomposites being researched for targeted drug delivery, imaging, and diagnostics. The utilization of nanomaterials like carbon nanotubes and quantum dots opens new frontiers in medical applications.</w:t>
      </w:r>
    </w:p>
    <w:p w14:paraId="0F039C99"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3.2 Smart Materials and Devices The integration of smart materials, such as shape memory alloys and conductive polymers, into medical devices allows for real-time monitoring and adaptive responses. These materials hold potential for wearable devices, personalized medicine, and smart prosthetics.</w:t>
      </w:r>
    </w:p>
    <w:p w14:paraId="189B6377"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3.3 Bioinks and 3D Printing Advancements in 3D printing technology, along with bioinks composed of living cells and biocompatible materials, enable the fabrication of complex tissues and organs. This innovation has the potential to revolutionize organ transplantation and personalized medicine.</w:t>
      </w:r>
    </w:p>
    <w:p w14:paraId="1C438375"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3.4 Materials for Regenerative Medicine Stem cell research, combined with specialized materials, holds the key to regenerating damaged tissues and organs. Materials that mimic the extracellular matrix and promote tissue regeneration are at the forefront of regenerative medicine.</w:t>
      </w:r>
    </w:p>
    <w:p w14:paraId="6516CDF5" w14:textId="77777777" w:rsidR="00BB3C2A" w:rsidRPr="00BB3C2A" w:rsidRDefault="00BB3C2A" w:rsidP="00BB3C2A">
      <w:pPr>
        <w:rPr>
          <w:rFonts w:ascii="Times New Roman" w:hAnsi="Times New Roman" w:cs="Times New Roman"/>
          <w:b/>
          <w:bCs/>
          <w:sz w:val="24"/>
          <w:szCs w:val="24"/>
        </w:rPr>
      </w:pPr>
      <w:r w:rsidRPr="00BB3C2A">
        <w:rPr>
          <w:rFonts w:ascii="Times New Roman" w:hAnsi="Times New Roman" w:cs="Times New Roman"/>
          <w:b/>
          <w:bCs/>
          <w:sz w:val="24"/>
          <w:szCs w:val="24"/>
        </w:rPr>
        <w:t>Conclusion</w:t>
      </w:r>
    </w:p>
    <w:p w14:paraId="36E82185"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Materials in medicine have come a long way, from ancient civilizations using natural resources to the cutting-edge innovations of today's nanotechnology and smart materials. These materials have transformed medical practices, leading to more effective treatments, better patient outcomes, and improved quality of life.</w:t>
      </w:r>
    </w:p>
    <w:p w14:paraId="025ACC47"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As we continue to push the boundaries of materials science, the future of medicine holds exciting possibilities. Nanotechnology, smart materials, 3D printing, and regenerative medicine are just a few examples of areas where materials will play a pivotal role in shaping the healthcare landscape.</w:t>
      </w:r>
    </w:p>
    <w:p w14:paraId="705B74EA" w14:textId="77777777" w:rsid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t>In conclusion, the synergy between materials and medicine will persist, driving advancements that benefit humanity. By harnessing the potential of materials in innovative ways, we can look forward to a future where healthcare is more personalized, precise, and accessible than ever before.</w:t>
      </w:r>
    </w:p>
    <w:p w14:paraId="4DD96E05" w14:textId="77777777" w:rsidR="00BB3C2A" w:rsidRDefault="00BB3C2A" w:rsidP="00BB3C2A">
      <w:pPr>
        <w:rPr>
          <w:rFonts w:ascii="Times New Roman" w:hAnsi="Times New Roman" w:cs="Times New Roman"/>
          <w:sz w:val="24"/>
          <w:szCs w:val="24"/>
        </w:rPr>
      </w:pPr>
    </w:p>
    <w:p w14:paraId="2BF92EDC" w14:textId="77777777" w:rsidR="00BB3C2A" w:rsidRDefault="00BB3C2A" w:rsidP="00BB3C2A">
      <w:pPr>
        <w:rPr>
          <w:rFonts w:ascii="Times New Roman" w:hAnsi="Times New Roman" w:cs="Times New Roman"/>
          <w:sz w:val="24"/>
          <w:szCs w:val="24"/>
        </w:rPr>
      </w:pPr>
    </w:p>
    <w:p w14:paraId="1C5FAA7F" w14:textId="77777777" w:rsidR="00BB3C2A" w:rsidRPr="00BB3C2A" w:rsidRDefault="00BB3C2A" w:rsidP="00BB3C2A">
      <w:pPr>
        <w:rPr>
          <w:rFonts w:ascii="Times New Roman" w:hAnsi="Times New Roman" w:cs="Times New Roman"/>
          <w:sz w:val="24"/>
          <w:szCs w:val="24"/>
        </w:rPr>
      </w:pPr>
    </w:p>
    <w:p w14:paraId="7FA12CE4" w14:textId="77777777" w:rsidR="00BB3C2A" w:rsidRPr="00BB3C2A" w:rsidRDefault="00BB3C2A" w:rsidP="00BB3C2A">
      <w:pPr>
        <w:rPr>
          <w:rFonts w:ascii="Times New Roman" w:hAnsi="Times New Roman" w:cs="Times New Roman"/>
          <w:sz w:val="24"/>
          <w:szCs w:val="24"/>
        </w:rPr>
      </w:pPr>
      <w:r w:rsidRPr="00BB3C2A">
        <w:rPr>
          <w:rFonts w:ascii="Times New Roman" w:hAnsi="Times New Roman" w:cs="Times New Roman"/>
          <w:sz w:val="24"/>
          <w:szCs w:val="24"/>
        </w:rPr>
        <w:lastRenderedPageBreak/>
        <w:t>References</w:t>
      </w:r>
    </w:p>
    <w:p w14:paraId="65442FB8"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Ratner, B. D., &amp; Bryant, S. J. (2004). Biomaterials: Where We Have Been and Where We Are Going. Annual Review of Biomedical Engineering, 6, 41-75.</w:t>
      </w:r>
    </w:p>
    <w:p w14:paraId="03E7A0A8"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Langer, R., &amp; Vacanti, J. P. (1993). Tissue Engineering. Science, 260(5110), 920-926.</w:t>
      </w:r>
    </w:p>
    <w:p w14:paraId="680AF557"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Zhang, L., Cao, Z., Bai, T., Carr, L., &amp; Ella-Menye, J. R. (2013). Zwitterionic hydrogels implanted in mice resist the foreign-body reaction. Nature Biotechnology, 31(6), 553-556.</w:t>
      </w:r>
    </w:p>
    <w:p w14:paraId="0773002C"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Ferrari, M. (2005). Cancer nanotechnology: opportunities and challenges. Nature Reviews Cancer, 5(3), 161-171.</w:t>
      </w:r>
    </w:p>
    <w:p w14:paraId="61DA4B3C"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Mironov, V., &amp; Forgacs, G. (2009). Organ printing: Computer-aided jet-based 3D tissue engineering. Trends in Biotechnology, 27(12), 672-679.</w:t>
      </w:r>
    </w:p>
    <w:p w14:paraId="0E851FEE"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Atala, A. (2012). Engineering organs. Current Opinion in Biotechnology, 23(5), 665-673.</w:t>
      </w:r>
    </w:p>
    <w:p w14:paraId="2426ACDA"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Mitragotri, S., Burke, P. A., &amp; Langer, R. (2014). Overcoming the challenges in administering biopharmaceuticals: formulation and delivery strategies. Nature Reviews Drug Discovery, 13(9), 655-672.</w:t>
      </w:r>
    </w:p>
    <w:p w14:paraId="7AC1F44B"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Lee, S., Rho, J., &amp; Kim, Y. (2008). Piezoelectric effect on the generation of biological electrical signals by bone. Biosensors and Bioelectronics, 23(5), 979-984.</w:t>
      </w:r>
    </w:p>
    <w:p w14:paraId="7DC5DDEC" w14:textId="77777777" w:rsidR="00BB3C2A" w:rsidRPr="00BB3C2A" w:rsidRDefault="00BB3C2A" w:rsidP="00BB3C2A">
      <w:pPr>
        <w:numPr>
          <w:ilvl w:val="0"/>
          <w:numId w:val="1"/>
        </w:numPr>
        <w:rPr>
          <w:rFonts w:ascii="Times New Roman" w:hAnsi="Times New Roman" w:cs="Times New Roman"/>
          <w:sz w:val="24"/>
          <w:szCs w:val="24"/>
        </w:rPr>
      </w:pPr>
      <w:proofErr w:type="spellStart"/>
      <w:r w:rsidRPr="00BB3C2A">
        <w:rPr>
          <w:rFonts w:ascii="Times New Roman" w:hAnsi="Times New Roman" w:cs="Times New Roman"/>
          <w:sz w:val="24"/>
          <w:szCs w:val="24"/>
        </w:rPr>
        <w:t>Farokhzad</w:t>
      </w:r>
      <w:proofErr w:type="spellEnd"/>
      <w:r w:rsidRPr="00BB3C2A">
        <w:rPr>
          <w:rFonts w:ascii="Times New Roman" w:hAnsi="Times New Roman" w:cs="Times New Roman"/>
          <w:sz w:val="24"/>
          <w:szCs w:val="24"/>
        </w:rPr>
        <w:t>, O. C., &amp; Langer, R. (2009). Impact of nanotechnology on drug delivery. ACS Nano, 3(1), 16-20.</w:t>
      </w:r>
    </w:p>
    <w:p w14:paraId="2ADFB087" w14:textId="77777777" w:rsidR="00BB3C2A" w:rsidRPr="00BB3C2A" w:rsidRDefault="00BB3C2A" w:rsidP="00BB3C2A">
      <w:pPr>
        <w:numPr>
          <w:ilvl w:val="0"/>
          <w:numId w:val="1"/>
        </w:numPr>
        <w:rPr>
          <w:rFonts w:ascii="Times New Roman" w:hAnsi="Times New Roman" w:cs="Times New Roman"/>
          <w:sz w:val="24"/>
          <w:szCs w:val="24"/>
        </w:rPr>
      </w:pPr>
      <w:r w:rsidRPr="00BB3C2A">
        <w:rPr>
          <w:rFonts w:ascii="Times New Roman" w:hAnsi="Times New Roman" w:cs="Times New Roman"/>
          <w:sz w:val="24"/>
          <w:szCs w:val="24"/>
        </w:rPr>
        <w:t xml:space="preserve">Peer, D., Karp, J. M., Hong, S., </w:t>
      </w:r>
      <w:proofErr w:type="spellStart"/>
      <w:r w:rsidRPr="00BB3C2A">
        <w:rPr>
          <w:rFonts w:ascii="Times New Roman" w:hAnsi="Times New Roman" w:cs="Times New Roman"/>
          <w:sz w:val="24"/>
          <w:szCs w:val="24"/>
        </w:rPr>
        <w:t>Farokhzad</w:t>
      </w:r>
      <w:proofErr w:type="spellEnd"/>
      <w:r w:rsidRPr="00BB3C2A">
        <w:rPr>
          <w:rFonts w:ascii="Times New Roman" w:hAnsi="Times New Roman" w:cs="Times New Roman"/>
          <w:sz w:val="24"/>
          <w:szCs w:val="24"/>
        </w:rPr>
        <w:t>, O. C., Margalit, R., &amp; Langer, R. (2007). Nanocarriers as an emerging platform for cancer therapy. Nature Nanotechnology, 2(12), 751-760.</w:t>
      </w:r>
    </w:p>
    <w:p w14:paraId="2248B230" w14:textId="77777777" w:rsidR="00C561F0" w:rsidRPr="00BB3C2A" w:rsidRDefault="00C561F0">
      <w:pPr>
        <w:rPr>
          <w:rFonts w:ascii="Times New Roman" w:hAnsi="Times New Roman" w:cs="Times New Roman"/>
          <w:sz w:val="24"/>
          <w:szCs w:val="24"/>
        </w:rPr>
      </w:pPr>
    </w:p>
    <w:sectPr w:rsidR="00C561F0" w:rsidRPr="00BB3C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C4782"/>
    <w:multiLevelType w:val="multilevel"/>
    <w:tmpl w:val="F45A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784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87"/>
    <w:rsid w:val="00BB3C2A"/>
    <w:rsid w:val="00C561F0"/>
    <w:rsid w:val="00E74C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553D"/>
  <w15:chartTrackingRefBased/>
  <w15:docId w15:val="{1BC03165-1CDD-4BE5-A1CA-DE3F434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954087">
      <w:bodyDiv w:val="1"/>
      <w:marLeft w:val="0"/>
      <w:marRight w:val="0"/>
      <w:marTop w:val="0"/>
      <w:marBottom w:val="0"/>
      <w:divBdr>
        <w:top w:val="none" w:sz="0" w:space="0" w:color="auto"/>
        <w:left w:val="none" w:sz="0" w:space="0" w:color="auto"/>
        <w:bottom w:val="none" w:sz="0" w:space="0" w:color="auto"/>
        <w:right w:val="none" w:sz="0" w:space="0" w:color="auto"/>
      </w:divBdr>
    </w:div>
    <w:div w:id="18508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2023-09-02T05:07:00Z</dcterms:created>
  <dcterms:modified xsi:type="dcterms:W3CDTF">2023-09-02T05:09:00Z</dcterms:modified>
</cp:coreProperties>
</file>