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59750" w14:textId="228C0358" w:rsidR="008A55B5" w:rsidRDefault="007850BA" w:rsidP="001E64C4">
      <w:pPr>
        <w:pStyle w:val="papertitle"/>
        <w:spacing w:after="0"/>
      </w:pPr>
      <w:r>
        <w:t xml:space="preserve">A Study On Hydraulic Fracturing </w:t>
      </w:r>
      <w:r>
        <w:rPr>
          <w:spacing w:val="-1"/>
        </w:rPr>
        <w:t>A</w:t>
      </w:r>
      <w:r>
        <w:t>nalysis</w:t>
      </w:r>
      <w:r>
        <w:rPr>
          <w:spacing w:val="1"/>
        </w:rPr>
        <w:t xml:space="preserve"> </w:t>
      </w:r>
      <w:r>
        <w:t>Using FRACPRO</w:t>
      </w:r>
    </w:p>
    <w:p w14:paraId="1B5A9582" w14:textId="77777777" w:rsidR="00466548" w:rsidRDefault="00466548" w:rsidP="00466548">
      <w:pPr>
        <w:pStyle w:val="papertitle"/>
        <w:spacing w:after="0"/>
        <w:rPr>
          <w:rFonts w:eastAsia="MS Mincho"/>
          <w:sz w:val="20"/>
          <w:szCs w:val="20"/>
        </w:rPr>
      </w:pPr>
    </w:p>
    <w:p w14:paraId="5B68AB29" w14:textId="6A158841" w:rsidR="005D5D8C" w:rsidRDefault="005D5D8C" w:rsidP="00466548">
      <w:pPr>
        <w:pStyle w:val="papertitle"/>
        <w:spacing w:after="0"/>
        <w:rPr>
          <w:rFonts w:eastAsia="MS Mincho"/>
          <w:sz w:val="20"/>
          <w:szCs w:val="20"/>
        </w:rPr>
      </w:pPr>
      <w:r>
        <w:rPr>
          <w:rFonts w:eastAsia="MS Mincho"/>
          <w:sz w:val="20"/>
          <w:szCs w:val="20"/>
        </w:rPr>
        <w:t>Devanandan Gogoi and Dhrubajyoti Neog</w:t>
      </w:r>
    </w:p>
    <w:p w14:paraId="75DEAD5E" w14:textId="084760D4" w:rsidR="005D5D8C" w:rsidRPr="005D5D8C" w:rsidRDefault="005D5D8C" w:rsidP="00466548">
      <w:pPr>
        <w:pStyle w:val="papertitle"/>
        <w:spacing w:after="0"/>
        <w:rPr>
          <w:rFonts w:eastAsia="MS Mincho"/>
          <w:sz w:val="20"/>
          <w:szCs w:val="20"/>
        </w:rPr>
      </w:pPr>
      <w:r>
        <w:rPr>
          <w:rFonts w:eastAsia="MS Mincho"/>
          <w:sz w:val="20"/>
          <w:szCs w:val="20"/>
        </w:rPr>
        <w:t>Department of Petroleum Technology, Dibrugarh University, Dibrugarh, India</w:t>
      </w:r>
    </w:p>
    <w:p w14:paraId="7D264D9A" w14:textId="77777777" w:rsidR="008A55B5" w:rsidRPr="00466548" w:rsidRDefault="008A55B5" w:rsidP="00466548">
      <w:pPr>
        <w:rPr>
          <w:rFonts w:eastAsia="MS Mincho"/>
        </w:rPr>
      </w:pPr>
    </w:p>
    <w:p w14:paraId="417C01AF"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68094907" w14:textId="77777777" w:rsidR="00466548" w:rsidRPr="00466548" w:rsidRDefault="00466548" w:rsidP="00466548">
      <w:pPr>
        <w:pStyle w:val="Affiliation"/>
        <w:rPr>
          <w:rFonts w:eastAsia="MS Mincho"/>
        </w:rPr>
      </w:pPr>
    </w:p>
    <w:p w14:paraId="147F232A"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6C74B50F"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74B4B1D6" w14:textId="42B16DC6" w:rsidR="00FB1218" w:rsidRPr="00FB1218" w:rsidRDefault="00AE1811" w:rsidP="000A0009">
      <w:pPr>
        <w:ind w:firstLine="720"/>
        <w:jc w:val="both"/>
      </w:pPr>
      <w:r>
        <w:t>One of the most promising and economic-stimulating operations in the hydrocarbon industry is hydraulic fracturing. The size and concentration of proppants, fracture geometry, conductivity, and pump rate are just a few of the many variables that affect how hydraulic fracturing operations are designed.</w:t>
      </w:r>
      <w:r w:rsidR="00CF30C1">
        <w:t xml:space="preserve"> Other important parameters are the depth and thickness of reservoirs, faults, and natural fractures, which can vary significantly from location to location. All play a significant role and affect the reservoir's properties. The current work presents an extensive study on Hydraulic Fracturing design, which is based on the selection of proppants, hydraulic fracturing fluid, fracture model, and treatment size. Also, this study incorporates an analysis of the induced fractures using </w:t>
      </w:r>
      <w:proofErr w:type="spellStart"/>
      <w:r w:rsidR="00CF30C1">
        <w:t>FracPro</w:t>
      </w:r>
      <w:proofErr w:type="spellEnd"/>
      <w:r w:rsidR="00CF30C1">
        <w:t xml:space="preserve"> software to study the induced fracture conductivity for enhancing crude oil production.</w:t>
      </w:r>
    </w:p>
    <w:p w14:paraId="4EAFC824" w14:textId="77777777" w:rsidR="007C1D53" w:rsidRDefault="007C1D53" w:rsidP="00466548">
      <w:pPr>
        <w:pStyle w:val="keywords"/>
        <w:spacing w:after="0"/>
        <w:ind w:firstLine="0"/>
        <w:rPr>
          <w:rFonts w:eastAsia="MS Mincho"/>
          <w:i w:val="0"/>
          <w:sz w:val="20"/>
          <w:szCs w:val="20"/>
        </w:rPr>
      </w:pPr>
    </w:p>
    <w:p w14:paraId="1EB7B652" w14:textId="29842C9A"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5A00C6">
        <w:rPr>
          <w:rFonts w:eastAsia="MS Mincho"/>
          <w:b w:val="0"/>
          <w:i w:val="0"/>
          <w:sz w:val="20"/>
          <w:szCs w:val="20"/>
        </w:rPr>
        <w:t>hydraulic fracturing; FRACPRO, stimulation; sandstone; formation; conductivity</w:t>
      </w:r>
    </w:p>
    <w:p w14:paraId="08DA28C1" w14:textId="77777777" w:rsidR="00466548" w:rsidRPr="00466548" w:rsidRDefault="00466548" w:rsidP="00466548">
      <w:pPr>
        <w:pStyle w:val="keywords"/>
        <w:spacing w:after="0"/>
        <w:ind w:firstLine="0"/>
        <w:rPr>
          <w:rFonts w:eastAsia="MS Mincho"/>
          <w:b w:val="0"/>
          <w:i w:val="0"/>
          <w:sz w:val="20"/>
          <w:szCs w:val="20"/>
        </w:rPr>
      </w:pPr>
    </w:p>
    <w:p w14:paraId="345A3A19" w14:textId="77777777" w:rsidR="008A55B5" w:rsidRPr="00402841" w:rsidRDefault="00402841" w:rsidP="00466548">
      <w:pPr>
        <w:pStyle w:val="Heading1"/>
        <w:spacing w:before="0" w:after="0"/>
        <w:rPr>
          <w:rFonts w:eastAsia="MS Mincho"/>
        </w:rPr>
      </w:pPr>
      <w:r w:rsidRPr="00402841">
        <w:rPr>
          <w:rFonts w:ascii="Times New Roman" w:eastAsia="MS Mincho" w:hAnsi="Times New Roman"/>
          <w:sz w:val="20"/>
          <w:szCs w:val="20"/>
        </w:rPr>
        <w:t xml:space="preserve"> INTRODUCTION </w:t>
      </w:r>
    </w:p>
    <w:p w14:paraId="04739D96" w14:textId="77777777" w:rsidR="00466548" w:rsidRPr="00466548" w:rsidRDefault="00466548" w:rsidP="00466548">
      <w:pPr>
        <w:rPr>
          <w:rFonts w:eastAsia="MS Mincho"/>
        </w:rPr>
      </w:pPr>
    </w:p>
    <w:p w14:paraId="328AF00B" w14:textId="58E3694A" w:rsidR="009139E0" w:rsidRDefault="006B577B" w:rsidP="004D4EB2">
      <w:pPr>
        <w:pStyle w:val="BodyText"/>
        <w:spacing w:after="0" w:line="240" w:lineRule="auto"/>
        <w:ind w:firstLine="0"/>
      </w:pPr>
      <w:r>
        <w:tab/>
      </w:r>
      <w:r>
        <w:tab/>
      </w:r>
      <w:r w:rsidR="002934A1">
        <w:t>Hydraulic fracturing is employed in the economically viable production of crude oil and natural gas from unconventional reservoirs like shale gas, tight gas, or low-permeability reservoirs.</w:t>
      </w:r>
      <w:r w:rsidR="00707EC8">
        <w:t xml:space="preserve"> Hydraulic Fracturing typically involves fracturing the formation first and then keeping it open using proppants. </w:t>
      </w:r>
      <w:r w:rsidR="003A5180">
        <w:t>The formation rock is broken in the process by the use of fracturing fluids, which primarily comprise water, chemical additives, and particles (proppant).</w:t>
      </w:r>
      <w:r w:rsidR="00707EC8">
        <w:t xml:space="preserve"> </w:t>
      </w:r>
      <w:r w:rsidR="005F49AE">
        <w:t>One of the key elements that controls the fracture's conductivity is the proppants [1].</w:t>
      </w:r>
      <w:r w:rsidR="00707EC8">
        <w:t xml:space="preserve"> </w:t>
      </w:r>
      <w:r w:rsidR="00D401E7">
        <w:t>To keep the fracture open and maintain fluid flow into the wellbore, the proppants are moved inside the formation.</w:t>
      </w:r>
      <w:r w:rsidR="00707EC8">
        <w:t xml:space="preserve"> </w:t>
      </w:r>
      <w:r w:rsidR="00353355">
        <w:t>Additionally, the choice of an appropriate proppant material and the design of the hydraulic fracturing fluid are both essential and can differ greatly from formation to formation.</w:t>
      </w:r>
      <w:r w:rsidR="00B936D1">
        <w:t xml:space="preserve"> </w:t>
      </w:r>
      <w:r w:rsidR="004D4EB2">
        <w:t>Increases in the productivity index of a producing well or the injectivity index of an injection well are achieved through hydraulic fracture treatments. Hydraulic fracturing may increase the flow rate of low-permeability reservoirs, restore damaged formation productivity, and reduce the pressure drop in the wellbore.</w:t>
      </w:r>
      <w:r w:rsidR="004D4EB2">
        <w:t xml:space="preserve"> </w:t>
      </w:r>
      <w:r w:rsidR="009A1B92">
        <w:t>Testing proppant is essential to determining when the proppant may fail and the effect of closure pressure on proppant during hydraulic fracturing [2] and [3]. This is also required to ensure that proppants provide better conductivity or pore channels after fracturing [4].</w:t>
      </w:r>
      <w:r w:rsidR="00EF70B6">
        <w:t xml:space="preserve"> </w:t>
      </w:r>
    </w:p>
    <w:p w14:paraId="402C24CA" w14:textId="77777777" w:rsidR="00B83435" w:rsidRDefault="00B83435" w:rsidP="00B83435">
      <w:pPr>
        <w:jc w:val="both"/>
      </w:pPr>
    </w:p>
    <w:p w14:paraId="2EF45BA2" w14:textId="77777777" w:rsidR="00466548" w:rsidRPr="00466548" w:rsidRDefault="00466548" w:rsidP="00466548">
      <w:pPr>
        <w:pStyle w:val="BodyText"/>
        <w:spacing w:after="0" w:line="240" w:lineRule="auto"/>
        <w:ind w:firstLine="0"/>
      </w:pPr>
    </w:p>
    <w:p w14:paraId="6F6C2E1D" w14:textId="3289C1D7" w:rsidR="008A55B5" w:rsidRDefault="0040043A" w:rsidP="00466548">
      <w:pPr>
        <w:pStyle w:val="Heading1"/>
        <w:spacing w:before="0" w:after="0"/>
        <w:rPr>
          <w:rFonts w:ascii="Times New Roman" w:hAnsi="Times New Roman"/>
          <w:sz w:val="20"/>
          <w:szCs w:val="20"/>
        </w:rPr>
      </w:pPr>
      <w:r w:rsidRPr="0040043A">
        <w:rPr>
          <w:rFonts w:ascii="Times New Roman" w:hAnsi="Times New Roman"/>
          <w:sz w:val="20"/>
          <w:szCs w:val="20"/>
        </w:rPr>
        <w:t>SELECTION</w:t>
      </w:r>
      <w:r w:rsidRPr="0040043A">
        <w:rPr>
          <w:rFonts w:ascii="Times New Roman" w:hAnsi="Times New Roman"/>
          <w:spacing w:val="-1"/>
          <w:sz w:val="20"/>
          <w:szCs w:val="20"/>
        </w:rPr>
        <w:t xml:space="preserve"> </w:t>
      </w:r>
      <w:r w:rsidRPr="0040043A">
        <w:rPr>
          <w:rFonts w:ascii="Times New Roman" w:hAnsi="Times New Roman"/>
          <w:sz w:val="20"/>
          <w:szCs w:val="20"/>
        </w:rPr>
        <w:t>OF</w:t>
      </w:r>
      <w:r w:rsidRPr="0040043A">
        <w:rPr>
          <w:rFonts w:ascii="Times New Roman" w:hAnsi="Times New Roman"/>
          <w:spacing w:val="-1"/>
          <w:sz w:val="20"/>
          <w:szCs w:val="20"/>
        </w:rPr>
        <w:t xml:space="preserve"> </w:t>
      </w:r>
      <w:r w:rsidRPr="0040043A">
        <w:rPr>
          <w:rFonts w:ascii="Times New Roman" w:hAnsi="Times New Roman"/>
          <w:sz w:val="20"/>
          <w:szCs w:val="20"/>
        </w:rPr>
        <w:t>PROPPANTS</w:t>
      </w:r>
    </w:p>
    <w:p w14:paraId="63BA0594" w14:textId="4DA7FCFA" w:rsidR="00DB331D" w:rsidRPr="00DB331D" w:rsidRDefault="00812227" w:rsidP="0091059A">
      <w:pPr>
        <w:ind w:firstLine="720"/>
        <w:jc w:val="both"/>
        <w:rPr>
          <w:rFonts w:eastAsia="MS Mincho"/>
        </w:rPr>
      </w:pPr>
      <w:r>
        <w:t xml:space="preserve">In the current work, the selection of proppant followed the standard ISO 13503-2 requirements for the sand sample procured from Gujarat, India. </w:t>
      </w:r>
      <w:r w:rsidR="00FD0100" w:rsidRPr="00FD0100">
        <w:t>Crush resistance, sphericity and roundness, turbidity, acid solubility, densities, and sieve analysis make up the foundation of this standard [1, 2].</w:t>
      </w:r>
    </w:p>
    <w:p w14:paraId="24320DB1" w14:textId="77777777" w:rsidR="00466548" w:rsidRPr="00466548" w:rsidRDefault="00466548" w:rsidP="00466548">
      <w:pPr>
        <w:rPr>
          <w:rFonts w:eastAsia="MS Mincho"/>
        </w:rPr>
      </w:pPr>
    </w:p>
    <w:p w14:paraId="5ADB11B2" w14:textId="47A06E5C" w:rsidR="00C474CE" w:rsidRPr="00C474CE" w:rsidRDefault="00C474CE" w:rsidP="00C474CE">
      <w:pPr>
        <w:pStyle w:val="Heading2"/>
        <w:spacing w:before="0" w:after="0"/>
        <w:rPr>
          <w:b/>
          <w:bCs/>
          <w:i w:val="0"/>
          <w:iCs w:val="0"/>
        </w:rPr>
      </w:pPr>
      <w:r w:rsidRPr="00C474CE">
        <w:rPr>
          <w:b/>
          <w:bCs/>
          <w:i w:val="0"/>
          <w:iCs w:val="0"/>
        </w:rPr>
        <w:t>Characterisation</w:t>
      </w:r>
      <w:r w:rsidRPr="00C474CE">
        <w:rPr>
          <w:b/>
          <w:bCs/>
          <w:i w:val="0"/>
          <w:iCs w:val="0"/>
          <w:spacing w:val="-3"/>
        </w:rPr>
        <w:t xml:space="preserve"> of </w:t>
      </w:r>
      <w:r>
        <w:rPr>
          <w:b/>
          <w:bCs/>
          <w:i w:val="0"/>
          <w:iCs w:val="0"/>
        </w:rPr>
        <w:t>P</w:t>
      </w:r>
      <w:r w:rsidRPr="00C474CE">
        <w:rPr>
          <w:b/>
          <w:bCs/>
          <w:i w:val="0"/>
          <w:iCs w:val="0"/>
        </w:rPr>
        <w:t>roppants</w:t>
      </w:r>
      <w:r w:rsidR="00BB5527">
        <w:rPr>
          <w:b/>
          <w:bCs/>
          <w:i w:val="0"/>
          <w:iCs w:val="0"/>
        </w:rPr>
        <w:t xml:space="preserve"> by Sieve Analysis</w:t>
      </w:r>
    </w:p>
    <w:p w14:paraId="5E2FBDAB" w14:textId="4750D586" w:rsidR="00767BF4" w:rsidRDefault="003B0751" w:rsidP="00E566AD">
      <w:pPr>
        <w:jc w:val="both"/>
      </w:pPr>
      <w:r>
        <w:tab/>
      </w:r>
      <w:r w:rsidR="00AD3655">
        <w:t xml:space="preserve">The top sieve in a stack of sieves with progressively smaller sieve opening sizes from top to bottom is where the sample of sand is placed. The </w:t>
      </w:r>
      <w:proofErr w:type="spellStart"/>
      <w:r w:rsidR="00AD3655">
        <w:t>Granulometer</w:t>
      </w:r>
      <w:proofErr w:type="spellEnd"/>
      <w:r w:rsidR="00AD3655">
        <w:t xml:space="preserve"> is used to calculate the grain size as well as its cumulative weight percentage [1, 5].</w:t>
      </w:r>
      <w:r w:rsidR="00E566AD">
        <w:t xml:space="preserve"> </w:t>
      </w:r>
    </w:p>
    <w:p w14:paraId="688C3457" w14:textId="77777777" w:rsidR="004171C7" w:rsidRPr="00466548" w:rsidRDefault="004171C7" w:rsidP="00466548">
      <w:pPr>
        <w:pStyle w:val="BodyText"/>
        <w:spacing w:after="0" w:line="240" w:lineRule="auto"/>
        <w:ind w:firstLine="0"/>
      </w:pPr>
    </w:p>
    <w:p w14:paraId="65C0EB09" w14:textId="6A6A9346" w:rsidR="00767BF4" w:rsidRDefault="003D31A4" w:rsidP="00767BF4">
      <w:pPr>
        <w:pStyle w:val="Heading2"/>
        <w:spacing w:before="0" w:after="0"/>
        <w:rPr>
          <w:b/>
          <w:i w:val="0"/>
        </w:rPr>
      </w:pPr>
      <w:r>
        <w:rPr>
          <w:b/>
          <w:i w:val="0"/>
        </w:rPr>
        <w:t>Sphericity &amp; Roundness</w:t>
      </w:r>
    </w:p>
    <w:p w14:paraId="350594A8" w14:textId="34056411" w:rsidR="008A55B5" w:rsidRDefault="006B577B" w:rsidP="00466548">
      <w:pPr>
        <w:pStyle w:val="BodyText"/>
        <w:spacing w:after="0" w:line="240" w:lineRule="auto"/>
        <w:ind w:firstLine="0"/>
      </w:pPr>
      <w:r>
        <w:tab/>
      </w:r>
      <w:r>
        <w:tab/>
      </w:r>
      <w:r w:rsidR="006738CD">
        <w:t xml:space="preserve">Sphericity and Roundness are two important parameters for </w:t>
      </w:r>
      <w:proofErr w:type="spellStart"/>
      <w:r w:rsidR="006738CD">
        <w:t>characterising</w:t>
      </w:r>
      <w:proofErr w:type="spellEnd"/>
      <w:r w:rsidR="006738CD">
        <w:t xml:space="preserve"> the proppants. The proppants should have a higher roundness and sphericity so that a tighter throat of lesser porosity is not formed in the induced fractures. </w:t>
      </w:r>
      <w:r w:rsidR="006E4072">
        <w:t>The Krumbein-Sloss chart is the most popular tool for assessing sphericity and roundness. In order to compare each randomly chosen particle's sphericity and roundness to the chart, the proppant particles are placed in the field of vision of a 40x magnification microscope. The average particle sphericity and roundness are then determined for the reported data using the arithmetic average. For precision in determining how closely a particle of proppant resembles the shape of a sphere, the sphericity factor is calculated using the formula below [1, 5].</w:t>
      </w:r>
    </w:p>
    <w:p w14:paraId="0C829502" w14:textId="74230770" w:rsidR="009363AA" w:rsidRPr="007E0330" w:rsidRDefault="009363AA" w:rsidP="007E0330">
      <w:pPr>
        <w:pStyle w:val="BodyText"/>
        <w:spacing w:after="0" w:line="240" w:lineRule="auto"/>
        <w:ind w:left="720" w:firstLine="0"/>
        <w:rPr>
          <w:vertAlign w:val="superscript"/>
        </w:rPr>
      </w:pPr>
      <m:oMath>
        <m:r>
          <m:rPr>
            <m:sty m:val="p"/>
          </m:rPr>
          <w:rPr>
            <w:rFonts w:ascii="Cambria Math" w:hAnsi="Cambria Math"/>
          </w:rPr>
          <m:t>Ψ</m:t>
        </m:r>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d.a</m:t>
            </m:r>
          </m:den>
        </m:f>
      </m:oMath>
      <w:r w:rsidR="00A31CA5" w:rsidRPr="007E0330">
        <w:t xml:space="preserve"> ……… (Eq. 1)</w:t>
      </w:r>
    </w:p>
    <w:p w14:paraId="0E11A538" w14:textId="77777777" w:rsidR="007E0330" w:rsidRDefault="008E4AA9" w:rsidP="007E0330">
      <w:pPr>
        <w:pStyle w:val="BodyText"/>
        <w:tabs>
          <w:tab w:val="left" w:pos="4460"/>
        </w:tabs>
        <w:spacing w:before="91" w:line="240" w:lineRule="auto"/>
        <w:ind w:left="720" w:firstLine="0"/>
      </w:pPr>
      <w:r>
        <w:t>where,</w:t>
      </w:r>
      <w:r>
        <w:rPr>
          <w:spacing w:val="14"/>
        </w:rPr>
        <w:t xml:space="preserve"> </w:t>
      </w:r>
      <w:r>
        <w:t>d=</w:t>
      </w:r>
      <w:r>
        <w:rPr>
          <w:spacing w:val="-2"/>
        </w:rPr>
        <w:t xml:space="preserve"> </w:t>
      </w:r>
      <w:r>
        <w:t>mean</w:t>
      </w:r>
      <w:r>
        <w:rPr>
          <w:spacing w:val="-1"/>
        </w:rPr>
        <w:t xml:space="preserve"> </w:t>
      </w:r>
      <w:r>
        <w:t>volume</w:t>
      </w:r>
      <w:r>
        <w:rPr>
          <w:spacing w:val="-1"/>
        </w:rPr>
        <w:t xml:space="preserve"> </w:t>
      </w:r>
      <w:r>
        <w:t>diameter,</w:t>
      </w:r>
    </w:p>
    <w:p w14:paraId="122E124C" w14:textId="55FC1302" w:rsidR="008E4AA9" w:rsidRDefault="008E4AA9" w:rsidP="007E0330">
      <w:pPr>
        <w:pStyle w:val="BodyText"/>
        <w:tabs>
          <w:tab w:val="left" w:pos="4460"/>
        </w:tabs>
        <w:spacing w:before="91" w:line="240" w:lineRule="auto"/>
        <w:ind w:left="720" w:firstLine="0"/>
      </w:pPr>
      <w:r>
        <w:t>a=</w:t>
      </w:r>
      <w:r>
        <w:rPr>
          <w:spacing w:val="-2"/>
        </w:rPr>
        <w:t xml:space="preserve"> </w:t>
      </w:r>
      <w:r>
        <w:t>specific</w:t>
      </w:r>
      <w:r>
        <w:rPr>
          <w:spacing w:val="-3"/>
        </w:rPr>
        <w:t xml:space="preserve"> </w:t>
      </w:r>
      <w:r>
        <w:t>surface area</w:t>
      </w:r>
    </w:p>
    <w:p w14:paraId="690AB4A6" w14:textId="3F7E8DB0" w:rsidR="00485DE4" w:rsidRDefault="00485DE4" w:rsidP="00466548">
      <w:pPr>
        <w:pStyle w:val="BodyText"/>
        <w:spacing w:after="0" w:line="240" w:lineRule="auto"/>
        <w:ind w:firstLine="0"/>
        <w:rPr>
          <w:vertAlign w:val="superscript"/>
        </w:rPr>
      </w:pPr>
    </w:p>
    <w:p w14:paraId="4054A498" w14:textId="584932B3" w:rsidR="00485DE4" w:rsidRDefault="008E4AA9" w:rsidP="008E4AA9">
      <w:pPr>
        <w:pStyle w:val="Heading2"/>
        <w:rPr>
          <w:b/>
          <w:bCs/>
          <w:i w:val="0"/>
          <w:iCs w:val="0"/>
        </w:rPr>
      </w:pPr>
      <w:r w:rsidRPr="008E4AA9">
        <w:rPr>
          <w:b/>
          <w:bCs/>
          <w:i w:val="0"/>
          <w:iCs w:val="0"/>
        </w:rPr>
        <w:lastRenderedPageBreak/>
        <w:t>Acid</w:t>
      </w:r>
      <w:r w:rsidRPr="008E4AA9">
        <w:rPr>
          <w:b/>
          <w:bCs/>
          <w:i w:val="0"/>
          <w:iCs w:val="0"/>
          <w:spacing w:val="-1"/>
        </w:rPr>
        <w:t xml:space="preserve"> </w:t>
      </w:r>
      <w:r w:rsidRPr="008E4AA9">
        <w:rPr>
          <w:b/>
          <w:bCs/>
          <w:i w:val="0"/>
          <w:iCs w:val="0"/>
        </w:rPr>
        <w:t>Solubility</w:t>
      </w:r>
    </w:p>
    <w:p w14:paraId="2FFCC7D5" w14:textId="2EB5480C" w:rsidR="00F779DB" w:rsidRDefault="00F779DB" w:rsidP="00542C8B">
      <w:pPr>
        <w:jc w:val="both"/>
        <w:rPr>
          <w:vertAlign w:val="superscript"/>
        </w:rPr>
      </w:pPr>
      <w:r>
        <w:rPr>
          <w:spacing w:val="-1"/>
        </w:rPr>
        <w:t xml:space="preserve"> </w:t>
      </w:r>
      <w:r>
        <w:rPr>
          <w:spacing w:val="-1"/>
        </w:rPr>
        <w:tab/>
      </w:r>
      <w:r w:rsidR="004258DC">
        <w:t>The acid solubility test is used to determine whether a proppant is appropriate for use with acids. Dry proppant (5 g/100 mL) is mixed with a solution of hydrochloric acid (HCl), ammonium bifluoride (NH</w:t>
      </w:r>
      <w:r w:rsidR="004258DC" w:rsidRPr="009C7CDE">
        <w:rPr>
          <w:vertAlign w:val="subscript"/>
        </w:rPr>
        <w:t>4</w:t>
      </w:r>
      <w:r w:rsidR="004258DC">
        <w:t>F</w:t>
      </w:r>
      <w:r w:rsidR="004258DC" w:rsidRPr="009C7CDE">
        <w:rPr>
          <w:vertAlign w:val="subscript"/>
        </w:rPr>
        <w:t>2</w:t>
      </w:r>
      <w:r w:rsidR="004258DC">
        <w:t>), and distilled water. Calculating solubility (S) through filtering is done [1, 5].</w:t>
      </w:r>
      <w:r w:rsidR="0062037E">
        <w:t xml:space="preserve"> </w:t>
      </w:r>
    </w:p>
    <w:p w14:paraId="157F7908" w14:textId="77777777" w:rsidR="00E133AB" w:rsidRDefault="00E133AB" w:rsidP="00F779DB">
      <w:pPr>
        <w:jc w:val="both"/>
      </w:pPr>
    </w:p>
    <w:p w14:paraId="3EC4CD15" w14:textId="3205DAC6" w:rsidR="000D3278" w:rsidRPr="000D3278" w:rsidRDefault="000D3278" w:rsidP="000D3278">
      <w:pPr>
        <w:pStyle w:val="Heading2"/>
        <w:rPr>
          <w:b/>
          <w:bCs/>
        </w:rPr>
      </w:pPr>
      <w:r w:rsidRPr="000D3278">
        <w:rPr>
          <w:b/>
          <w:bCs/>
          <w:i w:val="0"/>
          <w:iCs w:val="0"/>
        </w:rPr>
        <w:t>Bulk Density</w:t>
      </w:r>
    </w:p>
    <w:p w14:paraId="3224C973" w14:textId="276C8C1F" w:rsidR="00767BF4" w:rsidRDefault="00DE5E9B" w:rsidP="00466548">
      <w:pPr>
        <w:pStyle w:val="BodyText"/>
        <w:spacing w:after="0" w:line="240" w:lineRule="auto"/>
        <w:ind w:firstLine="0"/>
        <w:rPr>
          <w:vertAlign w:val="superscript"/>
        </w:rPr>
      </w:pPr>
      <w:r>
        <w:tab/>
      </w:r>
      <w:r>
        <w:tab/>
      </w:r>
      <w:r w:rsidR="006C6CB7">
        <w:t>Proppant and porosity are both included in the mass that makes up a unit of volume, which is referred to as bulk density. It is used to calculate how much proppant will be required to fill a fracture. Toluene, a low-viscosity fluid, is used to wet the particle surface and quantify the particle's pore space as well [1, 5].</w:t>
      </w:r>
      <w:r w:rsidR="00726487">
        <w:t xml:space="preserve"> </w:t>
      </w:r>
    </w:p>
    <w:p w14:paraId="5CCB9803" w14:textId="77777777" w:rsidR="003447B3" w:rsidRDefault="003447B3" w:rsidP="00466548">
      <w:pPr>
        <w:pStyle w:val="BodyText"/>
        <w:spacing w:after="0" w:line="240" w:lineRule="auto"/>
        <w:ind w:firstLine="0"/>
        <w:rPr>
          <w:vertAlign w:val="superscript"/>
        </w:rPr>
      </w:pPr>
    </w:p>
    <w:p w14:paraId="7ABE775F" w14:textId="4D841879" w:rsidR="003447B3" w:rsidRDefault="00930ED3" w:rsidP="003447B3">
      <w:pPr>
        <w:pStyle w:val="Heading2"/>
        <w:rPr>
          <w:b/>
          <w:bCs/>
          <w:i w:val="0"/>
          <w:iCs w:val="0"/>
        </w:rPr>
      </w:pPr>
      <w:r w:rsidRPr="00930ED3">
        <w:rPr>
          <w:b/>
          <w:bCs/>
          <w:i w:val="0"/>
          <w:iCs w:val="0"/>
        </w:rPr>
        <w:t>Crush</w:t>
      </w:r>
      <w:r w:rsidRPr="00930ED3">
        <w:rPr>
          <w:b/>
          <w:bCs/>
          <w:i w:val="0"/>
          <w:iCs w:val="0"/>
          <w:spacing w:val="-2"/>
        </w:rPr>
        <w:t xml:space="preserve"> </w:t>
      </w:r>
      <w:r w:rsidRPr="00930ED3">
        <w:rPr>
          <w:b/>
          <w:bCs/>
          <w:i w:val="0"/>
          <w:iCs w:val="0"/>
        </w:rPr>
        <w:t>Resistance</w:t>
      </w:r>
    </w:p>
    <w:p w14:paraId="3138A909" w14:textId="0B054A3E" w:rsidR="00A977DC" w:rsidRPr="00A977DC" w:rsidRDefault="00356F01" w:rsidP="00A977DC">
      <w:pPr>
        <w:pStyle w:val="BodyText"/>
        <w:spacing w:before="133" w:line="240" w:lineRule="auto"/>
        <w:ind w:right="133" w:firstLine="0"/>
      </w:pPr>
      <w:r>
        <w:tab/>
      </w:r>
      <w:r>
        <w:tab/>
      </w:r>
      <w:r w:rsidR="0061215B">
        <w:t>This test, carried out on a Universal Testing machine, assesses the amount of proppant as well as determines and compares the crush resistance. The amount of proppant material that is crushed is calculated for each stress level [1, 5]. In a test cell with an inner diameter of 50.8 mm, the proppant needs to occupy a volume of 24.7 cm</w:t>
      </w:r>
      <w:r w:rsidR="0061215B" w:rsidRPr="00A66AA4">
        <w:rPr>
          <w:vertAlign w:val="superscript"/>
        </w:rPr>
        <w:t>3</w:t>
      </w:r>
      <w:r w:rsidR="0061215B">
        <w:t xml:space="preserve">. Use the formula to calculate the required mass for this test, </w:t>
      </w:r>
      <w:proofErr w:type="spellStart"/>
      <w:r w:rsidR="0061215B">
        <w:t>m</w:t>
      </w:r>
      <w:r w:rsidR="0061215B" w:rsidRPr="00A66AA4">
        <w:rPr>
          <w:vertAlign w:val="subscript"/>
        </w:rPr>
        <w:t>p</w:t>
      </w:r>
      <w:proofErr w:type="spellEnd"/>
      <w:r w:rsidR="0061215B">
        <w:t>, in grams.</w:t>
      </w:r>
    </w:p>
    <w:p w14:paraId="4EB1E18D" w14:textId="06562407" w:rsidR="001F2064" w:rsidRPr="001A0858" w:rsidRDefault="00000000" w:rsidP="00AB1A6F">
      <w:pPr>
        <w:spacing w:before="136"/>
        <w:ind w:left="200" w:firstLine="520"/>
        <w:jc w:val="left"/>
        <w:rPr>
          <w:iCs/>
          <w:w w:val="95"/>
          <w:position w:val="2"/>
        </w:rPr>
      </w:pPr>
      <m:oMath>
        <m:sSub>
          <m:sSubPr>
            <m:ctrlPr>
              <w:rPr>
                <w:rFonts w:ascii="Cambria Math" w:hAnsi="Cambria Math"/>
                <w:i/>
                <w:iCs/>
                <w:w w:val="95"/>
                <w:position w:val="2"/>
              </w:rPr>
            </m:ctrlPr>
          </m:sSubPr>
          <m:e>
            <m:r>
              <w:rPr>
                <w:rFonts w:ascii="Cambria Math" w:hAnsi="Cambria Math"/>
                <w:w w:val="95"/>
                <w:position w:val="2"/>
              </w:rPr>
              <m:t>m</m:t>
            </m:r>
          </m:e>
          <m:sub>
            <m:r>
              <w:rPr>
                <w:rFonts w:ascii="Cambria Math" w:hAnsi="Cambria Math"/>
                <w:w w:val="95"/>
                <w:position w:val="2"/>
              </w:rPr>
              <m:t>p</m:t>
            </m:r>
          </m:sub>
        </m:sSub>
        <m:r>
          <w:rPr>
            <w:rFonts w:ascii="Cambria Math" w:hAnsi="Cambria Math"/>
            <w:w w:val="95"/>
            <w:position w:val="2"/>
          </w:rPr>
          <m:t xml:space="preserve">=24.7 x </m:t>
        </m:r>
        <m:sSub>
          <m:sSubPr>
            <m:ctrlPr>
              <w:rPr>
                <w:rFonts w:ascii="Cambria Math" w:hAnsi="Cambria Math"/>
                <w:i/>
                <w:iCs/>
                <w:w w:val="95"/>
                <w:position w:val="2"/>
              </w:rPr>
            </m:ctrlPr>
          </m:sSubPr>
          <m:e>
            <m:r>
              <w:rPr>
                <w:rFonts w:ascii="Cambria Math" w:hAnsi="Cambria Math"/>
                <w:w w:val="95"/>
                <w:position w:val="2"/>
              </w:rPr>
              <m:t>q</m:t>
            </m:r>
          </m:e>
          <m:sub>
            <m:r>
              <w:rPr>
                <w:rFonts w:ascii="Cambria Math" w:hAnsi="Cambria Math"/>
                <w:w w:val="95"/>
                <w:position w:val="2"/>
              </w:rPr>
              <m:t>bulk</m:t>
            </m:r>
          </m:sub>
        </m:sSub>
      </m:oMath>
      <w:r w:rsidR="001F2064" w:rsidRPr="001A0858">
        <w:rPr>
          <w:iCs/>
          <w:w w:val="95"/>
          <w:position w:val="2"/>
        </w:rPr>
        <w:t xml:space="preserve"> …</w:t>
      </w:r>
      <w:r w:rsidR="001A0858" w:rsidRPr="001A0858">
        <w:rPr>
          <w:iCs/>
          <w:w w:val="95"/>
          <w:position w:val="2"/>
        </w:rPr>
        <w:t>…. (</w:t>
      </w:r>
      <w:r w:rsidR="001F2064" w:rsidRPr="001A0858">
        <w:rPr>
          <w:iCs/>
          <w:w w:val="95"/>
          <w:position w:val="2"/>
        </w:rPr>
        <w:t>Eq. 2)</w:t>
      </w:r>
    </w:p>
    <w:p w14:paraId="3D16DD68" w14:textId="184EA4F2" w:rsidR="00A977DC" w:rsidRDefault="00744DCB" w:rsidP="00A977DC">
      <w:pPr>
        <w:ind w:left="720"/>
        <w:jc w:val="both"/>
        <w:rPr>
          <w:position w:val="2"/>
        </w:rPr>
      </w:pPr>
      <w:r>
        <w:rPr>
          <w:position w:val="2"/>
        </w:rPr>
        <w:t>w</w:t>
      </w:r>
      <w:r w:rsidR="00A977DC">
        <w:rPr>
          <w:position w:val="2"/>
        </w:rPr>
        <w:t>here</w:t>
      </w:r>
      <w:r w:rsidR="00A977DC">
        <w:rPr>
          <w:spacing w:val="-3"/>
          <w:position w:val="2"/>
        </w:rPr>
        <w:t xml:space="preserve"> </w:t>
      </w:r>
      <w:r w:rsidR="00A977DC">
        <w:rPr>
          <w:position w:val="2"/>
        </w:rPr>
        <w:t>q</w:t>
      </w:r>
      <w:r w:rsidR="00A977DC">
        <w:rPr>
          <w:sz w:val="16"/>
        </w:rPr>
        <w:t>bulk</w:t>
      </w:r>
      <w:r w:rsidR="00A977DC">
        <w:rPr>
          <w:spacing w:val="21"/>
          <w:sz w:val="16"/>
        </w:rPr>
        <w:t xml:space="preserve"> </w:t>
      </w:r>
      <w:r w:rsidR="00A977DC">
        <w:rPr>
          <w:position w:val="2"/>
        </w:rPr>
        <w:t>is</w:t>
      </w:r>
      <w:r w:rsidR="00A977DC">
        <w:rPr>
          <w:spacing w:val="-2"/>
          <w:position w:val="2"/>
        </w:rPr>
        <w:t xml:space="preserve"> </w:t>
      </w:r>
      <w:r w:rsidR="00A977DC">
        <w:rPr>
          <w:position w:val="2"/>
        </w:rPr>
        <w:t>the</w:t>
      </w:r>
      <w:r w:rsidR="00A977DC">
        <w:rPr>
          <w:spacing w:val="-1"/>
          <w:position w:val="2"/>
        </w:rPr>
        <w:t xml:space="preserve"> </w:t>
      </w:r>
      <w:r w:rsidR="00A977DC">
        <w:rPr>
          <w:position w:val="2"/>
        </w:rPr>
        <w:t>bulk density.</w:t>
      </w:r>
    </w:p>
    <w:p w14:paraId="4B2F04FD" w14:textId="77777777" w:rsidR="00F43039" w:rsidRDefault="00F43039" w:rsidP="00A977DC">
      <w:pPr>
        <w:ind w:left="720"/>
        <w:jc w:val="both"/>
        <w:rPr>
          <w:position w:val="2"/>
        </w:rPr>
      </w:pPr>
    </w:p>
    <w:p w14:paraId="402E09A1" w14:textId="422183E9" w:rsidR="00F43039" w:rsidRPr="00F43039" w:rsidRDefault="00F43039" w:rsidP="00F43039">
      <w:pPr>
        <w:pStyle w:val="Heading2"/>
        <w:rPr>
          <w:b/>
          <w:bCs/>
        </w:rPr>
      </w:pPr>
      <w:r w:rsidRPr="00F43039">
        <w:rPr>
          <w:b/>
          <w:bCs/>
          <w:i w:val="0"/>
          <w:iCs w:val="0"/>
        </w:rPr>
        <w:t>Turbidity</w:t>
      </w:r>
    </w:p>
    <w:p w14:paraId="0A9CA024" w14:textId="6EA90310" w:rsidR="00F43039" w:rsidRDefault="00ED4EAF" w:rsidP="002E2C7D">
      <w:pPr>
        <w:ind w:firstLine="720"/>
        <w:jc w:val="both"/>
        <w:rPr>
          <w:vertAlign w:val="superscript"/>
        </w:rPr>
      </w:pPr>
      <w:r>
        <w:t>Turbidity tests measure a suspension's optical quality, which is based on how the suspended particles in the wetting fluid reflect and absorb light. Using a MERCK TURBIQUANT 1500 T calibrated turbidimeter, the results are presented in nephelometric turbidity units (NTU) [1, 5].</w:t>
      </w:r>
      <w:r w:rsidR="002F1D11">
        <w:rPr>
          <w:spacing w:val="1"/>
        </w:rPr>
        <w:t xml:space="preserve"> </w:t>
      </w:r>
    </w:p>
    <w:p w14:paraId="226AABCF" w14:textId="77777777" w:rsidR="002F1D11" w:rsidRDefault="002F1D11" w:rsidP="00F43039">
      <w:pPr>
        <w:jc w:val="both"/>
        <w:rPr>
          <w:vertAlign w:val="superscript"/>
        </w:rPr>
      </w:pPr>
    </w:p>
    <w:p w14:paraId="33332FB2" w14:textId="77777777" w:rsidR="002F1D11" w:rsidRPr="00A977DC" w:rsidRDefault="002F1D11" w:rsidP="00F43039">
      <w:pPr>
        <w:jc w:val="both"/>
      </w:pPr>
    </w:p>
    <w:p w14:paraId="48510124" w14:textId="36E7336E" w:rsidR="008A55B5" w:rsidRPr="00402841" w:rsidRDefault="002B0AB6" w:rsidP="00466548">
      <w:pPr>
        <w:pStyle w:val="Heading1"/>
        <w:spacing w:before="0" w:after="0"/>
        <w:rPr>
          <w:rFonts w:eastAsia="MS Mincho"/>
        </w:rPr>
      </w:pPr>
      <w:r>
        <w:rPr>
          <w:rFonts w:ascii="Times New Roman" w:eastAsia="MS Mincho" w:hAnsi="Times New Roman"/>
          <w:sz w:val="20"/>
          <w:szCs w:val="20"/>
        </w:rPr>
        <w:t>EXPERIMENTAL WORK</w:t>
      </w:r>
    </w:p>
    <w:p w14:paraId="66A59D0A" w14:textId="77777777" w:rsidR="00767BF4" w:rsidRPr="00767BF4" w:rsidRDefault="00767BF4" w:rsidP="00767BF4">
      <w:pPr>
        <w:rPr>
          <w:rFonts w:eastAsia="MS Mincho"/>
        </w:rPr>
      </w:pPr>
    </w:p>
    <w:p w14:paraId="136DABC0" w14:textId="1C5C8528" w:rsidR="008A55B5" w:rsidRDefault="00D01167" w:rsidP="0093121D">
      <w:pPr>
        <w:pStyle w:val="BodyText"/>
        <w:spacing w:after="0" w:line="240" w:lineRule="auto"/>
        <w:ind w:firstLine="0"/>
      </w:pPr>
      <w:r>
        <w:tab/>
      </w:r>
      <w:r>
        <w:tab/>
      </w:r>
      <w:r w:rsidR="00552D20">
        <w:t>The physical characteristics of proppants and sand samples were investigated in the current work in accordance with ISO 13503-2 standards [1, 2].</w:t>
      </w:r>
    </w:p>
    <w:p w14:paraId="5BDCDB53" w14:textId="77777777" w:rsidR="009F4F96" w:rsidRDefault="009F4F96" w:rsidP="0093121D">
      <w:pPr>
        <w:pStyle w:val="BodyText"/>
        <w:spacing w:after="0" w:line="240" w:lineRule="auto"/>
        <w:ind w:firstLine="0"/>
      </w:pPr>
    </w:p>
    <w:p w14:paraId="59AFC060" w14:textId="4673FCB7" w:rsidR="00F90A6D" w:rsidRPr="00F90A6D" w:rsidRDefault="009F4F96" w:rsidP="00F90A6D">
      <w:pPr>
        <w:pStyle w:val="Heading2"/>
        <w:rPr>
          <w:b/>
          <w:bCs/>
          <w:i w:val="0"/>
          <w:iCs w:val="0"/>
        </w:rPr>
      </w:pPr>
      <w:r w:rsidRPr="00F90A6D">
        <w:rPr>
          <w:b/>
          <w:bCs/>
          <w:i w:val="0"/>
          <w:iCs w:val="0"/>
        </w:rPr>
        <w:t>Sieve analysis</w:t>
      </w:r>
    </w:p>
    <w:p w14:paraId="032A168A" w14:textId="7D0E2D60" w:rsidR="00F90A6D" w:rsidRPr="00F90A6D" w:rsidRDefault="00F90A6D" w:rsidP="00F90A6D">
      <w:pPr>
        <w:pStyle w:val="BodyText"/>
        <w:spacing w:after="0" w:line="240" w:lineRule="auto"/>
        <w:ind w:firstLine="0"/>
        <w:rPr>
          <w:color w:val="252525"/>
        </w:rPr>
      </w:pPr>
      <w:r>
        <w:tab/>
      </w:r>
      <w:r w:rsidR="00C37685">
        <w:tab/>
      </w:r>
      <w:r w:rsidR="004604DE">
        <w:t>With the aid of shakers and ASTM sieves with mesh numbers ranging from 20 to 230, a granulometric examination was conducted.</w:t>
      </w:r>
      <w:r w:rsidR="004604DE">
        <w:t xml:space="preserve"> </w:t>
      </w:r>
      <w:r w:rsidRPr="00F90A6D">
        <w:rPr>
          <w:color w:val="252525"/>
        </w:rPr>
        <w:t>The sand sample was sorted, and mesh sizes 20/40 and 30/50 were found in the sample considered for the study. The diameter (mm) of the sand sample mesh sizes was given as below:</w:t>
      </w:r>
    </w:p>
    <w:p w14:paraId="43C682B8" w14:textId="00AF635C" w:rsidR="00590A15" w:rsidRDefault="00590A15" w:rsidP="00F90A6D">
      <w:pPr>
        <w:pStyle w:val="BodyText"/>
        <w:spacing w:after="0" w:line="240" w:lineRule="auto"/>
        <w:ind w:firstLine="0"/>
      </w:pPr>
    </w:p>
    <w:p w14:paraId="78A6B561" w14:textId="2E8946FF" w:rsidR="00B959F8" w:rsidRDefault="00B959F8" w:rsidP="0062437B">
      <w:pPr>
        <w:pStyle w:val="BodyText"/>
        <w:spacing w:after="0" w:line="240" w:lineRule="auto"/>
        <w:ind w:firstLine="0"/>
        <w:jc w:val="center"/>
        <w:rPr>
          <w:b/>
          <w:bCs/>
        </w:rPr>
      </w:pPr>
      <w:r w:rsidRPr="0062437B">
        <w:rPr>
          <w:b/>
          <w:bCs/>
        </w:rPr>
        <w:t>Table</w:t>
      </w:r>
      <w:r w:rsidRPr="0062437B">
        <w:rPr>
          <w:b/>
          <w:bCs/>
          <w:spacing w:val="-1"/>
        </w:rPr>
        <w:t xml:space="preserve"> </w:t>
      </w:r>
      <w:r w:rsidRPr="0062437B">
        <w:rPr>
          <w:b/>
          <w:bCs/>
        </w:rPr>
        <w:t>1.</w:t>
      </w:r>
      <w:r w:rsidRPr="0062437B">
        <w:rPr>
          <w:b/>
          <w:bCs/>
          <w:spacing w:val="-1"/>
        </w:rPr>
        <w:t xml:space="preserve"> </w:t>
      </w:r>
      <w:r w:rsidRPr="0062437B">
        <w:rPr>
          <w:b/>
          <w:bCs/>
        </w:rPr>
        <w:t>Results</w:t>
      </w:r>
      <w:r w:rsidRPr="0062437B">
        <w:rPr>
          <w:b/>
          <w:bCs/>
          <w:spacing w:val="-1"/>
        </w:rPr>
        <w:t xml:space="preserve"> </w:t>
      </w:r>
      <w:r w:rsidRPr="0062437B">
        <w:rPr>
          <w:b/>
          <w:bCs/>
        </w:rPr>
        <w:t>for</w:t>
      </w:r>
      <w:r w:rsidRPr="0062437B">
        <w:rPr>
          <w:b/>
          <w:bCs/>
          <w:spacing w:val="-3"/>
        </w:rPr>
        <w:t xml:space="preserve"> </w:t>
      </w:r>
      <w:r w:rsidRPr="0062437B">
        <w:rPr>
          <w:b/>
          <w:bCs/>
        </w:rPr>
        <w:t>Sieve</w:t>
      </w:r>
      <w:r w:rsidRPr="0062437B">
        <w:rPr>
          <w:b/>
          <w:bCs/>
          <w:spacing w:val="-2"/>
        </w:rPr>
        <w:t xml:space="preserve"> </w:t>
      </w:r>
      <w:r w:rsidRPr="0062437B">
        <w:rPr>
          <w:b/>
          <w:bCs/>
        </w:rPr>
        <w:t>Analysis</w:t>
      </w:r>
    </w:p>
    <w:p w14:paraId="0B4D0FF7" w14:textId="77777777" w:rsidR="0062437B" w:rsidRPr="0062437B" w:rsidRDefault="0062437B" w:rsidP="0062437B">
      <w:pPr>
        <w:pStyle w:val="BodyText"/>
        <w:spacing w:after="0" w:line="240" w:lineRule="auto"/>
        <w:ind w:firstLine="0"/>
        <w:jc w:val="center"/>
        <w:rPr>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60"/>
        <w:gridCol w:w="1379"/>
        <w:gridCol w:w="1573"/>
      </w:tblGrid>
      <w:tr w:rsidR="006F1575" w14:paraId="52E24FF3" w14:textId="77777777" w:rsidTr="0062437B">
        <w:trPr>
          <w:trHeight w:val="870"/>
          <w:jc w:val="center"/>
        </w:trPr>
        <w:tc>
          <w:tcPr>
            <w:tcW w:w="0" w:type="auto"/>
          </w:tcPr>
          <w:p w14:paraId="1A87266D" w14:textId="77777777" w:rsidR="006F1575" w:rsidRPr="006F1575" w:rsidRDefault="006F1575" w:rsidP="00894BFF">
            <w:pPr>
              <w:pStyle w:val="TableParagraph"/>
              <w:spacing w:before="4"/>
              <w:jc w:val="left"/>
              <w:rPr>
                <w:sz w:val="20"/>
                <w:szCs w:val="20"/>
              </w:rPr>
            </w:pPr>
          </w:p>
          <w:p w14:paraId="4DD9EC21" w14:textId="77777777" w:rsidR="006F1575" w:rsidRPr="006F1575" w:rsidRDefault="006F1575" w:rsidP="00894BFF">
            <w:pPr>
              <w:pStyle w:val="TableParagraph"/>
              <w:spacing w:before="1"/>
              <w:ind w:left="115"/>
              <w:jc w:val="left"/>
              <w:rPr>
                <w:sz w:val="20"/>
                <w:szCs w:val="20"/>
              </w:rPr>
            </w:pPr>
            <w:r w:rsidRPr="006F1575">
              <w:rPr>
                <w:sz w:val="20"/>
                <w:szCs w:val="20"/>
              </w:rPr>
              <w:t>Sand</w:t>
            </w:r>
            <w:r w:rsidRPr="006F1575">
              <w:rPr>
                <w:spacing w:val="1"/>
                <w:sz w:val="20"/>
                <w:szCs w:val="20"/>
              </w:rPr>
              <w:t xml:space="preserve"> </w:t>
            </w:r>
            <w:r w:rsidRPr="006F1575">
              <w:rPr>
                <w:sz w:val="20"/>
                <w:szCs w:val="20"/>
              </w:rPr>
              <w:t>Type</w:t>
            </w:r>
          </w:p>
        </w:tc>
        <w:tc>
          <w:tcPr>
            <w:tcW w:w="0" w:type="auto"/>
          </w:tcPr>
          <w:p w14:paraId="3C44813C" w14:textId="77777777" w:rsidR="006F1575" w:rsidRPr="006F1575" w:rsidRDefault="006F1575" w:rsidP="00894BFF">
            <w:pPr>
              <w:pStyle w:val="TableParagraph"/>
              <w:spacing w:before="176"/>
              <w:ind w:left="357" w:right="281" w:hanging="58"/>
              <w:jc w:val="left"/>
              <w:rPr>
                <w:sz w:val="20"/>
                <w:szCs w:val="20"/>
              </w:rPr>
            </w:pPr>
            <w:r w:rsidRPr="006F1575">
              <w:rPr>
                <w:sz w:val="20"/>
                <w:szCs w:val="20"/>
              </w:rPr>
              <w:t>Mesh</w:t>
            </w:r>
            <w:r w:rsidRPr="006F1575">
              <w:rPr>
                <w:spacing w:val="-52"/>
                <w:sz w:val="20"/>
                <w:szCs w:val="20"/>
              </w:rPr>
              <w:t xml:space="preserve"> </w:t>
            </w:r>
            <w:r w:rsidRPr="006F1575">
              <w:rPr>
                <w:sz w:val="20"/>
                <w:szCs w:val="20"/>
              </w:rPr>
              <w:t>Size</w:t>
            </w:r>
          </w:p>
        </w:tc>
        <w:tc>
          <w:tcPr>
            <w:tcW w:w="0" w:type="auto"/>
          </w:tcPr>
          <w:p w14:paraId="2B1EAD12" w14:textId="77777777" w:rsidR="006F1575" w:rsidRPr="006F1575" w:rsidRDefault="006F1575" w:rsidP="00894BFF">
            <w:pPr>
              <w:pStyle w:val="TableParagraph"/>
              <w:spacing w:before="176"/>
              <w:ind w:left="417" w:right="115" w:hanging="279"/>
              <w:jc w:val="left"/>
              <w:rPr>
                <w:sz w:val="20"/>
                <w:szCs w:val="20"/>
              </w:rPr>
            </w:pPr>
            <w:r w:rsidRPr="006F1575">
              <w:rPr>
                <w:sz w:val="20"/>
                <w:szCs w:val="20"/>
              </w:rPr>
              <w:t>Range Size</w:t>
            </w:r>
            <w:r w:rsidRPr="006F1575">
              <w:rPr>
                <w:spacing w:val="-52"/>
                <w:sz w:val="20"/>
                <w:szCs w:val="20"/>
              </w:rPr>
              <w:t xml:space="preserve"> </w:t>
            </w:r>
            <w:r w:rsidRPr="006F1575">
              <w:rPr>
                <w:sz w:val="20"/>
                <w:szCs w:val="20"/>
              </w:rPr>
              <w:t>(</w:t>
            </w:r>
            <w:r w:rsidRPr="006F1575">
              <w:rPr>
                <w:b/>
                <w:sz w:val="20"/>
                <w:szCs w:val="20"/>
              </w:rPr>
              <w:t>µ</w:t>
            </w:r>
            <w:r w:rsidRPr="006F1575">
              <w:rPr>
                <w:sz w:val="20"/>
                <w:szCs w:val="20"/>
              </w:rPr>
              <w:t>m)</w:t>
            </w:r>
          </w:p>
        </w:tc>
      </w:tr>
      <w:tr w:rsidR="006F1575" w14:paraId="6EE27E5B" w14:textId="77777777" w:rsidTr="0062437B">
        <w:trPr>
          <w:trHeight w:val="290"/>
          <w:jc w:val="center"/>
        </w:trPr>
        <w:tc>
          <w:tcPr>
            <w:tcW w:w="0" w:type="auto"/>
            <w:vMerge w:val="restart"/>
          </w:tcPr>
          <w:p w14:paraId="4F21F0E6" w14:textId="77777777" w:rsidR="006F1575" w:rsidRPr="006F1575" w:rsidRDefault="006F1575" w:rsidP="00894BFF">
            <w:pPr>
              <w:pStyle w:val="TableParagraph"/>
              <w:spacing w:before="37"/>
              <w:ind w:left="321" w:right="292" w:firstLine="48"/>
              <w:jc w:val="left"/>
              <w:rPr>
                <w:sz w:val="20"/>
                <w:szCs w:val="20"/>
              </w:rPr>
            </w:pPr>
            <w:r w:rsidRPr="006F1575">
              <w:rPr>
                <w:sz w:val="20"/>
                <w:szCs w:val="20"/>
              </w:rPr>
              <w:t>Sand</w:t>
            </w:r>
            <w:r w:rsidRPr="006F1575">
              <w:rPr>
                <w:spacing w:val="-52"/>
                <w:sz w:val="20"/>
                <w:szCs w:val="20"/>
              </w:rPr>
              <w:t xml:space="preserve"> </w:t>
            </w:r>
            <w:r w:rsidRPr="006F1575">
              <w:rPr>
                <w:sz w:val="20"/>
                <w:szCs w:val="20"/>
              </w:rPr>
              <w:t>Based</w:t>
            </w:r>
          </w:p>
        </w:tc>
        <w:tc>
          <w:tcPr>
            <w:tcW w:w="0" w:type="auto"/>
          </w:tcPr>
          <w:p w14:paraId="6423764D" w14:textId="77777777" w:rsidR="006F1575" w:rsidRPr="006F1575" w:rsidRDefault="006F1575" w:rsidP="00894BFF">
            <w:pPr>
              <w:pStyle w:val="TableParagraph"/>
              <w:spacing w:before="13"/>
              <w:ind w:left="275" w:right="271"/>
              <w:rPr>
                <w:sz w:val="20"/>
                <w:szCs w:val="20"/>
              </w:rPr>
            </w:pPr>
            <w:r w:rsidRPr="006F1575">
              <w:rPr>
                <w:sz w:val="20"/>
                <w:szCs w:val="20"/>
              </w:rPr>
              <w:t>20/40</w:t>
            </w:r>
          </w:p>
        </w:tc>
        <w:tc>
          <w:tcPr>
            <w:tcW w:w="0" w:type="auto"/>
          </w:tcPr>
          <w:p w14:paraId="3F7E6481" w14:textId="77777777" w:rsidR="006F1575" w:rsidRPr="006F1575" w:rsidRDefault="006F1575" w:rsidP="00894BFF">
            <w:pPr>
              <w:pStyle w:val="TableParagraph"/>
              <w:spacing w:before="13"/>
              <w:ind w:right="126"/>
              <w:jc w:val="right"/>
              <w:rPr>
                <w:sz w:val="20"/>
                <w:szCs w:val="20"/>
              </w:rPr>
            </w:pPr>
            <w:r w:rsidRPr="006F1575">
              <w:rPr>
                <w:sz w:val="20"/>
                <w:szCs w:val="20"/>
              </w:rPr>
              <w:t>600 to</w:t>
            </w:r>
            <w:r w:rsidRPr="006F1575">
              <w:rPr>
                <w:spacing w:val="-2"/>
                <w:sz w:val="20"/>
                <w:szCs w:val="20"/>
              </w:rPr>
              <w:t xml:space="preserve"> </w:t>
            </w:r>
            <w:r w:rsidRPr="006F1575">
              <w:rPr>
                <w:sz w:val="20"/>
                <w:szCs w:val="20"/>
              </w:rPr>
              <w:t>800</w:t>
            </w:r>
          </w:p>
        </w:tc>
      </w:tr>
      <w:tr w:rsidR="006F1575" w14:paraId="59E6BB40" w14:textId="77777777" w:rsidTr="0062437B">
        <w:trPr>
          <w:trHeight w:val="290"/>
          <w:jc w:val="center"/>
        </w:trPr>
        <w:tc>
          <w:tcPr>
            <w:tcW w:w="0" w:type="auto"/>
            <w:vMerge/>
            <w:tcBorders>
              <w:top w:val="nil"/>
            </w:tcBorders>
          </w:tcPr>
          <w:p w14:paraId="02164C91" w14:textId="77777777" w:rsidR="006F1575" w:rsidRPr="006F1575" w:rsidRDefault="006F1575" w:rsidP="00894BFF"/>
        </w:tc>
        <w:tc>
          <w:tcPr>
            <w:tcW w:w="0" w:type="auto"/>
          </w:tcPr>
          <w:p w14:paraId="2C84128C" w14:textId="77777777" w:rsidR="006F1575" w:rsidRPr="006F1575" w:rsidRDefault="006F1575" w:rsidP="00894BFF">
            <w:pPr>
              <w:pStyle w:val="TableParagraph"/>
              <w:spacing w:before="13"/>
              <w:ind w:left="275" w:right="271"/>
              <w:rPr>
                <w:sz w:val="20"/>
                <w:szCs w:val="20"/>
              </w:rPr>
            </w:pPr>
            <w:r w:rsidRPr="006F1575">
              <w:rPr>
                <w:sz w:val="20"/>
                <w:szCs w:val="20"/>
              </w:rPr>
              <w:t>30/50</w:t>
            </w:r>
          </w:p>
        </w:tc>
        <w:tc>
          <w:tcPr>
            <w:tcW w:w="0" w:type="auto"/>
          </w:tcPr>
          <w:p w14:paraId="61C83D5B" w14:textId="77777777" w:rsidR="006F1575" w:rsidRPr="006F1575" w:rsidRDefault="006F1575" w:rsidP="00894BFF">
            <w:pPr>
              <w:pStyle w:val="TableParagraph"/>
              <w:spacing w:before="13"/>
              <w:ind w:right="182"/>
              <w:jc w:val="right"/>
              <w:rPr>
                <w:sz w:val="20"/>
                <w:szCs w:val="20"/>
              </w:rPr>
            </w:pPr>
            <w:r w:rsidRPr="006F1575">
              <w:rPr>
                <w:sz w:val="20"/>
                <w:szCs w:val="20"/>
              </w:rPr>
              <w:t>300 to</w:t>
            </w:r>
            <w:r w:rsidRPr="006F1575">
              <w:rPr>
                <w:spacing w:val="-2"/>
                <w:sz w:val="20"/>
                <w:szCs w:val="20"/>
              </w:rPr>
              <w:t xml:space="preserve"> </w:t>
            </w:r>
            <w:r w:rsidRPr="006F1575">
              <w:rPr>
                <w:sz w:val="20"/>
                <w:szCs w:val="20"/>
              </w:rPr>
              <w:t>600</w:t>
            </w:r>
          </w:p>
        </w:tc>
      </w:tr>
      <w:tr w:rsidR="006F1575" w14:paraId="73310DA2" w14:textId="77777777" w:rsidTr="0062437B">
        <w:trPr>
          <w:trHeight w:val="290"/>
          <w:jc w:val="center"/>
        </w:trPr>
        <w:tc>
          <w:tcPr>
            <w:tcW w:w="0" w:type="auto"/>
            <w:vMerge w:val="restart"/>
          </w:tcPr>
          <w:p w14:paraId="03AA755F" w14:textId="77777777" w:rsidR="006F1575" w:rsidRPr="006F1575" w:rsidRDefault="006F1575" w:rsidP="00894BFF">
            <w:pPr>
              <w:pStyle w:val="TableParagraph"/>
              <w:spacing w:before="37"/>
              <w:ind w:left="338" w:right="190" w:hanging="123"/>
              <w:jc w:val="left"/>
              <w:rPr>
                <w:sz w:val="20"/>
                <w:szCs w:val="20"/>
              </w:rPr>
            </w:pPr>
            <w:r w:rsidRPr="006F1575">
              <w:rPr>
                <w:sz w:val="20"/>
                <w:szCs w:val="20"/>
              </w:rPr>
              <w:t>Ceramic</w:t>
            </w:r>
            <w:r w:rsidRPr="006F1575">
              <w:rPr>
                <w:spacing w:val="-52"/>
                <w:sz w:val="20"/>
                <w:szCs w:val="20"/>
              </w:rPr>
              <w:t xml:space="preserve"> </w:t>
            </w:r>
            <w:r w:rsidRPr="006F1575">
              <w:rPr>
                <w:sz w:val="20"/>
                <w:szCs w:val="20"/>
              </w:rPr>
              <w:t>based</w:t>
            </w:r>
          </w:p>
        </w:tc>
        <w:tc>
          <w:tcPr>
            <w:tcW w:w="0" w:type="auto"/>
          </w:tcPr>
          <w:p w14:paraId="3D657F4D" w14:textId="77777777" w:rsidR="006F1575" w:rsidRPr="006F1575" w:rsidRDefault="006F1575" w:rsidP="00894BFF">
            <w:pPr>
              <w:pStyle w:val="TableParagraph"/>
              <w:spacing w:before="13"/>
              <w:ind w:left="275" w:right="271"/>
              <w:rPr>
                <w:sz w:val="20"/>
                <w:szCs w:val="20"/>
              </w:rPr>
            </w:pPr>
            <w:r w:rsidRPr="006F1575">
              <w:rPr>
                <w:sz w:val="20"/>
                <w:szCs w:val="20"/>
              </w:rPr>
              <w:t>20/40</w:t>
            </w:r>
          </w:p>
        </w:tc>
        <w:tc>
          <w:tcPr>
            <w:tcW w:w="0" w:type="auto"/>
          </w:tcPr>
          <w:p w14:paraId="79D172E1" w14:textId="77777777" w:rsidR="006F1575" w:rsidRPr="006F1575" w:rsidRDefault="006F1575" w:rsidP="00894BFF">
            <w:pPr>
              <w:pStyle w:val="TableParagraph"/>
              <w:spacing w:before="13"/>
              <w:ind w:right="126"/>
              <w:jc w:val="right"/>
              <w:rPr>
                <w:sz w:val="20"/>
                <w:szCs w:val="20"/>
              </w:rPr>
            </w:pPr>
            <w:r w:rsidRPr="006F1575">
              <w:rPr>
                <w:sz w:val="20"/>
                <w:szCs w:val="20"/>
              </w:rPr>
              <w:t>600 to</w:t>
            </w:r>
            <w:r w:rsidRPr="006F1575">
              <w:rPr>
                <w:spacing w:val="-2"/>
                <w:sz w:val="20"/>
                <w:szCs w:val="20"/>
              </w:rPr>
              <w:t xml:space="preserve"> </w:t>
            </w:r>
            <w:r w:rsidRPr="006F1575">
              <w:rPr>
                <w:sz w:val="20"/>
                <w:szCs w:val="20"/>
              </w:rPr>
              <w:t>800</w:t>
            </w:r>
          </w:p>
        </w:tc>
      </w:tr>
      <w:tr w:rsidR="006F1575" w14:paraId="28BB6859" w14:textId="77777777" w:rsidTr="0062437B">
        <w:trPr>
          <w:trHeight w:val="290"/>
          <w:jc w:val="center"/>
        </w:trPr>
        <w:tc>
          <w:tcPr>
            <w:tcW w:w="0" w:type="auto"/>
            <w:vMerge/>
            <w:tcBorders>
              <w:top w:val="nil"/>
            </w:tcBorders>
          </w:tcPr>
          <w:p w14:paraId="3BE4EF45" w14:textId="77777777" w:rsidR="006F1575" w:rsidRPr="006F1575" w:rsidRDefault="006F1575" w:rsidP="00894BFF"/>
        </w:tc>
        <w:tc>
          <w:tcPr>
            <w:tcW w:w="0" w:type="auto"/>
          </w:tcPr>
          <w:p w14:paraId="58BC07CD" w14:textId="77777777" w:rsidR="006F1575" w:rsidRPr="006F1575" w:rsidRDefault="006F1575" w:rsidP="00894BFF">
            <w:pPr>
              <w:pStyle w:val="TableParagraph"/>
              <w:spacing w:before="13"/>
              <w:ind w:left="275" w:right="271"/>
              <w:rPr>
                <w:sz w:val="20"/>
                <w:szCs w:val="20"/>
              </w:rPr>
            </w:pPr>
            <w:r w:rsidRPr="006F1575">
              <w:rPr>
                <w:sz w:val="20"/>
                <w:szCs w:val="20"/>
              </w:rPr>
              <w:t>30/50</w:t>
            </w:r>
          </w:p>
        </w:tc>
        <w:tc>
          <w:tcPr>
            <w:tcW w:w="0" w:type="auto"/>
          </w:tcPr>
          <w:p w14:paraId="4084263A" w14:textId="5E7AAC99" w:rsidR="006F1575" w:rsidRPr="006F1575" w:rsidRDefault="006F1575" w:rsidP="00AB051C">
            <w:pPr>
              <w:pStyle w:val="TableParagraph"/>
              <w:numPr>
                <w:ilvl w:val="0"/>
                <w:numId w:val="16"/>
              </w:numPr>
              <w:spacing w:before="13"/>
              <w:ind w:right="182"/>
              <w:jc w:val="right"/>
              <w:rPr>
                <w:sz w:val="20"/>
                <w:szCs w:val="20"/>
              </w:rPr>
            </w:pPr>
            <w:r w:rsidRPr="006F1575">
              <w:rPr>
                <w:spacing w:val="-2"/>
                <w:sz w:val="20"/>
                <w:szCs w:val="20"/>
              </w:rPr>
              <w:t xml:space="preserve"> </w:t>
            </w:r>
            <w:r w:rsidRPr="006F1575">
              <w:rPr>
                <w:sz w:val="20"/>
                <w:szCs w:val="20"/>
              </w:rPr>
              <w:t>600</w:t>
            </w:r>
          </w:p>
        </w:tc>
      </w:tr>
    </w:tbl>
    <w:p w14:paraId="43E44444" w14:textId="77777777" w:rsidR="006F1575" w:rsidRDefault="006F1575" w:rsidP="0093121D">
      <w:pPr>
        <w:pStyle w:val="BodyText"/>
        <w:spacing w:after="0" w:line="240" w:lineRule="auto"/>
        <w:ind w:firstLine="0"/>
      </w:pPr>
    </w:p>
    <w:p w14:paraId="6D90C516" w14:textId="6D716A89" w:rsidR="00767BF4" w:rsidRDefault="00AB051C" w:rsidP="00AB051C">
      <w:pPr>
        <w:pStyle w:val="Heading2"/>
        <w:numPr>
          <w:ilvl w:val="0"/>
          <w:numId w:val="0"/>
        </w:numPr>
        <w:spacing w:before="0" w:after="0"/>
        <w:rPr>
          <w:b/>
          <w:bCs/>
          <w:i w:val="0"/>
          <w:iCs w:val="0"/>
        </w:rPr>
      </w:pPr>
      <w:r w:rsidRPr="00AB051C">
        <w:rPr>
          <w:bCs/>
          <w:i w:val="0"/>
        </w:rPr>
        <w:t>B.</w:t>
      </w:r>
      <w:r>
        <w:rPr>
          <w:b/>
          <w:i w:val="0"/>
        </w:rPr>
        <w:t xml:space="preserve"> </w:t>
      </w:r>
      <w:r w:rsidR="005E1816" w:rsidRPr="005E1816">
        <w:rPr>
          <w:b/>
          <w:bCs/>
          <w:i w:val="0"/>
          <w:iCs w:val="0"/>
        </w:rPr>
        <w:t>Sphericity and Roundness</w:t>
      </w:r>
    </w:p>
    <w:p w14:paraId="4C16EDD4" w14:textId="7EFEC394" w:rsidR="005866BD" w:rsidRDefault="00EC153B" w:rsidP="005866BD">
      <w:pPr>
        <w:pStyle w:val="BodyText"/>
        <w:spacing w:before="60" w:line="240" w:lineRule="auto"/>
        <w:ind w:right="135" w:firstLine="0"/>
      </w:pPr>
      <w:r>
        <w:tab/>
      </w:r>
      <w:r>
        <w:tab/>
      </w:r>
      <w:r w:rsidR="007604EC">
        <w:t>The tested sand sample for Roundness and Sphericity was found to be as per the recommended ISO requirement. So based on its sphericity and roundness, the sand sample in the current work can be recommended for use in hydraulic fracturing operations.</w:t>
      </w:r>
    </w:p>
    <w:p w14:paraId="576376B0" w14:textId="77777777" w:rsidR="0089000C" w:rsidRDefault="0089000C" w:rsidP="005866BD">
      <w:pPr>
        <w:pStyle w:val="BodyText"/>
        <w:spacing w:before="60" w:line="240" w:lineRule="auto"/>
        <w:ind w:right="135" w:firstLine="0"/>
      </w:pPr>
    </w:p>
    <w:p w14:paraId="180572BD" w14:textId="00124165" w:rsidR="005866BD" w:rsidRPr="0089000C" w:rsidRDefault="005866BD" w:rsidP="0089000C">
      <w:pPr>
        <w:pStyle w:val="BodyText"/>
        <w:spacing w:before="60" w:line="240" w:lineRule="auto"/>
        <w:ind w:right="135" w:firstLine="0"/>
        <w:jc w:val="center"/>
        <w:rPr>
          <w:b/>
          <w:bCs/>
        </w:rPr>
      </w:pPr>
      <w:r w:rsidRPr="0089000C">
        <w:rPr>
          <w:b/>
          <w:bCs/>
        </w:rPr>
        <w:t>Table</w:t>
      </w:r>
      <w:r w:rsidRPr="0089000C">
        <w:rPr>
          <w:b/>
          <w:bCs/>
          <w:spacing w:val="-1"/>
        </w:rPr>
        <w:t xml:space="preserve"> </w:t>
      </w:r>
      <w:r w:rsidRPr="0089000C">
        <w:rPr>
          <w:b/>
          <w:bCs/>
        </w:rPr>
        <w:t>2.</w:t>
      </w:r>
      <w:r w:rsidRPr="0089000C">
        <w:rPr>
          <w:b/>
          <w:bCs/>
          <w:spacing w:val="-1"/>
        </w:rPr>
        <w:t xml:space="preserve"> </w:t>
      </w:r>
      <w:r w:rsidRPr="0089000C">
        <w:rPr>
          <w:b/>
          <w:bCs/>
        </w:rPr>
        <w:t>Results</w:t>
      </w:r>
      <w:r w:rsidRPr="0089000C">
        <w:rPr>
          <w:b/>
          <w:bCs/>
          <w:spacing w:val="-1"/>
        </w:rPr>
        <w:t xml:space="preserve"> </w:t>
      </w:r>
      <w:r w:rsidRPr="0089000C">
        <w:rPr>
          <w:b/>
          <w:bCs/>
        </w:rPr>
        <w:t>for</w:t>
      </w:r>
      <w:r w:rsidRPr="0089000C">
        <w:rPr>
          <w:b/>
          <w:bCs/>
          <w:spacing w:val="-3"/>
        </w:rPr>
        <w:t xml:space="preserve"> </w:t>
      </w:r>
      <w:r w:rsidRPr="0089000C">
        <w:rPr>
          <w:b/>
          <w:bCs/>
        </w:rPr>
        <w:t>Roundness</w:t>
      </w:r>
      <w:r w:rsidRPr="0089000C">
        <w:rPr>
          <w:b/>
          <w:bCs/>
          <w:spacing w:val="-1"/>
        </w:rPr>
        <w:t xml:space="preserve"> </w:t>
      </w:r>
      <w:r w:rsidRPr="0089000C">
        <w:rPr>
          <w:b/>
          <w:bCs/>
        </w:rPr>
        <w:t>&amp;</w:t>
      </w:r>
      <w:r w:rsidRPr="0089000C">
        <w:rPr>
          <w:b/>
          <w:bCs/>
          <w:spacing w:val="-1"/>
        </w:rPr>
        <w:t xml:space="preserve"> </w:t>
      </w:r>
      <w:r w:rsidRPr="0089000C">
        <w:rPr>
          <w:b/>
          <w:bCs/>
        </w:rPr>
        <w:t>Sphericity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88"/>
        <w:gridCol w:w="1352"/>
        <w:gridCol w:w="1932"/>
        <w:gridCol w:w="1252"/>
      </w:tblGrid>
      <w:tr w:rsidR="005866BD" w14:paraId="0B445ECC" w14:textId="77777777" w:rsidTr="001000DD">
        <w:trPr>
          <w:trHeight w:val="870"/>
          <w:jc w:val="center"/>
        </w:trPr>
        <w:tc>
          <w:tcPr>
            <w:tcW w:w="0" w:type="auto"/>
          </w:tcPr>
          <w:p w14:paraId="5549AD11" w14:textId="77777777" w:rsidR="005866BD" w:rsidRPr="005866BD" w:rsidRDefault="005866BD" w:rsidP="00894BFF">
            <w:pPr>
              <w:pStyle w:val="TableParagraph"/>
              <w:spacing w:before="181"/>
              <w:ind w:left="328" w:right="298" w:firstLine="4"/>
              <w:jc w:val="left"/>
              <w:rPr>
                <w:sz w:val="20"/>
                <w:szCs w:val="20"/>
              </w:rPr>
            </w:pPr>
            <w:r w:rsidRPr="005866BD">
              <w:rPr>
                <w:sz w:val="20"/>
                <w:szCs w:val="20"/>
              </w:rPr>
              <w:t>Sand</w:t>
            </w:r>
            <w:r w:rsidRPr="005866BD">
              <w:rPr>
                <w:spacing w:val="-52"/>
                <w:sz w:val="20"/>
                <w:szCs w:val="20"/>
              </w:rPr>
              <w:t xml:space="preserve"> </w:t>
            </w:r>
            <w:r w:rsidRPr="005866BD">
              <w:rPr>
                <w:sz w:val="20"/>
                <w:szCs w:val="20"/>
              </w:rPr>
              <w:t>Type</w:t>
            </w:r>
          </w:p>
        </w:tc>
        <w:tc>
          <w:tcPr>
            <w:tcW w:w="0" w:type="auto"/>
          </w:tcPr>
          <w:p w14:paraId="06813880" w14:textId="77777777" w:rsidR="005866BD" w:rsidRPr="005866BD" w:rsidRDefault="005866BD" w:rsidP="00894BFF">
            <w:pPr>
              <w:pStyle w:val="TableParagraph"/>
              <w:spacing w:before="181"/>
              <w:ind w:left="345" w:right="264" w:hanging="56"/>
              <w:jc w:val="left"/>
              <w:rPr>
                <w:sz w:val="20"/>
                <w:szCs w:val="20"/>
              </w:rPr>
            </w:pPr>
            <w:r w:rsidRPr="005866BD">
              <w:rPr>
                <w:sz w:val="20"/>
                <w:szCs w:val="20"/>
              </w:rPr>
              <w:t>Mesh</w:t>
            </w:r>
            <w:r w:rsidRPr="005866BD">
              <w:rPr>
                <w:spacing w:val="-52"/>
                <w:sz w:val="20"/>
                <w:szCs w:val="20"/>
              </w:rPr>
              <w:t xml:space="preserve"> </w:t>
            </w:r>
            <w:r w:rsidRPr="005866BD">
              <w:rPr>
                <w:sz w:val="20"/>
                <w:szCs w:val="20"/>
              </w:rPr>
              <w:t>Size</w:t>
            </w:r>
          </w:p>
        </w:tc>
        <w:tc>
          <w:tcPr>
            <w:tcW w:w="0" w:type="auto"/>
          </w:tcPr>
          <w:p w14:paraId="26613961" w14:textId="77777777" w:rsidR="005866BD" w:rsidRPr="005866BD" w:rsidRDefault="005866BD" w:rsidP="00894BFF">
            <w:pPr>
              <w:pStyle w:val="TableParagraph"/>
              <w:spacing w:before="9"/>
              <w:jc w:val="left"/>
              <w:rPr>
                <w:sz w:val="20"/>
                <w:szCs w:val="20"/>
              </w:rPr>
            </w:pPr>
          </w:p>
          <w:p w14:paraId="7AE2FE86" w14:textId="77777777" w:rsidR="005866BD" w:rsidRPr="005866BD" w:rsidRDefault="005866BD" w:rsidP="00894BFF">
            <w:pPr>
              <w:pStyle w:val="TableParagraph"/>
              <w:ind w:left="87" w:right="79"/>
              <w:rPr>
                <w:sz w:val="20"/>
                <w:szCs w:val="20"/>
              </w:rPr>
            </w:pPr>
            <w:r w:rsidRPr="005866BD">
              <w:rPr>
                <w:sz w:val="20"/>
                <w:szCs w:val="20"/>
              </w:rPr>
              <w:t>Roundness/Sphericity</w:t>
            </w:r>
          </w:p>
        </w:tc>
        <w:tc>
          <w:tcPr>
            <w:tcW w:w="0" w:type="auto"/>
          </w:tcPr>
          <w:p w14:paraId="714B5509" w14:textId="77777777" w:rsidR="005866BD" w:rsidRPr="005866BD" w:rsidRDefault="005866BD" w:rsidP="00894BFF">
            <w:pPr>
              <w:pStyle w:val="TableParagraph"/>
              <w:spacing w:before="181" w:line="252" w:lineRule="exact"/>
              <w:ind w:left="142" w:right="133"/>
              <w:rPr>
                <w:sz w:val="20"/>
                <w:szCs w:val="20"/>
              </w:rPr>
            </w:pPr>
            <w:r w:rsidRPr="005866BD">
              <w:rPr>
                <w:sz w:val="20"/>
                <w:szCs w:val="20"/>
              </w:rPr>
              <w:t>ISO</w:t>
            </w:r>
          </w:p>
          <w:p w14:paraId="720A2BEF" w14:textId="77777777" w:rsidR="005866BD" w:rsidRPr="005866BD" w:rsidRDefault="005866BD" w:rsidP="00894BFF">
            <w:pPr>
              <w:pStyle w:val="TableParagraph"/>
              <w:spacing w:line="252" w:lineRule="exact"/>
              <w:ind w:left="142" w:right="133"/>
              <w:rPr>
                <w:sz w:val="20"/>
                <w:szCs w:val="20"/>
              </w:rPr>
            </w:pPr>
            <w:r w:rsidRPr="005866BD">
              <w:rPr>
                <w:sz w:val="20"/>
                <w:szCs w:val="20"/>
              </w:rPr>
              <w:t>requirement</w:t>
            </w:r>
          </w:p>
        </w:tc>
      </w:tr>
      <w:tr w:rsidR="005866BD" w14:paraId="747F8A5F" w14:textId="77777777" w:rsidTr="001000DD">
        <w:trPr>
          <w:trHeight w:val="290"/>
          <w:jc w:val="center"/>
        </w:trPr>
        <w:tc>
          <w:tcPr>
            <w:tcW w:w="0" w:type="auto"/>
            <w:vMerge w:val="restart"/>
          </w:tcPr>
          <w:p w14:paraId="58F56C09" w14:textId="77777777" w:rsidR="005866BD" w:rsidRPr="005866BD" w:rsidRDefault="005866BD" w:rsidP="00894BFF">
            <w:pPr>
              <w:pStyle w:val="TableParagraph"/>
              <w:spacing w:before="39"/>
              <w:ind w:left="285" w:right="256" w:firstLine="48"/>
              <w:jc w:val="left"/>
              <w:rPr>
                <w:sz w:val="20"/>
                <w:szCs w:val="20"/>
              </w:rPr>
            </w:pPr>
            <w:r w:rsidRPr="005866BD">
              <w:rPr>
                <w:sz w:val="20"/>
                <w:szCs w:val="20"/>
              </w:rPr>
              <w:t>Sand</w:t>
            </w:r>
            <w:r w:rsidRPr="005866BD">
              <w:rPr>
                <w:spacing w:val="-52"/>
                <w:sz w:val="20"/>
                <w:szCs w:val="20"/>
              </w:rPr>
              <w:t xml:space="preserve"> </w:t>
            </w:r>
            <w:r w:rsidRPr="005866BD">
              <w:rPr>
                <w:sz w:val="20"/>
                <w:szCs w:val="20"/>
              </w:rPr>
              <w:t>Based</w:t>
            </w:r>
          </w:p>
        </w:tc>
        <w:tc>
          <w:tcPr>
            <w:tcW w:w="0" w:type="auto"/>
          </w:tcPr>
          <w:p w14:paraId="5A3E6A63" w14:textId="77777777" w:rsidR="005866BD" w:rsidRPr="005866BD" w:rsidRDefault="005866BD" w:rsidP="00894BFF">
            <w:pPr>
              <w:pStyle w:val="TableParagraph"/>
              <w:spacing w:before="17" w:line="252" w:lineRule="exact"/>
              <w:ind w:left="285"/>
              <w:jc w:val="left"/>
              <w:rPr>
                <w:sz w:val="20"/>
                <w:szCs w:val="20"/>
              </w:rPr>
            </w:pPr>
            <w:r w:rsidRPr="005866BD">
              <w:rPr>
                <w:sz w:val="20"/>
                <w:szCs w:val="20"/>
              </w:rPr>
              <w:t>20/40</w:t>
            </w:r>
          </w:p>
        </w:tc>
        <w:tc>
          <w:tcPr>
            <w:tcW w:w="0" w:type="auto"/>
          </w:tcPr>
          <w:p w14:paraId="27843EFE" w14:textId="77777777" w:rsidR="005866BD" w:rsidRPr="005866BD" w:rsidRDefault="005866BD" w:rsidP="00894BFF">
            <w:pPr>
              <w:pStyle w:val="TableParagraph"/>
              <w:spacing w:before="17" w:line="252" w:lineRule="exact"/>
              <w:ind w:left="87" w:right="25"/>
              <w:rPr>
                <w:sz w:val="20"/>
                <w:szCs w:val="20"/>
              </w:rPr>
            </w:pPr>
            <w:r w:rsidRPr="005866BD">
              <w:rPr>
                <w:sz w:val="20"/>
                <w:szCs w:val="20"/>
              </w:rPr>
              <w:t>0.64-0.72</w:t>
            </w:r>
          </w:p>
        </w:tc>
        <w:tc>
          <w:tcPr>
            <w:tcW w:w="0" w:type="auto"/>
          </w:tcPr>
          <w:p w14:paraId="177166C0" w14:textId="77777777" w:rsidR="005866BD" w:rsidRPr="005866BD" w:rsidRDefault="005866BD" w:rsidP="00894BFF">
            <w:pPr>
              <w:pStyle w:val="TableParagraph"/>
              <w:spacing w:before="17" w:line="252" w:lineRule="exact"/>
              <w:ind w:left="141" w:right="133"/>
              <w:rPr>
                <w:sz w:val="20"/>
                <w:szCs w:val="20"/>
              </w:rPr>
            </w:pPr>
            <w:r w:rsidRPr="005866BD">
              <w:rPr>
                <w:sz w:val="20"/>
                <w:szCs w:val="20"/>
              </w:rPr>
              <w:t>0.6</w:t>
            </w:r>
          </w:p>
        </w:tc>
      </w:tr>
      <w:tr w:rsidR="005866BD" w14:paraId="62EDB7D8" w14:textId="77777777" w:rsidTr="001000DD">
        <w:trPr>
          <w:trHeight w:val="290"/>
          <w:jc w:val="center"/>
        </w:trPr>
        <w:tc>
          <w:tcPr>
            <w:tcW w:w="0" w:type="auto"/>
            <w:vMerge/>
            <w:tcBorders>
              <w:top w:val="nil"/>
            </w:tcBorders>
          </w:tcPr>
          <w:p w14:paraId="5BEC484F" w14:textId="77777777" w:rsidR="005866BD" w:rsidRPr="005866BD" w:rsidRDefault="005866BD" w:rsidP="00894BFF"/>
        </w:tc>
        <w:tc>
          <w:tcPr>
            <w:tcW w:w="0" w:type="auto"/>
          </w:tcPr>
          <w:p w14:paraId="129EEAD3" w14:textId="77777777" w:rsidR="005866BD" w:rsidRPr="005866BD" w:rsidRDefault="005866BD" w:rsidP="00894BFF">
            <w:pPr>
              <w:pStyle w:val="TableParagraph"/>
              <w:spacing w:before="17" w:line="252" w:lineRule="exact"/>
              <w:ind w:left="285"/>
              <w:jc w:val="left"/>
              <w:rPr>
                <w:sz w:val="20"/>
                <w:szCs w:val="20"/>
              </w:rPr>
            </w:pPr>
            <w:r w:rsidRPr="005866BD">
              <w:rPr>
                <w:sz w:val="20"/>
                <w:szCs w:val="20"/>
              </w:rPr>
              <w:t>30/50</w:t>
            </w:r>
          </w:p>
        </w:tc>
        <w:tc>
          <w:tcPr>
            <w:tcW w:w="0" w:type="auto"/>
          </w:tcPr>
          <w:p w14:paraId="75A3583F" w14:textId="77777777" w:rsidR="005866BD" w:rsidRPr="005866BD" w:rsidRDefault="005866BD" w:rsidP="00894BFF">
            <w:pPr>
              <w:pStyle w:val="TableParagraph"/>
              <w:spacing w:before="17" w:line="252" w:lineRule="exact"/>
              <w:ind w:left="32" w:right="79"/>
              <w:rPr>
                <w:sz w:val="20"/>
                <w:szCs w:val="20"/>
              </w:rPr>
            </w:pPr>
            <w:r w:rsidRPr="005866BD">
              <w:rPr>
                <w:sz w:val="20"/>
                <w:szCs w:val="20"/>
              </w:rPr>
              <w:t>0.62-0.7</w:t>
            </w:r>
          </w:p>
        </w:tc>
        <w:tc>
          <w:tcPr>
            <w:tcW w:w="0" w:type="auto"/>
          </w:tcPr>
          <w:p w14:paraId="167D608D" w14:textId="77777777" w:rsidR="005866BD" w:rsidRPr="005866BD" w:rsidRDefault="005866BD" w:rsidP="00894BFF">
            <w:pPr>
              <w:pStyle w:val="TableParagraph"/>
              <w:spacing w:before="17" w:line="252" w:lineRule="exact"/>
              <w:ind w:left="141" w:right="133"/>
              <w:rPr>
                <w:sz w:val="20"/>
                <w:szCs w:val="20"/>
              </w:rPr>
            </w:pPr>
            <w:r w:rsidRPr="005866BD">
              <w:rPr>
                <w:sz w:val="20"/>
                <w:szCs w:val="20"/>
              </w:rPr>
              <w:t>0.6</w:t>
            </w:r>
          </w:p>
        </w:tc>
      </w:tr>
      <w:tr w:rsidR="005866BD" w14:paraId="2990ACCB" w14:textId="77777777" w:rsidTr="001000DD">
        <w:trPr>
          <w:trHeight w:val="290"/>
          <w:jc w:val="center"/>
        </w:trPr>
        <w:tc>
          <w:tcPr>
            <w:tcW w:w="0" w:type="auto"/>
            <w:vMerge w:val="restart"/>
          </w:tcPr>
          <w:p w14:paraId="54B2C344" w14:textId="77777777" w:rsidR="005866BD" w:rsidRPr="005866BD" w:rsidRDefault="005866BD" w:rsidP="00894BFF">
            <w:pPr>
              <w:pStyle w:val="TableParagraph"/>
              <w:spacing w:before="39"/>
              <w:ind w:left="302" w:right="154" w:hanging="123"/>
              <w:jc w:val="left"/>
              <w:rPr>
                <w:sz w:val="20"/>
                <w:szCs w:val="20"/>
              </w:rPr>
            </w:pPr>
            <w:r w:rsidRPr="005866BD">
              <w:rPr>
                <w:sz w:val="20"/>
                <w:szCs w:val="20"/>
              </w:rPr>
              <w:lastRenderedPageBreak/>
              <w:t>Ceramic</w:t>
            </w:r>
            <w:r w:rsidRPr="005866BD">
              <w:rPr>
                <w:spacing w:val="-52"/>
                <w:sz w:val="20"/>
                <w:szCs w:val="20"/>
              </w:rPr>
              <w:t xml:space="preserve"> </w:t>
            </w:r>
            <w:r w:rsidRPr="005866BD">
              <w:rPr>
                <w:sz w:val="20"/>
                <w:szCs w:val="20"/>
              </w:rPr>
              <w:t>based</w:t>
            </w:r>
          </w:p>
        </w:tc>
        <w:tc>
          <w:tcPr>
            <w:tcW w:w="0" w:type="auto"/>
          </w:tcPr>
          <w:p w14:paraId="68F9F3D3" w14:textId="77777777" w:rsidR="005866BD" w:rsidRPr="005866BD" w:rsidRDefault="005866BD" w:rsidP="00894BFF">
            <w:pPr>
              <w:pStyle w:val="TableParagraph"/>
              <w:spacing w:before="17" w:line="252" w:lineRule="exact"/>
              <w:ind w:left="285"/>
              <w:jc w:val="left"/>
              <w:rPr>
                <w:sz w:val="20"/>
                <w:szCs w:val="20"/>
              </w:rPr>
            </w:pPr>
            <w:r w:rsidRPr="005866BD">
              <w:rPr>
                <w:sz w:val="20"/>
                <w:szCs w:val="20"/>
              </w:rPr>
              <w:t>20/40</w:t>
            </w:r>
          </w:p>
        </w:tc>
        <w:tc>
          <w:tcPr>
            <w:tcW w:w="0" w:type="auto"/>
          </w:tcPr>
          <w:p w14:paraId="580BC39C" w14:textId="77777777" w:rsidR="005866BD" w:rsidRPr="005866BD" w:rsidRDefault="005866BD" w:rsidP="00894BFF">
            <w:pPr>
              <w:pStyle w:val="TableParagraph"/>
              <w:spacing w:before="17" w:line="252" w:lineRule="exact"/>
              <w:ind w:left="32" w:right="79"/>
              <w:rPr>
                <w:sz w:val="20"/>
                <w:szCs w:val="20"/>
              </w:rPr>
            </w:pPr>
            <w:r w:rsidRPr="005866BD">
              <w:rPr>
                <w:sz w:val="20"/>
                <w:szCs w:val="20"/>
              </w:rPr>
              <w:t>0.80-0.95</w:t>
            </w:r>
          </w:p>
        </w:tc>
        <w:tc>
          <w:tcPr>
            <w:tcW w:w="0" w:type="auto"/>
          </w:tcPr>
          <w:p w14:paraId="565C2F55" w14:textId="77777777" w:rsidR="005866BD" w:rsidRPr="005866BD" w:rsidRDefault="005866BD" w:rsidP="00894BFF">
            <w:pPr>
              <w:pStyle w:val="TableParagraph"/>
              <w:spacing w:before="17" w:line="252" w:lineRule="exact"/>
              <w:ind w:left="141" w:right="133"/>
              <w:rPr>
                <w:sz w:val="20"/>
                <w:szCs w:val="20"/>
              </w:rPr>
            </w:pPr>
            <w:r w:rsidRPr="005866BD">
              <w:rPr>
                <w:sz w:val="20"/>
                <w:szCs w:val="20"/>
              </w:rPr>
              <w:t>0.6</w:t>
            </w:r>
          </w:p>
        </w:tc>
      </w:tr>
      <w:tr w:rsidR="005866BD" w14:paraId="405CEB83" w14:textId="77777777" w:rsidTr="001000DD">
        <w:trPr>
          <w:trHeight w:val="290"/>
          <w:jc w:val="center"/>
        </w:trPr>
        <w:tc>
          <w:tcPr>
            <w:tcW w:w="0" w:type="auto"/>
            <w:vMerge/>
            <w:tcBorders>
              <w:top w:val="nil"/>
            </w:tcBorders>
          </w:tcPr>
          <w:p w14:paraId="2E41A437" w14:textId="77777777" w:rsidR="005866BD" w:rsidRPr="005866BD" w:rsidRDefault="005866BD" w:rsidP="00894BFF"/>
        </w:tc>
        <w:tc>
          <w:tcPr>
            <w:tcW w:w="0" w:type="auto"/>
          </w:tcPr>
          <w:p w14:paraId="27459BDD" w14:textId="77777777" w:rsidR="005866BD" w:rsidRPr="005866BD" w:rsidRDefault="005866BD" w:rsidP="00894BFF">
            <w:pPr>
              <w:pStyle w:val="TableParagraph"/>
              <w:spacing w:before="17" w:line="252" w:lineRule="exact"/>
              <w:ind w:left="285"/>
              <w:jc w:val="left"/>
              <w:rPr>
                <w:sz w:val="20"/>
                <w:szCs w:val="20"/>
              </w:rPr>
            </w:pPr>
            <w:r w:rsidRPr="005866BD">
              <w:rPr>
                <w:sz w:val="20"/>
                <w:szCs w:val="20"/>
              </w:rPr>
              <w:t>30/50</w:t>
            </w:r>
          </w:p>
        </w:tc>
        <w:tc>
          <w:tcPr>
            <w:tcW w:w="0" w:type="auto"/>
          </w:tcPr>
          <w:p w14:paraId="34792482" w14:textId="77777777" w:rsidR="005866BD" w:rsidRPr="005866BD" w:rsidRDefault="005866BD" w:rsidP="00894BFF">
            <w:pPr>
              <w:pStyle w:val="TableParagraph"/>
              <w:spacing w:before="17" w:line="252" w:lineRule="exact"/>
              <w:ind w:left="87" w:right="25"/>
              <w:rPr>
                <w:sz w:val="20"/>
                <w:szCs w:val="20"/>
              </w:rPr>
            </w:pPr>
            <w:r w:rsidRPr="005866BD">
              <w:rPr>
                <w:sz w:val="20"/>
                <w:szCs w:val="20"/>
              </w:rPr>
              <w:t>0.78-0.95</w:t>
            </w:r>
          </w:p>
        </w:tc>
        <w:tc>
          <w:tcPr>
            <w:tcW w:w="0" w:type="auto"/>
          </w:tcPr>
          <w:p w14:paraId="267A640C" w14:textId="77777777" w:rsidR="005866BD" w:rsidRPr="005866BD" w:rsidRDefault="005866BD" w:rsidP="00894BFF">
            <w:pPr>
              <w:pStyle w:val="TableParagraph"/>
              <w:spacing w:before="17" w:line="252" w:lineRule="exact"/>
              <w:ind w:left="141" w:right="133"/>
              <w:rPr>
                <w:sz w:val="20"/>
                <w:szCs w:val="20"/>
              </w:rPr>
            </w:pPr>
            <w:r w:rsidRPr="005866BD">
              <w:rPr>
                <w:sz w:val="20"/>
                <w:szCs w:val="20"/>
              </w:rPr>
              <w:t>0.6</w:t>
            </w:r>
          </w:p>
        </w:tc>
      </w:tr>
    </w:tbl>
    <w:p w14:paraId="3823ED0C" w14:textId="57753F56" w:rsidR="005866BD" w:rsidRDefault="00556157" w:rsidP="005866BD">
      <w:pPr>
        <w:pStyle w:val="BodyText"/>
        <w:spacing w:before="60" w:line="240" w:lineRule="auto"/>
        <w:ind w:right="135" w:firstLine="0"/>
        <w:rPr>
          <w:b/>
          <w:bCs/>
        </w:rPr>
      </w:pPr>
      <w:r>
        <w:t xml:space="preserve">C. </w:t>
      </w:r>
      <w:r w:rsidRPr="00556157">
        <w:rPr>
          <w:b/>
          <w:bCs/>
        </w:rPr>
        <w:t>Acid Solubility</w:t>
      </w:r>
    </w:p>
    <w:p w14:paraId="0181D1E0" w14:textId="787A50F8" w:rsidR="00556157" w:rsidRPr="007A2EFB" w:rsidRDefault="00817823" w:rsidP="005866BD">
      <w:pPr>
        <w:pStyle w:val="BodyText"/>
        <w:spacing w:before="60" w:line="240" w:lineRule="auto"/>
        <w:ind w:right="135" w:firstLine="0"/>
      </w:pPr>
      <w:r>
        <w:rPr>
          <w:spacing w:val="-1"/>
        </w:rPr>
        <w:tab/>
      </w:r>
      <w:r>
        <w:rPr>
          <w:spacing w:val="-1"/>
        </w:rPr>
        <w:tab/>
      </w:r>
      <w:r w:rsidR="007A0808">
        <w:t>The equation used for measuring acid solubility is referred to in equation 3.</w:t>
      </w:r>
      <w:r>
        <w:t xml:space="preserve"> </w:t>
      </w:r>
    </w:p>
    <w:p w14:paraId="2A269E76" w14:textId="3DEB1CB9" w:rsidR="00556157" w:rsidRPr="00CC62DE" w:rsidRDefault="00CC62DE" w:rsidP="00817823">
      <w:pPr>
        <w:pStyle w:val="BodyText"/>
        <w:spacing w:before="60" w:line="240" w:lineRule="auto"/>
        <w:ind w:left="720" w:right="135" w:firstLine="0"/>
        <w:rPr>
          <w:iCs/>
        </w:rPr>
      </w:pPr>
      <m:oMath>
        <m:r>
          <m:rPr>
            <m:sty m:val="p"/>
          </m:rPr>
          <w:rPr>
            <w:rFonts w:ascii="Cambria Math" w:eastAsia="Cambria Math" w:hAnsi="Cambria Math"/>
          </w:rPr>
          <m:t>S=</m:t>
        </m:r>
        <m:f>
          <m:fPr>
            <m:ctrlPr>
              <w:rPr>
                <w:rFonts w:ascii="Cambria Math" w:eastAsia="Cambria Math" w:hAnsi="Cambria Math"/>
                <w:iCs/>
              </w:rPr>
            </m:ctrlPr>
          </m:fPr>
          <m:num>
            <m:d>
              <m:dPr>
                <m:ctrlPr>
                  <w:rPr>
                    <w:rFonts w:ascii="Cambria Math" w:eastAsia="Cambria Math" w:hAnsi="Cambria Math"/>
                    <w:iCs/>
                  </w:rPr>
                </m:ctrlPr>
              </m:dPr>
              <m:e>
                <m:sSub>
                  <m:sSubPr>
                    <m:ctrlPr>
                      <w:rPr>
                        <w:rFonts w:ascii="Cambria Math" w:eastAsia="Cambria Math" w:hAnsi="Cambria Math"/>
                        <w:iCs/>
                      </w:rPr>
                    </m:ctrlPr>
                  </m:sSubPr>
                  <m:e>
                    <m:r>
                      <m:rPr>
                        <m:sty m:val="p"/>
                      </m:rPr>
                      <w:rPr>
                        <w:rFonts w:ascii="Cambria Math" w:eastAsia="Cambria Math" w:hAnsi="Cambria Math"/>
                      </w:rPr>
                      <m:t>m</m:t>
                    </m:r>
                  </m:e>
                  <m:sub>
                    <m:r>
                      <m:rPr>
                        <m:sty m:val="p"/>
                      </m:rPr>
                      <w:rPr>
                        <w:rFonts w:ascii="Cambria Math" w:eastAsia="Cambria Math" w:hAnsi="Cambria Math"/>
                      </w:rPr>
                      <m:t>s</m:t>
                    </m:r>
                  </m:sub>
                </m:sSub>
                <m:r>
                  <m:rPr>
                    <m:sty m:val="p"/>
                  </m:rPr>
                  <w:rPr>
                    <w:rFonts w:ascii="Cambria Math" w:eastAsia="Cambria Math" w:hAnsi="Cambria Math"/>
                  </w:rPr>
                  <m:t>+</m:t>
                </m:r>
                <m:sSub>
                  <m:sSubPr>
                    <m:ctrlPr>
                      <w:rPr>
                        <w:rFonts w:ascii="Cambria Math" w:eastAsia="Cambria Math" w:hAnsi="Cambria Math"/>
                        <w:iCs/>
                      </w:rPr>
                    </m:ctrlPr>
                  </m:sSubPr>
                  <m:e>
                    <m:r>
                      <m:rPr>
                        <m:sty m:val="p"/>
                      </m:rPr>
                      <w:rPr>
                        <w:rFonts w:ascii="Cambria Math" w:eastAsia="Cambria Math" w:hAnsi="Cambria Math"/>
                      </w:rPr>
                      <m:t>m</m:t>
                    </m:r>
                  </m:e>
                  <m:sub>
                    <m:r>
                      <m:rPr>
                        <m:sty m:val="p"/>
                      </m:rPr>
                      <w:rPr>
                        <w:rFonts w:ascii="Cambria Math" w:eastAsia="Cambria Math" w:hAnsi="Cambria Math"/>
                      </w:rPr>
                      <m:t>f</m:t>
                    </m:r>
                  </m:sub>
                </m:sSub>
                <m:r>
                  <m:rPr>
                    <m:sty m:val="p"/>
                  </m:rPr>
                  <w:rPr>
                    <w:rFonts w:ascii="Cambria Math" w:eastAsia="Cambria Math" w:hAnsi="Cambria Math"/>
                  </w:rPr>
                  <m:t>-</m:t>
                </m:r>
                <m:sSub>
                  <m:sSubPr>
                    <m:ctrlPr>
                      <w:rPr>
                        <w:rFonts w:ascii="Cambria Math" w:eastAsia="Cambria Math" w:hAnsi="Cambria Math"/>
                        <w:iCs/>
                      </w:rPr>
                    </m:ctrlPr>
                  </m:sSubPr>
                  <m:e>
                    <m:r>
                      <m:rPr>
                        <m:sty m:val="p"/>
                      </m:rPr>
                      <w:rPr>
                        <w:rFonts w:ascii="Cambria Math" w:eastAsia="Cambria Math" w:hAnsi="Cambria Math"/>
                      </w:rPr>
                      <m:t>m</m:t>
                    </m:r>
                  </m:e>
                  <m:sub>
                    <m:r>
                      <m:rPr>
                        <m:sty m:val="p"/>
                      </m:rPr>
                      <w:rPr>
                        <w:rFonts w:ascii="Cambria Math" w:eastAsia="Cambria Math" w:hAnsi="Cambria Math"/>
                      </w:rPr>
                      <m:t>fs</m:t>
                    </m:r>
                  </m:sub>
                </m:sSub>
              </m:e>
            </m:d>
            <m:r>
              <m:rPr>
                <m:sty m:val="p"/>
              </m:rPr>
              <w:rPr>
                <w:rFonts w:ascii="Cambria Math" w:eastAsia="Cambria Math" w:hAnsi="Cambria Math"/>
              </w:rPr>
              <m:t>x100</m:t>
            </m:r>
          </m:num>
          <m:den>
            <m:sSub>
              <m:sSubPr>
                <m:ctrlPr>
                  <w:rPr>
                    <w:rFonts w:ascii="Cambria Math" w:eastAsia="Cambria Math" w:hAnsi="Cambria Math"/>
                    <w:iCs/>
                  </w:rPr>
                </m:ctrlPr>
              </m:sSubPr>
              <m:e>
                <m:r>
                  <m:rPr>
                    <m:sty m:val="p"/>
                  </m:rPr>
                  <w:rPr>
                    <w:rFonts w:ascii="Cambria Math" w:eastAsia="Cambria Math" w:hAnsi="Cambria Math"/>
                  </w:rPr>
                  <m:t>m</m:t>
                </m:r>
              </m:e>
              <m:sub>
                <m:r>
                  <m:rPr>
                    <m:sty m:val="p"/>
                  </m:rPr>
                  <w:rPr>
                    <w:rFonts w:ascii="Cambria Math" w:eastAsia="Cambria Math" w:hAnsi="Cambria Math"/>
                  </w:rPr>
                  <m:t>s</m:t>
                </m:r>
              </m:sub>
            </m:sSub>
          </m:den>
        </m:f>
      </m:oMath>
      <w:r w:rsidR="00817823">
        <w:rPr>
          <w:iCs/>
        </w:rPr>
        <w:t xml:space="preserve"> .. (Eq. 3)</w:t>
      </w:r>
    </w:p>
    <w:p w14:paraId="1DB72C13" w14:textId="08BF094C" w:rsidR="00874FB1" w:rsidRDefault="00C529C9" w:rsidP="00A639EB">
      <w:pPr>
        <w:jc w:val="both"/>
      </w:pPr>
      <w:r>
        <w:t xml:space="preserve">where </w:t>
      </w:r>
      <w:r w:rsidR="00874FB1">
        <w:t xml:space="preserve">    </w:t>
      </w:r>
      <w:proofErr w:type="spellStart"/>
      <w:r w:rsidR="00874FB1" w:rsidRPr="00874FB1">
        <w:rPr>
          <w:rStyle w:val="Emphasis"/>
          <w:rFonts w:eastAsia="MS Mincho"/>
          <w:color w:val="252525"/>
        </w:rPr>
        <w:t>m</w:t>
      </w:r>
      <w:r w:rsidR="00874FB1" w:rsidRPr="00C529C9">
        <w:rPr>
          <w:i/>
          <w:iCs/>
          <w:vertAlign w:val="subscript"/>
        </w:rPr>
        <w:t>s</w:t>
      </w:r>
      <w:proofErr w:type="spellEnd"/>
      <w:r w:rsidR="00874FB1">
        <w:t xml:space="preserve">: </w:t>
      </w:r>
      <w:r>
        <w:t xml:space="preserve">sample mass, </w:t>
      </w:r>
    </w:p>
    <w:p w14:paraId="315CD1E6" w14:textId="77777777" w:rsidR="00874FB1" w:rsidRDefault="00C529C9" w:rsidP="00874FB1">
      <w:pPr>
        <w:ind w:firstLine="720"/>
        <w:jc w:val="both"/>
      </w:pPr>
      <w:r>
        <w:rPr>
          <w:rStyle w:val="Emphasis"/>
          <w:rFonts w:eastAsia="MS Mincho"/>
        </w:rPr>
        <w:t>m</w:t>
      </w:r>
      <w:r w:rsidRPr="00C529C9">
        <w:rPr>
          <w:rStyle w:val="Emphasis"/>
          <w:rFonts w:eastAsia="MS Mincho"/>
          <w:vertAlign w:val="subscript"/>
        </w:rPr>
        <w:t>f</w:t>
      </w:r>
      <w:r w:rsidR="00874FB1">
        <w:rPr>
          <w:rStyle w:val="Emphasis"/>
          <w:rFonts w:eastAsia="MS Mincho"/>
        </w:rPr>
        <w:t xml:space="preserve">: </w:t>
      </w:r>
      <w:r>
        <w:t xml:space="preserve">mass of the filter, and </w:t>
      </w:r>
    </w:p>
    <w:p w14:paraId="615405A1" w14:textId="77777777" w:rsidR="00874FB1" w:rsidRDefault="00C529C9" w:rsidP="00874FB1">
      <w:pPr>
        <w:ind w:firstLine="720"/>
        <w:jc w:val="both"/>
      </w:pPr>
      <w:proofErr w:type="spellStart"/>
      <w:r>
        <w:rPr>
          <w:rStyle w:val="Emphasis"/>
          <w:rFonts w:eastAsia="MS Mincho"/>
        </w:rPr>
        <w:t>m</w:t>
      </w:r>
      <w:r w:rsidRPr="00C529C9">
        <w:rPr>
          <w:rStyle w:val="Emphasis"/>
          <w:rFonts w:eastAsia="MS Mincho"/>
          <w:vertAlign w:val="subscript"/>
        </w:rPr>
        <w:t>fs</w:t>
      </w:r>
      <w:proofErr w:type="spellEnd"/>
      <w:r w:rsidR="00874FB1">
        <w:rPr>
          <w:rStyle w:val="Emphasis"/>
          <w:rFonts w:eastAsia="MS Mincho"/>
        </w:rPr>
        <w:t xml:space="preserve">: </w:t>
      </w:r>
      <w:r w:rsidR="00874FB1">
        <w:rPr>
          <w:rStyle w:val="Emphasis"/>
          <w:rFonts w:eastAsia="MS Mincho"/>
          <w:i w:val="0"/>
          <w:iCs w:val="0"/>
        </w:rPr>
        <w:t>dry</w:t>
      </w:r>
      <w:r>
        <w:t xml:space="preserve"> mass of the filter, expressed in grammes.</w:t>
      </w:r>
      <w:r w:rsidR="00462338">
        <w:t xml:space="preserve"> </w:t>
      </w:r>
    </w:p>
    <w:p w14:paraId="2AE53F14" w14:textId="66944626" w:rsidR="00A639EB" w:rsidRDefault="00462338" w:rsidP="00874FB1">
      <w:pPr>
        <w:jc w:val="both"/>
        <w:rPr>
          <w:color w:val="252525"/>
        </w:rPr>
      </w:pPr>
      <w:r w:rsidRPr="00462338">
        <w:rPr>
          <w:color w:val="252525"/>
        </w:rPr>
        <w:t>The tested sand sample for Acid Solubility was within the recommended ISO requirement. So based on its Acid Solubility, the sand sample can be recommended for use in hydraulic fracturing operations [1, 3, 4].</w:t>
      </w:r>
    </w:p>
    <w:p w14:paraId="13F435DC" w14:textId="1113425A" w:rsidR="007737C8" w:rsidRDefault="00462338" w:rsidP="00A639EB">
      <w:pPr>
        <w:jc w:val="both"/>
      </w:pPr>
      <w:r>
        <w:t> </w:t>
      </w:r>
    </w:p>
    <w:p w14:paraId="74D939F2" w14:textId="6ED49B1C" w:rsidR="008026C4" w:rsidRDefault="008026C4" w:rsidP="007737C8">
      <w:pPr>
        <w:rPr>
          <w:b/>
          <w:bCs/>
        </w:rPr>
      </w:pPr>
      <w:r w:rsidRPr="007737C8">
        <w:rPr>
          <w:b/>
          <w:bCs/>
        </w:rPr>
        <w:t>Table</w:t>
      </w:r>
      <w:r w:rsidRPr="007737C8">
        <w:rPr>
          <w:b/>
          <w:bCs/>
          <w:spacing w:val="-1"/>
        </w:rPr>
        <w:t xml:space="preserve"> </w:t>
      </w:r>
      <w:r w:rsidRPr="007737C8">
        <w:rPr>
          <w:b/>
          <w:bCs/>
        </w:rPr>
        <w:t>3.</w:t>
      </w:r>
      <w:r w:rsidRPr="007737C8">
        <w:rPr>
          <w:b/>
          <w:bCs/>
          <w:spacing w:val="-1"/>
        </w:rPr>
        <w:t xml:space="preserve"> </w:t>
      </w:r>
      <w:r w:rsidRPr="007737C8">
        <w:rPr>
          <w:b/>
          <w:bCs/>
        </w:rPr>
        <w:t>Results</w:t>
      </w:r>
      <w:r w:rsidRPr="007737C8">
        <w:rPr>
          <w:b/>
          <w:bCs/>
          <w:spacing w:val="-1"/>
        </w:rPr>
        <w:t xml:space="preserve"> </w:t>
      </w:r>
      <w:r w:rsidRPr="007737C8">
        <w:rPr>
          <w:b/>
          <w:bCs/>
        </w:rPr>
        <w:t>for</w:t>
      </w:r>
      <w:r w:rsidRPr="007737C8">
        <w:rPr>
          <w:b/>
          <w:bCs/>
          <w:spacing w:val="-3"/>
        </w:rPr>
        <w:t xml:space="preserve"> </w:t>
      </w:r>
      <w:r w:rsidRPr="007737C8">
        <w:rPr>
          <w:b/>
          <w:bCs/>
        </w:rPr>
        <w:t>Acid</w:t>
      </w:r>
      <w:r w:rsidRPr="007737C8">
        <w:rPr>
          <w:b/>
          <w:bCs/>
          <w:spacing w:val="1"/>
        </w:rPr>
        <w:t xml:space="preserve"> </w:t>
      </w:r>
      <w:r w:rsidRPr="007737C8">
        <w:rPr>
          <w:b/>
          <w:bCs/>
        </w:rPr>
        <w:t>Solubility</w:t>
      </w:r>
    </w:p>
    <w:p w14:paraId="34F19863" w14:textId="77777777" w:rsidR="00683B7A" w:rsidRPr="007737C8" w:rsidRDefault="00683B7A" w:rsidP="007737C8">
      <w:pPr>
        <w:rPr>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0"/>
        <w:gridCol w:w="1481"/>
        <w:gridCol w:w="1441"/>
      </w:tblGrid>
      <w:tr w:rsidR="008026C4" w14:paraId="31AB417D" w14:textId="77777777" w:rsidTr="00683B7A">
        <w:trPr>
          <w:trHeight w:val="580"/>
          <w:jc w:val="center"/>
        </w:trPr>
        <w:tc>
          <w:tcPr>
            <w:tcW w:w="1280" w:type="dxa"/>
          </w:tcPr>
          <w:p w14:paraId="16612A17" w14:textId="77777777" w:rsidR="008026C4" w:rsidRPr="008026C4" w:rsidRDefault="008026C4" w:rsidP="00894BFF">
            <w:pPr>
              <w:pStyle w:val="TableParagraph"/>
              <w:spacing w:before="161"/>
              <w:ind w:left="166"/>
              <w:jc w:val="left"/>
              <w:rPr>
                <w:sz w:val="20"/>
                <w:szCs w:val="20"/>
              </w:rPr>
            </w:pPr>
            <w:r w:rsidRPr="008026C4">
              <w:rPr>
                <w:sz w:val="20"/>
                <w:szCs w:val="20"/>
              </w:rPr>
              <w:t>Sand</w:t>
            </w:r>
            <w:r w:rsidRPr="008026C4">
              <w:rPr>
                <w:spacing w:val="1"/>
                <w:sz w:val="20"/>
                <w:szCs w:val="20"/>
              </w:rPr>
              <w:t xml:space="preserve"> </w:t>
            </w:r>
            <w:r w:rsidRPr="008026C4">
              <w:rPr>
                <w:sz w:val="20"/>
                <w:szCs w:val="20"/>
              </w:rPr>
              <w:t>Type</w:t>
            </w:r>
          </w:p>
        </w:tc>
        <w:tc>
          <w:tcPr>
            <w:tcW w:w="1481" w:type="dxa"/>
          </w:tcPr>
          <w:p w14:paraId="289869A2" w14:textId="77777777" w:rsidR="008026C4" w:rsidRPr="008026C4" w:rsidRDefault="008026C4" w:rsidP="00894BFF">
            <w:pPr>
              <w:pStyle w:val="TableParagraph"/>
              <w:spacing w:before="161"/>
              <w:ind w:left="261" w:right="248"/>
              <w:rPr>
                <w:sz w:val="20"/>
                <w:szCs w:val="20"/>
              </w:rPr>
            </w:pPr>
            <w:r w:rsidRPr="008026C4">
              <w:rPr>
                <w:sz w:val="20"/>
                <w:szCs w:val="20"/>
              </w:rPr>
              <w:t>Mesh</w:t>
            </w:r>
            <w:r w:rsidRPr="008026C4">
              <w:rPr>
                <w:spacing w:val="-1"/>
                <w:sz w:val="20"/>
                <w:szCs w:val="20"/>
              </w:rPr>
              <w:t xml:space="preserve"> </w:t>
            </w:r>
            <w:r w:rsidRPr="008026C4">
              <w:rPr>
                <w:sz w:val="20"/>
                <w:szCs w:val="20"/>
              </w:rPr>
              <w:t>Size</w:t>
            </w:r>
          </w:p>
        </w:tc>
        <w:tc>
          <w:tcPr>
            <w:tcW w:w="1441" w:type="dxa"/>
          </w:tcPr>
          <w:p w14:paraId="7A1924F2" w14:textId="77777777" w:rsidR="008026C4" w:rsidRPr="008026C4" w:rsidRDefault="008026C4" w:rsidP="00894BFF">
            <w:pPr>
              <w:pStyle w:val="TableParagraph"/>
              <w:spacing w:before="37"/>
              <w:ind w:left="285" w:right="258" w:firstLine="218"/>
              <w:jc w:val="left"/>
              <w:rPr>
                <w:sz w:val="20"/>
                <w:szCs w:val="20"/>
              </w:rPr>
            </w:pPr>
            <w:r w:rsidRPr="008026C4">
              <w:rPr>
                <w:sz w:val="20"/>
                <w:szCs w:val="20"/>
              </w:rPr>
              <w:t>Acid</w:t>
            </w:r>
            <w:r w:rsidRPr="008026C4">
              <w:rPr>
                <w:spacing w:val="1"/>
                <w:sz w:val="20"/>
                <w:szCs w:val="20"/>
              </w:rPr>
              <w:t xml:space="preserve"> </w:t>
            </w:r>
            <w:r w:rsidRPr="008026C4">
              <w:rPr>
                <w:sz w:val="20"/>
                <w:szCs w:val="20"/>
              </w:rPr>
              <w:t>Solubility</w:t>
            </w:r>
          </w:p>
        </w:tc>
      </w:tr>
      <w:tr w:rsidR="008026C4" w14:paraId="31F98FF5" w14:textId="77777777" w:rsidTr="00683B7A">
        <w:trPr>
          <w:trHeight w:val="290"/>
          <w:jc w:val="center"/>
        </w:trPr>
        <w:tc>
          <w:tcPr>
            <w:tcW w:w="1280" w:type="dxa"/>
            <w:vMerge w:val="restart"/>
          </w:tcPr>
          <w:p w14:paraId="11FC2FB4" w14:textId="77777777" w:rsidR="008026C4" w:rsidRPr="008026C4" w:rsidRDefault="008026C4" w:rsidP="00894BFF">
            <w:pPr>
              <w:pStyle w:val="TableParagraph"/>
              <w:spacing w:before="166"/>
              <w:ind w:left="122"/>
              <w:jc w:val="left"/>
              <w:rPr>
                <w:sz w:val="20"/>
                <w:szCs w:val="20"/>
              </w:rPr>
            </w:pPr>
            <w:r w:rsidRPr="008026C4">
              <w:rPr>
                <w:sz w:val="20"/>
                <w:szCs w:val="20"/>
              </w:rPr>
              <w:t>Sand Based</w:t>
            </w:r>
          </w:p>
        </w:tc>
        <w:tc>
          <w:tcPr>
            <w:tcW w:w="1481" w:type="dxa"/>
          </w:tcPr>
          <w:p w14:paraId="12BED752" w14:textId="77777777" w:rsidR="008026C4" w:rsidRPr="008026C4" w:rsidRDefault="008026C4" w:rsidP="00894BFF">
            <w:pPr>
              <w:pStyle w:val="TableParagraph"/>
              <w:spacing w:before="17" w:line="252" w:lineRule="exact"/>
              <w:ind w:left="261" w:right="245"/>
              <w:rPr>
                <w:sz w:val="20"/>
                <w:szCs w:val="20"/>
              </w:rPr>
            </w:pPr>
            <w:r w:rsidRPr="008026C4">
              <w:rPr>
                <w:sz w:val="20"/>
                <w:szCs w:val="20"/>
              </w:rPr>
              <w:t>20/40</w:t>
            </w:r>
          </w:p>
        </w:tc>
        <w:tc>
          <w:tcPr>
            <w:tcW w:w="1441" w:type="dxa"/>
          </w:tcPr>
          <w:p w14:paraId="3E5730D7" w14:textId="77777777" w:rsidR="008026C4" w:rsidRPr="008026C4" w:rsidRDefault="008026C4" w:rsidP="00894BFF">
            <w:pPr>
              <w:pStyle w:val="TableParagraph"/>
              <w:spacing w:before="17" w:line="252" w:lineRule="exact"/>
              <w:ind w:left="61"/>
              <w:rPr>
                <w:sz w:val="20"/>
                <w:szCs w:val="20"/>
              </w:rPr>
            </w:pPr>
            <w:r w:rsidRPr="008026C4">
              <w:rPr>
                <w:sz w:val="20"/>
                <w:szCs w:val="20"/>
              </w:rPr>
              <w:t>2</w:t>
            </w:r>
          </w:p>
        </w:tc>
      </w:tr>
      <w:tr w:rsidR="008026C4" w14:paraId="0F0D1547" w14:textId="77777777" w:rsidTr="00683B7A">
        <w:trPr>
          <w:trHeight w:val="290"/>
          <w:jc w:val="center"/>
        </w:trPr>
        <w:tc>
          <w:tcPr>
            <w:tcW w:w="1280" w:type="dxa"/>
            <w:vMerge/>
            <w:tcBorders>
              <w:top w:val="nil"/>
            </w:tcBorders>
          </w:tcPr>
          <w:p w14:paraId="4E147A67" w14:textId="77777777" w:rsidR="008026C4" w:rsidRPr="008026C4" w:rsidRDefault="008026C4" w:rsidP="00894BFF"/>
        </w:tc>
        <w:tc>
          <w:tcPr>
            <w:tcW w:w="1481" w:type="dxa"/>
          </w:tcPr>
          <w:p w14:paraId="02A89771" w14:textId="77777777" w:rsidR="008026C4" w:rsidRPr="008026C4" w:rsidRDefault="008026C4" w:rsidP="00894BFF">
            <w:pPr>
              <w:pStyle w:val="TableParagraph"/>
              <w:spacing w:before="17" w:line="252" w:lineRule="exact"/>
              <w:ind w:left="261" w:right="245"/>
              <w:rPr>
                <w:sz w:val="20"/>
                <w:szCs w:val="20"/>
              </w:rPr>
            </w:pPr>
            <w:r w:rsidRPr="008026C4">
              <w:rPr>
                <w:sz w:val="20"/>
                <w:szCs w:val="20"/>
              </w:rPr>
              <w:t>30/50</w:t>
            </w:r>
          </w:p>
        </w:tc>
        <w:tc>
          <w:tcPr>
            <w:tcW w:w="1441" w:type="dxa"/>
          </w:tcPr>
          <w:p w14:paraId="18C66B3F" w14:textId="77777777" w:rsidR="008026C4" w:rsidRPr="008026C4" w:rsidRDefault="008026C4" w:rsidP="00894BFF">
            <w:pPr>
              <w:pStyle w:val="TableParagraph"/>
              <w:spacing w:before="17" w:line="252" w:lineRule="exact"/>
              <w:ind w:left="61"/>
              <w:rPr>
                <w:sz w:val="20"/>
                <w:szCs w:val="20"/>
              </w:rPr>
            </w:pPr>
            <w:r w:rsidRPr="008026C4">
              <w:rPr>
                <w:sz w:val="20"/>
                <w:szCs w:val="20"/>
              </w:rPr>
              <w:t>2</w:t>
            </w:r>
          </w:p>
        </w:tc>
      </w:tr>
      <w:tr w:rsidR="008026C4" w14:paraId="1D1BB811" w14:textId="77777777" w:rsidTr="00683B7A">
        <w:trPr>
          <w:trHeight w:val="290"/>
          <w:jc w:val="center"/>
        </w:trPr>
        <w:tc>
          <w:tcPr>
            <w:tcW w:w="1280" w:type="dxa"/>
            <w:vMerge w:val="restart"/>
          </w:tcPr>
          <w:p w14:paraId="03F5F08E" w14:textId="77777777" w:rsidR="008026C4" w:rsidRPr="008026C4" w:rsidRDefault="008026C4" w:rsidP="00894BFF">
            <w:pPr>
              <w:pStyle w:val="TableParagraph"/>
              <w:spacing w:before="41"/>
              <w:ind w:left="389" w:right="238" w:hanging="123"/>
              <w:jc w:val="left"/>
              <w:rPr>
                <w:sz w:val="20"/>
                <w:szCs w:val="20"/>
              </w:rPr>
            </w:pPr>
            <w:r w:rsidRPr="008026C4">
              <w:rPr>
                <w:sz w:val="20"/>
                <w:szCs w:val="20"/>
              </w:rPr>
              <w:t>Ceramic</w:t>
            </w:r>
            <w:r w:rsidRPr="008026C4">
              <w:rPr>
                <w:spacing w:val="-52"/>
                <w:sz w:val="20"/>
                <w:szCs w:val="20"/>
              </w:rPr>
              <w:t xml:space="preserve"> </w:t>
            </w:r>
            <w:r w:rsidRPr="008026C4">
              <w:rPr>
                <w:sz w:val="20"/>
                <w:szCs w:val="20"/>
              </w:rPr>
              <w:t>based</w:t>
            </w:r>
          </w:p>
        </w:tc>
        <w:tc>
          <w:tcPr>
            <w:tcW w:w="1481" w:type="dxa"/>
          </w:tcPr>
          <w:p w14:paraId="0D1A2E10" w14:textId="77777777" w:rsidR="008026C4" w:rsidRPr="008026C4" w:rsidRDefault="008026C4" w:rsidP="00894BFF">
            <w:pPr>
              <w:pStyle w:val="TableParagraph"/>
              <w:spacing w:before="17" w:line="252" w:lineRule="exact"/>
              <w:ind w:left="261" w:right="245"/>
              <w:rPr>
                <w:sz w:val="20"/>
                <w:szCs w:val="20"/>
              </w:rPr>
            </w:pPr>
            <w:r w:rsidRPr="008026C4">
              <w:rPr>
                <w:sz w:val="20"/>
                <w:szCs w:val="20"/>
              </w:rPr>
              <w:t>20/40</w:t>
            </w:r>
          </w:p>
        </w:tc>
        <w:tc>
          <w:tcPr>
            <w:tcW w:w="1441" w:type="dxa"/>
          </w:tcPr>
          <w:p w14:paraId="4065D150" w14:textId="77777777" w:rsidR="008026C4" w:rsidRPr="008026C4" w:rsidRDefault="008026C4" w:rsidP="00894BFF">
            <w:pPr>
              <w:pStyle w:val="TableParagraph"/>
              <w:spacing w:before="17" w:line="252" w:lineRule="exact"/>
              <w:ind w:left="61"/>
              <w:rPr>
                <w:sz w:val="20"/>
                <w:szCs w:val="20"/>
              </w:rPr>
            </w:pPr>
            <w:r w:rsidRPr="008026C4">
              <w:rPr>
                <w:sz w:val="20"/>
                <w:szCs w:val="20"/>
              </w:rPr>
              <w:t>1</w:t>
            </w:r>
          </w:p>
        </w:tc>
      </w:tr>
      <w:tr w:rsidR="008026C4" w14:paraId="10EC42FD" w14:textId="77777777" w:rsidTr="00683B7A">
        <w:trPr>
          <w:trHeight w:val="290"/>
          <w:jc w:val="center"/>
        </w:trPr>
        <w:tc>
          <w:tcPr>
            <w:tcW w:w="1280" w:type="dxa"/>
            <w:vMerge/>
            <w:tcBorders>
              <w:top w:val="nil"/>
            </w:tcBorders>
          </w:tcPr>
          <w:p w14:paraId="4B711B06" w14:textId="77777777" w:rsidR="008026C4" w:rsidRPr="008026C4" w:rsidRDefault="008026C4" w:rsidP="00894BFF"/>
        </w:tc>
        <w:tc>
          <w:tcPr>
            <w:tcW w:w="1481" w:type="dxa"/>
          </w:tcPr>
          <w:p w14:paraId="4D268D85" w14:textId="77777777" w:rsidR="008026C4" w:rsidRPr="008026C4" w:rsidRDefault="008026C4" w:rsidP="00894BFF">
            <w:pPr>
              <w:pStyle w:val="TableParagraph"/>
              <w:spacing w:before="17" w:line="252" w:lineRule="exact"/>
              <w:ind w:left="261" w:right="245"/>
              <w:rPr>
                <w:sz w:val="20"/>
                <w:szCs w:val="20"/>
              </w:rPr>
            </w:pPr>
            <w:r w:rsidRPr="008026C4">
              <w:rPr>
                <w:sz w:val="20"/>
                <w:szCs w:val="20"/>
              </w:rPr>
              <w:t>30/50</w:t>
            </w:r>
          </w:p>
        </w:tc>
        <w:tc>
          <w:tcPr>
            <w:tcW w:w="1441" w:type="dxa"/>
          </w:tcPr>
          <w:p w14:paraId="5B100713" w14:textId="77777777" w:rsidR="008026C4" w:rsidRPr="008026C4" w:rsidRDefault="008026C4" w:rsidP="00894BFF">
            <w:pPr>
              <w:pStyle w:val="TableParagraph"/>
              <w:spacing w:before="17" w:line="252" w:lineRule="exact"/>
              <w:ind w:left="61"/>
              <w:rPr>
                <w:sz w:val="20"/>
                <w:szCs w:val="20"/>
              </w:rPr>
            </w:pPr>
            <w:r w:rsidRPr="008026C4">
              <w:rPr>
                <w:sz w:val="20"/>
                <w:szCs w:val="20"/>
              </w:rPr>
              <w:t>1</w:t>
            </w:r>
          </w:p>
        </w:tc>
      </w:tr>
    </w:tbl>
    <w:p w14:paraId="2128404C" w14:textId="77777777" w:rsidR="008026C4" w:rsidRDefault="008026C4" w:rsidP="000D10D3">
      <w:pPr>
        <w:jc w:val="both"/>
      </w:pPr>
    </w:p>
    <w:p w14:paraId="731A89B4" w14:textId="2555E740" w:rsidR="00223E75" w:rsidRDefault="00223E75" w:rsidP="000D10D3">
      <w:pPr>
        <w:jc w:val="both"/>
        <w:rPr>
          <w:b/>
          <w:bCs/>
        </w:rPr>
      </w:pPr>
      <w:r>
        <w:t xml:space="preserve">D. </w:t>
      </w:r>
      <w:r w:rsidRPr="00223E75">
        <w:rPr>
          <w:b/>
          <w:bCs/>
        </w:rPr>
        <w:t>Proppant Bulk density &amp; Proppant grain density</w:t>
      </w:r>
    </w:p>
    <w:p w14:paraId="346C2D96" w14:textId="774D3152" w:rsidR="00223E75" w:rsidRDefault="0059056D" w:rsidP="0098093B">
      <w:pPr>
        <w:ind w:left="720"/>
        <w:jc w:val="both"/>
      </w:pPr>
      <w:r>
        <w:t>Proppant Bulk density and Proppant grain density were determined using a pycnometer in the current work.</w:t>
      </w:r>
    </w:p>
    <w:p w14:paraId="71127B84" w14:textId="77777777" w:rsidR="00B955E6" w:rsidRDefault="00B955E6" w:rsidP="000D10D3">
      <w:pPr>
        <w:jc w:val="both"/>
      </w:pPr>
    </w:p>
    <w:p w14:paraId="043F53D1" w14:textId="35ECF8EF" w:rsidR="00B955E6" w:rsidRDefault="00775684" w:rsidP="000D10D3">
      <w:pPr>
        <w:jc w:val="both"/>
        <w:rPr>
          <w:b/>
          <w:bCs/>
        </w:rPr>
      </w:pPr>
      <w:r>
        <w:t xml:space="preserve">E. </w:t>
      </w:r>
      <w:r w:rsidRPr="00775684">
        <w:rPr>
          <w:b/>
          <w:bCs/>
        </w:rPr>
        <w:t>Crush Resistance</w:t>
      </w:r>
    </w:p>
    <w:p w14:paraId="33E0D242" w14:textId="4BADAD2A" w:rsidR="00102C98" w:rsidRDefault="003D4B7F" w:rsidP="00BF5427">
      <w:pPr>
        <w:ind w:firstLine="720"/>
        <w:jc w:val="both"/>
      </w:pPr>
      <w:r>
        <w:t xml:space="preserve">The current work finds that, as per the API recommendations, the proppant sand can be used to withstand closure pressures until the proppant produces less than 10% fines. If at a depth the proppant sand produces &gt;10% fines due to high closure pressures, the proppant sand type is not recommended. The </w:t>
      </w:r>
      <w:proofErr w:type="gramStart"/>
      <w:r>
        <w:t>amount</w:t>
      </w:r>
      <w:proofErr w:type="gramEnd"/>
      <w:r>
        <w:t xml:space="preserve"> of fines produced at varying pressures for our sand sample is given as below [1, 2, 4, 6]:</w:t>
      </w:r>
    </w:p>
    <w:p w14:paraId="0646AD5A" w14:textId="77777777" w:rsidR="00276F56" w:rsidRDefault="00276F56" w:rsidP="000D10D3">
      <w:pPr>
        <w:jc w:val="both"/>
      </w:pPr>
    </w:p>
    <w:p w14:paraId="0601A23F" w14:textId="0826E8B2" w:rsidR="00276F56" w:rsidRDefault="00363920" w:rsidP="004B4A8D">
      <w:pPr>
        <w:rPr>
          <w:b/>
          <w:bCs/>
        </w:rPr>
      </w:pPr>
      <w:r w:rsidRPr="004B4A8D">
        <w:rPr>
          <w:b/>
          <w:bCs/>
        </w:rPr>
        <w:t>Table</w:t>
      </w:r>
      <w:r w:rsidRPr="004B4A8D">
        <w:rPr>
          <w:b/>
          <w:bCs/>
          <w:spacing w:val="-1"/>
        </w:rPr>
        <w:t xml:space="preserve"> </w:t>
      </w:r>
      <w:r w:rsidRPr="004B4A8D">
        <w:rPr>
          <w:b/>
          <w:bCs/>
        </w:rPr>
        <w:t>4.</w:t>
      </w:r>
      <w:r w:rsidRPr="004B4A8D">
        <w:rPr>
          <w:b/>
          <w:bCs/>
          <w:spacing w:val="-2"/>
        </w:rPr>
        <w:t xml:space="preserve"> </w:t>
      </w:r>
      <w:r w:rsidRPr="004B4A8D">
        <w:rPr>
          <w:b/>
          <w:bCs/>
        </w:rPr>
        <w:t>Results</w:t>
      </w:r>
      <w:r w:rsidRPr="004B4A8D">
        <w:rPr>
          <w:b/>
          <w:bCs/>
          <w:spacing w:val="-1"/>
        </w:rPr>
        <w:t xml:space="preserve"> </w:t>
      </w:r>
      <w:r w:rsidRPr="004B4A8D">
        <w:rPr>
          <w:b/>
          <w:bCs/>
        </w:rPr>
        <w:t>for</w:t>
      </w:r>
      <w:r w:rsidRPr="004B4A8D">
        <w:rPr>
          <w:b/>
          <w:bCs/>
          <w:spacing w:val="-3"/>
        </w:rPr>
        <w:t xml:space="preserve"> </w:t>
      </w:r>
      <w:r w:rsidRPr="004B4A8D">
        <w:rPr>
          <w:b/>
          <w:bCs/>
        </w:rPr>
        <w:t>Crush</w:t>
      </w:r>
      <w:r w:rsidRPr="004B4A8D">
        <w:rPr>
          <w:b/>
          <w:bCs/>
          <w:spacing w:val="-1"/>
        </w:rPr>
        <w:t xml:space="preserve"> </w:t>
      </w:r>
      <w:r w:rsidRPr="004B4A8D">
        <w:rPr>
          <w:b/>
          <w:bCs/>
        </w:rPr>
        <w:t>Resistance</w:t>
      </w:r>
    </w:p>
    <w:p w14:paraId="56751773" w14:textId="77777777" w:rsidR="004B4A8D" w:rsidRPr="004B4A8D" w:rsidRDefault="004B4A8D" w:rsidP="004B4A8D">
      <w:pPr>
        <w:rPr>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
        <w:gridCol w:w="960"/>
        <w:gridCol w:w="1359"/>
        <w:gridCol w:w="1251"/>
      </w:tblGrid>
      <w:tr w:rsidR="00276F56" w14:paraId="750C6FAA" w14:textId="77777777" w:rsidTr="004B4A8D">
        <w:trPr>
          <w:trHeight w:val="580"/>
          <w:jc w:val="center"/>
        </w:trPr>
        <w:tc>
          <w:tcPr>
            <w:tcW w:w="963" w:type="dxa"/>
          </w:tcPr>
          <w:p w14:paraId="38CC5A4B" w14:textId="77777777" w:rsidR="00276F56" w:rsidRPr="00276F56" w:rsidRDefault="00276F56" w:rsidP="00894BFF">
            <w:pPr>
              <w:pStyle w:val="TableParagraph"/>
              <w:spacing w:before="37"/>
              <w:ind w:left="254" w:right="226" w:firstLine="4"/>
              <w:jc w:val="left"/>
              <w:rPr>
                <w:sz w:val="20"/>
                <w:szCs w:val="20"/>
              </w:rPr>
            </w:pPr>
            <w:r w:rsidRPr="00276F56">
              <w:rPr>
                <w:sz w:val="20"/>
                <w:szCs w:val="20"/>
              </w:rPr>
              <w:t>Sand</w:t>
            </w:r>
            <w:r w:rsidRPr="00276F56">
              <w:rPr>
                <w:spacing w:val="-52"/>
                <w:sz w:val="20"/>
                <w:szCs w:val="20"/>
              </w:rPr>
              <w:t xml:space="preserve"> </w:t>
            </w:r>
            <w:r w:rsidRPr="00276F56">
              <w:rPr>
                <w:sz w:val="20"/>
                <w:szCs w:val="20"/>
              </w:rPr>
              <w:t>Type</w:t>
            </w:r>
          </w:p>
        </w:tc>
        <w:tc>
          <w:tcPr>
            <w:tcW w:w="960" w:type="dxa"/>
          </w:tcPr>
          <w:p w14:paraId="12B0B9CE" w14:textId="77777777" w:rsidR="00276F56" w:rsidRPr="00276F56" w:rsidRDefault="00276F56" w:rsidP="00894BFF">
            <w:pPr>
              <w:pStyle w:val="TableParagraph"/>
              <w:spacing w:before="37"/>
              <w:ind w:left="290" w:right="209" w:hanging="58"/>
              <w:jc w:val="left"/>
              <w:rPr>
                <w:sz w:val="20"/>
                <w:szCs w:val="20"/>
              </w:rPr>
            </w:pPr>
            <w:r w:rsidRPr="00276F56">
              <w:rPr>
                <w:sz w:val="20"/>
                <w:szCs w:val="20"/>
              </w:rPr>
              <w:t>Mesh</w:t>
            </w:r>
            <w:r w:rsidRPr="00276F56">
              <w:rPr>
                <w:spacing w:val="-52"/>
                <w:sz w:val="20"/>
                <w:szCs w:val="20"/>
              </w:rPr>
              <w:t xml:space="preserve"> </w:t>
            </w:r>
            <w:r w:rsidRPr="00276F56">
              <w:rPr>
                <w:sz w:val="20"/>
                <w:szCs w:val="20"/>
              </w:rPr>
              <w:t>Size</w:t>
            </w:r>
          </w:p>
        </w:tc>
        <w:tc>
          <w:tcPr>
            <w:tcW w:w="1359" w:type="dxa"/>
          </w:tcPr>
          <w:p w14:paraId="20D4BD0C" w14:textId="77777777" w:rsidR="00276F56" w:rsidRPr="00276F56" w:rsidRDefault="00276F56" w:rsidP="00894BFF">
            <w:pPr>
              <w:pStyle w:val="TableParagraph"/>
              <w:spacing w:before="37"/>
              <w:ind w:left="331" w:right="187" w:hanging="118"/>
              <w:jc w:val="left"/>
              <w:rPr>
                <w:sz w:val="20"/>
                <w:szCs w:val="20"/>
              </w:rPr>
            </w:pPr>
            <w:r w:rsidRPr="00276F56">
              <w:rPr>
                <w:sz w:val="20"/>
                <w:szCs w:val="20"/>
              </w:rPr>
              <w:t>% Fines at</w:t>
            </w:r>
            <w:r w:rsidRPr="00276F56">
              <w:rPr>
                <w:spacing w:val="-52"/>
                <w:sz w:val="20"/>
                <w:szCs w:val="20"/>
              </w:rPr>
              <w:t xml:space="preserve"> </w:t>
            </w:r>
            <w:r w:rsidRPr="00276F56">
              <w:rPr>
                <w:sz w:val="20"/>
                <w:szCs w:val="20"/>
              </w:rPr>
              <w:t>4000psi</w:t>
            </w:r>
          </w:p>
        </w:tc>
        <w:tc>
          <w:tcPr>
            <w:tcW w:w="1251" w:type="dxa"/>
          </w:tcPr>
          <w:p w14:paraId="1C654B74" w14:textId="77777777" w:rsidR="00276F56" w:rsidRPr="00276F56" w:rsidRDefault="00276F56" w:rsidP="00894BFF">
            <w:pPr>
              <w:pStyle w:val="TableParagraph"/>
              <w:spacing w:before="37"/>
              <w:ind w:left="275" w:right="135" w:hanging="118"/>
              <w:jc w:val="left"/>
              <w:rPr>
                <w:sz w:val="20"/>
                <w:szCs w:val="20"/>
              </w:rPr>
            </w:pPr>
            <w:r w:rsidRPr="00276F56">
              <w:rPr>
                <w:sz w:val="20"/>
                <w:szCs w:val="20"/>
              </w:rPr>
              <w:t>% Fines at</w:t>
            </w:r>
            <w:r w:rsidRPr="00276F56">
              <w:rPr>
                <w:spacing w:val="-52"/>
                <w:sz w:val="20"/>
                <w:szCs w:val="20"/>
              </w:rPr>
              <w:t xml:space="preserve"> </w:t>
            </w:r>
            <w:r w:rsidRPr="00276F56">
              <w:rPr>
                <w:sz w:val="20"/>
                <w:szCs w:val="20"/>
              </w:rPr>
              <w:t>6000psi</w:t>
            </w:r>
          </w:p>
        </w:tc>
      </w:tr>
      <w:tr w:rsidR="00276F56" w14:paraId="73156698" w14:textId="77777777" w:rsidTr="004B4A8D">
        <w:trPr>
          <w:trHeight w:val="290"/>
          <w:jc w:val="center"/>
        </w:trPr>
        <w:tc>
          <w:tcPr>
            <w:tcW w:w="963" w:type="dxa"/>
            <w:vMerge w:val="restart"/>
          </w:tcPr>
          <w:p w14:paraId="7924B461" w14:textId="77777777" w:rsidR="00276F56" w:rsidRPr="00276F56" w:rsidRDefault="00276F56" w:rsidP="00894BFF">
            <w:pPr>
              <w:pStyle w:val="TableParagraph"/>
              <w:spacing w:before="41"/>
              <w:ind w:left="211" w:right="184" w:firstLine="48"/>
              <w:jc w:val="left"/>
              <w:rPr>
                <w:sz w:val="20"/>
                <w:szCs w:val="20"/>
              </w:rPr>
            </w:pPr>
            <w:r w:rsidRPr="00276F56">
              <w:rPr>
                <w:sz w:val="20"/>
                <w:szCs w:val="20"/>
              </w:rPr>
              <w:t>Sand</w:t>
            </w:r>
            <w:r w:rsidRPr="00276F56">
              <w:rPr>
                <w:spacing w:val="-52"/>
                <w:sz w:val="20"/>
                <w:szCs w:val="20"/>
              </w:rPr>
              <w:t xml:space="preserve"> </w:t>
            </w:r>
            <w:r w:rsidRPr="00276F56">
              <w:rPr>
                <w:sz w:val="20"/>
                <w:szCs w:val="20"/>
              </w:rPr>
              <w:t>Based</w:t>
            </w:r>
          </w:p>
        </w:tc>
        <w:tc>
          <w:tcPr>
            <w:tcW w:w="960" w:type="dxa"/>
          </w:tcPr>
          <w:p w14:paraId="1028F589" w14:textId="77777777" w:rsidR="00276F56" w:rsidRPr="00276F56" w:rsidRDefault="00276F56" w:rsidP="00894BFF">
            <w:pPr>
              <w:pStyle w:val="TableParagraph"/>
              <w:spacing w:before="17" w:line="252" w:lineRule="exact"/>
              <w:ind w:left="208" w:right="199"/>
              <w:rPr>
                <w:sz w:val="20"/>
                <w:szCs w:val="20"/>
              </w:rPr>
            </w:pPr>
            <w:r w:rsidRPr="00276F56">
              <w:rPr>
                <w:sz w:val="20"/>
                <w:szCs w:val="20"/>
              </w:rPr>
              <w:t>20/40</w:t>
            </w:r>
          </w:p>
        </w:tc>
        <w:tc>
          <w:tcPr>
            <w:tcW w:w="1359" w:type="dxa"/>
          </w:tcPr>
          <w:p w14:paraId="0E604BD5" w14:textId="77777777" w:rsidR="00276F56" w:rsidRPr="00276F56" w:rsidRDefault="00276F56" w:rsidP="00894BFF">
            <w:pPr>
              <w:pStyle w:val="TableParagraph"/>
              <w:spacing w:before="17" w:line="252" w:lineRule="exact"/>
              <w:ind w:left="495" w:right="539"/>
              <w:rPr>
                <w:sz w:val="20"/>
                <w:szCs w:val="20"/>
              </w:rPr>
            </w:pPr>
            <w:r w:rsidRPr="00276F56">
              <w:rPr>
                <w:sz w:val="20"/>
                <w:szCs w:val="20"/>
              </w:rPr>
              <w:t>8.3</w:t>
            </w:r>
          </w:p>
        </w:tc>
        <w:tc>
          <w:tcPr>
            <w:tcW w:w="1251" w:type="dxa"/>
          </w:tcPr>
          <w:p w14:paraId="1F49F3A9" w14:textId="77777777" w:rsidR="00276F56" w:rsidRPr="00276F56" w:rsidRDefault="00276F56" w:rsidP="00894BFF">
            <w:pPr>
              <w:pStyle w:val="TableParagraph"/>
              <w:spacing w:before="17" w:line="252" w:lineRule="exact"/>
              <w:ind w:left="441" w:right="375"/>
              <w:rPr>
                <w:sz w:val="20"/>
                <w:szCs w:val="20"/>
              </w:rPr>
            </w:pPr>
            <w:r w:rsidRPr="00276F56">
              <w:rPr>
                <w:sz w:val="20"/>
                <w:szCs w:val="20"/>
              </w:rPr>
              <w:t>14.3</w:t>
            </w:r>
          </w:p>
        </w:tc>
      </w:tr>
      <w:tr w:rsidR="00276F56" w14:paraId="6DA90F94" w14:textId="77777777" w:rsidTr="004B4A8D">
        <w:trPr>
          <w:trHeight w:val="290"/>
          <w:jc w:val="center"/>
        </w:trPr>
        <w:tc>
          <w:tcPr>
            <w:tcW w:w="963" w:type="dxa"/>
            <w:vMerge/>
            <w:tcBorders>
              <w:top w:val="nil"/>
            </w:tcBorders>
          </w:tcPr>
          <w:p w14:paraId="170DCB02" w14:textId="77777777" w:rsidR="00276F56" w:rsidRPr="00276F56" w:rsidRDefault="00276F56" w:rsidP="00894BFF"/>
        </w:tc>
        <w:tc>
          <w:tcPr>
            <w:tcW w:w="960" w:type="dxa"/>
          </w:tcPr>
          <w:p w14:paraId="0731D3E3" w14:textId="77777777" w:rsidR="00276F56" w:rsidRPr="00276F56" w:rsidRDefault="00276F56" w:rsidP="00894BFF">
            <w:pPr>
              <w:pStyle w:val="TableParagraph"/>
              <w:spacing w:before="17" w:line="252" w:lineRule="exact"/>
              <w:ind w:left="208" w:right="199"/>
              <w:rPr>
                <w:sz w:val="20"/>
                <w:szCs w:val="20"/>
              </w:rPr>
            </w:pPr>
            <w:r w:rsidRPr="00276F56">
              <w:rPr>
                <w:sz w:val="20"/>
                <w:szCs w:val="20"/>
              </w:rPr>
              <w:t>30/50</w:t>
            </w:r>
          </w:p>
        </w:tc>
        <w:tc>
          <w:tcPr>
            <w:tcW w:w="1359" w:type="dxa"/>
          </w:tcPr>
          <w:p w14:paraId="1D9A5BDF" w14:textId="77777777" w:rsidR="00276F56" w:rsidRPr="00276F56" w:rsidRDefault="00276F56" w:rsidP="00894BFF">
            <w:pPr>
              <w:pStyle w:val="TableParagraph"/>
              <w:spacing w:before="17" w:line="252" w:lineRule="exact"/>
              <w:ind w:left="61"/>
              <w:rPr>
                <w:sz w:val="20"/>
                <w:szCs w:val="20"/>
              </w:rPr>
            </w:pPr>
            <w:r w:rsidRPr="00276F56">
              <w:rPr>
                <w:sz w:val="20"/>
                <w:szCs w:val="20"/>
              </w:rPr>
              <w:t>8</w:t>
            </w:r>
          </w:p>
        </w:tc>
        <w:tc>
          <w:tcPr>
            <w:tcW w:w="1251" w:type="dxa"/>
          </w:tcPr>
          <w:p w14:paraId="45C33A86" w14:textId="77777777" w:rsidR="00276F56" w:rsidRPr="00276F56" w:rsidRDefault="00276F56" w:rsidP="00894BFF">
            <w:pPr>
              <w:pStyle w:val="TableParagraph"/>
              <w:spacing w:before="17" w:line="252" w:lineRule="exact"/>
              <w:ind w:left="441" w:right="375"/>
              <w:rPr>
                <w:sz w:val="20"/>
                <w:szCs w:val="20"/>
              </w:rPr>
            </w:pPr>
            <w:r w:rsidRPr="00276F56">
              <w:rPr>
                <w:sz w:val="20"/>
                <w:szCs w:val="20"/>
              </w:rPr>
              <w:t>13.8</w:t>
            </w:r>
          </w:p>
        </w:tc>
      </w:tr>
      <w:tr w:rsidR="00276F56" w14:paraId="7A2FF487" w14:textId="77777777" w:rsidTr="004B4A8D">
        <w:trPr>
          <w:trHeight w:val="290"/>
          <w:jc w:val="center"/>
        </w:trPr>
        <w:tc>
          <w:tcPr>
            <w:tcW w:w="963" w:type="dxa"/>
            <w:vMerge w:val="restart"/>
          </w:tcPr>
          <w:p w14:paraId="09C785FF" w14:textId="77777777" w:rsidR="00276F56" w:rsidRPr="00276F56" w:rsidRDefault="00276F56" w:rsidP="00894BFF">
            <w:pPr>
              <w:pStyle w:val="TableParagraph"/>
              <w:spacing w:before="41"/>
              <w:ind w:left="230" w:right="80" w:hanging="123"/>
              <w:jc w:val="left"/>
              <w:rPr>
                <w:sz w:val="20"/>
                <w:szCs w:val="20"/>
              </w:rPr>
            </w:pPr>
            <w:r w:rsidRPr="00276F56">
              <w:rPr>
                <w:sz w:val="20"/>
                <w:szCs w:val="20"/>
              </w:rPr>
              <w:t>Ceramic</w:t>
            </w:r>
            <w:r w:rsidRPr="00276F56">
              <w:rPr>
                <w:spacing w:val="-52"/>
                <w:sz w:val="20"/>
                <w:szCs w:val="20"/>
              </w:rPr>
              <w:t xml:space="preserve"> </w:t>
            </w:r>
            <w:r w:rsidRPr="00276F56">
              <w:rPr>
                <w:sz w:val="20"/>
                <w:szCs w:val="20"/>
              </w:rPr>
              <w:t>based</w:t>
            </w:r>
          </w:p>
        </w:tc>
        <w:tc>
          <w:tcPr>
            <w:tcW w:w="960" w:type="dxa"/>
          </w:tcPr>
          <w:p w14:paraId="466C4A66" w14:textId="77777777" w:rsidR="00276F56" w:rsidRPr="00276F56" w:rsidRDefault="00276F56" w:rsidP="00894BFF">
            <w:pPr>
              <w:pStyle w:val="TableParagraph"/>
              <w:spacing w:before="17" w:line="252" w:lineRule="exact"/>
              <w:ind w:left="208" w:right="199"/>
              <w:rPr>
                <w:sz w:val="20"/>
                <w:szCs w:val="20"/>
              </w:rPr>
            </w:pPr>
            <w:r w:rsidRPr="00276F56">
              <w:rPr>
                <w:sz w:val="20"/>
                <w:szCs w:val="20"/>
              </w:rPr>
              <w:t>20/40</w:t>
            </w:r>
          </w:p>
        </w:tc>
        <w:tc>
          <w:tcPr>
            <w:tcW w:w="1359" w:type="dxa"/>
          </w:tcPr>
          <w:p w14:paraId="436EFED3" w14:textId="77777777" w:rsidR="00276F56" w:rsidRPr="00276F56" w:rsidRDefault="00276F56" w:rsidP="00894BFF">
            <w:pPr>
              <w:pStyle w:val="TableParagraph"/>
              <w:spacing w:before="17" w:line="252" w:lineRule="exact"/>
              <w:ind w:left="61"/>
              <w:rPr>
                <w:sz w:val="20"/>
                <w:szCs w:val="20"/>
              </w:rPr>
            </w:pPr>
            <w:r w:rsidRPr="00276F56">
              <w:rPr>
                <w:sz w:val="20"/>
                <w:szCs w:val="20"/>
              </w:rPr>
              <w:t>2</w:t>
            </w:r>
          </w:p>
        </w:tc>
        <w:tc>
          <w:tcPr>
            <w:tcW w:w="1251" w:type="dxa"/>
          </w:tcPr>
          <w:p w14:paraId="1432C157" w14:textId="77777777" w:rsidR="00276F56" w:rsidRPr="00276F56" w:rsidRDefault="00276F56" w:rsidP="00894BFF">
            <w:pPr>
              <w:pStyle w:val="TableParagraph"/>
              <w:spacing w:before="17" w:line="252" w:lineRule="exact"/>
              <w:ind w:left="436" w:right="375"/>
              <w:rPr>
                <w:sz w:val="20"/>
                <w:szCs w:val="20"/>
              </w:rPr>
            </w:pPr>
            <w:r w:rsidRPr="00276F56">
              <w:rPr>
                <w:sz w:val="20"/>
                <w:szCs w:val="20"/>
              </w:rPr>
              <w:t>6.1</w:t>
            </w:r>
          </w:p>
        </w:tc>
      </w:tr>
      <w:tr w:rsidR="00276F56" w14:paraId="0764D8A0" w14:textId="77777777" w:rsidTr="004B4A8D">
        <w:trPr>
          <w:trHeight w:val="290"/>
          <w:jc w:val="center"/>
        </w:trPr>
        <w:tc>
          <w:tcPr>
            <w:tcW w:w="963" w:type="dxa"/>
            <w:vMerge/>
            <w:tcBorders>
              <w:top w:val="nil"/>
            </w:tcBorders>
          </w:tcPr>
          <w:p w14:paraId="1CC4DBA7" w14:textId="77777777" w:rsidR="00276F56" w:rsidRPr="00276F56" w:rsidRDefault="00276F56" w:rsidP="00894BFF"/>
        </w:tc>
        <w:tc>
          <w:tcPr>
            <w:tcW w:w="960" w:type="dxa"/>
          </w:tcPr>
          <w:p w14:paraId="472B4BD7" w14:textId="77777777" w:rsidR="00276F56" w:rsidRPr="00276F56" w:rsidRDefault="00276F56" w:rsidP="00894BFF">
            <w:pPr>
              <w:pStyle w:val="TableParagraph"/>
              <w:spacing w:before="17" w:line="252" w:lineRule="exact"/>
              <w:ind w:left="208" w:right="199"/>
              <w:rPr>
                <w:sz w:val="20"/>
                <w:szCs w:val="20"/>
              </w:rPr>
            </w:pPr>
            <w:r w:rsidRPr="00276F56">
              <w:rPr>
                <w:sz w:val="20"/>
                <w:szCs w:val="20"/>
              </w:rPr>
              <w:t>30/50</w:t>
            </w:r>
          </w:p>
        </w:tc>
        <w:tc>
          <w:tcPr>
            <w:tcW w:w="1359" w:type="dxa"/>
          </w:tcPr>
          <w:p w14:paraId="63095D75" w14:textId="77777777" w:rsidR="00276F56" w:rsidRPr="00276F56" w:rsidRDefault="00276F56" w:rsidP="00894BFF">
            <w:pPr>
              <w:pStyle w:val="TableParagraph"/>
              <w:spacing w:before="17" w:line="252" w:lineRule="exact"/>
              <w:ind w:right="46"/>
              <w:rPr>
                <w:sz w:val="20"/>
                <w:szCs w:val="20"/>
              </w:rPr>
            </w:pPr>
            <w:r w:rsidRPr="00276F56">
              <w:rPr>
                <w:sz w:val="20"/>
                <w:szCs w:val="20"/>
              </w:rPr>
              <w:t>2</w:t>
            </w:r>
          </w:p>
        </w:tc>
        <w:tc>
          <w:tcPr>
            <w:tcW w:w="1251" w:type="dxa"/>
          </w:tcPr>
          <w:p w14:paraId="79532FFC" w14:textId="77777777" w:rsidR="00276F56" w:rsidRPr="00276F56" w:rsidRDefault="00276F56" w:rsidP="00894BFF">
            <w:pPr>
              <w:pStyle w:val="TableParagraph"/>
              <w:spacing w:before="17" w:line="252" w:lineRule="exact"/>
              <w:ind w:left="63"/>
              <w:rPr>
                <w:sz w:val="20"/>
                <w:szCs w:val="20"/>
              </w:rPr>
            </w:pPr>
            <w:r w:rsidRPr="00276F56">
              <w:rPr>
                <w:sz w:val="20"/>
                <w:szCs w:val="20"/>
              </w:rPr>
              <w:t>6</w:t>
            </w:r>
          </w:p>
        </w:tc>
      </w:tr>
    </w:tbl>
    <w:p w14:paraId="42B72052" w14:textId="77777777" w:rsidR="00276F56" w:rsidRPr="00102C98" w:rsidRDefault="00276F56" w:rsidP="000D10D3">
      <w:pPr>
        <w:jc w:val="both"/>
      </w:pPr>
    </w:p>
    <w:p w14:paraId="112A31FA" w14:textId="29DF432D" w:rsidR="00223E75" w:rsidRDefault="00694B6B" w:rsidP="000D10D3">
      <w:pPr>
        <w:jc w:val="both"/>
        <w:rPr>
          <w:b/>
          <w:bCs/>
        </w:rPr>
      </w:pPr>
      <w:r>
        <w:t xml:space="preserve">F. </w:t>
      </w:r>
      <w:r w:rsidRPr="00694B6B">
        <w:rPr>
          <w:b/>
          <w:bCs/>
        </w:rPr>
        <w:t>Turbidity</w:t>
      </w:r>
    </w:p>
    <w:p w14:paraId="767C81BA" w14:textId="42641FF5" w:rsidR="00BA6236" w:rsidRDefault="00765F59" w:rsidP="00781C5C">
      <w:pPr>
        <w:ind w:firstLine="720"/>
        <w:jc w:val="both"/>
      </w:pPr>
      <w:r>
        <w:t>The results of the experimental work found that the tested sand sample for Turbidity was within the recommended ISO requirement. So based on its turbidity test results, it is preferable for use in hydraulic fracturing operations.</w:t>
      </w:r>
      <w:r w:rsidR="003548EB">
        <w:t xml:space="preserve"> </w:t>
      </w:r>
    </w:p>
    <w:p w14:paraId="6AF7C201" w14:textId="77777777" w:rsidR="00366A12" w:rsidRDefault="00366A12" w:rsidP="000D10D3">
      <w:pPr>
        <w:jc w:val="both"/>
      </w:pPr>
    </w:p>
    <w:p w14:paraId="67ECF9CB" w14:textId="0FB34200" w:rsidR="00BA6236" w:rsidRDefault="00BA6236" w:rsidP="00781C5C">
      <w:pPr>
        <w:rPr>
          <w:b/>
          <w:bCs/>
        </w:rPr>
      </w:pPr>
      <w:r w:rsidRPr="00781C5C">
        <w:rPr>
          <w:b/>
          <w:bCs/>
        </w:rPr>
        <w:t>Table</w:t>
      </w:r>
      <w:r w:rsidRPr="00781C5C">
        <w:rPr>
          <w:b/>
          <w:bCs/>
          <w:spacing w:val="-1"/>
        </w:rPr>
        <w:t xml:space="preserve"> </w:t>
      </w:r>
      <w:r w:rsidRPr="00781C5C">
        <w:rPr>
          <w:b/>
          <w:bCs/>
        </w:rPr>
        <w:t>5. Results</w:t>
      </w:r>
      <w:r w:rsidRPr="00781C5C">
        <w:rPr>
          <w:b/>
          <w:bCs/>
          <w:spacing w:val="-1"/>
        </w:rPr>
        <w:t xml:space="preserve"> </w:t>
      </w:r>
      <w:r w:rsidRPr="00781C5C">
        <w:rPr>
          <w:b/>
          <w:bCs/>
        </w:rPr>
        <w:t>for</w:t>
      </w:r>
      <w:r w:rsidRPr="00781C5C">
        <w:rPr>
          <w:b/>
          <w:bCs/>
          <w:spacing w:val="-2"/>
        </w:rPr>
        <w:t xml:space="preserve"> </w:t>
      </w:r>
      <w:r w:rsidRPr="00781C5C">
        <w:rPr>
          <w:b/>
          <w:bCs/>
        </w:rPr>
        <w:t>Turbidity</w:t>
      </w:r>
    </w:p>
    <w:p w14:paraId="1E5815EE" w14:textId="77777777" w:rsidR="00BA6236" w:rsidRDefault="00BA6236" w:rsidP="000D10D3">
      <w:pPr>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
        <w:gridCol w:w="960"/>
        <w:gridCol w:w="1359"/>
      </w:tblGrid>
      <w:tr w:rsidR="00BA6236" w14:paraId="28DA75E5" w14:textId="77777777" w:rsidTr="00781C5C">
        <w:trPr>
          <w:trHeight w:val="580"/>
          <w:jc w:val="center"/>
        </w:trPr>
        <w:tc>
          <w:tcPr>
            <w:tcW w:w="962" w:type="dxa"/>
          </w:tcPr>
          <w:p w14:paraId="1FFBBB32" w14:textId="77777777" w:rsidR="00BA6236" w:rsidRPr="00BA6236" w:rsidRDefault="00BA6236" w:rsidP="00894BFF">
            <w:pPr>
              <w:pStyle w:val="TableParagraph"/>
              <w:spacing w:before="34"/>
              <w:ind w:left="254" w:right="225" w:firstLine="4"/>
              <w:jc w:val="left"/>
              <w:rPr>
                <w:sz w:val="20"/>
                <w:szCs w:val="20"/>
              </w:rPr>
            </w:pPr>
            <w:r w:rsidRPr="00BA6236">
              <w:rPr>
                <w:sz w:val="20"/>
                <w:szCs w:val="20"/>
              </w:rPr>
              <w:t>Sand</w:t>
            </w:r>
            <w:r w:rsidRPr="00BA6236">
              <w:rPr>
                <w:spacing w:val="-52"/>
                <w:sz w:val="20"/>
                <w:szCs w:val="20"/>
              </w:rPr>
              <w:t xml:space="preserve"> </w:t>
            </w:r>
            <w:r w:rsidRPr="00BA6236">
              <w:rPr>
                <w:sz w:val="20"/>
                <w:szCs w:val="20"/>
              </w:rPr>
              <w:t>Type</w:t>
            </w:r>
          </w:p>
        </w:tc>
        <w:tc>
          <w:tcPr>
            <w:tcW w:w="960" w:type="dxa"/>
          </w:tcPr>
          <w:p w14:paraId="174942BC" w14:textId="77777777" w:rsidR="00BA6236" w:rsidRPr="00BA6236" w:rsidRDefault="00BA6236" w:rsidP="00894BFF">
            <w:pPr>
              <w:pStyle w:val="TableParagraph"/>
              <w:spacing w:before="34"/>
              <w:ind w:left="290" w:right="209" w:hanging="58"/>
              <w:jc w:val="left"/>
              <w:rPr>
                <w:sz w:val="20"/>
                <w:szCs w:val="20"/>
              </w:rPr>
            </w:pPr>
            <w:r w:rsidRPr="00BA6236">
              <w:rPr>
                <w:sz w:val="20"/>
                <w:szCs w:val="20"/>
              </w:rPr>
              <w:t>Mesh</w:t>
            </w:r>
            <w:r w:rsidRPr="00BA6236">
              <w:rPr>
                <w:spacing w:val="-52"/>
                <w:sz w:val="20"/>
                <w:szCs w:val="20"/>
              </w:rPr>
              <w:t xml:space="preserve"> </w:t>
            </w:r>
            <w:r w:rsidRPr="00BA6236">
              <w:rPr>
                <w:sz w:val="20"/>
                <w:szCs w:val="20"/>
              </w:rPr>
              <w:t>Size</w:t>
            </w:r>
          </w:p>
        </w:tc>
        <w:tc>
          <w:tcPr>
            <w:tcW w:w="1359" w:type="dxa"/>
          </w:tcPr>
          <w:p w14:paraId="7091EA67" w14:textId="77777777" w:rsidR="00BA6236" w:rsidRPr="00BA6236" w:rsidRDefault="00BA6236" w:rsidP="00894BFF">
            <w:pPr>
              <w:pStyle w:val="TableParagraph"/>
              <w:spacing w:before="34"/>
              <w:ind w:left="376" w:right="239" w:hanging="118"/>
              <w:jc w:val="left"/>
              <w:rPr>
                <w:sz w:val="20"/>
                <w:szCs w:val="20"/>
              </w:rPr>
            </w:pPr>
            <w:r w:rsidRPr="00BA6236">
              <w:rPr>
                <w:sz w:val="20"/>
                <w:szCs w:val="20"/>
              </w:rPr>
              <w:t>Turbidity</w:t>
            </w:r>
            <w:r w:rsidRPr="00BA6236">
              <w:rPr>
                <w:spacing w:val="-52"/>
                <w:sz w:val="20"/>
                <w:szCs w:val="20"/>
              </w:rPr>
              <w:t xml:space="preserve"> </w:t>
            </w:r>
            <w:r w:rsidRPr="00BA6236">
              <w:rPr>
                <w:sz w:val="20"/>
                <w:szCs w:val="20"/>
              </w:rPr>
              <w:t>[NTU]</w:t>
            </w:r>
          </w:p>
        </w:tc>
      </w:tr>
      <w:tr w:rsidR="00BA6236" w14:paraId="4391FE8A" w14:textId="77777777" w:rsidTr="00781C5C">
        <w:trPr>
          <w:trHeight w:val="290"/>
          <w:jc w:val="center"/>
        </w:trPr>
        <w:tc>
          <w:tcPr>
            <w:tcW w:w="962" w:type="dxa"/>
            <w:vMerge w:val="restart"/>
          </w:tcPr>
          <w:p w14:paraId="5FE98B0F" w14:textId="77777777" w:rsidR="00BA6236" w:rsidRPr="00BA6236" w:rsidRDefault="00BA6236" w:rsidP="00894BFF">
            <w:pPr>
              <w:pStyle w:val="TableParagraph"/>
              <w:spacing w:before="39"/>
              <w:ind w:left="211" w:right="183" w:firstLine="48"/>
              <w:jc w:val="left"/>
              <w:rPr>
                <w:sz w:val="20"/>
                <w:szCs w:val="20"/>
              </w:rPr>
            </w:pPr>
            <w:r w:rsidRPr="00BA6236">
              <w:rPr>
                <w:sz w:val="20"/>
                <w:szCs w:val="20"/>
              </w:rPr>
              <w:t>Sand</w:t>
            </w:r>
            <w:r w:rsidRPr="00BA6236">
              <w:rPr>
                <w:spacing w:val="-52"/>
                <w:sz w:val="20"/>
                <w:szCs w:val="20"/>
              </w:rPr>
              <w:t xml:space="preserve"> </w:t>
            </w:r>
            <w:r w:rsidRPr="00BA6236">
              <w:rPr>
                <w:sz w:val="20"/>
                <w:szCs w:val="20"/>
              </w:rPr>
              <w:t>Based</w:t>
            </w:r>
          </w:p>
        </w:tc>
        <w:tc>
          <w:tcPr>
            <w:tcW w:w="960" w:type="dxa"/>
          </w:tcPr>
          <w:p w14:paraId="1D88B97C" w14:textId="77777777" w:rsidR="00BA6236" w:rsidRPr="00BA6236" w:rsidRDefault="00BA6236" w:rsidP="00894BFF">
            <w:pPr>
              <w:pStyle w:val="TableParagraph"/>
              <w:spacing w:before="17" w:line="252" w:lineRule="exact"/>
              <w:ind w:left="208" w:right="198"/>
              <w:rPr>
                <w:sz w:val="20"/>
                <w:szCs w:val="20"/>
              </w:rPr>
            </w:pPr>
            <w:r w:rsidRPr="00BA6236">
              <w:rPr>
                <w:sz w:val="20"/>
                <w:szCs w:val="20"/>
              </w:rPr>
              <w:t>20/40</w:t>
            </w:r>
          </w:p>
        </w:tc>
        <w:tc>
          <w:tcPr>
            <w:tcW w:w="1359" w:type="dxa"/>
          </w:tcPr>
          <w:p w14:paraId="21408744" w14:textId="77777777" w:rsidR="00BA6236" w:rsidRPr="00BA6236" w:rsidRDefault="00BA6236" w:rsidP="00894BFF">
            <w:pPr>
              <w:pStyle w:val="TableParagraph"/>
              <w:spacing w:before="17" w:line="252" w:lineRule="exact"/>
              <w:ind w:right="475"/>
              <w:jc w:val="right"/>
              <w:rPr>
                <w:sz w:val="20"/>
                <w:szCs w:val="20"/>
              </w:rPr>
            </w:pPr>
            <w:r w:rsidRPr="00BA6236">
              <w:rPr>
                <w:sz w:val="20"/>
                <w:szCs w:val="20"/>
              </w:rPr>
              <w:t>250</w:t>
            </w:r>
          </w:p>
        </w:tc>
      </w:tr>
      <w:tr w:rsidR="00BA6236" w14:paraId="1D408BE6" w14:textId="77777777" w:rsidTr="00781C5C">
        <w:trPr>
          <w:trHeight w:val="290"/>
          <w:jc w:val="center"/>
        </w:trPr>
        <w:tc>
          <w:tcPr>
            <w:tcW w:w="962" w:type="dxa"/>
            <w:vMerge/>
            <w:tcBorders>
              <w:top w:val="nil"/>
            </w:tcBorders>
          </w:tcPr>
          <w:p w14:paraId="52DECEDF" w14:textId="77777777" w:rsidR="00BA6236" w:rsidRPr="00BA6236" w:rsidRDefault="00BA6236" w:rsidP="00894BFF"/>
        </w:tc>
        <w:tc>
          <w:tcPr>
            <w:tcW w:w="960" w:type="dxa"/>
          </w:tcPr>
          <w:p w14:paraId="48B31994" w14:textId="77777777" w:rsidR="00BA6236" w:rsidRPr="00BA6236" w:rsidRDefault="00BA6236" w:rsidP="00894BFF">
            <w:pPr>
              <w:pStyle w:val="TableParagraph"/>
              <w:spacing w:before="17" w:line="252" w:lineRule="exact"/>
              <w:ind w:left="208" w:right="198"/>
              <w:rPr>
                <w:sz w:val="20"/>
                <w:szCs w:val="20"/>
              </w:rPr>
            </w:pPr>
            <w:r w:rsidRPr="00BA6236">
              <w:rPr>
                <w:sz w:val="20"/>
                <w:szCs w:val="20"/>
              </w:rPr>
              <w:t>30/50</w:t>
            </w:r>
          </w:p>
        </w:tc>
        <w:tc>
          <w:tcPr>
            <w:tcW w:w="1359" w:type="dxa"/>
          </w:tcPr>
          <w:p w14:paraId="19E91111" w14:textId="77777777" w:rsidR="00BA6236" w:rsidRPr="00BA6236" w:rsidRDefault="00BA6236" w:rsidP="00894BFF">
            <w:pPr>
              <w:pStyle w:val="TableParagraph"/>
              <w:spacing w:before="17" w:line="252" w:lineRule="exact"/>
              <w:ind w:right="530"/>
              <w:jc w:val="right"/>
              <w:rPr>
                <w:sz w:val="20"/>
                <w:szCs w:val="20"/>
              </w:rPr>
            </w:pPr>
            <w:r w:rsidRPr="00BA6236">
              <w:rPr>
                <w:sz w:val="20"/>
                <w:szCs w:val="20"/>
              </w:rPr>
              <w:t>250</w:t>
            </w:r>
          </w:p>
        </w:tc>
      </w:tr>
      <w:tr w:rsidR="00BA6236" w14:paraId="4A0304E9" w14:textId="77777777" w:rsidTr="00781C5C">
        <w:trPr>
          <w:trHeight w:val="290"/>
          <w:jc w:val="center"/>
        </w:trPr>
        <w:tc>
          <w:tcPr>
            <w:tcW w:w="962" w:type="dxa"/>
            <w:vMerge w:val="restart"/>
          </w:tcPr>
          <w:p w14:paraId="5043BE69" w14:textId="77777777" w:rsidR="00BA6236" w:rsidRPr="00BA6236" w:rsidRDefault="00BA6236" w:rsidP="00894BFF">
            <w:pPr>
              <w:pStyle w:val="TableParagraph"/>
              <w:spacing w:before="39"/>
              <w:ind w:left="230" w:right="79" w:hanging="123"/>
              <w:jc w:val="left"/>
              <w:rPr>
                <w:sz w:val="20"/>
                <w:szCs w:val="20"/>
              </w:rPr>
            </w:pPr>
            <w:r w:rsidRPr="00BA6236">
              <w:rPr>
                <w:sz w:val="20"/>
                <w:szCs w:val="20"/>
              </w:rPr>
              <w:t>Ceramic</w:t>
            </w:r>
            <w:r w:rsidRPr="00BA6236">
              <w:rPr>
                <w:spacing w:val="-52"/>
                <w:sz w:val="20"/>
                <w:szCs w:val="20"/>
              </w:rPr>
              <w:t xml:space="preserve"> </w:t>
            </w:r>
            <w:r w:rsidRPr="00BA6236">
              <w:rPr>
                <w:sz w:val="20"/>
                <w:szCs w:val="20"/>
              </w:rPr>
              <w:t>based</w:t>
            </w:r>
          </w:p>
        </w:tc>
        <w:tc>
          <w:tcPr>
            <w:tcW w:w="960" w:type="dxa"/>
          </w:tcPr>
          <w:p w14:paraId="51ECA367" w14:textId="77777777" w:rsidR="00BA6236" w:rsidRPr="00BA6236" w:rsidRDefault="00BA6236" w:rsidP="00894BFF">
            <w:pPr>
              <w:pStyle w:val="TableParagraph"/>
              <w:spacing w:before="17" w:line="252" w:lineRule="exact"/>
              <w:ind w:left="208" w:right="198"/>
              <w:rPr>
                <w:sz w:val="20"/>
                <w:szCs w:val="20"/>
              </w:rPr>
            </w:pPr>
            <w:r w:rsidRPr="00BA6236">
              <w:rPr>
                <w:sz w:val="20"/>
                <w:szCs w:val="20"/>
              </w:rPr>
              <w:t>20/40</w:t>
            </w:r>
          </w:p>
        </w:tc>
        <w:tc>
          <w:tcPr>
            <w:tcW w:w="1359" w:type="dxa"/>
          </w:tcPr>
          <w:p w14:paraId="7E457769" w14:textId="77777777" w:rsidR="00BA6236" w:rsidRPr="00BA6236" w:rsidRDefault="00BA6236" w:rsidP="00894BFF">
            <w:pPr>
              <w:pStyle w:val="TableParagraph"/>
              <w:spacing w:before="17" w:line="252" w:lineRule="exact"/>
              <w:ind w:right="468"/>
              <w:jc w:val="right"/>
              <w:rPr>
                <w:sz w:val="20"/>
                <w:szCs w:val="20"/>
              </w:rPr>
            </w:pPr>
            <w:r w:rsidRPr="00BA6236">
              <w:rPr>
                <w:sz w:val="20"/>
                <w:szCs w:val="20"/>
              </w:rPr>
              <w:t>&lt;100</w:t>
            </w:r>
          </w:p>
        </w:tc>
      </w:tr>
      <w:tr w:rsidR="00BA6236" w14:paraId="5DA312E3" w14:textId="77777777" w:rsidTr="00781C5C">
        <w:trPr>
          <w:trHeight w:val="290"/>
          <w:jc w:val="center"/>
        </w:trPr>
        <w:tc>
          <w:tcPr>
            <w:tcW w:w="962" w:type="dxa"/>
            <w:vMerge/>
            <w:tcBorders>
              <w:top w:val="nil"/>
            </w:tcBorders>
          </w:tcPr>
          <w:p w14:paraId="70E02B98" w14:textId="77777777" w:rsidR="00BA6236" w:rsidRPr="00BA6236" w:rsidRDefault="00BA6236" w:rsidP="00894BFF"/>
        </w:tc>
        <w:tc>
          <w:tcPr>
            <w:tcW w:w="960" w:type="dxa"/>
          </w:tcPr>
          <w:p w14:paraId="62F554F6" w14:textId="77777777" w:rsidR="00BA6236" w:rsidRPr="00BA6236" w:rsidRDefault="00BA6236" w:rsidP="00894BFF">
            <w:pPr>
              <w:pStyle w:val="TableParagraph"/>
              <w:spacing w:before="17" w:line="252" w:lineRule="exact"/>
              <w:ind w:left="208" w:right="198"/>
              <w:rPr>
                <w:sz w:val="20"/>
                <w:szCs w:val="20"/>
              </w:rPr>
            </w:pPr>
            <w:r w:rsidRPr="00BA6236">
              <w:rPr>
                <w:sz w:val="20"/>
                <w:szCs w:val="20"/>
              </w:rPr>
              <w:t>30/50</w:t>
            </w:r>
          </w:p>
        </w:tc>
        <w:tc>
          <w:tcPr>
            <w:tcW w:w="1359" w:type="dxa"/>
          </w:tcPr>
          <w:p w14:paraId="78C94D30" w14:textId="77777777" w:rsidR="00BA6236" w:rsidRPr="00BA6236" w:rsidRDefault="00BA6236" w:rsidP="00894BFF">
            <w:pPr>
              <w:pStyle w:val="TableParagraph"/>
              <w:spacing w:before="17" w:line="252" w:lineRule="exact"/>
              <w:ind w:right="468"/>
              <w:jc w:val="right"/>
              <w:rPr>
                <w:sz w:val="20"/>
                <w:szCs w:val="20"/>
              </w:rPr>
            </w:pPr>
            <w:r w:rsidRPr="00BA6236">
              <w:rPr>
                <w:sz w:val="20"/>
                <w:szCs w:val="20"/>
              </w:rPr>
              <w:t>&lt;100</w:t>
            </w:r>
          </w:p>
        </w:tc>
      </w:tr>
    </w:tbl>
    <w:p w14:paraId="290CA39D" w14:textId="77777777" w:rsidR="00030163" w:rsidRDefault="00030163" w:rsidP="00D96197">
      <w:pPr>
        <w:pStyle w:val="BodyText"/>
        <w:spacing w:before="1"/>
        <w:ind w:firstLine="0"/>
      </w:pPr>
    </w:p>
    <w:p w14:paraId="6A95A240" w14:textId="77777777" w:rsidR="00253495" w:rsidRDefault="00C84DC9" w:rsidP="00253495">
      <w:pPr>
        <w:spacing w:before="100" w:beforeAutospacing="1" w:after="100" w:afterAutospacing="1"/>
        <w:jc w:val="left"/>
        <w:rPr>
          <w:color w:val="252525"/>
          <w:lang w:val="en-IN" w:eastAsia="en-IN"/>
        </w:rPr>
      </w:pPr>
      <w:r w:rsidRPr="00C84DC9">
        <w:rPr>
          <w:color w:val="252525"/>
          <w:lang w:val="en-IN" w:eastAsia="en-IN"/>
        </w:rPr>
        <w:t>The findings of the experimental work highlight the following:</w:t>
      </w:r>
    </w:p>
    <w:p w14:paraId="59286AF3" w14:textId="679F6FEC" w:rsidR="00C84DC9" w:rsidRPr="00253495" w:rsidRDefault="00C84DC9" w:rsidP="00253495">
      <w:pPr>
        <w:pStyle w:val="ListParagraph"/>
        <w:numPr>
          <w:ilvl w:val="0"/>
          <w:numId w:val="25"/>
        </w:numPr>
        <w:spacing w:before="100" w:beforeAutospacing="1" w:after="100" w:afterAutospacing="1"/>
        <w:jc w:val="left"/>
        <w:rPr>
          <w:color w:val="252525"/>
          <w:lang w:val="en-IN" w:eastAsia="en-IN"/>
        </w:rPr>
      </w:pPr>
      <w:r w:rsidRPr="00253495">
        <w:rPr>
          <w:color w:val="252525"/>
          <w:lang w:val="en-IN" w:eastAsia="en-IN"/>
        </w:rPr>
        <w:t xml:space="preserve">The </w:t>
      </w:r>
      <w:proofErr w:type="spellStart"/>
      <w:r w:rsidRPr="00253495">
        <w:rPr>
          <w:color w:val="252525"/>
          <w:lang w:val="en-IN" w:eastAsia="en-IN"/>
        </w:rPr>
        <w:t>analyzed</w:t>
      </w:r>
      <w:proofErr w:type="spellEnd"/>
      <w:r w:rsidRPr="00253495">
        <w:rPr>
          <w:color w:val="252525"/>
          <w:lang w:val="en-IN" w:eastAsia="en-IN"/>
        </w:rPr>
        <w:t xml:space="preserve"> samples from Gujarat had two proppant mesh sizes: 20/40 and 30/50.</w:t>
      </w:r>
    </w:p>
    <w:p w14:paraId="7E9BC524" w14:textId="77777777" w:rsidR="00C84DC9" w:rsidRPr="00C84DC9" w:rsidRDefault="00C84DC9" w:rsidP="00C84DC9">
      <w:pPr>
        <w:numPr>
          <w:ilvl w:val="0"/>
          <w:numId w:val="24"/>
        </w:numPr>
        <w:spacing w:before="100" w:beforeAutospacing="1" w:after="100" w:afterAutospacing="1"/>
        <w:jc w:val="left"/>
        <w:rPr>
          <w:color w:val="252525"/>
          <w:lang w:val="en-IN" w:eastAsia="en-IN"/>
        </w:rPr>
      </w:pPr>
      <w:r w:rsidRPr="00C84DC9">
        <w:rPr>
          <w:color w:val="252525"/>
          <w:lang w:val="en-IN" w:eastAsia="en-IN"/>
        </w:rPr>
        <w:lastRenderedPageBreak/>
        <w:t>The proppant sands are appropriate for use in an acidic environment.</w:t>
      </w:r>
    </w:p>
    <w:p w14:paraId="38E6E041" w14:textId="77777777" w:rsidR="00C84DC9" w:rsidRPr="00C84DC9" w:rsidRDefault="00C84DC9" w:rsidP="00C84DC9">
      <w:pPr>
        <w:numPr>
          <w:ilvl w:val="0"/>
          <w:numId w:val="24"/>
        </w:numPr>
        <w:spacing w:before="100" w:beforeAutospacing="1" w:after="100" w:afterAutospacing="1"/>
        <w:jc w:val="left"/>
        <w:rPr>
          <w:color w:val="252525"/>
          <w:lang w:val="en-IN" w:eastAsia="en-IN"/>
        </w:rPr>
      </w:pPr>
      <w:r w:rsidRPr="00C84DC9">
        <w:rPr>
          <w:color w:val="252525"/>
          <w:lang w:val="en-IN" w:eastAsia="en-IN"/>
        </w:rPr>
        <w:t>Fracturing can be done using proppant.</w:t>
      </w:r>
    </w:p>
    <w:p w14:paraId="0C35DFEE" w14:textId="77777777" w:rsidR="00C84DC9" w:rsidRPr="00C84DC9" w:rsidRDefault="00C84DC9" w:rsidP="00C84DC9">
      <w:pPr>
        <w:numPr>
          <w:ilvl w:val="0"/>
          <w:numId w:val="24"/>
        </w:numPr>
        <w:spacing w:before="100" w:beforeAutospacing="1" w:after="100" w:afterAutospacing="1"/>
        <w:jc w:val="left"/>
        <w:rPr>
          <w:color w:val="252525"/>
          <w:sz w:val="24"/>
          <w:szCs w:val="24"/>
          <w:lang w:val="en-IN" w:eastAsia="en-IN"/>
        </w:rPr>
      </w:pPr>
      <w:r w:rsidRPr="00C84DC9">
        <w:rPr>
          <w:color w:val="252525"/>
          <w:lang w:val="en-IN" w:eastAsia="en-IN"/>
        </w:rPr>
        <w:t>The proppants used in the current work are appropriate for fracturing shallow reservoirs with less than 5000 psi closing pressure.</w:t>
      </w:r>
    </w:p>
    <w:p w14:paraId="335BDF45" w14:textId="7358CF04" w:rsidR="00BA6236" w:rsidRDefault="00E8691C" w:rsidP="00D96197">
      <w:pPr>
        <w:jc w:val="both"/>
      </w:pPr>
      <w:r>
        <w:t>From all the tests done on the sand samples and when compared to those of ceramic proppants, it is observed that the ceramic proppants have performed better than the sand proppants; however, the price of ceramic proppants is almost five times the price of sand proppants, as ceramic proppants are designed in the lab specifically to withstand higher closure pressures and impart better porosity in the induced fractures. Due to economic reasons, sand proppants are preferred over ceramic proppants unless extremely high closure pressures are encountered.</w:t>
      </w:r>
    </w:p>
    <w:p w14:paraId="39345493" w14:textId="77777777" w:rsidR="00D96197" w:rsidRDefault="00D96197" w:rsidP="00D96197">
      <w:pPr>
        <w:jc w:val="both"/>
      </w:pPr>
    </w:p>
    <w:p w14:paraId="0A77BF98" w14:textId="27D80A4C" w:rsidR="00220C5C" w:rsidRDefault="00674F5D" w:rsidP="00674F5D">
      <w:pPr>
        <w:pStyle w:val="Heading1"/>
        <w:rPr>
          <w:rFonts w:ascii="Times New Roman" w:hAnsi="Times New Roman"/>
          <w:sz w:val="20"/>
          <w:szCs w:val="20"/>
        </w:rPr>
      </w:pPr>
      <w:r w:rsidRPr="00674F5D">
        <w:rPr>
          <w:rFonts w:ascii="Times New Roman" w:hAnsi="Times New Roman"/>
          <w:sz w:val="20"/>
          <w:szCs w:val="20"/>
        </w:rPr>
        <w:t>FRACTURING</w:t>
      </w:r>
      <w:r w:rsidRPr="00674F5D">
        <w:rPr>
          <w:rFonts w:ascii="Times New Roman" w:hAnsi="Times New Roman"/>
          <w:spacing w:val="-1"/>
          <w:sz w:val="20"/>
          <w:szCs w:val="20"/>
        </w:rPr>
        <w:t xml:space="preserve"> </w:t>
      </w:r>
      <w:r w:rsidRPr="00674F5D">
        <w:rPr>
          <w:rFonts w:ascii="Times New Roman" w:hAnsi="Times New Roman"/>
          <w:sz w:val="20"/>
          <w:szCs w:val="20"/>
        </w:rPr>
        <w:t>FLUID &amp;</w:t>
      </w:r>
      <w:r w:rsidRPr="00674F5D">
        <w:rPr>
          <w:rFonts w:ascii="Times New Roman" w:hAnsi="Times New Roman"/>
          <w:spacing w:val="-1"/>
          <w:sz w:val="20"/>
          <w:szCs w:val="20"/>
        </w:rPr>
        <w:t xml:space="preserve"> </w:t>
      </w:r>
      <w:r w:rsidRPr="00674F5D">
        <w:rPr>
          <w:rFonts w:ascii="Times New Roman" w:hAnsi="Times New Roman"/>
          <w:sz w:val="20"/>
          <w:szCs w:val="20"/>
        </w:rPr>
        <w:t>FRACTURE</w:t>
      </w:r>
      <w:r w:rsidRPr="00674F5D">
        <w:rPr>
          <w:rFonts w:ascii="Times New Roman" w:hAnsi="Times New Roman"/>
          <w:spacing w:val="-1"/>
          <w:sz w:val="20"/>
          <w:szCs w:val="20"/>
        </w:rPr>
        <w:t xml:space="preserve"> </w:t>
      </w:r>
      <w:r w:rsidRPr="00674F5D">
        <w:rPr>
          <w:rFonts w:ascii="Times New Roman" w:hAnsi="Times New Roman"/>
          <w:sz w:val="20"/>
          <w:szCs w:val="20"/>
        </w:rPr>
        <w:t>MODEL</w:t>
      </w:r>
    </w:p>
    <w:p w14:paraId="1C5DA74A" w14:textId="5DFC6DAA" w:rsidR="00674F5D" w:rsidRDefault="003541A4" w:rsidP="008171FE">
      <w:pPr>
        <w:pStyle w:val="NoSpacing"/>
        <w:jc w:val="both"/>
      </w:pPr>
      <w:r>
        <w:t>According to earlier research, there are two different types of data needed to develop the fracture model and the reservoir simulation. The first kind is the primary data, which includes information about wells, fluids, and different forms of proppant. Secondary data is measured or estimated and contains formation properties [7, 8, 9].</w:t>
      </w:r>
      <w:r w:rsidR="001134FB">
        <w:t xml:space="preserve"> </w:t>
      </w:r>
    </w:p>
    <w:p w14:paraId="35337EF3" w14:textId="77777777" w:rsidR="00386CB0" w:rsidRDefault="00386CB0" w:rsidP="00674F5D">
      <w:pPr>
        <w:jc w:val="both"/>
      </w:pPr>
    </w:p>
    <w:p w14:paraId="17E78E0C" w14:textId="3848ACD8" w:rsidR="00386CB0" w:rsidRDefault="00386CB0" w:rsidP="00386CB0">
      <w:pPr>
        <w:pStyle w:val="Heading1"/>
        <w:rPr>
          <w:rFonts w:ascii="Times New Roman" w:hAnsi="Times New Roman"/>
          <w:sz w:val="20"/>
          <w:szCs w:val="20"/>
        </w:rPr>
      </w:pPr>
      <w:r w:rsidRPr="00386CB0">
        <w:rPr>
          <w:rFonts w:ascii="Times New Roman" w:hAnsi="Times New Roman"/>
          <w:sz w:val="20"/>
          <w:szCs w:val="20"/>
        </w:rPr>
        <w:t>RESULT AND ANALYSIS</w:t>
      </w:r>
    </w:p>
    <w:p w14:paraId="6DB05056" w14:textId="2ED74BDB" w:rsidR="00386CB0" w:rsidRDefault="00D26F69" w:rsidP="00217796">
      <w:pPr>
        <w:pStyle w:val="BodyText"/>
        <w:spacing w:line="240" w:lineRule="auto"/>
        <w:ind w:right="136" w:firstLine="0"/>
        <w:rPr>
          <w:color w:val="333333"/>
        </w:rPr>
      </w:pPr>
      <w:r>
        <w:tab/>
      </w:r>
      <w:r>
        <w:tab/>
      </w:r>
      <w:r w:rsidR="001454AB">
        <w:t xml:space="preserve">Carbo </w:t>
      </w:r>
      <w:proofErr w:type="spellStart"/>
      <w:r w:rsidR="001454AB">
        <w:t>FracPro</w:t>
      </w:r>
      <w:proofErr w:type="spellEnd"/>
      <w:r w:rsidR="001454AB">
        <w:t xml:space="preserve"> provides data regarding fracturing fluid and proppant types.</w:t>
      </w:r>
      <w:r w:rsidR="00F7490A">
        <w:t xml:space="preserve"> The formation lithology should also be compatible with the procured sand sample from Gujarat, India, for recommendation for use in hydraulic fracturing operations below 5000 psi. Next, the performance of the fractures is </w:t>
      </w:r>
      <w:proofErr w:type="spellStart"/>
      <w:r w:rsidR="00F7490A">
        <w:t>analysed</w:t>
      </w:r>
      <w:proofErr w:type="spellEnd"/>
      <w:r w:rsidR="00F7490A">
        <w:t>, i.e., fracture ` conductivity, and the results are compared with those of other proppants.</w:t>
      </w:r>
    </w:p>
    <w:p w14:paraId="52A965BB" w14:textId="47B086E2" w:rsidR="004C7D2C" w:rsidRDefault="004C7D2C" w:rsidP="00C91B37">
      <w:pPr>
        <w:pStyle w:val="BodyText"/>
        <w:spacing w:line="240" w:lineRule="auto"/>
        <w:ind w:right="136" w:firstLine="0"/>
        <w:jc w:val="center"/>
      </w:pPr>
      <w:r>
        <w:rPr>
          <w:noProof/>
        </w:rPr>
        <w:drawing>
          <wp:inline distT="0" distB="0" distL="0" distR="0" wp14:anchorId="5A335EAC" wp14:editId="5E86393D">
            <wp:extent cx="4993915" cy="2160000"/>
            <wp:effectExtent l="0" t="0" r="0" b="0"/>
            <wp:docPr id="1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jpeg"/>
                    <pic:cNvPicPr/>
                  </pic:nvPicPr>
                  <pic:blipFill>
                    <a:blip r:embed="rId9" cstate="print"/>
                    <a:stretch>
                      <a:fillRect/>
                    </a:stretch>
                  </pic:blipFill>
                  <pic:spPr>
                    <a:xfrm>
                      <a:off x="0" y="0"/>
                      <a:ext cx="4993915" cy="2160000"/>
                    </a:xfrm>
                    <a:prstGeom prst="rect">
                      <a:avLst/>
                    </a:prstGeom>
                  </pic:spPr>
                </pic:pic>
              </a:graphicData>
            </a:graphic>
          </wp:inline>
        </w:drawing>
      </w:r>
    </w:p>
    <w:p w14:paraId="4A5266F7" w14:textId="77777777" w:rsidR="00C91B37" w:rsidRPr="00C91B37" w:rsidRDefault="00C91B37" w:rsidP="00C91B37">
      <w:pPr>
        <w:pStyle w:val="BodyText"/>
        <w:spacing w:line="240" w:lineRule="auto"/>
        <w:ind w:right="136" w:firstLine="0"/>
        <w:jc w:val="center"/>
        <w:rPr>
          <w:b/>
          <w:bCs/>
        </w:rPr>
      </w:pPr>
      <w:r w:rsidRPr="00C91B37">
        <w:rPr>
          <w:b/>
          <w:bCs/>
          <w:color w:val="333333"/>
        </w:rPr>
        <w:t>Figure</w:t>
      </w:r>
      <w:r w:rsidRPr="00C91B37">
        <w:rPr>
          <w:b/>
          <w:bCs/>
          <w:color w:val="333333"/>
          <w:spacing w:val="-2"/>
        </w:rPr>
        <w:t xml:space="preserve"> </w:t>
      </w:r>
      <w:r w:rsidRPr="00C91B37">
        <w:rPr>
          <w:b/>
          <w:bCs/>
          <w:color w:val="333333"/>
        </w:rPr>
        <w:t>1:</w:t>
      </w:r>
      <w:r w:rsidRPr="00C91B37">
        <w:rPr>
          <w:b/>
          <w:bCs/>
          <w:color w:val="333333"/>
          <w:spacing w:val="-1"/>
        </w:rPr>
        <w:t xml:space="preserve"> </w:t>
      </w:r>
      <w:r w:rsidRPr="00C91B37">
        <w:rPr>
          <w:b/>
          <w:bCs/>
          <w:color w:val="333333"/>
        </w:rPr>
        <w:t>Fluid</w:t>
      </w:r>
      <w:r w:rsidRPr="00C91B37">
        <w:rPr>
          <w:b/>
          <w:bCs/>
          <w:color w:val="333333"/>
          <w:spacing w:val="-1"/>
        </w:rPr>
        <w:t xml:space="preserve"> </w:t>
      </w:r>
      <w:r w:rsidRPr="00C91B37">
        <w:rPr>
          <w:b/>
          <w:bCs/>
          <w:color w:val="333333"/>
        </w:rPr>
        <w:t>&amp;</w:t>
      </w:r>
      <w:r w:rsidRPr="00C91B37">
        <w:rPr>
          <w:b/>
          <w:bCs/>
          <w:color w:val="333333"/>
          <w:spacing w:val="-1"/>
        </w:rPr>
        <w:t xml:space="preserve"> </w:t>
      </w:r>
      <w:r w:rsidRPr="00C91B37">
        <w:rPr>
          <w:b/>
          <w:bCs/>
          <w:color w:val="333333"/>
        </w:rPr>
        <w:t>Proppant</w:t>
      </w:r>
      <w:r w:rsidRPr="00C91B37">
        <w:rPr>
          <w:b/>
          <w:bCs/>
          <w:color w:val="333333"/>
          <w:spacing w:val="1"/>
        </w:rPr>
        <w:t xml:space="preserve"> </w:t>
      </w:r>
      <w:r w:rsidRPr="00C91B37">
        <w:rPr>
          <w:b/>
          <w:bCs/>
          <w:color w:val="333333"/>
        </w:rPr>
        <w:t>Selection</w:t>
      </w:r>
    </w:p>
    <w:p w14:paraId="54BC3EA0" w14:textId="77777777" w:rsidR="006539B4" w:rsidRPr="006539B4" w:rsidRDefault="006539B4" w:rsidP="006539B4">
      <w:pPr>
        <w:pStyle w:val="NormalWeb"/>
        <w:rPr>
          <w:color w:val="252525"/>
          <w:sz w:val="20"/>
          <w:szCs w:val="20"/>
        </w:rPr>
      </w:pPr>
      <w:r w:rsidRPr="006539B4">
        <w:rPr>
          <w:color w:val="252525"/>
          <w:sz w:val="20"/>
          <w:szCs w:val="20"/>
        </w:rPr>
        <w:t xml:space="preserve">For the fracture simulation, a case wherein a sandstone formation with 100 feet of thickness was between two shale formations was considered. The reservoir has ceased production due to the presence of a 60-foot layer of skin or formation damage near the wellbore, requiring hydraulic fracturing operations. Based on the situation, the KGD fracture model best fits the purpose. After defining the formation, wellbore configuration, fracturing fluid, and proppant, the </w:t>
      </w:r>
      <w:proofErr w:type="spellStart"/>
      <w:r w:rsidRPr="006539B4">
        <w:rPr>
          <w:color w:val="252525"/>
          <w:sz w:val="20"/>
          <w:szCs w:val="20"/>
        </w:rPr>
        <w:t>FracPro</w:t>
      </w:r>
      <w:proofErr w:type="spellEnd"/>
      <w:r w:rsidRPr="006539B4">
        <w:rPr>
          <w:color w:val="252525"/>
          <w:sz w:val="20"/>
          <w:szCs w:val="20"/>
        </w:rPr>
        <w:t xml:space="preserve"> study was performed.</w:t>
      </w:r>
    </w:p>
    <w:p w14:paraId="0F743245" w14:textId="77777777" w:rsidR="00816BEC" w:rsidRDefault="00816BEC" w:rsidP="00386CB0">
      <w:pPr>
        <w:jc w:val="both"/>
        <w:rPr>
          <w:b/>
          <w:bCs/>
        </w:rPr>
      </w:pPr>
    </w:p>
    <w:p w14:paraId="17D6A206" w14:textId="77777777" w:rsidR="00816BEC" w:rsidRDefault="00816BEC" w:rsidP="00386CB0">
      <w:pPr>
        <w:jc w:val="both"/>
        <w:rPr>
          <w:b/>
          <w:bCs/>
        </w:rPr>
      </w:pPr>
    </w:p>
    <w:p w14:paraId="003376F7" w14:textId="77777777" w:rsidR="00816BEC" w:rsidRDefault="00816BEC" w:rsidP="00386CB0">
      <w:pPr>
        <w:jc w:val="both"/>
        <w:rPr>
          <w:b/>
          <w:bCs/>
        </w:rPr>
      </w:pPr>
    </w:p>
    <w:p w14:paraId="0C587500" w14:textId="77777777" w:rsidR="00816BEC" w:rsidRDefault="00816BEC" w:rsidP="00386CB0">
      <w:pPr>
        <w:jc w:val="both"/>
        <w:rPr>
          <w:b/>
          <w:bCs/>
        </w:rPr>
      </w:pPr>
    </w:p>
    <w:p w14:paraId="1F421A0B" w14:textId="77777777" w:rsidR="00816BEC" w:rsidRDefault="00816BEC" w:rsidP="00386CB0">
      <w:pPr>
        <w:jc w:val="both"/>
        <w:rPr>
          <w:b/>
          <w:bCs/>
        </w:rPr>
      </w:pPr>
    </w:p>
    <w:p w14:paraId="4F5BAA5A" w14:textId="77777777" w:rsidR="00816BEC" w:rsidRDefault="00816BEC" w:rsidP="00386CB0">
      <w:pPr>
        <w:jc w:val="both"/>
        <w:rPr>
          <w:b/>
          <w:bCs/>
        </w:rPr>
      </w:pPr>
    </w:p>
    <w:p w14:paraId="6BCC9062" w14:textId="1EDA1AD4" w:rsidR="00816BEC" w:rsidRPr="00816BEC" w:rsidRDefault="00553222" w:rsidP="00B74603">
      <w:pPr>
        <w:rPr>
          <w:b/>
          <w:bCs/>
          <w:color w:val="333333"/>
        </w:rPr>
      </w:pPr>
      <w:r>
        <w:rPr>
          <w:noProof/>
        </w:rPr>
        <w:lastRenderedPageBreak/>
        <w:drawing>
          <wp:anchor distT="0" distB="0" distL="0" distR="0" simplePos="0" relativeHeight="251661312" behindDoc="0" locked="0" layoutInCell="1" allowOverlap="1" wp14:anchorId="3A43B63E" wp14:editId="6F87F115">
            <wp:simplePos x="0" y="0"/>
            <wp:positionH relativeFrom="page">
              <wp:posOffset>2127250</wp:posOffset>
            </wp:positionH>
            <wp:positionV relativeFrom="paragraph">
              <wp:posOffset>0</wp:posOffset>
            </wp:positionV>
            <wp:extent cx="2956000" cy="2160000"/>
            <wp:effectExtent l="0" t="0" r="0" b="0"/>
            <wp:wrapTopAndBottom/>
            <wp:docPr id="2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jpeg"/>
                    <pic:cNvPicPr/>
                  </pic:nvPicPr>
                  <pic:blipFill>
                    <a:blip r:embed="rId10" cstate="print"/>
                    <a:stretch>
                      <a:fillRect/>
                    </a:stretch>
                  </pic:blipFill>
                  <pic:spPr>
                    <a:xfrm>
                      <a:off x="0" y="0"/>
                      <a:ext cx="2956000" cy="2160000"/>
                    </a:xfrm>
                    <a:prstGeom prst="rect">
                      <a:avLst/>
                    </a:prstGeom>
                  </pic:spPr>
                </pic:pic>
              </a:graphicData>
            </a:graphic>
            <wp14:sizeRelH relativeFrom="margin">
              <wp14:pctWidth>0</wp14:pctWidth>
            </wp14:sizeRelH>
            <wp14:sizeRelV relativeFrom="margin">
              <wp14:pctHeight>0</wp14:pctHeight>
            </wp14:sizeRelV>
          </wp:anchor>
        </w:drawing>
      </w:r>
      <w:r w:rsidR="00816BEC" w:rsidRPr="00816BEC">
        <w:rPr>
          <w:b/>
          <w:bCs/>
          <w:color w:val="333333"/>
        </w:rPr>
        <w:t>Fig</w:t>
      </w:r>
      <w:r w:rsidR="00816BEC">
        <w:rPr>
          <w:b/>
          <w:bCs/>
          <w:color w:val="333333"/>
          <w:spacing w:val="-1"/>
        </w:rPr>
        <w:t>ure 2:</w:t>
      </w:r>
      <w:r w:rsidR="00816BEC" w:rsidRPr="00816BEC">
        <w:rPr>
          <w:b/>
          <w:bCs/>
          <w:color w:val="333333"/>
          <w:spacing w:val="-1"/>
        </w:rPr>
        <w:t xml:space="preserve"> </w:t>
      </w:r>
      <w:r w:rsidR="00816BEC" w:rsidRPr="00816BEC">
        <w:rPr>
          <w:b/>
          <w:bCs/>
          <w:color w:val="333333"/>
        </w:rPr>
        <w:t>Treatment</w:t>
      </w:r>
      <w:r w:rsidR="00816BEC" w:rsidRPr="00816BEC">
        <w:rPr>
          <w:b/>
          <w:bCs/>
          <w:color w:val="333333"/>
          <w:spacing w:val="-1"/>
        </w:rPr>
        <w:t xml:space="preserve"> </w:t>
      </w:r>
      <w:r w:rsidR="00816BEC" w:rsidRPr="00816BEC">
        <w:rPr>
          <w:b/>
          <w:bCs/>
          <w:color w:val="333333"/>
        </w:rPr>
        <w:t>Schedule</w:t>
      </w:r>
    </w:p>
    <w:p w14:paraId="2E97C9F1" w14:textId="77777777" w:rsidR="00816BEC" w:rsidRDefault="00816BEC" w:rsidP="00466548">
      <w:pPr>
        <w:pStyle w:val="BodyText"/>
        <w:spacing w:after="0" w:line="240" w:lineRule="auto"/>
        <w:ind w:firstLine="0"/>
      </w:pPr>
    </w:p>
    <w:p w14:paraId="389295A0" w14:textId="77777777" w:rsidR="00197826" w:rsidRDefault="00197826" w:rsidP="00466548">
      <w:pPr>
        <w:pStyle w:val="BodyText"/>
        <w:spacing w:after="0" w:line="240" w:lineRule="auto"/>
        <w:ind w:firstLine="0"/>
      </w:pPr>
    </w:p>
    <w:p w14:paraId="6B6EE006" w14:textId="204B0D2C" w:rsidR="00197826" w:rsidRDefault="00197826" w:rsidP="00A678DB">
      <w:pPr>
        <w:pStyle w:val="BodyText"/>
        <w:spacing w:after="0" w:line="240" w:lineRule="auto"/>
        <w:ind w:firstLine="0"/>
        <w:jc w:val="center"/>
      </w:pPr>
      <w:r>
        <w:rPr>
          <w:noProof/>
        </w:rPr>
        <w:drawing>
          <wp:inline distT="0" distB="0" distL="0" distR="0" wp14:anchorId="7A451504" wp14:editId="28A70585">
            <wp:extent cx="3824401" cy="2160000"/>
            <wp:effectExtent l="0" t="0" r="5080" b="0"/>
            <wp:docPr id="2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jpeg"/>
                    <pic:cNvPicPr/>
                  </pic:nvPicPr>
                  <pic:blipFill>
                    <a:blip r:embed="rId11" cstate="print"/>
                    <a:stretch>
                      <a:fillRect/>
                    </a:stretch>
                  </pic:blipFill>
                  <pic:spPr>
                    <a:xfrm>
                      <a:off x="0" y="0"/>
                      <a:ext cx="3824401" cy="2160000"/>
                    </a:xfrm>
                    <a:prstGeom prst="rect">
                      <a:avLst/>
                    </a:prstGeom>
                  </pic:spPr>
                </pic:pic>
              </a:graphicData>
            </a:graphic>
          </wp:inline>
        </w:drawing>
      </w:r>
    </w:p>
    <w:p w14:paraId="6205ACAF" w14:textId="0121CC58" w:rsidR="00A678DB" w:rsidRPr="00D818A3" w:rsidRDefault="00A678DB" w:rsidP="00D818A3">
      <w:pPr>
        <w:pStyle w:val="BodyText"/>
        <w:spacing w:after="0" w:line="240" w:lineRule="auto"/>
        <w:ind w:firstLine="0"/>
        <w:jc w:val="center"/>
        <w:rPr>
          <w:b/>
          <w:bCs/>
        </w:rPr>
      </w:pPr>
      <w:r w:rsidRPr="00D818A3">
        <w:rPr>
          <w:b/>
          <w:bCs/>
        </w:rPr>
        <w:t>Figure</w:t>
      </w:r>
      <w:r w:rsidRPr="00D818A3">
        <w:rPr>
          <w:b/>
          <w:bCs/>
          <w:spacing w:val="-1"/>
        </w:rPr>
        <w:t xml:space="preserve"> </w:t>
      </w:r>
      <w:r w:rsidRPr="00D818A3">
        <w:rPr>
          <w:b/>
          <w:bCs/>
        </w:rPr>
        <w:t>3:</w:t>
      </w:r>
      <w:r w:rsidRPr="00D818A3">
        <w:rPr>
          <w:b/>
          <w:bCs/>
          <w:spacing w:val="-1"/>
        </w:rPr>
        <w:t xml:space="preserve"> </w:t>
      </w:r>
      <w:r w:rsidRPr="00D818A3">
        <w:rPr>
          <w:b/>
          <w:bCs/>
        </w:rPr>
        <w:t>Fracture</w:t>
      </w:r>
      <w:r w:rsidRPr="00D818A3">
        <w:rPr>
          <w:b/>
          <w:bCs/>
          <w:spacing w:val="-2"/>
        </w:rPr>
        <w:t xml:space="preserve"> </w:t>
      </w:r>
      <w:r w:rsidRPr="00D818A3">
        <w:rPr>
          <w:b/>
          <w:bCs/>
        </w:rPr>
        <w:t>Profile</w:t>
      </w:r>
      <w:r w:rsidRPr="00D818A3">
        <w:rPr>
          <w:b/>
          <w:bCs/>
          <w:spacing w:val="-2"/>
        </w:rPr>
        <w:t xml:space="preserve"> </w:t>
      </w:r>
      <w:r w:rsidRPr="00D818A3">
        <w:rPr>
          <w:b/>
          <w:bCs/>
        </w:rPr>
        <w:t>after</w:t>
      </w:r>
      <w:r w:rsidRPr="00D818A3">
        <w:rPr>
          <w:b/>
          <w:bCs/>
          <w:spacing w:val="-1"/>
        </w:rPr>
        <w:t xml:space="preserve"> </w:t>
      </w:r>
      <w:r w:rsidRPr="00D818A3">
        <w:rPr>
          <w:b/>
          <w:bCs/>
        </w:rPr>
        <w:t>Pad</w:t>
      </w:r>
      <w:r w:rsidRPr="00D818A3">
        <w:rPr>
          <w:b/>
          <w:bCs/>
          <w:spacing w:val="-2"/>
        </w:rPr>
        <w:t xml:space="preserve"> </w:t>
      </w:r>
      <w:r w:rsidRPr="00D818A3">
        <w:rPr>
          <w:b/>
          <w:bCs/>
        </w:rPr>
        <w:t>stage</w:t>
      </w:r>
    </w:p>
    <w:p w14:paraId="4A20A924" w14:textId="0D8AED75" w:rsidR="00A678DB" w:rsidRDefault="00570B0A" w:rsidP="00A678DB">
      <w:pPr>
        <w:pStyle w:val="BodyText"/>
        <w:spacing w:after="0" w:line="240" w:lineRule="auto"/>
        <w:ind w:firstLine="0"/>
        <w:jc w:val="center"/>
      </w:pPr>
      <w:r>
        <w:rPr>
          <w:noProof/>
        </w:rPr>
        <w:drawing>
          <wp:anchor distT="0" distB="0" distL="0" distR="0" simplePos="0" relativeHeight="251663360" behindDoc="0" locked="0" layoutInCell="1" allowOverlap="1" wp14:anchorId="59624B13" wp14:editId="13954751">
            <wp:simplePos x="0" y="0"/>
            <wp:positionH relativeFrom="page">
              <wp:posOffset>1289050</wp:posOffset>
            </wp:positionH>
            <wp:positionV relativeFrom="paragraph">
              <wp:posOffset>273050</wp:posOffset>
            </wp:positionV>
            <wp:extent cx="4721763" cy="2160000"/>
            <wp:effectExtent l="0" t="0" r="3175" b="0"/>
            <wp:wrapTopAndBottom/>
            <wp:docPr id="2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jpeg"/>
                    <pic:cNvPicPr/>
                  </pic:nvPicPr>
                  <pic:blipFill>
                    <a:blip r:embed="rId12" cstate="print"/>
                    <a:stretch>
                      <a:fillRect/>
                    </a:stretch>
                  </pic:blipFill>
                  <pic:spPr>
                    <a:xfrm>
                      <a:off x="0" y="0"/>
                      <a:ext cx="4721763" cy="2160000"/>
                    </a:xfrm>
                    <a:prstGeom prst="rect">
                      <a:avLst/>
                    </a:prstGeom>
                  </pic:spPr>
                </pic:pic>
              </a:graphicData>
            </a:graphic>
            <wp14:sizeRelH relativeFrom="margin">
              <wp14:pctWidth>0</wp14:pctWidth>
            </wp14:sizeRelH>
            <wp14:sizeRelV relativeFrom="margin">
              <wp14:pctHeight>0</wp14:pctHeight>
            </wp14:sizeRelV>
          </wp:anchor>
        </w:drawing>
      </w:r>
    </w:p>
    <w:p w14:paraId="55461724" w14:textId="22A420CC" w:rsidR="001E52A5" w:rsidRDefault="001E52A5" w:rsidP="00466548">
      <w:pPr>
        <w:pStyle w:val="BodyText"/>
        <w:spacing w:after="0" w:line="240" w:lineRule="auto"/>
        <w:ind w:firstLine="0"/>
      </w:pPr>
    </w:p>
    <w:p w14:paraId="3F24A82D" w14:textId="7392DC7E" w:rsidR="000D7DDD" w:rsidRPr="000D7DDD" w:rsidRDefault="000D7DDD" w:rsidP="000D7DDD">
      <w:pPr>
        <w:pStyle w:val="BodyText"/>
        <w:spacing w:after="0" w:line="240" w:lineRule="auto"/>
        <w:ind w:firstLine="0"/>
        <w:jc w:val="center"/>
        <w:rPr>
          <w:b/>
          <w:bCs/>
        </w:rPr>
      </w:pPr>
      <w:r w:rsidRPr="000D7DDD">
        <w:rPr>
          <w:b/>
          <w:bCs/>
        </w:rPr>
        <w:t>Fig</w:t>
      </w:r>
      <w:r>
        <w:rPr>
          <w:b/>
          <w:bCs/>
        </w:rPr>
        <w:t>ure</w:t>
      </w:r>
      <w:r w:rsidRPr="000D7DDD">
        <w:rPr>
          <w:b/>
          <w:bCs/>
          <w:spacing w:val="-2"/>
        </w:rPr>
        <w:t xml:space="preserve"> </w:t>
      </w:r>
      <w:r>
        <w:rPr>
          <w:b/>
          <w:bCs/>
          <w:spacing w:val="-2"/>
        </w:rPr>
        <w:t>4:</w:t>
      </w:r>
      <w:r w:rsidRPr="000D7DDD">
        <w:rPr>
          <w:b/>
          <w:bCs/>
          <w:spacing w:val="-1"/>
        </w:rPr>
        <w:t xml:space="preserve"> </w:t>
      </w:r>
      <w:r w:rsidRPr="000D7DDD">
        <w:rPr>
          <w:b/>
          <w:bCs/>
        </w:rPr>
        <w:t>Width</w:t>
      </w:r>
      <w:r w:rsidRPr="000D7DDD">
        <w:rPr>
          <w:b/>
          <w:bCs/>
          <w:spacing w:val="-1"/>
        </w:rPr>
        <w:t xml:space="preserve"> </w:t>
      </w:r>
      <w:r w:rsidRPr="000D7DDD">
        <w:rPr>
          <w:b/>
          <w:bCs/>
        </w:rPr>
        <w:t>Profile</w:t>
      </w:r>
      <w:r w:rsidRPr="000D7DDD">
        <w:rPr>
          <w:b/>
          <w:bCs/>
          <w:spacing w:val="-2"/>
        </w:rPr>
        <w:t xml:space="preserve"> </w:t>
      </w:r>
      <w:r w:rsidRPr="000D7DDD">
        <w:rPr>
          <w:b/>
          <w:bCs/>
        </w:rPr>
        <w:t>after</w:t>
      </w:r>
      <w:r w:rsidRPr="000D7DDD">
        <w:rPr>
          <w:b/>
          <w:bCs/>
          <w:spacing w:val="-1"/>
        </w:rPr>
        <w:t xml:space="preserve"> </w:t>
      </w:r>
      <w:proofErr w:type="spellStart"/>
      <w:r w:rsidRPr="000D7DDD">
        <w:rPr>
          <w:b/>
          <w:bCs/>
        </w:rPr>
        <w:t>Padstage</w:t>
      </w:r>
      <w:proofErr w:type="spellEnd"/>
    </w:p>
    <w:p w14:paraId="57B72A68" w14:textId="77777777" w:rsidR="000D7DDD" w:rsidRDefault="000D7DDD" w:rsidP="00466548">
      <w:pPr>
        <w:pStyle w:val="BodyText"/>
        <w:spacing w:after="0" w:line="240" w:lineRule="auto"/>
        <w:ind w:firstLine="0"/>
      </w:pPr>
    </w:p>
    <w:p w14:paraId="715477B1" w14:textId="0DE6489C" w:rsidR="001E52A5" w:rsidRDefault="0015681F" w:rsidP="00466548">
      <w:pPr>
        <w:pStyle w:val="BodyText"/>
        <w:spacing w:after="0" w:line="240" w:lineRule="auto"/>
        <w:ind w:firstLine="0"/>
      </w:pPr>
      <w:r>
        <w:t>The outcome of the current work reflects (</w:t>
      </w:r>
      <w:proofErr w:type="spellStart"/>
      <w:r>
        <w:t>Fugure</w:t>
      </w:r>
      <w:proofErr w:type="spellEnd"/>
      <w:r>
        <w:t xml:space="preserve"> 1-4) that post-pad stage, the slurry goes in and places the proppants into the fracture. With the obtained proppant sample, the post-fracture conductivity was </w:t>
      </w:r>
      <w:proofErr w:type="spellStart"/>
      <w:r>
        <w:t>analysed</w:t>
      </w:r>
      <w:proofErr w:type="spellEnd"/>
      <w:r>
        <w:t xml:space="preserve"> in the produced fractures and compared with various propping materials, from sand-type to ceramic-type proppants. For this, three different proppants were considered: </w:t>
      </w:r>
      <w:proofErr w:type="spellStart"/>
      <w:r>
        <w:t>Accupak</w:t>
      </w:r>
      <w:proofErr w:type="spellEnd"/>
      <w:r>
        <w:t xml:space="preserve"> 20/40 (a medium-strength resin-coated proppant), </w:t>
      </w:r>
      <w:proofErr w:type="spellStart"/>
      <w:r>
        <w:t>Ceramax</w:t>
      </w:r>
      <w:proofErr w:type="spellEnd"/>
      <w:r>
        <w:t xml:space="preserve"> 20/40 (a medium-strength ceramic proppant), and </w:t>
      </w:r>
      <w:proofErr w:type="spellStart"/>
      <w:r>
        <w:t>Bauxlite</w:t>
      </w:r>
      <w:proofErr w:type="spellEnd"/>
      <w:r>
        <w:t xml:space="preserve"> 20/40 (a high-strength ceramic proppant) from the </w:t>
      </w:r>
      <w:proofErr w:type="spellStart"/>
      <w:r>
        <w:t>FracPro</w:t>
      </w:r>
      <w:proofErr w:type="spellEnd"/>
      <w:r>
        <w:t xml:space="preserve"> library, and the fracture conductivity for the procured sand sample was compared. The fracture simulation and test were done for a sandstone formation with a depth of 8000ft and an in-situ stress of approx. 5000 psi, which was earlier recommended as the maximum permissible stress for the procured proppant sand.</w:t>
      </w:r>
    </w:p>
    <w:p w14:paraId="5ABBFFE4" w14:textId="77777777" w:rsidR="00B22E45" w:rsidRDefault="00B22E45" w:rsidP="00466548">
      <w:pPr>
        <w:pStyle w:val="BodyText"/>
        <w:spacing w:after="0" w:line="240" w:lineRule="auto"/>
        <w:ind w:firstLine="0"/>
      </w:pPr>
    </w:p>
    <w:p w14:paraId="3487141B" w14:textId="77777777" w:rsidR="00B51207" w:rsidRDefault="00B51207" w:rsidP="00466548">
      <w:pPr>
        <w:pStyle w:val="BodyText"/>
        <w:spacing w:after="0" w:line="240" w:lineRule="auto"/>
        <w:ind w:firstLine="0"/>
      </w:pPr>
    </w:p>
    <w:p w14:paraId="73C85ED8" w14:textId="77777777" w:rsidR="00B51207" w:rsidRDefault="00B51207" w:rsidP="00B51207">
      <w:pPr>
        <w:pStyle w:val="BodyText"/>
        <w:spacing w:after="0" w:line="240" w:lineRule="auto"/>
        <w:ind w:firstLine="0"/>
      </w:pPr>
      <w:r>
        <w:t>Fig</w:t>
      </w:r>
      <w:r>
        <w:rPr>
          <w:spacing w:val="-2"/>
        </w:rPr>
        <w:t xml:space="preserve"> </w:t>
      </w:r>
      <w:r>
        <w:t>4.8</w:t>
      </w:r>
      <w:r>
        <w:rPr>
          <w:spacing w:val="-1"/>
        </w:rPr>
        <w:t xml:space="preserve"> </w:t>
      </w:r>
      <w:r>
        <w:t>Comparison</w:t>
      </w:r>
      <w:r>
        <w:rPr>
          <w:spacing w:val="-1"/>
        </w:rPr>
        <w:t xml:space="preserve"> </w:t>
      </w:r>
      <w:r>
        <w:t>of</w:t>
      </w:r>
      <w:r>
        <w:rPr>
          <w:spacing w:val="-2"/>
        </w:rPr>
        <w:t xml:space="preserve"> </w:t>
      </w:r>
      <w:r>
        <w:t>Fracture</w:t>
      </w:r>
      <w:r>
        <w:rPr>
          <w:spacing w:val="-3"/>
        </w:rPr>
        <w:t xml:space="preserve"> </w:t>
      </w:r>
      <w:r>
        <w:t>Conductivity</w:t>
      </w:r>
      <w:r>
        <w:rPr>
          <w:spacing w:val="-1"/>
        </w:rPr>
        <w:t xml:space="preserve"> </w:t>
      </w:r>
      <w:r>
        <w:t>with</w:t>
      </w:r>
      <w:r>
        <w:rPr>
          <w:spacing w:val="-1"/>
        </w:rPr>
        <w:t xml:space="preserve"> </w:t>
      </w:r>
      <w:r>
        <w:t>different</w:t>
      </w:r>
      <w:r>
        <w:rPr>
          <w:spacing w:val="-1"/>
        </w:rPr>
        <w:t xml:space="preserve"> </w:t>
      </w:r>
      <w:r>
        <w:t>proppants</w:t>
      </w:r>
    </w:p>
    <w:p w14:paraId="2A7F1800" w14:textId="77777777" w:rsidR="00B51207" w:rsidRDefault="00B51207" w:rsidP="00466548">
      <w:pPr>
        <w:pStyle w:val="BodyText"/>
        <w:spacing w:after="0" w:line="240" w:lineRule="auto"/>
        <w:ind w:firstLine="0"/>
      </w:pPr>
    </w:p>
    <w:p w14:paraId="432954D5" w14:textId="68EB6B45" w:rsidR="00B22E45" w:rsidRDefault="00B22E45" w:rsidP="00466548">
      <w:pPr>
        <w:pStyle w:val="BodyText"/>
        <w:spacing w:after="0" w:line="240" w:lineRule="auto"/>
        <w:ind w:firstLine="0"/>
      </w:pPr>
      <w:r>
        <w:rPr>
          <w:noProof/>
        </w:rPr>
        <w:lastRenderedPageBreak/>
        <w:drawing>
          <wp:anchor distT="0" distB="0" distL="0" distR="0" simplePos="0" relativeHeight="251665408" behindDoc="0" locked="0" layoutInCell="1" allowOverlap="1" wp14:anchorId="1DDA583B" wp14:editId="488C1DB5">
            <wp:simplePos x="0" y="0"/>
            <wp:positionH relativeFrom="page">
              <wp:posOffset>914400</wp:posOffset>
            </wp:positionH>
            <wp:positionV relativeFrom="paragraph">
              <wp:posOffset>145415</wp:posOffset>
            </wp:positionV>
            <wp:extent cx="5768429" cy="1835467"/>
            <wp:effectExtent l="0" t="0" r="0" b="0"/>
            <wp:wrapTopAndBottom/>
            <wp:docPr id="2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jpeg"/>
                    <pic:cNvPicPr/>
                  </pic:nvPicPr>
                  <pic:blipFill>
                    <a:blip r:embed="rId13" cstate="print"/>
                    <a:stretch>
                      <a:fillRect/>
                    </a:stretch>
                  </pic:blipFill>
                  <pic:spPr>
                    <a:xfrm>
                      <a:off x="0" y="0"/>
                      <a:ext cx="5768429" cy="1835467"/>
                    </a:xfrm>
                    <a:prstGeom prst="rect">
                      <a:avLst/>
                    </a:prstGeom>
                  </pic:spPr>
                </pic:pic>
              </a:graphicData>
            </a:graphic>
            <wp14:sizeRelH relativeFrom="margin">
              <wp14:pctWidth>0</wp14:pctWidth>
            </wp14:sizeRelH>
            <wp14:sizeRelV relativeFrom="margin">
              <wp14:pctHeight>0</wp14:pctHeight>
            </wp14:sizeRelV>
          </wp:anchor>
        </w:drawing>
      </w:r>
    </w:p>
    <w:p w14:paraId="6E22FE38" w14:textId="04FB5EAC" w:rsidR="00B51207" w:rsidRDefault="00B51207" w:rsidP="00DC67A6">
      <w:pPr>
        <w:pStyle w:val="BodyText"/>
        <w:spacing w:after="0" w:line="240" w:lineRule="auto"/>
        <w:ind w:firstLine="0"/>
        <w:jc w:val="center"/>
      </w:pPr>
      <w:r w:rsidRPr="00B51207">
        <w:rPr>
          <w:b/>
          <w:bCs/>
        </w:rPr>
        <w:t>Figure</w:t>
      </w:r>
      <w:r w:rsidRPr="00B51207">
        <w:rPr>
          <w:b/>
          <w:bCs/>
          <w:spacing w:val="-2"/>
        </w:rPr>
        <w:t xml:space="preserve"> 5:</w:t>
      </w:r>
      <w:r w:rsidRPr="00B51207">
        <w:rPr>
          <w:b/>
          <w:bCs/>
          <w:spacing w:val="-1"/>
        </w:rPr>
        <w:t xml:space="preserve"> </w:t>
      </w:r>
      <w:r w:rsidR="00DC67A6">
        <w:rPr>
          <w:rStyle w:val="Strong"/>
          <w:color w:val="252525"/>
        </w:rPr>
        <w:t>Fracture Conductivity versus proppant types</w:t>
      </w:r>
    </w:p>
    <w:p w14:paraId="34A2ACE7" w14:textId="77777777" w:rsidR="001B0629" w:rsidRDefault="001B0629" w:rsidP="00707A8C">
      <w:pPr>
        <w:pStyle w:val="NoSpacing"/>
        <w:jc w:val="both"/>
      </w:pPr>
    </w:p>
    <w:p w14:paraId="75EBED49" w14:textId="65683C37" w:rsidR="00707A8C" w:rsidRPr="00707A8C" w:rsidRDefault="00707A8C" w:rsidP="00707A8C">
      <w:pPr>
        <w:pStyle w:val="NoSpacing"/>
        <w:jc w:val="both"/>
      </w:pPr>
      <w:r w:rsidRPr="00707A8C">
        <w:t xml:space="preserve">Figure 5 shows the fracture conductivity for the fractures with different proppants. From this, the significance of the crush resistance, or crushing strength, of the proppant sand can be understood. There is a reduction in conductivity noticed when used with the finer mesh grade "procured sand sample 30/50," which might be due to lower crushing strength and blocking of the pore spaces and fines produced due to the extreme high pressures. </w:t>
      </w:r>
      <w:r w:rsidR="00A13CBD">
        <w:rPr>
          <w:color w:val="252525"/>
        </w:rPr>
        <w:t>The resin-coated and ceramic proppants, on the other hand, offer superior conductivity in the induced fracture, resulting in more stable conductive pathways under the same conditions.</w:t>
      </w:r>
    </w:p>
    <w:p w14:paraId="76FAEFA5" w14:textId="7DA9850F" w:rsidR="00707A8C" w:rsidRDefault="00A26C01" w:rsidP="00707A8C">
      <w:pPr>
        <w:pStyle w:val="NoSpacing"/>
        <w:jc w:val="both"/>
      </w:pPr>
      <w:r>
        <w:rPr>
          <w:color w:val="252525"/>
        </w:rPr>
        <w:t>In contrast to other proppant kinds used in the current work, the present study observes that sand-based proppants are significantly less expensive. Sand-based proppants cost Rs. 8 per kilogram. At Rs. 33/kg and Rs. 75/kg, respectively, resin-coated and ceramic proppants were priced four to nine times higher than sand-based proppants.</w:t>
      </w:r>
      <w:r w:rsidR="00707A8C" w:rsidRPr="00707A8C">
        <w:t xml:space="preserve"> For these economic reasons, for shallow reservoirs with lesser crushing pressure, sand-based proppants are recommended; however, at greater depths with high crushing strength, resin-coated or ceramic proppants are to be used.</w:t>
      </w:r>
    </w:p>
    <w:p w14:paraId="13A014C3" w14:textId="77777777" w:rsidR="00663379" w:rsidRDefault="00663379" w:rsidP="00466548">
      <w:pPr>
        <w:pStyle w:val="BodyText"/>
        <w:spacing w:after="0" w:line="240" w:lineRule="auto"/>
        <w:ind w:firstLine="0"/>
      </w:pPr>
    </w:p>
    <w:p w14:paraId="34D2707B" w14:textId="62BE18FE" w:rsidR="00663379" w:rsidRDefault="00663379" w:rsidP="00663379">
      <w:pPr>
        <w:pStyle w:val="Heading1"/>
        <w:rPr>
          <w:rFonts w:ascii="Times New Roman" w:hAnsi="Times New Roman"/>
          <w:sz w:val="20"/>
          <w:szCs w:val="20"/>
        </w:rPr>
      </w:pPr>
      <w:r w:rsidRPr="00663379">
        <w:rPr>
          <w:rFonts w:ascii="Times New Roman" w:hAnsi="Times New Roman"/>
          <w:sz w:val="20"/>
          <w:szCs w:val="20"/>
        </w:rPr>
        <w:t>CONCLUSION</w:t>
      </w:r>
    </w:p>
    <w:p w14:paraId="650C6AA5" w14:textId="127B3CA7" w:rsidR="00655081" w:rsidRPr="00655081" w:rsidRDefault="007B73E1" w:rsidP="007F58F9">
      <w:pPr>
        <w:pStyle w:val="NoSpacing"/>
        <w:jc w:val="both"/>
      </w:pPr>
      <w:r>
        <w:tab/>
      </w:r>
      <w:r w:rsidR="00107DAA">
        <w:t>Through field work and experience, one can gain a thorough understanding of hydraulic fracturing design. Based on a combined experimental and analytical study, the current work concludes the following:</w:t>
      </w:r>
    </w:p>
    <w:p w14:paraId="7603DC33" w14:textId="77777777" w:rsidR="007F58F9" w:rsidRDefault="007F58F9" w:rsidP="007F58F9">
      <w:pPr>
        <w:pStyle w:val="NoSpacing"/>
        <w:jc w:val="both"/>
        <w:rPr>
          <w:color w:val="252525"/>
          <w:lang w:val="en-IN" w:eastAsia="en-IN"/>
        </w:rPr>
      </w:pPr>
      <w:r>
        <w:rPr>
          <w:color w:val="252525"/>
          <w:lang w:val="en-IN" w:eastAsia="en-IN"/>
        </w:rPr>
        <w:t xml:space="preserve">1. </w:t>
      </w:r>
      <w:r w:rsidRPr="007F58F9">
        <w:rPr>
          <w:color w:val="252525"/>
          <w:lang w:val="en-IN" w:eastAsia="en-IN"/>
        </w:rPr>
        <w:t>The proppant mesh sizes of 20/40 and 30/50 are preferable for fracturing the formation.</w:t>
      </w:r>
    </w:p>
    <w:p w14:paraId="073EDE1B" w14:textId="196C43E0" w:rsidR="007F58F9" w:rsidRPr="007F58F9" w:rsidRDefault="007F58F9" w:rsidP="007F58F9">
      <w:pPr>
        <w:pStyle w:val="NoSpacing"/>
        <w:jc w:val="both"/>
        <w:rPr>
          <w:color w:val="252525"/>
          <w:lang w:val="en-IN" w:eastAsia="en-IN"/>
        </w:rPr>
      </w:pPr>
      <w:r>
        <w:rPr>
          <w:color w:val="252525"/>
          <w:lang w:val="en-IN" w:eastAsia="en-IN"/>
        </w:rPr>
        <w:t xml:space="preserve">2. </w:t>
      </w:r>
      <w:r w:rsidRPr="007F58F9">
        <w:rPr>
          <w:color w:val="252525"/>
          <w:lang w:val="en-IN" w:eastAsia="en-IN"/>
        </w:rPr>
        <w:t>Fracturing shallow reservoirs with less than 5000 psi closure is preferable with the above proppant types.</w:t>
      </w:r>
    </w:p>
    <w:p w14:paraId="11DB7266" w14:textId="3B3F1292" w:rsidR="007F58F9" w:rsidRPr="007F58F9" w:rsidRDefault="007F58F9" w:rsidP="007F58F9">
      <w:pPr>
        <w:pStyle w:val="NoSpacing"/>
        <w:jc w:val="both"/>
        <w:rPr>
          <w:color w:val="252525"/>
          <w:lang w:val="en-IN" w:eastAsia="en-IN"/>
        </w:rPr>
      </w:pPr>
      <w:r>
        <w:rPr>
          <w:color w:val="252525"/>
          <w:lang w:val="en-IN" w:eastAsia="en-IN"/>
        </w:rPr>
        <w:t xml:space="preserve">3. </w:t>
      </w:r>
      <w:r w:rsidRPr="007F58F9">
        <w:rPr>
          <w:color w:val="252525"/>
          <w:lang w:val="en-IN" w:eastAsia="en-IN"/>
        </w:rPr>
        <w:t>From the analysis of the fracture conductivity on the sand samples and when compared to that of ceramic proppants, it is seen that the ceramic proppants have performed better than the sand proppants. But the ceramic proppants are expensive. Due to this, in shallow reservoirs with lesser crushing pressure, sand-based proppants are used.</w:t>
      </w:r>
    </w:p>
    <w:p w14:paraId="3C023454" w14:textId="77777777" w:rsidR="00767BF4" w:rsidRPr="00466548" w:rsidRDefault="00767BF4" w:rsidP="00466548">
      <w:pPr>
        <w:pStyle w:val="BodyText"/>
        <w:spacing w:after="0" w:line="240" w:lineRule="auto"/>
        <w:ind w:firstLine="0"/>
      </w:pPr>
    </w:p>
    <w:p w14:paraId="5F3280E5"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2F87C123" w14:textId="77777777" w:rsidR="00466548" w:rsidRPr="0037467B" w:rsidRDefault="00466548" w:rsidP="00466548">
      <w:pPr>
        <w:rPr>
          <w:rFonts w:eastAsia="MS Mincho"/>
          <w:sz w:val="16"/>
          <w:szCs w:val="16"/>
        </w:rPr>
      </w:pPr>
    </w:p>
    <w:p w14:paraId="73DDED40" w14:textId="083160C4" w:rsidR="00175D61" w:rsidRPr="0037467B" w:rsidRDefault="00175D61" w:rsidP="00175D61">
      <w:pPr>
        <w:pStyle w:val="ListParagraph"/>
        <w:tabs>
          <w:tab w:val="left" w:pos="393"/>
        </w:tabs>
        <w:spacing w:before="11"/>
        <w:ind w:right="147" w:firstLine="0"/>
        <w:rPr>
          <w:sz w:val="16"/>
          <w:szCs w:val="16"/>
        </w:rPr>
      </w:pPr>
      <w:r w:rsidRPr="0037467B">
        <w:rPr>
          <w:sz w:val="16"/>
          <w:szCs w:val="16"/>
        </w:rPr>
        <w:t xml:space="preserve">[1] </w:t>
      </w:r>
      <w:r w:rsidR="002119F8" w:rsidRPr="0037467B">
        <w:rPr>
          <w:color w:val="37393C"/>
          <w:sz w:val="16"/>
          <w:szCs w:val="16"/>
          <w:shd w:val="clear" w:color="auto" w:fill="FFFFFF"/>
        </w:rPr>
        <w:t>Api, A. (1995). Recommended Practices for Testing Sand Used in Gravel Packing Operations, API RP 58. </w:t>
      </w:r>
      <w:r w:rsidR="002119F8" w:rsidRPr="0037467B">
        <w:rPr>
          <w:i/>
          <w:iCs/>
          <w:color w:val="37393C"/>
          <w:sz w:val="16"/>
          <w:szCs w:val="16"/>
          <w:shd w:val="clear" w:color="auto" w:fill="FFFFFF"/>
        </w:rPr>
        <w:t>API RP</w:t>
      </w:r>
      <w:r w:rsidR="002119F8" w:rsidRPr="0037467B">
        <w:rPr>
          <w:color w:val="37393C"/>
          <w:sz w:val="16"/>
          <w:szCs w:val="16"/>
          <w:shd w:val="clear" w:color="auto" w:fill="FFFFFF"/>
        </w:rPr>
        <w:t>, </w:t>
      </w:r>
      <w:r w:rsidR="002119F8" w:rsidRPr="0037467B">
        <w:rPr>
          <w:i/>
          <w:iCs/>
          <w:color w:val="37393C"/>
          <w:sz w:val="16"/>
          <w:szCs w:val="16"/>
          <w:shd w:val="clear" w:color="auto" w:fill="FFFFFF"/>
        </w:rPr>
        <w:t>58</w:t>
      </w:r>
      <w:r w:rsidR="002119F8" w:rsidRPr="0037467B">
        <w:rPr>
          <w:color w:val="37393C"/>
          <w:sz w:val="16"/>
          <w:szCs w:val="16"/>
          <w:shd w:val="clear" w:color="auto" w:fill="FFFFFF"/>
        </w:rPr>
        <w:t>.</w:t>
      </w:r>
    </w:p>
    <w:p w14:paraId="0D9ACD3A" w14:textId="0D072358" w:rsidR="00175D61" w:rsidRPr="0037467B" w:rsidRDefault="00175D61" w:rsidP="00175D61">
      <w:pPr>
        <w:pStyle w:val="ListParagraph"/>
        <w:tabs>
          <w:tab w:val="left" w:pos="393"/>
        </w:tabs>
        <w:spacing w:before="11"/>
        <w:ind w:right="147" w:firstLine="0"/>
        <w:rPr>
          <w:sz w:val="16"/>
          <w:szCs w:val="16"/>
        </w:rPr>
      </w:pPr>
      <w:r w:rsidRPr="0037467B">
        <w:rPr>
          <w:sz w:val="16"/>
          <w:szCs w:val="16"/>
        </w:rPr>
        <w:t xml:space="preserve">[2] </w:t>
      </w:r>
      <w:r w:rsidR="00361B5F" w:rsidRPr="0037467B">
        <w:rPr>
          <w:color w:val="37393C"/>
          <w:sz w:val="16"/>
          <w:szCs w:val="16"/>
          <w:shd w:val="clear" w:color="auto" w:fill="FFFFFF"/>
        </w:rPr>
        <w:t>Api, A. (1995). Recommended Practices for Testing High- Strength Proppants Used in Hydraulic Fracturing Operations, API RP 60. </w:t>
      </w:r>
      <w:r w:rsidR="00361B5F" w:rsidRPr="0037467B">
        <w:rPr>
          <w:i/>
          <w:iCs/>
          <w:color w:val="37393C"/>
          <w:sz w:val="16"/>
          <w:szCs w:val="16"/>
          <w:shd w:val="clear" w:color="auto" w:fill="FFFFFF"/>
        </w:rPr>
        <w:t>API RP</w:t>
      </w:r>
      <w:r w:rsidR="00361B5F" w:rsidRPr="0037467B">
        <w:rPr>
          <w:color w:val="37393C"/>
          <w:sz w:val="16"/>
          <w:szCs w:val="16"/>
          <w:shd w:val="clear" w:color="auto" w:fill="FFFFFF"/>
        </w:rPr>
        <w:t>, </w:t>
      </w:r>
      <w:r w:rsidR="00361B5F" w:rsidRPr="0037467B">
        <w:rPr>
          <w:i/>
          <w:iCs/>
          <w:color w:val="37393C"/>
          <w:sz w:val="16"/>
          <w:szCs w:val="16"/>
          <w:shd w:val="clear" w:color="auto" w:fill="FFFFFF"/>
        </w:rPr>
        <w:t>60</w:t>
      </w:r>
      <w:r w:rsidR="00361B5F" w:rsidRPr="0037467B">
        <w:rPr>
          <w:color w:val="37393C"/>
          <w:sz w:val="16"/>
          <w:szCs w:val="16"/>
          <w:shd w:val="clear" w:color="auto" w:fill="FFFFFF"/>
        </w:rPr>
        <w:t>.</w:t>
      </w:r>
    </w:p>
    <w:p w14:paraId="2B499776" w14:textId="2CB9D9FB" w:rsidR="00175D61" w:rsidRPr="0037467B" w:rsidRDefault="00175D61" w:rsidP="00175D61">
      <w:pPr>
        <w:pStyle w:val="ListParagraph"/>
        <w:tabs>
          <w:tab w:val="left" w:pos="431"/>
        </w:tabs>
        <w:ind w:right="140" w:firstLine="0"/>
        <w:rPr>
          <w:sz w:val="16"/>
          <w:szCs w:val="16"/>
        </w:rPr>
      </w:pPr>
      <w:r w:rsidRPr="0037467B">
        <w:rPr>
          <w:sz w:val="16"/>
          <w:szCs w:val="16"/>
        </w:rPr>
        <w:t xml:space="preserve">[3] </w:t>
      </w:r>
      <w:r w:rsidR="009A07A6" w:rsidRPr="0037467B">
        <w:rPr>
          <w:color w:val="37393C"/>
          <w:sz w:val="16"/>
          <w:szCs w:val="16"/>
          <w:shd w:val="clear" w:color="auto" w:fill="FFFFFF"/>
        </w:rPr>
        <w:t>Liang, F., Sayed, M., Al-</w:t>
      </w:r>
      <w:proofErr w:type="spellStart"/>
      <w:r w:rsidR="009A07A6" w:rsidRPr="0037467B">
        <w:rPr>
          <w:color w:val="37393C"/>
          <w:sz w:val="16"/>
          <w:szCs w:val="16"/>
          <w:shd w:val="clear" w:color="auto" w:fill="FFFFFF"/>
        </w:rPr>
        <w:t>Muntasheri</w:t>
      </w:r>
      <w:proofErr w:type="spellEnd"/>
      <w:r w:rsidR="009A07A6" w:rsidRPr="0037467B">
        <w:rPr>
          <w:color w:val="37393C"/>
          <w:sz w:val="16"/>
          <w:szCs w:val="16"/>
          <w:shd w:val="clear" w:color="auto" w:fill="FFFFFF"/>
        </w:rPr>
        <w:t>, G. A., Chang, F. F., &amp; Li, L. (2016). A comprehensive review on proppant technologies. </w:t>
      </w:r>
      <w:r w:rsidR="009A07A6" w:rsidRPr="0037467B">
        <w:rPr>
          <w:i/>
          <w:iCs/>
          <w:color w:val="37393C"/>
          <w:sz w:val="16"/>
          <w:szCs w:val="16"/>
          <w:shd w:val="clear" w:color="auto" w:fill="FFFFFF"/>
        </w:rPr>
        <w:t>Petroleum</w:t>
      </w:r>
      <w:r w:rsidR="009A07A6" w:rsidRPr="0037467B">
        <w:rPr>
          <w:color w:val="37393C"/>
          <w:sz w:val="16"/>
          <w:szCs w:val="16"/>
          <w:shd w:val="clear" w:color="auto" w:fill="FFFFFF"/>
        </w:rPr>
        <w:t>, </w:t>
      </w:r>
      <w:r w:rsidR="009A07A6" w:rsidRPr="0037467B">
        <w:rPr>
          <w:i/>
          <w:iCs/>
          <w:color w:val="37393C"/>
          <w:sz w:val="16"/>
          <w:szCs w:val="16"/>
          <w:shd w:val="clear" w:color="auto" w:fill="FFFFFF"/>
        </w:rPr>
        <w:t>2</w:t>
      </w:r>
      <w:r w:rsidR="009A07A6" w:rsidRPr="0037467B">
        <w:rPr>
          <w:color w:val="37393C"/>
          <w:sz w:val="16"/>
          <w:szCs w:val="16"/>
          <w:shd w:val="clear" w:color="auto" w:fill="FFFFFF"/>
        </w:rPr>
        <w:t>(1), 26–39. https://doi.org/10.1016/j.petlm.2015.11.001</w:t>
      </w:r>
    </w:p>
    <w:p w14:paraId="69EFE10E" w14:textId="77777777" w:rsidR="0084368D" w:rsidRPr="0037467B" w:rsidRDefault="00175D61" w:rsidP="0084368D">
      <w:pPr>
        <w:pStyle w:val="ListParagraph"/>
        <w:tabs>
          <w:tab w:val="left" w:pos="431"/>
        </w:tabs>
        <w:ind w:right="140" w:firstLine="0"/>
        <w:rPr>
          <w:sz w:val="16"/>
          <w:szCs w:val="16"/>
        </w:rPr>
      </w:pPr>
      <w:r w:rsidRPr="0037467B">
        <w:rPr>
          <w:sz w:val="16"/>
          <w:szCs w:val="16"/>
        </w:rPr>
        <w:t xml:space="preserve">[4] </w:t>
      </w:r>
      <w:r w:rsidR="0084368D" w:rsidRPr="0037467B">
        <w:rPr>
          <w:color w:val="37393C"/>
          <w:sz w:val="16"/>
          <w:szCs w:val="16"/>
          <w:shd w:val="clear" w:color="auto" w:fill="FFFFFF"/>
        </w:rPr>
        <w:t>Simo, H., Pournik, M., &amp; Sondergeld, C. H. (Eds.). (n.d.). </w:t>
      </w:r>
      <w:r w:rsidR="0084368D" w:rsidRPr="0037467B">
        <w:rPr>
          <w:i/>
          <w:iCs/>
          <w:color w:val="37393C"/>
          <w:sz w:val="16"/>
          <w:szCs w:val="16"/>
          <w:shd w:val="clear" w:color="auto" w:fill="FFFFFF"/>
        </w:rPr>
        <w:t>Proppant Crush Test: A New Approach”</w:t>
      </w:r>
      <w:r w:rsidR="0084368D" w:rsidRPr="0037467B">
        <w:rPr>
          <w:color w:val="37393C"/>
          <w:sz w:val="16"/>
          <w:szCs w:val="16"/>
          <w:shd w:val="clear" w:color="auto" w:fill="FFFFFF"/>
        </w:rPr>
        <w:t>.</w:t>
      </w:r>
      <w:r w:rsidR="0084368D" w:rsidRPr="0037467B">
        <w:rPr>
          <w:sz w:val="16"/>
          <w:szCs w:val="16"/>
        </w:rPr>
        <w:t xml:space="preserve"> </w:t>
      </w:r>
    </w:p>
    <w:p w14:paraId="21BAF756" w14:textId="0535F2AF" w:rsidR="00175D61" w:rsidRPr="0037467B" w:rsidRDefault="00A84D30" w:rsidP="0084368D">
      <w:pPr>
        <w:pStyle w:val="ListParagraph"/>
        <w:tabs>
          <w:tab w:val="left" w:pos="431"/>
        </w:tabs>
        <w:ind w:right="140" w:firstLine="0"/>
        <w:rPr>
          <w:sz w:val="16"/>
          <w:szCs w:val="16"/>
        </w:rPr>
      </w:pPr>
      <w:r w:rsidRPr="0037467B">
        <w:rPr>
          <w:sz w:val="16"/>
          <w:szCs w:val="16"/>
        </w:rPr>
        <w:t xml:space="preserve">[5] </w:t>
      </w:r>
      <w:r w:rsidR="00D200FB" w:rsidRPr="0037467B">
        <w:rPr>
          <w:i/>
          <w:iCs/>
          <w:color w:val="37393C"/>
          <w:sz w:val="16"/>
          <w:szCs w:val="16"/>
          <w:shd w:val="clear" w:color="auto" w:fill="FFFFFF"/>
        </w:rPr>
        <w:t>Hydraulic fracturing proppants (</w:t>
      </w:r>
      <w:proofErr w:type="spellStart"/>
      <w:r w:rsidR="00D200FB" w:rsidRPr="0037467B">
        <w:rPr>
          <w:i/>
          <w:iCs/>
          <w:color w:val="37393C"/>
          <w:sz w:val="16"/>
          <w:szCs w:val="16"/>
          <w:shd w:val="clear" w:color="auto" w:fill="FFFFFF"/>
        </w:rPr>
        <w:t>Propantes</w:t>
      </w:r>
      <w:proofErr w:type="spellEnd"/>
      <w:r w:rsidR="00D200FB" w:rsidRPr="0037467B">
        <w:rPr>
          <w:i/>
          <w:iCs/>
          <w:color w:val="37393C"/>
          <w:sz w:val="16"/>
          <w:szCs w:val="16"/>
          <w:shd w:val="clear" w:color="auto" w:fill="FFFFFF"/>
        </w:rPr>
        <w:t xml:space="preserve"> para </w:t>
      </w:r>
      <w:proofErr w:type="spellStart"/>
      <w:r w:rsidR="00D200FB" w:rsidRPr="0037467B">
        <w:rPr>
          <w:i/>
          <w:iCs/>
          <w:color w:val="37393C"/>
          <w:sz w:val="16"/>
          <w:szCs w:val="16"/>
          <w:shd w:val="clear" w:color="auto" w:fill="FFFFFF"/>
        </w:rPr>
        <w:t>fraturamento</w:t>
      </w:r>
      <w:proofErr w:type="spellEnd"/>
      <w:r w:rsidR="00D200FB" w:rsidRPr="0037467B">
        <w:rPr>
          <w:i/>
          <w:iCs/>
          <w:color w:val="37393C"/>
          <w:sz w:val="16"/>
          <w:szCs w:val="16"/>
          <w:shd w:val="clear" w:color="auto" w:fill="FFFFFF"/>
        </w:rPr>
        <w:t xml:space="preserve"> </w:t>
      </w:r>
      <w:proofErr w:type="spellStart"/>
      <w:r w:rsidR="00D200FB" w:rsidRPr="0037467B">
        <w:rPr>
          <w:i/>
          <w:iCs/>
          <w:color w:val="37393C"/>
          <w:sz w:val="16"/>
          <w:szCs w:val="16"/>
          <w:shd w:val="clear" w:color="auto" w:fill="FFFFFF"/>
        </w:rPr>
        <w:t>hidráulico</w:t>
      </w:r>
      <w:proofErr w:type="spellEnd"/>
      <w:r w:rsidR="00D200FB" w:rsidRPr="0037467B">
        <w:rPr>
          <w:i/>
          <w:iCs/>
          <w:color w:val="37393C"/>
          <w:sz w:val="16"/>
          <w:szCs w:val="16"/>
          <w:shd w:val="clear" w:color="auto" w:fill="FFFFFF"/>
        </w:rPr>
        <w:t>)”</w:t>
      </w:r>
      <w:r w:rsidR="00D200FB" w:rsidRPr="0037467B">
        <w:rPr>
          <w:color w:val="37393C"/>
          <w:sz w:val="16"/>
          <w:szCs w:val="16"/>
          <w:shd w:val="clear" w:color="auto" w:fill="FFFFFF"/>
        </w:rPr>
        <w:t>. (n.d.).</w:t>
      </w:r>
    </w:p>
    <w:p w14:paraId="0C586B70" w14:textId="7081D1B0" w:rsidR="00175D61" w:rsidRPr="0037467B" w:rsidRDefault="00A84D30" w:rsidP="00A84D30">
      <w:pPr>
        <w:pStyle w:val="ListParagraph"/>
        <w:tabs>
          <w:tab w:val="left" w:pos="400"/>
        </w:tabs>
        <w:spacing w:before="10"/>
        <w:ind w:right="142" w:firstLine="0"/>
        <w:rPr>
          <w:sz w:val="16"/>
          <w:szCs w:val="16"/>
        </w:rPr>
      </w:pPr>
      <w:r w:rsidRPr="0037467B">
        <w:rPr>
          <w:sz w:val="16"/>
          <w:szCs w:val="16"/>
        </w:rPr>
        <w:t xml:space="preserve">[6] </w:t>
      </w:r>
      <w:r w:rsidR="003E07C7" w:rsidRPr="0037467B">
        <w:rPr>
          <w:color w:val="37393C"/>
          <w:sz w:val="16"/>
          <w:szCs w:val="16"/>
          <w:shd w:val="clear" w:color="auto" w:fill="FFFFFF"/>
        </w:rPr>
        <w:t xml:space="preserve">EI-Sayed, A. A. H., </w:t>
      </w:r>
      <w:proofErr w:type="spellStart"/>
      <w:r w:rsidR="003E07C7" w:rsidRPr="0037467B">
        <w:rPr>
          <w:color w:val="37393C"/>
          <w:sz w:val="16"/>
          <w:szCs w:val="16"/>
          <w:shd w:val="clear" w:color="auto" w:fill="FFFFFF"/>
        </w:rPr>
        <w:t>Hemeida</w:t>
      </w:r>
      <w:proofErr w:type="spellEnd"/>
      <w:r w:rsidR="003E07C7" w:rsidRPr="0037467B">
        <w:rPr>
          <w:color w:val="37393C"/>
          <w:sz w:val="16"/>
          <w:szCs w:val="16"/>
          <w:shd w:val="clear" w:color="auto" w:fill="FFFFFF"/>
        </w:rPr>
        <w:t>, A. M., &amp; AI-</w:t>
      </w:r>
      <w:proofErr w:type="spellStart"/>
      <w:r w:rsidR="003E07C7" w:rsidRPr="0037467B">
        <w:rPr>
          <w:color w:val="37393C"/>
          <w:sz w:val="16"/>
          <w:szCs w:val="16"/>
          <w:shd w:val="clear" w:color="auto" w:fill="FFFFFF"/>
        </w:rPr>
        <w:t>Blehed</w:t>
      </w:r>
      <w:proofErr w:type="spellEnd"/>
      <w:r w:rsidR="003E07C7" w:rsidRPr="0037467B">
        <w:rPr>
          <w:color w:val="37393C"/>
          <w:sz w:val="16"/>
          <w:szCs w:val="16"/>
          <w:shd w:val="clear" w:color="auto" w:fill="FFFFFF"/>
        </w:rPr>
        <w:t>, M. S. (Eds.). (n.d.). </w:t>
      </w:r>
      <w:r w:rsidR="003E07C7" w:rsidRPr="0037467B">
        <w:rPr>
          <w:i/>
          <w:iCs/>
          <w:color w:val="37393C"/>
          <w:sz w:val="16"/>
          <w:szCs w:val="16"/>
          <w:shd w:val="clear" w:color="auto" w:fill="FFFFFF"/>
        </w:rPr>
        <w:t>Testing of Saudi Sand-dunes for Potential Use in Hydraulic Fracturing of Hydrocarbon Reservoirs”</w:t>
      </w:r>
      <w:r w:rsidR="003E07C7" w:rsidRPr="0037467B">
        <w:rPr>
          <w:color w:val="37393C"/>
          <w:sz w:val="16"/>
          <w:szCs w:val="16"/>
          <w:shd w:val="clear" w:color="auto" w:fill="FFFFFF"/>
        </w:rPr>
        <w:t>.</w:t>
      </w:r>
    </w:p>
    <w:p w14:paraId="260EA43B" w14:textId="585603B6" w:rsidR="00175D61" w:rsidRPr="0037467B" w:rsidRDefault="00A84D30" w:rsidP="00A84D30">
      <w:pPr>
        <w:pStyle w:val="ListParagraph"/>
        <w:tabs>
          <w:tab w:val="left" w:pos="388"/>
        </w:tabs>
        <w:spacing w:before="1"/>
        <w:ind w:right="143" w:firstLine="0"/>
        <w:rPr>
          <w:sz w:val="16"/>
          <w:szCs w:val="16"/>
        </w:rPr>
      </w:pPr>
      <w:r w:rsidRPr="0037467B">
        <w:rPr>
          <w:sz w:val="16"/>
          <w:szCs w:val="16"/>
        </w:rPr>
        <w:t xml:space="preserve">[7] </w:t>
      </w:r>
      <w:r w:rsidR="003E07C7" w:rsidRPr="0037467B">
        <w:rPr>
          <w:color w:val="37393C"/>
          <w:sz w:val="16"/>
          <w:szCs w:val="16"/>
          <w:shd w:val="clear" w:color="auto" w:fill="FFFFFF"/>
        </w:rPr>
        <w:t>Coulter, G. R., &amp; Wells, R. D. (1972). The advantages of high proppant concentration in fracture stimulation. </w:t>
      </w:r>
      <w:r w:rsidR="003E07C7" w:rsidRPr="0037467B">
        <w:rPr>
          <w:i/>
          <w:iCs/>
          <w:color w:val="37393C"/>
          <w:sz w:val="16"/>
          <w:szCs w:val="16"/>
          <w:shd w:val="clear" w:color="auto" w:fill="FFFFFF"/>
        </w:rPr>
        <w:t>Journal of Petroleum Technology</w:t>
      </w:r>
      <w:r w:rsidR="003E07C7" w:rsidRPr="0037467B">
        <w:rPr>
          <w:color w:val="37393C"/>
          <w:sz w:val="16"/>
          <w:szCs w:val="16"/>
          <w:shd w:val="clear" w:color="auto" w:fill="FFFFFF"/>
        </w:rPr>
        <w:t>, </w:t>
      </w:r>
      <w:r w:rsidR="003E07C7" w:rsidRPr="0037467B">
        <w:rPr>
          <w:i/>
          <w:iCs/>
          <w:color w:val="37393C"/>
          <w:sz w:val="16"/>
          <w:szCs w:val="16"/>
          <w:shd w:val="clear" w:color="auto" w:fill="FFFFFF"/>
        </w:rPr>
        <w:t>24</w:t>
      </w:r>
      <w:r w:rsidR="003E07C7" w:rsidRPr="0037467B">
        <w:rPr>
          <w:color w:val="37393C"/>
          <w:sz w:val="16"/>
          <w:szCs w:val="16"/>
          <w:shd w:val="clear" w:color="auto" w:fill="FFFFFF"/>
        </w:rPr>
        <w:t>(06), 643–650. https://doi.org/10.2118/3298-pa</w:t>
      </w:r>
    </w:p>
    <w:p w14:paraId="312001AC" w14:textId="6DC6EE66" w:rsidR="00175D61" w:rsidRPr="0037467B" w:rsidRDefault="00A84D30" w:rsidP="00A84D30">
      <w:pPr>
        <w:pStyle w:val="ListParagraph"/>
        <w:tabs>
          <w:tab w:val="left" w:pos="395"/>
        </w:tabs>
        <w:spacing w:before="11"/>
        <w:ind w:right="141" w:firstLine="0"/>
        <w:rPr>
          <w:sz w:val="16"/>
          <w:szCs w:val="16"/>
        </w:rPr>
      </w:pPr>
      <w:r w:rsidRPr="0037467B">
        <w:rPr>
          <w:sz w:val="16"/>
          <w:szCs w:val="16"/>
        </w:rPr>
        <w:t xml:space="preserve">[8] </w:t>
      </w:r>
      <w:r w:rsidR="00BD6DE2" w:rsidRPr="0037467B">
        <w:rPr>
          <w:color w:val="37393C"/>
          <w:sz w:val="16"/>
          <w:szCs w:val="16"/>
          <w:shd w:val="clear" w:color="auto" w:fill="FFFFFF"/>
        </w:rPr>
        <w:t>Howard, G. C., &amp; Fast, C. R. (1970). </w:t>
      </w:r>
      <w:r w:rsidR="00BD6DE2" w:rsidRPr="0037467B">
        <w:rPr>
          <w:i/>
          <w:iCs/>
          <w:color w:val="37393C"/>
          <w:sz w:val="16"/>
          <w:szCs w:val="16"/>
          <w:shd w:val="clear" w:color="auto" w:fill="FFFFFF"/>
        </w:rPr>
        <w:t>Monograph 2 - Hydraulic fracturing</w:t>
      </w:r>
      <w:r w:rsidR="00BD6DE2" w:rsidRPr="0037467B">
        <w:rPr>
          <w:color w:val="37393C"/>
          <w:sz w:val="16"/>
          <w:szCs w:val="16"/>
          <w:shd w:val="clear" w:color="auto" w:fill="FFFFFF"/>
        </w:rPr>
        <w:t>.</w:t>
      </w:r>
    </w:p>
    <w:p w14:paraId="33ECE845" w14:textId="2E9C9FE6" w:rsidR="00175D61" w:rsidRPr="0037467B" w:rsidRDefault="00A84D30" w:rsidP="00A84D30">
      <w:pPr>
        <w:pStyle w:val="ListParagraph"/>
        <w:tabs>
          <w:tab w:val="left" w:pos="388"/>
        </w:tabs>
        <w:ind w:right="139" w:firstLine="0"/>
        <w:rPr>
          <w:sz w:val="16"/>
          <w:szCs w:val="16"/>
        </w:rPr>
      </w:pPr>
      <w:r w:rsidRPr="0037467B">
        <w:rPr>
          <w:sz w:val="16"/>
          <w:szCs w:val="16"/>
        </w:rPr>
        <w:t xml:space="preserve">[9] </w:t>
      </w:r>
      <w:r w:rsidR="00BD6DE2" w:rsidRPr="0037467B">
        <w:rPr>
          <w:color w:val="37393C"/>
          <w:sz w:val="16"/>
          <w:szCs w:val="16"/>
          <w:shd w:val="clear" w:color="auto" w:fill="FFFFFF"/>
        </w:rPr>
        <w:t>Gidley, J. L., Penny, G. S., &amp; McDaniel, R. R. (1995). Effect of proppant failure and fines migration on conductivity of propped fractures. </w:t>
      </w:r>
      <w:r w:rsidR="00BD6DE2" w:rsidRPr="0037467B">
        <w:rPr>
          <w:i/>
          <w:iCs/>
          <w:color w:val="37393C"/>
          <w:sz w:val="16"/>
          <w:szCs w:val="16"/>
          <w:shd w:val="clear" w:color="auto" w:fill="FFFFFF"/>
        </w:rPr>
        <w:t>SPE Production &amp; Facilities</w:t>
      </w:r>
      <w:r w:rsidR="00BD6DE2" w:rsidRPr="0037467B">
        <w:rPr>
          <w:color w:val="37393C"/>
          <w:sz w:val="16"/>
          <w:szCs w:val="16"/>
          <w:shd w:val="clear" w:color="auto" w:fill="FFFFFF"/>
        </w:rPr>
        <w:t>, </w:t>
      </w:r>
      <w:r w:rsidR="00BD6DE2" w:rsidRPr="0037467B">
        <w:rPr>
          <w:i/>
          <w:iCs/>
          <w:color w:val="37393C"/>
          <w:sz w:val="16"/>
          <w:szCs w:val="16"/>
          <w:shd w:val="clear" w:color="auto" w:fill="FFFFFF"/>
        </w:rPr>
        <w:t>10</w:t>
      </w:r>
      <w:r w:rsidR="00BD6DE2" w:rsidRPr="0037467B">
        <w:rPr>
          <w:color w:val="37393C"/>
          <w:sz w:val="16"/>
          <w:szCs w:val="16"/>
          <w:shd w:val="clear" w:color="auto" w:fill="FFFFFF"/>
        </w:rPr>
        <w:t>(01), 20–25. https://doi.org/10.2118/24008-pa</w:t>
      </w:r>
    </w:p>
    <w:p w14:paraId="7C7B72B6" w14:textId="352D90D6" w:rsidR="000B5B2F" w:rsidRPr="000B5B2F" w:rsidRDefault="00402C25" w:rsidP="0036318E">
      <w:pPr>
        <w:pStyle w:val="BodyText"/>
        <w:spacing w:after="0" w:line="240" w:lineRule="auto"/>
        <w:ind w:firstLine="0"/>
      </w:pPr>
      <w:r>
        <w:rPr>
          <w:sz w:val="16"/>
          <w:szCs w:val="16"/>
        </w:rPr>
        <w:tab/>
      </w:r>
      <w:r>
        <w:rPr>
          <w:sz w:val="16"/>
          <w:szCs w:val="16"/>
        </w:rPr>
        <w:tab/>
      </w:r>
    </w:p>
    <w:p w14:paraId="26ECA515" w14:textId="77777777" w:rsidR="000B5B2F" w:rsidRPr="000B5B2F" w:rsidRDefault="000B5B2F" w:rsidP="000B5B2F">
      <w:pPr>
        <w:rPr>
          <w:rFonts w:eastAsia="MS Mincho"/>
        </w:rPr>
      </w:pPr>
    </w:p>
    <w:p w14:paraId="5F85DEEF" w14:textId="77777777" w:rsidR="000B5B2F" w:rsidRDefault="000B5B2F" w:rsidP="000B5B2F">
      <w:pPr>
        <w:rPr>
          <w:rFonts w:eastAsia="MS Mincho"/>
        </w:rPr>
      </w:pPr>
    </w:p>
    <w:p w14:paraId="2DC65B87"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BD0974">
      <w:type w:val="continuous"/>
      <w:pgSz w:w="11909" w:h="16834"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E387D" w14:textId="77777777" w:rsidR="0033136F" w:rsidRDefault="0033136F" w:rsidP="001E64C4">
      <w:r>
        <w:separator/>
      </w:r>
    </w:p>
  </w:endnote>
  <w:endnote w:type="continuationSeparator" w:id="0">
    <w:p w14:paraId="1F6861ED" w14:textId="77777777" w:rsidR="0033136F" w:rsidRDefault="0033136F"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A8CB"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7F7D4" w14:textId="77777777" w:rsidR="0033136F" w:rsidRDefault="0033136F" w:rsidP="001E64C4">
      <w:r>
        <w:separator/>
      </w:r>
    </w:p>
  </w:footnote>
  <w:footnote w:type="continuationSeparator" w:id="0">
    <w:p w14:paraId="66908A56" w14:textId="77777777" w:rsidR="0033136F" w:rsidRDefault="0033136F"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789E"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2F80"/>
    <w:multiLevelType w:val="multilevel"/>
    <w:tmpl w:val="E370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05F98"/>
    <w:multiLevelType w:val="hybridMultilevel"/>
    <w:tmpl w:val="2BB2B2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7F7BF2"/>
    <w:multiLevelType w:val="hybridMultilevel"/>
    <w:tmpl w:val="90D6C3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5A42CA8"/>
    <w:multiLevelType w:val="multilevel"/>
    <w:tmpl w:val="D71A9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E4D79FF"/>
    <w:multiLevelType w:val="hybridMultilevel"/>
    <w:tmpl w:val="DBAC09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0F26C70"/>
    <w:multiLevelType w:val="hybridMultilevel"/>
    <w:tmpl w:val="EEB64430"/>
    <w:lvl w:ilvl="0" w:tplc="659C8544">
      <w:start w:val="30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1"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4C290D4A"/>
    <w:multiLevelType w:val="hybridMultilevel"/>
    <w:tmpl w:val="F15E4A20"/>
    <w:lvl w:ilvl="0" w:tplc="05E0CB74">
      <w:start w:val="1"/>
      <w:numFmt w:val="decimal"/>
      <w:lvlText w:val="%1."/>
      <w:lvlJc w:val="left"/>
      <w:pPr>
        <w:ind w:left="380" w:hanging="240"/>
        <w:jc w:val="left"/>
      </w:pPr>
      <w:rPr>
        <w:rFonts w:ascii="Times New Roman" w:eastAsia="Times New Roman" w:hAnsi="Times New Roman" w:cs="Times New Roman" w:hint="default"/>
        <w:w w:val="100"/>
        <w:sz w:val="24"/>
        <w:szCs w:val="24"/>
        <w:lang w:val="en-US" w:eastAsia="en-US" w:bidi="ar-SA"/>
      </w:rPr>
    </w:lvl>
    <w:lvl w:ilvl="1" w:tplc="D5166C38">
      <w:numFmt w:val="bullet"/>
      <w:lvlText w:val="•"/>
      <w:lvlJc w:val="left"/>
      <w:pPr>
        <w:ind w:left="1272" w:hanging="240"/>
      </w:pPr>
      <w:rPr>
        <w:rFonts w:hint="default"/>
        <w:lang w:val="en-US" w:eastAsia="en-US" w:bidi="ar-SA"/>
      </w:rPr>
    </w:lvl>
    <w:lvl w:ilvl="2" w:tplc="FF841598">
      <w:numFmt w:val="bullet"/>
      <w:lvlText w:val="•"/>
      <w:lvlJc w:val="left"/>
      <w:pPr>
        <w:ind w:left="2165" w:hanging="240"/>
      </w:pPr>
      <w:rPr>
        <w:rFonts w:hint="default"/>
        <w:lang w:val="en-US" w:eastAsia="en-US" w:bidi="ar-SA"/>
      </w:rPr>
    </w:lvl>
    <w:lvl w:ilvl="3" w:tplc="C930CAA2">
      <w:numFmt w:val="bullet"/>
      <w:lvlText w:val="•"/>
      <w:lvlJc w:val="left"/>
      <w:pPr>
        <w:ind w:left="3057" w:hanging="240"/>
      </w:pPr>
      <w:rPr>
        <w:rFonts w:hint="default"/>
        <w:lang w:val="en-US" w:eastAsia="en-US" w:bidi="ar-SA"/>
      </w:rPr>
    </w:lvl>
    <w:lvl w:ilvl="4" w:tplc="621EA730">
      <w:numFmt w:val="bullet"/>
      <w:lvlText w:val="•"/>
      <w:lvlJc w:val="left"/>
      <w:pPr>
        <w:ind w:left="3950" w:hanging="240"/>
      </w:pPr>
      <w:rPr>
        <w:rFonts w:hint="default"/>
        <w:lang w:val="en-US" w:eastAsia="en-US" w:bidi="ar-SA"/>
      </w:rPr>
    </w:lvl>
    <w:lvl w:ilvl="5" w:tplc="7D721814">
      <w:numFmt w:val="bullet"/>
      <w:lvlText w:val="•"/>
      <w:lvlJc w:val="left"/>
      <w:pPr>
        <w:ind w:left="4843" w:hanging="240"/>
      </w:pPr>
      <w:rPr>
        <w:rFonts w:hint="default"/>
        <w:lang w:val="en-US" w:eastAsia="en-US" w:bidi="ar-SA"/>
      </w:rPr>
    </w:lvl>
    <w:lvl w:ilvl="6" w:tplc="F5485F44">
      <w:numFmt w:val="bullet"/>
      <w:lvlText w:val="•"/>
      <w:lvlJc w:val="left"/>
      <w:pPr>
        <w:ind w:left="5735" w:hanging="240"/>
      </w:pPr>
      <w:rPr>
        <w:rFonts w:hint="default"/>
        <w:lang w:val="en-US" w:eastAsia="en-US" w:bidi="ar-SA"/>
      </w:rPr>
    </w:lvl>
    <w:lvl w:ilvl="7" w:tplc="3B7EAD2A">
      <w:numFmt w:val="bullet"/>
      <w:lvlText w:val="•"/>
      <w:lvlJc w:val="left"/>
      <w:pPr>
        <w:ind w:left="6628" w:hanging="240"/>
      </w:pPr>
      <w:rPr>
        <w:rFonts w:hint="default"/>
        <w:lang w:val="en-US" w:eastAsia="en-US" w:bidi="ar-SA"/>
      </w:rPr>
    </w:lvl>
    <w:lvl w:ilvl="8" w:tplc="B9D2557E">
      <w:numFmt w:val="bullet"/>
      <w:lvlText w:val="•"/>
      <w:lvlJc w:val="left"/>
      <w:pPr>
        <w:ind w:left="7521" w:hanging="240"/>
      </w:pPr>
      <w:rPr>
        <w:rFonts w:hint="default"/>
        <w:lang w:val="en-US" w:eastAsia="en-US" w:bidi="ar-SA"/>
      </w:rPr>
    </w:lvl>
  </w:abstractNum>
  <w:abstractNum w:abstractNumId="13"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6246615"/>
    <w:multiLevelType w:val="hybridMultilevel"/>
    <w:tmpl w:val="09B249F4"/>
    <w:lvl w:ilvl="0" w:tplc="8C50453A">
      <w:start w:val="1"/>
      <w:numFmt w:val="lowerLetter"/>
      <w:lvlText w:val="%1."/>
      <w:lvlJc w:val="left"/>
      <w:pPr>
        <w:ind w:left="380" w:hanging="240"/>
        <w:jc w:val="left"/>
      </w:pPr>
      <w:rPr>
        <w:rFonts w:ascii="Times New Roman" w:eastAsia="Times New Roman" w:hAnsi="Times New Roman" w:cs="Times New Roman" w:hint="default"/>
        <w:i/>
        <w:iCs/>
        <w:w w:val="100"/>
        <w:sz w:val="24"/>
        <w:szCs w:val="24"/>
        <w:lang w:val="en-US" w:eastAsia="en-US" w:bidi="ar-SA"/>
      </w:rPr>
    </w:lvl>
    <w:lvl w:ilvl="1" w:tplc="51F47D0C">
      <w:numFmt w:val="bullet"/>
      <w:lvlText w:val="•"/>
      <w:lvlJc w:val="left"/>
      <w:pPr>
        <w:ind w:left="1272" w:hanging="240"/>
      </w:pPr>
      <w:rPr>
        <w:rFonts w:hint="default"/>
        <w:lang w:val="en-US" w:eastAsia="en-US" w:bidi="ar-SA"/>
      </w:rPr>
    </w:lvl>
    <w:lvl w:ilvl="2" w:tplc="A134E89A">
      <w:numFmt w:val="bullet"/>
      <w:lvlText w:val="•"/>
      <w:lvlJc w:val="left"/>
      <w:pPr>
        <w:ind w:left="2165" w:hanging="240"/>
      </w:pPr>
      <w:rPr>
        <w:rFonts w:hint="default"/>
        <w:lang w:val="en-US" w:eastAsia="en-US" w:bidi="ar-SA"/>
      </w:rPr>
    </w:lvl>
    <w:lvl w:ilvl="3" w:tplc="15D4BFE2">
      <w:numFmt w:val="bullet"/>
      <w:lvlText w:val="•"/>
      <w:lvlJc w:val="left"/>
      <w:pPr>
        <w:ind w:left="3057" w:hanging="240"/>
      </w:pPr>
      <w:rPr>
        <w:rFonts w:hint="default"/>
        <w:lang w:val="en-US" w:eastAsia="en-US" w:bidi="ar-SA"/>
      </w:rPr>
    </w:lvl>
    <w:lvl w:ilvl="4" w:tplc="CB24D64E">
      <w:numFmt w:val="bullet"/>
      <w:lvlText w:val="•"/>
      <w:lvlJc w:val="left"/>
      <w:pPr>
        <w:ind w:left="3950" w:hanging="240"/>
      </w:pPr>
      <w:rPr>
        <w:rFonts w:hint="default"/>
        <w:lang w:val="en-US" w:eastAsia="en-US" w:bidi="ar-SA"/>
      </w:rPr>
    </w:lvl>
    <w:lvl w:ilvl="5" w:tplc="E5C8E840">
      <w:numFmt w:val="bullet"/>
      <w:lvlText w:val="•"/>
      <w:lvlJc w:val="left"/>
      <w:pPr>
        <w:ind w:left="4843" w:hanging="240"/>
      </w:pPr>
      <w:rPr>
        <w:rFonts w:hint="default"/>
        <w:lang w:val="en-US" w:eastAsia="en-US" w:bidi="ar-SA"/>
      </w:rPr>
    </w:lvl>
    <w:lvl w:ilvl="6" w:tplc="70D62CDA">
      <w:numFmt w:val="bullet"/>
      <w:lvlText w:val="•"/>
      <w:lvlJc w:val="left"/>
      <w:pPr>
        <w:ind w:left="5735" w:hanging="240"/>
      </w:pPr>
      <w:rPr>
        <w:rFonts w:hint="default"/>
        <w:lang w:val="en-US" w:eastAsia="en-US" w:bidi="ar-SA"/>
      </w:rPr>
    </w:lvl>
    <w:lvl w:ilvl="7" w:tplc="04D84964">
      <w:numFmt w:val="bullet"/>
      <w:lvlText w:val="•"/>
      <w:lvlJc w:val="left"/>
      <w:pPr>
        <w:ind w:left="6628" w:hanging="240"/>
      </w:pPr>
      <w:rPr>
        <w:rFonts w:hint="default"/>
        <w:lang w:val="en-US" w:eastAsia="en-US" w:bidi="ar-SA"/>
      </w:rPr>
    </w:lvl>
    <w:lvl w:ilvl="8" w:tplc="F4225EF0">
      <w:numFmt w:val="bullet"/>
      <w:lvlText w:val="•"/>
      <w:lvlJc w:val="left"/>
      <w:pPr>
        <w:ind w:left="7521" w:hanging="240"/>
      </w:pPr>
      <w:rPr>
        <w:rFonts w:hint="default"/>
        <w:lang w:val="en-US" w:eastAsia="en-US" w:bidi="ar-SA"/>
      </w:rPr>
    </w:lvl>
  </w:abstractNum>
  <w:abstractNum w:abstractNumId="15" w15:restartNumberingAfterBreak="0">
    <w:nsid w:val="59CE704A"/>
    <w:multiLevelType w:val="hybridMultilevel"/>
    <w:tmpl w:val="47FABD58"/>
    <w:lvl w:ilvl="0" w:tplc="7646E5AC">
      <w:start w:val="1"/>
      <w:numFmt w:val="decimal"/>
      <w:lvlText w:val="%1."/>
      <w:lvlJc w:val="left"/>
      <w:pPr>
        <w:ind w:left="140" w:hanging="255"/>
        <w:jc w:val="left"/>
      </w:pPr>
      <w:rPr>
        <w:rFonts w:ascii="Times New Roman" w:eastAsia="Times New Roman" w:hAnsi="Times New Roman" w:cs="Times New Roman" w:hint="default"/>
        <w:w w:val="100"/>
        <w:sz w:val="24"/>
        <w:szCs w:val="24"/>
        <w:lang w:val="en-US" w:eastAsia="en-US" w:bidi="ar-SA"/>
      </w:rPr>
    </w:lvl>
    <w:lvl w:ilvl="1" w:tplc="763AFF68">
      <w:numFmt w:val="bullet"/>
      <w:lvlText w:val="•"/>
      <w:lvlJc w:val="left"/>
      <w:pPr>
        <w:ind w:left="1056" w:hanging="255"/>
      </w:pPr>
      <w:rPr>
        <w:rFonts w:hint="default"/>
        <w:lang w:val="en-US" w:eastAsia="en-US" w:bidi="ar-SA"/>
      </w:rPr>
    </w:lvl>
    <w:lvl w:ilvl="2" w:tplc="D83C05F2">
      <w:numFmt w:val="bullet"/>
      <w:lvlText w:val="•"/>
      <w:lvlJc w:val="left"/>
      <w:pPr>
        <w:ind w:left="1973" w:hanging="255"/>
      </w:pPr>
      <w:rPr>
        <w:rFonts w:hint="default"/>
        <w:lang w:val="en-US" w:eastAsia="en-US" w:bidi="ar-SA"/>
      </w:rPr>
    </w:lvl>
    <w:lvl w:ilvl="3" w:tplc="7E1A12CA">
      <w:numFmt w:val="bullet"/>
      <w:lvlText w:val="•"/>
      <w:lvlJc w:val="left"/>
      <w:pPr>
        <w:ind w:left="2889" w:hanging="255"/>
      </w:pPr>
      <w:rPr>
        <w:rFonts w:hint="default"/>
        <w:lang w:val="en-US" w:eastAsia="en-US" w:bidi="ar-SA"/>
      </w:rPr>
    </w:lvl>
    <w:lvl w:ilvl="4" w:tplc="3CDADDE8">
      <w:numFmt w:val="bullet"/>
      <w:lvlText w:val="•"/>
      <w:lvlJc w:val="left"/>
      <w:pPr>
        <w:ind w:left="3806" w:hanging="255"/>
      </w:pPr>
      <w:rPr>
        <w:rFonts w:hint="default"/>
        <w:lang w:val="en-US" w:eastAsia="en-US" w:bidi="ar-SA"/>
      </w:rPr>
    </w:lvl>
    <w:lvl w:ilvl="5" w:tplc="A476DBA0">
      <w:numFmt w:val="bullet"/>
      <w:lvlText w:val="•"/>
      <w:lvlJc w:val="left"/>
      <w:pPr>
        <w:ind w:left="4723" w:hanging="255"/>
      </w:pPr>
      <w:rPr>
        <w:rFonts w:hint="default"/>
        <w:lang w:val="en-US" w:eastAsia="en-US" w:bidi="ar-SA"/>
      </w:rPr>
    </w:lvl>
    <w:lvl w:ilvl="6" w:tplc="4968A7FE">
      <w:numFmt w:val="bullet"/>
      <w:lvlText w:val="•"/>
      <w:lvlJc w:val="left"/>
      <w:pPr>
        <w:ind w:left="5639" w:hanging="255"/>
      </w:pPr>
      <w:rPr>
        <w:rFonts w:hint="default"/>
        <w:lang w:val="en-US" w:eastAsia="en-US" w:bidi="ar-SA"/>
      </w:rPr>
    </w:lvl>
    <w:lvl w:ilvl="7" w:tplc="45BCB5EE">
      <w:numFmt w:val="bullet"/>
      <w:lvlText w:val="•"/>
      <w:lvlJc w:val="left"/>
      <w:pPr>
        <w:ind w:left="6556" w:hanging="255"/>
      </w:pPr>
      <w:rPr>
        <w:rFonts w:hint="default"/>
        <w:lang w:val="en-US" w:eastAsia="en-US" w:bidi="ar-SA"/>
      </w:rPr>
    </w:lvl>
    <w:lvl w:ilvl="8" w:tplc="10526688">
      <w:numFmt w:val="bullet"/>
      <w:lvlText w:val="•"/>
      <w:lvlJc w:val="left"/>
      <w:pPr>
        <w:ind w:left="7473" w:hanging="255"/>
      </w:pPr>
      <w:rPr>
        <w:rFonts w:hint="default"/>
        <w:lang w:val="en-US" w:eastAsia="en-US" w:bidi="ar-SA"/>
      </w:rPr>
    </w:lvl>
  </w:abstractNum>
  <w:abstractNum w:abstractNumId="16" w15:restartNumberingAfterBreak="0">
    <w:nsid w:val="69E54113"/>
    <w:multiLevelType w:val="multilevel"/>
    <w:tmpl w:val="867E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AA2148"/>
    <w:multiLevelType w:val="multilevel"/>
    <w:tmpl w:val="F0046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0" w15:restartNumberingAfterBreak="0">
    <w:nsid w:val="73927E62"/>
    <w:multiLevelType w:val="hybridMultilevel"/>
    <w:tmpl w:val="7862DF3A"/>
    <w:lvl w:ilvl="0" w:tplc="5B5C58B6">
      <w:start w:val="1"/>
      <w:numFmt w:val="decimal"/>
      <w:lvlText w:val="%1."/>
      <w:lvlJc w:val="left"/>
      <w:pPr>
        <w:ind w:left="140" w:hanging="252"/>
        <w:jc w:val="left"/>
      </w:pPr>
      <w:rPr>
        <w:rFonts w:ascii="Times New Roman" w:eastAsia="Times New Roman" w:hAnsi="Times New Roman" w:cs="Times New Roman" w:hint="default"/>
        <w:w w:val="100"/>
        <w:sz w:val="24"/>
        <w:szCs w:val="24"/>
        <w:lang w:val="en-US" w:eastAsia="en-US" w:bidi="ar-SA"/>
      </w:rPr>
    </w:lvl>
    <w:lvl w:ilvl="1" w:tplc="B560AE04">
      <w:numFmt w:val="bullet"/>
      <w:lvlText w:val="•"/>
      <w:lvlJc w:val="left"/>
      <w:pPr>
        <w:ind w:left="1056" w:hanging="252"/>
      </w:pPr>
      <w:rPr>
        <w:rFonts w:hint="default"/>
        <w:lang w:val="en-US" w:eastAsia="en-US" w:bidi="ar-SA"/>
      </w:rPr>
    </w:lvl>
    <w:lvl w:ilvl="2" w:tplc="7C2E8000">
      <w:numFmt w:val="bullet"/>
      <w:lvlText w:val="•"/>
      <w:lvlJc w:val="left"/>
      <w:pPr>
        <w:ind w:left="1973" w:hanging="252"/>
      </w:pPr>
      <w:rPr>
        <w:rFonts w:hint="default"/>
        <w:lang w:val="en-US" w:eastAsia="en-US" w:bidi="ar-SA"/>
      </w:rPr>
    </w:lvl>
    <w:lvl w:ilvl="3" w:tplc="26C4928C">
      <w:numFmt w:val="bullet"/>
      <w:lvlText w:val="•"/>
      <w:lvlJc w:val="left"/>
      <w:pPr>
        <w:ind w:left="2889" w:hanging="252"/>
      </w:pPr>
      <w:rPr>
        <w:rFonts w:hint="default"/>
        <w:lang w:val="en-US" w:eastAsia="en-US" w:bidi="ar-SA"/>
      </w:rPr>
    </w:lvl>
    <w:lvl w:ilvl="4" w:tplc="8F16B858">
      <w:numFmt w:val="bullet"/>
      <w:lvlText w:val="•"/>
      <w:lvlJc w:val="left"/>
      <w:pPr>
        <w:ind w:left="3806" w:hanging="252"/>
      </w:pPr>
      <w:rPr>
        <w:rFonts w:hint="default"/>
        <w:lang w:val="en-US" w:eastAsia="en-US" w:bidi="ar-SA"/>
      </w:rPr>
    </w:lvl>
    <w:lvl w:ilvl="5" w:tplc="ADE0D87A">
      <w:numFmt w:val="bullet"/>
      <w:lvlText w:val="•"/>
      <w:lvlJc w:val="left"/>
      <w:pPr>
        <w:ind w:left="4723" w:hanging="252"/>
      </w:pPr>
      <w:rPr>
        <w:rFonts w:hint="default"/>
        <w:lang w:val="en-US" w:eastAsia="en-US" w:bidi="ar-SA"/>
      </w:rPr>
    </w:lvl>
    <w:lvl w:ilvl="6" w:tplc="57027E26">
      <w:numFmt w:val="bullet"/>
      <w:lvlText w:val="•"/>
      <w:lvlJc w:val="left"/>
      <w:pPr>
        <w:ind w:left="5639" w:hanging="252"/>
      </w:pPr>
      <w:rPr>
        <w:rFonts w:hint="default"/>
        <w:lang w:val="en-US" w:eastAsia="en-US" w:bidi="ar-SA"/>
      </w:rPr>
    </w:lvl>
    <w:lvl w:ilvl="7" w:tplc="14C672F0">
      <w:numFmt w:val="bullet"/>
      <w:lvlText w:val="•"/>
      <w:lvlJc w:val="left"/>
      <w:pPr>
        <w:ind w:left="6556" w:hanging="252"/>
      </w:pPr>
      <w:rPr>
        <w:rFonts w:hint="default"/>
        <w:lang w:val="en-US" w:eastAsia="en-US" w:bidi="ar-SA"/>
      </w:rPr>
    </w:lvl>
    <w:lvl w:ilvl="8" w:tplc="D6C28BD6">
      <w:numFmt w:val="bullet"/>
      <w:lvlText w:val="•"/>
      <w:lvlJc w:val="left"/>
      <w:pPr>
        <w:ind w:left="7473" w:hanging="252"/>
      </w:pPr>
      <w:rPr>
        <w:rFonts w:hint="default"/>
        <w:lang w:val="en-US" w:eastAsia="en-US" w:bidi="ar-SA"/>
      </w:rPr>
    </w:lvl>
  </w:abstractNum>
  <w:abstractNum w:abstractNumId="21" w15:restartNumberingAfterBreak="0">
    <w:nsid w:val="743C754D"/>
    <w:multiLevelType w:val="hybridMultilevel"/>
    <w:tmpl w:val="BD76DA94"/>
    <w:lvl w:ilvl="0" w:tplc="F66ADCB4">
      <w:start w:val="1"/>
      <w:numFmt w:val="decimal"/>
      <w:lvlText w:val="%1."/>
      <w:lvlJc w:val="left"/>
      <w:pPr>
        <w:ind w:left="239" w:hanging="240"/>
        <w:jc w:val="left"/>
      </w:pPr>
      <w:rPr>
        <w:rFonts w:ascii="Times New Roman" w:eastAsia="Times New Roman" w:hAnsi="Times New Roman" w:cs="Times New Roman"/>
        <w:w w:val="100"/>
        <w:sz w:val="24"/>
        <w:szCs w:val="24"/>
        <w:lang w:val="en-US" w:eastAsia="en-US" w:bidi="ar-SA"/>
      </w:rPr>
    </w:lvl>
    <w:lvl w:ilvl="1" w:tplc="CC30F158">
      <w:numFmt w:val="bullet"/>
      <w:lvlText w:val="•"/>
      <w:lvlJc w:val="left"/>
      <w:pPr>
        <w:ind w:left="1155" w:hanging="240"/>
      </w:pPr>
      <w:rPr>
        <w:rFonts w:hint="default"/>
        <w:lang w:val="en-US" w:eastAsia="en-US" w:bidi="ar-SA"/>
      </w:rPr>
    </w:lvl>
    <w:lvl w:ilvl="2" w:tplc="7AD0E8FA">
      <w:numFmt w:val="bullet"/>
      <w:lvlText w:val="•"/>
      <w:lvlJc w:val="left"/>
      <w:pPr>
        <w:ind w:left="2072" w:hanging="240"/>
      </w:pPr>
      <w:rPr>
        <w:rFonts w:hint="default"/>
        <w:lang w:val="en-US" w:eastAsia="en-US" w:bidi="ar-SA"/>
      </w:rPr>
    </w:lvl>
    <w:lvl w:ilvl="3" w:tplc="846A41C2">
      <w:numFmt w:val="bullet"/>
      <w:lvlText w:val="•"/>
      <w:lvlJc w:val="left"/>
      <w:pPr>
        <w:ind w:left="2988" w:hanging="240"/>
      </w:pPr>
      <w:rPr>
        <w:rFonts w:hint="default"/>
        <w:lang w:val="en-US" w:eastAsia="en-US" w:bidi="ar-SA"/>
      </w:rPr>
    </w:lvl>
    <w:lvl w:ilvl="4" w:tplc="40A09FAC">
      <w:numFmt w:val="bullet"/>
      <w:lvlText w:val="•"/>
      <w:lvlJc w:val="left"/>
      <w:pPr>
        <w:ind w:left="3905" w:hanging="240"/>
      </w:pPr>
      <w:rPr>
        <w:rFonts w:hint="default"/>
        <w:lang w:val="en-US" w:eastAsia="en-US" w:bidi="ar-SA"/>
      </w:rPr>
    </w:lvl>
    <w:lvl w:ilvl="5" w:tplc="2C9A8E3A">
      <w:numFmt w:val="bullet"/>
      <w:lvlText w:val="•"/>
      <w:lvlJc w:val="left"/>
      <w:pPr>
        <w:ind w:left="4822" w:hanging="240"/>
      </w:pPr>
      <w:rPr>
        <w:rFonts w:hint="default"/>
        <w:lang w:val="en-US" w:eastAsia="en-US" w:bidi="ar-SA"/>
      </w:rPr>
    </w:lvl>
    <w:lvl w:ilvl="6" w:tplc="BC7EC148">
      <w:numFmt w:val="bullet"/>
      <w:lvlText w:val="•"/>
      <w:lvlJc w:val="left"/>
      <w:pPr>
        <w:ind w:left="5738" w:hanging="240"/>
      </w:pPr>
      <w:rPr>
        <w:rFonts w:hint="default"/>
        <w:lang w:val="en-US" w:eastAsia="en-US" w:bidi="ar-SA"/>
      </w:rPr>
    </w:lvl>
    <w:lvl w:ilvl="7" w:tplc="8C122DBE">
      <w:numFmt w:val="bullet"/>
      <w:lvlText w:val="•"/>
      <w:lvlJc w:val="left"/>
      <w:pPr>
        <w:ind w:left="6655" w:hanging="240"/>
      </w:pPr>
      <w:rPr>
        <w:rFonts w:hint="default"/>
        <w:lang w:val="en-US" w:eastAsia="en-US" w:bidi="ar-SA"/>
      </w:rPr>
    </w:lvl>
    <w:lvl w:ilvl="8" w:tplc="369C6E78">
      <w:numFmt w:val="bullet"/>
      <w:lvlText w:val="•"/>
      <w:lvlJc w:val="left"/>
      <w:pPr>
        <w:ind w:left="7572" w:hanging="240"/>
      </w:pPr>
      <w:rPr>
        <w:rFonts w:hint="default"/>
        <w:lang w:val="en-US" w:eastAsia="en-US" w:bidi="ar-SA"/>
      </w:rPr>
    </w:lvl>
  </w:abstractNum>
  <w:abstractNum w:abstractNumId="22"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294824031">
    <w:abstractNumId w:val="9"/>
  </w:num>
  <w:num w:numId="2" w16cid:durableId="1803234842">
    <w:abstractNumId w:val="18"/>
  </w:num>
  <w:num w:numId="3" w16cid:durableId="1652054853">
    <w:abstractNumId w:val="6"/>
  </w:num>
  <w:num w:numId="4" w16cid:durableId="2116824830">
    <w:abstractNumId w:val="11"/>
  </w:num>
  <w:num w:numId="5" w16cid:durableId="1277563088">
    <w:abstractNumId w:val="11"/>
  </w:num>
  <w:num w:numId="6" w16cid:durableId="924262050">
    <w:abstractNumId w:val="11"/>
  </w:num>
  <w:num w:numId="7" w16cid:durableId="315647634">
    <w:abstractNumId w:val="11"/>
  </w:num>
  <w:num w:numId="8" w16cid:durableId="1568035624">
    <w:abstractNumId w:val="13"/>
  </w:num>
  <w:num w:numId="9" w16cid:durableId="123894470">
    <w:abstractNumId w:val="19"/>
  </w:num>
  <w:num w:numId="10" w16cid:durableId="982277608">
    <w:abstractNumId w:val="10"/>
  </w:num>
  <w:num w:numId="11" w16cid:durableId="1250233767">
    <w:abstractNumId w:val="4"/>
  </w:num>
  <w:num w:numId="12" w16cid:durableId="114956607">
    <w:abstractNumId w:val="22"/>
  </w:num>
  <w:num w:numId="13" w16cid:durableId="430206597">
    <w:abstractNumId w:val="1"/>
  </w:num>
  <w:num w:numId="14" w16cid:durableId="184365128">
    <w:abstractNumId w:val="12"/>
  </w:num>
  <w:num w:numId="15" w16cid:durableId="1406033110">
    <w:abstractNumId w:val="14"/>
  </w:num>
  <w:num w:numId="16" w16cid:durableId="1785153581">
    <w:abstractNumId w:val="8"/>
  </w:num>
  <w:num w:numId="17" w16cid:durableId="1597901755">
    <w:abstractNumId w:val="15"/>
  </w:num>
  <w:num w:numId="18" w16cid:durableId="27340102">
    <w:abstractNumId w:val="21"/>
  </w:num>
  <w:num w:numId="19" w16cid:durableId="1598631941">
    <w:abstractNumId w:val="20"/>
  </w:num>
  <w:num w:numId="20" w16cid:durableId="1044325628">
    <w:abstractNumId w:val="2"/>
  </w:num>
  <w:num w:numId="21" w16cid:durableId="1577977258">
    <w:abstractNumId w:val="0"/>
  </w:num>
  <w:num w:numId="22" w16cid:durableId="381952236">
    <w:abstractNumId w:val="7"/>
  </w:num>
  <w:num w:numId="23" w16cid:durableId="60255973">
    <w:abstractNumId w:val="17"/>
  </w:num>
  <w:num w:numId="24" w16cid:durableId="275260951">
    <w:abstractNumId w:val="16"/>
  </w:num>
  <w:num w:numId="25" w16cid:durableId="1929731138">
    <w:abstractNumId w:val="3"/>
  </w:num>
  <w:num w:numId="26" w16cid:durableId="697700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0BBE"/>
    <w:rsid w:val="00012DED"/>
    <w:rsid w:val="00013D4C"/>
    <w:rsid w:val="00030163"/>
    <w:rsid w:val="00036715"/>
    <w:rsid w:val="0004390D"/>
    <w:rsid w:val="00046864"/>
    <w:rsid w:val="000600CA"/>
    <w:rsid w:val="00070FAB"/>
    <w:rsid w:val="000A0009"/>
    <w:rsid w:val="000A53CD"/>
    <w:rsid w:val="000B4641"/>
    <w:rsid w:val="000B5B2F"/>
    <w:rsid w:val="000C0559"/>
    <w:rsid w:val="000C3EBA"/>
    <w:rsid w:val="000D10D3"/>
    <w:rsid w:val="000D3278"/>
    <w:rsid w:val="000D5355"/>
    <w:rsid w:val="000D7DDD"/>
    <w:rsid w:val="000E3050"/>
    <w:rsid w:val="000F456A"/>
    <w:rsid w:val="001000DD"/>
    <w:rsid w:val="00102C98"/>
    <w:rsid w:val="0010711E"/>
    <w:rsid w:val="00107DAA"/>
    <w:rsid w:val="00110A0D"/>
    <w:rsid w:val="001134FB"/>
    <w:rsid w:val="00125E34"/>
    <w:rsid w:val="001270E6"/>
    <w:rsid w:val="00127EDD"/>
    <w:rsid w:val="00137186"/>
    <w:rsid w:val="001454AB"/>
    <w:rsid w:val="0015681F"/>
    <w:rsid w:val="00167090"/>
    <w:rsid w:val="00175D61"/>
    <w:rsid w:val="00181475"/>
    <w:rsid w:val="0018330F"/>
    <w:rsid w:val="00197826"/>
    <w:rsid w:val="001A0858"/>
    <w:rsid w:val="001B0629"/>
    <w:rsid w:val="001C0B51"/>
    <w:rsid w:val="001C5211"/>
    <w:rsid w:val="001C7CBF"/>
    <w:rsid w:val="001D2353"/>
    <w:rsid w:val="001D4508"/>
    <w:rsid w:val="001D5D58"/>
    <w:rsid w:val="001E48C1"/>
    <w:rsid w:val="001E52A5"/>
    <w:rsid w:val="001E64C4"/>
    <w:rsid w:val="001F2064"/>
    <w:rsid w:val="002119F8"/>
    <w:rsid w:val="00214093"/>
    <w:rsid w:val="002165A6"/>
    <w:rsid w:val="00217796"/>
    <w:rsid w:val="00220C5C"/>
    <w:rsid w:val="00223E75"/>
    <w:rsid w:val="00237505"/>
    <w:rsid w:val="00240391"/>
    <w:rsid w:val="00253495"/>
    <w:rsid w:val="00260586"/>
    <w:rsid w:val="00276735"/>
    <w:rsid w:val="00276F56"/>
    <w:rsid w:val="00280068"/>
    <w:rsid w:val="00281D9A"/>
    <w:rsid w:val="00284C20"/>
    <w:rsid w:val="002864A3"/>
    <w:rsid w:val="00290087"/>
    <w:rsid w:val="00292EF9"/>
    <w:rsid w:val="002934A1"/>
    <w:rsid w:val="00296792"/>
    <w:rsid w:val="002B0AB6"/>
    <w:rsid w:val="002B3B81"/>
    <w:rsid w:val="002C198A"/>
    <w:rsid w:val="002C1EB7"/>
    <w:rsid w:val="002D216E"/>
    <w:rsid w:val="002D49CD"/>
    <w:rsid w:val="002E1666"/>
    <w:rsid w:val="002E17E9"/>
    <w:rsid w:val="002E2C7D"/>
    <w:rsid w:val="002F181F"/>
    <w:rsid w:val="002F1D11"/>
    <w:rsid w:val="002F2427"/>
    <w:rsid w:val="00326BEB"/>
    <w:rsid w:val="0033136F"/>
    <w:rsid w:val="003447B3"/>
    <w:rsid w:val="00353355"/>
    <w:rsid w:val="003541A4"/>
    <w:rsid w:val="003548EB"/>
    <w:rsid w:val="00356F01"/>
    <w:rsid w:val="00361B5F"/>
    <w:rsid w:val="0036299B"/>
    <w:rsid w:val="0036318E"/>
    <w:rsid w:val="00363920"/>
    <w:rsid w:val="00366A12"/>
    <w:rsid w:val="00370B72"/>
    <w:rsid w:val="0037467B"/>
    <w:rsid w:val="00386CB0"/>
    <w:rsid w:val="00387B94"/>
    <w:rsid w:val="00390F41"/>
    <w:rsid w:val="003A435E"/>
    <w:rsid w:val="003A47B5"/>
    <w:rsid w:val="003A5180"/>
    <w:rsid w:val="003A59A6"/>
    <w:rsid w:val="003B0751"/>
    <w:rsid w:val="003C6DD9"/>
    <w:rsid w:val="003D31A4"/>
    <w:rsid w:val="003D3253"/>
    <w:rsid w:val="003D4B7F"/>
    <w:rsid w:val="003D5F57"/>
    <w:rsid w:val="003E07C7"/>
    <w:rsid w:val="003F5D46"/>
    <w:rsid w:val="0040043A"/>
    <w:rsid w:val="00402841"/>
    <w:rsid w:val="00402C25"/>
    <w:rsid w:val="00403F02"/>
    <w:rsid w:val="00404F62"/>
    <w:rsid w:val="004059FE"/>
    <w:rsid w:val="0041057B"/>
    <w:rsid w:val="00411A71"/>
    <w:rsid w:val="004171C7"/>
    <w:rsid w:val="004258DC"/>
    <w:rsid w:val="00430355"/>
    <w:rsid w:val="004445B3"/>
    <w:rsid w:val="00444AFC"/>
    <w:rsid w:val="004562BA"/>
    <w:rsid w:val="00457F99"/>
    <w:rsid w:val="004604DE"/>
    <w:rsid w:val="0046220E"/>
    <w:rsid w:val="00462338"/>
    <w:rsid w:val="00466548"/>
    <w:rsid w:val="00476A94"/>
    <w:rsid w:val="00477AD0"/>
    <w:rsid w:val="00485DE4"/>
    <w:rsid w:val="00494B44"/>
    <w:rsid w:val="0049545F"/>
    <w:rsid w:val="004B4A8D"/>
    <w:rsid w:val="004B5211"/>
    <w:rsid w:val="004C04C8"/>
    <w:rsid w:val="004C3DF5"/>
    <w:rsid w:val="004C7D2C"/>
    <w:rsid w:val="004D4EB2"/>
    <w:rsid w:val="004E0B04"/>
    <w:rsid w:val="004E7372"/>
    <w:rsid w:val="00502B72"/>
    <w:rsid w:val="00516C75"/>
    <w:rsid w:val="00522204"/>
    <w:rsid w:val="00525FAE"/>
    <w:rsid w:val="00530820"/>
    <w:rsid w:val="00535338"/>
    <w:rsid w:val="00542C70"/>
    <w:rsid w:val="00542C8B"/>
    <w:rsid w:val="00552D20"/>
    <w:rsid w:val="00552F05"/>
    <w:rsid w:val="00553222"/>
    <w:rsid w:val="00556157"/>
    <w:rsid w:val="00570B0A"/>
    <w:rsid w:val="00580A7D"/>
    <w:rsid w:val="005818F8"/>
    <w:rsid w:val="005840A9"/>
    <w:rsid w:val="005866BD"/>
    <w:rsid w:val="0059056D"/>
    <w:rsid w:val="00590A15"/>
    <w:rsid w:val="005920B9"/>
    <w:rsid w:val="005957E3"/>
    <w:rsid w:val="005974A7"/>
    <w:rsid w:val="005A00C6"/>
    <w:rsid w:val="005A03AC"/>
    <w:rsid w:val="005B520E"/>
    <w:rsid w:val="005B535B"/>
    <w:rsid w:val="005B597B"/>
    <w:rsid w:val="005B6F0A"/>
    <w:rsid w:val="005C1954"/>
    <w:rsid w:val="005D5D8C"/>
    <w:rsid w:val="005E1816"/>
    <w:rsid w:val="005E2B2B"/>
    <w:rsid w:val="005F10BD"/>
    <w:rsid w:val="005F3022"/>
    <w:rsid w:val="005F49AE"/>
    <w:rsid w:val="006108A4"/>
    <w:rsid w:val="0061215B"/>
    <w:rsid w:val="006122E9"/>
    <w:rsid w:val="0062037E"/>
    <w:rsid w:val="006222F6"/>
    <w:rsid w:val="0062437B"/>
    <w:rsid w:val="00624FB1"/>
    <w:rsid w:val="00634EC5"/>
    <w:rsid w:val="0063596E"/>
    <w:rsid w:val="00636E2D"/>
    <w:rsid w:val="006539B4"/>
    <w:rsid w:val="00655081"/>
    <w:rsid w:val="00655A28"/>
    <w:rsid w:val="00663379"/>
    <w:rsid w:val="006738CD"/>
    <w:rsid w:val="00674F5D"/>
    <w:rsid w:val="00683B7A"/>
    <w:rsid w:val="00694B6B"/>
    <w:rsid w:val="0069740E"/>
    <w:rsid w:val="006A78EC"/>
    <w:rsid w:val="006B577B"/>
    <w:rsid w:val="006B78BC"/>
    <w:rsid w:val="006C4648"/>
    <w:rsid w:val="006C6CB7"/>
    <w:rsid w:val="006E4072"/>
    <w:rsid w:val="006F1575"/>
    <w:rsid w:val="0070334B"/>
    <w:rsid w:val="00705409"/>
    <w:rsid w:val="00707A8C"/>
    <w:rsid w:val="00707EC8"/>
    <w:rsid w:val="007110C2"/>
    <w:rsid w:val="007178C3"/>
    <w:rsid w:val="0072064C"/>
    <w:rsid w:val="00721639"/>
    <w:rsid w:val="00726487"/>
    <w:rsid w:val="00731108"/>
    <w:rsid w:val="00732683"/>
    <w:rsid w:val="007442B3"/>
    <w:rsid w:val="00744DCB"/>
    <w:rsid w:val="00745E4F"/>
    <w:rsid w:val="007467D9"/>
    <w:rsid w:val="00753F7B"/>
    <w:rsid w:val="007604EC"/>
    <w:rsid w:val="007633D0"/>
    <w:rsid w:val="00765F59"/>
    <w:rsid w:val="00767BF4"/>
    <w:rsid w:val="007737C8"/>
    <w:rsid w:val="00775684"/>
    <w:rsid w:val="00781024"/>
    <w:rsid w:val="00781C5C"/>
    <w:rsid w:val="007850BA"/>
    <w:rsid w:val="00786648"/>
    <w:rsid w:val="00787C5A"/>
    <w:rsid w:val="00790C81"/>
    <w:rsid w:val="007919DE"/>
    <w:rsid w:val="007A0808"/>
    <w:rsid w:val="007A2EFB"/>
    <w:rsid w:val="007A6AC4"/>
    <w:rsid w:val="007B3869"/>
    <w:rsid w:val="007B73E1"/>
    <w:rsid w:val="007C0308"/>
    <w:rsid w:val="007C1D53"/>
    <w:rsid w:val="007E0330"/>
    <w:rsid w:val="007E29EE"/>
    <w:rsid w:val="007F00F0"/>
    <w:rsid w:val="007F58F9"/>
    <w:rsid w:val="007F6E7F"/>
    <w:rsid w:val="008014D2"/>
    <w:rsid w:val="008026C4"/>
    <w:rsid w:val="008054BC"/>
    <w:rsid w:val="00812227"/>
    <w:rsid w:val="00812E4F"/>
    <w:rsid w:val="00816BEC"/>
    <w:rsid w:val="00816F3B"/>
    <w:rsid w:val="008171FE"/>
    <w:rsid w:val="00817823"/>
    <w:rsid w:val="00823839"/>
    <w:rsid w:val="0083439F"/>
    <w:rsid w:val="008416AB"/>
    <w:rsid w:val="0084368D"/>
    <w:rsid w:val="00852114"/>
    <w:rsid w:val="008609CA"/>
    <w:rsid w:val="00873D38"/>
    <w:rsid w:val="00874FB1"/>
    <w:rsid w:val="0089000C"/>
    <w:rsid w:val="008A55B5"/>
    <w:rsid w:val="008A75C8"/>
    <w:rsid w:val="008B5270"/>
    <w:rsid w:val="008B7186"/>
    <w:rsid w:val="008E38A9"/>
    <w:rsid w:val="008E4AA9"/>
    <w:rsid w:val="00904568"/>
    <w:rsid w:val="0091059A"/>
    <w:rsid w:val="009134BD"/>
    <w:rsid w:val="009139E0"/>
    <w:rsid w:val="00924FB9"/>
    <w:rsid w:val="0092568F"/>
    <w:rsid w:val="0092743E"/>
    <w:rsid w:val="00930ED3"/>
    <w:rsid w:val="0093121D"/>
    <w:rsid w:val="009363AA"/>
    <w:rsid w:val="00942D09"/>
    <w:rsid w:val="009451F7"/>
    <w:rsid w:val="0097508D"/>
    <w:rsid w:val="0098093B"/>
    <w:rsid w:val="009A07A6"/>
    <w:rsid w:val="009A1B92"/>
    <w:rsid w:val="009B16F1"/>
    <w:rsid w:val="009B513E"/>
    <w:rsid w:val="009C7CDE"/>
    <w:rsid w:val="009D170D"/>
    <w:rsid w:val="009D6F26"/>
    <w:rsid w:val="009E386D"/>
    <w:rsid w:val="009E425D"/>
    <w:rsid w:val="009F4F96"/>
    <w:rsid w:val="00A00CF1"/>
    <w:rsid w:val="00A13CBD"/>
    <w:rsid w:val="00A20790"/>
    <w:rsid w:val="00A236A0"/>
    <w:rsid w:val="00A26C01"/>
    <w:rsid w:val="00A31CA5"/>
    <w:rsid w:val="00A510F7"/>
    <w:rsid w:val="00A639EB"/>
    <w:rsid w:val="00A66AA4"/>
    <w:rsid w:val="00A67210"/>
    <w:rsid w:val="00A678DB"/>
    <w:rsid w:val="00A84D30"/>
    <w:rsid w:val="00A977DC"/>
    <w:rsid w:val="00AA0700"/>
    <w:rsid w:val="00AB051C"/>
    <w:rsid w:val="00AB1A6F"/>
    <w:rsid w:val="00AB1BB7"/>
    <w:rsid w:val="00AC36A7"/>
    <w:rsid w:val="00AC6519"/>
    <w:rsid w:val="00AD0849"/>
    <w:rsid w:val="00AD3655"/>
    <w:rsid w:val="00AD601F"/>
    <w:rsid w:val="00AE1811"/>
    <w:rsid w:val="00B0160B"/>
    <w:rsid w:val="00B037B8"/>
    <w:rsid w:val="00B05A03"/>
    <w:rsid w:val="00B10077"/>
    <w:rsid w:val="00B20531"/>
    <w:rsid w:val="00B20C8E"/>
    <w:rsid w:val="00B22E45"/>
    <w:rsid w:val="00B36092"/>
    <w:rsid w:val="00B43479"/>
    <w:rsid w:val="00B51207"/>
    <w:rsid w:val="00B62E35"/>
    <w:rsid w:val="00B70803"/>
    <w:rsid w:val="00B74603"/>
    <w:rsid w:val="00B76C0E"/>
    <w:rsid w:val="00B82781"/>
    <w:rsid w:val="00B83435"/>
    <w:rsid w:val="00B936D1"/>
    <w:rsid w:val="00B955E6"/>
    <w:rsid w:val="00B959F8"/>
    <w:rsid w:val="00BA6236"/>
    <w:rsid w:val="00BB5527"/>
    <w:rsid w:val="00BC759A"/>
    <w:rsid w:val="00BD0974"/>
    <w:rsid w:val="00BD6DE2"/>
    <w:rsid w:val="00BE6AFE"/>
    <w:rsid w:val="00BF5427"/>
    <w:rsid w:val="00C0280F"/>
    <w:rsid w:val="00C03864"/>
    <w:rsid w:val="00C05F7C"/>
    <w:rsid w:val="00C16B79"/>
    <w:rsid w:val="00C34A2A"/>
    <w:rsid w:val="00C37685"/>
    <w:rsid w:val="00C43927"/>
    <w:rsid w:val="00C46495"/>
    <w:rsid w:val="00C474CE"/>
    <w:rsid w:val="00C529C9"/>
    <w:rsid w:val="00C55D13"/>
    <w:rsid w:val="00C6290E"/>
    <w:rsid w:val="00C703F9"/>
    <w:rsid w:val="00C83D4D"/>
    <w:rsid w:val="00C84DC9"/>
    <w:rsid w:val="00C91B37"/>
    <w:rsid w:val="00CA7BB2"/>
    <w:rsid w:val="00CB0271"/>
    <w:rsid w:val="00CB66E6"/>
    <w:rsid w:val="00CC62DE"/>
    <w:rsid w:val="00CC7E0C"/>
    <w:rsid w:val="00CD046C"/>
    <w:rsid w:val="00CD13BE"/>
    <w:rsid w:val="00CD25D5"/>
    <w:rsid w:val="00CD2F66"/>
    <w:rsid w:val="00CE02EA"/>
    <w:rsid w:val="00CF25D6"/>
    <w:rsid w:val="00CF30C1"/>
    <w:rsid w:val="00D01167"/>
    <w:rsid w:val="00D0553F"/>
    <w:rsid w:val="00D200FB"/>
    <w:rsid w:val="00D25140"/>
    <w:rsid w:val="00D26F69"/>
    <w:rsid w:val="00D401E7"/>
    <w:rsid w:val="00D44C05"/>
    <w:rsid w:val="00D5550C"/>
    <w:rsid w:val="00D6227A"/>
    <w:rsid w:val="00D764DF"/>
    <w:rsid w:val="00D818A3"/>
    <w:rsid w:val="00D9156D"/>
    <w:rsid w:val="00D96197"/>
    <w:rsid w:val="00DB331D"/>
    <w:rsid w:val="00DB42A0"/>
    <w:rsid w:val="00DC5D2D"/>
    <w:rsid w:val="00DC67A6"/>
    <w:rsid w:val="00DD2AE9"/>
    <w:rsid w:val="00DE10D4"/>
    <w:rsid w:val="00DE5E9B"/>
    <w:rsid w:val="00E004F7"/>
    <w:rsid w:val="00E11872"/>
    <w:rsid w:val="00E132F3"/>
    <w:rsid w:val="00E133AB"/>
    <w:rsid w:val="00E14EA4"/>
    <w:rsid w:val="00E2367A"/>
    <w:rsid w:val="00E25BA1"/>
    <w:rsid w:val="00E42BE7"/>
    <w:rsid w:val="00E43E8B"/>
    <w:rsid w:val="00E566AD"/>
    <w:rsid w:val="00E645B3"/>
    <w:rsid w:val="00E757BA"/>
    <w:rsid w:val="00E840C9"/>
    <w:rsid w:val="00E841C8"/>
    <w:rsid w:val="00E8691C"/>
    <w:rsid w:val="00E91219"/>
    <w:rsid w:val="00E97E42"/>
    <w:rsid w:val="00EA506F"/>
    <w:rsid w:val="00EA53DF"/>
    <w:rsid w:val="00EC153B"/>
    <w:rsid w:val="00EC17D2"/>
    <w:rsid w:val="00EC6857"/>
    <w:rsid w:val="00ED4EAF"/>
    <w:rsid w:val="00EE18CF"/>
    <w:rsid w:val="00EE4362"/>
    <w:rsid w:val="00EE480F"/>
    <w:rsid w:val="00EF18D7"/>
    <w:rsid w:val="00EF1E8A"/>
    <w:rsid w:val="00EF3A1A"/>
    <w:rsid w:val="00EF70B6"/>
    <w:rsid w:val="00F03546"/>
    <w:rsid w:val="00F07B36"/>
    <w:rsid w:val="00F22972"/>
    <w:rsid w:val="00F23229"/>
    <w:rsid w:val="00F4238B"/>
    <w:rsid w:val="00F43039"/>
    <w:rsid w:val="00F531E1"/>
    <w:rsid w:val="00F7490A"/>
    <w:rsid w:val="00F779DB"/>
    <w:rsid w:val="00F81F70"/>
    <w:rsid w:val="00F90A6D"/>
    <w:rsid w:val="00FA3271"/>
    <w:rsid w:val="00FA5537"/>
    <w:rsid w:val="00FA7465"/>
    <w:rsid w:val="00FB0705"/>
    <w:rsid w:val="00FB1218"/>
    <w:rsid w:val="00FB1558"/>
    <w:rsid w:val="00FD0100"/>
    <w:rsid w:val="00FD56DA"/>
    <w:rsid w:val="00FD5DF1"/>
    <w:rsid w:val="00FE03A8"/>
    <w:rsid w:val="00FE2DDA"/>
    <w:rsid w:val="00FF4B7B"/>
    <w:rsid w:val="00FF5155"/>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A5E26"/>
  <w15:docId w15:val="{F53508EC-DAAF-494C-98ED-1A90E97F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1"/>
    <w:qFormat/>
    <w:rsid w:val="004B5211"/>
    <w:pPr>
      <w:widowControl w:val="0"/>
      <w:autoSpaceDE w:val="0"/>
      <w:autoSpaceDN w:val="0"/>
      <w:ind w:left="140" w:hanging="361"/>
      <w:jc w:val="both"/>
    </w:pPr>
    <w:rPr>
      <w:sz w:val="22"/>
      <w:szCs w:val="22"/>
    </w:rPr>
  </w:style>
  <w:style w:type="paragraph" w:customStyle="1" w:styleId="TableParagraph">
    <w:name w:val="Table Paragraph"/>
    <w:basedOn w:val="Normal"/>
    <w:uiPriority w:val="1"/>
    <w:qFormat/>
    <w:rsid w:val="0040043A"/>
    <w:pPr>
      <w:widowControl w:val="0"/>
      <w:autoSpaceDE w:val="0"/>
      <w:autoSpaceDN w:val="0"/>
    </w:pPr>
    <w:rPr>
      <w:sz w:val="22"/>
      <w:szCs w:val="22"/>
    </w:rPr>
  </w:style>
  <w:style w:type="paragraph" w:styleId="NormalWeb">
    <w:name w:val="Normal (Web)"/>
    <w:basedOn w:val="Normal"/>
    <w:uiPriority w:val="99"/>
    <w:unhideWhenUsed/>
    <w:rsid w:val="00B936D1"/>
    <w:pPr>
      <w:spacing w:before="100" w:beforeAutospacing="1" w:after="100" w:afterAutospacing="1"/>
      <w:jc w:val="left"/>
    </w:pPr>
    <w:rPr>
      <w:sz w:val="24"/>
      <w:szCs w:val="24"/>
      <w:lang w:val="en-IN" w:eastAsia="en-IN"/>
    </w:rPr>
  </w:style>
  <w:style w:type="paragraph" w:styleId="NoSpacing">
    <w:name w:val="No Spacing"/>
    <w:uiPriority w:val="1"/>
    <w:qFormat/>
    <w:rsid w:val="009B16F1"/>
    <w:pPr>
      <w:jc w:val="center"/>
    </w:pPr>
    <w:rPr>
      <w:rFonts w:ascii="Times New Roman" w:hAnsi="Times New Roman"/>
    </w:rPr>
  </w:style>
  <w:style w:type="character" w:styleId="Emphasis">
    <w:name w:val="Emphasis"/>
    <w:basedOn w:val="DefaultParagraphFont"/>
    <w:uiPriority w:val="20"/>
    <w:qFormat/>
    <w:rsid w:val="00AD0849"/>
    <w:rPr>
      <w:i/>
      <w:iCs/>
    </w:rPr>
  </w:style>
  <w:style w:type="character" w:styleId="Strong">
    <w:name w:val="Strong"/>
    <w:basedOn w:val="DefaultParagraphFont"/>
    <w:uiPriority w:val="22"/>
    <w:qFormat/>
    <w:rsid w:val="00DC6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553548">
      <w:bodyDiv w:val="1"/>
      <w:marLeft w:val="0"/>
      <w:marRight w:val="0"/>
      <w:marTop w:val="0"/>
      <w:marBottom w:val="0"/>
      <w:divBdr>
        <w:top w:val="none" w:sz="0" w:space="0" w:color="auto"/>
        <w:left w:val="none" w:sz="0" w:space="0" w:color="auto"/>
        <w:bottom w:val="none" w:sz="0" w:space="0" w:color="auto"/>
        <w:right w:val="none" w:sz="0" w:space="0" w:color="auto"/>
      </w:divBdr>
    </w:div>
    <w:div w:id="569459919">
      <w:bodyDiv w:val="1"/>
      <w:marLeft w:val="0"/>
      <w:marRight w:val="0"/>
      <w:marTop w:val="0"/>
      <w:marBottom w:val="0"/>
      <w:divBdr>
        <w:top w:val="none" w:sz="0" w:space="0" w:color="auto"/>
        <w:left w:val="none" w:sz="0" w:space="0" w:color="auto"/>
        <w:bottom w:val="none" w:sz="0" w:space="0" w:color="auto"/>
        <w:right w:val="none" w:sz="0" w:space="0" w:color="auto"/>
      </w:divBdr>
    </w:div>
    <w:div w:id="752623363">
      <w:bodyDiv w:val="1"/>
      <w:marLeft w:val="0"/>
      <w:marRight w:val="0"/>
      <w:marTop w:val="0"/>
      <w:marBottom w:val="0"/>
      <w:divBdr>
        <w:top w:val="none" w:sz="0" w:space="0" w:color="auto"/>
        <w:left w:val="none" w:sz="0" w:space="0" w:color="auto"/>
        <w:bottom w:val="none" w:sz="0" w:space="0" w:color="auto"/>
        <w:right w:val="none" w:sz="0" w:space="0" w:color="auto"/>
      </w:divBdr>
    </w:div>
    <w:div w:id="919369583">
      <w:bodyDiv w:val="1"/>
      <w:marLeft w:val="0"/>
      <w:marRight w:val="0"/>
      <w:marTop w:val="0"/>
      <w:marBottom w:val="0"/>
      <w:divBdr>
        <w:top w:val="none" w:sz="0" w:space="0" w:color="auto"/>
        <w:left w:val="none" w:sz="0" w:space="0" w:color="auto"/>
        <w:bottom w:val="none" w:sz="0" w:space="0" w:color="auto"/>
        <w:right w:val="none" w:sz="0" w:space="0" w:color="auto"/>
      </w:divBdr>
    </w:div>
    <w:div w:id="972564845">
      <w:bodyDiv w:val="1"/>
      <w:marLeft w:val="0"/>
      <w:marRight w:val="0"/>
      <w:marTop w:val="0"/>
      <w:marBottom w:val="0"/>
      <w:divBdr>
        <w:top w:val="none" w:sz="0" w:space="0" w:color="auto"/>
        <w:left w:val="none" w:sz="0" w:space="0" w:color="auto"/>
        <w:bottom w:val="none" w:sz="0" w:space="0" w:color="auto"/>
        <w:right w:val="none" w:sz="0" w:space="0" w:color="auto"/>
      </w:divBdr>
    </w:div>
    <w:div w:id="1048066086">
      <w:bodyDiv w:val="1"/>
      <w:marLeft w:val="0"/>
      <w:marRight w:val="0"/>
      <w:marTop w:val="0"/>
      <w:marBottom w:val="0"/>
      <w:divBdr>
        <w:top w:val="none" w:sz="0" w:space="0" w:color="auto"/>
        <w:left w:val="none" w:sz="0" w:space="0" w:color="auto"/>
        <w:bottom w:val="none" w:sz="0" w:space="0" w:color="auto"/>
        <w:right w:val="none" w:sz="0" w:space="0" w:color="auto"/>
      </w:divBdr>
    </w:div>
    <w:div w:id="1859155296">
      <w:bodyDiv w:val="1"/>
      <w:marLeft w:val="0"/>
      <w:marRight w:val="0"/>
      <w:marTop w:val="0"/>
      <w:marBottom w:val="0"/>
      <w:divBdr>
        <w:top w:val="none" w:sz="0" w:space="0" w:color="auto"/>
        <w:left w:val="none" w:sz="0" w:space="0" w:color="auto"/>
        <w:bottom w:val="none" w:sz="0" w:space="0" w:color="auto"/>
        <w:right w:val="none" w:sz="0" w:space="0" w:color="auto"/>
      </w:divBdr>
    </w:div>
    <w:div w:id="1913394458">
      <w:bodyDiv w:val="1"/>
      <w:marLeft w:val="0"/>
      <w:marRight w:val="0"/>
      <w:marTop w:val="0"/>
      <w:marBottom w:val="0"/>
      <w:divBdr>
        <w:top w:val="none" w:sz="0" w:space="0" w:color="auto"/>
        <w:left w:val="none" w:sz="0" w:space="0" w:color="auto"/>
        <w:bottom w:val="none" w:sz="0" w:space="0" w:color="auto"/>
        <w:right w:val="none" w:sz="0" w:space="0" w:color="auto"/>
      </w:divBdr>
    </w:div>
    <w:div w:id="195691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6</Pages>
  <Words>2261</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Dhrubajyoti</cp:lastModifiedBy>
  <cp:revision>95</cp:revision>
  <cp:lastPrinted>2023-07-29T18:03:00Z</cp:lastPrinted>
  <dcterms:created xsi:type="dcterms:W3CDTF">2023-08-15T15:11:00Z</dcterms:created>
  <dcterms:modified xsi:type="dcterms:W3CDTF">2023-08-15T17:54:00Z</dcterms:modified>
</cp:coreProperties>
</file>