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6B84B" w14:textId="77777777" w:rsidR="00C241C0" w:rsidRDefault="00575230" w:rsidP="004B2134">
      <w:pPr>
        <w:pStyle w:val="Heading1"/>
        <w:tabs>
          <w:tab w:val="left" w:pos="464"/>
        </w:tabs>
        <w:spacing w:line="360" w:lineRule="auto"/>
        <w:ind w:left="0" w:firstLine="0"/>
        <w:rPr>
          <w:rFonts w:ascii="Times New Roman" w:hAnsi="Times New Roman" w:cs="Times New Roman"/>
          <w:sz w:val="72"/>
        </w:rPr>
      </w:pPr>
      <w:r w:rsidRPr="00C241C0">
        <w:rPr>
          <w:rFonts w:ascii="Times New Roman" w:hAnsi="Times New Roman" w:cs="Times New Roman"/>
          <w:sz w:val="72"/>
        </w:rPr>
        <w:t xml:space="preserve"> </w:t>
      </w:r>
    </w:p>
    <w:p w14:paraId="730CC9CF" w14:textId="77777777" w:rsidR="00C241C0" w:rsidRDefault="00C241C0" w:rsidP="004B2134">
      <w:pPr>
        <w:pStyle w:val="Heading1"/>
        <w:tabs>
          <w:tab w:val="left" w:pos="464"/>
        </w:tabs>
        <w:spacing w:line="360" w:lineRule="auto"/>
        <w:ind w:left="0" w:firstLine="0"/>
        <w:rPr>
          <w:rFonts w:ascii="Times New Roman" w:hAnsi="Times New Roman" w:cs="Times New Roman"/>
          <w:sz w:val="72"/>
        </w:rPr>
      </w:pPr>
    </w:p>
    <w:p w14:paraId="21B97FF0" w14:textId="77777777" w:rsidR="00C241C0" w:rsidRDefault="00C241C0" w:rsidP="004B2134">
      <w:pPr>
        <w:pStyle w:val="Heading1"/>
        <w:tabs>
          <w:tab w:val="left" w:pos="464"/>
        </w:tabs>
        <w:spacing w:line="360" w:lineRule="auto"/>
        <w:ind w:left="0" w:firstLine="0"/>
        <w:rPr>
          <w:rFonts w:ascii="Times New Roman" w:hAnsi="Times New Roman" w:cs="Times New Roman"/>
          <w:sz w:val="72"/>
        </w:rPr>
      </w:pPr>
    </w:p>
    <w:p w14:paraId="1C60F95B" w14:textId="233E2260" w:rsidR="00575230" w:rsidRPr="00C241C0" w:rsidRDefault="00575230" w:rsidP="004B2134">
      <w:pPr>
        <w:pStyle w:val="Heading1"/>
        <w:tabs>
          <w:tab w:val="left" w:pos="464"/>
        </w:tabs>
        <w:spacing w:line="360" w:lineRule="auto"/>
        <w:ind w:left="0" w:firstLine="0"/>
        <w:rPr>
          <w:rFonts w:ascii="Times New Roman" w:hAnsi="Times New Roman" w:cs="Times New Roman"/>
          <w:sz w:val="72"/>
        </w:rPr>
      </w:pPr>
      <w:r w:rsidRPr="00C241C0">
        <w:rPr>
          <w:rFonts w:ascii="Times New Roman" w:hAnsi="Times New Roman" w:cs="Times New Roman"/>
          <w:sz w:val="72"/>
        </w:rPr>
        <w:t>RECENT TRENDS TO DETECT ENDODONTIC MICROBES</w:t>
      </w:r>
    </w:p>
    <w:p w14:paraId="0E963B6E" w14:textId="2C32B4B9" w:rsidR="00575230" w:rsidRPr="00C241C0" w:rsidRDefault="00575230" w:rsidP="004B2134">
      <w:pPr>
        <w:pStyle w:val="Heading1"/>
        <w:tabs>
          <w:tab w:val="left" w:pos="464"/>
        </w:tabs>
        <w:spacing w:line="360" w:lineRule="auto"/>
        <w:ind w:left="0" w:firstLine="0"/>
        <w:rPr>
          <w:rFonts w:ascii="Times New Roman" w:hAnsi="Times New Roman" w:cs="Times New Roman"/>
          <w:sz w:val="28"/>
        </w:rPr>
      </w:pPr>
      <w:r w:rsidRPr="00C241C0">
        <w:rPr>
          <w:rFonts w:ascii="Times New Roman" w:hAnsi="Times New Roman" w:cs="Times New Roman"/>
          <w:sz w:val="28"/>
        </w:rPr>
        <w:t xml:space="preserve">AUTHORS: </w:t>
      </w:r>
      <w:r w:rsidR="00BF5333" w:rsidRPr="00C241C0">
        <w:rPr>
          <w:rFonts w:ascii="Times New Roman" w:hAnsi="Times New Roman" w:cs="Times New Roman"/>
          <w:sz w:val="28"/>
        </w:rPr>
        <w:t>Dr</w:t>
      </w:r>
      <w:r w:rsidR="00197B9E" w:rsidRPr="00C241C0">
        <w:rPr>
          <w:rFonts w:ascii="Times New Roman" w:hAnsi="Times New Roman" w:cs="Times New Roman"/>
          <w:sz w:val="28"/>
        </w:rPr>
        <w:t xml:space="preserve"> K SATHYA</w:t>
      </w:r>
      <w:r w:rsidR="00BF5333" w:rsidRPr="00C241C0">
        <w:rPr>
          <w:rFonts w:ascii="Times New Roman" w:hAnsi="Times New Roman" w:cs="Times New Roman"/>
          <w:sz w:val="28"/>
        </w:rPr>
        <w:t xml:space="preserve"> </w:t>
      </w:r>
      <w:r w:rsidR="00197B9E" w:rsidRPr="00C241C0">
        <w:rPr>
          <w:rFonts w:ascii="Times New Roman" w:hAnsi="Times New Roman" w:cs="Times New Roman"/>
          <w:sz w:val="28"/>
        </w:rPr>
        <w:t>NARAYAN</w:t>
      </w:r>
      <w:r w:rsidR="00BF5333" w:rsidRPr="00C241C0">
        <w:rPr>
          <w:rFonts w:ascii="Times New Roman" w:hAnsi="Times New Roman" w:cs="Times New Roman"/>
          <w:sz w:val="28"/>
        </w:rPr>
        <w:t>AN</w:t>
      </w:r>
      <w:r w:rsidR="00197B9E" w:rsidRPr="00C241C0">
        <w:rPr>
          <w:rFonts w:ascii="Times New Roman" w:hAnsi="Times New Roman" w:cs="Times New Roman"/>
          <w:sz w:val="28"/>
        </w:rPr>
        <w:t xml:space="preserve">, </w:t>
      </w:r>
      <w:r w:rsidR="00BF5333" w:rsidRPr="00C241C0">
        <w:rPr>
          <w:rFonts w:ascii="Times New Roman" w:hAnsi="Times New Roman" w:cs="Times New Roman"/>
          <w:sz w:val="28"/>
        </w:rPr>
        <w:t>Dr</w:t>
      </w:r>
      <w:r w:rsidRPr="00C241C0">
        <w:rPr>
          <w:rFonts w:ascii="Times New Roman" w:hAnsi="Times New Roman" w:cs="Times New Roman"/>
          <w:sz w:val="28"/>
        </w:rPr>
        <w:t xml:space="preserve"> ANGEL MARIYAM JOHN, </w:t>
      </w:r>
      <w:r w:rsidR="00BF5333" w:rsidRPr="00C241C0">
        <w:rPr>
          <w:rFonts w:ascii="Times New Roman" w:hAnsi="Times New Roman" w:cs="Times New Roman"/>
          <w:sz w:val="28"/>
        </w:rPr>
        <w:t>Dr</w:t>
      </w:r>
      <w:r w:rsidRPr="00C241C0">
        <w:rPr>
          <w:rFonts w:ascii="Times New Roman" w:hAnsi="Times New Roman" w:cs="Times New Roman"/>
          <w:sz w:val="28"/>
        </w:rPr>
        <w:t xml:space="preserve"> NEELA SHIVA TARUN</w:t>
      </w:r>
    </w:p>
    <w:p w14:paraId="2FD296B8" w14:textId="4E9E5CD0" w:rsidR="00575230" w:rsidRPr="00C241C0" w:rsidRDefault="00575230" w:rsidP="004B2134">
      <w:pPr>
        <w:pStyle w:val="Heading1"/>
        <w:tabs>
          <w:tab w:val="left" w:pos="464"/>
        </w:tabs>
        <w:spacing w:line="360" w:lineRule="auto"/>
        <w:ind w:left="0" w:firstLine="0"/>
        <w:rPr>
          <w:rFonts w:ascii="Times New Roman" w:hAnsi="Times New Roman" w:cs="Times New Roman"/>
          <w:sz w:val="28"/>
        </w:rPr>
      </w:pPr>
      <w:r w:rsidRPr="00C241C0">
        <w:rPr>
          <w:rFonts w:ascii="Times New Roman" w:hAnsi="Times New Roman" w:cs="Times New Roman"/>
          <w:sz w:val="28"/>
        </w:rPr>
        <w:t>ORGANIZATION NAME: SATHYABAMA DENTAL COLLEGE AND HOSPITAL, CHENNAI</w:t>
      </w:r>
    </w:p>
    <w:p w14:paraId="54D3F02D" w14:textId="77777777" w:rsidR="00575230" w:rsidRPr="00C241C0" w:rsidRDefault="00575230" w:rsidP="004B2134">
      <w:pPr>
        <w:pStyle w:val="Heading1"/>
        <w:tabs>
          <w:tab w:val="left" w:pos="464"/>
        </w:tabs>
        <w:spacing w:line="360" w:lineRule="auto"/>
        <w:ind w:left="0" w:firstLine="0"/>
        <w:rPr>
          <w:rFonts w:ascii="Times New Roman" w:hAnsi="Times New Roman" w:cs="Times New Roman"/>
          <w:sz w:val="28"/>
        </w:rPr>
      </w:pPr>
    </w:p>
    <w:p w14:paraId="541BB9DD" w14:textId="77777777" w:rsidR="00C241C0" w:rsidRPr="00C241C0" w:rsidRDefault="00C241C0" w:rsidP="004B2134">
      <w:pPr>
        <w:pStyle w:val="Heading1"/>
        <w:tabs>
          <w:tab w:val="left" w:pos="464"/>
        </w:tabs>
        <w:spacing w:line="360" w:lineRule="auto"/>
        <w:ind w:left="0" w:firstLine="0"/>
        <w:rPr>
          <w:rFonts w:ascii="Times New Roman" w:hAnsi="Times New Roman" w:cs="Times New Roman"/>
          <w:sz w:val="28"/>
        </w:rPr>
      </w:pPr>
    </w:p>
    <w:p w14:paraId="04EC01B1" w14:textId="77777777" w:rsidR="00C241C0" w:rsidRPr="00C241C0" w:rsidRDefault="00C241C0" w:rsidP="004B2134">
      <w:pPr>
        <w:pStyle w:val="Heading1"/>
        <w:tabs>
          <w:tab w:val="left" w:pos="464"/>
        </w:tabs>
        <w:spacing w:line="360" w:lineRule="auto"/>
        <w:ind w:left="0" w:firstLine="0"/>
        <w:rPr>
          <w:rFonts w:ascii="Times New Roman" w:hAnsi="Times New Roman" w:cs="Times New Roman"/>
          <w:sz w:val="28"/>
        </w:rPr>
      </w:pPr>
    </w:p>
    <w:p w14:paraId="02279D58" w14:textId="77777777" w:rsidR="00C241C0" w:rsidRPr="00C241C0" w:rsidRDefault="00C241C0" w:rsidP="004B2134">
      <w:pPr>
        <w:pStyle w:val="Heading1"/>
        <w:tabs>
          <w:tab w:val="left" w:pos="464"/>
        </w:tabs>
        <w:spacing w:line="360" w:lineRule="auto"/>
        <w:ind w:left="0" w:firstLine="0"/>
        <w:rPr>
          <w:rFonts w:ascii="Times New Roman" w:hAnsi="Times New Roman" w:cs="Times New Roman"/>
          <w:sz w:val="28"/>
        </w:rPr>
      </w:pPr>
    </w:p>
    <w:p w14:paraId="7913AE40" w14:textId="77777777" w:rsidR="00C241C0" w:rsidRPr="00C241C0" w:rsidRDefault="00C241C0" w:rsidP="004B2134">
      <w:pPr>
        <w:pStyle w:val="Heading1"/>
        <w:tabs>
          <w:tab w:val="left" w:pos="464"/>
        </w:tabs>
        <w:spacing w:line="360" w:lineRule="auto"/>
        <w:ind w:left="0" w:firstLine="0"/>
        <w:rPr>
          <w:rFonts w:ascii="Times New Roman" w:hAnsi="Times New Roman" w:cs="Times New Roman"/>
          <w:sz w:val="28"/>
        </w:rPr>
      </w:pPr>
    </w:p>
    <w:p w14:paraId="7E43E192" w14:textId="77777777" w:rsidR="00C241C0" w:rsidRPr="00C241C0" w:rsidRDefault="00C241C0" w:rsidP="004B2134">
      <w:pPr>
        <w:pStyle w:val="Heading1"/>
        <w:tabs>
          <w:tab w:val="left" w:pos="464"/>
        </w:tabs>
        <w:spacing w:line="360" w:lineRule="auto"/>
        <w:ind w:left="0" w:firstLine="0"/>
        <w:rPr>
          <w:rFonts w:ascii="Times New Roman" w:hAnsi="Times New Roman" w:cs="Times New Roman"/>
          <w:sz w:val="28"/>
        </w:rPr>
      </w:pPr>
    </w:p>
    <w:p w14:paraId="70ED1EBC" w14:textId="77777777" w:rsidR="00C241C0" w:rsidRDefault="00C241C0" w:rsidP="004B2134">
      <w:pPr>
        <w:pStyle w:val="Heading1"/>
        <w:tabs>
          <w:tab w:val="left" w:pos="464"/>
        </w:tabs>
        <w:spacing w:line="360" w:lineRule="auto"/>
        <w:ind w:left="0" w:firstLine="0"/>
        <w:rPr>
          <w:rFonts w:ascii="Times New Roman" w:hAnsi="Times New Roman" w:cs="Times New Roman"/>
          <w:sz w:val="28"/>
        </w:rPr>
      </w:pPr>
    </w:p>
    <w:p w14:paraId="72B5C621" w14:textId="77777777" w:rsidR="00C241C0" w:rsidRDefault="00C241C0" w:rsidP="004B2134">
      <w:pPr>
        <w:pStyle w:val="Heading1"/>
        <w:tabs>
          <w:tab w:val="left" w:pos="464"/>
        </w:tabs>
        <w:spacing w:line="360" w:lineRule="auto"/>
        <w:ind w:left="0" w:firstLine="0"/>
        <w:rPr>
          <w:rFonts w:ascii="Times New Roman" w:hAnsi="Times New Roman" w:cs="Times New Roman"/>
          <w:sz w:val="28"/>
        </w:rPr>
      </w:pPr>
    </w:p>
    <w:p w14:paraId="7FD1E325" w14:textId="3FE29688" w:rsidR="00575230" w:rsidRPr="00C241C0" w:rsidRDefault="00575230" w:rsidP="004B2134">
      <w:pPr>
        <w:pStyle w:val="Heading1"/>
        <w:tabs>
          <w:tab w:val="left" w:pos="464"/>
        </w:tabs>
        <w:spacing w:line="360" w:lineRule="auto"/>
        <w:ind w:left="0" w:firstLine="0"/>
        <w:rPr>
          <w:rFonts w:ascii="Times New Roman" w:hAnsi="Times New Roman" w:cs="Times New Roman"/>
          <w:sz w:val="28"/>
        </w:rPr>
      </w:pPr>
      <w:r w:rsidRPr="00C241C0">
        <w:rPr>
          <w:rFonts w:ascii="Times New Roman" w:hAnsi="Times New Roman" w:cs="Times New Roman"/>
          <w:sz w:val="28"/>
        </w:rPr>
        <w:lastRenderedPageBreak/>
        <w:t>CONTENTS</w:t>
      </w:r>
    </w:p>
    <w:p w14:paraId="6C497312" w14:textId="70A93763" w:rsidR="00575230" w:rsidRPr="00C241C0" w:rsidRDefault="00C241C0" w:rsidP="004B2134">
      <w:pPr>
        <w:pStyle w:val="Heading1"/>
        <w:numPr>
          <w:ilvl w:val="0"/>
          <w:numId w:val="15"/>
        </w:numPr>
        <w:tabs>
          <w:tab w:val="left" w:pos="464"/>
        </w:tabs>
        <w:spacing w:line="360" w:lineRule="auto"/>
        <w:rPr>
          <w:rFonts w:ascii="Times New Roman" w:hAnsi="Times New Roman" w:cs="Times New Roman"/>
          <w:b w:val="0"/>
          <w:sz w:val="28"/>
        </w:rPr>
      </w:pPr>
      <w:r w:rsidRPr="00C241C0">
        <w:rPr>
          <w:rFonts w:ascii="Times New Roman" w:hAnsi="Times New Roman" w:cs="Times New Roman"/>
          <w:b w:val="0"/>
          <w:sz w:val="28"/>
        </w:rPr>
        <w:t>Introduction</w:t>
      </w:r>
    </w:p>
    <w:p w14:paraId="2C600C81" w14:textId="7D54DF70" w:rsidR="00575230" w:rsidRPr="00C241C0" w:rsidRDefault="00C241C0" w:rsidP="004B2134">
      <w:pPr>
        <w:pStyle w:val="Heading1"/>
        <w:numPr>
          <w:ilvl w:val="0"/>
          <w:numId w:val="15"/>
        </w:numPr>
        <w:tabs>
          <w:tab w:val="left" w:pos="464"/>
        </w:tabs>
        <w:spacing w:line="360" w:lineRule="auto"/>
        <w:rPr>
          <w:rFonts w:ascii="Times New Roman" w:hAnsi="Times New Roman" w:cs="Times New Roman"/>
          <w:b w:val="0"/>
          <w:sz w:val="28"/>
        </w:rPr>
      </w:pPr>
      <w:r w:rsidRPr="00C241C0">
        <w:rPr>
          <w:rFonts w:ascii="Times New Roman" w:hAnsi="Times New Roman" w:cs="Times New Roman"/>
          <w:b w:val="0"/>
          <w:sz w:val="28"/>
        </w:rPr>
        <w:t xml:space="preserve">Traditional methods </w:t>
      </w:r>
    </w:p>
    <w:p w14:paraId="050ECADA" w14:textId="538649AC" w:rsidR="00575230" w:rsidRPr="00C241C0" w:rsidRDefault="00C241C0" w:rsidP="004B2134">
      <w:pPr>
        <w:pStyle w:val="Heading1"/>
        <w:numPr>
          <w:ilvl w:val="0"/>
          <w:numId w:val="15"/>
        </w:numPr>
        <w:tabs>
          <w:tab w:val="left" w:pos="464"/>
        </w:tabs>
        <w:spacing w:line="360" w:lineRule="auto"/>
        <w:rPr>
          <w:rFonts w:ascii="Times New Roman" w:hAnsi="Times New Roman" w:cs="Times New Roman"/>
          <w:b w:val="0"/>
          <w:sz w:val="28"/>
        </w:rPr>
      </w:pPr>
      <w:r w:rsidRPr="00C241C0">
        <w:rPr>
          <w:rFonts w:ascii="Times New Roman" w:hAnsi="Times New Roman" w:cs="Times New Roman"/>
          <w:b w:val="0"/>
          <w:sz w:val="28"/>
        </w:rPr>
        <w:t>Limitations of culturing methods</w:t>
      </w:r>
    </w:p>
    <w:p w14:paraId="2338CED0" w14:textId="659FB704" w:rsidR="00575230" w:rsidRPr="00C241C0" w:rsidRDefault="00C241C0" w:rsidP="004B2134">
      <w:pPr>
        <w:pStyle w:val="Heading1"/>
        <w:numPr>
          <w:ilvl w:val="0"/>
          <w:numId w:val="15"/>
        </w:numPr>
        <w:tabs>
          <w:tab w:val="left" w:pos="464"/>
        </w:tabs>
        <w:spacing w:line="360" w:lineRule="auto"/>
        <w:rPr>
          <w:rFonts w:ascii="Times New Roman" w:hAnsi="Times New Roman" w:cs="Times New Roman"/>
          <w:b w:val="0"/>
          <w:sz w:val="28"/>
        </w:rPr>
      </w:pPr>
      <w:r w:rsidRPr="00C241C0">
        <w:rPr>
          <w:rFonts w:ascii="Times New Roman" w:hAnsi="Times New Roman" w:cs="Times New Roman"/>
          <w:b w:val="0"/>
          <w:sz w:val="28"/>
        </w:rPr>
        <w:t>Molecular biology technique</w:t>
      </w:r>
    </w:p>
    <w:p w14:paraId="58A625B0" w14:textId="1F4C183F" w:rsidR="00575230" w:rsidRPr="00C241C0" w:rsidRDefault="00C241C0" w:rsidP="004B2134">
      <w:pPr>
        <w:pStyle w:val="Heading1"/>
        <w:numPr>
          <w:ilvl w:val="0"/>
          <w:numId w:val="15"/>
        </w:numPr>
        <w:tabs>
          <w:tab w:val="left" w:pos="464"/>
        </w:tabs>
        <w:spacing w:line="360" w:lineRule="auto"/>
        <w:rPr>
          <w:rFonts w:ascii="Times New Roman" w:hAnsi="Times New Roman" w:cs="Times New Roman"/>
          <w:b w:val="0"/>
          <w:sz w:val="28"/>
        </w:rPr>
      </w:pPr>
      <w:r>
        <w:rPr>
          <w:rFonts w:ascii="Times New Roman" w:hAnsi="Times New Roman" w:cs="Times New Roman"/>
          <w:b w:val="0"/>
          <w:sz w:val="28"/>
        </w:rPr>
        <w:t>DNA- DNA</w:t>
      </w:r>
      <w:r w:rsidRPr="00C241C0">
        <w:rPr>
          <w:rFonts w:ascii="Times New Roman" w:hAnsi="Times New Roman" w:cs="Times New Roman"/>
          <w:b w:val="0"/>
          <w:sz w:val="28"/>
        </w:rPr>
        <w:t xml:space="preserve"> hybridization</w:t>
      </w:r>
    </w:p>
    <w:p w14:paraId="44B14513" w14:textId="13C20922" w:rsidR="00575230" w:rsidRPr="00C241C0" w:rsidRDefault="00C241C0" w:rsidP="004B2134">
      <w:pPr>
        <w:pStyle w:val="Heading1"/>
        <w:numPr>
          <w:ilvl w:val="0"/>
          <w:numId w:val="15"/>
        </w:numPr>
        <w:tabs>
          <w:tab w:val="left" w:pos="464"/>
        </w:tabs>
        <w:spacing w:line="360" w:lineRule="auto"/>
        <w:rPr>
          <w:rFonts w:ascii="Times New Roman" w:hAnsi="Times New Roman" w:cs="Times New Roman"/>
          <w:b w:val="0"/>
          <w:sz w:val="28"/>
        </w:rPr>
      </w:pPr>
      <w:r w:rsidRPr="00C241C0">
        <w:rPr>
          <w:rFonts w:ascii="Times New Roman" w:hAnsi="Times New Roman" w:cs="Times New Roman"/>
          <w:b w:val="0"/>
          <w:sz w:val="28"/>
        </w:rPr>
        <w:t>Fluor</w:t>
      </w:r>
      <w:r>
        <w:rPr>
          <w:rFonts w:ascii="Times New Roman" w:hAnsi="Times New Roman" w:cs="Times New Roman"/>
          <w:b w:val="0"/>
          <w:sz w:val="28"/>
        </w:rPr>
        <w:t>e</w:t>
      </w:r>
      <w:r w:rsidRPr="00C241C0">
        <w:rPr>
          <w:rFonts w:ascii="Times New Roman" w:hAnsi="Times New Roman" w:cs="Times New Roman"/>
          <w:b w:val="0"/>
          <w:sz w:val="28"/>
        </w:rPr>
        <w:t>scence in</w:t>
      </w:r>
      <w:r>
        <w:rPr>
          <w:rFonts w:ascii="Times New Roman" w:hAnsi="Times New Roman" w:cs="Times New Roman"/>
          <w:b w:val="0"/>
          <w:sz w:val="28"/>
        </w:rPr>
        <w:t xml:space="preserve"> </w:t>
      </w:r>
      <w:r w:rsidRPr="00C241C0">
        <w:rPr>
          <w:rFonts w:ascii="Times New Roman" w:hAnsi="Times New Roman" w:cs="Times New Roman"/>
          <w:b w:val="0"/>
          <w:sz w:val="28"/>
        </w:rPr>
        <w:t>situ hybridization</w:t>
      </w:r>
    </w:p>
    <w:p w14:paraId="18B9C96B" w14:textId="344DF48E" w:rsidR="00575230" w:rsidRPr="00C241C0" w:rsidRDefault="00C241C0" w:rsidP="004B2134">
      <w:pPr>
        <w:pStyle w:val="Heading1"/>
        <w:numPr>
          <w:ilvl w:val="0"/>
          <w:numId w:val="15"/>
        </w:numPr>
        <w:tabs>
          <w:tab w:val="left" w:pos="464"/>
        </w:tabs>
        <w:spacing w:line="360" w:lineRule="auto"/>
        <w:rPr>
          <w:rFonts w:ascii="Times New Roman" w:hAnsi="Times New Roman" w:cs="Times New Roman"/>
          <w:b w:val="0"/>
          <w:sz w:val="28"/>
        </w:rPr>
      </w:pPr>
      <w:r w:rsidRPr="00C241C0">
        <w:rPr>
          <w:rFonts w:ascii="Times New Roman" w:hAnsi="Times New Roman" w:cs="Times New Roman"/>
          <w:b w:val="0"/>
          <w:sz w:val="28"/>
        </w:rPr>
        <w:t>Advantages and disadvantages of molecular methods</w:t>
      </w:r>
    </w:p>
    <w:p w14:paraId="0DA9D7BA" w14:textId="2E40E09F" w:rsidR="00575230" w:rsidRPr="00C241C0" w:rsidRDefault="00C241C0" w:rsidP="004B2134">
      <w:pPr>
        <w:pStyle w:val="Heading1"/>
        <w:numPr>
          <w:ilvl w:val="0"/>
          <w:numId w:val="15"/>
        </w:numPr>
        <w:tabs>
          <w:tab w:val="left" w:pos="464"/>
        </w:tabs>
        <w:spacing w:line="360" w:lineRule="auto"/>
        <w:rPr>
          <w:rFonts w:ascii="Times New Roman" w:hAnsi="Times New Roman" w:cs="Times New Roman"/>
          <w:b w:val="0"/>
          <w:sz w:val="28"/>
        </w:rPr>
      </w:pPr>
      <w:r w:rsidRPr="00C241C0">
        <w:rPr>
          <w:rFonts w:ascii="Times New Roman" w:hAnsi="Times New Roman" w:cs="Times New Roman"/>
          <w:b w:val="0"/>
          <w:sz w:val="28"/>
        </w:rPr>
        <w:t>Conclusion</w:t>
      </w:r>
    </w:p>
    <w:p w14:paraId="2BDBA810" w14:textId="3C9A7F77" w:rsidR="00575230" w:rsidRPr="00C241C0" w:rsidRDefault="00C241C0" w:rsidP="004B2134">
      <w:pPr>
        <w:pStyle w:val="Heading1"/>
        <w:numPr>
          <w:ilvl w:val="0"/>
          <w:numId w:val="15"/>
        </w:numPr>
        <w:tabs>
          <w:tab w:val="left" w:pos="464"/>
        </w:tabs>
        <w:spacing w:line="360" w:lineRule="auto"/>
        <w:rPr>
          <w:rFonts w:ascii="Times New Roman" w:hAnsi="Times New Roman" w:cs="Times New Roman"/>
          <w:b w:val="0"/>
          <w:sz w:val="28"/>
        </w:rPr>
      </w:pPr>
      <w:r w:rsidRPr="00C241C0">
        <w:rPr>
          <w:rFonts w:ascii="Times New Roman" w:hAnsi="Times New Roman" w:cs="Times New Roman"/>
          <w:b w:val="0"/>
          <w:sz w:val="28"/>
        </w:rPr>
        <w:t>References</w:t>
      </w:r>
    </w:p>
    <w:p w14:paraId="04D66848" w14:textId="5508112F" w:rsidR="00575230" w:rsidRPr="00C241C0" w:rsidRDefault="00C241C0" w:rsidP="004B2134">
      <w:pPr>
        <w:pStyle w:val="Heading1"/>
        <w:tabs>
          <w:tab w:val="left" w:pos="464"/>
        </w:tabs>
        <w:spacing w:line="360" w:lineRule="auto"/>
        <w:ind w:left="720" w:firstLine="0"/>
        <w:rPr>
          <w:rFonts w:ascii="Times New Roman" w:hAnsi="Times New Roman" w:cs="Times New Roman"/>
          <w:b w:val="0"/>
          <w:sz w:val="28"/>
        </w:rPr>
      </w:pPr>
      <w:r w:rsidRPr="00C241C0">
        <w:rPr>
          <w:rFonts w:ascii="Times New Roman" w:hAnsi="Times New Roman" w:cs="Times New Roman"/>
          <w:b w:val="0"/>
          <w:sz w:val="28"/>
        </w:rPr>
        <w:br w:type="page"/>
      </w:r>
    </w:p>
    <w:p w14:paraId="63CCBF44" w14:textId="4F4AD4E6" w:rsidR="001B3ED2" w:rsidRPr="00C241C0" w:rsidRDefault="000F07A4" w:rsidP="004B2134">
      <w:pPr>
        <w:pStyle w:val="Heading1"/>
        <w:tabs>
          <w:tab w:val="left" w:pos="464"/>
        </w:tabs>
        <w:spacing w:line="360" w:lineRule="auto"/>
        <w:ind w:left="0" w:firstLine="0"/>
        <w:rPr>
          <w:rFonts w:ascii="Times New Roman" w:hAnsi="Times New Roman" w:cs="Times New Roman"/>
          <w:sz w:val="28"/>
        </w:rPr>
      </w:pPr>
      <w:r w:rsidRPr="00C241C0">
        <w:rPr>
          <w:rFonts w:ascii="Times New Roman" w:hAnsi="Times New Roman" w:cs="Times New Roman"/>
          <w:sz w:val="28"/>
        </w:rPr>
        <w:lastRenderedPageBreak/>
        <w:t>INTRODUCTION</w:t>
      </w:r>
    </w:p>
    <w:p w14:paraId="5254CCCA" w14:textId="50CA5293" w:rsidR="000F1D71" w:rsidRPr="00C241C0" w:rsidRDefault="00F12B67" w:rsidP="004B2134">
      <w:pPr>
        <w:pStyle w:val="BodyText"/>
        <w:spacing w:before="75" w:line="360" w:lineRule="auto"/>
        <w:ind w:left="0" w:right="495"/>
        <w:jc w:val="left"/>
        <w:rPr>
          <w:rFonts w:ascii="Times New Roman" w:hAnsi="Times New Roman" w:cs="Times New Roman"/>
          <w:w w:val="105"/>
          <w:sz w:val="24"/>
        </w:rPr>
      </w:pPr>
      <w:r w:rsidRPr="00C241C0">
        <w:rPr>
          <w:rFonts w:ascii="Times New Roman" w:hAnsi="Times New Roman" w:cs="Times New Roman"/>
          <w:w w:val="105"/>
          <w:sz w:val="24"/>
        </w:rPr>
        <w:t>Multispecies</w:t>
      </w:r>
      <w:r w:rsidRPr="00C241C0">
        <w:rPr>
          <w:rFonts w:ascii="Times New Roman" w:hAnsi="Times New Roman" w:cs="Times New Roman"/>
          <w:spacing w:val="1"/>
          <w:w w:val="105"/>
          <w:sz w:val="24"/>
        </w:rPr>
        <w:t xml:space="preserve"> </w:t>
      </w:r>
      <w:r w:rsidRPr="00C241C0">
        <w:rPr>
          <w:rFonts w:ascii="Times New Roman" w:hAnsi="Times New Roman" w:cs="Times New Roman"/>
          <w:w w:val="105"/>
          <w:sz w:val="24"/>
        </w:rPr>
        <w:t>biofilms</w:t>
      </w:r>
      <w:r w:rsidRPr="00C241C0">
        <w:rPr>
          <w:rFonts w:ascii="Times New Roman" w:hAnsi="Times New Roman" w:cs="Times New Roman"/>
          <w:spacing w:val="-10"/>
          <w:w w:val="105"/>
          <w:sz w:val="24"/>
        </w:rPr>
        <w:t xml:space="preserve"> </w:t>
      </w:r>
      <w:r w:rsidRPr="00C241C0">
        <w:rPr>
          <w:rFonts w:ascii="Times New Roman" w:hAnsi="Times New Roman" w:cs="Times New Roman"/>
          <w:w w:val="105"/>
          <w:sz w:val="24"/>
        </w:rPr>
        <w:t>are</w:t>
      </w:r>
      <w:r w:rsidRPr="00C241C0">
        <w:rPr>
          <w:rFonts w:ascii="Times New Roman" w:hAnsi="Times New Roman" w:cs="Times New Roman"/>
          <w:spacing w:val="-6"/>
          <w:w w:val="105"/>
          <w:sz w:val="24"/>
        </w:rPr>
        <w:t xml:space="preserve"> </w:t>
      </w:r>
      <w:r w:rsidRPr="00C241C0">
        <w:rPr>
          <w:rFonts w:ascii="Times New Roman" w:hAnsi="Times New Roman" w:cs="Times New Roman"/>
          <w:w w:val="105"/>
          <w:sz w:val="24"/>
        </w:rPr>
        <w:t>the</w:t>
      </w:r>
      <w:r w:rsidRPr="00C241C0">
        <w:rPr>
          <w:rFonts w:ascii="Times New Roman" w:hAnsi="Times New Roman" w:cs="Times New Roman"/>
          <w:spacing w:val="-9"/>
          <w:w w:val="105"/>
          <w:sz w:val="24"/>
        </w:rPr>
        <w:t xml:space="preserve"> </w:t>
      </w:r>
      <w:r w:rsidRPr="00C241C0">
        <w:rPr>
          <w:rFonts w:ascii="Times New Roman" w:hAnsi="Times New Roman" w:cs="Times New Roman"/>
          <w:w w:val="105"/>
          <w:sz w:val="24"/>
        </w:rPr>
        <w:t>major</w:t>
      </w:r>
      <w:r w:rsidRPr="00C241C0">
        <w:rPr>
          <w:rFonts w:ascii="Times New Roman" w:hAnsi="Times New Roman" w:cs="Times New Roman"/>
          <w:spacing w:val="-9"/>
          <w:w w:val="105"/>
          <w:sz w:val="24"/>
        </w:rPr>
        <w:t xml:space="preserve"> </w:t>
      </w:r>
      <w:r w:rsidRPr="00C241C0">
        <w:rPr>
          <w:rFonts w:ascii="Times New Roman" w:hAnsi="Times New Roman" w:cs="Times New Roman"/>
          <w:w w:val="105"/>
          <w:sz w:val="24"/>
        </w:rPr>
        <w:t>form</w:t>
      </w:r>
      <w:r w:rsidRPr="00C241C0">
        <w:rPr>
          <w:rFonts w:ascii="Times New Roman" w:hAnsi="Times New Roman" w:cs="Times New Roman"/>
          <w:spacing w:val="-10"/>
          <w:w w:val="105"/>
          <w:sz w:val="24"/>
        </w:rPr>
        <w:t xml:space="preserve"> </w:t>
      </w:r>
      <w:r w:rsidRPr="00C241C0">
        <w:rPr>
          <w:rFonts w:ascii="Times New Roman" w:hAnsi="Times New Roman" w:cs="Times New Roman"/>
          <w:w w:val="105"/>
          <w:sz w:val="24"/>
        </w:rPr>
        <w:t>of</w:t>
      </w:r>
      <w:r w:rsidRPr="00C241C0">
        <w:rPr>
          <w:rFonts w:ascii="Times New Roman" w:hAnsi="Times New Roman" w:cs="Times New Roman"/>
          <w:spacing w:val="-9"/>
          <w:w w:val="105"/>
          <w:sz w:val="24"/>
        </w:rPr>
        <w:t xml:space="preserve"> </w:t>
      </w:r>
      <w:r w:rsidRPr="00C241C0">
        <w:rPr>
          <w:rFonts w:ascii="Times New Roman" w:hAnsi="Times New Roman" w:cs="Times New Roman"/>
          <w:w w:val="105"/>
          <w:sz w:val="24"/>
        </w:rPr>
        <w:t>bacterial</w:t>
      </w:r>
      <w:r w:rsidRPr="00C241C0">
        <w:rPr>
          <w:rFonts w:ascii="Times New Roman" w:hAnsi="Times New Roman" w:cs="Times New Roman"/>
          <w:spacing w:val="-10"/>
          <w:w w:val="105"/>
          <w:sz w:val="24"/>
        </w:rPr>
        <w:t xml:space="preserve"> </w:t>
      </w:r>
      <w:r w:rsidRPr="00C241C0">
        <w:rPr>
          <w:rFonts w:ascii="Times New Roman" w:hAnsi="Times New Roman" w:cs="Times New Roman"/>
          <w:w w:val="105"/>
          <w:sz w:val="24"/>
        </w:rPr>
        <w:t>organization</w:t>
      </w:r>
      <w:r w:rsidRPr="00C241C0">
        <w:rPr>
          <w:rFonts w:ascii="Times New Roman" w:hAnsi="Times New Roman" w:cs="Times New Roman"/>
          <w:spacing w:val="-8"/>
          <w:w w:val="105"/>
          <w:sz w:val="24"/>
        </w:rPr>
        <w:t xml:space="preserve"> </w:t>
      </w:r>
      <w:r w:rsidRPr="00C241C0">
        <w:rPr>
          <w:rFonts w:ascii="Times New Roman" w:hAnsi="Times New Roman" w:cs="Times New Roman"/>
          <w:w w:val="105"/>
          <w:sz w:val="24"/>
        </w:rPr>
        <w:t>in</w:t>
      </w:r>
      <w:r w:rsidRPr="00C241C0">
        <w:rPr>
          <w:rFonts w:ascii="Times New Roman" w:hAnsi="Times New Roman" w:cs="Times New Roman"/>
          <w:spacing w:val="-7"/>
          <w:w w:val="105"/>
          <w:sz w:val="24"/>
        </w:rPr>
        <w:t xml:space="preserve"> </w:t>
      </w:r>
      <w:r w:rsidRPr="00C241C0">
        <w:rPr>
          <w:rFonts w:ascii="Times New Roman" w:hAnsi="Times New Roman" w:cs="Times New Roman"/>
          <w:w w:val="105"/>
          <w:sz w:val="24"/>
        </w:rPr>
        <w:t>infected</w:t>
      </w:r>
      <w:r w:rsidRPr="00C241C0">
        <w:rPr>
          <w:rFonts w:ascii="Times New Roman" w:hAnsi="Times New Roman" w:cs="Times New Roman"/>
          <w:spacing w:val="-9"/>
          <w:w w:val="105"/>
          <w:sz w:val="24"/>
        </w:rPr>
        <w:t xml:space="preserve"> </w:t>
      </w:r>
      <w:r w:rsidRPr="00C241C0">
        <w:rPr>
          <w:rFonts w:ascii="Times New Roman" w:hAnsi="Times New Roman" w:cs="Times New Roman"/>
          <w:w w:val="105"/>
          <w:sz w:val="24"/>
        </w:rPr>
        <w:t>root</w:t>
      </w:r>
      <w:r w:rsidRPr="00C241C0">
        <w:rPr>
          <w:rFonts w:ascii="Times New Roman" w:hAnsi="Times New Roman" w:cs="Times New Roman"/>
          <w:spacing w:val="-10"/>
          <w:w w:val="105"/>
          <w:sz w:val="24"/>
        </w:rPr>
        <w:t xml:space="preserve"> </w:t>
      </w:r>
      <w:r w:rsidRPr="00C241C0">
        <w:rPr>
          <w:rFonts w:ascii="Times New Roman" w:hAnsi="Times New Roman" w:cs="Times New Roman"/>
          <w:w w:val="105"/>
          <w:sz w:val="24"/>
        </w:rPr>
        <w:t>canals.</w:t>
      </w:r>
      <w:r w:rsidRPr="00C241C0">
        <w:rPr>
          <w:rFonts w:ascii="Times New Roman" w:hAnsi="Times New Roman" w:cs="Times New Roman"/>
          <w:spacing w:val="-9"/>
          <w:w w:val="105"/>
          <w:sz w:val="24"/>
        </w:rPr>
        <w:t xml:space="preserve"> </w:t>
      </w:r>
      <w:r w:rsidRPr="00C241C0">
        <w:rPr>
          <w:rFonts w:ascii="Times New Roman" w:hAnsi="Times New Roman" w:cs="Times New Roman"/>
          <w:w w:val="105"/>
          <w:sz w:val="24"/>
        </w:rPr>
        <w:t>In</w:t>
      </w:r>
      <w:r w:rsidR="004114FD" w:rsidRPr="00C241C0">
        <w:rPr>
          <w:rFonts w:ascii="Times New Roman" w:hAnsi="Times New Roman" w:cs="Times New Roman"/>
          <w:spacing w:val="-58"/>
          <w:w w:val="105"/>
          <w:sz w:val="24"/>
        </w:rPr>
        <w:t xml:space="preserve"> </w:t>
      </w:r>
      <w:r w:rsidRPr="00C241C0">
        <w:rPr>
          <w:rFonts w:ascii="Times New Roman" w:hAnsi="Times New Roman" w:cs="Times New Roman"/>
          <w:w w:val="105"/>
          <w:sz w:val="24"/>
        </w:rPr>
        <w:t xml:space="preserve">these structures, different bacterial species are </w:t>
      </w:r>
      <w:r w:rsidR="004754F6" w:rsidRPr="00C241C0">
        <w:rPr>
          <w:rFonts w:ascii="Times New Roman" w:hAnsi="Times New Roman" w:cs="Times New Roman"/>
          <w:w w:val="105"/>
          <w:sz w:val="24"/>
        </w:rPr>
        <w:t>near</w:t>
      </w:r>
      <w:r w:rsidRPr="00C241C0">
        <w:rPr>
          <w:rFonts w:ascii="Times New Roman" w:hAnsi="Times New Roman" w:cs="Times New Roman"/>
          <w:w w:val="105"/>
          <w:sz w:val="24"/>
        </w:rPr>
        <w:t xml:space="preserve"> one</w:t>
      </w:r>
      <w:r w:rsidRPr="00C241C0">
        <w:rPr>
          <w:rFonts w:ascii="Times New Roman" w:hAnsi="Times New Roman" w:cs="Times New Roman"/>
          <w:spacing w:val="1"/>
          <w:w w:val="105"/>
          <w:sz w:val="24"/>
        </w:rPr>
        <w:t xml:space="preserve"> </w:t>
      </w:r>
      <w:r w:rsidRPr="00C241C0">
        <w:rPr>
          <w:rFonts w:ascii="Times New Roman" w:hAnsi="Times New Roman" w:cs="Times New Roman"/>
          <w:sz w:val="24"/>
        </w:rPr>
        <w:t xml:space="preserve">another and interact with other species. </w:t>
      </w:r>
      <w:r w:rsidR="000F1D71" w:rsidRPr="00C241C0">
        <w:rPr>
          <w:rFonts w:ascii="Times New Roman" w:hAnsi="Times New Roman" w:cs="Times New Roman"/>
          <w:w w:val="105"/>
          <w:sz w:val="24"/>
        </w:rPr>
        <w:t>A groundbreaking study conducted by Ricucci and Siqueira in 2010 revealed the previously undisclosed prevalence of biofilms and their connection to various manifestations of apical periodontitis. Traditionally, the exploration of the endodontic microbiota relied on the microbiologic culture method. Unfortunately, not all microorganisms can be successfully grown in artificial laboratory conditions due to our limited understanding of their nutritional and physiological requirements.</w:t>
      </w:r>
      <w:r w:rsidR="008D0CDD" w:rsidRPr="00C241C0">
        <w:rPr>
          <w:rFonts w:ascii="Times New Roman" w:hAnsi="Times New Roman" w:cs="Times New Roman"/>
          <w:w w:val="105"/>
          <w:sz w:val="24"/>
        </w:rPr>
        <w:t xml:space="preserve"> </w:t>
      </w:r>
      <w:r w:rsidR="008D0CDD" w:rsidRPr="00C241C0">
        <w:rPr>
          <w:rFonts w:ascii="Times New Roman" w:hAnsi="Times New Roman" w:cs="Times New Roman"/>
          <w:w w:val="105"/>
          <w:sz w:val="24"/>
        </w:rPr>
        <w:fldChar w:fldCharType="begin"/>
      </w:r>
      <w:r w:rsidR="008D0CDD" w:rsidRPr="00C241C0">
        <w:rPr>
          <w:rFonts w:ascii="Times New Roman" w:hAnsi="Times New Roman" w:cs="Times New Roman"/>
          <w:w w:val="105"/>
          <w:sz w:val="24"/>
        </w:rPr>
        <w:instrText xml:space="preserve"> ADDIN ZOTERO_ITEM CSL_CITATION {"citationID":"l17YRPuu","properties":{"formattedCitation":"(1)","plainCitation":"(1)","noteIndex":0},"citationItems":[{"id":38,"uris":["http://zotero.org/users/local/RZx4qjtE/items/ZHBYES5A"],"itemData":{"id":38,"type":"article-journal","container-title":"Journal of Endodontics","DOI":"10.1016/j.joen.2008.12.014","ISSN":"00992399","issue":"4","journalAbbreviation":"Journal of Endodontics","language":"en","page":"493-502","source":"DOI.org (Crossref)","title":"Histologic Investigation of Root Canal–treated Teeth with Apical Periodontitis: A Retrospective Study from Twenty-four Patients","title-short":"Histologic Investigation of Root Canal–treated Teeth with Apical Periodontitis","volume":"35","author":[{"family":"Ricucci","given":"Domenico"},{"family":"Siqueira","given":"José F."},{"family":"Bate","given":"Anna L."},{"family":"Pitt Ford","given":"Thomas R."}],"issued":{"date-parts":[["2009",4]]}}}],"schema":"https://github.com/citation-style-language/schema/raw/master/csl-citation.json"} </w:instrText>
      </w:r>
      <w:r w:rsidR="008D0CDD" w:rsidRPr="00C241C0">
        <w:rPr>
          <w:rFonts w:ascii="Times New Roman" w:hAnsi="Times New Roman" w:cs="Times New Roman"/>
          <w:w w:val="105"/>
          <w:sz w:val="24"/>
        </w:rPr>
        <w:fldChar w:fldCharType="separate"/>
      </w:r>
      <w:r w:rsidR="008D0CDD" w:rsidRPr="00C241C0">
        <w:rPr>
          <w:rFonts w:ascii="Times New Roman" w:hAnsi="Times New Roman" w:cs="Times New Roman"/>
          <w:sz w:val="24"/>
        </w:rPr>
        <w:t>(1)</w:t>
      </w:r>
      <w:r w:rsidR="008D0CDD" w:rsidRPr="00C241C0">
        <w:rPr>
          <w:rFonts w:ascii="Times New Roman" w:hAnsi="Times New Roman" w:cs="Times New Roman"/>
          <w:w w:val="105"/>
          <w:sz w:val="24"/>
        </w:rPr>
        <w:fldChar w:fldCharType="end"/>
      </w:r>
    </w:p>
    <w:p w14:paraId="4A5C6700" w14:textId="2F735A59" w:rsidR="00D32849" w:rsidRPr="00C241C0" w:rsidRDefault="000F1D71" w:rsidP="004B2134">
      <w:pPr>
        <w:pStyle w:val="BodyText"/>
        <w:spacing w:before="75" w:line="360" w:lineRule="auto"/>
        <w:ind w:left="0" w:right="495"/>
        <w:jc w:val="left"/>
        <w:rPr>
          <w:rFonts w:ascii="Times New Roman" w:hAnsi="Times New Roman" w:cs="Times New Roman"/>
          <w:w w:val="105"/>
          <w:sz w:val="24"/>
        </w:rPr>
      </w:pPr>
      <w:r w:rsidRPr="00C241C0">
        <w:rPr>
          <w:rFonts w:ascii="Times New Roman" w:hAnsi="Times New Roman" w:cs="Times New Roman"/>
          <w:w w:val="105"/>
          <w:sz w:val="24"/>
        </w:rPr>
        <w:t>To overcome the limitations associated with cultivation, molecular biology-based tools and techniques have emerged, significantly enhancing our ability to provide a more accurate representation of the microbial world without the need for growing microorganisms in culture. Pyrosequencing technology and fingerprinting methods like denaturing gradient gel electrophoresis (DGGE) and terminal restriction fragment length polymorphism (T-RFLP) enable the analysis of bacterial community structures. Fluorescence in situ hybridization (FISH) is capable of quantifying specific species and providing insights into their spatial distribution within tissues. Additionally, variations in PCR technology can be employed for microbial strain typing.</w:t>
      </w:r>
      <w:r w:rsidR="00DF584A" w:rsidRPr="00C241C0">
        <w:rPr>
          <w:rFonts w:ascii="Times New Roman" w:hAnsi="Times New Roman" w:cs="Times New Roman"/>
          <w:w w:val="105"/>
          <w:sz w:val="24"/>
        </w:rPr>
        <w:t xml:space="preserve"> </w:t>
      </w:r>
      <w:r w:rsidR="008D0CDD" w:rsidRPr="00C241C0">
        <w:rPr>
          <w:rFonts w:ascii="Times New Roman" w:hAnsi="Times New Roman" w:cs="Times New Roman"/>
          <w:w w:val="105"/>
          <w:sz w:val="24"/>
        </w:rPr>
        <w:fldChar w:fldCharType="begin"/>
      </w:r>
      <w:r w:rsidR="008D0CDD" w:rsidRPr="00C241C0">
        <w:rPr>
          <w:rFonts w:ascii="Times New Roman" w:hAnsi="Times New Roman" w:cs="Times New Roman"/>
          <w:w w:val="105"/>
          <w:sz w:val="24"/>
        </w:rPr>
        <w:instrText xml:space="preserve"> ADDIN ZOTERO_ITEM CSL_CITATION {"citationID":"jH1eTbSM","properties":{"formattedCitation":"(2)","plainCitation":"(2)","noteIndex":0},"citationItems":[{"id":39,"uris":["http://zotero.org/users/local/RZx4qjtE/items/MFETSEXY"],"itemData":{"id":39,"type":"article-journal","abstract":"Endodontic infections have been traditionally studied by culture-dependent methods. However, as with other areas of clinical microbiology, culture-based investigations are plagued by significant problems, including the probable involvement of viable but uncultivable microorganisms with disease causation and inaccurate microbial identification. Innumerous molecular technologies have been used for microbiological diagnosis in clinical microbiology, but only recently some of these techniques have been applied in endodontic microbiology research. This paper intended to review the main molecular methods that have been used or have the potential to be used in the study of endodontic infections. Moreover, advantages and limitations of current molecular techniques when compared to conventional methods for microbial identification are also discussed.","container-title":"Journal of Endodontics","DOI":"10.1097/01.don.0000157989.44949.26","ISSN":"00992399","issue":"6","journalAbbreviation":"Journal of Endodontics","language":"en","page":"411-423","source":"DOI.org (Crossref)","title":"Exploiting Molecular Methods to Explore Endodontic Infections: Part 1—Current Molecular Technologies for Microbiological Diagnosis","title-short":"Exploiting Molecular Methods to Explore Endodontic Infections","volume":"31","author":[{"family":"Siqueirajr","given":"J"},{"family":"Rocas","given":"I"}],"issued":{"date-parts":[["2005",6]]}}}],"schema":"https://github.com/citation-style-language/schema/raw/master/csl-citation.json"} </w:instrText>
      </w:r>
      <w:r w:rsidR="008D0CDD" w:rsidRPr="00C241C0">
        <w:rPr>
          <w:rFonts w:ascii="Times New Roman" w:hAnsi="Times New Roman" w:cs="Times New Roman"/>
          <w:w w:val="105"/>
          <w:sz w:val="24"/>
        </w:rPr>
        <w:fldChar w:fldCharType="separate"/>
      </w:r>
      <w:r w:rsidR="008D0CDD" w:rsidRPr="00C241C0">
        <w:rPr>
          <w:rFonts w:ascii="Times New Roman" w:hAnsi="Times New Roman" w:cs="Times New Roman"/>
          <w:sz w:val="24"/>
        </w:rPr>
        <w:t>(2)</w:t>
      </w:r>
      <w:r w:rsidR="008D0CDD" w:rsidRPr="00C241C0">
        <w:rPr>
          <w:rFonts w:ascii="Times New Roman" w:hAnsi="Times New Roman" w:cs="Times New Roman"/>
          <w:w w:val="105"/>
          <w:sz w:val="24"/>
        </w:rPr>
        <w:fldChar w:fldCharType="end"/>
      </w:r>
    </w:p>
    <w:p w14:paraId="0DE1493E" w14:textId="77777777" w:rsidR="00DF584A" w:rsidRPr="00C241C0" w:rsidRDefault="00DF584A" w:rsidP="004B2134">
      <w:pPr>
        <w:pStyle w:val="BodyText"/>
        <w:spacing w:before="75" w:line="360" w:lineRule="auto"/>
        <w:ind w:right="495"/>
        <w:jc w:val="left"/>
        <w:rPr>
          <w:rFonts w:ascii="Times New Roman" w:hAnsi="Times New Roman" w:cs="Times New Roman"/>
          <w:w w:val="105"/>
          <w:sz w:val="24"/>
        </w:rPr>
      </w:pPr>
    </w:p>
    <w:p w14:paraId="55E83F71" w14:textId="77777777" w:rsidR="001B3ED2" w:rsidRPr="00C241C0" w:rsidRDefault="00D32849" w:rsidP="004B2134">
      <w:pPr>
        <w:pStyle w:val="Heading1"/>
        <w:tabs>
          <w:tab w:val="left" w:pos="464"/>
        </w:tabs>
        <w:spacing w:before="132" w:line="360" w:lineRule="auto"/>
        <w:ind w:left="0" w:firstLine="0"/>
        <w:rPr>
          <w:rFonts w:ascii="Times New Roman" w:eastAsia="Cambria" w:hAnsi="Times New Roman" w:cs="Times New Roman"/>
          <w:bCs w:val="0"/>
          <w:w w:val="105"/>
          <w:sz w:val="28"/>
        </w:rPr>
      </w:pPr>
      <w:r w:rsidRPr="00C241C0">
        <w:rPr>
          <w:rFonts w:ascii="Times New Roman" w:eastAsia="Cambria" w:hAnsi="Times New Roman" w:cs="Times New Roman"/>
          <w:bCs w:val="0"/>
          <w:w w:val="105"/>
          <w:sz w:val="28"/>
        </w:rPr>
        <w:t>METHODS FOR BACTERIAL IDENTIFICATION</w:t>
      </w:r>
    </w:p>
    <w:p w14:paraId="49D6C717" w14:textId="77777777" w:rsidR="001B3ED2" w:rsidRPr="00C241C0" w:rsidRDefault="001B3ED2" w:rsidP="004B2134">
      <w:pPr>
        <w:pStyle w:val="BodyText"/>
        <w:spacing w:line="360" w:lineRule="auto"/>
        <w:ind w:left="0"/>
        <w:jc w:val="left"/>
        <w:rPr>
          <w:rFonts w:ascii="Times New Roman" w:hAnsi="Times New Roman" w:cs="Times New Roman"/>
          <w:w w:val="105"/>
          <w:sz w:val="24"/>
        </w:rPr>
      </w:pPr>
    </w:p>
    <w:p w14:paraId="5D3CFD33" w14:textId="1F7E6C00" w:rsidR="00D32849" w:rsidRPr="00C241C0" w:rsidRDefault="000F1D71" w:rsidP="004B2134">
      <w:pPr>
        <w:pStyle w:val="BodyText"/>
        <w:spacing w:line="360" w:lineRule="auto"/>
        <w:ind w:left="0" w:right="496"/>
        <w:jc w:val="left"/>
        <w:rPr>
          <w:rFonts w:ascii="Times New Roman" w:hAnsi="Times New Roman" w:cs="Times New Roman"/>
          <w:w w:val="105"/>
          <w:sz w:val="24"/>
        </w:rPr>
      </w:pPr>
      <w:r w:rsidRPr="00C241C0">
        <w:rPr>
          <w:rFonts w:ascii="Times New Roman" w:hAnsi="Times New Roman" w:cs="Times New Roman"/>
          <w:w w:val="105"/>
          <w:sz w:val="24"/>
        </w:rPr>
        <w:t xml:space="preserve">Over the years, advancements in microscopy, including transmission electron microscopy and scanning electron microscopy, along with innovative techniques in molecular biology, have been developed </w:t>
      </w:r>
      <w:r w:rsidR="00EE545C" w:rsidRPr="00C241C0">
        <w:rPr>
          <w:rFonts w:ascii="Times New Roman" w:hAnsi="Times New Roman" w:cs="Times New Roman"/>
          <w:w w:val="105"/>
          <w:sz w:val="24"/>
        </w:rPr>
        <w:t>to provide</w:t>
      </w:r>
      <w:r w:rsidRPr="00C241C0">
        <w:rPr>
          <w:rFonts w:ascii="Times New Roman" w:hAnsi="Times New Roman" w:cs="Times New Roman"/>
          <w:w w:val="105"/>
          <w:sz w:val="24"/>
        </w:rPr>
        <w:t xml:space="preserve"> a comprehensive insight into the microbial composition of the root canal flora. These emerging methods have the potential to enhance or potentially reshape our future understanding of the natural history and intricate nature of the root canal flora, as discussed in the work of Woo et al. in 2008.</w:t>
      </w:r>
      <w:r w:rsidR="003B181C" w:rsidRPr="00C241C0">
        <w:rPr>
          <w:rFonts w:ascii="Times New Roman" w:hAnsi="Times New Roman" w:cs="Times New Roman"/>
          <w:w w:val="105"/>
          <w:sz w:val="24"/>
        </w:rPr>
        <w:t xml:space="preserve"> </w:t>
      </w:r>
      <w:r w:rsidR="008D0CDD" w:rsidRPr="00C241C0">
        <w:rPr>
          <w:rFonts w:ascii="Times New Roman" w:hAnsi="Times New Roman" w:cs="Times New Roman"/>
          <w:w w:val="105"/>
          <w:sz w:val="24"/>
        </w:rPr>
        <w:fldChar w:fldCharType="begin"/>
      </w:r>
      <w:r w:rsidR="008D0CDD" w:rsidRPr="00C241C0">
        <w:rPr>
          <w:rFonts w:ascii="Times New Roman" w:hAnsi="Times New Roman" w:cs="Times New Roman"/>
          <w:w w:val="105"/>
          <w:sz w:val="24"/>
        </w:rPr>
        <w:instrText xml:space="preserve"> ADDIN ZOTERO_ITEM CSL_CITATION {"citationID":"ltnyDJOm","properties":{"formattedCitation":"(3)","plainCitation":"(3)","noteIndex":0},"citationItems":[{"id":43,"uris":["http://zotero.org/users/local/RZx4qjtE/items/Z4XXLP22"],"itemData":{"id":43,"type":"article-journal","abstract":"In the last decade, as a result of the widespread use of PCR and DNA sequencing, 16S rDNA sequencing has played a pivotal role in the accurate identiﬁcation of bacterial isolates and the discovery of novel bacteria in clinical microbiology laboratories. For bacterial identiﬁcation, 16S rDNA sequencing is particularly important in the case of bacteria with unusual phenotypic proﬁles, rare bacteria, slowgrowing bacteria, uncultivable bacteria and culture-negative infections. Not only has it provided insights into aetiologies of infectious disease, but it also helps clinicians in choosing antibiotics and in determining the duration of treatment and infection control procedures. With the use of 16S rDNA sequencing, 215 novel bacterial species, 29 of which belong to novel genera, have been discovered from human specimens in the past 7 years of the 21st century (2001–2007). One hundred of the 215 novel species, 15 belonging to novel genera, have been found in four or more subjects. The largest number of novel species discovered were of the genera Mycobacterium (n = 12) and Nocardia (n = 6). The oral cavity ⁄ dental-related specimens (n = 19) and the gastrointestinal tract (n = 26) were the most important sites for discovery and ⁄ or reservoirs of novel species. Among the 100 novel species, Streptococcus sinensis, Laribacter hongkongensis, Clostridium hathewayi and Borrelia spielmanii have been most thoroughly characterized, with the reservoirs and routes of transmission documented, and S. sinensis, L. hongkongensis and C. hathewayi have been found globally. One of the greatest hurdles in putting 16S rDNA sequencing into routine use in clinical microbiology laboratories is automation of the technology. The only step that can be automated at the moment is input of the 16S rDNA sequence of the bacterial isolate for identiﬁcation into one of the software packages that will generate the result of the identity of the isolate on the basis of its sequence database. However, studies on the accuracy of the software packages have given highly varied results, and interpretation of results remains difﬁcult for most technicians, and even for clinical microbiologists. To fully utilize 16S rDNA sequencing in clinical microbiology, better guidelines are needed for interpretation of the identiﬁcation results, and additional ⁄ supplementary methods are necessary for bacterial species that cannot be identiﬁed conﬁdently by 16S rDNA sequencing alone.","container-title":"Clinical Microbiology and Infection","DOI":"10.1111/j.1469-0691.2008.02070.x","ISSN":"1198743X","issue":"10","journalAbbreviation":"Clinical Microbiology and Infection","language":"en","page":"908-934","source":"DOI.org (Crossref)","title":"Then and now: use of 16S rDNA gene sequencing for bacterial identification and discovery of novel bacteria in clinical microbiology laboratories","title-short":"Then and now","volume":"14","author":[{"family":"Woo","given":"P.C.Y."},{"family":"Lau","given":"S.K.P."},{"family":"Teng","given":"J.L.L."},{"family":"Tse","given":"H"},{"family":"Yuen","given":"K.-Y."}],"issued":{"date-parts":[["2008",10]]}}}],"schema":"https://github.com/citation-style-language/schema/raw/master/csl-citation.json"} </w:instrText>
      </w:r>
      <w:r w:rsidR="008D0CDD" w:rsidRPr="00C241C0">
        <w:rPr>
          <w:rFonts w:ascii="Times New Roman" w:hAnsi="Times New Roman" w:cs="Times New Roman"/>
          <w:w w:val="105"/>
          <w:sz w:val="24"/>
        </w:rPr>
        <w:fldChar w:fldCharType="separate"/>
      </w:r>
      <w:r w:rsidR="008D0CDD" w:rsidRPr="00C241C0">
        <w:rPr>
          <w:rFonts w:ascii="Times New Roman" w:hAnsi="Times New Roman" w:cs="Times New Roman"/>
          <w:sz w:val="24"/>
        </w:rPr>
        <w:t>(3)</w:t>
      </w:r>
      <w:r w:rsidR="008D0CDD" w:rsidRPr="00C241C0">
        <w:rPr>
          <w:rFonts w:ascii="Times New Roman" w:hAnsi="Times New Roman" w:cs="Times New Roman"/>
          <w:w w:val="105"/>
          <w:sz w:val="24"/>
        </w:rPr>
        <w:fldChar w:fldCharType="end"/>
      </w:r>
    </w:p>
    <w:p w14:paraId="6BF92793" w14:textId="77777777" w:rsidR="00DF584A" w:rsidRPr="00C241C0" w:rsidRDefault="00DF584A" w:rsidP="004B2134">
      <w:pPr>
        <w:pStyle w:val="BodyText"/>
        <w:spacing w:line="360" w:lineRule="auto"/>
        <w:ind w:left="0" w:right="496"/>
        <w:jc w:val="left"/>
        <w:rPr>
          <w:rFonts w:ascii="Times New Roman" w:hAnsi="Times New Roman" w:cs="Times New Roman"/>
          <w:w w:val="105"/>
          <w:sz w:val="24"/>
        </w:rPr>
      </w:pPr>
    </w:p>
    <w:p w14:paraId="6EA3FD2C" w14:textId="77777777" w:rsidR="003C3057" w:rsidRPr="00C241C0" w:rsidRDefault="003C3057" w:rsidP="004B2134">
      <w:pPr>
        <w:pStyle w:val="BodyText"/>
        <w:spacing w:line="360" w:lineRule="auto"/>
        <w:ind w:left="0" w:right="496"/>
        <w:jc w:val="left"/>
        <w:rPr>
          <w:rFonts w:ascii="Times New Roman" w:hAnsi="Times New Roman" w:cs="Times New Roman"/>
          <w:w w:val="105"/>
          <w:sz w:val="24"/>
        </w:rPr>
      </w:pPr>
    </w:p>
    <w:p w14:paraId="1DC11E19" w14:textId="77777777" w:rsidR="003C3057" w:rsidRPr="00C241C0" w:rsidRDefault="003C3057" w:rsidP="004B2134">
      <w:pPr>
        <w:pStyle w:val="BodyText"/>
        <w:spacing w:line="360" w:lineRule="auto"/>
        <w:ind w:left="0" w:right="496"/>
        <w:jc w:val="left"/>
        <w:rPr>
          <w:rFonts w:ascii="Times New Roman" w:hAnsi="Times New Roman" w:cs="Times New Roman"/>
          <w:w w:val="105"/>
          <w:sz w:val="24"/>
        </w:rPr>
      </w:pPr>
    </w:p>
    <w:p w14:paraId="78CE5305" w14:textId="77777777" w:rsidR="00DF584A" w:rsidRPr="00C241C0" w:rsidRDefault="00DF584A" w:rsidP="004B2134">
      <w:pPr>
        <w:pStyle w:val="BodyText"/>
        <w:spacing w:line="360" w:lineRule="auto"/>
        <w:ind w:left="0" w:right="496"/>
        <w:jc w:val="left"/>
        <w:rPr>
          <w:rFonts w:ascii="Times New Roman" w:hAnsi="Times New Roman" w:cs="Times New Roman"/>
          <w:w w:val="105"/>
          <w:sz w:val="24"/>
        </w:rPr>
      </w:pPr>
    </w:p>
    <w:p w14:paraId="4AEE583F" w14:textId="77777777" w:rsidR="00C241C0" w:rsidRDefault="00C241C0" w:rsidP="004B2134">
      <w:pPr>
        <w:pStyle w:val="BodyText"/>
        <w:spacing w:before="1" w:line="360" w:lineRule="auto"/>
        <w:ind w:left="0"/>
        <w:jc w:val="left"/>
        <w:rPr>
          <w:rFonts w:ascii="Times New Roman" w:eastAsia="Palatino Linotype" w:hAnsi="Times New Roman" w:cs="Times New Roman"/>
          <w:b/>
          <w:bCs/>
          <w:sz w:val="28"/>
        </w:rPr>
      </w:pPr>
    </w:p>
    <w:p w14:paraId="4D429611" w14:textId="76AA7191" w:rsidR="00C241C0" w:rsidRDefault="000F1D71" w:rsidP="004B2134">
      <w:pPr>
        <w:pStyle w:val="BodyText"/>
        <w:spacing w:before="1" w:line="360" w:lineRule="auto"/>
        <w:ind w:left="0"/>
        <w:jc w:val="left"/>
        <w:rPr>
          <w:rFonts w:ascii="Times New Roman" w:eastAsia="Palatino Linotype" w:hAnsi="Times New Roman" w:cs="Times New Roman"/>
          <w:b/>
          <w:bCs/>
          <w:sz w:val="28"/>
        </w:rPr>
      </w:pPr>
      <w:r w:rsidRPr="00C241C0">
        <w:rPr>
          <w:rFonts w:ascii="Times New Roman" w:eastAsia="Palatino Linotype" w:hAnsi="Times New Roman" w:cs="Times New Roman"/>
          <w:b/>
          <w:bCs/>
          <w:sz w:val="28"/>
        </w:rPr>
        <w:lastRenderedPageBreak/>
        <w:t xml:space="preserve">EVOLUTION OF ENDODONTIC MICROBIOLOGY RESEARCH </w:t>
      </w:r>
    </w:p>
    <w:p w14:paraId="7C960934" w14:textId="77777777" w:rsidR="00C241C0" w:rsidRDefault="00C241C0" w:rsidP="004B2134">
      <w:pPr>
        <w:pStyle w:val="BodyText"/>
        <w:spacing w:before="1" w:line="360" w:lineRule="auto"/>
        <w:ind w:left="0"/>
        <w:jc w:val="left"/>
        <w:rPr>
          <w:rFonts w:ascii="Times New Roman" w:eastAsia="Palatino Linotype" w:hAnsi="Times New Roman" w:cs="Times New Roman"/>
          <w:b/>
          <w:bCs/>
          <w:sz w:val="28"/>
        </w:rPr>
      </w:pPr>
    </w:p>
    <w:p w14:paraId="468B488E" w14:textId="116F7988" w:rsidR="000F1D71" w:rsidRPr="00C241C0" w:rsidRDefault="000F1D71" w:rsidP="004B2134">
      <w:pPr>
        <w:pStyle w:val="BodyText"/>
        <w:spacing w:before="1" w:line="360" w:lineRule="auto"/>
        <w:ind w:left="0"/>
        <w:jc w:val="left"/>
        <w:rPr>
          <w:rFonts w:ascii="Times New Roman" w:hAnsi="Times New Roman" w:cs="Times New Roman"/>
          <w:w w:val="105"/>
          <w:sz w:val="24"/>
        </w:rPr>
      </w:pPr>
      <w:r w:rsidRPr="00C241C0">
        <w:rPr>
          <w:rFonts w:ascii="Times New Roman" w:eastAsia="Palatino Linotype" w:hAnsi="Times New Roman" w:cs="Times New Roman"/>
          <w:b/>
          <w:bCs/>
          <w:sz w:val="28"/>
        </w:rPr>
        <w:t>ACROSS FIVE GENERATIONS.</w:t>
      </w:r>
    </w:p>
    <w:p w14:paraId="40E19592" w14:textId="5E0C5429" w:rsidR="00ED0B4C" w:rsidRDefault="00ED0B4C" w:rsidP="00ED0B4C">
      <w:pPr>
        <w:pStyle w:val="BodyText"/>
        <w:numPr>
          <w:ilvl w:val="0"/>
          <w:numId w:val="29"/>
        </w:numPr>
        <w:spacing w:before="1" w:line="360" w:lineRule="auto"/>
        <w:rPr>
          <w:rFonts w:ascii="Times New Roman" w:hAnsi="Times New Roman" w:cs="Times New Roman"/>
          <w:w w:val="105"/>
          <w:sz w:val="24"/>
        </w:rPr>
      </w:pPr>
      <w:r w:rsidRPr="00ED0B4C">
        <w:rPr>
          <w:rFonts w:ascii="Times New Roman" w:hAnsi="Times New Roman" w:cs="Times New Roman"/>
          <w:w w:val="105"/>
          <w:sz w:val="24"/>
        </w:rPr>
        <w:t xml:space="preserve">Initial research on apical periodontitis concentrated on culture-dependent methods, providing a wealth of knowledge and identifying an array of cultivable species. </w:t>
      </w:r>
    </w:p>
    <w:p w14:paraId="32FE7695" w14:textId="77777777" w:rsidR="00ED0B4C" w:rsidRPr="00ED0B4C" w:rsidRDefault="00ED0B4C" w:rsidP="00ED0B4C">
      <w:pPr>
        <w:pStyle w:val="BodyText"/>
        <w:spacing w:before="1" w:line="360" w:lineRule="auto"/>
        <w:ind w:left="570"/>
        <w:rPr>
          <w:rFonts w:ascii="Times New Roman" w:hAnsi="Times New Roman" w:cs="Times New Roman"/>
          <w:w w:val="105"/>
          <w:sz w:val="24"/>
        </w:rPr>
      </w:pPr>
    </w:p>
    <w:p w14:paraId="2933C973" w14:textId="367019D8" w:rsidR="00ED0B4C" w:rsidRDefault="00ED0B4C" w:rsidP="00ED0B4C">
      <w:pPr>
        <w:pStyle w:val="BodyText"/>
        <w:numPr>
          <w:ilvl w:val="0"/>
          <w:numId w:val="29"/>
        </w:numPr>
        <w:spacing w:before="1" w:line="360" w:lineRule="auto"/>
        <w:rPr>
          <w:rFonts w:ascii="Times New Roman" w:hAnsi="Times New Roman" w:cs="Times New Roman"/>
          <w:w w:val="105"/>
          <w:sz w:val="24"/>
        </w:rPr>
      </w:pPr>
      <w:r w:rsidRPr="00ED0B4C">
        <w:rPr>
          <w:rFonts w:ascii="Times New Roman" w:hAnsi="Times New Roman" w:cs="Times New Roman"/>
          <w:w w:val="105"/>
          <w:sz w:val="24"/>
        </w:rPr>
        <w:t xml:space="preserve">The primary checkerboard assay and succeeding molecular methods were introduced in second-generation studies. The evidence from the first generation was confirmed and strengthened by these closed-ended, species-specific approaches, which also allowed for the inclusion of several hard-to-culture species among possible endodontic pathogens. </w:t>
      </w:r>
    </w:p>
    <w:p w14:paraId="7A5D75B4" w14:textId="77777777" w:rsidR="00ED0B4C" w:rsidRDefault="00ED0B4C" w:rsidP="00ED0B4C">
      <w:pPr>
        <w:pStyle w:val="ListParagraph"/>
        <w:rPr>
          <w:rFonts w:ascii="Times New Roman" w:hAnsi="Times New Roman" w:cs="Times New Roman"/>
          <w:w w:val="105"/>
          <w:sz w:val="24"/>
        </w:rPr>
      </w:pPr>
    </w:p>
    <w:p w14:paraId="1DC71AD7" w14:textId="77777777" w:rsidR="00ED0B4C" w:rsidRPr="00ED0B4C" w:rsidRDefault="00ED0B4C" w:rsidP="00ED0B4C">
      <w:pPr>
        <w:pStyle w:val="BodyText"/>
        <w:spacing w:before="1" w:line="360" w:lineRule="auto"/>
        <w:ind w:left="570"/>
        <w:rPr>
          <w:rFonts w:ascii="Times New Roman" w:hAnsi="Times New Roman" w:cs="Times New Roman"/>
          <w:w w:val="105"/>
          <w:sz w:val="24"/>
        </w:rPr>
      </w:pPr>
    </w:p>
    <w:p w14:paraId="42C3F839" w14:textId="059C3662" w:rsidR="00ED0B4C" w:rsidRPr="00ED0B4C" w:rsidRDefault="00ED0B4C" w:rsidP="00ED0B4C">
      <w:pPr>
        <w:pStyle w:val="BodyText"/>
        <w:numPr>
          <w:ilvl w:val="0"/>
          <w:numId w:val="29"/>
        </w:numPr>
        <w:spacing w:before="1" w:line="360" w:lineRule="auto"/>
        <w:rPr>
          <w:rFonts w:ascii="Times New Roman" w:hAnsi="Times New Roman" w:cs="Times New Roman"/>
          <w:w w:val="105"/>
          <w:sz w:val="24"/>
        </w:rPr>
      </w:pPr>
      <w:r w:rsidRPr="00ED0B4C">
        <w:rPr>
          <w:rFonts w:ascii="Times New Roman" w:hAnsi="Times New Roman" w:cs="Times New Roman"/>
          <w:w w:val="105"/>
          <w:sz w:val="24"/>
        </w:rPr>
        <w:t xml:space="preserve">Third-generation study used open-ended, able to examine a wider spectrum of bacterial variety inside endodontic infections molecular tools such as PCR-cloning-sequencing and T-RFLP. This approach revealed previously unknown and uncharacterized bacteria in addition to cultivable species. </w:t>
      </w:r>
    </w:p>
    <w:p w14:paraId="73168C6E" w14:textId="77777777" w:rsidR="00ED0B4C" w:rsidRPr="00ED0B4C" w:rsidRDefault="00ED0B4C" w:rsidP="00ED0B4C">
      <w:pPr>
        <w:pStyle w:val="BodyText"/>
        <w:spacing w:before="1" w:line="360" w:lineRule="auto"/>
        <w:rPr>
          <w:rFonts w:ascii="Times New Roman" w:hAnsi="Times New Roman" w:cs="Times New Roman"/>
          <w:w w:val="105"/>
          <w:sz w:val="24"/>
        </w:rPr>
      </w:pPr>
    </w:p>
    <w:p w14:paraId="1BFEF692" w14:textId="54DF08F2" w:rsidR="00A7204A" w:rsidRPr="00C241C0" w:rsidRDefault="00ED0B4C" w:rsidP="00ED0B4C">
      <w:pPr>
        <w:pStyle w:val="BodyText"/>
        <w:numPr>
          <w:ilvl w:val="0"/>
          <w:numId w:val="29"/>
        </w:numPr>
        <w:spacing w:line="360" w:lineRule="auto"/>
        <w:ind w:right="496"/>
        <w:jc w:val="left"/>
        <w:rPr>
          <w:rFonts w:ascii="Times New Roman" w:hAnsi="Times New Roman" w:cs="Times New Roman"/>
          <w:w w:val="105"/>
          <w:sz w:val="24"/>
        </w:rPr>
      </w:pPr>
      <w:r w:rsidRPr="00ED0B4C">
        <w:rPr>
          <w:rFonts w:ascii="Times New Roman" w:hAnsi="Times New Roman" w:cs="Times New Roman"/>
          <w:w w:val="105"/>
          <w:sz w:val="24"/>
        </w:rPr>
        <w:t>Species-specific molecular approaches, such as PCR, microarrays, and reverse-capture checkerboard assays, were employed in fourth-generation investigations.</w:t>
      </w:r>
      <w:r w:rsidR="00287440" w:rsidRPr="00C241C0">
        <w:rPr>
          <w:rFonts w:ascii="Times New Roman" w:hAnsi="Times New Roman" w:cs="Times New Roman"/>
          <w:w w:val="105"/>
          <w:sz w:val="24"/>
        </w:rPr>
        <w:fldChar w:fldCharType="begin"/>
      </w:r>
      <w:r w:rsidR="00287440" w:rsidRPr="00C241C0">
        <w:rPr>
          <w:rFonts w:ascii="Times New Roman" w:hAnsi="Times New Roman" w:cs="Times New Roman"/>
          <w:w w:val="105"/>
          <w:sz w:val="24"/>
        </w:rPr>
        <w:instrText xml:space="preserve"> ADDIN ZOTERO_ITEM CSL_CITATION {"citationID":"xMnlEJGK","properties":{"formattedCitation":"(4)","plainCitation":"(4)","noteIndex":0},"citationItems":[{"id":44,"uris":["http://zotero.org/users/local/RZx4qjtE/items/I593PIAW"],"itemData":{"id":44,"type":"webpage","title":"Solution of Pulp Tissue by Chemical Agents | Semantic Scholar","URL":"https://www.semanticscholar.org/paper/Solution-of-Pulp-Tissue-by-Chemical-Agents-Grossman-Meiman/512085e0e3931bc73369a84fa7a3eadc8314edb1","accessed":{"date-parts":[["2023",9,23]]}}}],"schema":"https://github.com/citation-style-language/schema/raw/master/csl-citation.json"} </w:instrText>
      </w:r>
      <w:r w:rsidR="00287440" w:rsidRPr="00C241C0">
        <w:rPr>
          <w:rFonts w:ascii="Times New Roman" w:hAnsi="Times New Roman" w:cs="Times New Roman"/>
          <w:w w:val="105"/>
          <w:sz w:val="24"/>
        </w:rPr>
        <w:fldChar w:fldCharType="separate"/>
      </w:r>
      <w:r w:rsidR="00287440" w:rsidRPr="00C241C0">
        <w:rPr>
          <w:rFonts w:ascii="Times New Roman" w:hAnsi="Times New Roman" w:cs="Times New Roman"/>
          <w:sz w:val="24"/>
        </w:rPr>
        <w:t>(4)</w:t>
      </w:r>
      <w:r w:rsidR="00287440" w:rsidRPr="00C241C0">
        <w:rPr>
          <w:rFonts w:ascii="Times New Roman" w:hAnsi="Times New Roman" w:cs="Times New Roman"/>
          <w:w w:val="105"/>
          <w:sz w:val="24"/>
        </w:rPr>
        <w:fldChar w:fldCharType="end"/>
      </w:r>
    </w:p>
    <w:p w14:paraId="08C9542D" w14:textId="77777777" w:rsidR="003C3057" w:rsidRPr="00C241C0" w:rsidRDefault="003C3057" w:rsidP="004B2134">
      <w:pPr>
        <w:pStyle w:val="BodyText"/>
        <w:spacing w:line="360" w:lineRule="auto"/>
        <w:ind w:left="360" w:right="496"/>
        <w:jc w:val="left"/>
        <w:rPr>
          <w:rFonts w:ascii="Times New Roman" w:hAnsi="Times New Roman" w:cs="Times New Roman"/>
          <w:w w:val="105"/>
          <w:sz w:val="24"/>
        </w:rPr>
      </w:pPr>
    </w:p>
    <w:p w14:paraId="07CA70A9" w14:textId="2C9C2A20" w:rsidR="001B3ED2" w:rsidRPr="00C241C0" w:rsidRDefault="00177AC8" w:rsidP="004B2134">
      <w:pPr>
        <w:pStyle w:val="Heading1"/>
        <w:tabs>
          <w:tab w:val="left" w:pos="464"/>
        </w:tabs>
        <w:spacing w:line="360" w:lineRule="auto"/>
        <w:ind w:left="0" w:firstLine="0"/>
        <w:rPr>
          <w:rFonts w:ascii="Times New Roman" w:hAnsi="Times New Roman" w:cs="Times New Roman"/>
          <w:sz w:val="28"/>
        </w:rPr>
      </w:pPr>
      <w:r w:rsidRPr="00C241C0">
        <w:rPr>
          <w:rFonts w:ascii="Times New Roman" w:hAnsi="Times New Roman" w:cs="Times New Roman"/>
          <w:sz w:val="28"/>
        </w:rPr>
        <w:t>CULTURE-BASED</w:t>
      </w:r>
      <w:r w:rsidR="00D32849" w:rsidRPr="00C241C0">
        <w:rPr>
          <w:rFonts w:ascii="Times New Roman" w:hAnsi="Times New Roman" w:cs="Times New Roman"/>
          <w:sz w:val="28"/>
        </w:rPr>
        <w:t xml:space="preserve"> ANALYSIS</w:t>
      </w:r>
    </w:p>
    <w:p w14:paraId="341E887E" w14:textId="77777777" w:rsidR="003C3057" w:rsidRPr="00C241C0" w:rsidRDefault="003C3057" w:rsidP="004B2134">
      <w:pPr>
        <w:pStyle w:val="BodyText"/>
        <w:spacing w:before="1" w:line="360" w:lineRule="auto"/>
        <w:ind w:right="504"/>
        <w:jc w:val="left"/>
        <w:rPr>
          <w:rFonts w:ascii="Times New Roman" w:hAnsi="Times New Roman" w:cs="Times New Roman"/>
          <w:w w:val="105"/>
          <w:sz w:val="24"/>
        </w:rPr>
      </w:pPr>
    </w:p>
    <w:p w14:paraId="2686DF88" w14:textId="28CEFD7A" w:rsidR="003C3057" w:rsidRPr="00C241C0" w:rsidRDefault="00ED0B4C" w:rsidP="004B2134">
      <w:pPr>
        <w:pStyle w:val="BodyText"/>
        <w:spacing w:before="1" w:line="360" w:lineRule="auto"/>
        <w:ind w:right="504"/>
        <w:jc w:val="left"/>
        <w:rPr>
          <w:rFonts w:ascii="Times New Roman" w:hAnsi="Times New Roman" w:cs="Times New Roman"/>
          <w:spacing w:val="1"/>
          <w:w w:val="105"/>
          <w:sz w:val="24"/>
        </w:rPr>
      </w:pPr>
      <w:r w:rsidRPr="00ED0B4C">
        <w:rPr>
          <w:rFonts w:ascii="Times New Roman" w:hAnsi="Times New Roman" w:cs="Times New Roman"/>
          <w:w w:val="105"/>
          <w:sz w:val="24"/>
        </w:rPr>
        <w:t>Providing microorganisms with the nutrients they require and optimum physicochemical conditions, including temperature, moisture, environment, salt concentration, and PH, is the process of culture</w:t>
      </w:r>
      <w:r w:rsidR="00C5494E" w:rsidRPr="00C241C0">
        <w:rPr>
          <w:rFonts w:ascii="Times New Roman" w:hAnsi="Times New Roman" w:cs="Times New Roman"/>
          <w:spacing w:val="-2"/>
          <w:w w:val="105"/>
          <w:sz w:val="24"/>
        </w:rPr>
        <w:t>.</w:t>
      </w:r>
      <w:r w:rsidR="003C3057" w:rsidRPr="00C241C0">
        <w:rPr>
          <w:rFonts w:ascii="Times New Roman" w:hAnsi="Times New Roman" w:cs="Times New Roman"/>
          <w:spacing w:val="-2"/>
          <w:w w:val="105"/>
          <w:sz w:val="24"/>
        </w:rPr>
        <w:t xml:space="preserve"> </w:t>
      </w:r>
      <w:r w:rsidR="00287440" w:rsidRPr="00C241C0">
        <w:rPr>
          <w:rFonts w:ascii="Times New Roman" w:hAnsi="Times New Roman" w:cs="Times New Roman"/>
          <w:spacing w:val="1"/>
          <w:w w:val="105"/>
          <w:sz w:val="24"/>
        </w:rPr>
        <w:fldChar w:fldCharType="begin"/>
      </w:r>
      <w:r w:rsidR="00287440" w:rsidRPr="00C241C0">
        <w:rPr>
          <w:rFonts w:ascii="Times New Roman" w:hAnsi="Times New Roman" w:cs="Times New Roman"/>
          <w:spacing w:val="1"/>
          <w:w w:val="105"/>
          <w:sz w:val="24"/>
        </w:rPr>
        <w:instrText xml:space="preserve"> ADDIN ZOTERO_ITEM CSL_CITATION {"citationID":"CDwkCPNd","properties":{"formattedCitation":"(5)","plainCitation":"(5)","noteIndex":0},"citationItems":[{"id":41,"uris":["http://zotero.org/users/local/RZx4qjtE/items/54VF2MBB"],"itemData":{"id":41,"type":"article-journal","container-title":"Oral Microbiology and Immunology","DOI":"10.1111/j.1399-302X.1986.tb00318.x","ISSN":"0902-0055, 1399-302X","issue":"1","journalAbbreviation":"Oral Microbiol Immunol","language":"en","page":"48-55","source":"DOI.org (Crossref)","title":"Rapid identification of important periodontal microorganisms by cultivation","volume":"1","author":[{"family":"Slots","given":"Jørgen"}],"issued":{"date-parts":[["1986",2]]}}}],"schema":"https://github.com/citation-style-language/schema/raw/master/csl-citation.json"} </w:instrText>
      </w:r>
      <w:r w:rsidR="00287440" w:rsidRPr="00C241C0">
        <w:rPr>
          <w:rFonts w:ascii="Times New Roman" w:hAnsi="Times New Roman" w:cs="Times New Roman"/>
          <w:spacing w:val="1"/>
          <w:w w:val="105"/>
          <w:sz w:val="24"/>
        </w:rPr>
        <w:fldChar w:fldCharType="separate"/>
      </w:r>
      <w:r w:rsidR="00287440" w:rsidRPr="00C241C0">
        <w:rPr>
          <w:rFonts w:ascii="Times New Roman" w:hAnsi="Times New Roman" w:cs="Times New Roman"/>
          <w:sz w:val="24"/>
        </w:rPr>
        <w:t>(5)</w:t>
      </w:r>
      <w:r w:rsidR="00287440" w:rsidRPr="00C241C0">
        <w:rPr>
          <w:rFonts w:ascii="Times New Roman" w:hAnsi="Times New Roman" w:cs="Times New Roman"/>
          <w:spacing w:val="1"/>
          <w:w w:val="105"/>
          <w:sz w:val="24"/>
        </w:rPr>
        <w:fldChar w:fldCharType="end"/>
      </w:r>
    </w:p>
    <w:p w14:paraId="1753557E" w14:textId="77777777" w:rsidR="003C3057" w:rsidRPr="00C241C0" w:rsidRDefault="003C3057" w:rsidP="004B2134">
      <w:pPr>
        <w:pStyle w:val="BodyText"/>
        <w:spacing w:before="1" w:line="360" w:lineRule="auto"/>
        <w:ind w:right="504"/>
        <w:jc w:val="left"/>
        <w:rPr>
          <w:rFonts w:ascii="Times New Roman" w:hAnsi="Times New Roman" w:cs="Times New Roman"/>
          <w:spacing w:val="1"/>
          <w:w w:val="105"/>
          <w:sz w:val="24"/>
        </w:rPr>
      </w:pPr>
    </w:p>
    <w:p w14:paraId="6B0F568D" w14:textId="77777777" w:rsidR="003C3057" w:rsidRPr="00C241C0" w:rsidRDefault="003C3057" w:rsidP="004B2134">
      <w:pPr>
        <w:pStyle w:val="BodyText"/>
        <w:spacing w:before="1" w:line="360" w:lineRule="auto"/>
        <w:ind w:right="504"/>
        <w:jc w:val="left"/>
        <w:rPr>
          <w:rFonts w:ascii="Times New Roman" w:hAnsi="Times New Roman" w:cs="Times New Roman"/>
          <w:spacing w:val="1"/>
          <w:w w:val="105"/>
          <w:sz w:val="24"/>
        </w:rPr>
      </w:pPr>
    </w:p>
    <w:p w14:paraId="326D8FA6" w14:textId="77777777" w:rsidR="00C241C0" w:rsidRDefault="00C241C0" w:rsidP="004B2134">
      <w:pPr>
        <w:pStyle w:val="BodyText"/>
        <w:spacing w:before="1" w:line="360" w:lineRule="auto"/>
        <w:ind w:right="504"/>
        <w:jc w:val="left"/>
        <w:rPr>
          <w:rFonts w:ascii="Times New Roman" w:hAnsi="Times New Roman" w:cs="Times New Roman"/>
          <w:w w:val="105"/>
          <w:sz w:val="24"/>
        </w:rPr>
      </w:pPr>
    </w:p>
    <w:p w14:paraId="4ACC82A5" w14:textId="77777777" w:rsidR="00C241C0" w:rsidRDefault="00C241C0" w:rsidP="004B2134">
      <w:pPr>
        <w:pStyle w:val="BodyText"/>
        <w:spacing w:before="1" w:line="360" w:lineRule="auto"/>
        <w:ind w:right="504"/>
        <w:jc w:val="left"/>
        <w:rPr>
          <w:rFonts w:ascii="Times New Roman" w:hAnsi="Times New Roman" w:cs="Times New Roman"/>
          <w:w w:val="105"/>
          <w:sz w:val="24"/>
        </w:rPr>
      </w:pPr>
    </w:p>
    <w:p w14:paraId="414D661F" w14:textId="0D1DC99F" w:rsidR="00D32849" w:rsidRPr="00C241C0" w:rsidRDefault="004754F6" w:rsidP="004B2134">
      <w:pPr>
        <w:pStyle w:val="BodyText"/>
        <w:spacing w:before="1" w:line="360" w:lineRule="auto"/>
        <w:ind w:right="504"/>
        <w:jc w:val="left"/>
        <w:rPr>
          <w:rFonts w:ascii="Times New Roman" w:hAnsi="Times New Roman" w:cs="Times New Roman"/>
          <w:w w:val="105"/>
          <w:sz w:val="24"/>
        </w:rPr>
      </w:pPr>
      <w:r w:rsidRPr="00C241C0">
        <w:rPr>
          <w:rFonts w:ascii="Times New Roman" w:hAnsi="Times New Roman" w:cs="Times New Roman"/>
          <w:w w:val="105"/>
          <w:sz w:val="24"/>
        </w:rPr>
        <w:t>The steps</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involved</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in</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culture-based studies</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are;</w:t>
      </w:r>
    </w:p>
    <w:p w14:paraId="515389A7" w14:textId="77777777" w:rsidR="00D32849" w:rsidRPr="00C241C0" w:rsidRDefault="00F12B67" w:rsidP="004B2134">
      <w:pPr>
        <w:pStyle w:val="ListParagraph"/>
        <w:numPr>
          <w:ilvl w:val="2"/>
          <w:numId w:val="4"/>
        </w:numPr>
        <w:tabs>
          <w:tab w:val="left" w:pos="901"/>
        </w:tabs>
        <w:spacing w:before="178" w:line="360" w:lineRule="auto"/>
        <w:ind w:hanging="361"/>
        <w:jc w:val="left"/>
        <w:rPr>
          <w:rFonts w:ascii="Times New Roman" w:hAnsi="Times New Roman" w:cs="Times New Roman"/>
          <w:sz w:val="24"/>
        </w:rPr>
      </w:pPr>
      <w:r w:rsidRPr="00C241C0">
        <w:rPr>
          <w:rFonts w:ascii="Times New Roman" w:hAnsi="Times New Roman" w:cs="Times New Roman"/>
          <w:w w:val="105"/>
          <w:sz w:val="24"/>
        </w:rPr>
        <w:t>Sample</w:t>
      </w:r>
      <w:r w:rsidRPr="00C241C0">
        <w:rPr>
          <w:rFonts w:ascii="Times New Roman" w:hAnsi="Times New Roman" w:cs="Times New Roman"/>
          <w:spacing w:val="-15"/>
          <w:w w:val="105"/>
          <w:sz w:val="24"/>
        </w:rPr>
        <w:t xml:space="preserve"> </w:t>
      </w:r>
      <w:r w:rsidRPr="00C241C0">
        <w:rPr>
          <w:rFonts w:ascii="Times New Roman" w:hAnsi="Times New Roman" w:cs="Times New Roman"/>
          <w:w w:val="105"/>
          <w:sz w:val="24"/>
        </w:rPr>
        <w:t>collection</w:t>
      </w:r>
      <w:r w:rsidRPr="00C241C0">
        <w:rPr>
          <w:rFonts w:ascii="Times New Roman" w:hAnsi="Times New Roman" w:cs="Times New Roman"/>
          <w:spacing w:val="-15"/>
          <w:w w:val="105"/>
          <w:sz w:val="24"/>
        </w:rPr>
        <w:t xml:space="preserve"> </w:t>
      </w:r>
      <w:r w:rsidRPr="00C241C0">
        <w:rPr>
          <w:rFonts w:ascii="Times New Roman" w:hAnsi="Times New Roman" w:cs="Times New Roman"/>
          <w:w w:val="105"/>
          <w:sz w:val="24"/>
        </w:rPr>
        <w:t>and</w:t>
      </w:r>
      <w:r w:rsidRPr="00C241C0">
        <w:rPr>
          <w:rFonts w:ascii="Times New Roman" w:hAnsi="Times New Roman" w:cs="Times New Roman"/>
          <w:spacing w:val="-15"/>
          <w:w w:val="105"/>
          <w:sz w:val="24"/>
        </w:rPr>
        <w:t xml:space="preserve"> </w:t>
      </w:r>
      <w:r w:rsidRPr="00C241C0">
        <w:rPr>
          <w:rFonts w:ascii="Times New Roman" w:hAnsi="Times New Roman" w:cs="Times New Roman"/>
          <w:w w:val="105"/>
          <w:sz w:val="24"/>
        </w:rPr>
        <w:t>transport,</w:t>
      </w:r>
      <w:r w:rsidR="00D32849" w:rsidRPr="00C241C0">
        <w:rPr>
          <w:rFonts w:ascii="Times New Roman" w:hAnsi="Times New Roman" w:cs="Times New Roman"/>
          <w:w w:val="105"/>
          <w:sz w:val="24"/>
        </w:rPr>
        <w:t xml:space="preserve"> </w:t>
      </w:r>
    </w:p>
    <w:p w14:paraId="0CD4B612" w14:textId="77777777" w:rsidR="00D32849" w:rsidRPr="00C241C0" w:rsidRDefault="00D32849" w:rsidP="004B2134">
      <w:pPr>
        <w:pStyle w:val="ListParagraph"/>
        <w:numPr>
          <w:ilvl w:val="2"/>
          <w:numId w:val="4"/>
        </w:numPr>
        <w:tabs>
          <w:tab w:val="left" w:pos="901"/>
        </w:tabs>
        <w:spacing w:before="178" w:line="360" w:lineRule="auto"/>
        <w:ind w:hanging="361"/>
        <w:jc w:val="left"/>
        <w:rPr>
          <w:rFonts w:ascii="Times New Roman" w:hAnsi="Times New Roman" w:cs="Times New Roman"/>
          <w:sz w:val="24"/>
        </w:rPr>
      </w:pPr>
      <w:r w:rsidRPr="00C241C0">
        <w:rPr>
          <w:rFonts w:ascii="Times New Roman" w:hAnsi="Times New Roman" w:cs="Times New Roman"/>
          <w:w w:val="105"/>
          <w:sz w:val="24"/>
        </w:rPr>
        <w:t>Dispersion</w:t>
      </w:r>
    </w:p>
    <w:p w14:paraId="57598151" w14:textId="77777777" w:rsidR="00D32849" w:rsidRPr="00C241C0" w:rsidRDefault="00D32849" w:rsidP="004B2134">
      <w:pPr>
        <w:pStyle w:val="ListParagraph"/>
        <w:numPr>
          <w:ilvl w:val="2"/>
          <w:numId w:val="4"/>
        </w:numPr>
        <w:tabs>
          <w:tab w:val="left" w:pos="901"/>
        </w:tabs>
        <w:spacing w:before="176" w:line="360" w:lineRule="auto"/>
        <w:ind w:hanging="361"/>
        <w:jc w:val="left"/>
        <w:rPr>
          <w:rFonts w:ascii="Times New Roman" w:hAnsi="Times New Roman" w:cs="Times New Roman"/>
          <w:sz w:val="24"/>
        </w:rPr>
      </w:pPr>
      <w:r w:rsidRPr="00C241C0">
        <w:rPr>
          <w:rFonts w:ascii="Times New Roman" w:hAnsi="Times New Roman" w:cs="Times New Roman"/>
          <w:w w:val="105"/>
          <w:sz w:val="24"/>
        </w:rPr>
        <w:lastRenderedPageBreak/>
        <w:t>Dilution</w:t>
      </w:r>
    </w:p>
    <w:p w14:paraId="1FC2E3C8" w14:textId="77777777" w:rsidR="00D32849" w:rsidRPr="00C241C0" w:rsidRDefault="00D32849" w:rsidP="004B2134">
      <w:pPr>
        <w:pStyle w:val="ListParagraph"/>
        <w:numPr>
          <w:ilvl w:val="2"/>
          <w:numId w:val="4"/>
        </w:numPr>
        <w:tabs>
          <w:tab w:val="left" w:pos="901"/>
        </w:tabs>
        <w:spacing w:before="175" w:line="360" w:lineRule="auto"/>
        <w:ind w:hanging="361"/>
        <w:jc w:val="left"/>
        <w:rPr>
          <w:rFonts w:ascii="Times New Roman" w:hAnsi="Times New Roman" w:cs="Times New Roman"/>
          <w:sz w:val="24"/>
        </w:rPr>
      </w:pPr>
      <w:r w:rsidRPr="00C241C0">
        <w:rPr>
          <w:rFonts w:ascii="Times New Roman" w:hAnsi="Times New Roman" w:cs="Times New Roman"/>
          <w:w w:val="105"/>
          <w:sz w:val="24"/>
        </w:rPr>
        <w:t>Cultivation</w:t>
      </w:r>
    </w:p>
    <w:p w14:paraId="12A943F4" w14:textId="77777777" w:rsidR="00D32849" w:rsidRPr="00C241C0" w:rsidRDefault="00D32849" w:rsidP="004B2134">
      <w:pPr>
        <w:pStyle w:val="ListParagraph"/>
        <w:numPr>
          <w:ilvl w:val="2"/>
          <w:numId w:val="4"/>
        </w:numPr>
        <w:tabs>
          <w:tab w:val="left" w:pos="901"/>
        </w:tabs>
        <w:spacing w:before="175" w:line="360" w:lineRule="auto"/>
        <w:ind w:hanging="361"/>
        <w:jc w:val="left"/>
        <w:rPr>
          <w:rFonts w:ascii="Times New Roman" w:hAnsi="Times New Roman" w:cs="Times New Roman"/>
          <w:sz w:val="24"/>
        </w:rPr>
      </w:pPr>
      <w:r w:rsidRPr="00C241C0">
        <w:rPr>
          <w:rFonts w:ascii="Times New Roman" w:hAnsi="Times New Roman" w:cs="Times New Roman"/>
          <w:sz w:val="24"/>
        </w:rPr>
        <w:t>Isolation</w:t>
      </w:r>
    </w:p>
    <w:p w14:paraId="02A0A862" w14:textId="77777777" w:rsidR="00D32849" w:rsidRPr="00C241C0" w:rsidRDefault="00D32849" w:rsidP="004B2134">
      <w:pPr>
        <w:pStyle w:val="ListParagraph"/>
        <w:numPr>
          <w:ilvl w:val="2"/>
          <w:numId w:val="4"/>
        </w:numPr>
        <w:tabs>
          <w:tab w:val="left" w:pos="901"/>
        </w:tabs>
        <w:spacing w:before="176" w:line="360" w:lineRule="auto"/>
        <w:ind w:hanging="361"/>
        <w:jc w:val="left"/>
        <w:rPr>
          <w:rFonts w:ascii="Times New Roman" w:hAnsi="Times New Roman" w:cs="Times New Roman"/>
          <w:sz w:val="24"/>
        </w:rPr>
      </w:pPr>
      <w:r w:rsidRPr="00C241C0">
        <w:rPr>
          <w:rFonts w:ascii="Times New Roman" w:hAnsi="Times New Roman" w:cs="Times New Roman"/>
          <w:w w:val="105"/>
          <w:sz w:val="24"/>
        </w:rPr>
        <w:t>Identification</w:t>
      </w:r>
    </w:p>
    <w:p w14:paraId="686868AD" w14:textId="3D6DDA94" w:rsidR="001B3ED2" w:rsidRPr="00C241C0" w:rsidRDefault="00D32849" w:rsidP="004B2134">
      <w:pPr>
        <w:pStyle w:val="ListParagraph"/>
        <w:numPr>
          <w:ilvl w:val="2"/>
          <w:numId w:val="4"/>
        </w:numPr>
        <w:tabs>
          <w:tab w:val="left" w:pos="901"/>
        </w:tabs>
        <w:spacing w:before="175" w:line="360" w:lineRule="auto"/>
        <w:ind w:hanging="361"/>
        <w:jc w:val="left"/>
        <w:rPr>
          <w:rFonts w:ascii="Times New Roman" w:hAnsi="Times New Roman" w:cs="Times New Roman"/>
          <w:sz w:val="24"/>
        </w:rPr>
      </w:pPr>
      <w:r w:rsidRPr="00C241C0">
        <w:rPr>
          <w:rFonts w:ascii="Times New Roman" w:hAnsi="Times New Roman" w:cs="Times New Roman"/>
          <w:w w:val="105"/>
          <w:sz w:val="24"/>
        </w:rPr>
        <w:t>identified</w:t>
      </w:r>
      <w:r w:rsidRPr="00C241C0">
        <w:rPr>
          <w:rFonts w:ascii="Times New Roman" w:hAnsi="Times New Roman" w:cs="Times New Roman"/>
          <w:spacing w:val="-14"/>
          <w:w w:val="105"/>
          <w:sz w:val="24"/>
        </w:rPr>
        <w:t xml:space="preserve"> </w:t>
      </w:r>
      <w:r w:rsidR="004754F6" w:rsidRPr="00C241C0">
        <w:rPr>
          <w:rFonts w:ascii="Times New Roman" w:hAnsi="Times New Roman" w:cs="Times New Roman"/>
          <w:w w:val="105"/>
          <w:sz w:val="24"/>
        </w:rPr>
        <w:t>based on</w:t>
      </w:r>
      <w:r w:rsidRPr="00C241C0">
        <w:rPr>
          <w:rFonts w:ascii="Times New Roman" w:hAnsi="Times New Roman" w:cs="Times New Roman"/>
          <w:spacing w:val="-13"/>
          <w:w w:val="105"/>
          <w:sz w:val="24"/>
        </w:rPr>
        <w:t xml:space="preserve"> </w:t>
      </w:r>
      <w:r w:rsidRPr="00C241C0">
        <w:rPr>
          <w:rFonts w:ascii="Times New Roman" w:hAnsi="Times New Roman" w:cs="Times New Roman"/>
          <w:w w:val="105"/>
          <w:sz w:val="24"/>
        </w:rPr>
        <w:t>multiple</w:t>
      </w:r>
      <w:r w:rsidRPr="00C241C0">
        <w:rPr>
          <w:rFonts w:ascii="Times New Roman" w:hAnsi="Times New Roman" w:cs="Times New Roman"/>
          <w:spacing w:val="-13"/>
          <w:w w:val="105"/>
          <w:sz w:val="24"/>
        </w:rPr>
        <w:t xml:space="preserve"> </w:t>
      </w:r>
      <w:r w:rsidRPr="00C241C0">
        <w:rPr>
          <w:rFonts w:ascii="Times New Roman" w:hAnsi="Times New Roman" w:cs="Times New Roman"/>
          <w:w w:val="105"/>
          <w:sz w:val="24"/>
        </w:rPr>
        <w:t>phenotype-based</w:t>
      </w:r>
      <w:r w:rsidRPr="00C241C0">
        <w:rPr>
          <w:rFonts w:ascii="Times New Roman" w:hAnsi="Times New Roman" w:cs="Times New Roman"/>
          <w:spacing w:val="-13"/>
          <w:w w:val="105"/>
          <w:sz w:val="24"/>
        </w:rPr>
        <w:t xml:space="preserve"> </w:t>
      </w:r>
      <w:r w:rsidRPr="00C241C0">
        <w:rPr>
          <w:rFonts w:ascii="Times New Roman" w:hAnsi="Times New Roman" w:cs="Times New Roman"/>
          <w:w w:val="105"/>
          <w:sz w:val="24"/>
        </w:rPr>
        <w:t>aspects</w:t>
      </w:r>
    </w:p>
    <w:p w14:paraId="0884B415" w14:textId="7307D2CC" w:rsidR="002C4742" w:rsidRPr="00C241C0" w:rsidRDefault="00D97D0A" w:rsidP="004B2134">
      <w:pPr>
        <w:pStyle w:val="BodyText"/>
        <w:spacing w:before="180" w:line="360" w:lineRule="auto"/>
        <w:ind w:right="311"/>
        <w:jc w:val="left"/>
        <w:rPr>
          <w:rFonts w:ascii="Times New Roman" w:hAnsi="Times New Roman" w:cs="Times New Roman"/>
          <w:w w:val="105"/>
          <w:sz w:val="24"/>
        </w:rPr>
      </w:pPr>
      <w:r>
        <w:rPr>
          <w:rFonts w:ascii="Times New Roman" w:hAnsi="Times New Roman" w:cs="Times New Roman"/>
          <w:noProof/>
        </w:rPr>
        <w:pict w14:anchorId="3EF9137B">
          <v:shapetype id="_x0000_t202" coordsize="21600,21600" o:spt="202" path="m,l,21600r21600,l21600,xe">
            <v:stroke joinstyle="miter"/>
            <v:path gradientshapeok="t" o:connecttype="rect"/>
          </v:shapetype>
          <v:shape id="_x0000_s1079" type="#_x0000_t202" style="position:absolute;left:0;text-align:left;margin-left:50.5pt;margin-top:137.1pt;width:368.45pt;height:31.8pt;z-index:251655680">
            <v:textbox>
              <w:txbxContent>
                <w:p w14:paraId="37875238" w14:textId="77777777" w:rsidR="00C241C0" w:rsidRPr="00C241C0" w:rsidRDefault="00C241C0" w:rsidP="00C241C0">
                  <w:pPr>
                    <w:rPr>
                      <w:sz w:val="18"/>
                      <w:szCs w:val="20"/>
                    </w:rPr>
                  </w:pPr>
                  <w:r w:rsidRPr="00C241C0">
                    <w:rPr>
                      <w:sz w:val="18"/>
                      <w:szCs w:val="20"/>
                    </w:rPr>
                    <w:t xml:space="preserve">FIGURE 1: Drawing showing the main steps in the preparation and sterilization of the operation field before entering the root canal. (Drawing by </w:t>
                  </w:r>
                  <w:proofErr w:type="spellStart"/>
                  <w:r w:rsidRPr="00C241C0">
                    <w:rPr>
                      <w:sz w:val="18"/>
                      <w:szCs w:val="20"/>
                    </w:rPr>
                    <w:t>Mrs</w:t>
                  </w:r>
                  <w:proofErr w:type="spellEnd"/>
                  <w:r w:rsidRPr="00C241C0">
                    <w:rPr>
                      <w:sz w:val="18"/>
                      <w:szCs w:val="20"/>
                    </w:rPr>
                    <w:t xml:space="preserve"> Gunilla Hjort.)</w:t>
                  </w:r>
                </w:p>
              </w:txbxContent>
            </v:textbox>
          </v:shape>
        </w:pict>
      </w:r>
      <w:r w:rsidR="002C4742" w:rsidRPr="00C241C0">
        <w:rPr>
          <w:rFonts w:ascii="Times New Roman" w:hAnsi="Times New Roman" w:cs="Times New Roman"/>
          <w:noProof/>
        </w:rPr>
        <w:drawing>
          <wp:anchor distT="0" distB="0" distL="0" distR="0" simplePos="0" relativeHeight="251650560" behindDoc="0" locked="0" layoutInCell="1" allowOverlap="1" wp14:anchorId="1490D80B" wp14:editId="25E0ABC9">
            <wp:simplePos x="0" y="0"/>
            <wp:positionH relativeFrom="page">
              <wp:posOffset>1334085</wp:posOffset>
            </wp:positionH>
            <wp:positionV relativeFrom="paragraph">
              <wp:posOffset>2040577</wp:posOffset>
            </wp:positionV>
            <wp:extent cx="5276850" cy="3998595"/>
            <wp:effectExtent l="0" t="0" r="0" b="1905"/>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8" cstate="print"/>
                    <a:stretch>
                      <a:fillRect/>
                    </a:stretch>
                  </pic:blipFill>
                  <pic:spPr>
                    <a:xfrm>
                      <a:off x="0" y="0"/>
                      <a:ext cx="5276850" cy="3998595"/>
                    </a:xfrm>
                    <a:prstGeom prst="rect">
                      <a:avLst/>
                    </a:prstGeom>
                  </pic:spPr>
                </pic:pic>
              </a:graphicData>
            </a:graphic>
            <wp14:sizeRelH relativeFrom="margin">
              <wp14:pctWidth>0</wp14:pctWidth>
            </wp14:sizeRelH>
            <wp14:sizeRelV relativeFrom="margin">
              <wp14:pctHeight>0</wp14:pctHeight>
            </wp14:sizeRelV>
          </wp:anchor>
        </w:drawing>
      </w:r>
      <w:r w:rsidR="00F12B67" w:rsidRPr="00C241C0">
        <w:rPr>
          <w:rFonts w:ascii="Times New Roman" w:hAnsi="Times New Roman" w:cs="Times New Roman"/>
          <w:w w:val="105"/>
          <w:sz w:val="24"/>
        </w:rPr>
        <w:t>Endodontic samples are collected and transported to the laboratory in a</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viability-preserving,</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non-supportive,</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anaerobic</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medium.</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Followed</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by</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dispersing</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the</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sample</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using</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various</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techniques,</w:t>
      </w:r>
      <w:r w:rsidR="00F12B67" w:rsidRPr="00C241C0">
        <w:rPr>
          <w:rFonts w:ascii="Times New Roman" w:hAnsi="Times New Roman" w:cs="Times New Roman"/>
          <w:spacing w:val="1"/>
          <w:w w:val="105"/>
          <w:sz w:val="24"/>
        </w:rPr>
        <w:t xml:space="preserve"> </w:t>
      </w:r>
      <w:r w:rsidR="004754F6" w:rsidRPr="00C241C0">
        <w:rPr>
          <w:rFonts w:ascii="Times New Roman" w:hAnsi="Times New Roman" w:cs="Times New Roman"/>
          <w:w w:val="105"/>
          <w:sz w:val="24"/>
        </w:rPr>
        <w:t>diluting,</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and</w:t>
      </w:r>
      <w:r w:rsidR="00F12B67" w:rsidRPr="00C241C0">
        <w:rPr>
          <w:rFonts w:ascii="Times New Roman" w:hAnsi="Times New Roman" w:cs="Times New Roman"/>
          <w:spacing w:val="1"/>
          <w:w w:val="105"/>
          <w:sz w:val="24"/>
        </w:rPr>
        <w:t xml:space="preserve"> </w:t>
      </w:r>
      <w:r w:rsidR="004754F6" w:rsidRPr="00C241C0">
        <w:rPr>
          <w:rFonts w:ascii="Times New Roman" w:hAnsi="Times New Roman" w:cs="Times New Roman"/>
          <w:w w:val="105"/>
          <w:sz w:val="24"/>
        </w:rPr>
        <w:t>cultivating</w:t>
      </w:r>
      <w:r w:rsidR="00F12B67" w:rsidRPr="00C241C0">
        <w:rPr>
          <w:rFonts w:ascii="Times New Roman" w:hAnsi="Times New Roman" w:cs="Times New Roman"/>
          <w:spacing w:val="1"/>
          <w:w w:val="105"/>
          <w:sz w:val="24"/>
        </w:rPr>
        <w:t xml:space="preserve"> </w:t>
      </w:r>
      <w:r w:rsidR="004754F6" w:rsidRPr="00C241C0">
        <w:rPr>
          <w:rFonts w:ascii="Times New Roman" w:hAnsi="Times New Roman" w:cs="Times New Roman"/>
          <w:spacing w:val="1"/>
          <w:w w:val="105"/>
          <w:sz w:val="24"/>
        </w:rPr>
        <w:t xml:space="preserve">it </w:t>
      </w:r>
      <w:r w:rsidR="00F12B67" w:rsidRPr="00C241C0">
        <w:rPr>
          <w:rFonts w:ascii="Times New Roman" w:hAnsi="Times New Roman" w:cs="Times New Roman"/>
          <w:w w:val="105"/>
          <w:sz w:val="24"/>
        </w:rPr>
        <w:t>in</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 xml:space="preserve">suitable culture </w:t>
      </w:r>
      <w:r w:rsidR="004754F6" w:rsidRPr="00C241C0">
        <w:rPr>
          <w:rFonts w:ascii="Times New Roman" w:hAnsi="Times New Roman" w:cs="Times New Roman"/>
          <w:w w:val="105"/>
          <w:sz w:val="24"/>
        </w:rPr>
        <w:t>media</w:t>
      </w:r>
      <w:r w:rsidR="00F12B67" w:rsidRPr="00C241C0">
        <w:rPr>
          <w:rFonts w:ascii="Times New Roman" w:hAnsi="Times New Roman" w:cs="Times New Roman"/>
          <w:w w:val="105"/>
          <w:sz w:val="24"/>
        </w:rPr>
        <w:t xml:space="preserve">. Then the identification of microbes </w:t>
      </w:r>
      <w:r w:rsidR="004754F6" w:rsidRPr="00C241C0">
        <w:rPr>
          <w:rFonts w:ascii="Times New Roman" w:hAnsi="Times New Roman" w:cs="Times New Roman"/>
          <w:w w:val="105"/>
          <w:sz w:val="24"/>
        </w:rPr>
        <w:t>is</w:t>
      </w:r>
      <w:r w:rsidR="00F12B67" w:rsidRPr="00C241C0">
        <w:rPr>
          <w:rFonts w:ascii="Times New Roman" w:hAnsi="Times New Roman" w:cs="Times New Roman"/>
          <w:w w:val="105"/>
          <w:sz w:val="24"/>
        </w:rPr>
        <w:t xml:space="preserve"> made using</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various</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methods</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like</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gram-staining,</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gas-liquid</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chromatography,</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w w:val="105"/>
          <w:sz w:val="24"/>
        </w:rPr>
        <w:t>gel</w:t>
      </w:r>
      <w:r w:rsidR="00F12B67" w:rsidRPr="00C241C0">
        <w:rPr>
          <w:rFonts w:ascii="Times New Roman" w:hAnsi="Times New Roman" w:cs="Times New Roman"/>
          <w:spacing w:val="1"/>
          <w:w w:val="105"/>
          <w:sz w:val="24"/>
        </w:rPr>
        <w:t xml:space="preserve"> </w:t>
      </w:r>
      <w:r w:rsidR="00F12B67" w:rsidRPr="00C241C0">
        <w:rPr>
          <w:rFonts w:ascii="Times New Roman" w:hAnsi="Times New Roman" w:cs="Times New Roman"/>
          <w:spacing w:val="-1"/>
          <w:w w:val="105"/>
          <w:sz w:val="24"/>
        </w:rPr>
        <w:t>electrophoresis,</w:t>
      </w:r>
      <w:r w:rsidR="00F12B67" w:rsidRPr="00C241C0">
        <w:rPr>
          <w:rFonts w:ascii="Times New Roman" w:hAnsi="Times New Roman" w:cs="Times New Roman"/>
          <w:spacing w:val="-11"/>
          <w:w w:val="105"/>
          <w:sz w:val="24"/>
        </w:rPr>
        <w:t xml:space="preserve"> </w:t>
      </w:r>
      <w:r w:rsidR="00F12B67" w:rsidRPr="00C241C0">
        <w:rPr>
          <w:rFonts w:ascii="Times New Roman" w:hAnsi="Times New Roman" w:cs="Times New Roman"/>
          <w:spacing w:val="-1"/>
          <w:w w:val="105"/>
          <w:sz w:val="24"/>
        </w:rPr>
        <w:t>fluorescence</w:t>
      </w:r>
      <w:r w:rsidR="00F12B67" w:rsidRPr="00C241C0">
        <w:rPr>
          <w:rFonts w:ascii="Times New Roman" w:hAnsi="Times New Roman" w:cs="Times New Roman"/>
          <w:spacing w:val="-10"/>
          <w:w w:val="105"/>
          <w:sz w:val="24"/>
        </w:rPr>
        <w:t xml:space="preserve"> </w:t>
      </w:r>
      <w:r w:rsidR="00F12B67" w:rsidRPr="00C241C0">
        <w:rPr>
          <w:rFonts w:ascii="Times New Roman" w:hAnsi="Times New Roman" w:cs="Times New Roman"/>
          <w:spacing w:val="-1"/>
          <w:w w:val="105"/>
          <w:sz w:val="24"/>
        </w:rPr>
        <w:t>under</w:t>
      </w:r>
      <w:r w:rsidR="00F12B67" w:rsidRPr="00C241C0">
        <w:rPr>
          <w:rFonts w:ascii="Times New Roman" w:hAnsi="Times New Roman" w:cs="Times New Roman"/>
          <w:spacing w:val="-10"/>
          <w:w w:val="105"/>
          <w:sz w:val="24"/>
        </w:rPr>
        <w:t xml:space="preserve"> </w:t>
      </w:r>
      <w:r w:rsidR="00F12B67" w:rsidRPr="00C241C0">
        <w:rPr>
          <w:rFonts w:ascii="Times New Roman" w:hAnsi="Times New Roman" w:cs="Times New Roman"/>
          <w:spacing w:val="-1"/>
          <w:w w:val="105"/>
          <w:sz w:val="24"/>
        </w:rPr>
        <w:t>ultraviolet</w:t>
      </w:r>
      <w:r w:rsidR="00F12B67" w:rsidRPr="00C241C0">
        <w:rPr>
          <w:rFonts w:ascii="Times New Roman" w:hAnsi="Times New Roman" w:cs="Times New Roman"/>
          <w:spacing w:val="-9"/>
          <w:w w:val="105"/>
          <w:sz w:val="24"/>
        </w:rPr>
        <w:t xml:space="preserve"> </w:t>
      </w:r>
      <w:r w:rsidR="00F12B67" w:rsidRPr="00C241C0">
        <w:rPr>
          <w:rFonts w:ascii="Times New Roman" w:hAnsi="Times New Roman" w:cs="Times New Roman"/>
          <w:w w:val="105"/>
          <w:sz w:val="24"/>
        </w:rPr>
        <w:t>light,</w:t>
      </w:r>
      <w:r w:rsidR="00F12B67" w:rsidRPr="00C241C0">
        <w:rPr>
          <w:rFonts w:ascii="Times New Roman" w:hAnsi="Times New Roman" w:cs="Times New Roman"/>
          <w:spacing w:val="-10"/>
          <w:w w:val="105"/>
          <w:sz w:val="24"/>
        </w:rPr>
        <w:t xml:space="preserve"> </w:t>
      </w:r>
      <w:r w:rsidR="00F12B67" w:rsidRPr="00C241C0">
        <w:rPr>
          <w:rFonts w:ascii="Times New Roman" w:hAnsi="Times New Roman" w:cs="Times New Roman"/>
          <w:w w:val="105"/>
          <w:sz w:val="24"/>
        </w:rPr>
        <w:t>microscopic</w:t>
      </w:r>
      <w:r w:rsidR="00F12B67" w:rsidRPr="00C241C0">
        <w:rPr>
          <w:rFonts w:ascii="Times New Roman" w:hAnsi="Times New Roman" w:cs="Times New Roman"/>
          <w:spacing w:val="-10"/>
          <w:w w:val="105"/>
          <w:sz w:val="24"/>
        </w:rPr>
        <w:t xml:space="preserve"> </w:t>
      </w:r>
      <w:r w:rsidR="00F12B67" w:rsidRPr="00C241C0">
        <w:rPr>
          <w:rFonts w:ascii="Times New Roman" w:hAnsi="Times New Roman" w:cs="Times New Roman"/>
          <w:w w:val="105"/>
          <w:sz w:val="24"/>
        </w:rPr>
        <w:t>techniques</w:t>
      </w:r>
      <w:r w:rsidR="004754F6" w:rsidRPr="00C241C0">
        <w:rPr>
          <w:rFonts w:ascii="Times New Roman" w:hAnsi="Times New Roman" w:cs="Times New Roman"/>
          <w:w w:val="105"/>
          <w:sz w:val="24"/>
        </w:rPr>
        <w:t>,</w:t>
      </w:r>
      <w:r w:rsidR="00F12B67" w:rsidRPr="00C241C0">
        <w:rPr>
          <w:rFonts w:ascii="Times New Roman" w:hAnsi="Times New Roman" w:cs="Times New Roman"/>
          <w:spacing w:val="-11"/>
          <w:w w:val="105"/>
          <w:sz w:val="24"/>
        </w:rPr>
        <w:t xml:space="preserve"> </w:t>
      </w:r>
      <w:r w:rsidR="001F7A91" w:rsidRPr="00C241C0">
        <w:rPr>
          <w:rFonts w:ascii="Times New Roman" w:hAnsi="Times New Roman" w:cs="Times New Roman"/>
          <w:w w:val="105"/>
          <w:sz w:val="24"/>
        </w:rPr>
        <w:t>etc</w:t>
      </w:r>
      <w:r w:rsidR="00F12B67" w:rsidRPr="00C241C0">
        <w:rPr>
          <w:rFonts w:ascii="Times New Roman" w:hAnsi="Times New Roman" w:cs="Times New Roman"/>
          <w:w w:val="105"/>
          <w:sz w:val="24"/>
        </w:rPr>
        <w:t>.</w:t>
      </w:r>
      <w:r w:rsidR="00287440" w:rsidRPr="00C241C0">
        <w:rPr>
          <w:rFonts w:ascii="Times New Roman" w:hAnsi="Times New Roman" w:cs="Times New Roman"/>
          <w:w w:val="105"/>
          <w:sz w:val="24"/>
        </w:rPr>
        <w:fldChar w:fldCharType="begin"/>
      </w:r>
      <w:r w:rsidR="00287440" w:rsidRPr="00C241C0">
        <w:rPr>
          <w:rFonts w:ascii="Times New Roman" w:hAnsi="Times New Roman" w:cs="Times New Roman"/>
          <w:w w:val="105"/>
          <w:sz w:val="24"/>
        </w:rPr>
        <w:instrText xml:space="preserve"> ADDIN ZOTERO_ITEM CSL_CITATION {"citationID":"r64eKUoC","properties":{"formattedCitation":"(6)","plainCitation":"(6)","noteIndex":0},"citationItems":[{"id":34,"uris":["http://zotero.org/users/local/RZx4qjtE/items/6P5X9ZGA"],"itemData":{"id":34,"type":"article-journal","abstract":"A good definition of commensal microflora and an understanding of its relation to health are essential in preventing and combating disease. We hypothesized that the species richness of human oral microflora is underestimated. Saliva and supragingival plaque were sampled from 71 and 98 healthy adults, respectively. Amplicons from the V6 hypervariable region of the small-subunit ribosomal RNA gene were generated by PCR, pooled into saliva and plaque pools, and sequenced by means of the Genome Sequencer 20 system at 454 Life Sciences. Data were evaluated by taxonomic and rarefaction analyses. The 197,600 sequences generated yielded about 29,000 unique sequences, representing 22 taxonomic phyla. Grouping the sequences in operational taxonomic units (6%) yielded 3621 and 6888 species-level phylotypes in saliva and plaque, respectively. This work gives a radically new insight into the diversity of human oral microflora, which, with an estimated number of 19,000 phylotypes, is considerably higher than previously reported. Abbreviations: GS-20, Genome Sequencer 20; OTU, Operational Taxonomic Unit; PCR, polymerase chain-reaction; 16S rDNA, smallsubunit (16S) ribosomal deoxyribonucleic acid; UV, ultraviolet.","container-title":"Journal of Dental Research","DOI":"10.1177/154405910808701104","ISSN":"0022-0345, 1544-0591","issue":"11","journalAbbreviation":"J Dent Res","language":"en","page":"1016-1020","source":"DOI.org (Crossref)","title":"Pyrosequencing analysis of the Oral Microflora of healthy adults","volume":"87","author":[{"family":"Keijser","given":"B.J.F."},{"family":"Zaura","given":"E."},{"family":"Huse","given":"S.M."},{"family":"Van Der Vossen","given":"J.M.B.M."},{"family":"Schuren","given":"F.H.J."},{"family":"Montijn","given":"R.C."},{"family":"Ten Cate","given":"J.M."},{"family":"Crielaard","given":"W."}],"issued":{"date-parts":[["2008",11]]}}}],"schema":"https://github.com/citation-style-language/schema/raw/master/csl-citation.json"} </w:instrText>
      </w:r>
      <w:r w:rsidR="00287440" w:rsidRPr="00C241C0">
        <w:rPr>
          <w:rFonts w:ascii="Times New Roman" w:hAnsi="Times New Roman" w:cs="Times New Roman"/>
          <w:w w:val="105"/>
          <w:sz w:val="24"/>
        </w:rPr>
        <w:fldChar w:fldCharType="separate"/>
      </w:r>
      <w:r w:rsidR="00287440" w:rsidRPr="00C241C0">
        <w:rPr>
          <w:rFonts w:ascii="Times New Roman" w:hAnsi="Times New Roman" w:cs="Times New Roman"/>
          <w:sz w:val="24"/>
        </w:rPr>
        <w:t>(6)</w:t>
      </w:r>
      <w:r w:rsidR="00287440" w:rsidRPr="00C241C0">
        <w:rPr>
          <w:rFonts w:ascii="Times New Roman" w:hAnsi="Times New Roman" w:cs="Times New Roman"/>
          <w:w w:val="105"/>
          <w:sz w:val="24"/>
        </w:rPr>
        <w:fldChar w:fldCharType="end"/>
      </w:r>
      <w:r w:rsidR="002C4742" w:rsidRPr="00C241C0">
        <w:rPr>
          <w:rFonts w:ascii="Times New Roman" w:hAnsi="Times New Roman" w:cs="Times New Roman"/>
          <w:w w:val="105"/>
          <w:sz w:val="24"/>
        </w:rPr>
        <w:t xml:space="preserve">       </w:t>
      </w:r>
    </w:p>
    <w:p w14:paraId="65FD3E14" w14:textId="268B2E16" w:rsidR="001B3ED2" w:rsidRPr="00C241C0" w:rsidRDefault="002C4742" w:rsidP="004B2134">
      <w:pPr>
        <w:pStyle w:val="BodyText"/>
        <w:spacing w:before="180" w:line="360" w:lineRule="auto"/>
        <w:ind w:right="311" w:firstLine="719"/>
        <w:jc w:val="left"/>
        <w:rPr>
          <w:rFonts w:ascii="Times New Roman" w:hAnsi="Times New Roman" w:cs="Times New Roman"/>
        </w:rPr>
      </w:pPr>
      <w:r w:rsidRPr="00C241C0">
        <w:rPr>
          <w:rFonts w:ascii="Times New Roman" w:hAnsi="Times New Roman" w:cs="Times New Roman"/>
          <w:noProof/>
          <w:sz w:val="20"/>
        </w:rPr>
        <w:lastRenderedPageBreak/>
        <w:drawing>
          <wp:inline distT="0" distB="0" distL="0" distR="0" wp14:anchorId="4DE7FEB0" wp14:editId="551DB53C">
            <wp:extent cx="5128313" cy="5030939"/>
            <wp:effectExtent l="0" t="0" r="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9" cstate="print"/>
                    <a:stretch>
                      <a:fillRect/>
                    </a:stretch>
                  </pic:blipFill>
                  <pic:spPr>
                    <a:xfrm>
                      <a:off x="0" y="0"/>
                      <a:ext cx="5251496" cy="5151783"/>
                    </a:xfrm>
                    <a:prstGeom prst="rect">
                      <a:avLst/>
                    </a:prstGeom>
                  </pic:spPr>
                </pic:pic>
              </a:graphicData>
            </a:graphic>
          </wp:inline>
        </w:drawing>
      </w:r>
    </w:p>
    <w:p w14:paraId="4724FA36" w14:textId="53BDCB90" w:rsidR="00C241C0" w:rsidRDefault="00D97D0A" w:rsidP="004B2134">
      <w:pPr>
        <w:pStyle w:val="Heading1"/>
        <w:tabs>
          <w:tab w:val="left" w:pos="464"/>
        </w:tabs>
        <w:spacing w:line="360" w:lineRule="auto"/>
        <w:ind w:left="0" w:firstLine="0"/>
        <w:rPr>
          <w:rFonts w:ascii="Times New Roman" w:hAnsi="Times New Roman" w:cs="Times New Roman"/>
          <w:sz w:val="28"/>
        </w:rPr>
      </w:pPr>
      <w:r>
        <w:rPr>
          <w:rFonts w:ascii="Times New Roman" w:hAnsi="Times New Roman" w:cs="Times New Roman"/>
          <w:noProof/>
          <w:sz w:val="28"/>
        </w:rPr>
        <w:pict w14:anchorId="2B566B6B">
          <v:shape id="_x0000_s1078" type="#_x0000_t202" style="position:absolute;margin-left:35.6pt;margin-top:8.25pt;width:386.6pt;height:25.3pt;z-index:251654656">
            <v:textbox>
              <w:txbxContent>
                <w:p w14:paraId="1E9F8ED3" w14:textId="62FF7C15" w:rsidR="00C241C0" w:rsidRPr="00C241C0" w:rsidRDefault="00C241C0" w:rsidP="00C241C0">
                  <w:pPr>
                    <w:rPr>
                      <w:sz w:val="20"/>
                      <w:szCs w:val="20"/>
                    </w:rPr>
                  </w:pPr>
                  <w:r w:rsidRPr="00C241C0">
                    <w:rPr>
                      <w:sz w:val="20"/>
                      <w:szCs w:val="20"/>
                    </w:rPr>
                    <w:t xml:space="preserve">Microbiological sampling from the root canal. (Drawing by </w:t>
                  </w:r>
                  <w:proofErr w:type="spellStart"/>
                  <w:r w:rsidRPr="00C241C0">
                    <w:rPr>
                      <w:sz w:val="20"/>
                      <w:szCs w:val="20"/>
                    </w:rPr>
                    <w:t>Mrs</w:t>
                  </w:r>
                  <w:proofErr w:type="spellEnd"/>
                  <w:r w:rsidRPr="00C241C0">
                    <w:rPr>
                      <w:sz w:val="20"/>
                      <w:szCs w:val="20"/>
                    </w:rPr>
                    <w:t xml:space="preserve"> Gunilla Hjort.)</w:t>
                  </w:r>
                </w:p>
              </w:txbxContent>
            </v:textbox>
          </v:shape>
        </w:pict>
      </w:r>
    </w:p>
    <w:p w14:paraId="643F7CB8" w14:textId="47639E54" w:rsidR="00C241C0" w:rsidRDefault="00C241C0" w:rsidP="004B2134">
      <w:pPr>
        <w:pStyle w:val="Heading1"/>
        <w:tabs>
          <w:tab w:val="left" w:pos="464"/>
        </w:tabs>
        <w:spacing w:line="360" w:lineRule="auto"/>
        <w:ind w:left="0" w:firstLine="0"/>
        <w:rPr>
          <w:rFonts w:ascii="Times New Roman" w:hAnsi="Times New Roman" w:cs="Times New Roman"/>
          <w:sz w:val="28"/>
        </w:rPr>
      </w:pPr>
    </w:p>
    <w:p w14:paraId="286D084B" w14:textId="088C7F39" w:rsidR="00C307DA" w:rsidRPr="00C241C0" w:rsidRDefault="002C4742" w:rsidP="004B2134">
      <w:pPr>
        <w:pStyle w:val="Heading1"/>
        <w:tabs>
          <w:tab w:val="left" w:pos="464"/>
        </w:tabs>
        <w:spacing w:line="360" w:lineRule="auto"/>
        <w:ind w:left="0" w:firstLine="0"/>
        <w:rPr>
          <w:rFonts w:ascii="Times New Roman" w:hAnsi="Times New Roman" w:cs="Times New Roman"/>
          <w:sz w:val="28"/>
        </w:rPr>
      </w:pPr>
      <w:r w:rsidRPr="00C241C0">
        <w:rPr>
          <w:rFonts w:ascii="Times New Roman" w:hAnsi="Times New Roman" w:cs="Times New Roman"/>
          <w:sz w:val="28"/>
        </w:rPr>
        <w:t>LABORATORY CONSIDERATIONS</w:t>
      </w:r>
    </w:p>
    <w:p w14:paraId="35939728" w14:textId="77777777" w:rsidR="003C3057" w:rsidRPr="00C241C0" w:rsidRDefault="003C3057" w:rsidP="004B2134">
      <w:pPr>
        <w:pStyle w:val="BodyText"/>
        <w:spacing w:before="1" w:line="360" w:lineRule="auto"/>
        <w:ind w:left="0"/>
        <w:jc w:val="left"/>
        <w:rPr>
          <w:rFonts w:ascii="Times New Roman" w:hAnsi="Times New Roman" w:cs="Times New Roman"/>
          <w:w w:val="105"/>
          <w:sz w:val="24"/>
        </w:rPr>
      </w:pPr>
    </w:p>
    <w:p w14:paraId="77FD97C3" w14:textId="01B91CD4" w:rsidR="001B3ED2" w:rsidRPr="00C241C0" w:rsidRDefault="00F12B67" w:rsidP="004B2134">
      <w:pPr>
        <w:pStyle w:val="BodyText"/>
        <w:spacing w:before="1" w:line="360" w:lineRule="auto"/>
        <w:ind w:left="0"/>
        <w:jc w:val="left"/>
        <w:rPr>
          <w:rFonts w:ascii="Times New Roman" w:hAnsi="Times New Roman" w:cs="Times New Roman"/>
          <w:w w:val="105"/>
          <w:sz w:val="24"/>
        </w:rPr>
      </w:pPr>
      <w:r w:rsidRPr="00C241C0">
        <w:rPr>
          <w:rFonts w:ascii="Times New Roman" w:hAnsi="Times New Roman" w:cs="Times New Roman"/>
          <w:w w:val="105"/>
          <w:sz w:val="24"/>
        </w:rPr>
        <w:t>The objectives are;</w:t>
      </w:r>
    </w:p>
    <w:p w14:paraId="56B3FE89" w14:textId="77777777" w:rsidR="001B3ED2" w:rsidRPr="00C241C0" w:rsidRDefault="001B3ED2" w:rsidP="004B2134">
      <w:pPr>
        <w:pStyle w:val="BodyText"/>
        <w:spacing w:before="10" w:line="360" w:lineRule="auto"/>
        <w:ind w:left="0"/>
        <w:jc w:val="left"/>
        <w:rPr>
          <w:rFonts w:ascii="Times New Roman" w:hAnsi="Times New Roman" w:cs="Times New Roman"/>
          <w:w w:val="105"/>
          <w:sz w:val="24"/>
        </w:rPr>
      </w:pPr>
    </w:p>
    <w:p w14:paraId="5238C0C9" w14:textId="77777777" w:rsidR="001B3ED2" w:rsidRPr="00C241C0" w:rsidRDefault="00F12B67" w:rsidP="004B2134">
      <w:pPr>
        <w:pStyle w:val="ListParagraph"/>
        <w:numPr>
          <w:ilvl w:val="1"/>
          <w:numId w:val="3"/>
        </w:numPr>
        <w:tabs>
          <w:tab w:val="left" w:pos="900"/>
          <w:tab w:val="left" w:pos="901"/>
        </w:tabs>
        <w:spacing w:line="360" w:lineRule="auto"/>
        <w:ind w:hanging="361"/>
        <w:jc w:val="left"/>
        <w:rPr>
          <w:rFonts w:ascii="Times New Roman" w:hAnsi="Times New Roman" w:cs="Times New Roman"/>
          <w:w w:val="105"/>
          <w:sz w:val="24"/>
          <w:szCs w:val="26"/>
        </w:rPr>
      </w:pPr>
      <w:r w:rsidRPr="00C241C0">
        <w:rPr>
          <w:rFonts w:ascii="Times New Roman" w:hAnsi="Times New Roman" w:cs="Times New Roman"/>
          <w:w w:val="105"/>
          <w:sz w:val="24"/>
          <w:szCs w:val="26"/>
        </w:rPr>
        <w:t>To identify the presence of viable bacteria in the sample</w:t>
      </w:r>
    </w:p>
    <w:p w14:paraId="6648B1E3" w14:textId="77777777" w:rsidR="001B3ED2" w:rsidRPr="00C241C0" w:rsidRDefault="001B3ED2" w:rsidP="004B2134">
      <w:pPr>
        <w:pStyle w:val="BodyText"/>
        <w:spacing w:before="8" w:line="360" w:lineRule="auto"/>
        <w:ind w:left="0"/>
        <w:jc w:val="left"/>
        <w:rPr>
          <w:rFonts w:ascii="Times New Roman" w:hAnsi="Times New Roman" w:cs="Times New Roman"/>
          <w:w w:val="105"/>
          <w:sz w:val="24"/>
        </w:rPr>
      </w:pPr>
    </w:p>
    <w:p w14:paraId="0DDD4DA0" w14:textId="77777777" w:rsidR="001B3ED2" w:rsidRPr="00C241C0" w:rsidRDefault="00F12B67" w:rsidP="004B2134">
      <w:pPr>
        <w:pStyle w:val="ListParagraph"/>
        <w:numPr>
          <w:ilvl w:val="1"/>
          <w:numId w:val="3"/>
        </w:numPr>
        <w:tabs>
          <w:tab w:val="left" w:pos="900"/>
          <w:tab w:val="left" w:pos="901"/>
        </w:tabs>
        <w:spacing w:line="360" w:lineRule="auto"/>
        <w:ind w:hanging="361"/>
        <w:jc w:val="left"/>
        <w:rPr>
          <w:rFonts w:ascii="Times New Roman" w:hAnsi="Times New Roman" w:cs="Times New Roman"/>
          <w:w w:val="105"/>
          <w:sz w:val="24"/>
          <w:szCs w:val="26"/>
        </w:rPr>
      </w:pPr>
      <w:r w:rsidRPr="00C241C0">
        <w:rPr>
          <w:rFonts w:ascii="Times New Roman" w:hAnsi="Times New Roman" w:cs="Times New Roman"/>
          <w:w w:val="105"/>
          <w:sz w:val="24"/>
          <w:szCs w:val="26"/>
        </w:rPr>
        <w:t>To determine the bacterial genus or species present in the sample</w:t>
      </w:r>
    </w:p>
    <w:p w14:paraId="7DF7A5C6" w14:textId="77777777" w:rsidR="001B3ED2" w:rsidRPr="00C241C0" w:rsidRDefault="001B3ED2" w:rsidP="004B2134">
      <w:pPr>
        <w:pStyle w:val="BodyText"/>
        <w:spacing w:before="10" w:line="360" w:lineRule="auto"/>
        <w:ind w:left="0"/>
        <w:jc w:val="left"/>
        <w:rPr>
          <w:rFonts w:ascii="Times New Roman" w:hAnsi="Times New Roman" w:cs="Times New Roman"/>
          <w:w w:val="105"/>
          <w:sz w:val="24"/>
        </w:rPr>
      </w:pPr>
    </w:p>
    <w:p w14:paraId="209F950B" w14:textId="77777777" w:rsidR="001B3ED2" w:rsidRPr="00C241C0" w:rsidRDefault="00F12B67" w:rsidP="004B2134">
      <w:pPr>
        <w:pStyle w:val="ListParagraph"/>
        <w:numPr>
          <w:ilvl w:val="1"/>
          <w:numId w:val="3"/>
        </w:numPr>
        <w:tabs>
          <w:tab w:val="left" w:pos="900"/>
          <w:tab w:val="left" w:pos="901"/>
        </w:tabs>
        <w:spacing w:line="360" w:lineRule="auto"/>
        <w:ind w:hanging="361"/>
        <w:jc w:val="left"/>
        <w:rPr>
          <w:rFonts w:ascii="Times New Roman" w:hAnsi="Times New Roman" w:cs="Times New Roman"/>
          <w:w w:val="105"/>
          <w:sz w:val="24"/>
          <w:szCs w:val="26"/>
        </w:rPr>
      </w:pPr>
      <w:r w:rsidRPr="00C241C0">
        <w:rPr>
          <w:rFonts w:ascii="Times New Roman" w:hAnsi="Times New Roman" w:cs="Times New Roman"/>
          <w:w w:val="105"/>
          <w:sz w:val="24"/>
          <w:szCs w:val="26"/>
        </w:rPr>
        <w:t>To obtain a semi-quantitative measure of the bacterial load</w:t>
      </w:r>
    </w:p>
    <w:p w14:paraId="25258111" w14:textId="77777777" w:rsidR="001B3ED2" w:rsidRPr="00C241C0" w:rsidRDefault="001B3ED2" w:rsidP="004B2134">
      <w:pPr>
        <w:pStyle w:val="BodyText"/>
        <w:spacing w:before="10" w:line="360" w:lineRule="auto"/>
        <w:ind w:left="0"/>
        <w:jc w:val="left"/>
        <w:rPr>
          <w:rFonts w:ascii="Times New Roman" w:hAnsi="Times New Roman" w:cs="Times New Roman"/>
          <w:w w:val="105"/>
          <w:sz w:val="24"/>
        </w:rPr>
      </w:pPr>
    </w:p>
    <w:p w14:paraId="2BE98F56" w14:textId="77777777" w:rsidR="00C241C0" w:rsidRDefault="00C241C0" w:rsidP="004B2134">
      <w:pPr>
        <w:pStyle w:val="BodyText"/>
        <w:spacing w:line="360" w:lineRule="auto"/>
        <w:ind w:left="0" w:right="309"/>
        <w:jc w:val="left"/>
        <w:rPr>
          <w:rFonts w:ascii="Times New Roman" w:hAnsi="Times New Roman" w:cs="Times New Roman"/>
          <w:w w:val="105"/>
          <w:sz w:val="24"/>
        </w:rPr>
      </w:pPr>
    </w:p>
    <w:p w14:paraId="51287141" w14:textId="6FC9CDD0" w:rsidR="001B3ED2" w:rsidRPr="00C241C0" w:rsidRDefault="00F12B67" w:rsidP="004B2134">
      <w:pPr>
        <w:pStyle w:val="BodyText"/>
        <w:spacing w:line="360" w:lineRule="auto"/>
        <w:ind w:left="0" w:right="309"/>
        <w:jc w:val="left"/>
        <w:rPr>
          <w:rFonts w:ascii="Times New Roman" w:hAnsi="Times New Roman" w:cs="Times New Roman"/>
          <w:sz w:val="12"/>
        </w:rPr>
      </w:pPr>
      <w:r w:rsidRPr="00C241C0">
        <w:rPr>
          <w:rFonts w:ascii="Times New Roman" w:hAnsi="Times New Roman" w:cs="Times New Roman"/>
          <w:w w:val="105"/>
          <w:sz w:val="24"/>
        </w:rPr>
        <w:lastRenderedPageBreak/>
        <w:t xml:space="preserve">Liquid </w:t>
      </w:r>
      <w:r w:rsidR="004754F6" w:rsidRPr="00C241C0">
        <w:rPr>
          <w:rFonts w:ascii="Times New Roman" w:hAnsi="Times New Roman" w:cs="Times New Roman"/>
          <w:w w:val="105"/>
          <w:sz w:val="24"/>
        </w:rPr>
        <w:t>media</w:t>
      </w:r>
      <w:r w:rsidRPr="00C241C0">
        <w:rPr>
          <w:rFonts w:ascii="Times New Roman" w:hAnsi="Times New Roman" w:cs="Times New Roman"/>
          <w:w w:val="105"/>
          <w:sz w:val="24"/>
        </w:rPr>
        <w:t xml:space="preserve"> are mostly preferred in laboratories. One of the advantages of using liquid </w:t>
      </w:r>
      <w:r w:rsidR="004754F6" w:rsidRPr="00C241C0">
        <w:rPr>
          <w:rFonts w:ascii="Times New Roman" w:hAnsi="Times New Roman" w:cs="Times New Roman"/>
          <w:w w:val="105"/>
          <w:sz w:val="24"/>
        </w:rPr>
        <w:t>media</w:t>
      </w:r>
      <w:r w:rsidRPr="00C241C0">
        <w:rPr>
          <w:rFonts w:ascii="Times New Roman" w:hAnsi="Times New Roman" w:cs="Times New Roman"/>
          <w:w w:val="105"/>
          <w:sz w:val="24"/>
        </w:rPr>
        <w:t xml:space="preserve"> is that it allows the growth of fastidious and dormant microbe cells. There is no need for extra equipment for the anaerobic bacteria to grow, if tubes are filled with nitrogen gas during inoculation. If bacterial inoculation is done under anaerobic conditions and </w:t>
      </w:r>
      <w:r w:rsidR="004754F6" w:rsidRPr="00C241C0">
        <w:rPr>
          <w:rFonts w:ascii="Times New Roman" w:hAnsi="Times New Roman" w:cs="Times New Roman"/>
          <w:w w:val="105"/>
          <w:sz w:val="24"/>
        </w:rPr>
        <w:t xml:space="preserve">the </w:t>
      </w:r>
      <w:r w:rsidRPr="00C241C0">
        <w:rPr>
          <w:rFonts w:ascii="Times New Roman" w:hAnsi="Times New Roman" w:cs="Times New Roman"/>
          <w:w w:val="105"/>
          <w:sz w:val="24"/>
        </w:rPr>
        <w:t xml:space="preserve">bottom part of the tube is filled with bacteria, the tubes are capped tightly (rubber stopper), </w:t>
      </w:r>
      <w:r w:rsidR="004754F6" w:rsidRPr="00C241C0">
        <w:rPr>
          <w:rFonts w:ascii="Times New Roman" w:hAnsi="Times New Roman" w:cs="Times New Roman"/>
          <w:w w:val="105"/>
          <w:sz w:val="24"/>
        </w:rPr>
        <w:t xml:space="preserve">and </w:t>
      </w:r>
      <w:r w:rsidRPr="00C241C0">
        <w:rPr>
          <w:rFonts w:ascii="Times New Roman" w:hAnsi="Times New Roman" w:cs="Times New Roman"/>
          <w:w w:val="105"/>
          <w:sz w:val="24"/>
        </w:rPr>
        <w:t>the medium itself will ascertain anaerobic conditions even for the most oxygen-sensitive</w:t>
      </w:r>
      <w:r w:rsidRPr="00C241C0">
        <w:rPr>
          <w:rFonts w:ascii="Times New Roman" w:hAnsi="Times New Roman" w:cs="Times New Roman"/>
          <w:spacing w:val="1"/>
          <w:w w:val="105"/>
          <w:sz w:val="24"/>
        </w:rPr>
        <w:t xml:space="preserve"> </w:t>
      </w:r>
      <w:r w:rsidRPr="00C241C0">
        <w:rPr>
          <w:rFonts w:ascii="Times New Roman" w:hAnsi="Times New Roman" w:cs="Times New Roman"/>
          <w:w w:val="105"/>
          <w:sz w:val="24"/>
        </w:rPr>
        <w:t>bacterial</w:t>
      </w:r>
      <w:r w:rsidRPr="00C241C0">
        <w:rPr>
          <w:rFonts w:ascii="Times New Roman" w:hAnsi="Times New Roman" w:cs="Times New Roman"/>
          <w:spacing w:val="4"/>
          <w:w w:val="105"/>
          <w:sz w:val="24"/>
        </w:rPr>
        <w:t xml:space="preserve"> </w:t>
      </w:r>
      <w:r w:rsidRPr="00C241C0">
        <w:rPr>
          <w:rFonts w:ascii="Times New Roman" w:hAnsi="Times New Roman" w:cs="Times New Roman"/>
          <w:w w:val="105"/>
          <w:sz w:val="24"/>
        </w:rPr>
        <w:t>species.</w:t>
      </w:r>
      <w:r w:rsidR="003C3057" w:rsidRPr="00C241C0">
        <w:rPr>
          <w:rFonts w:ascii="Times New Roman" w:hAnsi="Times New Roman" w:cs="Times New Roman"/>
          <w:w w:val="105"/>
          <w:sz w:val="24"/>
        </w:rPr>
        <w:t xml:space="preserve"> </w:t>
      </w:r>
      <w:r w:rsidRPr="00C241C0">
        <w:rPr>
          <w:rFonts w:ascii="Times New Roman" w:hAnsi="Times New Roman" w:cs="Times New Roman"/>
          <w:w w:val="105"/>
          <w:sz w:val="24"/>
        </w:rPr>
        <w:t>Solid media (brucella agar plate, blood agar plate) to complement the</w:t>
      </w:r>
      <w:r w:rsidRPr="00C241C0">
        <w:rPr>
          <w:rFonts w:ascii="Times New Roman" w:hAnsi="Times New Roman" w:cs="Times New Roman"/>
          <w:spacing w:val="1"/>
          <w:w w:val="105"/>
          <w:sz w:val="24"/>
        </w:rPr>
        <w:t xml:space="preserve"> </w:t>
      </w:r>
      <w:r w:rsidRPr="00C241C0">
        <w:rPr>
          <w:rFonts w:ascii="Times New Roman" w:hAnsi="Times New Roman" w:cs="Times New Roman"/>
          <w:sz w:val="24"/>
        </w:rPr>
        <w:t xml:space="preserve">liquid </w:t>
      </w:r>
      <w:r w:rsidR="004754F6" w:rsidRPr="00C241C0">
        <w:rPr>
          <w:rFonts w:ascii="Times New Roman" w:hAnsi="Times New Roman" w:cs="Times New Roman"/>
          <w:sz w:val="24"/>
        </w:rPr>
        <w:t>media</w:t>
      </w:r>
      <w:r w:rsidRPr="00C241C0">
        <w:rPr>
          <w:rFonts w:ascii="Times New Roman" w:hAnsi="Times New Roman" w:cs="Times New Roman"/>
          <w:sz w:val="24"/>
        </w:rPr>
        <w:t>, separate aerobic incubation</w:t>
      </w:r>
      <w:r w:rsidR="004754F6" w:rsidRPr="00C241C0">
        <w:rPr>
          <w:rFonts w:ascii="Times New Roman" w:hAnsi="Times New Roman" w:cs="Times New Roman"/>
          <w:sz w:val="24"/>
        </w:rPr>
        <w:t>,</w:t>
      </w:r>
      <w:r w:rsidRPr="00C241C0">
        <w:rPr>
          <w:rFonts w:ascii="Times New Roman" w:hAnsi="Times New Roman" w:cs="Times New Roman"/>
          <w:sz w:val="24"/>
        </w:rPr>
        <w:t xml:space="preserve"> and anaerobic incubation jars are used</w:t>
      </w:r>
      <w:r w:rsidRPr="00C241C0">
        <w:rPr>
          <w:rFonts w:ascii="Times New Roman" w:hAnsi="Times New Roman" w:cs="Times New Roman"/>
          <w:spacing w:val="1"/>
          <w:sz w:val="24"/>
        </w:rPr>
        <w:t xml:space="preserve"> </w:t>
      </w:r>
      <w:r w:rsidRPr="00C241C0">
        <w:rPr>
          <w:rFonts w:ascii="Times New Roman" w:hAnsi="Times New Roman" w:cs="Times New Roman"/>
          <w:w w:val="105"/>
          <w:sz w:val="24"/>
        </w:rPr>
        <w:t>to disclose the diverse microbial species and for the quantification of microbes</w:t>
      </w:r>
      <w:r w:rsidRPr="00C241C0">
        <w:rPr>
          <w:rFonts w:ascii="Times New Roman" w:hAnsi="Times New Roman" w:cs="Times New Roman"/>
          <w:spacing w:val="1"/>
          <w:w w:val="105"/>
          <w:sz w:val="24"/>
        </w:rPr>
        <w:t xml:space="preserve"> </w:t>
      </w:r>
      <w:r w:rsidRPr="00C241C0">
        <w:rPr>
          <w:rFonts w:ascii="Times New Roman" w:hAnsi="Times New Roman" w:cs="Times New Roman"/>
          <w:w w:val="105"/>
          <w:sz w:val="24"/>
        </w:rPr>
        <w:t xml:space="preserve">grown in the liquid media. </w:t>
      </w:r>
      <w:r w:rsidR="00014D6E" w:rsidRPr="00C241C0">
        <w:rPr>
          <w:rFonts w:ascii="Times New Roman" w:hAnsi="Times New Roman" w:cs="Times New Roman"/>
          <w:w w:val="105"/>
          <w:sz w:val="24"/>
        </w:rPr>
        <w:t>Further biochemical tests, selective media, or gram staining should be carried out to identify microbial species and genera</w:t>
      </w:r>
      <w:r w:rsidR="00EA1134" w:rsidRPr="00C241C0">
        <w:rPr>
          <w:rFonts w:ascii="Times New Roman" w:hAnsi="Times New Roman" w:cs="Times New Roman"/>
          <w:w w:val="105"/>
          <w:sz w:val="24"/>
        </w:rPr>
        <w:t xml:space="preserve">. </w:t>
      </w:r>
      <w:r w:rsidR="00287440" w:rsidRPr="00C241C0">
        <w:rPr>
          <w:rFonts w:ascii="Times New Roman" w:hAnsi="Times New Roman" w:cs="Times New Roman"/>
          <w:w w:val="105"/>
          <w:sz w:val="24"/>
        </w:rPr>
        <w:fldChar w:fldCharType="begin"/>
      </w:r>
      <w:r w:rsidR="002E0564" w:rsidRPr="00C241C0">
        <w:rPr>
          <w:rFonts w:ascii="Times New Roman" w:hAnsi="Times New Roman" w:cs="Times New Roman"/>
          <w:w w:val="105"/>
          <w:sz w:val="24"/>
        </w:rPr>
        <w:instrText xml:space="preserve"> ADDIN ZOTERO_ITEM CSL_CITATION {"citationID":"UCXbtoKz","properties":{"formattedCitation":"(7)","plainCitation":"(7)","noteIndex":0},"citationItems":[{"id":32,"uris":["http://zotero.org/users/local/RZx4qjtE/items/XIFZVX8B"],"itemData":{"id":32,"type":"article-journal","abstract":"Objectives. This study examined (1) the effect of penicillin supplementation on reduction of symptoms and (2) the course of recovery of localized acute apical abscess after emergency treatment. Study design. Patients with pulp necrosis and periapical pain and/or localized swelling were considered. Those eligible did not have any signs of spreading infections. Patients received appropriate local treatment, and a double-blind protocol was used to randomly assign them to one of three groups: penicillin VK group, placebo group, or neither medication group. All received ibuprofen 600 mg four times daily for 24 hours. Patients entered their pre- and postoperative pain and swelling experience on a visual analog scale for up to 72 hours.\nResults. Resolution was fairly rapid in most patients. Statistical analysis of the scores of 32 respondents revealed no significant differences (at p &lt; 0.05) between the three groups in course of recovery or symptoms at any time period.\nConclusions. Patients with localized periapical pain or swelling generally recovered quickly with local treatment. The data did not show a demonstrable benefit from penicillin supplementation. (Oral Surg Oral Med Oral Pathol Oral Radiol Endod 1996;81:590-5)","container-title":"Oral Surgery, Oral Medicine, Oral Pathology, Oral Radiology, and Endodontology","DOI":"10.1016/S1079-2104(96)80054-0","ISSN":"10792104","issue":"5","journalAbbreviation":"Oral Surgery, Oral Medicine, Oral Pathology, Oral Radiology, and Endodontology","language":"en","page":"590-595","source":"DOI.org (Crossref)","title":"Penicillin as a supplement in resolving the localized acute apical abscess","volume":"81","author":[{"family":"Fouad","given":"Ashraf F."},{"family":"Rivera","given":"Eric M."},{"family":"Walton","given":"Richard E."}],"issued":{"date-parts":[["1996",5]]}}}],"schema":"https://github.com/citation-style-language/schema/raw/master/csl-citation.json"} </w:instrText>
      </w:r>
      <w:r w:rsidR="00287440" w:rsidRPr="00C241C0">
        <w:rPr>
          <w:rFonts w:ascii="Times New Roman" w:hAnsi="Times New Roman" w:cs="Times New Roman"/>
          <w:w w:val="105"/>
          <w:sz w:val="24"/>
        </w:rPr>
        <w:fldChar w:fldCharType="separate"/>
      </w:r>
      <w:r w:rsidR="002E0564" w:rsidRPr="00C241C0">
        <w:rPr>
          <w:rFonts w:ascii="Times New Roman" w:hAnsi="Times New Roman" w:cs="Times New Roman"/>
          <w:sz w:val="24"/>
        </w:rPr>
        <w:t>(7)</w:t>
      </w:r>
      <w:r w:rsidR="00287440" w:rsidRPr="00C241C0">
        <w:rPr>
          <w:rFonts w:ascii="Times New Roman" w:hAnsi="Times New Roman" w:cs="Times New Roman"/>
          <w:w w:val="105"/>
          <w:sz w:val="24"/>
        </w:rPr>
        <w:fldChar w:fldCharType="end"/>
      </w:r>
    </w:p>
    <w:p w14:paraId="178DB9CF" w14:textId="66B6B196" w:rsidR="001B3ED2" w:rsidRPr="00C241C0" w:rsidRDefault="00D97D0A" w:rsidP="004B2134">
      <w:pPr>
        <w:pStyle w:val="BodyText"/>
        <w:spacing w:line="360" w:lineRule="auto"/>
        <w:jc w:val="left"/>
        <w:rPr>
          <w:rFonts w:ascii="Times New Roman" w:hAnsi="Times New Roman" w:cs="Times New Roman"/>
          <w:sz w:val="20"/>
        </w:rPr>
      </w:pPr>
      <w:r>
        <w:rPr>
          <w:rFonts w:ascii="Times New Roman" w:hAnsi="Times New Roman" w:cs="Times New Roman"/>
          <w:noProof/>
          <w:sz w:val="20"/>
        </w:rPr>
        <w:pict w14:anchorId="09C7A408">
          <v:shape id="_x0000_s1080" type="#_x0000_t202" style="position:absolute;left:0;text-align:left;margin-left:.55pt;margin-top:156.2pt;width:147.95pt;height:68.75pt;z-index:251656704">
            <v:textbox>
              <w:txbxContent>
                <w:p w14:paraId="29F68161" w14:textId="091F8DE0" w:rsidR="00C241C0" w:rsidRPr="00811B8C" w:rsidRDefault="00C241C0" w:rsidP="00811B8C">
                  <w:pPr>
                    <w:rPr>
                      <w:sz w:val="20"/>
                      <w:szCs w:val="20"/>
                    </w:rPr>
                  </w:pPr>
                  <w:r w:rsidRPr="00811B8C">
                    <w:rPr>
                      <w:sz w:val="20"/>
                      <w:szCs w:val="20"/>
                    </w:rPr>
                    <w:t>FIGURE 3:</w:t>
                  </w:r>
                  <w:r w:rsidR="004B2134" w:rsidRPr="004B2134">
                    <w:t xml:space="preserve"> </w:t>
                  </w:r>
                  <w:r w:rsidR="004B2134" w:rsidRPr="004B2134">
                    <w:rPr>
                      <w:sz w:val="20"/>
                      <w:szCs w:val="20"/>
                    </w:rPr>
                    <w:t>The methods used in the Laboratory of Oral Microbiology at Goteborg University when analyzing root canal samples</w:t>
                  </w:r>
                </w:p>
              </w:txbxContent>
            </v:textbox>
          </v:shape>
        </w:pict>
      </w:r>
      <w:r w:rsidR="00F12B67" w:rsidRPr="00C241C0">
        <w:rPr>
          <w:rFonts w:ascii="Times New Roman" w:hAnsi="Times New Roman" w:cs="Times New Roman"/>
          <w:noProof/>
          <w:sz w:val="20"/>
        </w:rPr>
        <w:drawing>
          <wp:inline distT="0" distB="0" distL="0" distR="0" wp14:anchorId="40B78E01" wp14:editId="5CCFA004">
            <wp:extent cx="5991052" cy="3702748"/>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0" cstate="print"/>
                    <a:stretch>
                      <a:fillRect/>
                    </a:stretch>
                  </pic:blipFill>
                  <pic:spPr>
                    <a:xfrm>
                      <a:off x="0" y="0"/>
                      <a:ext cx="5991052" cy="3702748"/>
                    </a:xfrm>
                    <a:prstGeom prst="rect">
                      <a:avLst/>
                    </a:prstGeom>
                  </pic:spPr>
                </pic:pic>
              </a:graphicData>
            </a:graphic>
          </wp:inline>
        </w:drawing>
      </w:r>
    </w:p>
    <w:p w14:paraId="216432CB" w14:textId="77777777" w:rsidR="001B3ED2" w:rsidRPr="00C241C0" w:rsidRDefault="001B3ED2" w:rsidP="004B2134">
      <w:pPr>
        <w:pStyle w:val="BodyText"/>
        <w:spacing w:before="11" w:line="360" w:lineRule="auto"/>
        <w:ind w:left="0"/>
        <w:jc w:val="left"/>
        <w:rPr>
          <w:rFonts w:ascii="Times New Roman" w:hAnsi="Times New Roman" w:cs="Times New Roman"/>
          <w:sz w:val="12"/>
        </w:rPr>
      </w:pPr>
    </w:p>
    <w:p w14:paraId="1BFD5BA8" w14:textId="5F7FF80E" w:rsidR="001B3ED2" w:rsidRPr="00C241C0" w:rsidRDefault="00F12B67" w:rsidP="004B2134">
      <w:pPr>
        <w:pStyle w:val="BodyText"/>
        <w:spacing w:before="92" w:line="360" w:lineRule="auto"/>
        <w:ind w:right="308"/>
        <w:jc w:val="left"/>
        <w:rPr>
          <w:rFonts w:ascii="Times New Roman" w:hAnsi="Times New Roman" w:cs="Times New Roman"/>
          <w:w w:val="105"/>
          <w:sz w:val="24"/>
        </w:rPr>
      </w:pPr>
      <w:r w:rsidRPr="00C241C0">
        <w:rPr>
          <w:rFonts w:ascii="Times New Roman" w:hAnsi="Times New Roman" w:cs="Times New Roman"/>
          <w:w w:val="105"/>
          <w:sz w:val="24"/>
        </w:rPr>
        <w:t>Culture media detect both cultivable and as-yet-uncultivated species and</w:t>
      </w:r>
      <w:r w:rsidRPr="00C241C0">
        <w:rPr>
          <w:rFonts w:ascii="Times New Roman" w:hAnsi="Times New Roman" w:cs="Times New Roman"/>
          <w:spacing w:val="-58"/>
          <w:w w:val="105"/>
          <w:sz w:val="24"/>
        </w:rPr>
        <w:t xml:space="preserve"> </w:t>
      </w:r>
      <w:r w:rsidRPr="00C241C0">
        <w:rPr>
          <w:rFonts w:ascii="Times New Roman" w:hAnsi="Times New Roman" w:cs="Times New Roman"/>
          <w:w w:val="105"/>
          <w:sz w:val="24"/>
        </w:rPr>
        <w:t>strains.</w:t>
      </w:r>
      <w:r w:rsidRPr="00C241C0">
        <w:rPr>
          <w:rFonts w:ascii="Times New Roman" w:hAnsi="Times New Roman" w:cs="Times New Roman"/>
          <w:spacing w:val="-10"/>
          <w:w w:val="105"/>
          <w:sz w:val="24"/>
        </w:rPr>
        <w:t xml:space="preserve"> </w:t>
      </w:r>
      <w:r w:rsidRPr="00C241C0">
        <w:rPr>
          <w:rFonts w:ascii="Times New Roman" w:hAnsi="Times New Roman" w:cs="Times New Roman"/>
          <w:w w:val="105"/>
          <w:sz w:val="24"/>
        </w:rPr>
        <w:t>High</w:t>
      </w:r>
      <w:r w:rsidRPr="00C241C0">
        <w:rPr>
          <w:rFonts w:ascii="Times New Roman" w:hAnsi="Times New Roman" w:cs="Times New Roman"/>
          <w:spacing w:val="-10"/>
          <w:w w:val="105"/>
          <w:sz w:val="24"/>
        </w:rPr>
        <w:t xml:space="preserve"> </w:t>
      </w:r>
      <w:r w:rsidRPr="00C241C0">
        <w:rPr>
          <w:rFonts w:ascii="Times New Roman" w:hAnsi="Times New Roman" w:cs="Times New Roman"/>
          <w:w w:val="105"/>
          <w:sz w:val="24"/>
        </w:rPr>
        <w:t>specificity</w:t>
      </w:r>
      <w:r w:rsidRPr="00C241C0">
        <w:rPr>
          <w:rFonts w:ascii="Times New Roman" w:hAnsi="Times New Roman" w:cs="Times New Roman"/>
          <w:spacing w:val="-10"/>
          <w:w w:val="105"/>
          <w:sz w:val="24"/>
        </w:rPr>
        <w:t xml:space="preserve"> </w:t>
      </w:r>
      <w:r w:rsidRPr="00C241C0">
        <w:rPr>
          <w:rFonts w:ascii="Times New Roman" w:hAnsi="Times New Roman" w:cs="Times New Roman"/>
          <w:w w:val="105"/>
          <w:sz w:val="24"/>
        </w:rPr>
        <w:t>and</w:t>
      </w:r>
      <w:r w:rsidRPr="00C241C0">
        <w:rPr>
          <w:rFonts w:ascii="Times New Roman" w:hAnsi="Times New Roman" w:cs="Times New Roman"/>
          <w:spacing w:val="-10"/>
          <w:w w:val="105"/>
          <w:sz w:val="24"/>
        </w:rPr>
        <w:t xml:space="preserve"> </w:t>
      </w:r>
      <w:r w:rsidRPr="00C241C0">
        <w:rPr>
          <w:rFonts w:ascii="Times New Roman" w:hAnsi="Times New Roman" w:cs="Times New Roman"/>
          <w:w w:val="105"/>
          <w:sz w:val="24"/>
        </w:rPr>
        <w:t>accurate</w:t>
      </w:r>
      <w:r w:rsidRPr="00C241C0">
        <w:rPr>
          <w:rFonts w:ascii="Times New Roman" w:hAnsi="Times New Roman" w:cs="Times New Roman"/>
          <w:spacing w:val="-10"/>
          <w:w w:val="105"/>
          <w:sz w:val="24"/>
        </w:rPr>
        <w:t xml:space="preserve"> </w:t>
      </w:r>
      <w:r w:rsidRPr="00C241C0">
        <w:rPr>
          <w:rFonts w:ascii="Times New Roman" w:hAnsi="Times New Roman" w:cs="Times New Roman"/>
          <w:w w:val="105"/>
          <w:sz w:val="24"/>
        </w:rPr>
        <w:t>identification</w:t>
      </w:r>
      <w:r w:rsidRPr="00C241C0">
        <w:rPr>
          <w:rFonts w:ascii="Times New Roman" w:hAnsi="Times New Roman" w:cs="Times New Roman"/>
          <w:spacing w:val="-10"/>
          <w:w w:val="105"/>
          <w:sz w:val="24"/>
        </w:rPr>
        <w:t xml:space="preserve"> </w:t>
      </w:r>
      <w:r w:rsidRPr="00C241C0">
        <w:rPr>
          <w:rFonts w:ascii="Times New Roman" w:hAnsi="Times New Roman" w:cs="Times New Roman"/>
          <w:w w:val="105"/>
          <w:sz w:val="24"/>
        </w:rPr>
        <w:t>of</w:t>
      </w:r>
      <w:r w:rsidRPr="00C241C0">
        <w:rPr>
          <w:rFonts w:ascii="Times New Roman" w:hAnsi="Times New Roman" w:cs="Times New Roman"/>
          <w:spacing w:val="-10"/>
          <w:w w:val="105"/>
          <w:sz w:val="24"/>
        </w:rPr>
        <w:t xml:space="preserve"> </w:t>
      </w:r>
      <w:r w:rsidRPr="00C241C0">
        <w:rPr>
          <w:rFonts w:ascii="Times New Roman" w:hAnsi="Times New Roman" w:cs="Times New Roman"/>
          <w:w w:val="105"/>
          <w:sz w:val="24"/>
        </w:rPr>
        <w:t>strains</w:t>
      </w:r>
      <w:r w:rsidRPr="00C241C0">
        <w:rPr>
          <w:rFonts w:ascii="Times New Roman" w:hAnsi="Times New Roman" w:cs="Times New Roman"/>
          <w:spacing w:val="-9"/>
          <w:w w:val="105"/>
          <w:sz w:val="24"/>
        </w:rPr>
        <w:t xml:space="preserve"> </w:t>
      </w:r>
      <w:r w:rsidRPr="00C241C0">
        <w:rPr>
          <w:rFonts w:ascii="Times New Roman" w:hAnsi="Times New Roman" w:cs="Times New Roman"/>
          <w:w w:val="105"/>
          <w:sz w:val="24"/>
        </w:rPr>
        <w:t>with</w:t>
      </w:r>
      <w:r w:rsidRPr="00C241C0">
        <w:rPr>
          <w:rFonts w:ascii="Times New Roman" w:hAnsi="Times New Roman" w:cs="Times New Roman"/>
          <w:spacing w:val="-6"/>
          <w:w w:val="105"/>
          <w:sz w:val="24"/>
        </w:rPr>
        <w:t xml:space="preserve"> </w:t>
      </w:r>
      <w:r w:rsidRPr="00C241C0">
        <w:rPr>
          <w:rFonts w:ascii="Times New Roman" w:hAnsi="Times New Roman" w:cs="Times New Roman"/>
          <w:w w:val="105"/>
          <w:sz w:val="24"/>
        </w:rPr>
        <w:t>ambiguous</w:t>
      </w:r>
      <w:r w:rsidRPr="00C241C0">
        <w:rPr>
          <w:rFonts w:ascii="Times New Roman" w:hAnsi="Times New Roman" w:cs="Times New Roman"/>
          <w:spacing w:val="-10"/>
          <w:w w:val="105"/>
          <w:sz w:val="24"/>
        </w:rPr>
        <w:t xml:space="preserve"> </w:t>
      </w:r>
      <w:r w:rsidRPr="00C241C0">
        <w:rPr>
          <w:rFonts w:ascii="Times New Roman" w:hAnsi="Times New Roman" w:cs="Times New Roman"/>
          <w:w w:val="105"/>
          <w:sz w:val="24"/>
        </w:rPr>
        <w:t>or</w:t>
      </w:r>
      <w:r w:rsidRPr="00C241C0">
        <w:rPr>
          <w:rFonts w:ascii="Times New Roman" w:hAnsi="Times New Roman" w:cs="Times New Roman"/>
          <w:spacing w:val="-58"/>
          <w:w w:val="105"/>
          <w:sz w:val="24"/>
        </w:rPr>
        <w:t xml:space="preserve"> </w:t>
      </w:r>
      <w:r w:rsidRPr="00C241C0">
        <w:rPr>
          <w:rFonts w:ascii="Times New Roman" w:hAnsi="Times New Roman" w:cs="Times New Roman"/>
          <w:sz w:val="24"/>
        </w:rPr>
        <w:t xml:space="preserve">aberrant phenotypic </w:t>
      </w:r>
      <w:r w:rsidR="00EE545C" w:rsidRPr="00C241C0">
        <w:rPr>
          <w:rFonts w:ascii="Times New Roman" w:hAnsi="Times New Roman" w:cs="Times New Roman"/>
          <w:sz w:val="24"/>
        </w:rPr>
        <w:t>behavior</w:t>
      </w:r>
      <w:r w:rsidRPr="00C241C0">
        <w:rPr>
          <w:rFonts w:ascii="Times New Roman" w:hAnsi="Times New Roman" w:cs="Times New Roman"/>
          <w:sz w:val="24"/>
        </w:rPr>
        <w:t xml:space="preserve"> is an advantage of culture media. It </w:t>
      </w:r>
      <w:r w:rsidR="004754F6" w:rsidRPr="00C241C0">
        <w:rPr>
          <w:rFonts w:ascii="Times New Roman" w:hAnsi="Times New Roman" w:cs="Times New Roman"/>
          <w:sz w:val="24"/>
        </w:rPr>
        <w:t>has</w:t>
      </w:r>
      <w:r w:rsidRPr="00C241C0">
        <w:rPr>
          <w:rFonts w:ascii="Times New Roman" w:hAnsi="Times New Roman" w:cs="Times New Roman"/>
          <w:sz w:val="24"/>
        </w:rPr>
        <w:t xml:space="preserve"> high</w:t>
      </w:r>
      <w:r w:rsidRPr="00C241C0">
        <w:rPr>
          <w:rFonts w:ascii="Times New Roman" w:hAnsi="Times New Roman" w:cs="Times New Roman"/>
          <w:spacing w:val="1"/>
          <w:sz w:val="24"/>
        </w:rPr>
        <w:t xml:space="preserve"> </w:t>
      </w:r>
      <w:r w:rsidRPr="00C241C0">
        <w:rPr>
          <w:rFonts w:ascii="Times New Roman" w:hAnsi="Times New Roman" w:cs="Times New Roman"/>
          <w:sz w:val="24"/>
        </w:rPr>
        <w:t>sensitivity and detects species directly in clinical samples. Culture media is found</w:t>
      </w:r>
      <w:r w:rsidRPr="00C241C0">
        <w:rPr>
          <w:rFonts w:ascii="Times New Roman" w:hAnsi="Times New Roman" w:cs="Times New Roman"/>
          <w:spacing w:val="1"/>
          <w:sz w:val="24"/>
        </w:rPr>
        <w:t xml:space="preserve"> </w:t>
      </w:r>
      <w:r w:rsidRPr="00C241C0">
        <w:rPr>
          <w:rFonts w:ascii="Times New Roman" w:hAnsi="Times New Roman" w:cs="Times New Roman"/>
          <w:w w:val="105"/>
          <w:sz w:val="24"/>
        </w:rPr>
        <w:t>rapid and most assays take no more than minutes to a few hours to identify a</w:t>
      </w:r>
      <w:r w:rsidRPr="00C241C0">
        <w:rPr>
          <w:rFonts w:ascii="Times New Roman" w:hAnsi="Times New Roman" w:cs="Times New Roman"/>
          <w:spacing w:val="1"/>
          <w:w w:val="105"/>
          <w:sz w:val="24"/>
        </w:rPr>
        <w:t xml:space="preserve"> </w:t>
      </w:r>
      <w:r w:rsidRPr="00C241C0">
        <w:rPr>
          <w:rFonts w:ascii="Times New Roman" w:hAnsi="Times New Roman" w:cs="Times New Roman"/>
          <w:w w:val="105"/>
          <w:sz w:val="24"/>
        </w:rPr>
        <w:t>microbial</w:t>
      </w:r>
      <w:r w:rsidRPr="00C241C0">
        <w:rPr>
          <w:rFonts w:ascii="Times New Roman" w:hAnsi="Times New Roman" w:cs="Times New Roman"/>
          <w:spacing w:val="-12"/>
          <w:w w:val="105"/>
          <w:sz w:val="24"/>
        </w:rPr>
        <w:t xml:space="preserve"> </w:t>
      </w:r>
      <w:r w:rsidRPr="00C241C0">
        <w:rPr>
          <w:rFonts w:ascii="Times New Roman" w:hAnsi="Times New Roman" w:cs="Times New Roman"/>
          <w:w w:val="105"/>
          <w:sz w:val="24"/>
        </w:rPr>
        <w:t>species.</w:t>
      </w:r>
      <w:r w:rsidRPr="00C241C0">
        <w:rPr>
          <w:rFonts w:ascii="Times New Roman" w:hAnsi="Times New Roman" w:cs="Times New Roman"/>
          <w:spacing w:val="-10"/>
          <w:w w:val="105"/>
          <w:sz w:val="24"/>
        </w:rPr>
        <w:t xml:space="preserve"> </w:t>
      </w:r>
      <w:r w:rsidRPr="00C241C0">
        <w:rPr>
          <w:rFonts w:ascii="Times New Roman" w:hAnsi="Times New Roman" w:cs="Times New Roman"/>
          <w:w w:val="105"/>
          <w:sz w:val="24"/>
        </w:rPr>
        <w:t>There</w:t>
      </w:r>
      <w:r w:rsidRPr="00C241C0">
        <w:rPr>
          <w:rFonts w:ascii="Times New Roman" w:hAnsi="Times New Roman" w:cs="Times New Roman"/>
          <w:spacing w:val="-12"/>
          <w:w w:val="105"/>
          <w:sz w:val="24"/>
        </w:rPr>
        <w:t xml:space="preserve"> </w:t>
      </w:r>
      <w:r w:rsidRPr="00C241C0">
        <w:rPr>
          <w:rFonts w:ascii="Times New Roman" w:hAnsi="Times New Roman" w:cs="Times New Roman"/>
          <w:w w:val="105"/>
          <w:sz w:val="24"/>
        </w:rPr>
        <w:t>is</w:t>
      </w:r>
      <w:r w:rsidRPr="00C241C0">
        <w:rPr>
          <w:rFonts w:ascii="Times New Roman" w:hAnsi="Times New Roman" w:cs="Times New Roman"/>
          <w:spacing w:val="-12"/>
          <w:w w:val="105"/>
          <w:sz w:val="24"/>
        </w:rPr>
        <w:t xml:space="preserve"> </w:t>
      </w:r>
      <w:r w:rsidRPr="00C241C0">
        <w:rPr>
          <w:rFonts w:ascii="Times New Roman" w:hAnsi="Times New Roman" w:cs="Times New Roman"/>
          <w:w w:val="105"/>
          <w:sz w:val="24"/>
        </w:rPr>
        <w:t>no</w:t>
      </w:r>
      <w:r w:rsidRPr="00C241C0">
        <w:rPr>
          <w:rFonts w:ascii="Times New Roman" w:hAnsi="Times New Roman" w:cs="Times New Roman"/>
          <w:spacing w:val="-12"/>
          <w:w w:val="105"/>
          <w:sz w:val="24"/>
        </w:rPr>
        <w:t xml:space="preserve"> </w:t>
      </w:r>
      <w:r w:rsidRPr="00C241C0">
        <w:rPr>
          <w:rFonts w:ascii="Times New Roman" w:hAnsi="Times New Roman" w:cs="Times New Roman"/>
          <w:w w:val="105"/>
          <w:sz w:val="24"/>
        </w:rPr>
        <w:t>need</w:t>
      </w:r>
      <w:r w:rsidRPr="00C241C0">
        <w:rPr>
          <w:rFonts w:ascii="Times New Roman" w:hAnsi="Times New Roman" w:cs="Times New Roman"/>
          <w:spacing w:val="-12"/>
          <w:w w:val="105"/>
          <w:sz w:val="24"/>
        </w:rPr>
        <w:t xml:space="preserve"> </w:t>
      </w:r>
      <w:r w:rsidRPr="00C241C0">
        <w:rPr>
          <w:rFonts w:ascii="Times New Roman" w:hAnsi="Times New Roman" w:cs="Times New Roman"/>
          <w:w w:val="105"/>
          <w:sz w:val="24"/>
        </w:rPr>
        <w:t>for</w:t>
      </w:r>
      <w:r w:rsidRPr="00C241C0">
        <w:rPr>
          <w:rFonts w:ascii="Times New Roman" w:hAnsi="Times New Roman" w:cs="Times New Roman"/>
          <w:spacing w:val="-10"/>
          <w:w w:val="105"/>
          <w:sz w:val="24"/>
        </w:rPr>
        <w:t xml:space="preserve"> </w:t>
      </w:r>
      <w:r w:rsidRPr="00C241C0">
        <w:rPr>
          <w:rFonts w:ascii="Times New Roman" w:hAnsi="Times New Roman" w:cs="Times New Roman"/>
          <w:w w:val="105"/>
          <w:sz w:val="24"/>
        </w:rPr>
        <w:t>carefully</w:t>
      </w:r>
      <w:r w:rsidRPr="00C241C0">
        <w:rPr>
          <w:rFonts w:ascii="Times New Roman" w:hAnsi="Times New Roman" w:cs="Times New Roman"/>
          <w:spacing w:val="-12"/>
          <w:w w:val="105"/>
          <w:sz w:val="24"/>
        </w:rPr>
        <w:t xml:space="preserve"> </w:t>
      </w:r>
      <w:r w:rsidRPr="00C241C0">
        <w:rPr>
          <w:rFonts w:ascii="Times New Roman" w:hAnsi="Times New Roman" w:cs="Times New Roman"/>
          <w:w w:val="105"/>
          <w:sz w:val="24"/>
        </w:rPr>
        <w:t>controlled</w:t>
      </w:r>
      <w:r w:rsidRPr="00C241C0">
        <w:rPr>
          <w:rFonts w:ascii="Times New Roman" w:hAnsi="Times New Roman" w:cs="Times New Roman"/>
          <w:spacing w:val="-12"/>
          <w:w w:val="105"/>
          <w:sz w:val="24"/>
        </w:rPr>
        <w:t xml:space="preserve"> </w:t>
      </w:r>
      <w:r w:rsidRPr="00C241C0">
        <w:rPr>
          <w:rFonts w:ascii="Times New Roman" w:hAnsi="Times New Roman" w:cs="Times New Roman"/>
          <w:w w:val="105"/>
          <w:sz w:val="24"/>
        </w:rPr>
        <w:t>anaerobic</w:t>
      </w:r>
      <w:r w:rsidRPr="00C241C0">
        <w:rPr>
          <w:rFonts w:ascii="Times New Roman" w:hAnsi="Times New Roman" w:cs="Times New Roman"/>
          <w:spacing w:val="-12"/>
          <w:w w:val="105"/>
          <w:sz w:val="24"/>
        </w:rPr>
        <w:t xml:space="preserve"> </w:t>
      </w:r>
      <w:r w:rsidRPr="00C241C0">
        <w:rPr>
          <w:rFonts w:ascii="Times New Roman" w:hAnsi="Times New Roman" w:cs="Times New Roman"/>
          <w:w w:val="105"/>
          <w:sz w:val="24"/>
        </w:rPr>
        <w:t>conditions</w:t>
      </w:r>
      <w:r w:rsidRPr="00C241C0">
        <w:rPr>
          <w:rFonts w:ascii="Times New Roman" w:hAnsi="Times New Roman" w:cs="Times New Roman"/>
          <w:spacing w:val="-58"/>
          <w:w w:val="105"/>
          <w:sz w:val="24"/>
        </w:rPr>
        <w:t xml:space="preserve"> </w:t>
      </w:r>
      <w:r w:rsidRPr="00C241C0">
        <w:rPr>
          <w:rFonts w:ascii="Times New Roman" w:hAnsi="Times New Roman" w:cs="Times New Roman"/>
          <w:w w:val="105"/>
          <w:sz w:val="24"/>
        </w:rPr>
        <w:t>during</w:t>
      </w:r>
      <w:r w:rsidRPr="00C241C0">
        <w:rPr>
          <w:rFonts w:ascii="Times New Roman" w:hAnsi="Times New Roman" w:cs="Times New Roman"/>
          <w:spacing w:val="1"/>
          <w:w w:val="105"/>
          <w:sz w:val="24"/>
        </w:rPr>
        <w:t xml:space="preserve"> </w:t>
      </w:r>
      <w:r w:rsidRPr="00C241C0">
        <w:rPr>
          <w:rFonts w:ascii="Times New Roman" w:hAnsi="Times New Roman" w:cs="Times New Roman"/>
          <w:w w:val="105"/>
          <w:sz w:val="24"/>
        </w:rPr>
        <w:t>sampling</w:t>
      </w:r>
      <w:r w:rsidRPr="00C241C0">
        <w:rPr>
          <w:rFonts w:ascii="Times New Roman" w:hAnsi="Times New Roman" w:cs="Times New Roman"/>
          <w:spacing w:val="1"/>
          <w:w w:val="105"/>
          <w:sz w:val="24"/>
        </w:rPr>
        <w:t xml:space="preserve"> </w:t>
      </w:r>
      <w:r w:rsidRPr="00C241C0">
        <w:rPr>
          <w:rFonts w:ascii="Times New Roman" w:hAnsi="Times New Roman" w:cs="Times New Roman"/>
          <w:w w:val="105"/>
          <w:sz w:val="24"/>
        </w:rPr>
        <w:t>and</w:t>
      </w:r>
      <w:r w:rsidRPr="00C241C0">
        <w:rPr>
          <w:rFonts w:ascii="Times New Roman" w:hAnsi="Times New Roman" w:cs="Times New Roman"/>
          <w:spacing w:val="1"/>
          <w:w w:val="105"/>
          <w:sz w:val="24"/>
        </w:rPr>
        <w:t xml:space="preserve"> </w:t>
      </w:r>
      <w:r w:rsidRPr="00C241C0">
        <w:rPr>
          <w:rFonts w:ascii="Times New Roman" w:hAnsi="Times New Roman" w:cs="Times New Roman"/>
          <w:w w:val="105"/>
          <w:sz w:val="24"/>
        </w:rPr>
        <w:t>transportation.</w:t>
      </w:r>
      <w:r w:rsidRPr="00C241C0">
        <w:rPr>
          <w:rFonts w:ascii="Times New Roman" w:hAnsi="Times New Roman" w:cs="Times New Roman"/>
          <w:spacing w:val="1"/>
          <w:w w:val="105"/>
          <w:sz w:val="24"/>
        </w:rPr>
        <w:t xml:space="preserve"> </w:t>
      </w:r>
      <w:r w:rsidRPr="00C241C0">
        <w:rPr>
          <w:rFonts w:ascii="Times New Roman" w:hAnsi="Times New Roman" w:cs="Times New Roman"/>
          <w:w w:val="105"/>
          <w:sz w:val="24"/>
        </w:rPr>
        <w:t>Culture</w:t>
      </w:r>
      <w:r w:rsidRPr="00C241C0">
        <w:rPr>
          <w:rFonts w:ascii="Times New Roman" w:hAnsi="Times New Roman" w:cs="Times New Roman"/>
          <w:spacing w:val="1"/>
          <w:w w:val="105"/>
          <w:sz w:val="24"/>
        </w:rPr>
        <w:t xml:space="preserve"> </w:t>
      </w:r>
      <w:r w:rsidRPr="00C241C0">
        <w:rPr>
          <w:rFonts w:ascii="Times New Roman" w:hAnsi="Times New Roman" w:cs="Times New Roman"/>
          <w:w w:val="105"/>
          <w:sz w:val="24"/>
        </w:rPr>
        <w:t>media</w:t>
      </w:r>
      <w:r w:rsidRPr="00C241C0">
        <w:rPr>
          <w:rFonts w:ascii="Times New Roman" w:hAnsi="Times New Roman" w:cs="Times New Roman"/>
          <w:spacing w:val="1"/>
          <w:w w:val="105"/>
          <w:sz w:val="24"/>
        </w:rPr>
        <w:t xml:space="preserve"> </w:t>
      </w:r>
      <w:r w:rsidRPr="00C241C0">
        <w:rPr>
          <w:rFonts w:ascii="Times New Roman" w:hAnsi="Times New Roman" w:cs="Times New Roman"/>
          <w:w w:val="105"/>
          <w:sz w:val="24"/>
        </w:rPr>
        <w:t>can</w:t>
      </w:r>
      <w:r w:rsidRPr="00C241C0">
        <w:rPr>
          <w:rFonts w:ascii="Times New Roman" w:hAnsi="Times New Roman" w:cs="Times New Roman"/>
          <w:spacing w:val="1"/>
          <w:w w:val="105"/>
          <w:sz w:val="24"/>
        </w:rPr>
        <w:t xml:space="preserve"> </w:t>
      </w:r>
      <w:r w:rsidRPr="00C241C0">
        <w:rPr>
          <w:rFonts w:ascii="Times New Roman" w:hAnsi="Times New Roman" w:cs="Times New Roman"/>
          <w:w w:val="105"/>
          <w:sz w:val="24"/>
        </w:rPr>
        <w:t>be</w:t>
      </w:r>
      <w:r w:rsidRPr="00C241C0">
        <w:rPr>
          <w:rFonts w:ascii="Times New Roman" w:hAnsi="Times New Roman" w:cs="Times New Roman"/>
          <w:spacing w:val="1"/>
          <w:w w:val="105"/>
          <w:sz w:val="24"/>
        </w:rPr>
        <w:t xml:space="preserve"> </w:t>
      </w:r>
      <w:r w:rsidRPr="00C241C0">
        <w:rPr>
          <w:rFonts w:ascii="Times New Roman" w:hAnsi="Times New Roman" w:cs="Times New Roman"/>
          <w:w w:val="105"/>
          <w:sz w:val="24"/>
        </w:rPr>
        <w:t>used</w:t>
      </w:r>
      <w:r w:rsidRPr="00C241C0">
        <w:rPr>
          <w:rFonts w:ascii="Times New Roman" w:hAnsi="Times New Roman" w:cs="Times New Roman"/>
          <w:spacing w:val="1"/>
          <w:w w:val="105"/>
          <w:sz w:val="24"/>
        </w:rPr>
        <w:t xml:space="preserve"> </w:t>
      </w:r>
      <w:r w:rsidRPr="00C241C0">
        <w:rPr>
          <w:rFonts w:ascii="Times New Roman" w:hAnsi="Times New Roman" w:cs="Times New Roman"/>
          <w:w w:val="105"/>
          <w:sz w:val="24"/>
        </w:rPr>
        <w:t>during</w:t>
      </w:r>
      <w:r w:rsidRPr="00C241C0">
        <w:rPr>
          <w:rFonts w:ascii="Times New Roman" w:hAnsi="Times New Roman" w:cs="Times New Roman"/>
          <w:spacing w:val="1"/>
          <w:w w:val="105"/>
          <w:sz w:val="24"/>
        </w:rPr>
        <w:t xml:space="preserve"> </w:t>
      </w:r>
      <w:r w:rsidRPr="00C241C0">
        <w:rPr>
          <w:rFonts w:ascii="Times New Roman" w:hAnsi="Times New Roman" w:cs="Times New Roman"/>
          <w:sz w:val="24"/>
        </w:rPr>
        <w:t>antimicrobial treatment. The samples can be stored frozen for later analysis. The</w:t>
      </w:r>
      <w:r w:rsidRPr="00C241C0">
        <w:rPr>
          <w:rFonts w:ascii="Times New Roman" w:hAnsi="Times New Roman" w:cs="Times New Roman"/>
          <w:spacing w:val="1"/>
          <w:sz w:val="24"/>
        </w:rPr>
        <w:t xml:space="preserve"> </w:t>
      </w:r>
      <w:r w:rsidRPr="00C241C0">
        <w:rPr>
          <w:rFonts w:ascii="Times New Roman" w:hAnsi="Times New Roman" w:cs="Times New Roman"/>
          <w:w w:val="105"/>
          <w:sz w:val="24"/>
        </w:rPr>
        <w:t>DNA can be transported easily between laboratories while using culture media</w:t>
      </w:r>
      <w:r w:rsidR="00F51858" w:rsidRPr="00C241C0">
        <w:rPr>
          <w:rFonts w:ascii="Times New Roman" w:hAnsi="Times New Roman" w:cs="Times New Roman"/>
          <w:w w:val="105"/>
          <w:sz w:val="24"/>
        </w:rPr>
        <w:t>.</w:t>
      </w:r>
      <w:r w:rsidR="002E0564" w:rsidRPr="00C241C0">
        <w:rPr>
          <w:rFonts w:ascii="Times New Roman" w:hAnsi="Times New Roman" w:cs="Times New Roman"/>
          <w:w w:val="105"/>
          <w:sz w:val="24"/>
        </w:rPr>
        <w:fldChar w:fldCharType="begin"/>
      </w:r>
      <w:r w:rsidR="002E0564" w:rsidRPr="00C241C0">
        <w:rPr>
          <w:rFonts w:ascii="Times New Roman" w:hAnsi="Times New Roman" w:cs="Times New Roman"/>
          <w:w w:val="105"/>
          <w:sz w:val="24"/>
        </w:rPr>
        <w:instrText xml:space="preserve"> ADDIN ZOTERO_ITEM CSL_CITATION {"citationID":"5BuCSEDl","properties":{"formattedCitation":"(8)","plainCitation":"(8)","noteIndex":0},"citationItems":[{"id":31,"uris":["http://zotero.org/users/local/RZx4qjtE/items/9YL87S9I"],"itemData":{"id":31,"type":"book","call-number":"QR41.2 .B88 2011","edition":"9th ed","event-place":"Philadelphia","ISBN":"978-1-60547-673-5","language":"en","note":"OCLC: ocn435728489","number-of-pages":"433","publisher":"Wolters Kluwer Health/Lippincott Williams &amp; Wilkins","publisher-place":"Philadelphia","source":"Library of Congress ISBN","title":"Burton's microbiology for the health sciences","author":[{"family":"Engelkirk","given":"Paul G."},{"family":"Duben-Engelkirk","given":"Janet L."},{"family":"Burton","given":"Gwendolyn R. W."}],"issued":{"date-parts":[["2011"]]}}}],"schema":"https://github.com/citation-style-language/schema/raw/master/csl-citation.json"} </w:instrText>
      </w:r>
      <w:r w:rsidR="002E0564" w:rsidRPr="00C241C0">
        <w:rPr>
          <w:rFonts w:ascii="Times New Roman" w:hAnsi="Times New Roman" w:cs="Times New Roman"/>
          <w:w w:val="105"/>
          <w:sz w:val="24"/>
        </w:rPr>
        <w:fldChar w:fldCharType="separate"/>
      </w:r>
      <w:r w:rsidR="002E0564" w:rsidRPr="00C241C0">
        <w:rPr>
          <w:rFonts w:ascii="Times New Roman" w:hAnsi="Times New Roman" w:cs="Times New Roman"/>
          <w:sz w:val="24"/>
        </w:rPr>
        <w:t>(8)</w:t>
      </w:r>
      <w:r w:rsidR="002E0564" w:rsidRPr="00C241C0">
        <w:rPr>
          <w:rFonts w:ascii="Times New Roman" w:hAnsi="Times New Roman" w:cs="Times New Roman"/>
          <w:w w:val="105"/>
          <w:sz w:val="24"/>
        </w:rPr>
        <w:fldChar w:fldCharType="end"/>
      </w:r>
    </w:p>
    <w:p w14:paraId="066D4810" w14:textId="77777777" w:rsidR="003C3057" w:rsidRPr="00C241C0" w:rsidRDefault="003C3057" w:rsidP="004B2134">
      <w:pPr>
        <w:pStyle w:val="BodyText"/>
        <w:spacing w:before="92" w:line="360" w:lineRule="auto"/>
        <w:ind w:right="308"/>
        <w:jc w:val="left"/>
        <w:rPr>
          <w:rFonts w:ascii="Times New Roman" w:hAnsi="Times New Roman" w:cs="Times New Roman"/>
          <w:w w:val="105"/>
          <w:sz w:val="24"/>
        </w:rPr>
      </w:pPr>
    </w:p>
    <w:p w14:paraId="61B20190" w14:textId="77777777" w:rsidR="00EA1134" w:rsidRPr="00C241C0" w:rsidRDefault="00EA1134" w:rsidP="004B2134">
      <w:pPr>
        <w:pStyle w:val="BodyText"/>
        <w:spacing w:before="92" w:line="360" w:lineRule="auto"/>
        <w:ind w:left="0" w:right="308" w:firstLine="719"/>
        <w:jc w:val="left"/>
        <w:rPr>
          <w:rFonts w:ascii="Times New Roman" w:hAnsi="Times New Roman" w:cs="Times New Roman"/>
          <w:w w:val="105"/>
          <w:sz w:val="24"/>
        </w:rPr>
      </w:pPr>
    </w:p>
    <w:p w14:paraId="04F2E0BC" w14:textId="475A103A" w:rsidR="00EA1134" w:rsidRPr="00C241C0" w:rsidRDefault="00EA1134" w:rsidP="004B2134">
      <w:pPr>
        <w:pStyle w:val="Heading1"/>
        <w:tabs>
          <w:tab w:val="left" w:pos="464"/>
        </w:tabs>
        <w:spacing w:line="360" w:lineRule="auto"/>
        <w:ind w:left="180" w:firstLine="0"/>
        <w:rPr>
          <w:rFonts w:ascii="Times New Roman" w:hAnsi="Times New Roman" w:cs="Times New Roman"/>
          <w:sz w:val="28"/>
        </w:rPr>
      </w:pPr>
      <w:r w:rsidRPr="00C241C0">
        <w:rPr>
          <w:rFonts w:ascii="Times New Roman" w:hAnsi="Times New Roman" w:cs="Times New Roman"/>
          <w:sz w:val="28"/>
        </w:rPr>
        <w:t>LIMITATIONS</w:t>
      </w:r>
    </w:p>
    <w:p w14:paraId="74A44397" w14:textId="1357AFA0" w:rsidR="00661B36" w:rsidRPr="00C241C0" w:rsidRDefault="00EE545C" w:rsidP="004B2134">
      <w:pPr>
        <w:pStyle w:val="BodyText"/>
        <w:spacing w:before="161" w:line="360" w:lineRule="auto"/>
        <w:ind w:right="499"/>
        <w:jc w:val="left"/>
        <w:rPr>
          <w:rFonts w:ascii="Times New Roman" w:hAnsi="Times New Roman" w:cs="Times New Roman"/>
          <w:w w:val="105"/>
          <w:sz w:val="24"/>
        </w:rPr>
      </w:pPr>
      <w:r w:rsidRPr="00C241C0">
        <w:rPr>
          <w:rFonts w:ascii="Times New Roman" w:hAnsi="Times New Roman" w:cs="Times New Roman"/>
          <w:w w:val="105"/>
          <w:sz w:val="24"/>
        </w:rPr>
        <w:t>Cultural</w:t>
      </w:r>
      <w:r w:rsidR="000F1D71" w:rsidRPr="00C241C0">
        <w:rPr>
          <w:rFonts w:ascii="Times New Roman" w:hAnsi="Times New Roman" w:cs="Times New Roman"/>
          <w:w w:val="105"/>
          <w:sz w:val="24"/>
        </w:rPr>
        <w:t xml:space="preserve"> media have several limitations. These include the inability to culture numerous existing bacterial species, limited success in recovering viable bacteria, low sensitivity, and a reliance on the microbiologist's experience for specificity. The isolation of anaerobic bacteria demands significant expertise and specialized equipment, and the identification of most anaerobes can be a time-consuming process, often taking several days to weeks. Additionally, the method of sample transport plays a crucial role in the process.</w:t>
      </w:r>
      <w:r w:rsidR="00F12B67" w:rsidRPr="00C241C0">
        <w:rPr>
          <w:rFonts w:ascii="Times New Roman" w:hAnsi="Times New Roman" w:cs="Times New Roman"/>
          <w:w w:val="105"/>
          <w:sz w:val="24"/>
        </w:rPr>
        <w:t xml:space="preserve"> </w:t>
      </w:r>
      <w:r w:rsidR="004754F6" w:rsidRPr="00C241C0">
        <w:rPr>
          <w:rFonts w:ascii="Times New Roman" w:hAnsi="Times New Roman" w:cs="Times New Roman"/>
          <w:w w:val="105"/>
          <w:sz w:val="24"/>
        </w:rPr>
        <w:t>The</w:t>
      </w:r>
      <w:r w:rsidR="00F12B67" w:rsidRPr="00C241C0">
        <w:rPr>
          <w:rFonts w:ascii="Times New Roman" w:hAnsi="Times New Roman" w:cs="Times New Roman"/>
          <w:w w:val="105"/>
          <w:sz w:val="24"/>
        </w:rPr>
        <w:t xml:space="preserve"> sample requires immediate processing. It is costly </w:t>
      </w:r>
      <w:r w:rsidR="00C5494E" w:rsidRPr="00C241C0">
        <w:rPr>
          <w:rFonts w:ascii="Times New Roman" w:hAnsi="Times New Roman" w:cs="Times New Roman"/>
          <w:w w:val="105"/>
          <w:sz w:val="24"/>
        </w:rPr>
        <w:t xml:space="preserve">and </w:t>
      </w:r>
      <w:r w:rsidR="004754F6" w:rsidRPr="00C241C0">
        <w:rPr>
          <w:rFonts w:ascii="Times New Roman" w:hAnsi="Times New Roman" w:cs="Times New Roman"/>
          <w:w w:val="105"/>
          <w:sz w:val="24"/>
        </w:rPr>
        <w:t>time-consuming</w:t>
      </w:r>
      <w:r w:rsidR="003C3057" w:rsidRPr="00C241C0">
        <w:rPr>
          <w:rFonts w:ascii="Times New Roman" w:hAnsi="Times New Roman" w:cs="Times New Roman"/>
          <w:w w:val="105"/>
          <w:sz w:val="24"/>
        </w:rPr>
        <w:t>.</w:t>
      </w:r>
    </w:p>
    <w:p w14:paraId="5CC1FA01" w14:textId="7CDA1148" w:rsidR="001B3ED2" w:rsidRPr="00C241C0" w:rsidRDefault="000F1D71" w:rsidP="004B2134">
      <w:pPr>
        <w:pStyle w:val="BodyText"/>
        <w:spacing w:before="161" w:line="360" w:lineRule="auto"/>
        <w:ind w:right="499" w:firstLine="719"/>
        <w:jc w:val="left"/>
        <w:rPr>
          <w:rFonts w:ascii="Times New Roman" w:hAnsi="Times New Roman" w:cs="Times New Roman"/>
          <w:sz w:val="24"/>
        </w:rPr>
      </w:pPr>
      <w:r w:rsidRPr="00C241C0">
        <w:rPr>
          <w:rFonts w:ascii="Times New Roman" w:hAnsi="Times New Roman" w:cs="Times New Roman"/>
          <w:noProof/>
        </w:rPr>
        <w:drawing>
          <wp:anchor distT="0" distB="0" distL="0" distR="0" simplePos="0" relativeHeight="251649536" behindDoc="0" locked="0" layoutInCell="1" allowOverlap="1" wp14:anchorId="243AA99F" wp14:editId="4CCB1490">
            <wp:simplePos x="0" y="0"/>
            <wp:positionH relativeFrom="page">
              <wp:posOffset>927053</wp:posOffset>
            </wp:positionH>
            <wp:positionV relativeFrom="paragraph">
              <wp:posOffset>337185</wp:posOffset>
            </wp:positionV>
            <wp:extent cx="5772482" cy="2987516"/>
            <wp:effectExtent l="0" t="0" r="0" b="0"/>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11" cstate="print"/>
                    <a:stretch>
                      <a:fillRect/>
                    </a:stretch>
                  </pic:blipFill>
                  <pic:spPr>
                    <a:xfrm>
                      <a:off x="0" y="0"/>
                      <a:ext cx="5772482" cy="2987516"/>
                    </a:xfrm>
                    <a:prstGeom prst="rect">
                      <a:avLst/>
                    </a:prstGeom>
                  </pic:spPr>
                </pic:pic>
              </a:graphicData>
            </a:graphic>
          </wp:anchor>
        </w:drawing>
      </w:r>
      <w:r w:rsidR="004B34E3" w:rsidRPr="00C241C0">
        <w:rPr>
          <w:rFonts w:ascii="Times New Roman" w:hAnsi="Times New Roman" w:cs="Times New Roman"/>
          <w:sz w:val="24"/>
        </w:rPr>
        <w:t xml:space="preserve">  </w:t>
      </w:r>
    </w:p>
    <w:p w14:paraId="18A0E5D6" w14:textId="1101C252" w:rsidR="001B3ED2" w:rsidRPr="00C241C0" w:rsidRDefault="00B91EF4" w:rsidP="004B2134">
      <w:pPr>
        <w:pStyle w:val="Heading1"/>
        <w:tabs>
          <w:tab w:val="left" w:pos="464"/>
        </w:tabs>
        <w:spacing w:line="360" w:lineRule="auto"/>
        <w:ind w:left="0" w:firstLine="0"/>
        <w:rPr>
          <w:rFonts w:ascii="Times New Roman" w:hAnsi="Times New Roman" w:cs="Times New Roman"/>
          <w:sz w:val="28"/>
        </w:rPr>
      </w:pPr>
      <w:r w:rsidRPr="00C241C0">
        <w:rPr>
          <w:rFonts w:ascii="Times New Roman" w:hAnsi="Times New Roman" w:cs="Times New Roman"/>
          <w:sz w:val="28"/>
        </w:rPr>
        <w:t>MOLECULAR METHODS</w:t>
      </w:r>
    </w:p>
    <w:p w14:paraId="1D44FF04" w14:textId="77777777" w:rsidR="003C3057" w:rsidRPr="00C241C0" w:rsidRDefault="003C3057" w:rsidP="004B2134">
      <w:pPr>
        <w:pStyle w:val="BodyText"/>
        <w:spacing w:before="1" w:line="360" w:lineRule="auto"/>
        <w:jc w:val="left"/>
        <w:rPr>
          <w:rFonts w:ascii="Times New Roman" w:hAnsi="Times New Roman" w:cs="Times New Roman"/>
          <w:w w:val="105"/>
          <w:sz w:val="24"/>
        </w:rPr>
      </w:pPr>
    </w:p>
    <w:p w14:paraId="795221B2" w14:textId="7D9DD741" w:rsidR="001B3ED2" w:rsidRDefault="003218D0" w:rsidP="004B2134">
      <w:pPr>
        <w:pStyle w:val="BodyText"/>
        <w:spacing w:before="1" w:line="360" w:lineRule="auto"/>
        <w:jc w:val="left"/>
        <w:rPr>
          <w:rFonts w:ascii="Times New Roman" w:hAnsi="Times New Roman" w:cs="Times New Roman"/>
          <w:sz w:val="20"/>
        </w:rPr>
      </w:pPr>
      <w:r w:rsidRPr="003218D0">
        <w:rPr>
          <w:rFonts w:ascii="Times New Roman" w:hAnsi="Times New Roman" w:cs="Times New Roman"/>
          <w:w w:val="105"/>
          <w:sz w:val="24"/>
        </w:rPr>
        <w:t xml:space="preserve">According to </w:t>
      </w:r>
      <w:proofErr w:type="spellStart"/>
      <w:r w:rsidRPr="003218D0">
        <w:rPr>
          <w:rFonts w:ascii="Times New Roman" w:hAnsi="Times New Roman" w:cs="Times New Roman"/>
          <w:w w:val="105"/>
          <w:sz w:val="24"/>
        </w:rPr>
        <w:t>Woese's</w:t>
      </w:r>
      <w:proofErr w:type="spellEnd"/>
      <w:r w:rsidRPr="003218D0">
        <w:rPr>
          <w:rFonts w:ascii="Times New Roman" w:hAnsi="Times New Roman" w:cs="Times New Roman"/>
          <w:w w:val="105"/>
          <w:sz w:val="24"/>
        </w:rPr>
        <w:t xml:space="preserve"> theory from 2000 (9) and Wade's discussion from four years later (10) on characteristic genes specific to various bacterial species, molecular methods for microbial identification depend on their ability to identify these genes. The 16S and 23S rRNA genes are mainly employed in molecular biology procedures among these technologies. Small subunit rRNA genes can be used to identify microbes and have a number of benefits. These genes are present in all organisms without exception, are long enough to supply a wealth of information, and are small enough to allow for simple sequencing, particularly with the</w:t>
      </w:r>
      <w:r>
        <w:rPr>
          <w:rFonts w:ascii="Times New Roman" w:hAnsi="Times New Roman" w:cs="Times New Roman"/>
          <w:w w:val="105"/>
          <w:sz w:val="24"/>
        </w:rPr>
        <w:t xml:space="preserve"> </w:t>
      </w:r>
      <w:r w:rsidRPr="003218D0">
        <w:rPr>
          <w:rFonts w:ascii="Times New Roman" w:hAnsi="Times New Roman" w:cs="Times New Roman"/>
          <w:w w:val="105"/>
          <w:sz w:val="24"/>
        </w:rPr>
        <w:lastRenderedPageBreak/>
        <w:t>development of automated DNA sequencers. As a result, they offer a soli1). Therefore, the 18S rRNA gene and the 16S rRNA gene (or 16S rDNA) of bacteria and</w:t>
      </w:r>
      <w:r>
        <w:rPr>
          <w:rFonts w:ascii="Times New Roman" w:hAnsi="Times New Roman" w:cs="Times New Roman"/>
          <w:w w:val="105"/>
          <w:sz w:val="24"/>
        </w:rPr>
        <w:t xml:space="preserve"> </w:t>
      </w:r>
      <w:r w:rsidRPr="003218D0">
        <w:rPr>
          <w:rFonts w:ascii="Times New Roman" w:hAnsi="Times New Roman" w:cs="Times New Roman"/>
          <w:w w:val="105"/>
          <w:sz w:val="24"/>
        </w:rPr>
        <w:t>foundation for establishing phylogenetic relationships, as first noted by Woese in</w:t>
      </w:r>
      <w:r>
        <w:rPr>
          <w:rFonts w:ascii="Times New Roman" w:hAnsi="Times New Roman" w:cs="Times New Roman"/>
          <w:w w:val="105"/>
          <w:sz w:val="24"/>
        </w:rPr>
        <w:t xml:space="preserve"> </w:t>
      </w:r>
      <w:r w:rsidRPr="003218D0">
        <w:rPr>
          <w:rFonts w:ascii="Times New Roman" w:hAnsi="Times New Roman" w:cs="Times New Roman"/>
          <w:w w:val="105"/>
          <w:sz w:val="24"/>
        </w:rPr>
        <w:t>1987</w:t>
      </w:r>
      <w:r>
        <w:rPr>
          <w:rFonts w:ascii="Times New Roman" w:hAnsi="Times New Roman" w:cs="Times New Roman"/>
          <w:w w:val="105"/>
          <w:sz w:val="24"/>
        </w:rPr>
        <w:fldChar w:fldCharType="begin"/>
      </w:r>
      <w:r>
        <w:rPr>
          <w:rFonts w:ascii="Times New Roman" w:hAnsi="Times New Roman" w:cs="Times New Roman"/>
          <w:w w:val="105"/>
          <w:sz w:val="24"/>
        </w:rPr>
        <w:instrText xml:space="preserve"> ADDIN ZOTERO_ITEM CSL_CITATION {"citationID":"AjtDFIZ6","properties":{"formattedCitation":"(9)","plainCitation":"(9)","noteIndex":0},"citationItems":[{"id":49,"uris":["http://zotero.org/users/local/RZx4qjtE/items/M2N4PU65"],"itemData":{"id":49,"type":"article-journal","container-title":"Microbiological Reviews","DOI":"10.1128/mr.51.2.221-271.1987","ISSN":"0146-0749","issue":"2","journalAbbreviation":"Microbiol Rev","language":"eng","note":"PMID: 2439888\nPMCID: PMC373105","page":"221-271","source":"PubMed","title":"Bacterial evolution","volume":"51","author":[{"family":"Woese","given":"C. R."}],"issued":{"date-parts":[["1987",6]]}}}],"schema":"https://github.com/citation-style-language/schema/raw/master/csl-citation.json"} </w:instrText>
      </w:r>
      <w:r>
        <w:rPr>
          <w:rFonts w:ascii="Times New Roman" w:hAnsi="Times New Roman" w:cs="Times New Roman"/>
          <w:w w:val="105"/>
          <w:sz w:val="24"/>
        </w:rPr>
        <w:fldChar w:fldCharType="separate"/>
      </w:r>
      <w:r w:rsidRPr="003218D0">
        <w:rPr>
          <w:rFonts w:ascii="Times New Roman" w:hAnsi="Times New Roman" w:cs="Times New Roman"/>
          <w:sz w:val="24"/>
        </w:rPr>
        <w:t>(9)</w:t>
      </w:r>
      <w:r>
        <w:rPr>
          <w:rFonts w:ascii="Times New Roman" w:hAnsi="Times New Roman" w:cs="Times New Roman"/>
          <w:w w:val="105"/>
          <w:sz w:val="24"/>
        </w:rPr>
        <w:fldChar w:fldCharType="end"/>
      </w:r>
    </w:p>
    <w:p w14:paraId="2B7A43A1" w14:textId="1327F9D4" w:rsidR="00811B8C" w:rsidRDefault="00811B8C" w:rsidP="004B2134">
      <w:pPr>
        <w:pStyle w:val="BodyText"/>
        <w:spacing w:before="1" w:line="360" w:lineRule="auto"/>
        <w:jc w:val="left"/>
        <w:rPr>
          <w:rFonts w:ascii="Times New Roman" w:hAnsi="Times New Roman" w:cs="Times New Roman"/>
          <w:sz w:val="20"/>
        </w:rPr>
      </w:pPr>
    </w:p>
    <w:p w14:paraId="7FA80311" w14:textId="1EEFB421" w:rsidR="00811B8C" w:rsidRDefault="003218D0" w:rsidP="004B2134">
      <w:pPr>
        <w:pStyle w:val="BodyText"/>
        <w:spacing w:before="1" w:line="360" w:lineRule="auto"/>
        <w:jc w:val="left"/>
        <w:rPr>
          <w:rFonts w:ascii="Times New Roman" w:hAnsi="Times New Roman" w:cs="Times New Roman"/>
          <w:sz w:val="20"/>
        </w:rPr>
      </w:pPr>
      <w:r>
        <w:rPr>
          <w:rFonts w:ascii="Times New Roman" w:hAnsi="Times New Roman" w:cs="Times New Roman"/>
          <w:noProof/>
          <w:sz w:val="20"/>
        </w:rPr>
        <w:pict w14:anchorId="0178591A">
          <v:shape id="_x0000_s1081" type="#_x0000_t202" style="position:absolute;left:0;text-align:left;margin-left:61.55pt;margin-top:123.35pt;width:361.95pt;height:51.25pt;z-index:251657728">
            <v:textbox>
              <w:txbxContent>
                <w:p w14:paraId="799FBB6C" w14:textId="63E4E33A" w:rsidR="00811B8C" w:rsidRPr="00811B8C" w:rsidRDefault="00811B8C" w:rsidP="00811B8C">
                  <w:pPr>
                    <w:rPr>
                      <w:sz w:val="18"/>
                    </w:rPr>
                  </w:pPr>
                  <w:r>
                    <w:rPr>
                      <w:sz w:val="18"/>
                    </w:rPr>
                    <w:t xml:space="preserve">FIGURE 4: </w:t>
                  </w:r>
                  <w:r w:rsidR="004B2134" w:rsidRPr="004B2134">
                    <w:rPr>
                      <w:sz w:val="18"/>
                    </w:rPr>
                    <w:t xml:space="preserve">The 16S rRNA gene is depicted schematically (rDNA). Variable regions, denoted by areas in yellow, contain details about the genus and the species. In species-specific assays, primers created using these regions are used. The gene's conserved regions are indicated by red areas. Broad-range ammunition uses primers created for these areas. </w:t>
                  </w:r>
                </w:p>
              </w:txbxContent>
            </v:textbox>
          </v:shape>
        </w:pict>
      </w:r>
      <w:r>
        <w:rPr>
          <w:rFonts w:ascii="Times New Roman" w:hAnsi="Times New Roman" w:cs="Times New Roman"/>
          <w:noProof/>
          <w:sz w:val="20"/>
        </w:rPr>
        <w:t xml:space="preserve">                </w:t>
      </w:r>
      <w:r w:rsidRPr="00C241C0">
        <w:rPr>
          <w:rFonts w:ascii="Times New Roman" w:hAnsi="Times New Roman" w:cs="Times New Roman"/>
          <w:noProof/>
          <w:sz w:val="20"/>
        </w:rPr>
        <w:drawing>
          <wp:inline distT="0" distB="0" distL="0" distR="0" wp14:anchorId="0909887E" wp14:editId="4DC61108">
            <wp:extent cx="4885038" cy="1515110"/>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12" cstate="print"/>
                    <a:stretch>
                      <a:fillRect/>
                    </a:stretch>
                  </pic:blipFill>
                  <pic:spPr>
                    <a:xfrm>
                      <a:off x="0" y="0"/>
                      <a:ext cx="4981737" cy="1545102"/>
                    </a:xfrm>
                    <a:prstGeom prst="rect">
                      <a:avLst/>
                    </a:prstGeom>
                  </pic:spPr>
                </pic:pic>
              </a:graphicData>
            </a:graphic>
          </wp:inline>
        </w:drawing>
      </w:r>
    </w:p>
    <w:p w14:paraId="572E47C1" w14:textId="225010A8" w:rsidR="00811B8C" w:rsidRDefault="00811B8C" w:rsidP="004B2134">
      <w:pPr>
        <w:pStyle w:val="BodyText"/>
        <w:spacing w:before="1" w:line="360" w:lineRule="auto"/>
        <w:jc w:val="left"/>
        <w:rPr>
          <w:rFonts w:ascii="Times New Roman" w:hAnsi="Times New Roman" w:cs="Times New Roman"/>
          <w:sz w:val="20"/>
        </w:rPr>
      </w:pPr>
    </w:p>
    <w:p w14:paraId="749BBA2B" w14:textId="0EA6B92C" w:rsidR="00811B8C" w:rsidRDefault="00811B8C" w:rsidP="004B2134">
      <w:pPr>
        <w:pStyle w:val="BodyText"/>
        <w:spacing w:before="1" w:line="360" w:lineRule="auto"/>
        <w:jc w:val="left"/>
        <w:rPr>
          <w:rFonts w:ascii="Times New Roman" w:hAnsi="Times New Roman" w:cs="Times New Roman"/>
          <w:sz w:val="20"/>
        </w:rPr>
      </w:pPr>
    </w:p>
    <w:p w14:paraId="2D1A93CB" w14:textId="77777777" w:rsidR="00811B8C" w:rsidRPr="00C241C0" w:rsidRDefault="00811B8C" w:rsidP="004B2134">
      <w:pPr>
        <w:pStyle w:val="BodyText"/>
        <w:spacing w:before="1" w:line="360" w:lineRule="auto"/>
        <w:jc w:val="left"/>
        <w:rPr>
          <w:rFonts w:ascii="Times New Roman" w:hAnsi="Times New Roman" w:cs="Times New Roman"/>
          <w:sz w:val="20"/>
        </w:rPr>
      </w:pPr>
    </w:p>
    <w:p w14:paraId="46AE28C4" w14:textId="436392C2" w:rsidR="001B3ED2" w:rsidRPr="00C241C0" w:rsidRDefault="004B34E3" w:rsidP="004B2134">
      <w:pPr>
        <w:pStyle w:val="BodyText"/>
        <w:spacing w:line="360" w:lineRule="auto"/>
        <w:ind w:left="720"/>
        <w:jc w:val="left"/>
        <w:rPr>
          <w:rFonts w:ascii="Times New Roman" w:hAnsi="Times New Roman" w:cs="Times New Roman"/>
          <w:sz w:val="20"/>
        </w:rPr>
      </w:pPr>
      <w:r w:rsidRPr="00C241C0">
        <w:rPr>
          <w:rFonts w:ascii="Times New Roman" w:hAnsi="Times New Roman" w:cs="Times New Roman"/>
          <w:sz w:val="20"/>
        </w:rPr>
        <w:t xml:space="preserve">                            </w:t>
      </w:r>
      <w:r w:rsidR="00D97D0A">
        <w:rPr>
          <w:rFonts w:ascii="Times New Roman" w:hAnsi="Times New Roman" w:cs="Times New Roman"/>
          <w:sz w:val="20"/>
        </w:rPr>
      </w:r>
      <w:r w:rsidR="00D97D0A">
        <w:rPr>
          <w:rFonts w:ascii="Times New Roman" w:hAnsi="Times New Roman" w:cs="Times New Roman"/>
          <w:sz w:val="20"/>
        </w:rPr>
        <w:pict w14:anchorId="60A358CD">
          <v:group id="_x0000_s1073" style="width:313.7pt;height:252.9pt;mso-position-horizontal-relative:char;mso-position-vertical-relative:line" coordsize="7076,67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5" type="#_x0000_t75" style="position:absolute;left:115;top:4;width:6956;height:6741">
              <v:imagedata r:id="rId13" o:title=""/>
            </v:shape>
            <v:rect id="_x0000_s1074" style="position:absolute;left:2;top:2;width:7071;height:6746" filled="f" strokeweight=".25pt"/>
            <w10:wrap type="none"/>
            <w10:anchorlock/>
          </v:group>
        </w:pict>
      </w:r>
    </w:p>
    <w:p w14:paraId="26042CFC" w14:textId="5E01E2D5" w:rsidR="001B3ED2" w:rsidRDefault="003218D0" w:rsidP="004B2134">
      <w:pPr>
        <w:pStyle w:val="BodyText"/>
        <w:spacing w:before="3" w:line="360" w:lineRule="auto"/>
        <w:ind w:left="0"/>
        <w:jc w:val="left"/>
        <w:rPr>
          <w:rFonts w:ascii="Times New Roman" w:hAnsi="Times New Roman" w:cs="Times New Roman"/>
          <w:sz w:val="20"/>
        </w:rPr>
      </w:pPr>
      <w:r>
        <w:rPr>
          <w:rFonts w:ascii="Times New Roman" w:hAnsi="Times New Roman" w:cs="Times New Roman"/>
          <w:noProof/>
          <w:sz w:val="20"/>
        </w:rPr>
        <w:pict w14:anchorId="7B1EAB7F">
          <v:shape id="_x0000_s1082" type="#_x0000_t202" style="position:absolute;margin-left:94pt;margin-top:43.95pt;width:329.5pt;height:42.15pt;z-index:251658752">
            <v:textbox style="mso-next-textbox:#_x0000_s1082">
              <w:txbxContent>
                <w:p w14:paraId="03E5B21F" w14:textId="6B1E7E76" w:rsidR="00811B8C" w:rsidRPr="00811B8C" w:rsidRDefault="00811B8C" w:rsidP="00811B8C">
                  <w:pPr>
                    <w:rPr>
                      <w:sz w:val="20"/>
                    </w:rPr>
                  </w:pPr>
                  <w:r>
                    <w:rPr>
                      <w:sz w:val="20"/>
                    </w:rPr>
                    <w:t xml:space="preserve">FIGURE 5: </w:t>
                  </w:r>
                  <w:r w:rsidR="004B2134" w:rsidRPr="004B2134">
                    <w:rPr>
                      <w:sz w:val="20"/>
                    </w:rPr>
                    <w:t>Me</w:t>
                  </w:r>
                  <w:r w:rsidR="004B2134">
                    <w:rPr>
                      <w:sz w:val="20"/>
                    </w:rPr>
                    <w:t>thods from molecular biology</w:t>
                  </w:r>
                  <w:r w:rsidR="004B2134" w:rsidRPr="004B2134">
                    <w:rPr>
                      <w:sz w:val="20"/>
                    </w:rPr>
                    <w:t xml:space="preserve"> used to study endodontic infections. The type of analysis to be done will determine which technique is chosen.</w:t>
                  </w:r>
                </w:p>
              </w:txbxContent>
            </v:textbox>
          </v:shape>
        </w:pict>
      </w:r>
    </w:p>
    <w:p w14:paraId="67E54273" w14:textId="77777777" w:rsidR="00811B8C" w:rsidRPr="00C241C0" w:rsidRDefault="00811B8C" w:rsidP="004B2134">
      <w:pPr>
        <w:pStyle w:val="BodyText"/>
        <w:spacing w:before="3" w:line="360" w:lineRule="auto"/>
        <w:ind w:left="0"/>
        <w:jc w:val="left"/>
        <w:rPr>
          <w:rFonts w:ascii="Times New Roman" w:hAnsi="Times New Roman" w:cs="Times New Roman"/>
          <w:sz w:val="20"/>
        </w:rPr>
        <w:sectPr w:rsidR="00811B8C" w:rsidRPr="00C241C0">
          <w:footerReference w:type="default" r:id="rId14"/>
          <w:pgSz w:w="11910" w:h="16840"/>
          <w:pgMar w:top="1520" w:right="940" w:bottom="1200" w:left="1260" w:header="0" w:footer="920" w:gutter="0"/>
          <w:cols w:space="720"/>
        </w:sectPr>
      </w:pPr>
    </w:p>
    <w:p w14:paraId="495477C1" w14:textId="7CE47D74" w:rsidR="00FA5649" w:rsidRDefault="00F109D0" w:rsidP="004B2134">
      <w:pPr>
        <w:pStyle w:val="Heading1"/>
        <w:tabs>
          <w:tab w:val="left" w:pos="464"/>
        </w:tabs>
        <w:spacing w:line="360" w:lineRule="auto"/>
        <w:ind w:left="0" w:firstLine="0"/>
        <w:rPr>
          <w:rFonts w:ascii="Times New Roman" w:hAnsi="Times New Roman" w:cs="Times New Roman"/>
          <w:sz w:val="28"/>
        </w:rPr>
      </w:pPr>
      <w:r w:rsidRPr="00C241C0">
        <w:rPr>
          <w:rFonts w:ascii="Times New Roman" w:hAnsi="Times New Roman" w:cs="Times New Roman"/>
          <w:sz w:val="28"/>
        </w:rPr>
        <w:lastRenderedPageBreak/>
        <w:t>PCR- POLYMERASE CHAIN REACTION</w:t>
      </w:r>
    </w:p>
    <w:p w14:paraId="64ADCFB0" w14:textId="77777777" w:rsidR="004B2134" w:rsidRPr="00C241C0" w:rsidRDefault="004B2134" w:rsidP="004B2134">
      <w:pPr>
        <w:pStyle w:val="Heading1"/>
        <w:tabs>
          <w:tab w:val="left" w:pos="464"/>
        </w:tabs>
        <w:spacing w:line="360" w:lineRule="auto"/>
        <w:ind w:left="0" w:firstLine="0"/>
        <w:rPr>
          <w:rFonts w:ascii="Times New Roman" w:hAnsi="Times New Roman" w:cs="Times New Roman"/>
          <w:sz w:val="28"/>
        </w:rPr>
      </w:pPr>
    </w:p>
    <w:p w14:paraId="397990F8" w14:textId="49B8E83F" w:rsidR="000F1D71" w:rsidRPr="00C241C0" w:rsidRDefault="000F1D71" w:rsidP="004B2134">
      <w:pPr>
        <w:pStyle w:val="Heading1"/>
        <w:tabs>
          <w:tab w:val="left" w:pos="464"/>
        </w:tabs>
        <w:spacing w:line="360" w:lineRule="auto"/>
        <w:ind w:left="0" w:firstLine="0"/>
        <w:rPr>
          <w:rFonts w:ascii="Times New Roman" w:eastAsia="Cambria" w:hAnsi="Times New Roman" w:cs="Times New Roman"/>
          <w:b w:val="0"/>
          <w:bCs w:val="0"/>
          <w:w w:val="105"/>
          <w:sz w:val="24"/>
        </w:rPr>
      </w:pPr>
      <w:r w:rsidRPr="00C241C0">
        <w:rPr>
          <w:rFonts w:ascii="Times New Roman" w:eastAsia="Cambria" w:hAnsi="Times New Roman" w:cs="Times New Roman"/>
          <w:b w:val="0"/>
          <w:bCs w:val="0"/>
          <w:w w:val="105"/>
          <w:sz w:val="24"/>
        </w:rPr>
        <w:t>The introduction of PCR (Polymerase Chain Reaction) by Kary Mullis in 1983</w:t>
      </w:r>
      <w:r w:rsidR="002E0564" w:rsidRPr="00C241C0">
        <w:rPr>
          <w:rFonts w:ascii="Times New Roman" w:eastAsia="Cambria" w:hAnsi="Times New Roman" w:cs="Times New Roman"/>
          <w:b w:val="0"/>
          <w:bCs w:val="0"/>
          <w:w w:val="105"/>
          <w:sz w:val="24"/>
        </w:rPr>
        <w:t xml:space="preserve"> </w:t>
      </w:r>
      <w:r w:rsidR="00F51858" w:rsidRPr="00C241C0">
        <w:rPr>
          <w:rFonts w:ascii="Times New Roman" w:eastAsia="Cambria" w:hAnsi="Times New Roman" w:cs="Times New Roman"/>
          <w:b w:val="0"/>
          <w:bCs w:val="0"/>
          <w:w w:val="105"/>
          <w:sz w:val="24"/>
        </w:rPr>
        <w:fldChar w:fldCharType="begin"/>
      </w:r>
      <w:r w:rsidR="003218D0">
        <w:rPr>
          <w:rFonts w:ascii="Times New Roman" w:eastAsia="Cambria" w:hAnsi="Times New Roman" w:cs="Times New Roman"/>
          <w:b w:val="0"/>
          <w:bCs w:val="0"/>
          <w:w w:val="105"/>
          <w:sz w:val="24"/>
        </w:rPr>
        <w:instrText xml:space="preserve"> ADDIN ZOTERO_ITEM CSL_CITATION {"citationID":"4P2OZLRw","properties":{"formattedCitation":"(10)","plainCitation":"(10)","noteIndex":0},"citationItems":[{"id":70,"uris":["http://zotero.org/users/local/RZx4qjtE/items/WFR2IVFI"],"itemData":{"id":70,"type":"article-journal","container-title":"Cold Spring Harbor Symposia on Quantitative Biology","DOI":"10.1101/SQB.1986.051.01.032","ISSN":"0091-7451, 1943-4456","issue":"0","journalAbbreviation":"Cold Spring Harbor Symposia on Quantitative Biology","language":"en","page":"263-273","source":"DOI.org (Crossref)","title":"Specific Enzymatic Amplification of DNA In Vitro: The Polymerase Chain Reaction","title-short":"Specific Enzymatic Amplification of DNA In Vitro","volume":"51","author":[{"family":"Mullis","given":"K."},{"family":"Faloona","given":"F."},{"family":"Scharf","given":"S."},{"family":"Saiki","given":"R."},{"family":"Horn","given":"G."},{"family":"Erlich","given":"H."}],"issued":{"date-parts":[["1986",1,1]]}}}],"schema":"https://github.com/citation-style-language/schema/raw/master/csl-citation.json"} </w:instrText>
      </w:r>
      <w:r w:rsidR="00F51858" w:rsidRPr="00C241C0">
        <w:rPr>
          <w:rFonts w:ascii="Times New Roman" w:eastAsia="Cambria" w:hAnsi="Times New Roman" w:cs="Times New Roman"/>
          <w:b w:val="0"/>
          <w:bCs w:val="0"/>
          <w:w w:val="105"/>
          <w:sz w:val="24"/>
        </w:rPr>
        <w:fldChar w:fldCharType="separate"/>
      </w:r>
      <w:r w:rsidR="003218D0" w:rsidRPr="003218D0">
        <w:rPr>
          <w:rFonts w:ascii="Times New Roman" w:hAnsi="Times New Roman" w:cs="Times New Roman"/>
          <w:sz w:val="24"/>
        </w:rPr>
        <w:t>(10)</w:t>
      </w:r>
      <w:r w:rsidR="00F51858" w:rsidRPr="00C241C0">
        <w:rPr>
          <w:rFonts w:ascii="Times New Roman" w:eastAsia="Cambria" w:hAnsi="Times New Roman" w:cs="Times New Roman"/>
          <w:b w:val="0"/>
          <w:bCs w:val="0"/>
          <w:w w:val="105"/>
          <w:sz w:val="24"/>
        </w:rPr>
        <w:fldChar w:fldCharType="end"/>
      </w:r>
      <w:r w:rsidR="00F51858" w:rsidRPr="00C241C0">
        <w:rPr>
          <w:rFonts w:ascii="Times New Roman" w:eastAsia="Cambria" w:hAnsi="Times New Roman" w:cs="Times New Roman"/>
          <w:b w:val="0"/>
          <w:bCs w:val="0"/>
          <w:w w:val="105"/>
          <w:sz w:val="24"/>
        </w:rPr>
        <w:t xml:space="preserve"> </w:t>
      </w:r>
      <w:r w:rsidR="002E0564" w:rsidRPr="00C241C0">
        <w:rPr>
          <w:rFonts w:ascii="Times New Roman" w:eastAsia="Cambria" w:hAnsi="Times New Roman" w:cs="Times New Roman"/>
          <w:b w:val="0"/>
          <w:bCs w:val="0"/>
          <w:w w:val="105"/>
          <w:sz w:val="24"/>
        </w:rPr>
        <w:t>ADDIN</w:t>
      </w:r>
      <w:r w:rsidRPr="00C241C0">
        <w:rPr>
          <w:rFonts w:ascii="Times New Roman" w:eastAsia="Cambria" w:hAnsi="Times New Roman" w:cs="Times New Roman"/>
          <w:b w:val="0"/>
          <w:bCs w:val="0"/>
          <w:w w:val="105"/>
          <w:sz w:val="24"/>
        </w:rPr>
        <w:t xml:space="preserve"> marked a groundbreaking moment in the field of molecular biology. In today's era, it has become possible to extract genes from any organism, facilitating genome sequencing studies. PCR has the remarkable ability to amplify even a single copy of a gene into millions to billions of copies. The fundamental steps involved in PCR are as follows:</w:t>
      </w:r>
    </w:p>
    <w:p w14:paraId="2288C2D7" w14:textId="77777777" w:rsidR="00554E92" w:rsidRDefault="00554E92" w:rsidP="004B2134">
      <w:pPr>
        <w:pStyle w:val="Heading1"/>
        <w:numPr>
          <w:ilvl w:val="1"/>
          <w:numId w:val="19"/>
        </w:numPr>
        <w:tabs>
          <w:tab w:val="left" w:pos="464"/>
        </w:tabs>
        <w:spacing w:line="360" w:lineRule="auto"/>
        <w:ind w:left="720"/>
        <w:rPr>
          <w:rFonts w:ascii="Times New Roman" w:eastAsia="Cambria" w:hAnsi="Times New Roman" w:cs="Times New Roman"/>
          <w:b w:val="0"/>
          <w:bCs w:val="0"/>
          <w:w w:val="105"/>
          <w:sz w:val="24"/>
        </w:rPr>
      </w:pPr>
      <w:r w:rsidRPr="00554E92">
        <w:rPr>
          <w:rFonts w:ascii="Times New Roman" w:eastAsia="Cambria" w:hAnsi="Times New Roman" w:cs="Times New Roman"/>
          <w:b w:val="0"/>
          <w:bCs w:val="0"/>
          <w:w w:val="105"/>
          <w:sz w:val="24"/>
        </w:rPr>
        <w:t xml:space="preserve">When the hydrogen bonds holding the DNA strands together are broken, the target DNA, which serves as the template, is exposed to denaturation (melting) at high temperatures, causing the separation of the two single strands of DNA. </w:t>
      </w:r>
    </w:p>
    <w:p w14:paraId="2D58D01F" w14:textId="77777777" w:rsidR="00AC39BB" w:rsidRPr="00AC39BB" w:rsidRDefault="00AC39BB" w:rsidP="004B2134">
      <w:pPr>
        <w:pStyle w:val="Heading1"/>
        <w:numPr>
          <w:ilvl w:val="1"/>
          <w:numId w:val="19"/>
        </w:numPr>
        <w:tabs>
          <w:tab w:val="left" w:pos="464"/>
        </w:tabs>
        <w:spacing w:line="360" w:lineRule="auto"/>
        <w:ind w:left="720"/>
        <w:rPr>
          <w:rFonts w:ascii="Times New Roman" w:eastAsia="Cambria" w:hAnsi="Times New Roman" w:cs="Times New Roman"/>
          <w:b w:val="0"/>
          <w:bCs w:val="0"/>
          <w:w w:val="105"/>
          <w:sz w:val="24"/>
          <w:szCs w:val="24"/>
        </w:rPr>
      </w:pPr>
      <w:r w:rsidRPr="00AC39BB">
        <w:rPr>
          <w:rFonts w:ascii="Times New Roman" w:eastAsia="Cambria" w:hAnsi="Times New Roman" w:cs="Times New Roman"/>
          <w:b w:val="0"/>
          <w:bCs w:val="0"/>
          <w:w w:val="105"/>
          <w:sz w:val="24"/>
          <w:szCs w:val="24"/>
        </w:rPr>
        <w:t>The primers, which are two brief oligonucleotides, bind to complementary sequences on the target DNA's opposing strands. The boundaries of the DNA segment that will be amplified are defined by these primers.</w:t>
      </w:r>
    </w:p>
    <w:p w14:paraId="457F37DA" w14:textId="77777777" w:rsidR="00AC39BB" w:rsidRDefault="00AC39BB" w:rsidP="00AC39BB">
      <w:pPr>
        <w:pStyle w:val="Heading1"/>
        <w:numPr>
          <w:ilvl w:val="1"/>
          <w:numId w:val="19"/>
        </w:numPr>
        <w:tabs>
          <w:tab w:val="left" w:pos="464"/>
        </w:tabs>
        <w:spacing w:line="360" w:lineRule="auto"/>
        <w:ind w:left="720"/>
        <w:rPr>
          <w:rFonts w:ascii="Times New Roman" w:eastAsia="Cambria" w:hAnsi="Times New Roman" w:cs="Times New Roman"/>
          <w:b w:val="0"/>
          <w:bCs w:val="0"/>
          <w:w w:val="105"/>
          <w:sz w:val="24"/>
          <w:szCs w:val="24"/>
        </w:rPr>
      </w:pPr>
      <w:r w:rsidRPr="00AC39BB">
        <w:rPr>
          <w:rFonts w:ascii="Times New Roman" w:eastAsia="Cambria" w:hAnsi="Times New Roman" w:cs="Times New Roman"/>
          <w:b w:val="0"/>
          <w:bCs w:val="0"/>
          <w:w w:val="105"/>
          <w:sz w:val="24"/>
          <w:szCs w:val="24"/>
        </w:rPr>
        <w:t xml:space="preserve"> A heat-resistant DNA polymerase enzyme creates a complementary second strand of fresh DNA. Deoxyribonucleoside triphosphates (dNTPs) are used in excess to perform this synthesis as the primers are prolonged.</w:t>
      </w:r>
    </w:p>
    <w:p w14:paraId="6A4FF5AB" w14:textId="7A503BD3" w:rsidR="001B3ED2" w:rsidRPr="00AC39BB" w:rsidRDefault="00AC39BB" w:rsidP="00AC39BB">
      <w:pPr>
        <w:pStyle w:val="Heading1"/>
        <w:numPr>
          <w:ilvl w:val="1"/>
          <w:numId w:val="19"/>
        </w:numPr>
        <w:tabs>
          <w:tab w:val="left" w:pos="464"/>
        </w:tabs>
        <w:spacing w:line="360" w:lineRule="auto"/>
        <w:ind w:left="720"/>
        <w:rPr>
          <w:rFonts w:ascii="Times New Roman" w:eastAsia="Cambria" w:hAnsi="Times New Roman" w:cs="Times New Roman"/>
          <w:b w:val="0"/>
          <w:bCs w:val="0"/>
          <w:w w:val="105"/>
          <w:sz w:val="24"/>
          <w:szCs w:val="24"/>
        </w:rPr>
      </w:pPr>
      <w:r w:rsidRPr="00AC39BB">
        <w:rPr>
          <w:rFonts w:ascii="Times New Roman" w:hAnsi="Times New Roman" w:cs="Times New Roman"/>
          <w:b w:val="0"/>
          <w:bCs w:val="0"/>
          <w:w w:val="105"/>
          <w:sz w:val="24"/>
          <w:szCs w:val="24"/>
        </w:rPr>
        <w:t>In every successive cycle, all previously produced DNA products operate as templates for fresh rounds of primer extension reactions. The DNA products are exponentially amplified as a result of this iterative process</w:t>
      </w:r>
      <w:r w:rsidRPr="00AC39BB">
        <w:rPr>
          <w:rFonts w:ascii="Times New Roman" w:hAnsi="Times New Roman" w:cs="Times New Roman"/>
          <w:b w:val="0"/>
          <w:bCs w:val="0"/>
          <w:w w:val="105"/>
        </w:rPr>
        <w:t>.</w:t>
      </w:r>
    </w:p>
    <w:p w14:paraId="18908C32" w14:textId="70A1BFC6" w:rsidR="001B3ED2" w:rsidRPr="00AC39BB" w:rsidRDefault="00AC39BB" w:rsidP="00AC39BB">
      <w:pPr>
        <w:pStyle w:val="BodyText"/>
        <w:rPr>
          <w:rFonts w:ascii="Times New Roman" w:hAnsi="Times New Roman" w:cs="Times New Roman"/>
          <w:w w:val="105"/>
          <w:sz w:val="24"/>
        </w:rPr>
      </w:pPr>
      <w:r w:rsidRPr="00AC39BB">
        <w:rPr>
          <w:noProof/>
          <w:w w:val="105"/>
        </w:rPr>
        <w:drawing>
          <wp:anchor distT="0" distB="0" distL="0" distR="0" simplePos="0" relativeHeight="251658240" behindDoc="0" locked="0" layoutInCell="1" allowOverlap="1" wp14:anchorId="11C57141" wp14:editId="372AFED5">
            <wp:simplePos x="0" y="0"/>
            <wp:positionH relativeFrom="page">
              <wp:posOffset>1067435</wp:posOffset>
            </wp:positionH>
            <wp:positionV relativeFrom="paragraph">
              <wp:posOffset>372110</wp:posOffset>
            </wp:positionV>
            <wp:extent cx="5304790" cy="2061210"/>
            <wp:effectExtent l="0" t="0" r="0" b="0"/>
            <wp:wrapTopAndBottom/>
            <wp:docPr id="3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jpeg"/>
                    <pic:cNvPicPr/>
                  </pic:nvPicPr>
                  <pic:blipFill>
                    <a:blip r:embed="rId15" cstate="print"/>
                    <a:stretch>
                      <a:fillRect/>
                    </a:stretch>
                  </pic:blipFill>
                  <pic:spPr>
                    <a:xfrm>
                      <a:off x="0" y="0"/>
                      <a:ext cx="5304790" cy="2061210"/>
                    </a:xfrm>
                    <a:prstGeom prst="rect">
                      <a:avLst/>
                    </a:prstGeom>
                  </pic:spPr>
                </pic:pic>
              </a:graphicData>
            </a:graphic>
          </wp:anchor>
        </w:drawing>
      </w:r>
    </w:p>
    <w:p w14:paraId="346C7FF8" w14:textId="7C1C9C36" w:rsidR="004B2134" w:rsidRDefault="004B2134" w:rsidP="004B2134">
      <w:pPr>
        <w:pStyle w:val="BodyText"/>
        <w:spacing w:before="1" w:line="360" w:lineRule="auto"/>
        <w:ind w:left="540"/>
        <w:jc w:val="left"/>
        <w:rPr>
          <w:rFonts w:ascii="Times New Roman" w:hAnsi="Times New Roman" w:cs="Times New Roman"/>
          <w:w w:val="105"/>
          <w:sz w:val="24"/>
        </w:rPr>
      </w:pPr>
    </w:p>
    <w:p w14:paraId="105DF931" w14:textId="15F95677" w:rsidR="004B2134" w:rsidRDefault="00AC39BB" w:rsidP="004B2134">
      <w:pPr>
        <w:pStyle w:val="BodyText"/>
        <w:spacing w:before="1" w:line="360" w:lineRule="auto"/>
        <w:ind w:left="540"/>
        <w:jc w:val="left"/>
        <w:rPr>
          <w:rFonts w:ascii="Times New Roman" w:hAnsi="Times New Roman" w:cs="Times New Roman"/>
          <w:w w:val="105"/>
          <w:sz w:val="24"/>
        </w:rPr>
      </w:pPr>
      <w:r w:rsidRPr="00AC39BB">
        <w:rPr>
          <w:noProof/>
        </w:rPr>
        <w:pict w14:anchorId="67C4ECE1">
          <v:shape id="_x0000_s1084" type="#_x0000_t202" style="position:absolute;left:0;text-align:left;margin-left:51.85pt;margin-top:2.4pt;width:234.8pt;height:24.65pt;z-index:251660800">
            <v:textbox>
              <w:txbxContent>
                <w:p w14:paraId="2668C67B" w14:textId="08162D8B" w:rsidR="007A6ACB" w:rsidRDefault="007A6ACB">
                  <w:r>
                    <w:t>FIGURE 6: Steps involved in PCR technique</w:t>
                  </w:r>
                </w:p>
              </w:txbxContent>
            </v:textbox>
          </v:shape>
        </w:pict>
      </w:r>
    </w:p>
    <w:p w14:paraId="31775B78" w14:textId="36687E2B" w:rsidR="004B2134" w:rsidRDefault="004B2134" w:rsidP="004B2134">
      <w:pPr>
        <w:pStyle w:val="BodyText"/>
        <w:spacing w:before="1" w:line="360" w:lineRule="auto"/>
        <w:ind w:left="540"/>
        <w:jc w:val="left"/>
        <w:rPr>
          <w:rFonts w:ascii="Times New Roman" w:hAnsi="Times New Roman" w:cs="Times New Roman"/>
          <w:w w:val="105"/>
          <w:sz w:val="24"/>
        </w:rPr>
      </w:pPr>
    </w:p>
    <w:p w14:paraId="142A5D4A" w14:textId="60D09CCC" w:rsidR="004B2134" w:rsidRDefault="004B2134" w:rsidP="004B2134">
      <w:pPr>
        <w:pStyle w:val="BodyText"/>
        <w:spacing w:before="1" w:line="360" w:lineRule="auto"/>
        <w:ind w:left="540"/>
        <w:jc w:val="left"/>
        <w:rPr>
          <w:rFonts w:ascii="Times New Roman" w:hAnsi="Times New Roman" w:cs="Times New Roman"/>
          <w:w w:val="105"/>
          <w:sz w:val="24"/>
        </w:rPr>
      </w:pPr>
    </w:p>
    <w:p w14:paraId="779A51F5" w14:textId="77777777" w:rsidR="00D16CFD" w:rsidRDefault="00D16CFD" w:rsidP="004B2134">
      <w:pPr>
        <w:pStyle w:val="BodyText"/>
        <w:spacing w:before="1" w:line="360" w:lineRule="auto"/>
        <w:ind w:left="540"/>
        <w:jc w:val="left"/>
        <w:rPr>
          <w:rFonts w:ascii="Times New Roman" w:hAnsi="Times New Roman" w:cs="Times New Roman"/>
          <w:w w:val="105"/>
          <w:sz w:val="24"/>
        </w:rPr>
      </w:pPr>
    </w:p>
    <w:p w14:paraId="2E667010" w14:textId="2311A958" w:rsidR="007A6ACB" w:rsidRDefault="003C3057" w:rsidP="004B2134">
      <w:pPr>
        <w:pStyle w:val="BodyText"/>
        <w:spacing w:before="1" w:line="360" w:lineRule="auto"/>
        <w:ind w:left="540"/>
        <w:jc w:val="left"/>
        <w:rPr>
          <w:rFonts w:ascii="Times New Roman" w:hAnsi="Times New Roman" w:cs="Times New Roman"/>
          <w:w w:val="105"/>
          <w:sz w:val="24"/>
        </w:rPr>
      </w:pPr>
      <w:r w:rsidRPr="00C241C0">
        <w:rPr>
          <w:rFonts w:ascii="Times New Roman" w:hAnsi="Times New Roman" w:cs="Times New Roman"/>
          <w:w w:val="105"/>
          <w:sz w:val="24"/>
        </w:rPr>
        <w:lastRenderedPageBreak/>
        <w:t>V</w:t>
      </w:r>
      <w:r w:rsidR="00F2285E" w:rsidRPr="00C241C0">
        <w:rPr>
          <w:rFonts w:ascii="Times New Roman" w:hAnsi="Times New Roman" w:cs="Times New Roman"/>
          <w:w w:val="105"/>
          <w:sz w:val="24"/>
        </w:rPr>
        <w:t>arious methods are available to confirm the successful generation of the desired PCR product, with agarose gel electrophoresis being the most commonly employed technique.</w:t>
      </w:r>
    </w:p>
    <w:p w14:paraId="7698DB29" w14:textId="77777777" w:rsidR="007A6ACB" w:rsidRDefault="007A6ACB" w:rsidP="004B2134">
      <w:pPr>
        <w:pStyle w:val="BodyText"/>
        <w:spacing w:before="1" w:line="360" w:lineRule="auto"/>
        <w:ind w:left="540"/>
        <w:jc w:val="left"/>
        <w:rPr>
          <w:rFonts w:ascii="Times New Roman" w:hAnsi="Times New Roman" w:cs="Times New Roman"/>
          <w:w w:val="105"/>
          <w:sz w:val="24"/>
        </w:rPr>
      </w:pPr>
    </w:p>
    <w:p w14:paraId="058A5796" w14:textId="5F96BF17" w:rsidR="00F2285E" w:rsidRPr="00C241C0" w:rsidRDefault="00F109D0" w:rsidP="004B2134">
      <w:pPr>
        <w:pStyle w:val="BodyText"/>
        <w:spacing w:before="1" w:line="360" w:lineRule="auto"/>
        <w:ind w:left="540"/>
        <w:jc w:val="left"/>
        <w:rPr>
          <w:rFonts w:ascii="Times New Roman" w:hAnsi="Times New Roman" w:cs="Times New Roman"/>
          <w:w w:val="105"/>
          <w:sz w:val="24"/>
        </w:rPr>
      </w:pPr>
      <w:r w:rsidRPr="00C241C0">
        <w:rPr>
          <w:rFonts w:ascii="Times New Roman" w:hAnsi="Times New Roman" w:cs="Times New Roman"/>
          <w:b/>
          <w:bCs/>
          <w:w w:val="105"/>
          <w:sz w:val="24"/>
        </w:rPr>
        <w:t>AGAROSE GEL ELECTROPHORESIS</w:t>
      </w:r>
    </w:p>
    <w:p w14:paraId="503B3112" w14:textId="4CC1306B" w:rsidR="00F2285E" w:rsidRPr="00C241C0" w:rsidRDefault="00D16CFD" w:rsidP="004B2134">
      <w:pPr>
        <w:pStyle w:val="BodyText"/>
        <w:spacing w:before="1" w:line="360" w:lineRule="auto"/>
        <w:ind w:left="540"/>
        <w:jc w:val="left"/>
        <w:rPr>
          <w:rFonts w:ascii="Times New Roman" w:hAnsi="Times New Roman" w:cs="Times New Roman"/>
          <w:w w:val="105"/>
          <w:sz w:val="24"/>
        </w:rPr>
      </w:pPr>
      <w:r w:rsidRPr="00D16CFD">
        <w:rPr>
          <w:rFonts w:ascii="Times New Roman" w:hAnsi="Times New Roman" w:cs="Times New Roman"/>
          <w:w w:val="105"/>
          <w:sz w:val="24"/>
        </w:rPr>
        <w:t>This method involves placing a small amount of the PCR reaction sample onto an agarose gel and applying an electrical gradient through a buffer solution. The dimension of the PCR products affects how they travel along the gel as they migrate. Shorter migration distances occur as a result of larger products encountering greater resistance within the gel matrix. DNA ladder digests containing DNA fragments of known sizes are performed alongside the samples as molecular size standards in order to determine the size of the PCR results. Usually, ethidium bromide staining followed by ultraviolet light exposure is used to see the gel. When chosen primers are effective, a PCR product of a particular size is produced. Therefore, the existence of a band matching the anticipated</w:t>
      </w:r>
      <w:r>
        <w:rPr>
          <w:rFonts w:ascii="Times New Roman" w:hAnsi="Times New Roman" w:cs="Times New Roman"/>
          <w:w w:val="105"/>
          <w:sz w:val="24"/>
        </w:rPr>
        <w:t>.</w:t>
      </w:r>
    </w:p>
    <w:p w14:paraId="4B726145" w14:textId="2EC200DE" w:rsidR="001B3ED2" w:rsidRPr="00C241C0" w:rsidRDefault="00D97D0A" w:rsidP="004B2134">
      <w:pPr>
        <w:pStyle w:val="BodyText"/>
        <w:spacing w:before="1" w:line="360" w:lineRule="auto"/>
        <w:ind w:left="540"/>
        <w:jc w:val="left"/>
        <w:rPr>
          <w:rFonts w:ascii="Times New Roman" w:hAnsi="Times New Roman" w:cs="Times New Roman"/>
          <w:w w:val="105"/>
          <w:sz w:val="24"/>
        </w:rPr>
      </w:pPr>
      <w:r>
        <w:rPr>
          <w:rFonts w:ascii="Times New Roman" w:hAnsi="Times New Roman" w:cs="Times New Roman"/>
          <w:noProof/>
          <w:sz w:val="24"/>
        </w:rPr>
        <w:pict w14:anchorId="63A823BB">
          <v:shape id="_x0000_s1083" type="#_x0000_t202" style="position:absolute;left:0;text-align:left;margin-left:136.8pt;margin-top:264.5pt;width:212.1pt;height:22pt;z-index:251659776">
            <v:textbox>
              <w:txbxContent>
                <w:p w14:paraId="36F46194" w14:textId="4A30C2B6" w:rsidR="007A6ACB" w:rsidRPr="007A6ACB" w:rsidRDefault="007A6ACB">
                  <w:pPr>
                    <w:rPr>
                      <w:sz w:val="20"/>
                    </w:rPr>
                  </w:pPr>
                  <w:r w:rsidRPr="007A6ACB">
                    <w:rPr>
                      <w:sz w:val="20"/>
                    </w:rPr>
                    <w:t>FIGURE 7: Agarose gel electrophoresis system</w:t>
                  </w:r>
                </w:p>
              </w:txbxContent>
            </v:textbox>
          </v:shape>
        </w:pict>
      </w:r>
      <w:r w:rsidR="00F12B67" w:rsidRPr="00C241C0">
        <w:rPr>
          <w:rFonts w:ascii="Times New Roman" w:hAnsi="Times New Roman" w:cs="Times New Roman"/>
          <w:noProof/>
          <w:w w:val="105"/>
          <w:sz w:val="24"/>
        </w:rPr>
        <w:drawing>
          <wp:anchor distT="0" distB="0" distL="0" distR="0" simplePos="0" relativeHeight="251659264" behindDoc="0" locked="0" layoutInCell="1" allowOverlap="1" wp14:anchorId="50DCEE18" wp14:editId="077F0FCB">
            <wp:simplePos x="0" y="0"/>
            <wp:positionH relativeFrom="page">
              <wp:posOffset>1266444</wp:posOffset>
            </wp:positionH>
            <wp:positionV relativeFrom="paragraph">
              <wp:posOffset>201756</wp:posOffset>
            </wp:positionV>
            <wp:extent cx="5040061" cy="3063240"/>
            <wp:effectExtent l="0" t="0" r="0" b="0"/>
            <wp:wrapTopAndBottom/>
            <wp:docPr id="37"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jpeg"/>
                    <pic:cNvPicPr/>
                  </pic:nvPicPr>
                  <pic:blipFill>
                    <a:blip r:embed="rId16" cstate="print"/>
                    <a:stretch>
                      <a:fillRect/>
                    </a:stretch>
                  </pic:blipFill>
                  <pic:spPr>
                    <a:xfrm>
                      <a:off x="0" y="0"/>
                      <a:ext cx="5040061" cy="3063240"/>
                    </a:xfrm>
                    <a:prstGeom prst="rect">
                      <a:avLst/>
                    </a:prstGeom>
                  </pic:spPr>
                </pic:pic>
              </a:graphicData>
            </a:graphic>
          </wp:anchor>
        </w:drawing>
      </w:r>
    </w:p>
    <w:p w14:paraId="37AED9FB" w14:textId="65A3D733" w:rsidR="00F109D0" w:rsidRDefault="00F109D0" w:rsidP="004B2134">
      <w:pPr>
        <w:pStyle w:val="BodyText"/>
        <w:spacing w:before="1" w:line="360" w:lineRule="auto"/>
        <w:jc w:val="left"/>
        <w:rPr>
          <w:rFonts w:ascii="Times New Roman" w:hAnsi="Times New Roman" w:cs="Times New Roman"/>
          <w:w w:val="105"/>
          <w:sz w:val="24"/>
        </w:rPr>
      </w:pPr>
    </w:p>
    <w:p w14:paraId="531DEF89" w14:textId="77777777" w:rsidR="00D16CFD" w:rsidRPr="00C241C0" w:rsidRDefault="00D16CFD" w:rsidP="004B2134">
      <w:pPr>
        <w:pStyle w:val="BodyText"/>
        <w:spacing w:before="1" w:line="360" w:lineRule="auto"/>
        <w:jc w:val="left"/>
        <w:rPr>
          <w:rFonts w:ascii="Times New Roman" w:hAnsi="Times New Roman" w:cs="Times New Roman"/>
          <w:w w:val="105"/>
          <w:sz w:val="24"/>
        </w:rPr>
      </w:pPr>
    </w:p>
    <w:p w14:paraId="58D1316F" w14:textId="77777777" w:rsidR="00D16CFD" w:rsidRDefault="00D16CFD" w:rsidP="00D16CFD">
      <w:pPr>
        <w:pStyle w:val="BodyText"/>
        <w:spacing w:before="1" w:line="360" w:lineRule="auto"/>
        <w:ind w:left="540"/>
        <w:rPr>
          <w:rFonts w:ascii="Times New Roman" w:hAnsi="Times New Roman" w:cs="Times New Roman"/>
          <w:w w:val="105"/>
          <w:sz w:val="24"/>
        </w:rPr>
      </w:pPr>
      <w:r w:rsidRPr="00D16CFD">
        <w:rPr>
          <w:rFonts w:ascii="Times New Roman" w:hAnsi="Times New Roman" w:cs="Times New Roman"/>
          <w:w w:val="105"/>
          <w:sz w:val="24"/>
        </w:rPr>
        <w:t>The identification of PCR products can be verified using a number of techniques:</w:t>
      </w:r>
    </w:p>
    <w:p w14:paraId="48EE04DC" w14:textId="77777777" w:rsidR="00D16CFD" w:rsidRPr="00D16CFD" w:rsidRDefault="00D16CFD" w:rsidP="00D16CFD">
      <w:pPr>
        <w:pStyle w:val="BodyText"/>
        <w:spacing w:before="1" w:line="360" w:lineRule="auto"/>
        <w:ind w:left="540"/>
        <w:rPr>
          <w:rFonts w:ascii="Times New Roman" w:hAnsi="Times New Roman" w:cs="Times New Roman"/>
          <w:w w:val="105"/>
          <w:sz w:val="24"/>
        </w:rPr>
      </w:pPr>
    </w:p>
    <w:p w14:paraId="6C626050" w14:textId="61DE750C" w:rsidR="00D16CFD" w:rsidRDefault="00D16CFD" w:rsidP="00D16CFD">
      <w:pPr>
        <w:pStyle w:val="BodyText"/>
        <w:numPr>
          <w:ilvl w:val="0"/>
          <w:numId w:val="31"/>
        </w:numPr>
        <w:spacing w:before="1" w:line="360" w:lineRule="auto"/>
        <w:rPr>
          <w:rFonts w:ascii="Times New Roman" w:hAnsi="Times New Roman" w:cs="Times New Roman"/>
          <w:w w:val="105"/>
          <w:sz w:val="24"/>
        </w:rPr>
      </w:pPr>
      <w:r w:rsidRPr="00D16CFD">
        <w:rPr>
          <w:rFonts w:ascii="Times New Roman" w:hAnsi="Times New Roman" w:cs="Times New Roman"/>
          <w:w w:val="105"/>
          <w:sz w:val="24"/>
        </w:rPr>
        <w:t>PCR product sequencing involves determining the PCR product with certainty by pinpointing its precise genetic sequence. a particular oligonucleotide probe is hybridized to a region inside the PCR product between the priming sites.</w:t>
      </w:r>
    </w:p>
    <w:p w14:paraId="42701B92" w14:textId="77777777" w:rsidR="00D16CFD" w:rsidRPr="00D16CFD" w:rsidRDefault="00D16CFD" w:rsidP="00D16CFD">
      <w:pPr>
        <w:pStyle w:val="BodyText"/>
        <w:spacing w:before="1" w:line="360" w:lineRule="auto"/>
        <w:ind w:left="1260"/>
        <w:rPr>
          <w:rFonts w:ascii="Times New Roman" w:hAnsi="Times New Roman" w:cs="Times New Roman"/>
          <w:w w:val="105"/>
          <w:sz w:val="24"/>
        </w:rPr>
      </w:pPr>
    </w:p>
    <w:p w14:paraId="1515D9F9" w14:textId="77777777" w:rsidR="00D16CFD" w:rsidRPr="00D16CFD" w:rsidRDefault="00D16CFD" w:rsidP="00D16CFD">
      <w:pPr>
        <w:pStyle w:val="BodyText"/>
        <w:spacing w:before="1" w:line="360" w:lineRule="auto"/>
        <w:ind w:left="540"/>
        <w:rPr>
          <w:rFonts w:ascii="Times New Roman" w:hAnsi="Times New Roman" w:cs="Times New Roman"/>
          <w:w w:val="105"/>
          <w:sz w:val="24"/>
        </w:rPr>
      </w:pPr>
      <w:r w:rsidRPr="00D16CFD">
        <w:rPr>
          <w:rFonts w:ascii="Times New Roman" w:hAnsi="Times New Roman" w:cs="Times New Roman"/>
          <w:w w:val="105"/>
          <w:sz w:val="24"/>
        </w:rPr>
        <w:lastRenderedPageBreak/>
        <w:t>ii. Amplifying the PCR product for additional examination.</w:t>
      </w:r>
    </w:p>
    <w:p w14:paraId="65115DA1" w14:textId="0257D125" w:rsidR="00F109D0" w:rsidRDefault="00D16CFD" w:rsidP="00D16CFD">
      <w:pPr>
        <w:pStyle w:val="BodyText"/>
        <w:spacing w:before="1" w:line="360" w:lineRule="auto"/>
        <w:ind w:left="540"/>
        <w:jc w:val="left"/>
        <w:rPr>
          <w:rFonts w:ascii="Times New Roman" w:hAnsi="Times New Roman" w:cs="Times New Roman"/>
          <w:w w:val="105"/>
          <w:sz w:val="24"/>
        </w:rPr>
      </w:pPr>
      <w:r w:rsidRPr="00D16CFD">
        <w:rPr>
          <w:rFonts w:ascii="Times New Roman" w:hAnsi="Times New Roman" w:cs="Times New Roman"/>
          <w:w w:val="105"/>
          <w:sz w:val="24"/>
        </w:rPr>
        <w:t>The technique known as restriction fragment length polymorphism (RFLP) involves cleaving the PCR product with a known restriction enzyme that slashes a particular sequence within the product.</w:t>
      </w:r>
    </w:p>
    <w:p w14:paraId="19E2BC39" w14:textId="77777777" w:rsidR="00D16CFD" w:rsidRPr="00C241C0" w:rsidRDefault="00D16CFD" w:rsidP="00D16CFD">
      <w:pPr>
        <w:pStyle w:val="BodyText"/>
        <w:spacing w:before="1" w:line="360" w:lineRule="auto"/>
        <w:ind w:left="540"/>
        <w:jc w:val="left"/>
        <w:rPr>
          <w:rFonts w:ascii="Times New Roman" w:hAnsi="Times New Roman" w:cs="Times New Roman"/>
          <w:w w:val="105"/>
          <w:sz w:val="24"/>
        </w:rPr>
      </w:pPr>
    </w:p>
    <w:p w14:paraId="2943B79C" w14:textId="05CC69B9" w:rsidR="00F2285E" w:rsidRDefault="00F109D0" w:rsidP="004B2134">
      <w:pPr>
        <w:pStyle w:val="BodyText"/>
        <w:spacing w:before="1" w:line="360" w:lineRule="auto"/>
        <w:ind w:left="540"/>
        <w:jc w:val="left"/>
        <w:rPr>
          <w:rFonts w:ascii="Times New Roman" w:hAnsi="Times New Roman" w:cs="Times New Roman"/>
          <w:b/>
          <w:bCs/>
          <w:w w:val="105"/>
          <w:sz w:val="24"/>
        </w:rPr>
      </w:pPr>
      <w:r w:rsidRPr="00C241C0">
        <w:rPr>
          <w:rFonts w:ascii="Times New Roman" w:hAnsi="Times New Roman" w:cs="Times New Roman"/>
          <w:b/>
          <w:bCs/>
          <w:w w:val="105"/>
          <w:sz w:val="24"/>
        </w:rPr>
        <w:t>PCR AND ITS DERIVATIVES:</w:t>
      </w:r>
    </w:p>
    <w:p w14:paraId="7113F272" w14:textId="77777777" w:rsidR="000F77A5" w:rsidRPr="00C241C0" w:rsidRDefault="000F77A5" w:rsidP="004B2134">
      <w:pPr>
        <w:pStyle w:val="BodyText"/>
        <w:spacing w:before="1" w:line="360" w:lineRule="auto"/>
        <w:ind w:left="540"/>
        <w:jc w:val="left"/>
        <w:rPr>
          <w:rFonts w:ascii="Times New Roman" w:hAnsi="Times New Roman" w:cs="Times New Roman"/>
          <w:b/>
          <w:bCs/>
          <w:w w:val="105"/>
          <w:sz w:val="24"/>
        </w:rPr>
      </w:pPr>
    </w:p>
    <w:p w14:paraId="67DE0075" w14:textId="1CE8467B" w:rsidR="000F77A5" w:rsidRDefault="000F77A5" w:rsidP="000F77A5">
      <w:pPr>
        <w:pStyle w:val="BodyText"/>
        <w:numPr>
          <w:ilvl w:val="0"/>
          <w:numId w:val="32"/>
        </w:numPr>
        <w:spacing w:before="1" w:line="360" w:lineRule="auto"/>
        <w:rPr>
          <w:rFonts w:ascii="Times New Roman" w:hAnsi="Times New Roman" w:cs="Times New Roman"/>
          <w:b/>
          <w:bCs/>
          <w:w w:val="105"/>
          <w:sz w:val="24"/>
        </w:rPr>
      </w:pPr>
      <w:r w:rsidRPr="000F77A5">
        <w:rPr>
          <w:rFonts w:ascii="Times New Roman" w:hAnsi="Times New Roman" w:cs="Times New Roman"/>
          <w:b/>
          <w:bCs/>
          <w:w w:val="105"/>
          <w:sz w:val="24"/>
        </w:rPr>
        <w:t>SPECIES-SPECIFIC</w:t>
      </w:r>
      <w:r>
        <w:rPr>
          <w:rFonts w:ascii="Times New Roman" w:hAnsi="Times New Roman" w:cs="Times New Roman"/>
          <w:b/>
          <w:bCs/>
          <w:w w:val="105"/>
          <w:sz w:val="24"/>
        </w:rPr>
        <w:t xml:space="preserve"> PCR</w:t>
      </w:r>
      <w:r w:rsidRPr="000F77A5">
        <w:rPr>
          <w:rFonts w:ascii="Times New Roman" w:hAnsi="Times New Roman" w:cs="Times New Roman"/>
          <w:b/>
          <w:bCs/>
          <w:w w:val="105"/>
          <w:sz w:val="24"/>
        </w:rPr>
        <w:t xml:space="preserve"> </w:t>
      </w:r>
    </w:p>
    <w:p w14:paraId="7C5E87DB" w14:textId="77777777" w:rsidR="000F77A5" w:rsidRPr="000F77A5" w:rsidRDefault="000F77A5" w:rsidP="00D16CFD">
      <w:pPr>
        <w:pStyle w:val="BodyText"/>
        <w:spacing w:before="1" w:line="360" w:lineRule="auto"/>
        <w:ind w:left="540"/>
        <w:rPr>
          <w:rFonts w:ascii="Times New Roman" w:hAnsi="Times New Roman" w:cs="Times New Roman"/>
          <w:b/>
          <w:bCs/>
          <w:w w:val="105"/>
          <w:sz w:val="24"/>
        </w:rPr>
      </w:pPr>
    </w:p>
    <w:p w14:paraId="7C33EBFC" w14:textId="3737845F" w:rsidR="00D16CFD" w:rsidRPr="00D16CFD" w:rsidRDefault="00D16CFD" w:rsidP="00D16CFD">
      <w:pPr>
        <w:pStyle w:val="BodyText"/>
        <w:spacing w:before="1" w:line="360" w:lineRule="auto"/>
        <w:ind w:left="540"/>
        <w:rPr>
          <w:rFonts w:ascii="Times New Roman" w:hAnsi="Times New Roman" w:cs="Times New Roman"/>
          <w:w w:val="105"/>
          <w:sz w:val="24"/>
        </w:rPr>
      </w:pPr>
      <w:r w:rsidRPr="00D16CFD">
        <w:rPr>
          <w:rFonts w:ascii="Times New Roman" w:hAnsi="Times New Roman" w:cs="Times New Roman"/>
          <w:w w:val="105"/>
          <w:sz w:val="24"/>
        </w:rPr>
        <w:t>The 16S rRNA gene's variable sections are employed by the widely used PCR technique to identify and create primers that are particular to different bacterial species. Primers that can identify nearly all cultivable and yet-to-be-cultivated oral species have been developed using public datasets that contained 16S rRNA gene sequences from different oral bacteria.</w:t>
      </w:r>
    </w:p>
    <w:p w14:paraId="4760E3E9" w14:textId="6EF10A05" w:rsidR="00FA5649" w:rsidRPr="00C241C0" w:rsidRDefault="00D16CFD" w:rsidP="00D16CFD">
      <w:pPr>
        <w:pStyle w:val="BodyText"/>
        <w:spacing w:before="1" w:line="360" w:lineRule="auto"/>
        <w:ind w:left="540"/>
        <w:jc w:val="left"/>
        <w:rPr>
          <w:rFonts w:ascii="Times New Roman" w:hAnsi="Times New Roman" w:cs="Times New Roman"/>
          <w:w w:val="105"/>
          <w:sz w:val="24"/>
        </w:rPr>
      </w:pPr>
      <w:r w:rsidRPr="00D16CFD">
        <w:rPr>
          <w:rFonts w:ascii="Times New Roman" w:hAnsi="Times New Roman" w:cs="Times New Roman"/>
          <w:w w:val="105"/>
          <w:sz w:val="24"/>
        </w:rPr>
        <w:t xml:space="preserve">Analyzing the size of the PCR result, which should match the predicted size, is a common technique used in agarose gel electrophoresis to verify the existence of the target species. The use of a touchdown process can increase test specificity. In this method, the initial PCR cycle's annealing temperature is set higher than the estimated melting temperature (Tm) of the primers. </w:t>
      </w:r>
      <w:r w:rsidR="00F2285E" w:rsidRPr="00C241C0">
        <w:rPr>
          <w:rFonts w:ascii="Times New Roman" w:hAnsi="Times New Roman" w:cs="Times New Roman"/>
          <w:w w:val="105"/>
          <w:sz w:val="24"/>
        </w:rPr>
        <w:t>In subsequent cycles, the annealing temperature is gradually reduced until it reaches the Tm or slightly below, which can help prevent nonspecific amplification. This technique is valuable for minimizing false positives.</w:t>
      </w:r>
      <w:r w:rsidR="00F109D0" w:rsidRPr="00C241C0">
        <w:rPr>
          <w:rFonts w:ascii="Times New Roman" w:hAnsi="Times New Roman" w:cs="Times New Roman"/>
          <w:w w:val="105"/>
          <w:sz w:val="24"/>
        </w:rPr>
        <w:t xml:space="preserve"> </w:t>
      </w:r>
      <w:r w:rsidR="00F2285E" w:rsidRPr="00C241C0">
        <w:rPr>
          <w:rFonts w:ascii="Times New Roman" w:hAnsi="Times New Roman" w:cs="Times New Roman"/>
          <w:w w:val="105"/>
          <w:sz w:val="24"/>
        </w:rPr>
        <w:t>These methods collectively ensure the accuracy and specificity of PCR-based assays for identifying microbial species.</w:t>
      </w:r>
      <w:r w:rsidR="00F109D0" w:rsidRPr="00C241C0">
        <w:rPr>
          <w:rFonts w:ascii="Times New Roman" w:hAnsi="Times New Roman" w:cs="Times New Roman"/>
          <w:w w:val="105"/>
          <w:sz w:val="24"/>
        </w:rPr>
        <w:t xml:space="preserve"> </w:t>
      </w:r>
      <w:r w:rsidR="00F2285E" w:rsidRPr="00C241C0">
        <w:rPr>
          <w:rFonts w:ascii="Times New Roman" w:hAnsi="Times New Roman" w:cs="Times New Roman"/>
          <w:w w:val="105"/>
          <w:sz w:val="24"/>
        </w:rPr>
        <w:t>The unintended amplification of extraneous DNA fragments may include fragments that are not part of the target rRNA genes or those that do not possess the correct sizes, as highlighted by Don et al. in 1991.</w:t>
      </w:r>
      <w:r w:rsidR="003B181C" w:rsidRPr="00C241C0">
        <w:rPr>
          <w:rFonts w:ascii="Times New Roman" w:hAnsi="Times New Roman" w:cs="Times New Roman"/>
          <w:w w:val="105"/>
          <w:sz w:val="24"/>
        </w:rPr>
        <w:t xml:space="preserve"> </w:t>
      </w:r>
      <w:r w:rsidR="002E0564" w:rsidRPr="00C241C0">
        <w:rPr>
          <w:rFonts w:ascii="Times New Roman" w:hAnsi="Times New Roman" w:cs="Times New Roman"/>
          <w:w w:val="105"/>
          <w:sz w:val="24"/>
        </w:rPr>
        <w:fldChar w:fldCharType="begin"/>
      </w:r>
      <w:r w:rsidR="003218D0">
        <w:rPr>
          <w:rFonts w:ascii="Times New Roman" w:hAnsi="Times New Roman" w:cs="Times New Roman"/>
          <w:w w:val="105"/>
          <w:sz w:val="24"/>
        </w:rPr>
        <w:instrText xml:space="preserve"> ADDIN ZOTERO_ITEM CSL_CITATION {"citationID":"1SZLnPQq","properties":{"formattedCitation":"(11)","plainCitation":"(11)","noteIndex":0},"citationItems":[{"id":29,"uris":["http://zotero.org/users/local/RZx4qjtE/items/XV9Z5CPZ"],"itemData":{"id":29,"type":"article-journal","container-title":"Nucleic Acids Research","DOI":"10.1093/nar/19.14.4008","ISSN":"0305-1048, 1362-4962","issue":"14","journalAbbreviation":"Nucl Acids Res","language":"en","page":"4008-4008","source":"DOI.org (Crossref)","title":"‘Touchdown’ PCR to circumvent spurious priming during gene amplification","volume":"19","author":[{"family":"Don","given":"R.H."},{"family":"Cox","given":"P. T."},{"family":"Wainwright","given":"B.J."},{"family":"Baker","given":"K."},{"family":"Mattick","given":"J. S."}],"issued":{"date-parts":[["1991"]]}}}],"schema":"https://github.com/citation-style-language/schema/raw/master/csl-citation.json"} </w:instrText>
      </w:r>
      <w:r w:rsidR="002E0564" w:rsidRPr="00C241C0">
        <w:rPr>
          <w:rFonts w:ascii="Times New Roman" w:hAnsi="Times New Roman" w:cs="Times New Roman"/>
          <w:w w:val="105"/>
          <w:sz w:val="24"/>
        </w:rPr>
        <w:fldChar w:fldCharType="separate"/>
      </w:r>
      <w:r w:rsidR="003218D0" w:rsidRPr="003218D0">
        <w:rPr>
          <w:rFonts w:ascii="Times New Roman" w:hAnsi="Times New Roman" w:cs="Times New Roman"/>
          <w:sz w:val="24"/>
        </w:rPr>
        <w:t>(11)</w:t>
      </w:r>
      <w:r w:rsidR="002E0564" w:rsidRPr="00C241C0">
        <w:rPr>
          <w:rFonts w:ascii="Times New Roman" w:hAnsi="Times New Roman" w:cs="Times New Roman"/>
          <w:w w:val="105"/>
          <w:sz w:val="24"/>
        </w:rPr>
        <w:fldChar w:fldCharType="end"/>
      </w:r>
    </w:p>
    <w:p w14:paraId="14583F33" w14:textId="77777777" w:rsidR="00F109D0" w:rsidRPr="00C241C0" w:rsidRDefault="00F109D0" w:rsidP="004B2134">
      <w:pPr>
        <w:pStyle w:val="Heading1"/>
        <w:tabs>
          <w:tab w:val="left" w:pos="464"/>
        </w:tabs>
        <w:spacing w:line="360" w:lineRule="auto"/>
        <w:ind w:left="720" w:firstLine="0"/>
        <w:rPr>
          <w:rFonts w:ascii="Times New Roman" w:hAnsi="Times New Roman" w:cs="Times New Roman"/>
          <w:sz w:val="28"/>
        </w:rPr>
      </w:pPr>
    </w:p>
    <w:p w14:paraId="29A54E80" w14:textId="575E16B6" w:rsidR="001B3ED2" w:rsidRPr="00C241C0" w:rsidRDefault="00F109D0" w:rsidP="004B2134">
      <w:pPr>
        <w:pStyle w:val="Heading1"/>
        <w:numPr>
          <w:ilvl w:val="0"/>
          <w:numId w:val="7"/>
        </w:numPr>
        <w:tabs>
          <w:tab w:val="left" w:pos="464"/>
        </w:tabs>
        <w:spacing w:before="1" w:line="360" w:lineRule="auto"/>
        <w:ind w:left="540"/>
        <w:rPr>
          <w:rFonts w:ascii="Times New Roman" w:hAnsi="Times New Roman" w:cs="Times New Roman"/>
          <w:w w:val="105"/>
          <w:sz w:val="24"/>
        </w:rPr>
      </w:pPr>
      <w:r w:rsidRPr="00C241C0">
        <w:rPr>
          <w:rFonts w:ascii="Times New Roman" w:hAnsi="Times New Roman" w:cs="Times New Roman"/>
          <w:sz w:val="24"/>
          <w:szCs w:val="24"/>
        </w:rPr>
        <w:t>MULTIPLEX PCR</w:t>
      </w:r>
    </w:p>
    <w:p w14:paraId="74366458" w14:textId="4D575A52" w:rsidR="00F2285E" w:rsidRPr="00C241C0" w:rsidRDefault="00F2285E" w:rsidP="004B2134">
      <w:pPr>
        <w:pStyle w:val="BodyText"/>
        <w:spacing w:before="1" w:line="360" w:lineRule="auto"/>
        <w:ind w:left="540"/>
        <w:jc w:val="left"/>
        <w:rPr>
          <w:rFonts w:ascii="Times New Roman" w:hAnsi="Times New Roman" w:cs="Times New Roman"/>
          <w:w w:val="105"/>
          <w:sz w:val="24"/>
        </w:rPr>
      </w:pPr>
      <w:r w:rsidRPr="00C241C0">
        <w:rPr>
          <w:rFonts w:ascii="Times New Roman" w:hAnsi="Times New Roman" w:cs="Times New Roman"/>
          <w:w w:val="105"/>
          <w:sz w:val="24"/>
        </w:rPr>
        <w:t>In 2003, James et al.</w:t>
      </w:r>
      <w:r w:rsidR="00C5494E" w:rsidRPr="00C241C0">
        <w:rPr>
          <w:rFonts w:ascii="Times New Roman" w:hAnsi="Times New Roman" w:cs="Times New Roman"/>
          <w:w w:val="105"/>
          <w:sz w:val="24"/>
        </w:rPr>
        <w:fldChar w:fldCharType="begin"/>
      </w:r>
      <w:r w:rsidR="003218D0">
        <w:rPr>
          <w:rFonts w:ascii="Times New Roman" w:hAnsi="Times New Roman" w:cs="Times New Roman"/>
          <w:w w:val="105"/>
          <w:sz w:val="24"/>
        </w:rPr>
        <w:instrText xml:space="preserve"> ADDIN ZOTERO_ITEM CSL_CITATION {"citationID":"HZ1aO4MU","properties":{"formattedCitation":"(12)","plainCitation":"(12)","noteIndex":0},"citationItems":[{"id":66,"uris":["http://zotero.org/users/local/RZx4qjtE/items/87TRP6M6"],"itemData":{"id":66,"type":"article-journal","container-title":"Journal of Agricultural and Food Chemistry","DOI":"10.1021/jf0341159","ISSN":"0021-8561, 1520-5118","issue":"20","journalAbbreviation":"J. Agric. Food Chem.","language":"en","page":"5829-5834","source":"DOI.org (Crossref)","title":"Reliable Detection and Identification of Genetically Modified Maize, Soybean, and Canola by Multiplex PCR Analysis","volume":"51","author":[{"family":"James","given":"Delano"},{"family":"Schmidt","given":"Anna-mary"},{"family":"Wall","given":"Erika"},{"family":"Green","given":"Margaret"},{"family":"Masri","given":"Saad"}],"issued":{"date-parts":[["2003",9,1]]}}}],"schema":"https://github.com/citation-style-language/schema/raw/master/csl-citation.json"} </w:instrText>
      </w:r>
      <w:r w:rsidR="00C5494E" w:rsidRPr="00C241C0">
        <w:rPr>
          <w:rFonts w:ascii="Times New Roman" w:hAnsi="Times New Roman" w:cs="Times New Roman"/>
          <w:w w:val="105"/>
          <w:sz w:val="24"/>
        </w:rPr>
        <w:fldChar w:fldCharType="separate"/>
      </w:r>
      <w:r w:rsidR="003218D0" w:rsidRPr="003218D0">
        <w:rPr>
          <w:rFonts w:ascii="Times New Roman" w:hAnsi="Times New Roman" w:cs="Times New Roman"/>
          <w:sz w:val="24"/>
        </w:rPr>
        <w:t>(12)</w:t>
      </w:r>
      <w:r w:rsidR="00C5494E" w:rsidRPr="00C241C0">
        <w:rPr>
          <w:rFonts w:ascii="Times New Roman" w:hAnsi="Times New Roman" w:cs="Times New Roman"/>
          <w:w w:val="105"/>
          <w:sz w:val="24"/>
        </w:rPr>
        <w:fldChar w:fldCharType="end"/>
      </w:r>
      <w:r w:rsidRPr="00C241C0">
        <w:rPr>
          <w:rFonts w:ascii="Times New Roman" w:hAnsi="Times New Roman" w:cs="Times New Roman"/>
          <w:w w:val="105"/>
          <w:sz w:val="24"/>
        </w:rPr>
        <w:t xml:space="preserve"> introduced a technique known as multiplex PCR for the identification of GM soybeans. Multiplex PCR is a method that employs multiple primer pairs in a single reaction to amplify several sequences simultaneously, a departure from common assays that typically detect only one species at a time.</w:t>
      </w:r>
      <w:r w:rsidR="00C5494E" w:rsidRPr="00C241C0">
        <w:rPr>
          <w:rFonts w:ascii="Times New Roman" w:hAnsi="Times New Roman" w:cs="Times New Roman"/>
          <w:w w:val="105"/>
          <w:sz w:val="24"/>
        </w:rPr>
        <w:t xml:space="preserve"> </w:t>
      </w:r>
      <w:r w:rsidR="002E0564" w:rsidRPr="00C241C0">
        <w:rPr>
          <w:rFonts w:ascii="Times New Roman" w:hAnsi="Times New Roman" w:cs="Times New Roman"/>
          <w:w w:val="105"/>
          <w:sz w:val="24"/>
        </w:rPr>
        <w:fldChar w:fldCharType="begin"/>
      </w:r>
      <w:r w:rsidR="003218D0">
        <w:rPr>
          <w:rFonts w:ascii="Times New Roman" w:hAnsi="Times New Roman" w:cs="Times New Roman"/>
          <w:w w:val="105"/>
          <w:sz w:val="24"/>
        </w:rPr>
        <w:instrText xml:space="preserve"> ADDIN ZOTERO_ITEM CSL_CITATION {"citationID":"gGaQ5yob","properties":{"formattedCitation":"(13)","plainCitation":"(13)","noteIndex":0},"citationItems":[{"id":25,"uris":["http://zotero.org/users/local/RZx4qjtE/items/XI55MT7B"],"itemData":{"id":25,"type":"article-journal","abstract":"The application of recombinant DNA technology to prenatal diagnosis of many recesslvely inherited X-linked diseases is complicated by a high frequency of heterogenous, new mutations (1). Partial gene deletions account for more than 50X of Duchenne muscular dystrophy (DMD) lesions, and approximately one-third of all cases result fron a new nutation (2-5). We report the isolation and DNA sequence of several deletion prone exons from the human DMD gene. We also describe a rapid method capable of detecting the majority of deletions in the DMD gene. This procedure utilizes sinultaneous genomic DNA amplification of multiple widely separated sequences and should permit deletion scanning at any hemizygous locus. We demonstrate the application of this Multiplex reaction for prenatal and postnatal diagnosis of DMD.","container-title":"Nucleic Acids Research","DOI":"10.1093/nar/16.23.11141","ISSN":"0305-1048, 1362-4962","issue":"23","journalAbbreviation":"Nucl Acids Res","language":"en","page":"11141-11156","source":"DOI.org (Crossref)","title":"Deletion screening of the Duchenne muscular dystrophy locus via multiplex DNA amplification","volume":"16","author":[{"family":"Chamberlain","given":"Jeffrey S."},{"family":"Gibbs","given":"Richard A."},{"family":"Rainer","given":"Joel E."},{"family":"Nguyen","given":"Phi Nga"},{"family":"Thomas","given":"C."}],"issued":{"date-parts":[["1988"]]}}}],"schema":"https://github.com/citation-style-language/schema/raw/master/csl-citation.json"} </w:instrText>
      </w:r>
      <w:r w:rsidR="002E0564" w:rsidRPr="00C241C0">
        <w:rPr>
          <w:rFonts w:ascii="Times New Roman" w:hAnsi="Times New Roman" w:cs="Times New Roman"/>
          <w:w w:val="105"/>
          <w:sz w:val="24"/>
        </w:rPr>
        <w:fldChar w:fldCharType="separate"/>
      </w:r>
      <w:r w:rsidR="003218D0" w:rsidRPr="003218D0">
        <w:rPr>
          <w:rFonts w:ascii="Times New Roman" w:hAnsi="Times New Roman" w:cs="Times New Roman"/>
          <w:sz w:val="24"/>
        </w:rPr>
        <w:t>(13)</w:t>
      </w:r>
      <w:r w:rsidR="002E0564" w:rsidRPr="00C241C0">
        <w:rPr>
          <w:rFonts w:ascii="Times New Roman" w:hAnsi="Times New Roman" w:cs="Times New Roman"/>
          <w:w w:val="105"/>
          <w:sz w:val="24"/>
        </w:rPr>
        <w:fldChar w:fldCharType="end"/>
      </w:r>
      <w:r w:rsidRPr="00C241C0">
        <w:rPr>
          <w:rFonts w:ascii="Times New Roman" w:hAnsi="Times New Roman" w:cs="Times New Roman"/>
          <w:w w:val="105"/>
          <w:sz w:val="24"/>
        </w:rPr>
        <w:t xml:space="preserve"> This approach enables the simultaneous detection of various unique target sequences within a clinical specimen. Multiplex PCR assays offer advantages such as reduced time and cost compared to sequential detection methods.</w:t>
      </w:r>
    </w:p>
    <w:p w14:paraId="45C13DAC" w14:textId="33FE21CC" w:rsidR="001B3ED2" w:rsidRPr="00C241C0" w:rsidRDefault="00F2285E" w:rsidP="004B2134">
      <w:pPr>
        <w:pStyle w:val="BodyText"/>
        <w:spacing w:before="1" w:line="360" w:lineRule="auto"/>
        <w:ind w:left="540"/>
        <w:jc w:val="left"/>
        <w:rPr>
          <w:rFonts w:ascii="Times New Roman" w:hAnsi="Times New Roman" w:cs="Times New Roman"/>
          <w:w w:val="105"/>
          <w:sz w:val="24"/>
        </w:rPr>
      </w:pPr>
      <w:r w:rsidRPr="00C241C0">
        <w:rPr>
          <w:rFonts w:ascii="Times New Roman" w:hAnsi="Times New Roman" w:cs="Times New Roman"/>
          <w:w w:val="105"/>
          <w:sz w:val="24"/>
        </w:rPr>
        <w:lastRenderedPageBreak/>
        <w:t>However, it's crucial to design primers meticulously for multiplex assays. They should have similar annealing temperatures and should not exhibit complementarity with one another to ensure accurate and reliable results</w:t>
      </w:r>
      <w:r w:rsidR="00F12B67" w:rsidRPr="00C241C0">
        <w:rPr>
          <w:rFonts w:ascii="Times New Roman" w:hAnsi="Times New Roman" w:cs="Times New Roman"/>
          <w:w w:val="105"/>
          <w:sz w:val="24"/>
        </w:rPr>
        <w:t>.</w:t>
      </w:r>
      <w:r w:rsidR="00C5494E" w:rsidRPr="00C241C0">
        <w:rPr>
          <w:rFonts w:ascii="Times New Roman" w:hAnsi="Times New Roman" w:cs="Times New Roman"/>
          <w:w w:val="105"/>
          <w:sz w:val="24"/>
        </w:rPr>
        <w:t xml:space="preserve"> </w:t>
      </w:r>
      <w:r w:rsidR="002E0564" w:rsidRPr="00C241C0">
        <w:rPr>
          <w:rFonts w:ascii="Times New Roman" w:hAnsi="Times New Roman" w:cs="Times New Roman"/>
          <w:w w:val="105"/>
          <w:sz w:val="24"/>
        </w:rPr>
        <w:fldChar w:fldCharType="begin"/>
      </w:r>
      <w:r w:rsidR="002E0564" w:rsidRPr="00C241C0">
        <w:rPr>
          <w:rFonts w:ascii="Times New Roman" w:hAnsi="Times New Roman" w:cs="Times New Roman"/>
          <w:w w:val="105"/>
          <w:sz w:val="24"/>
        </w:rPr>
        <w:instrText xml:space="preserve"> ADDIN ZOTERO_ITEM CSL_CITATION {"citationID":"N8VQHtOc","properties":{"formattedCitation":"(2)","plainCitation":"(2)","noteIndex":0},"citationItems":[{"id":39,"uris":["http://zotero.org/users/local/RZx4qjtE/items/MFETSEXY"],"itemData":{"id":39,"type":"article-journal","abstract":"Endodontic infections have been traditionally studied by culture-dependent methods. However, as with other areas of clinical microbiology, culture-based investigations are plagued by significant problems, including the probable involvement of viable but uncultivable microorganisms with disease causation and inaccurate microbial identification. Innumerous molecular technologies have been used for microbiological diagnosis in clinical microbiology, but only recently some of these techniques have been applied in endodontic microbiology research. This paper intended to review the main molecular methods that have been used or have the potential to be used in the study of endodontic infections. Moreover, advantages and limitations of current molecular techniques when compared to conventional methods for microbial identification are also discussed.","container-title":"Journal of Endodontics","DOI":"10.1097/01.don.0000157989.44949.26","ISSN":"00992399","issue":"6","journalAbbreviation":"Journal of Endodontics","language":"en","page":"411-423","source":"DOI.org (Crossref)","title":"Exploiting Molecular Methods to Explore Endodontic Infections: Part 1—Current Molecular Technologies for Microbiological Diagnosis","title-short":"Exploiting Molecular Methods to Explore Endodontic Infections","volume":"31","author":[{"family":"Siqueirajr","given":"J"},{"family":"Rocas","given":"I"}],"issued":{"date-parts":[["2005",6]]}}}],"schema":"https://github.com/citation-style-language/schema/raw/master/csl-citation.json"} </w:instrText>
      </w:r>
      <w:r w:rsidR="002E0564" w:rsidRPr="00C241C0">
        <w:rPr>
          <w:rFonts w:ascii="Times New Roman" w:hAnsi="Times New Roman" w:cs="Times New Roman"/>
          <w:w w:val="105"/>
          <w:sz w:val="24"/>
        </w:rPr>
        <w:fldChar w:fldCharType="separate"/>
      </w:r>
      <w:r w:rsidR="002E0564" w:rsidRPr="00C241C0">
        <w:rPr>
          <w:rFonts w:ascii="Times New Roman" w:hAnsi="Times New Roman" w:cs="Times New Roman"/>
          <w:sz w:val="24"/>
        </w:rPr>
        <w:t>(2)</w:t>
      </w:r>
      <w:r w:rsidR="002E0564" w:rsidRPr="00C241C0">
        <w:rPr>
          <w:rFonts w:ascii="Times New Roman" w:hAnsi="Times New Roman" w:cs="Times New Roman"/>
          <w:w w:val="105"/>
          <w:sz w:val="24"/>
        </w:rPr>
        <w:fldChar w:fldCharType="end"/>
      </w:r>
    </w:p>
    <w:p w14:paraId="55B87BB3" w14:textId="77777777" w:rsidR="00F109D0" w:rsidRPr="00C241C0" w:rsidRDefault="00F109D0" w:rsidP="004B2134">
      <w:pPr>
        <w:pStyle w:val="BodyText"/>
        <w:spacing w:before="1" w:line="360" w:lineRule="auto"/>
        <w:ind w:left="540"/>
        <w:jc w:val="left"/>
        <w:rPr>
          <w:rFonts w:ascii="Times New Roman" w:hAnsi="Times New Roman" w:cs="Times New Roman"/>
          <w:w w:val="105"/>
          <w:sz w:val="24"/>
        </w:rPr>
      </w:pPr>
    </w:p>
    <w:p w14:paraId="5AA03C6A" w14:textId="41706A44" w:rsidR="001B3ED2" w:rsidRPr="00C241C0" w:rsidRDefault="00F109D0" w:rsidP="004B2134">
      <w:pPr>
        <w:pStyle w:val="BodyText"/>
        <w:numPr>
          <w:ilvl w:val="0"/>
          <w:numId w:val="7"/>
        </w:numPr>
        <w:spacing w:before="1" w:line="360" w:lineRule="auto"/>
        <w:jc w:val="left"/>
        <w:rPr>
          <w:rFonts w:ascii="Times New Roman" w:hAnsi="Times New Roman" w:cs="Times New Roman"/>
          <w:b/>
          <w:bCs/>
          <w:sz w:val="24"/>
          <w:szCs w:val="24"/>
        </w:rPr>
      </w:pPr>
      <w:r w:rsidRPr="00C241C0">
        <w:rPr>
          <w:rFonts w:ascii="Times New Roman" w:hAnsi="Times New Roman" w:cs="Times New Roman"/>
          <w:b/>
          <w:bCs/>
          <w:sz w:val="24"/>
          <w:szCs w:val="24"/>
        </w:rPr>
        <w:t>NESTED PCR</w:t>
      </w:r>
    </w:p>
    <w:p w14:paraId="66ECA847" w14:textId="563B02B8" w:rsidR="00611B5D" w:rsidRPr="00611B5D" w:rsidRDefault="000F77A5" w:rsidP="00611B5D">
      <w:pPr>
        <w:pStyle w:val="BodyText"/>
        <w:spacing w:before="1" w:line="360" w:lineRule="auto"/>
        <w:ind w:left="540"/>
        <w:rPr>
          <w:rFonts w:ascii="Times New Roman" w:hAnsi="Times New Roman" w:cs="Times New Roman"/>
          <w:w w:val="105"/>
          <w:sz w:val="24"/>
        </w:rPr>
      </w:pPr>
      <w:r w:rsidRPr="000F77A5">
        <w:rPr>
          <w:rFonts w:ascii="Times New Roman" w:hAnsi="Times New Roman" w:cs="Times New Roman"/>
          <w:w w:val="105"/>
          <w:sz w:val="24"/>
        </w:rPr>
        <w:t>Nested PCR (</w:t>
      </w:r>
      <w:proofErr w:type="spellStart"/>
      <w:r w:rsidRPr="000F77A5">
        <w:rPr>
          <w:rFonts w:ascii="Times New Roman" w:hAnsi="Times New Roman" w:cs="Times New Roman"/>
          <w:w w:val="105"/>
          <w:sz w:val="24"/>
        </w:rPr>
        <w:t>nPCR</w:t>
      </w:r>
      <w:proofErr w:type="spellEnd"/>
      <w:r w:rsidRPr="000F77A5">
        <w:rPr>
          <w:rFonts w:ascii="Times New Roman" w:hAnsi="Times New Roman" w:cs="Times New Roman"/>
          <w:w w:val="105"/>
          <w:sz w:val="24"/>
        </w:rPr>
        <w:t xml:space="preserve">) is a traditional PCR technique that uses two successive amplification stages to focus on a particular DNA region. Initially, the desired region in the first reaction is amplified using an outer primer pair. The results of the first amplification round are then used as templates for the second amplification cycle, which makes use of an internal primer pair. A shorter amplified fragment is created as a result of the internal primer set's internal binding to the first-round products. Haqqi et al. first introduced this approach in 1988. </w:t>
      </w:r>
      <w:r w:rsidR="00611B5D" w:rsidRPr="00611B5D">
        <w:rPr>
          <w:rFonts w:ascii="Times New Roman" w:hAnsi="Times New Roman" w:cs="Times New Roman"/>
          <w:w w:val="105"/>
          <w:sz w:val="24"/>
        </w:rPr>
        <w:t>(16).</w:t>
      </w:r>
    </w:p>
    <w:p w14:paraId="200094C5" w14:textId="77777777" w:rsidR="00611B5D" w:rsidRPr="00611B5D" w:rsidRDefault="00611B5D" w:rsidP="00611B5D">
      <w:pPr>
        <w:pStyle w:val="BodyText"/>
        <w:spacing w:before="1" w:line="360" w:lineRule="auto"/>
        <w:ind w:left="540"/>
        <w:rPr>
          <w:rFonts w:ascii="Times New Roman" w:hAnsi="Times New Roman" w:cs="Times New Roman"/>
          <w:w w:val="105"/>
          <w:sz w:val="24"/>
        </w:rPr>
      </w:pPr>
    </w:p>
    <w:p w14:paraId="15480219" w14:textId="0FFDC99E" w:rsidR="00F2285E" w:rsidRPr="00C241C0" w:rsidRDefault="000F77A5" w:rsidP="00611B5D">
      <w:pPr>
        <w:pStyle w:val="BodyText"/>
        <w:spacing w:before="1" w:line="360" w:lineRule="auto"/>
        <w:ind w:left="540"/>
        <w:jc w:val="left"/>
        <w:rPr>
          <w:rFonts w:ascii="Times New Roman" w:hAnsi="Times New Roman" w:cs="Times New Roman"/>
          <w:w w:val="105"/>
          <w:sz w:val="24"/>
        </w:rPr>
      </w:pPr>
      <w:r w:rsidRPr="000F77A5">
        <w:rPr>
          <w:rFonts w:ascii="Times New Roman" w:hAnsi="Times New Roman" w:cs="Times New Roman"/>
          <w:w w:val="105"/>
          <w:sz w:val="24"/>
        </w:rPr>
        <w:t>Nested PCR is praised for its great sensitivity, which allows it to identify target DNA even at far lower quantities than traditional PCR can. However, this technique involves a lot of amplification cycles, which can complicate the process. Additionally, it frequently shows less background interference from eukaryotic DNA and other bacterial DNA sections, which can sometimes make it difficult to distinguish from the target DNA. According to Siqueira Jr. and Rocas in 2005, one significant disadvantage of the nested-PCR methodology is the increased potential of contamination during the transfer of the first-round amplification results to a different reaction tube.</w:t>
      </w:r>
      <w:r w:rsidR="00611B5D">
        <w:rPr>
          <w:rFonts w:ascii="Times New Roman" w:hAnsi="Times New Roman" w:cs="Times New Roman"/>
          <w:w w:val="105"/>
          <w:sz w:val="24"/>
        </w:rPr>
        <w:fldChar w:fldCharType="begin"/>
      </w:r>
      <w:r w:rsidR="00611B5D">
        <w:rPr>
          <w:rFonts w:ascii="Times New Roman" w:hAnsi="Times New Roman" w:cs="Times New Roman"/>
          <w:w w:val="105"/>
          <w:sz w:val="24"/>
        </w:rPr>
        <w:instrText xml:space="preserve"> ADDIN ZOTERO_ITEM CSL_CITATION {"citationID":"gNvyEEPj","properties":{"formattedCitation":"(2)","plainCitation":"(2)","noteIndex":0},"citationItems":[{"id":39,"uris":["http://zotero.org/users/local/RZx4qjtE/items/MFETSEXY"],"itemData":{"id":39,"type":"article-journal","abstract":"Endodontic infections have been traditionally studied by culture-dependent methods. However, as with other areas of clinical microbiology, culture-based investigations are plagued by significant problems, including the probable involvement of viable but uncultivable microorganisms with disease causation and inaccurate microbial identification. Innumerous molecular technologies have been used for microbiological diagnosis in clinical microbiology, but only recently some of these techniques have been applied in endodontic microbiology research. This paper intended to review the main molecular methods that have been used or have the potential to be used in the study of endodontic infections. Moreover, advantages and limitations of current molecular techniques when compared to conventional methods for microbial identification are also discussed.","container-title":"Journal of Endodontics","DOI":"10.1097/01.don.0000157989.44949.26","ISSN":"00992399","issue":"6","journalAbbreviation":"Journal of Endodontics","language":"en","page":"411-423","source":"DOI.org (Crossref)","title":"Exploiting Molecular Methods to Explore Endodontic Infections: Part 1—Current Molecular Technologies for Microbiological Diagnosis","title-short":"Exploiting Molecular Methods to Explore Endodontic Infections","volume":"31","author":[{"family":"Siqueirajr","given":"J"},{"family":"Rocas","given":"I"}],"issued":{"date-parts":[["2005",6]]}}}],"schema":"https://github.com/citation-style-language/schema/raw/master/csl-citation.json"} </w:instrText>
      </w:r>
      <w:r w:rsidR="00611B5D">
        <w:rPr>
          <w:rFonts w:ascii="Times New Roman" w:hAnsi="Times New Roman" w:cs="Times New Roman"/>
          <w:w w:val="105"/>
          <w:sz w:val="24"/>
        </w:rPr>
        <w:fldChar w:fldCharType="separate"/>
      </w:r>
      <w:r w:rsidR="00611B5D" w:rsidRPr="00611B5D">
        <w:rPr>
          <w:rFonts w:ascii="Times New Roman" w:hAnsi="Times New Roman" w:cs="Times New Roman"/>
          <w:sz w:val="24"/>
        </w:rPr>
        <w:t>(2)</w:t>
      </w:r>
      <w:r w:rsidR="00611B5D">
        <w:rPr>
          <w:rFonts w:ascii="Times New Roman" w:hAnsi="Times New Roman" w:cs="Times New Roman"/>
          <w:w w:val="105"/>
          <w:sz w:val="24"/>
        </w:rPr>
        <w:fldChar w:fldCharType="end"/>
      </w:r>
    </w:p>
    <w:p w14:paraId="680E06A8" w14:textId="60061B7A" w:rsidR="00611B5D" w:rsidRPr="000F77A5" w:rsidRDefault="00F109D0" w:rsidP="000F77A5">
      <w:pPr>
        <w:pStyle w:val="Heading1"/>
        <w:numPr>
          <w:ilvl w:val="0"/>
          <w:numId w:val="7"/>
        </w:numPr>
        <w:tabs>
          <w:tab w:val="left" w:pos="464"/>
        </w:tabs>
        <w:spacing w:line="360" w:lineRule="auto"/>
        <w:rPr>
          <w:rFonts w:ascii="Times New Roman" w:hAnsi="Times New Roman" w:cs="Times New Roman"/>
          <w:sz w:val="24"/>
          <w:szCs w:val="24"/>
        </w:rPr>
      </w:pPr>
      <w:r w:rsidRPr="00C241C0">
        <w:rPr>
          <w:rFonts w:ascii="Times New Roman" w:hAnsi="Times New Roman" w:cs="Times New Roman"/>
          <w:sz w:val="24"/>
          <w:szCs w:val="24"/>
        </w:rPr>
        <w:t>REVERSE TRANSCRIPTASE-PCR</w:t>
      </w:r>
    </w:p>
    <w:p w14:paraId="1CFA273D" w14:textId="092A3707" w:rsidR="00611B5D" w:rsidRPr="00611B5D" w:rsidRDefault="000F77A5" w:rsidP="00611B5D">
      <w:pPr>
        <w:pStyle w:val="BodyText"/>
        <w:spacing w:before="1" w:line="360" w:lineRule="auto"/>
        <w:ind w:left="540"/>
        <w:rPr>
          <w:rFonts w:ascii="Times New Roman" w:hAnsi="Times New Roman" w:cs="Times New Roman"/>
          <w:w w:val="105"/>
          <w:sz w:val="24"/>
        </w:rPr>
      </w:pPr>
      <w:r w:rsidRPr="000F77A5">
        <w:rPr>
          <w:rFonts w:ascii="Times New Roman" w:hAnsi="Times New Roman" w:cs="Times New Roman"/>
          <w:w w:val="105"/>
          <w:sz w:val="24"/>
        </w:rPr>
        <w:t>An approach called reverse transcriptase-PCR (RT-PCR) is made for amplifying RNA targets. The reverse transcriptase enzyme, which can produce a complementary DNA (cDNA) strand from an RNA template, is used to do this. A two-step process is routinely used in many RT-PCR tests. Reverse transcriptase turns RNA into single-stranded cDNA in the initial stage. The complementary strand of cDNA is produced in the second stage using DNA polymerase, PCR primers, and nucleotides. Similar to traditional PCR, this double-stranded DNA can be utilized as a template for amplification once it has been created.</w:t>
      </w:r>
    </w:p>
    <w:p w14:paraId="43C01DC3" w14:textId="77777777" w:rsidR="00611B5D" w:rsidRPr="00611B5D" w:rsidRDefault="00611B5D" w:rsidP="00611B5D">
      <w:pPr>
        <w:pStyle w:val="BodyText"/>
        <w:spacing w:before="1" w:line="360" w:lineRule="auto"/>
        <w:ind w:left="540"/>
        <w:rPr>
          <w:rFonts w:ascii="Times New Roman" w:hAnsi="Times New Roman" w:cs="Times New Roman"/>
          <w:w w:val="105"/>
          <w:sz w:val="24"/>
        </w:rPr>
      </w:pPr>
      <w:r w:rsidRPr="00611B5D">
        <w:rPr>
          <w:rFonts w:ascii="Times New Roman" w:hAnsi="Times New Roman" w:cs="Times New Roman"/>
          <w:w w:val="105"/>
          <w:sz w:val="24"/>
        </w:rPr>
        <w:t>This two-step process can be simplified into a one-step method by directly utilizing RNA as the template. In this modified approach, an enzyme with both reverse transcriptase and DNA polymerase activities is employed, such as the enzyme found in the bacterium Thermus thermophilus (2, 17).</w:t>
      </w:r>
    </w:p>
    <w:p w14:paraId="12B8EEF7" w14:textId="77777777" w:rsidR="001B3ED2" w:rsidRPr="00C241C0" w:rsidRDefault="001B3ED2" w:rsidP="000F77A5">
      <w:pPr>
        <w:pStyle w:val="BodyText"/>
        <w:spacing w:before="1" w:line="360" w:lineRule="auto"/>
        <w:ind w:left="0"/>
        <w:jc w:val="left"/>
        <w:rPr>
          <w:rFonts w:ascii="Times New Roman" w:hAnsi="Times New Roman" w:cs="Times New Roman"/>
          <w:w w:val="105"/>
          <w:sz w:val="24"/>
        </w:rPr>
        <w:sectPr w:rsidR="001B3ED2" w:rsidRPr="00C241C0">
          <w:pgSz w:w="11910" w:h="16840"/>
          <w:pgMar w:top="1440" w:right="940" w:bottom="1200" w:left="1260" w:header="0" w:footer="920" w:gutter="0"/>
          <w:cols w:space="720"/>
        </w:sectPr>
      </w:pPr>
    </w:p>
    <w:p w14:paraId="5BB42BB5" w14:textId="59AA943F" w:rsidR="001B3ED2" w:rsidRPr="00C241C0" w:rsidRDefault="00F109D0" w:rsidP="00611B5D">
      <w:pPr>
        <w:pStyle w:val="Heading1"/>
        <w:numPr>
          <w:ilvl w:val="0"/>
          <w:numId w:val="7"/>
        </w:numPr>
        <w:tabs>
          <w:tab w:val="left" w:pos="464"/>
        </w:tabs>
        <w:spacing w:line="360" w:lineRule="auto"/>
        <w:rPr>
          <w:rFonts w:ascii="Times New Roman" w:hAnsi="Times New Roman" w:cs="Times New Roman"/>
          <w:sz w:val="24"/>
          <w:szCs w:val="24"/>
        </w:rPr>
      </w:pPr>
      <w:r w:rsidRPr="00C241C0">
        <w:rPr>
          <w:rFonts w:ascii="Times New Roman" w:hAnsi="Times New Roman" w:cs="Times New Roman"/>
          <w:sz w:val="24"/>
          <w:szCs w:val="24"/>
        </w:rPr>
        <w:lastRenderedPageBreak/>
        <w:t>QUANTITATIVE PCR</w:t>
      </w:r>
    </w:p>
    <w:p w14:paraId="5334C2BD" w14:textId="41427EB0" w:rsidR="00F109D0" w:rsidRPr="00C241C0" w:rsidRDefault="000F77A5" w:rsidP="004B2134">
      <w:pPr>
        <w:pStyle w:val="BodyText"/>
        <w:spacing w:before="1" w:line="360" w:lineRule="auto"/>
        <w:ind w:left="540"/>
        <w:jc w:val="left"/>
        <w:rPr>
          <w:rFonts w:ascii="Times New Roman" w:hAnsi="Times New Roman" w:cs="Times New Roman"/>
          <w:w w:val="105"/>
          <w:sz w:val="24"/>
        </w:rPr>
      </w:pPr>
      <w:r w:rsidRPr="000F77A5">
        <w:rPr>
          <w:rFonts w:ascii="Times New Roman" w:hAnsi="Times New Roman" w:cs="Times New Roman"/>
          <w:w w:val="105"/>
          <w:sz w:val="24"/>
        </w:rPr>
        <w:t>Three different assays, most probable number (MPN)-PCR, competitive PCR, and real-time PCR, can be used to perform quantitative PCR (Q-PCR). Real-time PCR is one of them and has become very popular, mainly because it is a high-throughput technology and provides better accuracy and precision than the other Q-PCR techniques. Additionally, it does away with the necessity for post-PCR adjustments, lowering the possibility of contamination</w:t>
      </w:r>
    </w:p>
    <w:p w14:paraId="1C4EA226" w14:textId="671FC3CB" w:rsidR="00F109D0" w:rsidRPr="00C241C0" w:rsidRDefault="00C5494E" w:rsidP="004B2134">
      <w:pPr>
        <w:pStyle w:val="BodyText"/>
        <w:numPr>
          <w:ilvl w:val="0"/>
          <w:numId w:val="7"/>
        </w:numPr>
        <w:spacing w:before="1" w:line="360" w:lineRule="auto"/>
        <w:jc w:val="left"/>
        <w:rPr>
          <w:rFonts w:ascii="Times New Roman" w:hAnsi="Times New Roman" w:cs="Times New Roman"/>
          <w:b/>
          <w:bCs/>
          <w:w w:val="105"/>
          <w:sz w:val="24"/>
        </w:rPr>
      </w:pPr>
      <w:r w:rsidRPr="00C241C0">
        <w:rPr>
          <w:rFonts w:ascii="Times New Roman" w:hAnsi="Times New Roman" w:cs="Times New Roman"/>
          <w:b/>
          <w:bCs/>
          <w:w w:val="105"/>
          <w:sz w:val="24"/>
        </w:rPr>
        <w:t>REAL-TIME</w:t>
      </w:r>
      <w:r w:rsidR="00F109D0" w:rsidRPr="00C241C0">
        <w:rPr>
          <w:rFonts w:ascii="Times New Roman" w:hAnsi="Times New Roman" w:cs="Times New Roman"/>
          <w:b/>
          <w:bCs/>
          <w:w w:val="105"/>
          <w:sz w:val="24"/>
        </w:rPr>
        <w:t xml:space="preserve"> PCR</w:t>
      </w:r>
    </w:p>
    <w:p w14:paraId="69334612" w14:textId="77777777" w:rsidR="000F77A5" w:rsidRPr="000F77A5" w:rsidRDefault="000F77A5" w:rsidP="000F77A5">
      <w:pPr>
        <w:pStyle w:val="BodyText"/>
        <w:spacing w:before="1" w:line="360" w:lineRule="auto"/>
        <w:ind w:left="540"/>
        <w:rPr>
          <w:rFonts w:ascii="Times New Roman" w:hAnsi="Times New Roman" w:cs="Times New Roman"/>
          <w:w w:val="105"/>
          <w:sz w:val="24"/>
        </w:rPr>
      </w:pPr>
      <w:r w:rsidRPr="000F77A5">
        <w:rPr>
          <w:rFonts w:ascii="Times New Roman" w:hAnsi="Times New Roman" w:cs="Times New Roman"/>
          <w:w w:val="105"/>
          <w:sz w:val="24"/>
        </w:rPr>
        <w:t>Recently, a number of commercially available devices have been created that use the PCR process to detect the presence of a target in a relatively short amount of time, often between 30 and 120 minutes. This is frequently known as "real-time" PCR. Real-time PCR detects DNA synthesis indirectly, which is proportional to the fluorescence released. A fluorimeter connected with the PCR thermocycler detects the fluorescence inside a closed tube format. High sample throughput, multiplexing capabilities, target DNA measurement, and real-time amplification process monitoring are just a few benefits of this technique.</w:t>
      </w:r>
    </w:p>
    <w:p w14:paraId="4BF3C295" w14:textId="709DDD30" w:rsidR="00F2285E" w:rsidRPr="00C241C0" w:rsidRDefault="000F77A5" w:rsidP="000F77A5">
      <w:pPr>
        <w:pStyle w:val="BodyText"/>
        <w:spacing w:before="1" w:line="360" w:lineRule="auto"/>
        <w:ind w:left="540"/>
        <w:jc w:val="left"/>
        <w:rPr>
          <w:rFonts w:ascii="Times New Roman" w:hAnsi="Times New Roman" w:cs="Times New Roman"/>
          <w:w w:val="105"/>
          <w:sz w:val="24"/>
        </w:rPr>
      </w:pPr>
      <w:r w:rsidRPr="000F77A5">
        <w:rPr>
          <w:rFonts w:ascii="Times New Roman" w:hAnsi="Times New Roman" w:cs="Times New Roman"/>
          <w:w w:val="105"/>
          <w:sz w:val="24"/>
        </w:rPr>
        <w:t>For microbiological identification, real-time PCR is often employed, and it entails the real-time detection of PCR products using fluorescently tagged probes</w:t>
      </w:r>
      <w:r w:rsidR="00F2285E" w:rsidRPr="00C241C0">
        <w:rPr>
          <w:rFonts w:ascii="Times New Roman" w:hAnsi="Times New Roman" w:cs="Times New Roman"/>
          <w:w w:val="105"/>
          <w:sz w:val="24"/>
        </w:rPr>
        <w:t>. These probes may include:</w:t>
      </w:r>
    </w:p>
    <w:p w14:paraId="617CAA37" w14:textId="77777777" w:rsidR="00F2285E" w:rsidRPr="00C241C0" w:rsidRDefault="00F2285E" w:rsidP="004B2134">
      <w:pPr>
        <w:pStyle w:val="BodyText"/>
        <w:numPr>
          <w:ilvl w:val="1"/>
          <w:numId w:val="7"/>
        </w:numPr>
        <w:spacing w:before="1" w:line="360" w:lineRule="auto"/>
        <w:jc w:val="left"/>
        <w:rPr>
          <w:rFonts w:ascii="Times New Roman" w:hAnsi="Times New Roman" w:cs="Times New Roman"/>
          <w:w w:val="105"/>
          <w:sz w:val="24"/>
        </w:rPr>
      </w:pPr>
      <w:r w:rsidRPr="00C241C0">
        <w:rPr>
          <w:rFonts w:ascii="Times New Roman" w:hAnsi="Times New Roman" w:cs="Times New Roman"/>
          <w:w w:val="105"/>
          <w:sz w:val="24"/>
        </w:rPr>
        <w:t>SYBR Green</w:t>
      </w:r>
    </w:p>
    <w:p w14:paraId="069AE2E4" w14:textId="77777777" w:rsidR="00F2285E" w:rsidRPr="00C241C0" w:rsidRDefault="00F2285E" w:rsidP="004B2134">
      <w:pPr>
        <w:pStyle w:val="BodyText"/>
        <w:numPr>
          <w:ilvl w:val="1"/>
          <w:numId w:val="7"/>
        </w:numPr>
        <w:spacing w:before="1" w:line="360" w:lineRule="auto"/>
        <w:jc w:val="left"/>
        <w:rPr>
          <w:rFonts w:ascii="Times New Roman" w:hAnsi="Times New Roman" w:cs="Times New Roman"/>
          <w:w w:val="105"/>
          <w:sz w:val="24"/>
        </w:rPr>
      </w:pPr>
      <w:r w:rsidRPr="00C241C0">
        <w:rPr>
          <w:rFonts w:ascii="Times New Roman" w:hAnsi="Times New Roman" w:cs="Times New Roman"/>
          <w:w w:val="105"/>
          <w:sz w:val="24"/>
        </w:rPr>
        <w:t>TaqMan probe</w:t>
      </w:r>
    </w:p>
    <w:p w14:paraId="7EFEEF4F" w14:textId="77777777" w:rsidR="00F2285E" w:rsidRPr="00C241C0" w:rsidRDefault="00F2285E" w:rsidP="004B2134">
      <w:pPr>
        <w:pStyle w:val="BodyText"/>
        <w:numPr>
          <w:ilvl w:val="1"/>
          <w:numId w:val="7"/>
        </w:numPr>
        <w:spacing w:before="1" w:line="360" w:lineRule="auto"/>
        <w:jc w:val="left"/>
        <w:rPr>
          <w:rFonts w:ascii="Times New Roman" w:hAnsi="Times New Roman" w:cs="Times New Roman"/>
          <w:w w:val="105"/>
          <w:sz w:val="24"/>
        </w:rPr>
      </w:pPr>
      <w:r w:rsidRPr="00C241C0">
        <w:rPr>
          <w:rFonts w:ascii="Times New Roman" w:hAnsi="Times New Roman" w:cs="Times New Roman"/>
          <w:w w:val="105"/>
          <w:sz w:val="24"/>
        </w:rPr>
        <w:t>Molecular beacon</w:t>
      </w:r>
    </w:p>
    <w:p w14:paraId="7262B7B9" w14:textId="10022077" w:rsidR="001B3ED2" w:rsidRPr="00C241C0" w:rsidRDefault="00F2285E" w:rsidP="004B2134">
      <w:pPr>
        <w:pStyle w:val="BodyText"/>
        <w:spacing w:before="1" w:line="360" w:lineRule="auto"/>
        <w:ind w:left="540"/>
        <w:jc w:val="left"/>
        <w:rPr>
          <w:rFonts w:ascii="Times New Roman" w:hAnsi="Times New Roman" w:cs="Times New Roman"/>
          <w:w w:val="105"/>
          <w:sz w:val="24"/>
        </w:rPr>
      </w:pPr>
      <w:r w:rsidRPr="00C241C0">
        <w:rPr>
          <w:rFonts w:ascii="Times New Roman" w:hAnsi="Times New Roman" w:cs="Times New Roman"/>
          <w:w w:val="105"/>
          <w:sz w:val="24"/>
        </w:rPr>
        <w:t>Real-time PCR assays are versatile, allowing for the quantification of individual target species as well as the determination of the total bacterial load in clinical samples</w:t>
      </w:r>
      <w:r w:rsidR="00F12B67" w:rsidRPr="00C241C0">
        <w:rPr>
          <w:rFonts w:ascii="Times New Roman" w:hAnsi="Times New Roman" w:cs="Times New Roman"/>
          <w:w w:val="105"/>
          <w:sz w:val="24"/>
        </w:rPr>
        <w:t>.</w:t>
      </w:r>
      <w:r w:rsidR="002E0564" w:rsidRPr="00C241C0">
        <w:rPr>
          <w:rFonts w:ascii="Times New Roman" w:hAnsi="Times New Roman" w:cs="Times New Roman"/>
          <w:w w:val="105"/>
          <w:sz w:val="24"/>
        </w:rPr>
        <w:fldChar w:fldCharType="begin"/>
      </w:r>
      <w:r w:rsidR="003218D0">
        <w:rPr>
          <w:rFonts w:ascii="Times New Roman" w:hAnsi="Times New Roman" w:cs="Times New Roman"/>
          <w:w w:val="105"/>
          <w:sz w:val="24"/>
        </w:rPr>
        <w:instrText xml:space="preserve"> ADDIN ZOTERO_ITEM CSL_CITATION {"citationID":"mo60kOBS","properties":{"formattedCitation":"(14)","plainCitation":"(14)","noteIndex":0},"citationItems":[{"id":35,"uris":["http://zotero.org/users/local/RZx4qjtE/items/99I56LWI"],"itemData":{"id":35,"type":"article-journal","container-title":"Clinical Chemistry and Laboratory Medicine","DOI":"10.1515/CCLM.2003.070","ISSN":"1434-6621","issue":"4","language":"en","source":"DOI.org (Crossref)","title":"Molecular Beacons as Diagnostic Tools: Technology and Applications","title-short":"Molecular Beacons as Diagnostic Tools","URL":"https://www.degruyter.com/document/doi/10.1515/CCLM.2003.070/html","volume":"41","author":[{"family":"Abravaya","given":"Klara"},{"family":"Huff","given":"Jeffrey"},{"family":"Marshall","given":"Ron"},{"family":"Merchant","given":"Barbara"},{"family":"Mullen","given":"Carolyn"},{"family":"Schneider","given":"George"},{"family":"Robinson","given":"John"}],"accessed":{"date-parts":[["2023",9,23]]},"issued":{"date-parts":[["2003",1,25]]}}}],"schema":"https://github.com/citation-style-language/schema/raw/master/csl-citation.json"} </w:instrText>
      </w:r>
      <w:r w:rsidR="002E0564" w:rsidRPr="00C241C0">
        <w:rPr>
          <w:rFonts w:ascii="Times New Roman" w:hAnsi="Times New Roman" w:cs="Times New Roman"/>
          <w:w w:val="105"/>
          <w:sz w:val="24"/>
        </w:rPr>
        <w:fldChar w:fldCharType="separate"/>
      </w:r>
      <w:r w:rsidR="003218D0" w:rsidRPr="003218D0">
        <w:rPr>
          <w:rFonts w:ascii="Times New Roman" w:hAnsi="Times New Roman" w:cs="Times New Roman"/>
          <w:sz w:val="24"/>
        </w:rPr>
        <w:t>(14)</w:t>
      </w:r>
      <w:r w:rsidR="002E0564" w:rsidRPr="00C241C0">
        <w:rPr>
          <w:rFonts w:ascii="Times New Roman" w:hAnsi="Times New Roman" w:cs="Times New Roman"/>
          <w:w w:val="105"/>
          <w:sz w:val="24"/>
        </w:rPr>
        <w:fldChar w:fldCharType="end"/>
      </w:r>
    </w:p>
    <w:p w14:paraId="2936CBCA" w14:textId="77777777" w:rsidR="001F7A91" w:rsidRPr="00C241C0" w:rsidRDefault="001F7A91" w:rsidP="004B2134">
      <w:pPr>
        <w:pStyle w:val="BodyText"/>
        <w:spacing w:before="1" w:line="360" w:lineRule="auto"/>
        <w:ind w:left="540"/>
        <w:jc w:val="left"/>
        <w:rPr>
          <w:rFonts w:ascii="Times New Roman" w:hAnsi="Times New Roman" w:cs="Times New Roman"/>
          <w:w w:val="105"/>
          <w:sz w:val="24"/>
        </w:rPr>
      </w:pPr>
    </w:p>
    <w:p w14:paraId="502F250C" w14:textId="4E8EF15C" w:rsidR="001B3ED2" w:rsidRPr="00C241C0" w:rsidRDefault="00604CEE" w:rsidP="004B2134">
      <w:pPr>
        <w:pStyle w:val="Heading1"/>
        <w:numPr>
          <w:ilvl w:val="0"/>
          <w:numId w:val="8"/>
        </w:numPr>
        <w:tabs>
          <w:tab w:val="left" w:pos="464"/>
        </w:tabs>
        <w:spacing w:line="360" w:lineRule="auto"/>
        <w:rPr>
          <w:rFonts w:ascii="Times New Roman" w:hAnsi="Times New Roman" w:cs="Times New Roman"/>
          <w:sz w:val="28"/>
        </w:rPr>
      </w:pPr>
      <w:r w:rsidRPr="00C241C0">
        <w:rPr>
          <w:rFonts w:ascii="Times New Roman" w:hAnsi="Times New Roman" w:cs="Times New Roman"/>
          <w:sz w:val="28"/>
        </w:rPr>
        <w:t>SYBR GREEN</w:t>
      </w:r>
    </w:p>
    <w:p w14:paraId="2A548AA7" w14:textId="733B61C3" w:rsidR="00611B5D" w:rsidRPr="00611B5D" w:rsidRDefault="000F77A5" w:rsidP="00611B5D">
      <w:pPr>
        <w:pStyle w:val="BodyText"/>
        <w:spacing w:before="1" w:line="360" w:lineRule="auto"/>
        <w:ind w:left="540"/>
        <w:rPr>
          <w:rFonts w:ascii="Times New Roman" w:hAnsi="Times New Roman" w:cs="Times New Roman"/>
          <w:w w:val="105"/>
          <w:sz w:val="24"/>
        </w:rPr>
      </w:pPr>
      <w:r>
        <w:rPr>
          <w:rFonts w:ascii="Times New Roman" w:hAnsi="Times New Roman" w:cs="Times New Roman"/>
          <w:w w:val="105"/>
          <w:sz w:val="24"/>
        </w:rPr>
        <w:t>T</w:t>
      </w:r>
      <w:r w:rsidR="00611B5D" w:rsidRPr="00611B5D">
        <w:rPr>
          <w:rFonts w:ascii="Times New Roman" w:hAnsi="Times New Roman" w:cs="Times New Roman"/>
          <w:w w:val="105"/>
          <w:sz w:val="24"/>
        </w:rPr>
        <w:t>he simplest and most cost-effective version of RT-PCR is the SYBR Green assay. This approach employs a fluorescent dye that binds to double-stranded DNA. As the extension step proceeds, the dye attaches to the increasing amount of newly formed double-stranded DNA. Any unbound dye in the solution emits minimal fluorescence.</w:t>
      </w:r>
    </w:p>
    <w:p w14:paraId="0857F2DA" w14:textId="77777777" w:rsidR="00611B5D" w:rsidRPr="00611B5D" w:rsidRDefault="00611B5D" w:rsidP="00611B5D">
      <w:pPr>
        <w:pStyle w:val="BodyText"/>
        <w:spacing w:before="1" w:line="360" w:lineRule="auto"/>
        <w:ind w:left="540"/>
        <w:rPr>
          <w:rFonts w:ascii="Times New Roman" w:hAnsi="Times New Roman" w:cs="Times New Roman"/>
          <w:w w:val="105"/>
          <w:sz w:val="24"/>
        </w:rPr>
      </w:pPr>
    </w:p>
    <w:p w14:paraId="310C41EE" w14:textId="77777777" w:rsidR="00611B5D" w:rsidRPr="00611B5D" w:rsidRDefault="00611B5D" w:rsidP="00611B5D">
      <w:pPr>
        <w:pStyle w:val="BodyText"/>
        <w:spacing w:before="1" w:line="360" w:lineRule="auto"/>
        <w:ind w:left="540"/>
        <w:rPr>
          <w:rFonts w:ascii="Times New Roman" w:hAnsi="Times New Roman" w:cs="Times New Roman"/>
          <w:w w:val="105"/>
          <w:sz w:val="24"/>
        </w:rPr>
      </w:pPr>
      <w:r w:rsidRPr="00611B5D">
        <w:rPr>
          <w:rFonts w:ascii="Times New Roman" w:hAnsi="Times New Roman" w:cs="Times New Roman"/>
          <w:w w:val="105"/>
          <w:sz w:val="24"/>
        </w:rPr>
        <w:t xml:space="preserve">Although the SYBR Green assay is highly sensitive, it does come with certain limitations in terms of specificity. This is because the dye binds to all double-stranded DNA present </w:t>
      </w:r>
      <w:r w:rsidRPr="00611B5D">
        <w:rPr>
          <w:rFonts w:ascii="Times New Roman" w:hAnsi="Times New Roman" w:cs="Times New Roman"/>
          <w:w w:val="105"/>
          <w:sz w:val="24"/>
        </w:rPr>
        <w:lastRenderedPageBreak/>
        <w:t>in the sample, and occasionally, the formation of primer dimers can result in inaccurate readings.</w:t>
      </w:r>
    </w:p>
    <w:p w14:paraId="3E4A0BCC" w14:textId="77777777" w:rsidR="00611B5D" w:rsidRPr="00611B5D" w:rsidRDefault="00611B5D" w:rsidP="00611B5D">
      <w:pPr>
        <w:pStyle w:val="BodyText"/>
        <w:spacing w:before="1" w:line="360" w:lineRule="auto"/>
        <w:ind w:left="540"/>
        <w:rPr>
          <w:rFonts w:ascii="Times New Roman" w:hAnsi="Times New Roman" w:cs="Times New Roman"/>
          <w:w w:val="105"/>
          <w:sz w:val="24"/>
        </w:rPr>
      </w:pPr>
    </w:p>
    <w:p w14:paraId="39B35DC3" w14:textId="77777777" w:rsidR="00611B5D" w:rsidRPr="00611B5D" w:rsidRDefault="00611B5D" w:rsidP="00611B5D">
      <w:pPr>
        <w:pStyle w:val="BodyText"/>
        <w:spacing w:before="1" w:line="360" w:lineRule="auto"/>
        <w:ind w:left="540"/>
        <w:rPr>
          <w:rFonts w:ascii="Times New Roman" w:hAnsi="Times New Roman" w:cs="Times New Roman"/>
          <w:w w:val="105"/>
          <w:sz w:val="24"/>
        </w:rPr>
      </w:pPr>
    </w:p>
    <w:p w14:paraId="3120D4B6" w14:textId="77777777" w:rsidR="00611B5D" w:rsidRPr="00611B5D" w:rsidRDefault="00611B5D" w:rsidP="00611B5D">
      <w:pPr>
        <w:pStyle w:val="BodyText"/>
        <w:spacing w:before="1" w:line="360" w:lineRule="auto"/>
        <w:ind w:left="540"/>
        <w:rPr>
          <w:rFonts w:ascii="Times New Roman" w:hAnsi="Times New Roman" w:cs="Times New Roman"/>
          <w:w w:val="105"/>
          <w:sz w:val="24"/>
        </w:rPr>
      </w:pPr>
    </w:p>
    <w:p w14:paraId="105AC464" w14:textId="1DADA9B7" w:rsidR="00F2285E" w:rsidRPr="00C241C0" w:rsidRDefault="00F2285E" w:rsidP="004B2134">
      <w:pPr>
        <w:pStyle w:val="BodyText"/>
        <w:spacing w:before="1" w:line="360" w:lineRule="auto"/>
        <w:ind w:left="540"/>
        <w:jc w:val="left"/>
        <w:rPr>
          <w:rFonts w:ascii="Times New Roman" w:hAnsi="Times New Roman" w:cs="Times New Roman"/>
          <w:w w:val="105"/>
          <w:sz w:val="24"/>
        </w:rPr>
      </w:pPr>
      <w:r w:rsidRPr="00C241C0">
        <w:rPr>
          <w:rFonts w:ascii="Times New Roman" w:hAnsi="Times New Roman" w:cs="Times New Roman"/>
          <w:w w:val="105"/>
          <w:sz w:val="24"/>
        </w:rPr>
        <w:t>.</w:t>
      </w:r>
    </w:p>
    <w:p w14:paraId="23A2F4E0" w14:textId="77777777" w:rsidR="001F7A91" w:rsidRPr="00C241C0" w:rsidRDefault="001F7A91" w:rsidP="004B2134">
      <w:pPr>
        <w:pStyle w:val="BodyText"/>
        <w:spacing w:before="1" w:line="360" w:lineRule="auto"/>
        <w:ind w:left="0"/>
        <w:jc w:val="left"/>
        <w:rPr>
          <w:rFonts w:ascii="Times New Roman" w:hAnsi="Times New Roman" w:cs="Times New Roman"/>
          <w:w w:val="105"/>
          <w:sz w:val="24"/>
        </w:rPr>
      </w:pPr>
    </w:p>
    <w:p w14:paraId="189DDF24" w14:textId="6A8CAB2B" w:rsidR="00612203" w:rsidRPr="00C241C0" w:rsidRDefault="00604CEE" w:rsidP="004B2134">
      <w:pPr>
        <w:pStyle w:val="Heading1"/>
        <w:numPr>
          <w:ilvl w:val="0"/>
          <w:numId w:val="8"/>
        </w:numPr>
        <w:tabs>
          <w:tab w:val="left" w:pos="464"/>
        </w:tabs>
        <w:spacing w:line="360" w:lineRule="auto"/>
        <w:ind w:left="360" w:firstLine="0"/>
        <w:rPr>
          <w:rFonts w:ascii="Times New Roman" w:hAnsi="Times New Roman" w:cs="Times New Roman"/>
          <w:sz w:val="28"/>
        </w:rPr>
      </w:pPr>
      <w:r w:rsidRPr="00C241C0">
        <w:rPr>
          <w:rFonts w:ascii="Times New Roman" w:hAnsi="Times New Roman" w:cs="Times New Roman"/>
          <w:sz w:val="28"/>
        </w:rPr>
        <w:t>TAQMAN METHOD</w:t>
      </w:r>
    </w:p>
    <w:p w14:paraId="302C4DB8" w14:textId="455DF97E" w:rsidR="001F7A91" w:rsidRDefault="000F77A5" w:rsidP="004B2134">
      <w:pPr>
        <w:pStyle w:val="BodyText"/>
        <w:spacing w:before="1" w:line="360" w:lineRule="auto"/>
        <w:ind w:left="540"/>
        <w:jc w:val="left"/>
        <w:rPr>
          <w:rFonts w:ascii="Times New Roman" w:hAnsi="Times New Roman" w:cs="Times New Roman"/>
          <w:w w:val="105"/>
          <w:sz w:val="24"/>
        </w:rPr>
      </w:pPr>
      <w:r w:rsidRPr="000F77A5">
        <w:rPr>
          <w:rFonts w:ascii="Times New Roman" w:hAnsi="Times New Roman" w:cs="Times New Roman"/>
          <w:w w:val="105"/>
          <w:sz w:val="24"/>
        </w:rPr>
        <w:t>The addition of a labeled oligonucleotide probe into the primers is another method used in RT-PCR. A unique 20–30 base long oligonucleotide sequence that exactly matches a sequence found between the two primers must be designed for this technique, also known as the TaqMan probe assay. The reporter fluorescent dye at the TaqMan probe's 5' end and the quencher dye at the 3' end efficiently block the reporter dye's emission spectrum. No signal is produced as long as the probe is undamaged and attached to its target. However, the Taq DNA polymerase enzyme cleaves the TaqMan probe during the real-time PCR extension step, causing the reporter dye to detach from the quencher and increase fluorescence emission.</w:t>
      </w:r>
    </w:p>
    <w:p w14:paraId="47FF0B26" w14:textId="20EA3023" w:rsidR="00077A26" w:rsidRPr="00C241C0" w:rsidRDefault="00077A26" w:rsidP="004B2134">
      <w:pPr>
        <w:pStyle w:val="BodyText"/>
        <w:spacing w:before="1" w:line="360" w:lineRule="auto"/>
        <w:ind w:left="540"/>
        <w:jc w:val="left"/>
        <w:rPr>
          <w:rFonts w:ascii="Times New Roman" w:hAnsi="Times New Roman" w:cs="Times New Roman"/>
          <w:w w:val="105"/>
          <w:sz w:val="24"/>
        </w:rPr>
      </w:pPr>
      <w:r w:rsidRPr="00077A26">
        <w:rPr>
          <w:rFonts w:ascii="Times New Roman" w:hAnsi="Times New Roman" w:cs="Times New Roman"/>
          <w:w w:val="105"/>
          <w:sz w:val="24"/>
        </w:rPr>
        <w:t xml:space="preserve">Regarding specificity, </w:t>
      </w:r>
      <w:r w:rsidRPr="00077A26">
        <w:rPr>
          <w:rFonts w:ascii="Times New Roman" w:hAnsi="Times New Roman" w:cs="Times New Roman"/>
          <w:w w:val="105"/>
          <w:sz w:val="24"/>
        </w:rPr>
        <w:t>quantitatively</w:t>
      </w:r>
      <w:r w:rsidRPr="00077A26">
        <w:rPr>
          <w:rFonts w:ascii="Times New Roman" w:hAnsi="Times New Roman" w:cs="Times New Roman"/>
          <w:w w:val="105"/>
          <w:sz w:val="24"/>
        </w:rPr>
        <w:t>, and sensitivity for the detection of oral bacteria, Maeda et al. (2003)</w:t>
      </w:r>
      <w:r>
        <w:rPr>
          <w:rFonts w:ascii="Times New Roman" w:hAnsi="Times New Roman" w:cs="Times New Roman"/>
          <w:w w:val="105"/>
          <w:sz w:val="24"/>
        </w:rPr>
        <w:fldChar w:fldCharType="begin"/>
      </w:r>
      <w:r>
        <w:rPr>
          <w:rFonts w:ascii="Times New Roman" w:hAnsi="Times New Roman" w:cs="Times New Roman"/>
          <w:w w:val="105"/>
          <w:sz w:val="24"/>
        </w:rPr>
        <w:instrText xml:space="preserve"> ADDIN ZOTERO_ITEM CSL_CITATION {"citationID":"wUrsAq6q","properties":{"formattedCitation":"(15)","plainCitation":"(15)","noteIndex":0},"citationItems":[{"id":36,"uris":["http://zotero.org/users/local/RZx4qjtE/items/CFL7P7KQ"],"itemData":{"id":36,"type":"article-journal","abstract":"Accurate quantification of bacterial species in dental plaque is needed for microbiological diagnosis of periodontal diseases. The present study was designed to assess the sensitivity, specificity and quantitativity of the real-time PCR using the GeneAmpR Sequence Detection System with two fluorescence chemistries. TaqMan probe with reporter and quencher dye, and SYBR Green dye were used for sources of the fluorescence. Primers and probes were designed for Actinobacillus actinomycetemcomitans, Porphyromonas gingivalis, Prevotella intermedia and total bacteria based on the nucleotide sequences of the respective 16S ribosomal RNA genes. Since spread of antibiotic resistance genes is one of the crucial problems in periodontal therapy, quantitative detection of tetQ gene, which confers resistance to tetracycline, was included in the examination. The detection of P. gingivalis, P. intermedia and A. actinomycetemcomitans was linear over a range of 10^107 cells (10^107 copies for tetQ gene), while the quantitative range for total bacteria was 102^107 cells. Species-specific amplifications were observed for the three periodontal bacteria, and there was no significant difference between the TaqMan and SYBR Green chemistry in their specificity, quantitativity and sensitivity. The SYBR Green assay, which was simpler than TaqMan assay in its manipulations, was applied to the clinical plaque samples. The plaque samples were obtained from eight patients (eight periodontal pockets) before and 1 week after the local drug delivery of minocycline. Although the number of P. gingivalis, P. intermedia and A. actinomycetemcomitans markedly decreased after the antibiotic therapy in most cases, higher copy numbers of the tetQ gene were detectable. The real-time PCR demonstrated sufficient sensitivity, specificity and quantitativity to be a powerful tool for microbiological examination in periodontal disease, and the quantitative monitoring of antibiotic resistance gene accompanied with the antibiotic therapy should be included in the examination.","container-title":"FEMS Immunology &amp; Medical Microbiology","DOI":"10.1016/S0928-8244(03)00224-4","ISSN":"09288244, 1574695X","issue":"1","language":"en","page":"81-86","source":"DOI.org (Crossref)","title":"Quantitative real-time PCR using TaqMan and SYBR Green for &lt;i&gt;Actinobacillus actinomycetemcomitans&lt;/i&gt; , &lt;i&gt;Porphyromonas gingivalis&lt;/i&gt; , &lt;i&gt;Prevotella intermedia&lt;/i&gt; , &lt;i&gt;tetQ&lt;/i&gt; gene and total bacteria","volume":"39","author":[{"family":"Maeda","given":"Hiroshi"},{"family":"Fujimoto","given":"Chiyo"},{"family":"Haruki","given":"Yasuhiro"},{"family":"Maeda","given":"Takemasa"},{"family":"Kokeguchi","given":"Susumu"},{"family":"Petelin","given":"Millan"},{"family":"Arai","given":"Hideo"},{"family":"Tanimoto","given":"Ichiro"},{"family":"Nishimura","given":"Fusanori"},{"family":"Takashiba","given":"Shogo"}],"issued":{"date-parts":[["2003",10]]}}}],"schema":"https://github.com/citation-style-language/schema/raw/master/csl-citation.json"} </w:instrText>
      </w:r>
      <w:r>
        <w:rPr>
          <w:rFonts w:ascii="Times New Roman" w:hAnsi="Times New Roman" w:cs="Times New Roman"/>
          <w:w w:val="105"/>
          <w:sz w:val="24"/>
        </w:rPr>
        <w:fldChar w:fldCharType="separate"/>
      </w:r>
      <w:r w:rsidRPr="00077A26">
        <w:rPr>
          <w:rFonts w:ascii="Times New Roman" w:hAnsi="Times New Roman" w:cs="Times New Roman"/>
          <w:sz w:val="24"/>
        </w:rPr>
        <w:t>(15)</w:t>
      </w:r>
      <w:r>
        <w:rPr>
          <w:rFonts w:ascii="Times New Roman" w:hAnsi="Times New Roman" w:cs="Times New Roman"/>
          <w:w w:val="105"/>
          <w:sz w:val="24"/>
        </w:rPr>
        <w:fldChar w:fldCharType="end"/>
      </w:r>
      <w:r w:rsidRPr="00077A26">
        <w:rPr>
          <w:rFonts w:ascii="Times New Roman" w:hAnsi="Times New Roman" w:cs="Times New Roman"/>
          <w:w w:val="105"/>
          <w:sz w:val="24"/>
        </w:rPr>
        <w:t xml:space="preserve"> found no discernible difference between TaqMan and SYBR Green chemistry. SYBR Green test protocols are typically easier to follow and less expensive than TaqMan methods.</w:t>
      </w:r>
    </w:p>
    <w:p w14:paraId="0EA994FE" w14:textId="6DD7AB90" w:rsidR="001B3ED2" w:rsidRPr="00C241C0" w:rsidRDefault="00604CEE" w:rsidP="004B2134">
      <w:pPr>
        <w:pStyle w:val="Heading1"/>
        <w:numPr>
          <w:ilvl w:val="0"/>
          <w:numId w:val="8"/>
        </w:numPr>
        <w:tabs>
          <w:tab w:val="left" w:pos="464"/>
        </w:tabs>
        <w:spacing w:line="360" w:lineRule="auto"/>
        <w:rPr>
          <w:rFonts w:ascii="Times New Roman" w:hAnsi="Times New Roman" w:cs="Times New Roman"/>
          <w:sz w:val="28"/>
        </w:rPr>
      </w:pPr>
      <w:r w:rsidRPr="00C241C0">
        <w:rPr>
          <w:rFonts w:ascii="Times New Roman" w:hAnsi="Times New Roman" w:cs="Times New Roman"/>
          <w:sz w:val="28"/>
        </w:rPr>
        <w:t>MOLECULAR BEACONS</w:t>
      </w:r>
    </w:p>
    <w:p w14:paraId="4018F1E2" w14:textId="77777777" w:rsidR="00E232A4" w:rsidRDefault="00E232A4" w:rsidP="00611B5D">
      <w:pPr>
        <w:pStyle w:val="Heading1"/>
        <w:tabs>
          <w:tab w:val="left" w:pos="464"/>
        </w:tabs>
        <w:spacing w:line="360" w:lineRule="auto"/>
        <w:ind w:left="179" w:firstLine="0"/>
        <w:rPr>
          <w:rFonts w:ascii="Times New Roman" w:eastAsia="Cambria" w:hAnsi="Times New Roman" w:cs="Times New Roman"/>
          <w:b w:val="0"/>
          <w:bCs w:val="0"/>
          <w:w w:val="105"/>
          <w:sz w:val="24"/>
        </w:rPr>
      </w:pPr>
      <w:r w:rsidRPr="00E232A4">
        <w:rPr>
          <w:rFonts w:ascii="Times New Roman" w:eastAsia="Cambria" w:hAnsi="Times New Roman" w:cs="Times New Roman"/>
          <w:b w:val="0"/>
          <w:bCs w:val="0"/>
          <w:w w:val="105"/>
          <w:sz w:val="24"/>
        </w:rPr>
        <w:t>Molecular beacons, single-stranded oligonucleotides with a distinctive stem-and-loop structure, are used in a different real-time PCR test. The loop sequence in this structure forms the stem and is flanked by brief complementary arms that are complementary to a particular target sequence. The oligonucleotide has a fluorophore attached to one end and a quencher molecule attached to the other.</w:t>
      </w:r>
    </w:p>
    <w:p w14:paraId="44DF76E8" w14:textId="0B5CCEA8" w:rsidR="00611B5D" w:rsidRDefault="00E232A4" w:rsidP="00611B5D">
      <w:pPr>
        <w:pStyle w:val="Heading1"/>
        <w:tabs>
          <w:tab w:val="left" w:pos="464"/>
        </w:tabs>
        <w:spacing w:line="360" w:lineRule="auto"/>
        <w:ind w:left="179" w:firstLine="0"/>
        <w:rPr>
          <w:rFonts w:ascii="Times New Roman" w:eastAsia="Cambria" w:hAnsi="Times New Roman" w:cs="Times New Roman"/>
          <w:b w:val="0"/>
          <w:bCs w:val="0"/>
          <w:w w:val="105"/>
          <w:sz w:val="24"/>
        </w:rPr>
      </w:pPr>
      <w:r w:rsidRPr="00E232A4">
        <w:rPr>
          <w:rFonts w:ascii="Times New Roman" w:eastAsia="Cambria" w:hAnsi="Times New Roman" w:cs="Times New Roman"/>
          <w:b w:val="0"/>
          <w:bCs w:val="0"/>
          <w:w w:val="105"/>
          <w:sz w:val="24"/>
        </w:rPr>
        <w:t xml:space="preserve">Molecular beacons take on a hairpin-like structure in their unbound state when in a solution, with the stem maintaining the arms close together. The dye's fluorescence is effectively muted by this configuration. The two ends of the molecular beacon, however, split apart when it connects to its target sequence. As a result, a detectable signal is created when the excited fluorophore releases its energy as light. According to Klara </w:t>
      </w:r>
      <w:proofErr w:type="spellStart"/>
      <w:r w:rsidRPr="00E232A4">
        <w:rPr>
          <w:rFonts w:ascii="Times New Roman" w:eastAsia="Cambria" w:hAnsi="Times New Roman" w:cs="Times New Roman"/>
          <w:b w:val="0"/>
          <w:bCs w:val="0"/>
          <w:w w:val="105"/>
          <w:sz w:val="24"/>
        </w:rPr>
        <w:t>Abravaya</w:t>
      </w:r>
      <w:proofErr w:type="spellEnd"/>
      <w:r w:rsidRPr="00E232A4">
        <w:rPr>
          <w:rFonts w:ascii="Times New Roman" w:eastAsia="Cambria" w:hAnsi="Times New Roman" w:cs="Times New Roman"/>
          <w:b w:val="0"/>
          <w:bCs w:val="0"/>
          <w:w w:val="105"/>
          <w:sz w:val="24"/>
        </w:rPr>
        <w:t xml:space="preserve"> in 2011 (17), this change from quenched to emitting light enables the identification of the target sequence.</w:t>
      </w:r>
    </w:p>
    <w:p w14:paraId="3DAD99B0" w14:textId="77777777" w:rsidR="00C45A4D" w:rsidRPr="00611B5D" w:rsidRDefault="00C45A4D" w:rsidP="00611B5D">
      <w:pPr>
        <w:pStyle w:val="Heading1"/>
        <w:tabs>
          <w:tab w:val="left" w:pos="464"/>
        </w:tabs>
        <w:spacing w:line="360" w:lineRule="auto"/>
        <w:ind w:left="179" w:firstLine="0"/>
        <w:rPr>
          <w:rFonts w:ascii="Times New Roman" w:eastAsia="Cambria" w:hAnsi="Times New Roman" w:cs="Times New Roman"/>
          <w:b w:val="0"/>
          <w:bCs w:val="0"/>
          <w:w w:val="105"/>
          <w:sz w:val="24"/>
        </w:rPr>
      </w:pPr>
    </w:p>
    <w:p w14:paraId="36A2A13D" w14:textId="77777777" w:rsidR="00611B5D" w:rsidRPr="00611B5D" w:rsidRDefault="00611B5D" w:rsidP="00611B5D">
      <w:pPr>
        <w:pStyle w:val="Heading1"/>
        <w:tabs>
          <w:tab w:val="left" w:pos="464"/>
        </w:tabs>
        <w:spacing w:line="360" w:lineRule="auto"/>
        <w:rPr>
          <w:rFonts w:ascii="Times New Roman" w:eastAsia="Cambria" w:hAnsi="Times New Roman" w:cs="Times New Roman"/>
          <w:b w:val="0"/>
          <w:bCs w:val="0"/>
          <w:w w:val="105"/>
          <w:sz w:val="24"/>
        </w:rPr>
      </w:pPr>
    </w:p>
    <w:p w14:paraId="4D366273" w14:textId="2775A636" w:rsidR="001B3ED2" w:rsidRPr="00C241C0" w:rsidRDefault="00D97D0A" w:rsidP="004B2134">
      <w:pPr>
        <w:pStyle w:val="BodyText"/>
        <w:spacing w:before="1" w:line="360" w:lineRule="auto"/>
        <w:ind w:left="540"/>
        <w:jc w:val="center"/>
        <w:rPr>
          <w:rFonts w:ascii="Times New Roman" w:hAnsi="Times New Roman" w:cs="Times New Roman"/>
          <w:w w:val="105"/>
          <w:sz w:val="24"/>
        </w:rPr>
      </w:pPr>
      <w:r>
        <w:rPr>
          <w:rFonts w:ascii="Times New Roman" w:hAnsi="Times New Roman" w:cs="Times New Roman"/>
          <w:noProof/>
          <w:sz w:val="24"/>
        </w:rPr>
        <w:pict w14:anchorId="67762B00">
          <v:shape id="_x0000_s1085" type="#_x0000_t202" style="position:absolute;left:0;text-align:left;margin-left:51.15pt;margin-top:218.5pt;width:400.9pt;height:44pt;z-index:251661824">
            <v:textbox>
              <w:txbxContent>
                <w:p w14:paraId="65AEF9E3" w14:textId="72A6EE00" w:rsidR="00824360" w:rsidRPr="00824360" w:rsidRDefault="00824360" w:rsidP="00824360">
                  <w:pPr>
                    <w:rPr>
                      <w:sz w:val="20"/>
                    </w:rPr>
                  </w:pPr>
                  <w:r>
                    <w:rPr>
                      <w:sz w:val="20"/>
                    </w:rPr>
                    <w:t xml:space="preserve">FIGURE 8:  </w:t>
                  </w:r>
                  <w:r w:rsidRPr="00824360">
                    <w:rPr>
                      <w:sz w:val="20"/>
                    </w:rPr>
                    <w:t>Representative image:</w:t>
                  </w:r>
                  <w:r w:rsidR="004B2134" w:rsidRPr="004B2134">
                    <w:t xml:space="preserve"> </w:t>
                  </w:r>
                  <w:r w:rsidR="004B2134" w:rsidRPr="004B2134">
                    <w:rPr>
                      <w:sz w:val="20"/>
                    </w:rPr>
                    <w:t>Single-stranded, fluorophore-labeled nucleic acid probes known as molecular beacons can produce a fluorescent signal when they are in contact with their target but are dark when they are not</w:t>
                  </w:r>
                  <w:r>
                    <w:rPr>
                      <w:sz w:val="20"/>
                    </w:rPr>
                    <w:t>.</w:t>
                  </w:r>
                </w:p>
              </w:txbxContent>
            </v:textbox>
          </v:shape>
        </w:pict>
      </w:r>
      <w:r w:rsidR="00F12B67" w:rsidRPr="00C241C0">
        <w:rPr>
          <w:rFonts w:ascii="Times New Roman" w:hAnsi="Times New Roman" w:cs="Times New Roman"/>
          <w:noProof/>
          <w:w w:val="105"/>
          <w:sz w:val="24"/>
        </w:rPr>
        <w:drawing>
          <wp:inline distT="0" distB="0" distL="0" distR="0" wp14:anchorId="14320818" wp14:editId="7CABEE5F">
            <wp:extent cx="3025775" cy="2759676"/>
            <wp:effectExtent l="0" t="0" r="0" b="0"/>
            <wp:docPr id="4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jpeg"/>
                    <pic:cNvPicPr/>
                  </pic:nvPicPr>
                  <pic:blipFill>
                    <a:blip r:embed="rId17" cstate="print"/>
                    <a:stretch>
                      <a:fillRect/>
                    </a:stretch>
                  </pic:blipFill>
                  <pic:spPr>
                    <a:xfrm>
                      <a:off x="0" y="0"/>
                      <a:ext cx="3033851" cy="2767042"/>
                    </a:xfrm>
                    <a:prstGeom prst="rect">
                      <a:avLst/>
                    </a:prstGeom>
                  </pic:spPr>
                </pic:pic>
              </a:graphicData>
            </a:graphic>
          </wp:inline>
        </w:drawing>
      </w:r>
    </w:p>
    <w:p w14:paraId="57C8423D" w14:textId="77777777" w:rsidR="00604CEE" w:rsidRPr="00C241C0" w:rsidRDefault="00604CEE" w:rsidP="004B2134">
      <w:pPr>
        <w:pStyle w:val="Heading1"/>
        <w:tabs>
          <w:tab w:val="left" w:pos="464"/>
        </w:tabs>
        <w:spacing w:line="360" w:lineRule="auto"/>
        <w:ind w:left="0" w:firstLine="0"/>
        <w:rPr>
          <w:rFonts w:ascii="Times New Roman" w:hAnsi="Times New Roman" w:cs="Times New Roman"/>
          <w:sz w:val="28"/>
        </w:rPr>
      </w:pPr>
    </w:p>
    <w:p w14:paraId="4FADE818" w14:textId="77777777" w:rsidR="00824360" w:rsidRDefault="00824360" w:rsidP="004B2134">
      <w:pPr>
        <w:pStyle w:val="Heading1"/>
        <w:tabs>
          <w:tab w:val="left" w:pos="464"/>
        </w:tabs>
        <w:spacing w:line="360" w:lineRule="auto"/>
        <w:ind w:left="360" w:firstLine="0"/>
        <w:rPr>
          <w:rFonts w:ascii="Times New Roman" w:hAnsi="Times New Roman" w:cs="Times New Roman"/>
          <w:sz w:val="28"/>
        </w:rPr>
      </w:pPr>
    </w:p>
    <w:p w14:paraId="6E6B9D6C" w14:textId="37FBBDD2" w:rsidR="001B3ED2" w:rsidRDefault="00604CEE" w:rsidP="004B2134">
      <w:pPr>
        <w:pStyle w:val="Heading1"/>
        <w:numPr>
          <w:ilvl w:val="0"/>
          <w:numId w:val="26"/>
        </w:numPr>
        <w:tabs>
          <w:tab w:val="left" w:pos="464"/>
        </w:tabs>
        <w:spacing w:line="360" w:lineRule="auto"/>
        <w:rPr>
          <w:rFonts w:ascii="Times New Roman" w:hAnsi="Times New Roman" w:cs="Times New Roman"/>
          <w:sz w:val="28"/>
        </w:rPr>
      </w:pPr>
      <w:r w:rsidRPr="00C241C0">
        <w:rPr>
          <w:rFonts w:ascii="Times New Roman" w:hAnsi="Times New Roman" w:cs="Times New Roman"/>
          <w:sz w:val="28"/>
        </w:rPr>
        <w:t>PCR-BASED MICROBIAL TYPING</w:t>
      </w:r>
    </w:p>
    <w:p w14:paraId="4B1E5473" w14:textId="0F8C5421" w:rsidR="00611B5D" w:rsidRPr="00C45A4D" w:rsidRDefault="00C45A4D" w:rsidP="00611B5D">
      <w:pPr>
        <w:pStyle w:val="BodyText"/>
        <w:spacing w:before="1" w:line="360" w:lineRule="auto"/>
        <w:ind w:left="540"/>
        <w:rPr>
          <w:rFonts w:ascii="Times New Roman" w:hAnsi="Times New Roman" w:cs="Times New Roman"/>
          <w:w w:val="105"/>
          <w:sz w:val="22"/>
          <w:szCs w:val="24"/>
        </w:rPr>
      </w:pPr>
      <w:r w:rsidRPr="00C45A4D">
        <w:rPr>
          <w:rFonts w:ascii="Times New Roman" w:eastAsia="Palatino Linotype" w:hAnsi="Times New Roman" w:cs="Times New Roman"/>
          <w:sz w:val="24"/>
          <w:szCs w:val="24"/>
        </w:rPr>
        <w:t>One technique that uses PCR technology for clonal study of microorganisms is arbitrarily primed PCR (AP-PCR), also known as random amplified polymorphic DNA. A relatively quick method of determining the relationship between two isolates of the same species is provided by AP-PCR. A single random sequence primer, typically made up of 10 to 20 bases, is utilized in AP-PCR. Despite base-pairing mismatches, this primer can bind to unidentified DNA target locations. It is possible to start priming at sites with imperfect matches by using a random sequence primer under low stringency conditions, enabling a flexible and useful clonal study.</w:t>
      </w:r>
    </w:p>
    <w:p w14:paraId="76E1959F" w14:textId="475B500F" w:rsidR="00611B5D" w:rsidRDefault="00C45A4D" w:rsidP="00611B5D">
      <w:pPr>
        <w:pStyle w:val="BodyText"/>
        <w:spacing w:before="1" w:line="360" w:lineRule="auto"/>
        <w:ind w:left="540"/>
        <w:rPr>
          <w:rFonts w:ascii="Times New Roman" w:hAnsi="Times New Roman" w:cs="Times New Roman"/>
          <w:w w:val="105"/>
          <w:sz w:val="24"/>
        </w:rPr>
      </w:pPr>
      <w:r w:rsidRPr="00C45A4D">
        <w:rPr>
          <w:rFonts w:ascii="Times New Roman" w:hAnsi="Times New Roman" w:cs="Times New Roman"/>
          <w:w w:val="105"/>
          <w:sz w:val="24"/>
        </w:rPr>
        <w:t>Only when two primers successfully bind in close proximity and in the proper forward and reverse orientations necessary for product production can amplification in an AP-PCR take place. Due to variances in their priming sites, the genetic variants contained in two DNA templates result in distinctive DNA fingerprints. According to studies done by Spiegelman et al. in 2005, when these amplicons are put through electrophoresis, they generate a strain-specific pattern that typically consists of 5 to 15 bands per species. The benefit of AP-PCR is that it can produce extremely specific DNA profiles without the need for prior DNA sequence knowledge. Additionally, primers can be created to specifically target recognized genetic elements, such as recurrent extragenic palindromic sequences (REP-PCR) and enterobacterial repetitive intergenic consensus sequences (ERIC-PCR).</w:t>
      </w:r>
    </w:p>
    <w:p w14:paraId="4E95C759" w14:textId="77777777" w:rsidR="00C45A4D" w:rsidRPr="00611B5D" w:rsidRDefault="00C45A4D" w:rsidP="00C45A4D">
      <w:pPr>
        <w:pStyle w:val="BodyText"/>
        <w:spacing w:before="1" w:line="360" w:lineRule="auto"/>
        <w:rPr>
          <w:rFonts w:ascii="Times New Roman" w:hAnsi="Times New Roman" w:cs="Times New Roman"/>
          <w:w w:val="105"/>
          <w:sz w:val="24"/>
        </w:rPr>
      </w:pPr>
    </w:p>
    <w:p w14:paraId="322CC37B" w14:textId="77777777" w:rsidR="00611B5D" w:rsidRPr="00611B5D" w:rsidRDefault="00611B5D" w:rsidP="00611B5D">
      <w:pPr>
        <w:pStyle w:val="Heading1"/>
        <w:tabs>
          <w:tab w:val="left" w:pos="464"/>
        </w:tabs>
        <w:spacing w:line="360" w:lineRule="auto"/>
        <w:ind w:left="720"/>
        <w:rPr>
          <w:rFonts w:ascii="Times New Roman" w:eastAsia="Cambria" w:hAnsi="Times New Roman" w:cs="Times New Roman"/>
          <w:b w:val="0"/>
          <w:bCs w:val="0"/>
          <w:w w:val="105"/>
          <w:sz w:val="24"/>
        </w:rPr>
      </w:pPr>
      <w:r w:rsidRPr="00611B5D">
        <w:rPr>
          <w:rFonts w:ascii="Times New Roman" w:eastAsia="Cambria" w:hAnsi="Times New Roman" w:cs="Times New Roman"/>
          <w:b w:val="0"/>
          <w:bCs w:val="0"/>
          <w:w w:val="105"/>
          <w:sz w:val="24"/>
        </w:rPr>
        <w:t>The application of AP-PCR for clonal analysis can be pivotal in determining the degree of relatedness among specific strains within a particular species, especially those strains that may be more closely linked to specific disease signs or symptoms.</w:t>
      </w:r>
    </w:p>
    <w:p w14:paraId="7A542417" w14:textId="77777777" w:rsidR="00611B5D" w:rsidRPr="00611B5D" w:rsidRDefault="00611B5D" w:rsidP="00611B5D">
      <w:pPr>
        <w:pStyle w:val="Heading1"/>
        <w:tabs>
          <w:tab w:val="left" w:pos="464"/>
        </w:tabs>
        <w:spacing w:line="360" w:lineRule="auto"/>
        <w:ind w:left="720"/>
        <w:rPr>
          <w:rFonts w:ascii="Times New Roman" w:eastAsia="Cambria" w:hAnsi="Times New Roman" w:cs="Times New Roman"/>
          <w:b w:val="0"/>
          <w:bCs w:val="0"/>
          <w:w w:val="105"/>
          <w:sz w:val="24"/>
        </w:rPr>
      </w:pPr>
    </w:p>
    <w:p w14:paraId="452ACEF3" w14:textId="08F98177" w:rsidR="00234E77" w:rsidRDefault="00611B5D" w:rsidP="00611B5D">
      <w:pPr>
        <w:pStyle w:val="Heading1"/>
        <w:tabs>
          <w:tab w:val="left" w:pos="464"/>
        </w:tabs>
        <w:spacing w:line="360" w:lineRule="auto"/>
        <w:ind w:left="720"/>
        <w:rPr>
          <w:rFonts w:ascii="Times New Roman" w:eastAsia="Cambria" w:hAnsi="Times New Roman" w:cs="Times New Roman"/>
          <w:b w:val="0"/>
          <w:bCs w:val="0"/>
          <w:w w:val="105"/>
          <w:sz w:val="24"/>
        </w:rPr>
      </w:pPr>
      <w:r w:rsidRPr="00611B5D">
        <w:rPr>
          <w:rFonts w:ascii="Times New Roman" w:eastAsia="Cambria" w:hAnsi="Times New Roman" w:cs="Times New Roman"/>
          <w:b w:val="0"/>
          <w:bCs w:val="0"/>
          <w:w w:val="105"/>
          <w:sz w:val="24"/>
        </w:rPr>
        <w:t>Clonal analysis also serves as a valuable tool for tracking the source of microorganisms infecting a particular location. For instance, by comparing bacterial strains obtained from different sites, such as the root canal and the gingival sulcus or other oral areas, it becomes possible to gain insights into the origin of the bacteria within the root canal system. Furthermore, clonal analysis can be used to trace the origin of microorganisms found in a suspected focal disease. This is accomplished by comparing the isolates discovered at the initially infected site with those identified in the suspected original focus of infection, as discussed by Siqueira Jr. and Rocas in 2005 (2).</w:t>
      </w:r>
    </w:p>
    <w:p w14:paraId="7F168574" w14:textId="77777777" w:rsidR="00611B5D" w:rsidRPr="00C241C0" w:rsidRDefault="00611B5D" w:rsidP="00611B5D">
      <w:pPr>
        <w:pStyle w:val="Heading1"/>
        <w:tabs>
          <w:tab w:val="left" w:pos="464"/>
        </w:tabs>
        <w:spacing w:line="360" w:lineRule="auto"/>
        <w:ind w:left="720"/>
        <w:rPr>
          <w:rFonts w:ascii="Times New Roman" w:hAnsi="Times New Roman" w:cs="Times New Roman"/>
          <w:sz w:val="28"/>
        </w:rPr>
      </w:pPr>
    </w:p>
    <w:p w14:paraId="21527899" w14:textId="05F3AD54" w:rsidR="001B3ED2" w:rsidRPr="00C241C0" w:rsidRDefault="00604CEE" w:rsidP="004B2134">
      <w:pPr>
        <w:pStyle w:val="Heading1"/>
        <w:numPr>
          <w:ilvl w:val="0"/>
          <w:numId w:val="7"/>
        </w:numPr>
        <w:tabs>
          <w:tab w:val="left" w:pos="464"/>
        </w:tabs>
        <w:spacing w:line="360" w:lineRule="auto"/>
        <w:ind w:left="540"/>
        <w:rPr>
          <w:rFonts w:ascii="Times New Roman" w:hAnsi="Times New Roman" w:cs="Times New Roman"/>
          <w:sz w:val="28"/>
        </w:rPr>
      </w:pPr>
      <w:r w:rsidRPr="00C241C0">
        <w:rPr>
          <w:rFonts w:ascii="Times New Roman" w:hAnsi="Times New Roman" w:cs="Times New Roman"/>
          <w:sz w:val="28"/>
        </w:rPr>
        <w:t>BROAD RANGE PCR</w:t>
      </w:r>
    </w:p>
    <w:p w14:paraId="559AC1FB" w14:textId="5A33BC89" w:rsidR="001B3ED2" w:rsidRDefault="00C45A4D" w:rsidP="00C45A4D">
      <w:pPr>
        <w:pStyle w:val="BodyText"/>
        <w:spacing w:before="1" w:line="360" w:lineRule="auto"/>
        <w:ind w:left="720" w:right="530"/>
        <w:jc w:val="left"/>
        <w:rPr>
          <w:rFonts w:ascii="Times New Roman" w:hAnsi="Times New Roman" w:cs="Times New Roman"/>
          <w:w w:val="105"/>
          <w:sz w:val="24"/>
        </w:rPr>
      </w:pPr>
      <w:r w:rsidRPr="00C45A4D">
        <w:rPr>
          <w:rFonts w:ascii="Times New Roman" w:hAnsi="Times New Roman" w:cs="Times New Roman"/>
          <w:w w:val="105"/>
          <w:sz w:val="24"/>
        </w:rPr>
        <w:t xml:space="preserve">Multiple fastidious, uncultivated bacterial pathogens have been discovered from various human sites using broad-range PCR. Primers are created for broad-range PCR that are complementary to conserved sections of a specific gene (often the 16S rRNA gene) shared by a variety of bacteria. Almost any bacterial species present in a sample may be identified using broad-range PCR and 16S rRNA gene clone library assembly (Conrads et al., 1997). </w:t>
      </w:r>
      <w:r w:rsidR="00234E77" w:rsidRPr="00C241C0">
        <w:rPr>
          <w:rFonts w:ascii="Times New Roman" w:hAnsi="Times New Roman" w:cs="Times New Roman"/>
          <w:w w:val="105"/>
          <w:sz w:val="24"/>
        </w:rPr>
        <w:fldChar w:fldCharType="begin"/>
      </w:r>
      <w:r w:rsidR="00077A26">
        <w:rPr>
          <w:rFonts w:ascii="Times New Roman" w:hAnsi="Times New Roman" w:cs="Times New Roman"/>
          <w:w w:val="105"/>
          <w:sz w:val="24"/>
        </w:rPr>
        <w:instrText xml:space="preserve"> ADDIN ZOTERO_ITEM CSL_CITATION {"citationID":"eZEbf9oL","properties":{"formattedCitation":"(16)","plainCitation":"(16)","noteIndex":0},"citationItems":[{"id":28,"uris":["http://zotero.org/users/local/RZx4qjtE/items/5XMWS3G5"],"itemData":{"id":28,"type":"article-journal","container-title":"Journal of Endodontics","DOI":"10.1016/S0099-2399(97)80297-X","ISSN":"00992399","issue":"7","journalAbbreviation":"Journal of Endodontics","language":"en","page":"433-438","source":"DOI.org (Crossref)","title":"The use of a 16S rDNA directed PCR for the detection of endodontopathogenic Bacteria","volume":"23","author":[{"family":"Conrads","given":"Georg"},{"family":"Gharbia","given":"Saheer E."},{"family":"Gulabivala","given":"Kishor"},{"family":"Lampert","given":"Friedrich"},{"family":"Shah","given":"Haroun N."}],"issued":{"date-parts":[["1997",7]]}}}],"schema":"https://github.com/citation-style-language/schema/raw/master/csl-citation.json"} </w:instrText>
      </w:r>
      <w:r w:rsidR="00234E77" w:rsidRPr="00C241C0">
        <w:rPr>
          <w:rFonts w:ascii="Times New Roman" w:hAnsi="Times New Roman" w:cs="Times New Roman"/>
          <w:w w:val="105"/>
          <w:sz w:val="24"/>
        </w:rPr>
        <w:fldChar w:fldCharType="separate"/>
      </w:r>
      <w:r w:rsidR="00077A26" w:rsidRPr="00077A26">
        <w:rPr>
          <w:rFonts w:ascii="Times New Roman" w:hAnsi="Times New Roman" w:cs="Times New Roman"/>
          <w:sz w:val="24"/>
        </w:rPr>
        <w:t>(16)</w:t>
      </w:r>
      <w:r w:rsidR="00234E77" w:rsidRPr="00C241C0">
        <w:rPr>
          <w:rFonts w:ascii="Times New Roman" w:hAnsi="Times New Roman" w:cs="Times New Roman"/>
          <w:w w:val="105"/>
          <w:sz w:val="24"/>
        </w:rPr>
        <w:fldChar w:fldCharType="end"/>
      </w:r>
    </w:p>
    <w:p w14:paraId="32A7D042" w14:textId="77777777" w:rsidR="00C45A4D" w:rsidRPr="00C241C0" w:rsidRDefault="00C45A4D" w:rsidP="00C45A4D">
      <w:pPr>
        <w:pStyle w:val="BodyText"/>
        <w:spacing w:before="1" w:line="360" w:lineRule="auto"/>
        <w:ind w:left="720" w:right="530"/>
        <w:jc w:val="left"/>
        <w:rPr>
          <w:rFonts w:ascii="Times New Roman" w:hAnsi="Times New Roman" w:cs="Times New Roman"/>
          <w:w w:val="105"/>
          <w:sz w:val="24"/>
        </w:rPr>
      </w:pPr>
    </w:p>
    <w:p w14:paraId="0A611FF9" w14:textId="0D53FF44" w:rsidR="00107959" w:rsidRDefault="00107959" w:rsidP="00107959">
      <w:pPr>
        <w:pStyle w:val="BodyText"/>
        <w:spacing w:before="1" w:line="360" w:lineRule="auto"/>
        <w:ind w:left="450" w:right="620"/>
        <w:jc w:val="left"/>
        <w:rPr>
          <w:rFonts w:ascii="Times New Roman" w:hAnsi="Times New Roman" w:cs="Times New Roman"/>
          <w:w w:val="105"/>
          <w:sz w:val="24"/>
        </w:rPr>
      </w:pPr>
      <w:r w:rsidRPr="00107959">
        <w:rPr>
          <w:rFonts w:ascii="Times New Roman" w:hAnsi="Times New Roman" w:cs="Times New Roman"/>
          <w:w w:val="105"/>
          <w:sz w:val="24"/>
        </w:rPr>
        <w:t>Bulk DNA is originally isolated from samples for this kind of PCR. The 16S rRNA gene is then extracted from the bulk DNA using PCR and primers made especially for conserved gene regions. The 16S rRNA gene from practically every bacterial species in the sample is amplified when broad-range primers are used for amplification. The risk of amplifying DNA from microorganisms during PCR amplification is significant. The use of separate rooms for pre- and post-PCR work, UV decontamination of surfaces, the use of high-quality reagents, the implementation of appropriate sampling techniques, and the use of vials for clinical specimens are just a few of the precautions that must be taken in order to minimize this risk.</w:t>
      </w:r>
      <w:r w:rsidRPr="00C241C0">
        <w:rPr>
          <w:rFonts w:ascii="Times New Roman" w:hAnsi="Times New Roman" w:cs="Times New Roman"/>
          <w:w w:val="105"/>
          <w:sz w:val="24"/>
        </w:rPr>
        <w:t xml:space="preserve"> </w:t>
      </w:r>
      <w:r w:rsidRPr="00107959">
        <w:rPr>
          <w:rFonts w:ascii="Times New Roman" w:hAnsi="Times New Roman" w:cs="Times New Roman"/>
          <w:w w:val="105"/>
          <w:sz w:val="24"/>
        </w:rPr>
        <w:t>The 16S rRNA gene fragments from almost all of the bacteria in the sample are mixed together when broad-range primers are used for amplification. Direct sequencing of PCR products is not possible in mixed infection cases because the consortium contains mixed products from different species. To fix this, a library of 16S rRNA genes obtained from the sample is created by cloning the amplified products into a plasmid vector and using it to convert Escherichia coli cells. Sequence separation during the cloning procedure makes it possible to characterize each individual by sequencing. Individual sequencing of the cloned genes is followed by submission of the obtained results to databases for identification.</w:t>
      </w:r>
    </w:p>
    <w:p w14:paraId="165E1FC3" w14:textId="77777777" w:rsidR="00107959" w:rsidRPr="00C241C0" w:rsidRDefault="00107959" w:rsidP="00107959">
      <w:pPr>
        <w:pStyle w:val="BodyText"/>
        <w:spacing w:before="1" w:line="360" w:lineRule="auto"/>
        <w:ind w:left="450" w:right="620"/>
        <w:jc w:val="left"/>
        <w:rPr>
          <w:rFonts w:ascii="Times New Roman" w:hAnsi="Times New Roman" w:cs="Times New Roman"/>
          <w:w w:val="105"/>
          <w:sz w:val="24"/>
        </w:rPr>
      </w:pPr>
    </w:p>
    <w:p w14:paraId="59DFA078" w14:textId="4B143EC4" w:rsidR="00604CEE" w:rsidRPr="00C241C0" w:rsidRDefault="00107959" w:rsidP="00107959">
      <w:pPr>
        <w:pStyle w:val="BodyText"/>
        <w:spacing w:before="1" w:line="360" w:lineRule="auto"/>
        <w:ind w:left="450" w:right="620"/>
        <w:jc w:val="left"/>
        <w:rPr>
          <w:rFonts w:ascii="Times New Roman" w:hAnsi="Times New Roman" w:cs="Times New Roman"/>
          <w:w w:val="105"/>
          <w:sz w:val="24"/>
        </w:rPr>
      </w:pPr>
      <w:r w:rsidRPr="00107959">
        <w:rPr>
          <w:rFonts w:ascii="Times New Roman" w:hAnsi="Times New Roman" w:cs="Times New Roman"/>
          <w:w w:val="105"/>
          <w:sz w:val="24"/>
        </w:rPr>
        <w:t>A 16S rRNA gene sequence similarity of 98.5–99% is the generally recognized standard for recognizing a bacterium at the species level. When compared to sequences from known species in databases, a sequence with similarity scores below this cutoff (i.e., below 98.5–99%) raises the possibility that it belongs to a new species. These recently discovered species are frequently classified as uncultivated and unidentified bacterial taxa. According to studies by Drancourt et al. from 2000 and Woo et al. in 2008, an unofficial title is often given in these circumstances. (3,17)</w:t>
      </w:r>
    </w:p>
    <w:p w14:paraId="1CBFC961" w14:textId="77777777" w:rsidR="001B3ED2" w:rsidRPr="00C241C0" w:rsidRDefault="00F12B67" w:rsidP="004B2134">
      <w:pPr>
        <w:pStyle w:val="Heading1"/>
        <w:tabs>
          <w:tab w:val="left" w:pos="464"/>
        </w:tabs>
        <w:spacing w:line="360" w:lineRule="auto"/>
        <w:ind w:left="450" w:firstLine="0"/>
        <w:jc w:val="center"/>
        <w:rPr>
          <w:rFonts w:ascii="Times New Roman" w:hAnsi="Times New Roman" w:cs="Times New Roman"/>
          <w:b w:val="0"/>
          <w:bCs w:val="0"/>
          <w:sz w:val="24"/>
          <w:szCs w:val="24"/>
        </w:rPr>
      </w:pPr>
      <w:r w:rsidRPr="00C241C0">
        <w:rPr>
          <w:rFonts w:ascii="Times New Roman" w:hAnsi="Times New Roman" w:cs="Times New Roman"/>
          <w:b w:val="0"/>
          <w:bCs w:val="0"/>
          <w:sz w:val="24"/>
          <w:szCs w:val="24"/>
        </w:rPr>
        <w:t>Bulk nucleic acids are extracted directly from samples</w:t>
      </w:r>
    </w:p>
    <w:p w14:paraId="049D5E44" w14:textId="6486CBDE" w:rsidR="001B3ED2" w:rsidRPr="00C241C0" w:rsidRDefault="00F12B67" w:rsidP="004B2134">
      <w:pPr>
        <w:pStyle w:val="Heading1"/>
        <w:tabs>
          <w:tab w:val="left" w:pos="464"/>
        </w:tabs>
        <w:spacing w:line="360" w:lineRule="auto"/>
        <w:ind w:left="0" w:firstLine="0"/>
        <w:jc w:val="center"/>
        <w:rPr>
          <w:rFonts w:ascii="Times New Roman" w:hAnsi="Times New Roman" w:cs="Times New Roman"/>
          <w:b w:val="0"/>
          <w:bCs w:val="0"/>
          <w:sz w:val="24"/>
          <w:szCs w:val="24"/>
        </w:rPr>
      </w:pPr>
      <w:r w:rsidRPr="00C241C0">
        <w:rPr>
          <w:rFonts w:ascii="Times New Roman" w:hAnsi="Times New Roman" w:cs="Times New Roman"/>
          <w:b w:val="0"/>
          <w:bCs w:val="0"/>
          <w:sz w:val="24"/>
          <w:szCs w:val="24"/>
        </w:rPr>
        <w:t>↓</w:t>
      </w:r>
    </w:p>
    <w:p w14:paraId="243609E2" w14:textId="77777777" w:rsidR="001B3ED2" w:rsidRPr="00C241C0" w:rsidRDefault="00F12B67" w:rsidP="004B2134">
      <w:pPr>
        <w:pStyle w:val="Heading1"/>
        <w:tabs>
          <w:tab w:val="left" w:pos="464"/>
        </w:tabs>
        <w:spacing w:line="360" w:lineRule="auto"/>
        <w:ind w:left="450" w:firstLine="0"/>
        <w:jc w:val="center"/>
        <w:rPr>
          <w:rFonts w:ascii="Times New Roman" w:hAnsi="Times New Roman" w:cs="Times New Roman"/>
          <w:b w:val="0"/>
          <w:bCs w:val="0"/>
          <w:sz w:val="24"/>
          <w:szCs w:val="24"/>
        </w:rPr>
      </w:pPr>
      <w:r w:rsidRPr="00C241C0">
        <w:rPr>
          <w:rFonts w:ascii="Times New Roman" w:hAnsi="Times New Roman" w:cs="Times New Roman"/>
          <w:b w:val="0"/>
          <w:bCs w:val="0"/>
          <w:sz w:val="24"/>
          <w:szCs w:val="24"/>
        </w:rPr>
        <w:t>16S rDNA isolated via PCR with primers specific for conserved regions of the gene (universal or broad-range primers)</w:t>
      </w:r>
    </w:p>
    <w:p w14:paraId="4825D8E6" w14:textId="77777777" w:rsidR="001B3ED2" w:rsidRPr="00C241C0" w:rsidRDefault="00F12B67" w:rsidP="004B2134">
      <w:pPr>
        <w:pStyle w:val="Heading1"/>
        <w:tabs>
          <w:tab w:val="left" w:pos="464"/>
        </w:tabs>
        <w:spacing w:line="360" w:lineRule="auto"/>
        <w:ind w:left="0" w:firstLine="0"/>
        <w:jc w:val="center"/>
        <w:rPr>
          <w:rFonts w:ascii="Times New Roman" w:hAnsi="Times New Roman" w:cs="Times New Roman"/>
          <w:b w:val="0"/>
          <w:bCs w:val="0"/>
          <w:sz w:val="24"/>
          <w:szCs w:val="24"/>
        </w:rPr>
      </w:pPr>
      <w:r w:rsidRPr="00C241C0">
        <w:rPr>
          <w:rFonts w:ascii="Times New Roman" w:hAnsi="Times New Roman" w:cs="Times New Roman"/>
          <w:b w:val="0"/>
          <w:bCs w:val="0"/>
          <w:sz w:val="24"/>
          <w:szCs w:val="24"/>
        </w:rPr>
        <w:t>↓</w:t>
      </w:r>
    </w:p>
    <w:p w14:paraId="6EFED96D" w14:textId="77777777" w:rsidR="001B3ED2" w:rsidRPr="00C241C0" w:rsidRDefault="00F12B67" w:rsidP="004B2134">
      <w:pPr>
        <w:pStyle w:val="Heading1"/>
        <w:tabs>
          <w:tab w:val="left" w:pos="464"/>
        </w:tabs>
        <w:spacing w:line="360" w:lineRule="auto"/>
        <w:ind w:left="450" w:firstLine="0"/>
        <w:jc w:val="center"/>
        <w:rPr>
          <w:rFonts w:ascii="Times New Roman" w:hAnsi="Times New Roman" w:cs="Times New Roman"/>
          <w:b w:val="0"/>
          <w:bCs w:val="0"/>
          <w:sz w:val="24"/>
          <w:szCs w:val="24"/>
        </w:rPr>
      </w:pPr>
      <w:r w:rsidRPr="00C241C0">
        <w:rPr>
          <w:rFonts w:ascii="Times New Roman" w:hAnsi="Times New Roman" w:cs="Times New Roman"/>
          <w:b w:val="0"/>
          <w:bCs w:val="0"/>
          <w:sz w:val="24"/>
          <w:szCs w:val="24"/>
        </w:rPr>
        <w:t>Amplification of 16S rRNA gene</w:t>
      </w:r>
    </w:p>
    <w:p w14:paraId="41E81DB0" w14:textId="77777777" w:rsidR="001B3ED2" w:rsidRPr="00C241C0" w:rsidRDefault="00F12B67" w:rsidP="004B2134">
      <w:pPr>
        <w:pStyle w:val="Heading1"/>
        <w:tabs>
          <w:tab w:val="left" w:pos="464"/>
        </w:tabs>
        <w:spacing w:line="360" w:lineRule="auto"/>
        <w:ind w:left="0" w:firstLine="0"/>
        <w:jc w:val="center"/>
        <w:rPr>
          <w:rFonts w:ascii="Times New Roman" w:hAnsi="Times New Roman" w:cs="Times New Roman"/>
          <w:b w:val="0"/>
          <w:bCs w:val="0"/>
          <w:sz w:val="24"/>
          <w:szCs w:val="24"/>
        </w:rPr>
      </w:pPr>
      <w:r w:rsidRPr="00C241C0">
        <w:rPr>
          <w:rFonts w:ascii="Times New Roman" w:hAnsi="Times New Roman" w:cs="Times New Roman"/>
          <w:b w:val="0"/>
          <w:bCs w:val="0"/>
          <w:sz w:val="24"/>
          <w:szCs w:val="24"/>
        </w:rPr>
        <w:t>↓</w:t>
      </w:r>
    </w:p>
    <w:p w14:paraId="00C7C2C8" w14:textId="77777777" w:rsidR="001B3ED2" w:rsidRPr="00C241C0" w:rsidRDefault="00F12B67" w:rsidP="004B2134">
      <w:pPr>
        <w:pStyle w:val="Heading1"/>
        <w:tabs>
          <w:tab w:val="left" w:pos="464"/>
        </w:tabs>
        <w:spacing w:line="360" w:lineRule="auto"/>
        <w:ind w:left="450" w:firstLine="0"/>
        <w:jc w:val="center"/>
        <w:rPr>
          <w:rFonts w:ascii="Times New Roman" w:hAnsi="Times New Roman" w:cs="Times New Roman"/>
          <w:b w:val="0"/>
          <w:bCs w:val="0"/>
          <w:sz w:val="24"/>
          <w:szCs w:val="24"/>
        </w:rPr>
      </w:pPr>
      <w:r w:rsidRPr="00C241C0">
        <w:rPr>
          <w:rFonts w:ascii="Times New Roman" w:hAnsi="Times New Roman" w:cs="Times New Roman"/>
          <w:b w:val="0"/>
          <w:bCs w:val="0"/>
          <w:sz w:val="24"/>
          <w:szCs w:val="24"/>
        </w:rPr>
        <w:t>In case of mixed infections, separate sequencing is done</w:t>
      </w:r>
    </w:p>
    <w:p w14:paraId="0A881DF8" w14:textId="77777777" w:rsidR="001B3ED2" w:rsidRPr="00C241C0" w:rsidRDefault="00F12B67" w:rsidP="004B2134">
      <w:pPr>
        <w:pStyle w:val="Heading1"/>
        <w:tabs>
          <w:tab w:val="left" w:pos="464"/>
        </w:tabs>
        <w:spacing w:line="360" w:lineRule="auto"/>
        <w:ind w:left="0" w:firstLine="0"/>
        <w:jc w:val="center"/>
        <w:rPr>
          <w:rFonts w:ascii="Times New Roman" w:hAnsi="Times New Roman" w:cs="Times New Roman"/>
          <w:b w:val="0"/>
          <w:bCs w:val="0"/>
          <w:sz w:val="24"/>
          <w:szCs w:val="24"/>
        </w:rPr>
      </w:pPr>
      <w:r w:rsidRPr="00C241C0">
        <w:rPr>
          <w:rFonts w:ascii="Times New Roman" w:hAnsi="Times New Roman" w:cs="Times New Roman"/>
          <w:b w:val="0"/>
          <w:bCs w:val="0"/>
          <w:sz w:val="24"/>
          <w:szCs w:val="24"/>
        </w:rPr>
        <w:t>↓</w:t>
      </w:r>
    </w:p>
    <w:p w14:paraId="22F26620" w14:textId="77777777" w:rsidR="001B3ED2" w:rsidRPr="00C241C0" w:rsidRDefault="00F12B67" w:rsidP="004B2134">
      <w:pPr>
        <w:pStyle w:val="Heading1"/>
        <w:tabs>
          <w:tab w:val="left" w:pos="464"/>
        </w:tabs>
        <w:spacing w:line="360" w:lineRule="auto"/>
        <w:ind w:left="450" w:firstLine="0"/>
        <w:jc w:val="center"/>
        <w:rPr>
          <w:rFonts w:ascii="Times New Roman" w:hAnsi="Times New Roman" w:cs="Times New Roman"/>
          <w:b w:val="0"/>
          <w:bCs w:val="0"/>
          <w:sz w:val="24"/>
          <w:szCs w:val="24"/>
        </w:rPr>
      </w:pPr>
      <w:r w:rsidRPr="00C241C0">
        <w:rPr>
          <w:rFonts w:ascii="Times New Roman" w:hAnsi="Times New Roman" w:cs="Times New Roman"/>
          <w:b w:val="0"/>
          <w:bCs w:val="0"/>
          <w:sz w:val="24"/>
          <w:szCs w:val="24"/>
        </w:rPr>
        <w:t>For that, PCR products are cloned into a plasmid vector</w:t>
      </w:r>
    </w:p>
    <w:p w14:paraId="48448CFD" w14:textId="77777777" w:rsidR="001B3ED2" w:rsidRPr="00C241C0" w:rsidRDefault="00F12B67" w:rsidP="004B2134">
      <w:pPr>
        <w:pStyle w:val="Heading1"/>
        <w:tabs>
          <w:tab w:val="left" w:pos="464"/>
        </w:tabs>
        <w:spacing w:line="360" w:lineRule="auto"/>
        <w:ind w:left="0" w:firstLine="0"/>
        <w:jc w:val="center"/>
        <w:rPr>
          <w:rFonts w:ascii="Times New Roman" w:hAnsi="Times New Roman" w:cs="Times New Roman"/>
          <w:b w:val="0"/>
          <w:bCs w:val="0"/>
          <w:sz w:val="24"/>
          <w:szCs w:val="24"/>
        </w:rPr>
      </w:pPr>
      <w:r w:rsidRPr="00C241C0">
        <w:rPr>
          <w:rFonts w:ascii="Times New Roman" w:hAnsi="Times New Roman" w:cs="Times New Roman"/>
          <w:b w:val="0"/>
          <w:bCs w:val="0"/>
          <w:sz w:val="24"/>
          <w:szCs w:val="24"/>
        </w:rPr>
        <w:t>↓</w:t>
      </w:r>
    </w:p>
    <w:p w14:paraId="08E1A051" w14:textId="2ADA169E" w:rsidR="001B3ED2" w:rsidRPr="00C241C0" w:rsidRDefault="00F12B67" w:rsidP="004B2134">
      <w:pPr>
        <w:pStyle w:val="Heading1"/>
        <w:tabs>
          <w:tab w:val="left" w:pos="464"/>
        </w:tabs>
        <w:spacing w:line="360" w:lineRule="auto"/>
        <w:ind w:left="0" w:firstLine="0"/>
        <w:jc w:val="center"/>
        <w:rPr>
          <w:rFonts w:ascii="Times New Roman" w:hAnsi="Times New Roman" w:cs="Times New Roman"/>
          <w:b w:val="0"/>
          <w:bCs w:val="0"/>
          <w:sz w:val="24"/>
          <w:szCs w:val="24"/>
        </w:rPr>
      </w:pPr>
      <w:r w:rsidRPr="00C241C0">
        <w:rPr>
          <w:rFonts w:ascii="Times New Roman" w:hAnsi="Times New Roman" w:cs="Times New Roman"/>
          <w:b w:val="0"/>
          <w:bCs w:val="0"/>
          <w:sz w:val="24"/>
          <w:szCs w:val="24"/>
        </w:rPr>
        <w:t xml:space="preserve">Transforms Escherichia coli cells forming </w:t>
      </w:r>
      <w:r w:rsidR="004754F6" w:rsidRPr="00C241C0">
        <w:rPr>
          <w:rFonts w:ascii="Times New Roman" w:hAnsi="Times New Roman" w:cs="Times New Roman"/>
          <w:b w:val="0"/>
          <w:bCs w:val="0"/>
          <w:sz w:val="24"/>
          <w:szCs w:val="24"/>
        </w:rPr>
        <w:t xml:space="preserve">a </w:t>
      </w:r>
      <w:r w:rsidRPr="00C241C0">
        <w:rPr>
          <w:rFonts w:ascii="Times New Roman" w:hAnsi="Times New Roman" w:cs="Times New Roman"/>
          <w:b w:val="0"/>
          <w:bCs w:val="0"/>
          <w:sz w:val="24"/>
          <w:szCs w:val="24"/>
        </w:rPr>
        <w:t>cloning library of 16S rDNA</w:t>
      </w:r>
    </w:p>
    <w:p w14:paraId="52CFE97D" w14:textId="77777777" w:rsidR="001B3ED2" w:rsidRPr="00C241C0" w:rsidRDefault="00F12B67" w:rsidP="004B2134">
      <w:pPr>
        <w:pStyle w:val="Heading1"/>
        <w:tabs>
          <w:tab w:val="left" w:pos="464"/>
        </w:tabs>
        <w:spacing w:line="360" w:lineRule="auto"/>
        <w:ind w:left="0" w:firstLine="0"/>
        <w:jc w:val="center"/>
        <w:rPr>
          <w:rFonts w:ascii="Times New Roman" w:hAnsi="Times New Roman" w:cs="Times New Roman"/>
          <w:b w:val="0"/>
          <w:bCs w:val="0"/>
          <w:sz w:val="24"/>
          <w:szCs w:val="24"/>
        </w:rPr>
      </w:pPr>
      <w:r w:rsidRPr="00C241C0">
        <w:rPr>
          <w:rFonts w:ascii="Times New Roman" w:hAnsi="Times New Roman" w:cs="Times New Roman"/>
          <w:b w:val="0"/>
          <w:bCs w:val="0"/>
          <w:sz w:val="24"/>
          <w:szCs w:val="24"/>
        </w:rPr>
        <w:t>↓</w:t>
      </w:r>
    </w:p>
    <w:p w14:paraId="0D3D44BE" w14:textId="77777777" w:rsidR="001B3ED2" w:rsidRPr="00C241C0" w:rsidRDefault="00F12B67" w:rsidP="004B2134">
      <w:pPr>
        <w:pStyle w:val="Heading1"/>
        <w:tabs>
          <w:tab w:val="left" w:pos="464"/>
        </w:tabs>
        <w:spacing w:line="360" w:lineRule="auto"/>
        <w:ind w:left="0" w:firstLine="0"/>
        <w:jc w:val="center"/>
        <w:rPr>
          <w:rFonts w:ascii="Times New Roman" w:hAnsi="Times New Roman" w:cs="Times New Roman"/>
          <w:b w:val="0"/>
          <w:bCs w:val="0"/>
          <w:sz w:val="24"/>
          <w:szCs w:val="24"/>
        </w:rPr>
      </w:pPr>
      <w:r w:rsidRPr="00C241C0">
        <w:rPr>
          <w:rFonts w:ascii="Times New Roman" w:hAnsi="Times New Roman" w:cs="Times New Roman"/>
          <w:b w:val="0"/>
          <w:bCs w:val="0"/>
          <w:sz w:val="24"/>
          <w:szCs w:val="24"/>
        </w:rPr>
        <w:t>Submitted for identification of bacterial species to the databases</w:t>
      </w:r>
    </w:p>
    <w:p w14:paraId="0282E8D2" w14:textId="77777777" w:rsidR="001B3ED2" w:rsidRPr="00C241C0" w:rsidRDefault="00F12B67" w:rsidP="004B2134">
      <w:pPr>
        <w:pStyle w:val="Heading1"/>
        <w:tabs>
          <w:tab w:val="left" w:pos="464"/>
        </w:tabs>
        <w:spacing w:line="360" w:lineRule="auto"/>
        <w:ind w:left="0" w:firstLine="0"/>
        <w:jc w:val="center"/>
        <w:rPr>
          <w:rFonts w:ascii="Times New Roman" w:hAnsi="Times New Roman" w:cs="Times New Roman"/>
          <w:b w:val="0"/>
          <w:bCs w:val="0"/>
          <w:sz w:val="24"/>
          <w:szCs w:val="24"/>
        </w:rPr>
      </w:pPr>
      <w:r w:rsidRPr="00C241C0">
        <w:rPr>
          <w:rFonts w:ascii="Times New Roman" w:hAnsi="Times New Roman" w:cs="Times New Roman"/>
          <w:b w:val="0"/>
          <w:bCs w:val="0"/>
          <w:sz w:val="24"/>
          <w:szCs w:val="24"/>
        </w:rPr>
        <w:lastRenderedPageBreak/>
        <w:t>↓</w:t>
      </w:r>
    </w:p>
    <w:p w14:paraId="732A71D0" w14:textId="77777777" w:rsidR="001B3ED2" w:rsidRPr="00C241C0" w:rsidRDefault="00F12B67" w:rsidP="004B2134">
      <w:pPr>
        <w:pStyle w:val="Heading1"/>
        <w:tabs>
          <w:tab w:val="left" w:pos="464"/>
        </w:tabs>
        <w:spacing w:line="360" w:lineRule="auto"/>
        <w:ind w:left="0" w:firstLine="0"/>
        <w:jc w:val="center"/>
        <w:rPr>
          <w:rFonts w:ascii="Times New Roman" w:hAnsi="Times New Roman" w:cs="Times New Roman"/>
          <w:b w:val="0"/>
          <w:bCs w:val="0"/>
          <w:sz w:val="24"/>
          <w:szCs w:val="24"/>
        </w:rPr>
      </w:pPr>
      <w:r w:rsidRPr="00C241C0">
        <w:rPr>
          <w:rFonts w:ascii="Times New Roman" w:hAnsi="Times New Roman" w:cs="Times New Roman"/>
          <w:b w:val="0"/>
          <w:bCs w:val="0"/>
          <w:sz w:val="24"/>
          <w:szCs w:val="24"/>
        </w:rPr>
        <w:t>Sequenced individually</w:t>
      </w:r>
    </w:p>
    <w:p w14:paraId="19B67BB0" w14:textId="77777777" w:rsidR="001B3ED2" w:rsidRPr="00C241C0" w:rsidRDefault="001B3ED2" w:rsidP="00107959">
      <w:pPr>
        <w:pStyle w:val="BodyText"/>
        <w:spacing w:before="1" w:line="360" w:lineRule="auto"/>
        <w:ind w:left="540"/>
        <w:jc w:val="left"/>
        <w:rPr>
          <w:rFonts w:ascii="Times New Roman" w:hAnsi="Times New Roman" w:cs="Times New Roman"/>
          <w:w w:val="105"/>
          <w:sz w:val="24"/>
        </w:rPr>
      </w:pPr>
    </w:p>
    <w:p w14:paraId="3952C458" w14:textId="3C27D5EE" w:rsidR="001B3ED2" w:rsidRPr="00C241C0" w:rsidRDefault="00107959" w:rsidP="00107959">
      <w:pPr>
        <w:pStyle w:val="BodyText"/>
        <w:spacing w:before="1" w:line="360" w:lineRule="auto"/>
        <w:ind w:left="540"/>
        <w:jc w:val="left"/>
        <w:rPr>
          <w:rFonts w:ascii="Times New Roman" w:hAnsi="Times New Roman" w:cs="Times New Roman"/>
          <w:w w:val="105"/>
          <w:sz w:val="24"/>
        </w:rPr>
      </w:pPr>
      <w:r w:rsidRPr="00107959">
        <w:rPr>
          <w:rFonts w:ascii="Times New Roman" w:hAnsi="Times New Roman" w:cs="Times New Roman"/>
          <w:w w:val="105"/>
          <w:sz w:val="24"/>
        </w:rPr>
        <w:t>Broad range PCR's similarity method and phylogeny method have both been developed to increase accuracy. This method uses computations to create a phylogenetic tree based on differences in the variable sections of gene sequencing (Leys et al. 2006). (18) Using specialized bioinformatic software, the links between different bacterial phylotypes (or taxa) are examined, and the outcomes are displayed in dendrograms or phylogenetic trees. Even when sequences come from previously uncultivated and uncharacterized bacteria, the 16S rRNA gene can be used to build phylogenetic connections among bacteria.</w:t>
      </w:r>
      <w:r w:rsidR="00F12B67" w:rsidRPr="00C241C0">
        <w:rPr>
          <w:rFonts w:ascii="Times New Roman" w:hAnsi="Times New Roman" w:cs="Times New Roman"/>
          <w:noProof/>
          <w:w w:val="105"/>
          <w:sz w:val="24"/>
        </w:rPr>
        <w:drawing>
          <wp:inline distT="0" distB="0" distL="0" distR="0" wp14:anchorId="1CF1456D" wp14:editId="4EA52626">
            <wp:extent cx="3978400" cy="5422587"/>
            <wp:effectExtent l="0" t="0" r="0" b="0"/>
            <wp:docPr id="43"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3.jpeg"/>
                    <pic:cNvPicPr/>
                  </pic:nvPicPr>
                  <pic:blipFill>
                    <a:blip r:embed="rId18" cstate="print"/>
                    <a:stretch>
                      <a:fillRect/>
                    </a:stretch>
                  </pic:blipFill>
                  <pic:spPr>
                    <a:xfrm>
                      <a:off x="0" y="0"/>
                      <a:ext cx="3978400" cy="5422587"/>
                    </a:xfrm>
                    <a:prstGeom prst="rect">
                      <a:avLst/>
                    </a:prstGeom>
                  </pic:spPr>
                </pic:pic>
              </a:graphicData>
            </a:graphic>
          </wp:inline>
        </w:drawing>
      </w:r>
    </w:p>
    <w:p w14:paraId="37433006" w14:textId="3B1228B2" w:rsidR="001B3ED2" w:rsidRPr="00C241C0" w:rsidRDefault="00D97D0A" w:rsidP="004B2134">
      <w:pPr>
        <w:pStyle w:val="BodyText"/>
        <w:spacing w:before="1" w:line="360" w:lineRule="auto"/>
        <w:ind w:left="540"/>
        <w:jc w:val="left"/>
        <w:rPr>
          <w:rFonts w:ascii="Times New Roman" w:hAnsi="Times New Roman" w:cs="Times New Roman"/>
          <w:w w:val="105"/>
          <w:sz w:val="24"/>
        </w:rPr>
      </w:pPr>
      <w:r>
        <w:rPr>
          <w:rFonts w:ascii="Times New Roman" w:hAnsi="Times New Roman" w:cs="Times New Roman"/>
          <w:noProof/>
          <w:sz w:val="24"/>
        </w:rPr>
        <w:pict w14:anchorId="42B002F7">
          <v:shape id="_x0000_s1086" type="#_x0000_t202" style="position:absolute;left:0;text-align:left;margin-left:77.75pt;margin-top:15.15pt;width:345.1pt;height:70.7pt;z-index:251662848">
            <v:textbox>
              <w:txbxContent>
                <w:p w14:paraId="5E679277" w14:textId="75EDF0CF" w:rsidR="00824360" w:rsidRPr="00824360" w:rsidRDefault="003D1333" w:rsidP="00824360">
                  <w:pPr>
                    <w:rPr>
                      <w:sz w:val="20"/>
                    </w:rPr>
                  </w:pPr>
                  <w:r>
                    <w:rPr>
                      <w:sz w:val="20"/>
                    </w:rPr>
                    <w:t xml:space="preserve">FIGURE </w:t>
                  </w:r>
                  <w:r w:rsidR="004B2134">
                    <w:rPr>
                      <w:sz w:val="20"/>
                    </w:rPr>
                    <w:t>9</w:t>
                  </w:r>
                  <w:r>
                    <w:rPr>
                      <w:sz w:val="20"/>
                    </w:rPr>
                    <w:t xml:space="preserve">: </w:t>
                  </w:r>
                  <w:r w:rsidR="00464E66" w:rsidRPr="00464E66">
                    <w:rPr>
                      <w:sz w:val="20"/>
                    </w:rPr>
                    <w:t>Endodontic infections' bacterial diversity as revealed by molecular biology techniques. Phylogenetic tree based on 16S rRNA gene comparisons displaying a number of potential endodontic pathogens, their associated clinical conditions, and the phyla they belong to. Number of nucleotide substitutions per site is indicated by the scale bar.</w:t>
                  </w:r>
                </w:p>
              </w:txbxContent>
            </v:textbox>
          </v:shape>
        </w:pict>
      </w:r>
    </w:p>
    <w:p w14:paraId="279617AB" w14:textId="30B56389" w:rsidR="001B3ED2" w:rsidRPr="00C241C0" w:rsidRDefault="001B3ED2" w:rsidP="004B2134">
      <w:pPr>
        <w:pStyle w:val="BodyText"/>
        <w:spacing w:before="1" w:line="360" w:lineRule="auto"/>
        <w:ind w:left="540"/>
        <w:jc w:val="left"/>
        <w:rPr>
          <w:rFonts w:ascii="Times New Roman" w:hAnsi="Times New Roman" w:cs="Times New Roman"/>
          <w:w w:val="105"/>
          <w:sz w:val="24"/>
        </w:rPr>
      </w:pPr>
    </w:p>
    <w:p w14:paraId="4416CB85" w14:textId="77777777" w:rsidR="001B3ED2" w:rsidRPr="00C241C0" w:rsidRDefault="001B3ED2" w:rsidP="004B2134">
      <w:pPr>
        <w:pStyle w:val="BodyText"/>
        <w:spacing w:before="1" w:line="360" w:lineRule="auto"/>
        <w:ind w:left="540"/>
        <w:jc w:val="left"/>
        <w:rPr>
          <w:rFonts w:ascii="Times New Roman" w:hAnsi="Times New Roman" w:cs="Times New Roman"/>
          <w:w w:val="105"/>
          <w:sz w:val="24"/>
        </w:rPr>
        <w:sectPr w:rsidR="001B3ED2" w:rsidRPr="00C241C0">
          <w:pgSz w:w="11910" w:h="16840"/>
          <w:pgMar w:top="1520" w:right="940" w:bottom="1200" w:left="1260" w:header="0" w:footer="920" w:gutter="0"/>
          <w:cols w:space="720"/>
        </w:sectPr>
      </w:pPr>
    </w:p>
    <w:p w14:paraId="398A8356" w14:textId="73B8034D" w:rsidR="001B3ED2" w:rsidRPr="00C241C0" w:rsidRDefault="00107959" w:rsidP="004B2134">
      <w:pPr>
        <w:pStyle w:val="Heading1"/>
        <w:numPr>
          <w:ilvl w:val="0"/>
          <w:numId w:val="7"/>
        </w:numPr>
        <w:tabs>
          <w:tab w:val="left" w:pos="464"/>
        </w:tabs>
        <w:spacing w:line="360" w:lineRule="auto"/>
        <w:ind w:left="360"/>
        <w:rPr>
          <w:rFonts w:ascii="Times New Roman" w:hAnsi="Times New Roman" w:cs="Times New Roman"/>
          <w:w w:val="105"/>
          <w:sz w:val="24"/>
        </w:rPr>
      </w:pPr>
      <w:r>
        <w:rPr>
          <w:rFonts w:ascii="Times New Roman" w:hAnsi="Times New Roman" w:cs="Times New Roman"/>
          <w:sz w:val="28"/>
        </w:rPr>
        <w:lastRenderedPageBreak/>
        <w:t xml:space="preserve">THE </w:t>
      </w:r>
      <w:r w:rsidR="00604CEE" w:rsidRPr="00C241C0">
        <w:rPr>
          <w:rFonts w:ascii="Times New Roman" w:hAnsi="Times New Roman" w:cs="Times New Roman"/>
          <w:sz w:val="28"/>
        </w:rPr>
        <w:t>DENATURING GRADIENT GEL ELECTROPHORESIS (DGGE)</w:t>
      </w:r>
    </w:p>
    <w:p w14:paraId="1C0A2C48" w14:textId="77777777" w:rsidR="004C55A2" w:rsidRPr="004C55A2" w:rsidRDefault="004C55A2" w:rsidP="004C55A2">
      <w:pPr>
        <w:pStyle w:val="Heading1"/>
        <w:numPr>
          <w:ilvl w:val="0"/>
          <w:numId w:val="7"/>
        </w:numPr>
        <w:tabs>
          <w:tab w:val="left" w:pos="464"/>
        </w:tabs>
        <w:spacing w:line="360" w:lineRule="auto"/>
        <w:rPr>
          <w:rFonts w:ascii="Times New Roman" w:eastAsia="Cambria" w:hAnsi="Times New Roman" w:cs="Times New Roman"/>
          <w:b w:val="0"/>
          <w:bCs w:val="0"/>
          <w:w w:val="105"/>
          <w:sz w:val="24"/>
        </w:rPr>
      </w:pPr>
      <w:r w:rsidRPr="004C55A2">
        <w:rPr>
          <w:rFonts w:ascii="Times New Roman" w:eastAsia="Cambria" w:hAnsi="Times New Roman" w:cs="Times New Roman"/>
          <w:b w:val="0"/>
          <w:bCs w:val="0"/>
          <w:w w:val="105"/>
          <w:sz w:val="24"/>
        </w:rPr>
        <w:t>The DGGE technique is a genetic fingerprinting method used to assess the diversity of microbial species within various ecosystems and gain insights into the behavior of microbial communities over time. This approach relies on the electrophoresis of PCR-amplified gene fragments, typically 16S rRNA, within polyacrylamide gels that contain an increasing gradient of DNA denaturants, typically a mixture of urea and formamide.</w:t>
      </w:r>
    </w:p>
    <w:p w14:paraId="4D517AE5" w14:textId="77777777" w:rsidR="004C55A2" w:rsidRPr="004C55A2" w:rsidRDefault="004C55A2" w:rsidP="004C55A2">
      <w:pPr>
        <w:pStyle w:val="Heading1"/>
        <w:tabs>
          <w:tab w:val="left" w:pos="464"/>
        </w:tabs>
        <w:spacing w:line="360" w:lineRule="auto"/>
        <w:ind w:left="0" w:firstLine="0"/>
        <w:rPr>
          <w:rFonts w:ascii="Times New Roman" w:eastAsia="Cambria" w:hAnsi="Times New Roman" w:cs="Times New Roman"/>
          <w:b w:val="0"/>
          <w:bCs w:val="0"/>
          <w:w w:val="105"/>
          <w:sz w:val="24"/>
        </w:rPr>
      </w:pPr>
    </w:p>
    <w:p w14:paraId="5A2423D9" w14:textId="16AED6A5" w:rsidR="004C55A2" w:rsidRDefault="004C55A2" w:rsidP="004C55A2">
      <w:pPr>
        <w:pStyle w:val="Heading1"/>
        <w:numPr>
          <w:ilvl w:val="0"/>
          <w:numId w:val="7"/>
        </w:numPr>
        <w:tabs>
          <w:tab w:val="left" w:pos="464"/>
        </w:tabs>
        <w:spacing w:line="360" w:lineRule="auto"/>
        <w:rPr>
          <w:rFonts w:ascii="Times New Roman" w:eastAsia="Cambria" w:hAnsi="Times New Roman" w:cs="Times New Roman"/>
          <w:b w:val="0"/>
          <w:bCs w:val="0"/>
          <w:w w:val="105"/>
          <w:sz w:val="24"/>
        </w:rPr>
      </w:pPr>
      <w:r w:rsidRPr="004C55A2">
        <w:rPr>
          <w:rFonts w:ascii="Times New Roman" w:eastAsia="Cambria" w:hAnsi="Times New Roman" w:cs="Times New Roman"/>
          <w:b w:val="0"/>
          <w:bCs w:val="0"/>
          <w:w w:val="105"/>
          <w:sz w:val="24"/>
        </w:rPr>
        <w:t>As PCR products migrate through the gel, they encounter varying concentration gradients of denaturants. At specific points within the gel, the DNA may partially or fully denature. Partial denaturation leads to a significant reduction in the electrophoretic mobility of the DNA molecules. Different molecules with distinct sequences exhibit varying melting behaviors, causing them to halt migration at different positions within the gel. The position in the gel where DNA strands melt is determined by their nucleotide sequence and composition. Visualization of DNA bands in DGGE can be achieved using various methods such as ethidium bromide, SYBR Green, or silver staining (Chakraborty et al., 2014) (22).</w:t>
      </w:r>
    </w:p>
    <w:p w14:paraId="46873537" w14:textId="77777777" w:rsidR="004C55A2" w:rsidRDefault="004C55A2" w:rsidP="004C55A2">
      <w:pPr>
        <w:pStyle w:val="ListParagraph"/>
        <w:rPr>
          <w:rFonts w:ascii="Times New Roman" w:hAnsi="Times New Roman" w:cs="Times New Roman"/>
          <w:b/>
          <w:bCs/>
          <w:w w:val="105"/>
          <w:sz w:val="24"/>
        </w:rPr>
      </w:pPr>
    </w:p>
    <w:p w14:paraId="0B689776" w14:textId="77777777" w:rsidR="004C55A2" w:rsidRDefault="004C55A2" w:rsidP="004C55A2">
      <w:pPr>
        <w:pStyle w:val="Heading1"/>
        <w:tabs>
          <w:tab w:val="left" w:pos="464"/>
        </w:tabs>
        <w:spacing w:line="360" w:lineRule="auto"/>
        <w:ind w:left="720" w:firstLine="0"/>
        <w:rPr>
          <w:rFonts w:ascii="Times New Roman" w:eastAsia="Cambria" w:hAnsi="Times New Roman" w:cs="Times New Roman"/>
          <w:b w:val="0"/>
          <w:bCs w:val="0"/>
          <w:w w:val="105"/>
          <w:sz w:val="24"/>
        </w:rPr>
      </w:pPr>
    </w:p>
    <w:p w14:paraId="3AC95ED5" w14:textId="77777777" w:rsidR="004C55A2" w:rsidRDefault="004C55A2" w:rsidP="004C55A2">
      <w:pPr>
        <w:pStyle w:val="Heading1"/>
        <w:tabs>
          <w:tab w:val="left" w:pos="464"/>
        </w:tabs>
        <w:spacing w:line="360" w:lineRule="auto"/>
        <w:ind w:left="360" w:firstLine="0"/>
        <w:jc w:val="center"/>
        <w:rPr>
          <w:rFonts w:ascii="Times New Roman" w:eastAsia="Cambria" w:hAnsi="Times New Roman" w:cs="Times New Roman"/>
          <w:b w:val="0"/>
          <w:bCs w:val="0"/>
          <w:w w:val="105"/>
          <w:sz w:val="24"/>
        </w:rPr>
      </w:pPr>
      <w:r w:rsidRPr="00C241C0">
        <w:rPr>
          <w:rFonts w:ascii="Times New Roman" w:hAnsi="Times New Roman" w:cs="Times New Roman"/>
          <w:noProof/>
          <w:w w:val="105"/>
          <w:sz w:val="24"/>
        </w:rPr>
        <w:drawing>
          <wp:inline distT="0" distB="0" distL="0" distR="0" wp14:anchorId="6BE3C241" wp14:editId="1BA02F5A">
            <wp:extent cx="5500421" cy="2293620"/>
            <wp:effectExtent l="0" t="0" r="0" b="0"/>
            <wp:docPr id="45"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4.jpeg"/>
                    <pic:cNvPicPr/>
                  </pic:nvPicPr>
                  <pic:blipFill>
                    <a:blip r:embed="rId19" cstate="print"/>
                    <a:stretch>
                      <a:fillRect/>
                    </a:stretch>
                  </pic:blipFill>
                  <pic:spPr>
                    <a:xfrm>
                      <a:off x="0" y="0"/>
                      <a:ext cx="5500421" cy="2293620"/>
                    </a:xfrm>
                    <a:prstGeom prst="rect">
                      <a:avLst/>
                    </a:prstGeom>
                  </pic:spPr>
                </pic:pic>
              </a:graphicData>
            </a:graphic>
          </wp:inline>
        </w:drawing>
      </w:r>
    </w:p>
    <w:p w14:paraId="123D4A5C" w14:textId="77777777" w:rsidR="004C55A2" w:rsidRDefault="004C55A2" w:rsidP="004C55A2">
      <w:pPr>
        <w:pStyle w:val="Heading1"/>
        <w:tabs>
          <w:tab w:val="left" w:pos="464"/>
        </w:tabs>
        <w:spacing w:line="360" w:lineRule="auto"/>
        <w:rPr>
          <w:rFonts w:ascii="Times New Roman" w:eastAsia="Cambria" w:hAnsi="Times New Roman" w:cs="Times New Roman"/>
          <w:b w:val="0"/>
          <w:bCs w:val="0"/>
          <w:w w:val="105"/>
          <w:sz w:val="24"/>
        </w:rPr>
      </w:pPr>
    </w:p>
    <w:p w14:paraId="7CB3379F" w14:textId="5A47DEDA" w:rsidR="003D1333" w:rsidRPr="004C55A2" w:rsidRDefault="00D97D0A" w:rsidP="004C55A2">
      <w:pPr>
        <w:pStyle w:val="Heading1"/>
        <w:tabs>
          <w:tab w:val="left" w:pos="464"/>
        </w:tabs>
        <w:spacing w:line="360" w:lineRule="auto"/>
        <w:rPr>
          <w:rFonts w:ascii="Times New Roman" w:eastAsia="Cambria" w:hAnsi="Times New Roman" w:cs="Times New Roman"/>
          <w:b w:val="0"/>
          <w:bCs w:val="0"/>
          <w:w w:val="105"/>
          <w:sz w:val="24"/>
        </w:rPr>
      </w:pPr>
      <w:r>
        <w:rPr>
          <w:noProof/>
        </w:rPr>
        <w:pict w14:anchorId="5911ED3E">
          <v:shape id="_x0000_s1087" type="#_x0000_t202" style="position:absolute;left:0;text-align:left;margin-left:95.25pt;margin-top:181.2pt;width:280.25pt;height:23.35pt;z-index:251663872">
            <v:textbox>
              <w:txbxContent>
                <w:p w14:paraId="3DF690CC" w14:textId="05093C5C" w:rsidR="003D1333" w:rsidRDefault="004B2134">
                  <w:r>
                    <w:t xml:space="preserve">FIGURE 10: </w:t>
                  </w:r>
                  <w:r w:rsidR="003D1333">
                    <w:t>Denaturing Gradient Gel</w:t>
                  </w:r>
                  <w:r>
                    <w:t xml:space="preserve"> Electrophoresis</w:t>
                  </w:r>
                </w:p>
              </w:txbxContent>
            </v:textbox>
          </v:shape>
        </w:pict>
      </w:r>
    </w:p>
    <w:p w14:paraId="2D9D03C2" w14:textId="1F46DDAF" w:rsidR="001B3ED2" w:rsidRPr="00C241C0" w:rsidRDefault="00F12B67" w:rsidP="004C55A2">
      <w:pPr>
        <w:pStyle w:val="BodyText"/>
        <w:numPr>
          <w:ilvl w:val="0"/>
          <w:numId w:val="27"/>
        </w:numPr>
        <w:spacing w:before="1" w:line="360" w:lineRule="auto"/>
        <w:jc w:val="left"/>
        <w:rPr>
          <w:rFonts w:ascii="Times New Roman" w:hAnsi="Times New Roman" w:cs="Times New Roman"/>
          <w:w w:val="105"/>
          <w:sz w:val="24"/>
        </w:rPr>
      </w:pPr>
      <w:r w:rsidRPr="00C241C0">
        <w:rPr>
          <w:rFonts w:ascii="Times New Roman" w:hAnsi="Times New Roman" w:cs="Times New Roman"/>
          <w:w w:val="105"/>
          <w:sz w:val="24"/>
        </w:rPr>
        <w:t xml:space="preserve">In DGGE, multiple samples can be </w:t>
      </w:r>
      <w:r w:rsidR="00B20354" w:rsidRPr="00C241C0">
        <w:rPr>
          <w:rFonts w:ascii="Times New Roman" w:hAnsi="Times New Roman" w:cs="Times New Roman"/>
          <w:w w:val="105"/>
          <w:sz w:val="24"/>
        </w:rPr>
        <w:t>analyzed</w:t>
      </w:r>
      <w:r w:rsidRPr="00C241C0">
        <w:rPr>
          <w:rFonts w:ascii="Times New Roman" w:hAnsi="Times New Roman" w:cs="Times New Roman"/>
          <w:w w:val="105"/>
          <w:sz w:val="24"/>
        </w:rPr>
        <w:t xml:space="preserve"> concurrently, so that it helps to verify differences in microbial populations and the efficacy of various antimicrobials before and after </w:t>
      </w:r>
      <w:r w:rsidR="00B20354" w:rsidRPr="00C241C0">
        <w:rPr>
          <w:rFonts w:ascii="Times New Roman" w:hAnsi="Times New Roman" w:cs="Times New Roman"/>
          <w:w w:val="105"/>
          <w:sz w:val="24"/>
        </w:rPr>
        <w:t>their</w:t>
      </w:r>
      <w:r w:rsidRPr="00C241C0">
        <w:rPr>
          <w:rFonts w:ascii="Times New Roman" w:hAnsi="Times New Roman" w:cs="Times New Roman"/>
          <w:w w:val="105"/>
          <w:sz w:val="24"/>
        </w:rPr>
        <w:t xml:space="preserve"> usage at various sites. Specific bands can also</w:t>
      </w:r>
      <w:r w:rsidR="00604CEE" w:rsidRPr="00C241C0">
        <w:rPr>
          <w:rFonts w:ascii="Times New Roman" w:hAnsi="Times New Roman" w:cs="Times New Roman"/>
          <w:w w:val="105"/>
          <w:sz w:val="24"/>
        </w:rPr>
        <w:t xml:space="preserve"> b</w:t>
      </w:r>
      <w:r w:rsidRPr="00C241C0">
        <w:rPr>
          <w:rFonts w:ascii="Times New Roman" w:hAnsi="Times New Roman" w:cs="Times New Roman"/>
          <w:w w:val="105"/>
          <w:sz w:val="24"/>
        </w:rPr>
        <w:t>e excised from the gels, re-amplified</w:t>
      </w:r>
      <w:r w:rsidR="00B20354" w:rsidRPr="00C241C0">
        <w:rPr>
          <w:rFonts w:ascii="Times New Roman" w:hAnsi="Times New Roman" w:cs="Times New Roman"/>
          <w:w w:val="105"/>
          <w:sz w:val="24"/>
        </w:rPr>
        <w:t>,</w:t>
      </w:r>
      <w:r w:rsidRPr="00C241C0">
        <w:rPr>
          <w:rFonts w:ascii="Times New Roman" w:hAnsi="Times New Roman" w:cs="Times New Roman"/>
          <w:w w:val="105"/>
          <w:sz w:val="24"/>
        </w:rPr>
        <w:t xml:space="preserve"> and sequenced to allow microbial identification. Temperature Gradient Gel </w:t>
      </w:r>
      <w:r w:rsidRPr="00C241C0">
        <w:rPr>
          <w:rFonts w:ascii="Times New Roman" w:hAnsi="Times New Roman" w:cs="Times New Roman"/>
          <w:w w:val="105"/>
          <w:sz w:val="24"/>
        </w:rPr>
        <w:lastRenderedPageBreak/>
        <w:t>Electrophoresis (TGGE) also uses the same principle as DGGE, except for the fact that the gradient is temperature rather than chemical denaturants.</w:t>
      </w:r>
    </w:p>
    <w:p w14:paraId="253E901D" w14:textId="77777777" w:rsidR="00604CEE" w:rsidRPr="00C241C0" w:rsidRDefault="00604CEE" w:rsidP="004B2134">
      <w:pPr>
        <w:pStyle w:val="BodyText"/>
        <w:spacing w:before="1" w:line="360" w:lineRule="auto"/>
        <w:ind w:left="0"/>
        <w:jc w:val="left"/>
        <w:rPr>
          <w:rFonts w:ascii="Times New Roman" w:hAnsi="Times New Roman" w:cs="Times New Roman"/>
          <w:w w:val="105"/>
          <w:sz w:val="24"/>
        </w:rPr>
      </w:pPr>
    </w:p>
    <w:p w14:paraId="586B4A31" w14:textId="77777777" w:rsidR="00604CEE" w:rsidRPr="00C241C0" w:rsidRDefault="00604CEE" w:rsidP="004B2134">
      <w:pPr>
        <w:pStyle w:val="BodyText"/>
        <w:spacing w:before="1" w:line="360" w:lineRule="auto"/>
        <w:ind w:left="0"/>
        <w:jc w:val="left"/>
        <w:rPr>
          <w:rFonts w:ascii="Times New Roman" w:hAnsi="Times New Roman" w:cs="Times New Roman"/>
          <w:w w:val="105"/>
          <w:sz w:val="24"/>
        </w:rPr>
      </w:pPr>
    </w:p>
    <w:p w14:paraId="4CEA5AD9" w14:textId="77777777" w:rsidR="00604CEE" w:rsidRPr="00C241C0" w:rsidRDefault="00604CEE" w:rsidP="004B2134">
      <w:pPr>
        <w:pStyle w:val="BodyText"/>
        <w:spacing w:before="1" w:line="360" w:lineRule="auto"/>
        <w:ind w:left="0"/>
        <w:jc w:val="left"/>
        <w:rPr>
          <w:rFonts w:ascii="Times New Roman" w:hAnsi="Times New Roman" w:cs="Times New Roman"/>
          <w:w w:val="105"/>
          <w:sz w:val="24"/>
        </w:rPr>
      </w:pPr>
    </w:p>
    <w:p w14:paraId="2DCD84F1" w14:textId="77777777" w:rsidR="003D1333" w:rsidRDefault="003D1333" w:rsidP="004B2134">
      <w:pPr>
        <w:pStyle w:val="BodyText"/>
        <w:spacing w:before="1" w:line="360" w:lineRule="auto"/>
        <w:jc w:val="left"/>
        <w:rPr>
          <w:rFonts w:ascii="Times New Roman" w:hAnsi="Times New Roman" w:cs="Times New Roman"/>
          <w:b/>
          <w:bCs/>
          <w:w w:val="105"/>
          <w:sz w:val="28"/>
          <w:szCs w:val="28"/>
        </w:rPr>
      </w:pPr>
    </w:p>
    <w:p w14:paraId="7BA60749" w14:textId="3905C7C4" w:rsidR="001B3ED2" w:rsidRPr="00C241C0" w:rsidRDefault="00604CEE" w:rsidP="004B2134">
      <w:pPr>
        <w:pStyle w:val="BodyText"/>
        <w:numPr>
          <w:ilvl w:val="0"/>
          <w:numId w:val="7"/>
        </w:numPr>
        <w:spacing w:before="1" w:line="360" w:lineRule="auto"/>
        <w:ind w:left="180"/>
        <w:jc w:val="left"/>
        <w:rPr>
          <w:rFonts w:ascii="Times New Roman" w:hAnsi="Times New Roman" w:cs="Times New Roman"/>
          <w:b/>
          <w:bCs/>
          <w:w w:val="105"/>
          <w:sz w:val="28"/>
          <w:szCs w:val="28"/>
        </w:rPr>
      </w:pPr>
      <w:r w:rsidRPr="00C241C0">
        <w:rPr>
          <w:rFonts w:ascii="Times New Roman" w:hAnsi="Times New Roman" w:cs="Times New Roman"/>
          <w:b/>
          <w:bCs/>
          <w:w w:val="105"/>
          <w:sz w:val="28"/>
          <w:szCs w:val="28"/>
        </w:rPr>
        <w:t>TERMINAL RESTRICTION FRAGMENT LENGTH POLYMORPHISM</w:t>
      </w:r>
    </w:p>
    <w:p w14:paraId="03B2E7CB" w14:textId="77777777" w:rsidR="004C55A2" w:rsidRPr="004C55A2" w:rsidRDefault="004C55A2" w:rsidP="004C55A2">
      <w:pPr>
        <w:pStyle w:val="BodyText"/>
        <w:spacing w:before="1" w:line="360" w:lineRule="auto"/>
        <w:rPr>
          <w:rFonts w:ascii="Times New Roman" w:hAnsi="Times New Roman" w:cs="Times New Roman"/>
          <w:w w:val="105"/>
          <w:sz w:val="24"/>
        </w:rPr>
      </w:pPr>
      <w:r w:rsidRPr="004C55A2">
        <w:rPr>
          <w:rFonts w:ascii="Times New Roman" w:hAnsi="Times New Roman" w:cs="Times New Roman"/>
          <w:w w:val="105"/>
          <w:sz w:val="24"/>
        </w:rPr>
        <w:t>Another technique used for the analysis of diverse microbial communities is Terminal Restriction Fragment Length Polymorphism (T-RFLP), which assesses the size variation of terminal restriction fragments derived from a PCR-amplified marker. The process begins with PCR, which amplifies the 16S rRNA gene from various species within the sample. One of the PCR primers is tagged with a fluorescent dye. Subsequently, the PCR-amplified products undergo digestion with restriction enzymes, yielding fluorescently labeled terminal fragments of varying lengths. These fragments are then separated using high-resolution sequencing gel electrophoresis within an automated DNA sequencer, allowing for the determination of both the size and intensity of terminally labeled restriction fragments (T-RF), thereby generating a characteristic profile (23).</w:t>
      </w:r>
    </w:p>
    <w:p w14:paraId="017317A3" w14:textId="77777777" w:rsidR="004C55A2" w:rsidRPr="004C55A2" w:rsidRDefault="004C55A2" w:rsidP="004C55A2">
      <w:pPr>
        <w:pStyle w:val="BodyText"/>
        <w:spacing w:before="1" w:line="360" w:lineRule="auto"/>
        <w:rPr>
          <w:rFonts w:ascii="Times New Roman" w:hAnsi="Times New Roman" w:cs="Times New Roman"/>
          <w:w w:val="105"/>
          <w:sz w:val="24"/>
        </w:rPr>
      </w:pPr>
    </w:p>
    <w:p w14:paraId="375E873B" w14:textId="77777777" w:rsidR="004C55A2" w:rsidRPr="004C55A2" w:rsidRDefault="004C55A2" w:rsidP="004C55A2">
      <w:pPr>
        <w:pStyle w:val="BodyText"/>
        <w:spacing w:before="1" w:line="360" w:lineRule="auto"/>
        <w:rPr>
          <w:rFonts w:ascii="Times New Roman" w:hAnsi="Times New Roman" w:cs="Times New Roman"/>
          <w:w w:val="105"/>
          <w:sz w:val="24"/>
        </w:rPr>
      </w:pPr>
      <w:r w:rsidRPr="004C55A2">
        <w:rPr>
          <w:rFonts w:ascii="Times New Roman" w:hAnsi="Times New Roman" w:cs="Times New Roman"/>
          <w:w w:val="105"/>
          <w:sz w:val="24"/>
        </w:rPr>
        <w:t>The electrophoretogram serves as a representation of the microbial community's profile, depicted as a series of peaks differing in migration distance. In such a profile, size is plotted on the horizontal axis, while intensity is represented on the vertical axis. In theory, each T-RF corresponds to a single species. Robust databases are available for 16S rRNA gene sequences and can be employed to identify all T-RFs predicted from known sequences, considering a specific set of primers and restriction enzymes. The prediction of T-RF lengths involves locating the restriction site nearest to where the labeled primer attaches and counting the number of nucleotides in between. Typically, the use of multiple restriction enzymes (typically four or five) is necessary to ensure reliable identification, as distinct species may produce the same T-RF when only one enzyme is employed (Chakraborty et al., 2014; Fouad, 2009) (22, 24).</w:t>
      </w:r>
    </w:p>
    <w:p w14:paraId="4076B30F" w14:textId="77777777" w:rsidR="004C55A2" w:rsidRPr="004C55A2" w:rsidRDefault="004C55A2" w:rsidP="004C55A2">
      <w:pPr>
        <w:pStyle w:val="BodyText"/>
        <w:spacing w:before="1" w:line="360" w:lineRule="auto"/>
        <w:rPr>
          <w:rFonts w:ascii="Times New Roman" w:hAnsi="Times New Roman" w:cs="Times New Roman"/>
          <w:w w:val="105"/>
          <w:sz w:val="24"/>
        </w:rPr>
      </w:pPr>
    </w:p>
    <w:p w14:paraId="24C0167A" w14:textId="77777777" w:rsidR="004C55A2" w:rsidRPr="004C55A2" w:rsidRDefault="004C55A2" w:rsidP="004C55A2">
      <w:pPr>
        <w:pStyle w:val="BodyText"/>
        <w:spacing w:before="1" w:line="360" w:lineRule="auto"/>
        <w:rPr>
          <w:rFonts w:ascii="Times New Roman" w:hAnsi="Times New Roman" w:cs="Times New Roman"/>
          <w:w w:val="105"/>
          <w:sz w:val="24"/>
        </w:rPr>
      </w:pPr>
    </w:p>
    <w:p w14:paraId="782AF97E" w14:textId="77777777" w:rsidR="004C55A2" w:rsidRPr="004C55A2" w:rsidRDefault="004C55A2" w:rsidP="004C55A2">
      <w:pPr>
        <w:pStyle w:val="BodyText"/>
        <w:spacing w:before="1" w:line="360" w:lineRule="auto"/>
        <w:rPr>
          <w:rFonts w:ascii="Times New Roman" w:hAnsi="Times New Roman" w:cs="Times New Roman"/>
          <w:w w:val="105"/>
          <w:sz w:val="24"/>
        </w:rPr>
      </w:pPr>
    </w:p>
    <w:p w14:paraId="23B2594D" w14:textId="77777777" w:rsidR="004C55A2" w:rsidRPr="004C55A2" w:rsidRDefault="004C55A2" w:rsidP="004C55A2">
      <w:pPr>
        <w:pStyle w:val="BodyText"/>
        <w:spacing w:before="1" w:line="360" w:lineRule="auto"/>
        <w:rPr>
          <w:rFonts w:ascii="Times New Roman" w:hAnsi="Times New Roman" w:cs="Times New Roman"/>
          <w:w w:val="105"/>
          <w:sz w:val="24"/>
        </w:rPr>
      </w:pPr>
    </w:p>
    <w:p w14:paraId="032DADC7" w14:textId="77777777" w:rsidR="001B3ED2" w:rsidRPr="00C241C0" w:rsidRDefault="001B3ED2" w:rsidP="004B2134">
      <w:pPr>
        <w:pStyle w:val="BodyText"/>
        <w:spacing w:before="1" w:line="360" w:lineRule="auto"/>
        <w:ind w:left="0"/>
        <w:jc w:val="left"/>
        <w:rPr>
          <w:rFonts w:ascii="Times New Roman" w:hAnsi="Times New Roman" w:cs="Times New Roman"/>
          <w:w w:val="105"/>
          <w:sz w:val="24"/>
        </w:rPr>
      </w:pPr>
    </w:p>
    <w:p w14:paraId="0A706B0F" w14:textId="35B6AD6D" w:rsidR="001B3ED2" w:rsidRDefault="00107959" w:rsidP="004B2134">
      <w:pPr>
        <w:pStyle w:val="Heading1"/>
        <w:numPr>
          <w:ilvl w:val="0"/>
          <w:numId w:val="7"/>
        </w:numPr>
        <w:tabs>
          <w:tab w:val="left" w:pos="464"/>
        </w:tabs>
        <w:spacing w:line="360" w:lineRule="auto"/>
        <w:ind w:left="180"/>
        <w:rPr>
          <w:rFonts w:ascii="Times New Roman" w:hAnsi="Times New Roman" w:cs="Times New Roman"/>
          <w:sz w:val="28"/>
        </w:rPr>
      </w:pPr>
      <w:r>
        <w:rPr>
          <w:rFonts w:ascii="Times New Roman" w:hAnsi="Times New Roman" w:cs="Times New Roman"/>
          <w:sz w:val="28"/>
        </w:rPr>
        <w:lastRenderedPageBreak/>
        <w:t xml:space="preserve">THE </w:t>
      </w:r>
      <w:r w:rsidR="00604CEE" w:rsidRPr="00C241C0">
        <w:rPr>
          <w:rFonts w:ascii="Times New Roman" w:hAnsi="Times New Roman" w:cs="Times New Roman"/>
          <w:sz w:val="28"/>
        </w:rPr>
        <w:t>DNA-DNA HYBRIDIZATION ASSAY</w:t>
      </w:r>
    </w:p>
    <w:p w14:paraId="2151A65F" w14:textId="77777777" w:rsidR="00107959" w:rsidRPr="00C241C0" w:rsidRDefault="00107959" w:rsidP="00107959">
      <w:pPr>
        <w:pStyle w:val="Heading1"/>
        <w:tabs>
          <w:tab w:val="left" w:pos="464"/>
        </w:tabs>
        <w:spacing w:line="360" w:lineRule="auto"/>
        <w:ind w:left="180" w:firstLine="0"/>
        <w:rPr>
          <w:rFonts w:ascii="Times New Roman" w:hAnsi="Times New Roman" w:cs="Times New Roman"/>
          <w:sz w:val="28"/>
        </w:rPr>
      </w:pPr>
    </w:p>
    <w:p w14:paraId="4B25425F" w14:textId="77777777" w:rsidR="00107959" w:rsidRPr="008357D2" w:rsidRDefault="00107959" w:rsidP="00107959">
      <w:pPr>
        <w:pStyle w:val="BodyText"/>
        <w:spacing w:before="1" w:line="360" w:lineRule="auto"/>
        <w:rPr>
          <w:rFonts w:ascii="Times New Roman" w:hAnsi="Times New Roman" w:cs="Times New Roman"/>
          <w:w w:val="105"/>
          <w:sz w:val="24"/>
        </w:rPr>
      </w:pPr>
      <w:r w:rsidRPr="008357D2">
        <w:rPr>
          <w:rFonts w:ascii="Times New Roman" w:hAnsi="Times New Roman" w:cs="Times New Roman"/>
          <w:w w:val="105"/>
          <w:sz w:val="24"/>
        </w:rPr>
        <w:t>DNA-DNA hybridization methodology involves the pairing of complementary bases between two single-stranded DNA molecules. These DNA probes are typically marked with various indicators, such as enzymes, radioactive isotopes, or chemiluminescent reporters, allowing them to bind to their corresponding nucleic acid sequences, creating a new double-stranded molecule. The labeled duplex can then be detected and examined.</w:t>
      </w:r>
    </w:p>
    <w:p w14:paraId="6E6AB02A" w14:textId="77777777" w:rsidR="008357D2" w:rsidRPr="008357D2" w:rsidRDefault="008357D2" w:rsidP="008357D2">
      <w:pPr>
        <w:pStyle w:val="BodyText"/>
        <w:spacing w:before="1" w:line="360" w:lineRule="auto"/>
        <w:rPr>
          <w:rFonts w:ascii="Times New Roman" w:hAnsi="Times New Roman" w:cs="Times New Roman"/>
          <w:w w:val="105"/>
          <w:sz w:val="24"/>
        </w:rPr>
      </w:pPr>
    </w:p>
    <w:p w14:paraId="12842060" w14:textId="67664DF8" w:rsidR="008357D2" w:rsidRDefault="00107959" w:rsidP="008357D2">
      <w:pPr>
        <w:pStyle w:val="BodyText"/>
        <w:spacing w:before="1" w:line="360" w:lineRule="auto"/>
        <w:rPr>
          <w:rFonts w:ascii="Times New Roman" w:hAnsi="Times New Roman" w:cs="Times New Roman"/>
          <w:w w:val="105"/>
          <w:sz w:val="24"/>
        </w:rPr>
      </w:pPr>
      <w:r w:rsidRPr="00107959">
        <w:rPr>
          <w:rFonts w:ascii="Times New Roman" w:hAnsi="Times New Roman" w:cs="Times New Roman"/>
          <w:w w:val="105"/>
          <w:sz w:val="24"/>
        </w:rPr>
        <w:t xml:space="preserve">Whole genomic DNA or oligonucleotides can be used to make DNA-DNA hybridization probes. Because different species share some sequences, whole genome probes are more likely to interact with non-target bacteria. On the other hand, oligonucleotide probes created using particular gene signature sequences (such as the 16S rRNA gene) typically offer more specificity. The precise hybridization temperatures may be calculated using the known probe sequence, and mismatches are tolerated less because of the weaker binding between the short probe and the target sequence. As expanded in the work of Cho and Tiedje in 2001, oligonucleotide probes can also be designed to identify previously uncultivated bacteria. They can also be used to distinguish between closely related species or </w:t>
      </w:r>
      <w:proofErr w:type="gramStart"/>
      <w:r w:rsidRPr="00107959">
        <w:rPr>
          <w:rFonts w:ascii="Times New Roman" w:hAnsi="Times New Roman" w:cs="Times New Roman"/>
          <w:w w:val="105"/>
          <w:sz w:val="24"/>
        </w:rPr>
        <w:t>subspecies.(</w:t>
      </w:r>
      <w:proofErr w:type="gramEnd"/>
      <w:r w:rsidRPr="00107959">
        <w:rPr>
          <w:rFonts w:ascii="Times New Roman" w:hAnsi="Times New Roman" w:cs="Times New Roman"/>
          <w:w w:val="105"/>
          <w:sz w:val="24"/>
        </w:rPr>
        <w:t>19)</w:t>
      </w:r>
    </w:p>
    <w:p w14:paraId="175170F1" w14:textId="77777777" w:rsidR="00107959" w:rsidRPr="008357D2" w:rsidRDefault="00107959" w:rsidP="008357D2">
      <w:pPr>
        <w:pStyle w:val="BodyText"/>
        <w:spacing w:before="1" w:line="360" w:lineRule="auto"/>
        <w:rPr>
          <w:rFonts w:ascii="Times New Roman" w:hAnsi="Times New Roman" w:cs="Times New Roman"/>
          <w:w w:val="105"/>
          <w:sz w:val="24"/>
        </w:rPr>
      </w:pPr>
    </w:p>
    <w:p w14:paraId="6FC5FE87" w14:textId="5DCF351B" w:rsidR="008357D2" w:rsidRPr="008357D2" w:rsidRDefault="00107959" w:rsidP="008357D2">
      <w:pPr>
        <w:pStyle w:val="BodyText"/>
        <w:spacing w:before="1" w:line="360" w:lineRule="auto"/>
        <w:rPr>
          <w:rFonts w:ascii="Times New Roman" w:hAnsi="Times New Roman" w:cs="Times New Roman"/>
          <w:w w:val="105"/>
          <w:sz w:val="24"/>
        </w:rPr>
      </w:pPr>
      <w:r w:rsidRPr="00107959">
        <w:rPr>
          <w:rFonts w:ascii="Times New Roman" w:hAnsi="Times New Roman" w:cs="Times New Roman"/>
          <w:w w:val="105"/>
          <w:sz w:val="24"/>
        </w:rPr>
        <w:t xml:space="preserve">The checkerboard DNA-DNA hybridization approach was developed by </w:t>
      </w:r>
      <w:proofErr w:type="spellStart"/>
      <w:r w:rsidRPr="00107959">
        <w:rPr>
          <w:rFonts w:ascii="Times New Roman" w:hAnsi="Times New Roman" w:cs="Times New Roman"/>
          <w:w w:val="105"/>
          <w:sz w:val="24"/>
        </w:rPr>
        <w:t>Socransky</w:t>
      </w:r>
      <w:proofErr w:type="spellEnd"/>
      <w:r w:rsidRPr="00107959">
        <w:rPr>
          <w:rFonts w:ascii="Times New Roman" w:hAnsi="Times New Roman" w:cs="Times New Roman"/>
          <w:w w:val="105"/>
          <w:sz w:val="24"/>
        </w:rPr>
        <w:t xml:space="preserve"> et al. (1994) (23, 25). It allows several DNA samples to be hybridized simultaneously against a large number of entire genomic DNA or 16S rDNA-based oligonucleotide probes that have been digoxigenin-labeled on a single support membrane. With the use of this technique, numerous bacterial species can be identified simultaneously in one or more clinical samples. It is very useful in in-depth epidemiological studies.</w:t>
      </w:r>
    </w:p>
    <w:p w14:paraId="19C26DEB" w14:textId="77777777" w:rsidR="008357D2" w:rsidRPr="008357D2" w:rsidRDefault="008357D2" w:rsidP="008357D2">
      <w:pPr>
        <w:pStyle w:val="BodyText"/>
        <w:spacing w:before="1" w:line="360" w:lineRule="auto"/>
        <w:rPr>
          <w:rFonts w:ascii="Times New Roman" w:hAnsi="Times New Roman" w:cs="Times New Roman"/>
          <w:w w:val="105"/>
          <w:sz w:val="24"/>
        </w:rPr>
      </w:pPr>
    </w:p>
    <w:p w14:paraId="52FF8100" w14:textId="77777777" w:rsidR="008357D2" w:rsidRPr="008357D2" w:rsidRDefault="008357D2" w:rsidP="008357D2">
      <w:pPr>
        <w:pStyle w:val="BodyText"/>
        <w:spacing w:before="1" w:line="360" w:lineRule="auto"/>
        <w:rPr>
          <w:rFonts w:ascii="Times New Roman" w:hAnsi="Times New Roman" w:cs="Times New Roman"/>
          <w:w w:val="105"/>
          <w:sz w:val="24"/>
        </w:rPr>
      </w:pPr>
    </w:p>
    <w:p w14:paraId="61FA7090" w14:textId="77777777" w:rsidR="001F7A91" w:rsidRPr="00C241C0" w:rsidRDefault="001F7A91" w:rsidP="004B2134">
      <w:pPr>
        <w:pStyle w:val="BodyText"/>
        <w:spacing w:before="1" w:line="360" w:lineRule="auto"/>
        <w:ind w:left="0"/>
        <w:jc w:val="left"/>
        <w:rPr>
          <w:rFonts w:ascii="Times New Roman" w:hAnsi="Times New Roman" w:cs="Times New Roman"/>
          <w:w w:val="105"/>
          <w:sz w:val="24"/>
        </w:rPr>
      </w:pPr>
    </w:p>
    <w:p w14:paraId="2984097A" w14:textId="5B613840" w:rsidR="001B3ED2" w:rsidRDefault="00F12B67" w:rsidP="004B2134">
      <w:pPr>
        <w:pStyle w:val="BodyText"/>
        <w:spacing w:before="1" w:line="360" w:lineRule="auto"/>
        <w:ind w:left="0"/>
        <w:jc w:val="left"/>
        <w:rPr>
          <w:rFonts w:ascii="Times New Roman" w:hAnsi="Times New Roman" w:cs="Times New Roman"/>
          <w:b/>
          <w:bCs/>
          <w:w w:val="105"/>
          <w:sz w:val="24"/>
        </w:rPr>
      </w:pPr>
      <w:r w:rsidRPr="00C241C0">
        <w:rPr>
          <w:rFonts w:ascii="Times New Roman" w:hAnsi="Times New Roman" w:cs="Times New Roman"/>
          <w:b/>
          <w:bCs/>
          <w:w w:val="105"/>
          <w:sz w:val="24"/>
        </w:rPr>
        <w:t>Checkerboard DNA–DNA hybridization</w:t>
      </w:r>
      <w:r w:rsidR="001F7A91" w:rsidRPr="00C241C0">
        <w:rPr>
          <w:rFonts w:ascii="Times New Roman" w:hAnsi="Times New Roman" w:cs="Times New Roman"/>
          <w:b/>
          <w:bCs/>
          <w:w w:val="105"/>
          <w:sz w:val="24"/>
        </w:rPr>
        <w:t>-</w:t>
      </w:r>
    </w:p>
    <w:p w14:paraId="3BB7D3BB" w14:textId="77777777" w:rsidR="004B2134" w:rsidRPr="00C241C0" w:rsidRDefault="004B2134" w:rsidP="004B2134">
      <w:pPr>
        <w:pStyle w:val="BodyText"/>
        <w:spacing w:before="1" w:line="360" w:lineRule="auto"/>
        <w:ind w:left="0"/>
        <w:jc w:val="left"/>
        <w:rPr>
          <w:rFonts w:ascii="Times New Roman" w:hAnsi="Times New Roman" w:cs="Times New Roman"/>
          <w:b/>
          <w:bCs/>
          <w:w w:val="105"/>
          <w:sz w:val="24"/>
        </w:rPr>
      </w:pPr>
    </w:p>
    <w:p w14:paraId="62E698E5" w14:textId="738864F2" w:rsidR="008357D2" w:rsidRDefault="006F6E88" w:rsidP="008357D2">
      <w:pPr>
        <w:pStyle w:val="BodyText"/>
        <w:spacing w:before="1" w:line="360" w:lineRule="auto"/>
        <w:rPr>
          <w:rFonts w:ascii="Times New Roman" w:hAnsi="Times New Roman" w:cs="Times New Roman"/>
          <w:w w:val="105"/>
          <w:sz w:val="24"/>
        </w:rPr>
      </w:pPr>
      <w:r w:rsidRPr="006F6E88">
        <w:rPr>
          <w:rFonts w:ascii="Times New Roman" w:hAnsi="Times New Roman" w:cs="Times New Roman"/>
          <w:w w:val="105"/>
          <w:sz w:val="24"/>
        </w:rPr>
        <w:t xml:space="preserve">The checkerboard method, developed by </w:t>
      </w:r>
      <w:proofErr w:type="spellStart"/>
      <w:r w:rsidRPr="006F6E88">
        <w:rPr>
          <w:rFonts w:ascii="Times New Roman" w:hAnsi="Times New Roman" w:cs="Times New Roman"/>
          <w:w w:val="105"/>
          <w:sz w:val="24"/>
        </w:rPr>
        <w:t>Socransky</w:t>
      </w:r>
      <w:proofErr w:type="spellEnd"/>
      <w:r w:rsidRPr="006F6E88">
        <w:rPr>
          <w:rFonts w:ascii="Times New Roman" w:hAnsi="Times New Roman" w:cs="Times New Roman"/>
          <w:w w:val="105"/>
          <w:sz w:val="24"/>
        </w:rPr>
        <w:t xml:space="preserve"> et al. in 1994 (25), revolutionized the hybridization of a large number of DNA samples against a large number of entire genomic DNA probes on a single support membrane. This ground-breaking method made it easier to identify several bacterial species in one or more clinical samples.</w:t>
      </w:r>
    </w:p>
    <w:p w14:paraId="512FFAAD" w14:textId="77777777" w:rsidR="006F6E88" w:rsidRPr="008357D2" w:rsidRDefault="006F6E88" w:rsidP="008357D2">
      <w:pPr>
        <w:pStyle w:val="BodyText"/>
        <w:spacing w:before="1" w:line="360" w:lineRule="auto"/>
        <w:rPr>
          <w:rFonts w:ascii="Times New Roman" w:hAnsi="Times New Roman" w:cs="Times New Roman"/>
          <w:w w:val="105"/>
          <w:sz w:val="24"/>
        </w:rPr>
      </w:pPr>
    </w:p>
    <w:p w14:paraId="43846714" w14:textId="40A87680" w:rsidR="008357D2" w:rsidRPr="008357D2" w:rsidRDefault="006F6E88" w:rsidP="008357D2">
      <w:pPr>
        <w:pStyle w:val="BodyText"/>
        <w:spacing w:before="1" w:line="360" w:lineRule="auto"/>
        <w:rPr>
          <w:rFonts w:ascii="Times New Roman" w:hAnsi="Times New Roman" w:cs="Times New Roman"/>
          <w:w w:val="105"/>
          <w:sz w:val="24"/>
        </w:rPr>
      </w:pPr>
      <w:r w:rsidRPr="006F6E88">
        <w:rPr>
          <w:rFonts w:ascii="Times New Roman" w:hAnsi="Times New Roman" w:cs="Times New Roman"/>
          <w:w w:val="105"/>
          <w:sz w:val="24"/>
        </w:rPr>
        <w:t xml:space="preserve">DNA from the samples is extracted, denaturized, and attached to a membrane as part of the process. The membrane is then placed at a 90-degree angle on a Mini-blotter device. Whole genomic DNA probes that have been digoxigenin-labeled are placed onto individual Mini-blotter lanes. These DNA probes are conjugated with antibodies linked to alkaline phosphatase, and the results of the hybridization are seen through chemo-fluorescence or chemiluminescence. When a spot appears on the membrane where two lanes meet, the probe and sample have successfully hybridized. The amount of DNA from the target species present in the sample directly correlates with the intensity of this </w:t>
      </w:r>
      <w:proofErr w:type="gramStart"/>
      <w:r w:rsidRPr="006F6E88">
        <w:rPr>
          <w:rFonts w:ascii="Times New Roman" w:hAnsi="Times New Roman" w:cs="Times New Roman"/>
          <w:w w:val="105"/>
          <w:sz w:val="24"/>
        </w:rPr>
        <w:t>area.</w:t>
      </w:r>
      <w:r w:rsidR="008357D2" w:rsidRPr="008357D2">
        <w:rPr>
          <w:rFonts w:ascii="Times New Roman" w:hAnsi="Times New Roman" w:cs="Times New Roman"/>
          <w:w w:val="105"/>
          <w:sz w:val="24"/>
        </w:rPr>
        <w:t>.</w:t>
      </w:r>
      <w:proofErr w:type="gramEnd"/>
    </w:p>
    <w:p w14:paraId="49733498" w14:textId="77777777" w:rsidR="008357D2" w:rsidRPr="008357D2" w:rsidRDefault="008357D2" w:rsidP="008357D2">
      <w:pPr>
        <w:pStyle w:val="BodyText"/>
        <w:spacing w:before="1" w:line="360" w:lineRule="auto"/>
        <w:rPr>
          <w:rFonts w:ascii="Times New Roman" w:hAnsi="Times New Roman" w:cs="Times New Roman"/>
          <w:w w:val="105"/>
          <w:sz w:val="24"/>
        </w:rPr>
      </w:pPr>
    </w:p>
    <w:p w14:paraId="63B58C40" w14:textId="77777777" w:rsidR="008357D2" w:rsidRDefault="008357D2" w:rsidP="008357D2">
      <w:pPr>
        <w:pStyle w:val="BodyText"/>
        <w:spacing w:before="1" w:line="360" w:lineRule="auto"/>
        <w:rPr>
          <w:rFonts w:ascii="Times New Roman" w:hAnsi="Times New Roman" w:cs="Times New Roman"/>
          <w:w w:val="105"/>
          <w:sz w:val="24"/>
        </w:rPr>
      </w:pPr>
      <w:r w:rsidRPr="008357D2">
        <w:rPr>
          <w:rFonts w:ascii="Times New Roman" w:hAnsi="Times New Roman" w:cs="Times New Roman"/>
          <w:w w:val="105"/>
          <w:sz w:val="24"/>
        </w:rPr>
        <w:t>A modified version of the checkerboard method was proposed by Paster et al. in 1998 (26), referred to as the PCR-based reverse-capture checkerboard hybridization methodology. It is termed "reverse capture" because, unlike the original method, the probe is first fixed onto the membrane in this modified approach. This altered approach offers heightened specificity due to the use of oligonucleotide probes. Additionally, oligonucleotide probes can be designed to detect both cultivable and previously uncultivated bacteria, whereas the original method utilizing whole genomic probes can only identify cultivable species.</w:t>
      </w:r>
    </w:p>
    <w:p w14:paraId="6D22E3F9" w14:textId="77777777" w:rsidR="006F6E88" w:rsidRPr="008357D2" w:rsidRDefault="006F6E88" w:rsidP="008357D2">
      <w:pPr>
        <w:pStyle w:val="BodyText"/>
        <w:spacing w:before="1" w:line="360" w:lineRule="auto"/>
        <w:rPr>
          <w:rFonts w:ascii="Times New Roman" w:hAnsi="Times New Roman" w:cs="Times New Roman"/>
          <w:w w:val="105"/>
          <w:sz w:val="24"/>
        </w:rPr>
      </w:pPr>
    </w:p>
    <w:p w14:paraId="0E2ECE28" w14:textId="340CE4C8" w:rsidR="008357D2" w:rsidRPr="008357D2" w:rsidRDefault="00107959" w:rsidP="008357D2">
      <w:pPr>
        <w:pStyle w:val="BodyText"/>
        <w:spacing w:before="1" w:line="360" w:lineRule="auto"/>
        <w:rPr>
          <w:rFonts w:ascii="Times New Roman" w:hAnsi="Times New Roman" w:cs="Times New Roman"/>
          <w:w w:val="105"/>
          <w:sz w:val="24"/>
        </w:rPr>
      </w:pPr>
      <w:r w:rsidRPr="00107959">
        <w:rPr>
          <w:rFonts w:ascii="Times New Roman" w:hAnsi="Times New Roman" w:cs="Times New Roman"/>
          <w:w w:val="105"/>
          <w:sz w:val="24"/>
        </w:rPr>
        <w:t>In vitro bacterial culture, which was required in the original checkerboard strategy to create complete genome probes, is no longer necessary with the reverse-capture technique. This technique uses a Mini-blot device to place up to 30 reverse-capture oligonucleotide probes targeting distinct sections of the 16S rRNA gene in different horizontal lanes on a nylon membrane. These probes are made with a polythymidine tail that is attached to the membrane and cross-linked, making the probe available for hybridization. A primer that has been digoxigenin-labeled is used in the PCR process to amplify the 16S rRNA gene that has been isolated from clinical samples. A Mini-blotter equipment is used to perform hybridizations in vertical channels using up to 45 samples of digoxigenin-labeled PCR amplicons</w:t>
      </w:r>
      <w:r w:rsidR="008357D2" w:rsidRPr="008357D2">
        <w:rPr>
          <w:rFonts w:ascii="Times New Roman" w:hAnsi="Times New Roman" w:cs="Times New Roman"/>
          <w:w w:val="105"/>
          <w:sz w:val="24"/>
        </w:rPr>
        <w:t>. Subsequently, the hybridization signals are detected using chemo-fluorescence or chemiluminescence techniques, as detailed in the work by Siqueira Jr. and Rocas in 2005 (2).</w:t>
      </w:r>
    </w:p>
    <w:p w14:paraId="34A7A05C" w14:textId="77777777" w:rsidR="008357D2" w:rsidRPr="008357D2" w:rsidRDefault="008357D2" w:rsidP="008357D2">
      <w:pPr>
        <w:pStyle w:val="BodyText"/>
        <w:spacing w:before="1" w:line="360" w:lineRule="auto"/>
        <w:rPr>
          <w:rFonts w:ascii="Times New Roman" w:hAnsi="Times New Roman" w:cs="Times New Roman"/>
          <w:w w:val="105"/>
          <w:sz w:val="24"/>
        </w:rPr>
      </w:pPr>
    </w:p>
    <w:p w14:paraId="1DBFBC5F" w14:textId="77777777" w:rsidR="008357D2" w:rsidRPr="008357D2" w:rsidRDefault="008357D2" w:rsidP="008357D2">
      <w:pPr>
        <w:pStyle w:val="BodyText"/>
        <w:spacing w:before="1" w:line="360" w:lineRule="auto"/>
        <w:rPr>
          <w:rFonts w:ascii="Times New Roman" w:hAnsi="Times New Roman" w:cs="Times New Roman"/>
          <w:w w:val="105"/>
          <w:sz w:val="24"/>
        </w:rPr>
      </w:pPr>
    </w:p>
    <w:p w14:paraId="5FAA3EE8" w14:textId="77777777" w:rsidR="008357D2" w:rsidRPr="008357D2" w:rsidRDefault="008357D2" w:rsidP="008357D2">
      <w:pPr>
        <w:pStyle w:val="BodyText"/>
        <w:spacing w:before="1" w:line="360" w:lineRule="auto"/>
        <w:rPr>
          <w:rFonts w:ascii="Times New Roman" w:hAnsi="Times New Roman" w:cs="Times New Roman"/>
          <w:w w:val="105"/>
          <w:sz w:val="24"/>
        </w:rPr>
      </w:pPr>
    </w:p>
    <w:p w14:paraId="213C458A" w14:textId="77777777" w:rsidR="008357D2" w:rsidRPr="008357D2" w:rsidRDefault="008357D2" w:rsidP="008357D2">
      <w:pPr>
        <w:pStyle w:val="BodyText"/>
        <w:spacing w:before="1" w:line="360" w:lineRule="auto"/>
        <w:rPr>
          <w:rFonts w:ascii="Times New Roman" w:hAnsi="Times New Roman" w:cs="Times New Roman"/>
          <w:w w:val="105"/>
          <w:sz w:val="24"/>
        </w:rPr>
      </w:pPr>
    </w:p>
    <w:p w14:paraId="74F73B25" w14:textId="77777777" w:rsidR="00B549C1" w:rsidRPr="00C241C0" w:rsidRDefault="00B549C1" w:rsidP="004B2134">
      <w:pPr>
        <w:pStyle w:val="BodyText"/>
        <w:spacing w:before="1" w:line="360" w:lineRule="auto"/>
        <w:ind w:left="0"/>
        <w:jc w:val="left"/>
        <w:rPr>
          <w:rFonts w:ascii="Times New Roman" w:hAnsi="Times New Roman" w:cs="Times New Roman"/>
          <w:w w:val="105"/>
          <w:sz w:val="24"/>
        </w:rPr>
      </w:pPr>
    </w:p>
    <w:p w14:paraId="73DDDF6E" w14:textId="77777777" w:rsidR="006F6E88" w:rsidRPr="006F6E88" w:rsidRDefault="006F6E88" w:rsidP="004B2134">
      <w:pPr>
        <w:pStyle w:val="Heading1"/>
        <w:numPr>
          <w:ilvl w:val="0"/>
          <w:numId w:val="7"/>
        </w:numPr>
        <w:tabs>
          <w:tab w:val="left" w:pos="464"/>
        </w:tabs>
        <w:spacing w:line="360" w:lineRule="auto"/>
        <w:ind w:left="180"/>
        <w:rPr>
          <w:rFonts w:ascii="Times New Roman" w:hAnsi="Times New Roman" w:cs="Times New Roman"/>
          <w:w w:val="105"/>
          <w:sz w:val="24"/>
        </w:rPr>
      </w:pPr>
    </w:p>
    <w:p w14:paraId="306B371C" w14:textId="791348D4" w:rsidR="001B3ED2" w:rsidRPr="006F6E88" w:rsidRDefault="00B549C1" w:rsidP="004B2134">
      <w:pPr>
        <w:pStyle w:val="Heading1"/>
        <w:numPr>
          <w:ilvl w:val="0"/>
          <w:numId w:val="7"/>
        </w:numPr>
        <w:tabs>
          <w:tab w:val="left" w:pos="464"/>
        </w:tabs>
        <w:spacing w:line="360" w:lineRule="auto"/>
        <w:ind w:left="180"/>
        <w:rPr>
          <w:rFonts w:ascii="Times New Roman" w:hAnsi="Times New Roman" w:cs="Times New Roman"/>
          <w:w w:val="105"/>
          <w:sz w:val="24"/>
        </w:rPr>
      </w:pPr>
      <w:r w:rsidRPr="00C241C0">
        <w:rPr>
          <w:rFonts w:ascii="Times New Roman" w:hAnsi="Times New Roman" w:cs="Times New Roman"/>
          <w:sz w:val="28"/>
        </w:rPr>
        <w:t>DNA MICROARRAYS</w:t>
      </w:r>
    </w:p>
    <w:p w14:paraId="7964E9E7" w14:textId="77777777" w:rsidR="006F6E88" w:rsidRPr="00C241C0" w:rsidRDefault="006F6E88" w:rsidP="006F6E88">
      <w:pPr>
        <w:pStyle w:val="Heading1"/>
        <w:tabs>
          <w:tab w:val="left" w:pos="464"/>
        </w:tabs>
        <w:spacing w:line="360" w:lineRule="auto"/>
        <w:ind w:left="180" w:firstLine="0"/>
        <w:rPr>
          <w:rFonts w:ascii="Times New Roman" w:hAnsi="Times New Roman" w:cs="Times New Roman"/>
          <w:w w:val="105"/>
          <w:sz w:val="24"/>
        </w:rPr>
      </w:pPr>
    </w:p>
    <w:p w14:paraId="78E356D9" w14:textId="46E7229E" w:rsidR="006F6E88" w:rsidRDefault="006F6E88" w:rsidP="004B2134">
      <w:pPr>
        <w:pStyle w:val="BodyText"/>
        <w:spacing w:before="1" w:line="360" w:lineRule="auto"/>
        <w:ind w:left="360" w:right="350"/>
        <w:jc w:val="left"/>
        <w:rPr>
          <w:rFonts w:ascii="Times New Roman" w:hAnsi="Times New Roman" w:cs="Times New Roman"/>
          <w:w w:val="105"/>
          <w:sz w:val="24"/>
        </w:rPr>
      </w:pPr>
      <w:r w:rsidRPr="00C241C0">
        <w:rPr>
          <w:rFonts w:ascii="Times New Roman" w:hAnsi="Times New Roman" w:cs="Times New Roman"/>
          <w:noProof/>
          <w:w w:val="105"/>
          <w:sz w:val="24"/>
        </w:rPr>
        <w:drawing>
          <wp:anchor distT="0" distB="0" distL="0" distR="0" simplePos="0" relativeHeight="251673600" behindDoc="0" locked="0" layoutInCell="1" allowOverlap="1" wp14:anchorId="1FE880D8" wp14:editId="4C516D85">
            <wp:simplePos x="0" y="0"/>
            <wp:positionH relativeFrom="page">
              <wp:posOffset>1988111</wp:posOffset>
            </wp:positionH>
            <wp:positionV relativeFrom="paragraph">
              <wp:posOffset>1932689</wp:posOffset>
            </wp:positionV>
            <wp:extent cx="3460115" cy="2945130"/>
            <wp:effectExtent l="0" t="0" r="0" b="0"/>
            <wp:wrapTopAndBottom/>
            <wp:docPr id="49"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7.jpeg"/>
                    <pic:cNvPicPr/>
                  </pic:nvPicPr>
                  <pic:blipFill>
                    <a:blip r:embed="rId20" cstate="print"/>
                    <a:stretch>
                      <a:fillRect/>
                    </a:stretch>
                  </pic:blipFill>
                  <pic:spPr>
                    <a:xfrm>
                      <a:off x="0" y="0"/>
                      <a:ext cx="3460115" cy="2945130"/>
                    </a:xfrm>
                    <a:prstGeom prst="rect">
                      <a:avLst/>
                    </a:prstGeom>
                  </pic:spPr>
                </pic:pic>
              </a:graphicData>
            </a:graphic>
            <wp14:sizeRelH relativeFrom="margin">
              <wp14:pctWidth>0</wp14:pctWidth>
            </wp14:sizeRelH>
            <wp14:sizeRelV relativeFrom="margin">
              <wp14:pctHeight>0</wp14:pctHeight>
            </wp14:sizeRelV>
          </wp:anchor>
        </w:drawing>
      </w:r>
      <w:r w:rsidRPr="006F6E88">
        <w:rPr>
          <w:rFonts w:ascii="Times New Roman" w:hAnsi="Times New Roman" w:cs="Times New Roman"/>
          <w:w w:val="105"/>
          <w:sz w:val="24"/>
        </w:rPr>
        <w:t xml:space="preserve">Schena </w:t>
      </w:r>
      <w:proofErr w:type="gramStart"/>
      <w:r w:rsidRPr="006F6E88">
        <w:rPr>
          <w:rFonts w:ascii="Times New Roman" w:hAnsi="Times New Roman" w:cs="Times New Roman"/>
          <w:w w:val="105"/>
          <w:sz w:val="24"/>
        </w:rPr>
        <w:t>et al.(</w:t>
      </w:r>
      <w:proofErr w:type="gramEnd"/>
      <w:r w:rsidRPr="006F6E88">
        <w:rPr>
          <w:rFonts w:ascii="Times New Roman" w:hAnsi="Times New Roman" w:cs="Times New Roman"/>
          <w:w w:val="105"/>
          <w:sz w:val="24"/>
        </w:rPr>
        <w:t>20) first introduced this technique in 1995. The assay is a condensed form of the checkerboard hybridization assay. It is used to identify the target from the clinical sample and comprises of a high-density matrix of DNA probes printed on a glass slide. Targets will be placed to an array with fluorescence and those that hybridize with complementary probes will be found using a reporter molecule of some sort. For imaging and analysis, sophisticated computer software programs use a high-resolution laser scanner. (21)</w:t>
      </w:r>
    </w:p>
    <w:p w14:paraId="096D3AAA" w14:textId="04E7AD11" w:rsidR="006F6E88" w:rsidRDefault="006F6E88" w:rsidP="006F6E88">
      <w:pPr>
        <w:pStyle w:val="BodyText"/>
        <w:spacing w:before="1" w:line="360" w:lineRule="auto"/>
        <w:ind w:right="350"/>
        <w:jc w:val="left"/>
        <w:rPr>
          <w:rFonts w:ascii="Times New Roman" w:hAnsi="Times New Roman" w:cs="Times New Roman"/>
          <w:w w:val="105"/>
          <w:sz w:val="24"/>
        </w:rPr>
      </w:pPr>
    </w:p>
    <w:p w14:paraId="23EDE913" w14:textId="7327293D" w:rsidR="006F6E88" w:rsidRDefault="006F6E88" w:rsidP="004B2134">
      <w:pPr>
        <w:pStyle w:val="BodyText"/>
        <w:spacing w:before="1" w:line="360" w:lineRule="auto"/>
        <w:ind w:left="360" w:right="350"/>
        <w:jc w:val="left"/>
        <w:rPr>
          <w:rFonts w:ascii="Times New Roman" w:hAnsi="Times New Roman" w:cs="Times New Roman"/>
          <w:w w:val="105"/>
          <w:sz w:val="24"/>
        </w:rPr>
      </w:pPr>
    </w:p>
    <w:p w14:paraId="742547BB" w14:textId="5A224AC8" w:rsidR="006F6E88" w:rsidRDefault="006F6E88" w:rsidP="004B2134">
      <w:pPr>
        <w:pStyle w:val="BodyText"/>
        <w:spacing w:before="1" w:line="360" w:lineRule="auto"/>
        <w:ind w:left="540"/>
        <w:jc w:val="left"/>
        <w:rPr>
          <w:rFonts w:ascii="Times New Roman" w:hAnsi="Times New Roman" w:cs="Times New Roman"/>
          <w:w w:val="105"/>
          <w:sz w:val="24"/>
        </w:rPr>
      </w:pPr>
    </w:p>
    <w:p w14:paraId="3FF7589A" w14:textId="258BBF09" w:rsidR="006F6E88" w:rsidRDefault="006F6E88" w:rsidP="004B2134">
      <w:pPr>
        <w:pStyle w:val="BodyText"/>
        <w:spacing w:before="1" w:line="360" w:lineRule="auto"/>
        <w:ind w:left="540"/>
        <w:jc w:val="left"/>
        <w:rPr>
          <w:rFonts w:ascii="Times New Roman" w:hAnsi="Times New Roman" w:cs="Times New Roman"/>
          <w:w w:val="105"/>
          <w:sz w:val="24"/>
        </w:rPr>
      </w:pPr>
    </w:p>
    <w:p w14:paraId="49A640C9" w14:textId="02D67BB8" w:rsidR="006F6E88" w:rsidRDefault="006F6E88" w:rsidP="004B2134">
      <w:pPr>
        <w:pStyle w:val="BodyText"/>
        <w:spacing w:before="1" w:line="360" w:lineRule="auto"/>
        <w:ind w:left="540"/>
        <w:jc w:val="left"/>
        <w:rPr>
          <w:rFonts w:ascii="Times New Roman" w:hAnsi="Times New Roman" w:cs="Times New Roman"/>
          <w:w w:val="105"/>
          <w:sz w:val="24"/>
        </w:rPr>
      </w:pPr>
    </w:p>
    <w:p w14:paraId="22969563" w14:textId="0F0EE650" w:rsidR="001B3ED2" w:rsidRPr="00C241C0" w:rsidRDefault="006F6E88" w:rsidP="004B2134">
      <w:pPr>
        <w:pStyle w:val="BodyText"/>
        <w:spacing w:before="1" w:line="360" w:lineRule="auto"/>
        <w:ind w:left="540"/>
        <w:jc w:val="left"/>
        <w:rPr>
          <w:rFonts w:ascii="Times New Roman" w:hAnsi="Times New Roman" w:cs="Times New Roman"/>
          <w:w w:val="105"/>
          <w:sz w:val="24"/>
        </w:rPr>
      </w:pPr>
      <w:r w:rsidRPr="006F6E88">
        <w:rPr>
          <w:rFonts w:ascii="Times New Roman" w:hAnsi="Times New Roman" w:cs="Times New Roman"/>
          <w:w w:val="105"/>
          <w:sz w:val="24"/>
        </w:rPr>
        <w:t>The Human Oral Microbe Identification Microarray is a DNA microarray technology used to identify oral microbial species. Using PCR, this technique can also be employed for more accurate detection and identification.</w:t>
      </w:r>
      <w:r w:rsidR="00D97D0A">
        <w:rPr>
          <w:rFonts w:ascii="Times New Roman" w:hAnsi="Times New Roman" w:cs="Times New Roman"/>
          <w:noProof/>
          <w:sz w:val="24"/>
        </w:rPr>
        <w:pict w14:anchorId="49AA2485">
          <v:shape id="_x0000_s1088" type="#_x0000_t202" style="position:absolute;left:0;text-align:left;margin-left:147.8pt;margin-top:276.35pt;width:158.35pt;height:20.1pt;z-index:251664896;mso-position-horizontal-relative:text;mso-position-vertical-relative:text">
            <v:textbox>
              <w:txbxContent>
                <w:p w14:paraId="6EE476EF" w14:textId="568AE70D" w:rsidR="003D1333" w:rsidRDefault="003D1333">
                  <w:r>
                    <w:t>FIGURE</w:t>
                  </w:r>
                  <w:r w:rsidR="004B2134">
                    <w:t xml:space="preserve"> 11:</w:t>
                  </w:r>
                  <w:r>
                    <w:t xml:space="preserve"> DNA microarrays </w:t>
                  </w:r>
                </w:p>
              </w:txbxContent>
            </v:textbox>
          </v:shape>
        </w:pict>
      </w:r>
    </w:p>
    <w:p w14:paraId="40F4A42B" w14:textId="44CE5450" w:rsidR="003D1333" w:rsidRDefault="003D1333" w:rsidP="004B2134">
      <w:pPr>
        <w:pStyle w:val="BodyText"/>
        <w:spacing w:before="1" w:line="360" w:lineRule="auto"/>
        <w:ind w:left="0"/>
        <w:jc w:val="left"/>
        <w:rPr>
          <w:rFonts w:ascii="Times New Roman" w:hAnsi="Times New Roman" w:cs="Times New Roman"/>
          <w:w w:val="105"/>
          <w:sz w:val="24"/>
        </w:rPr>
      </w:pPr>
    </w:p>
    <w:p w14:paraId="05E0C202" w14:textId="19D4058E" w:rsidR="001B3ED2" w:rsidRPr="00C241C0" w:rsidRDefault="00F12B67" w:rsidP="004B2134">
      <w:pPr>
        <w:pStyle w:val="BodyText"/>
        <w:spacing w:before="1" w:line="360" w:lineRule="auto"/>
        <w:ind w:left="0"/>
        <w:jc w:val="left"/>
        <w:rPr>
          <w:rFonts w:ascii="Times New Roman" w:hAnsi="Times New Roman" w:cs="Times New Roman"/>
          <w:w w:val="105"/>
          <w:sz w:val="24"/>
        </w:rPr>
      </w:pPr>
      <w:r w:rsidRPr="00C241C0">
        <w:rPr>
          <w:rFonts w:ascii="Times New Roman" w:hAnsi="Times New Roman" w:cs="Times New Roman"/>
          <w:w w:val="105"/>
          <w:sz w:val="24"/>
        </w:rPr>
        <w:t>By using this method, a single hybridization approach can provide results as to the presence and levels of 200 target species/phylotypes at a time (Siqueira &amp; Rocas, 2005; Smoot et al., 2005).</w:t>
      </w:r>
      <w:r w:rsidR="003B181C" w:rsidRPr="00C241C0">
        <w:rPr>
          <w:rFonts w:ascii="Times New Roman" w:hAnsi="Times New Roman" w:cs="Times New Roman"/>
          <w:w w:val="105"/>
          <w:sz w:val="24"/>
        </w:rPr>
        <w:t xml:space="preserve"> </w:t>
      </w:r>
      <w:r w:rsidR="009E35C8" w:rsidRPr="00C241C0">
        <w:rPr>
          <w:rFonts w:ascii="Times New Roman" w:hAnsi="Times New Roman" w:cs="Times New Roman"/>
          <w:w w:val="105"/>
          <w:sz w:val="24"/>
        </w:rPr>
        <w:fldChar w:fldCharType="begin"/>
      </w:r>
      <w:r w:rsidR="00077A26">
        <w:rPr>
          <w:rFonts w:ascii="Times New Roman" w:hAnsi="Times New Roman" w:cs="Times New Roman"/>
          <w:w w:val="105"/>
          <w:sz w:val="24"/>
        </w:rPr>
        <w:instrText xml:space="preserve"> ADDIN ZOTERO_ITEM CSL_CITATION {"citationID":"GD6fodDh","properties":{"formattedCitation":"(2,22)","plainCitation":"(2,22)","noteIndex":0},"citationItems":[{"id":39,"uris":["http://zotero.org/users/local/RZx4qjtE/items/MFETSEXY"],"itemData":{"id":39,"type":"article-journal","abstract":"Endodontic infections have been traditionally studied by culture-dependent methods. However, as with other areas of clinical microbiology, culture-based investigations are plagued by significant problems, including the probable involvement of viable but uncultivable microorganisms with disease causation and inaccurate microbial identification. Innumerous molecular technologies have been used for microbiological diagnosis in clinical microbiology, but only recently some of these techniques have been applied in endodontic microbiology research. This paper intended to review the main molecular methods that have been used or have the potential to be used in the study of endodontic infections. Moreover, advantages and limitations of current molecular techniques when compared to conventional methods for microbial identification are also discussed.","container-title":"Journal of Endodontics","DOI":"10.1097/01.don.0000157989.44949.26","ISSN":"00992399","issue":"6","journalAbbreviation":"Journal of Endodontics","language":"en","page":"411-423","source":"DOI.org (Crossref)","title":"Exploiting Molecular Methods to Explore Endodontic Infections: Part 1—Current Molecular Technologies for Microbiological Diagnosis","title-short":"Exploiting Molecular Methods to Explore Endodontic Infections","volume":"31","author":[{"family":"Siqueirajr","given":"J"},{"family":"Rocas","given":"I"}],"issued":{"date-parts":[["2005",6]]}}},{"id":64,"uris":["http://zotero.org/users/local/RZx4qjtE/items/D5RAWSY3"],"itemData":{"id":64,"type":"article-journal","container-title":"Advances in Dental Research","DOI":"10.1177/154407370501800103","ISSN":"0895-9374, 1544-0737","issue":"1","journalAbbreviation":"Adv Dent Res.","language":"en","page":"6-11","source":"DOI.org (Crossref)","title":"DNA Microarrays as Salivary Diagnostic Tools for Characterizing the Oral Cavity’s Microbial Community","volume":"18","author":[{"family":"Smoot","given":"L.M."},{"family":"Smoot","given":"J.C."},{"family":"Smidt","given":"H."},{"family":"Noble","given":"P.A."},{"family":"Könneke","given":"M."},{"family":"McMurry","given":"Z.A."},{"family":"Stahl","given":"D.A."}],"issued":{"date-parts":[["2005",6]]}}}],"schema":"https://github.com/citation-style-language/schema/raw/master/csl-citation.json"} </w:instrText>
      </w:r>
      <w:r w:rsidR="009E35C8" w:rsidRPr="00C241C0">
        <w:rPr>
          <w:rFonts w:ascii="Times New Roman" w:hAnsi="Times New Roman" w:cs="Times New Roman"/>
          <w:w w:val="105"/>
          <w:sz w:val="24"/>
        </w:rPr>
        <w:fldChar w:fldCharType="separate"/>
      </w:r>
      <w:r w:rsidR="00077A26" w:rsidRPr="00077A26">
        <w:rPr>
          <w:rFonts w:ascii="Times New Roman" w:hAnsi="Times New Roman" w:cs="Times New Roman"/>
          <w:sz w:val="24"/>
        </w:rPr>
        <w:t>(2,22)</w:t>
      </w:r>
      <w:r w:rsidR="009E35C8" w:rsidRPr="00C241C0">
        <w:rPr>
          <w:rFonts w:ascii="Times New Roman" w:hAnsi="Times New Roman" w:cs="Times New Roman"/>
          <w:w w:val="105"/>
          <w:sz w:val="24"/>
        </w:rPr>
        <w:fldChar w:fldCharType="end"/>
      </w:r>
    </w:p>
    <w:p w14:paraId="55971ED4" w14:textId="220789EE" w:rsidR="001F7A91" w:rsidRPr="00C241C0" w:rsidRDefault="001F7A91" w:rsidP="004B2134">
      <w:pPr>
        <w:pStyle w:val="BodyText"/>
        <w:spacing w:before="1" w:line="360" w:lineRule="auto"/>
        <w:ind w:left="540"/>
        <w:jc w:val="left"/>
        <w:rPr>
          <w:rFonts w:ascii="Times New Roman" w:hAnsi="Times New Roman" w:cs="Times New Roman"/>
          <w:w w:val="105"/>
          <w:sz w:val="24"/>
        </w:rPr>
      </w:pPr>
    </w:p>
    <w:p w14:paraId="1A7F8957" w14:textId="7AA9CD14" w:rsidR="001B3ED2" w:rsidRPr="00C241C0" w:rsidRDefault="00B549C1" w:rsidP="004B2134">
      <w:pPr>
        <w:pStyle w:val="Heading1"/>
        <w:numPr>
          <w:ilvl w:val="0"/>
          <w:numId w:val="7"/>
        </w:numPr>
        <w:tabs>
          <w:tab w:val="left" w:pos="464"/>
        </w:tabs>
        <w:spacing w:line="360" w:lineRule="auto"/>
        <w:rPr>
          <w:rFonts w:ascii="Times New Roman" w:hAnsi="Times New Roman" w:cs="Times New Roman"/>
          <w:sz w:val="28"/>
        </w:rPr>
      </w:pPr>
      <w:r w:rsidRPr="00C241C0">
        <w:rPr>
          <w:rFonts w:ascii="Times New Roman" w:hAnsi="Times New Roman" w:cs="Times New Roman"/>
          <w:sz w:val="28"/>
        </w:rPr>
        <w:lastRenderedPageBreak/>
        <w:t>FLUORESCENCE IN SITU HYBRIDIZATION</w:t>
      </w:r>
    </w:p>
    <w:p w14:paraId="74C9A02B" w14:textId="3DBC7CEC" w:rsidR="008357D2" w:rsidRPr="008357D2" w:rsidRDefault="008357D2" w:rsidP="008357D2">
      <w:pPr>
        <w:pStyle w:val="Heading1"/>
        <w:tabs>
          <w:tab w:val="left" w:pos="464"/>
        </w:tabs>
        <w:spacing w:line="360" w:lineRule="auto"/>
        <w:ind w:left="-69" w:firstLine="0"/>
        <w:rPr>
          <w:rFonts w:ascii="Times New Roman" w:eastAsia="Cambria" w:hAnsi="Times New Roman" w:cs="Times New Roman"/>
          <w:b w:val="0"/>
          <w:bCs w:val="0"/>
          <w:w w:val="105"/>
          <w:sz w:val="24"/>
        </w:rPr>
      </w:pPr>
      <w:r w:rsidRPr="008357D2">
        <w:rPr>
          <w:rFonts w:ascii="Times New Roman" w:eastAsia="Cambria" w:hAnsi="Times New Roman" w:cs="Times New Roman"/>
          <w:b w:val="0"/>
          <w:bCs w:val="0"/>
          <w:w w:val="105"/>
          <w:sz w:val="24"/>
        </w:rPr>
        <w:t>Fluorescence in situ hybridization (FISH) is a technique that employs specially designed fluorescent probes directed at ribosomal RNA (rRNA) sequences. It is used in conjunction with fluorescence microscopy to directly identify intact microbial cells in clinical specimens within their natural habitat (30). FISH offers several noteworthy advantages, as it not only enables the identification of microorganisms but also provides valuable information about their morphology, quantity, community structure, and spatial relationships (31). Additionally, the versatility of FISH lies in its ability to use custom-designed oligonucleotide probes, enabling the detection of both cultivable species and previously uncultivated phylotypes (32).</w:t>
      </w:r>
    </w:p>
    <w:p w14:paraId="761299B0" w14:textId="77777777" w:rsidR="008357D2" w:rsidRPr="008357D2" w:rsidRDefault="008357D2" w:rsidP="008357D2">
      <w:pPr>
        <w:pStyle w:val="Heading1"/>
        <w:tabs>
          <w:tab w:val="left" w:pos="464"/>
        </w:tabs>
        <w:spacing w:line="360" w:lineRule="auto"/>
        <w:ind w:left="450"/>
        <w:rPr>
          <w:rFonts w:ascii="Times New Roman" w:eastAsia="Cambria" w:hAnsi="Times New Roman" w:cs="Times New Roman"/>
          <w:b w:val="0"/>
          <w:bCs w:val="0"/>
          <w:w w:val="105"/>
          <w:sz w:val="24"/>
        </w:rPr>
      </w:pPr>
    </w:p>
    <w:p w14:paraId="429EEFBF" w14:textId="77777777" w:rsidR="008357D2" w:rsidRPr="008357D2" w:rsidRDefault="008357D2" w:rsidP="008357D2">
      <w:pPr>
        <w:pStyle w:val="Heading1"/>
        <w:tabs>
          <w:tab w:val="left" w:pos="464"/>
        </w:tabs>
        <w:spacing w:line="360" w:lineRule="auto"/>
        <w:ind w:left="450"/>
        <w:rPr>
          <w:rFonts w:ascii="Times New Roman" w:eastAsia="Cambria" w:hAnsi="Times New Roman" w:cs="Times New Roman"/>
          <w:b w:val="0"/>
          <w:bCs w:val="0"/>
          <w:w w:val="105"/>
          <w:sz w:val="24"/>
        </w:rPr>
      </w:pPr>
      <w:r w:rsidRPr="008357D2">
        <w:rPr>
          <w:rFonts w:ascii="Times New Roman" w:eastAsia="Cambria" w:hAnsi="Times New Roman" w:cs="Times New Roman"/>
          <w:b w:val="0"/>
          <w:bCs w:val="0"/>
          <w:w w:val="105"/>
          <w:sz w:val="24"/>
        </w:rPr>
        <w:t>In the FISH procedure, microbial cells are initially fixed and then subjected to hybridization with the rRNA-directed probes on a glass slide. These probes are relatively short, typically consisting of 15 to 25 base pairs, and they are covalently labeled with a fluorescent dye at one end. Following thorough washing steps to eliminate any unbound probes, the cells are visualized using either a conventional epifluorescence microscope or a confocal laser scanning microscope. Multiple species-specific probes, each labeled with a unique fluorescent tag, can be employed simultaneously to distinguish between different microbial species.</w:t>
      </w:r>
    </w:p>
    <w:p w14:paraId="66604122" w14:textId="77777777" w:rsidR="008357D2" w:rsidRPr="008357D2" w:rsidRDefault="008357D2" w:rsidP="008357D2">
      <w:pPr>
        <w:pStyle w:val="Heading1"/>
        <w:tabs>
          <w:tab w:val="left" w:pos="464"/>
        </w:tabs>
        <w:spacing w:line="360" w:lineRule="auto"/>
        <w:ind w:left="450"/>
        <w:rPr>
          <w:rFonts w:ascii="Times New Roman" w:eastAsia="Cambria" w:hAnsi="Times New Roman" w:cs="Times New Roman"/>
          <w:b w:val="0"/>
          <w:bCs w:val="0"/>
          <w:w w:val="105"/>
          <w:sz w:val="24"/>
        </w:rPr>
      </w:pPr>
    </w:p>
    <w:p w14:paraId="15AFB1E3" w14:textId="77777777" w:rsidR="008357D2" w:rsidRPr="008357D2" w:rsidRDefault="008357D2" w:rsidP="008357D2">
      <w:pPr>
        <w:pStyle w:val="Heading1"/>
        <w:tabs>
          <w:tab w:val="left" w:pos="464"/>
        </w:tabs>
        <w:spacing w:line="360" w:lineRule="auto"/>
        <w:ind w:left="450"/>
        <w:rPr>
          <w:rFonts w:ascii="Times New Roman" w:eastAsia="Cambria" w:hAnsi="Times New Roman" w:cs="Times New Roman"/>
          <w:b w:val="0"/>
          <w:bCs w:val="0"/>
          <w:w w:val="105"/>
          <w:sz w:val="24"/>
        </w:rPr>
      </w:pPr>
    </w:p>
    <w:p w14:paraId="10480099" w14:textId="77777777" w:rsidR="008357D2" w:rsidRPr="008357D2" w:rsidRDefault="008357D2" w:rsidP="008357D2">
      <w:pPr>
        <w:pStyle w:val="Heading1"/>
        <w:tabs>
          <w:tab w:val="left" w:pos="464"/>
        </w:tabs>
        <w:spacing w:line="360" w:lineRule="auto"/>
        <w:ind w:left="450"/>
        <w:rPr>
          <w:rFonts w:ascii="Times New Roman" w:eastAsia="Cambria" w:hAnsi="Times New Roman" w:cs="Times New Roman"/>
          <w:b w:val="0"/>
          <w:bCs w:val="0"/>
          <w:w w:val="105"/>
          <w:sz w:val="24"/>
        </w:rPr>
      </w:pPr>
    </w:p>
    <w:p w14:paraId="354BAAB9" w14:textId="77777777" w:rsidR="008357D2" w:rsidRPr="008357D2" w:rsidRDefault="008357D2" w:rsidP="008357D2">
      <w:pPr>
        <w:pStyle w:val="Heading1"/>
        <w:tabs>
          <w:tab w:val="left" w:pos="464"/>
        </w:tabs>
        <w:spacing w:line="360" w:lineRule="auto"/>
        <w:ind w:left="450"/>
        <w:rPr>
          <w:rFonts w:ascii="Times New Roman" w:eastAsia="Cambria" w:hAnsi="Times New Roman" w:cs="Times New Roman"/>
          <w:b w:val="0"/>
          <w:bCs w:val="0"/>
          <w:w w:val="105"/>
          <w:sz w:val="24"/>
        </w:rPr>
      </w:pPr>
    </w:p>
    <w:p w14:paraId="35368793" w14:textId="21869138" w:rsidR="001B3ED2" w:rsidRPr="00C241C0" w:rsidRDefault="00F12B67" w:rsidP="004B2134">
      <w:pPr>
        <w:pStyle w:val="Heading1"/>
        <w:tabs>
          <w:tab w:val="left" w:pos="464"/>
        </w:tabs>
        <w:spacing w:line="360" w:lineRule="auto"/>
        <w:ind w:left="450" w:firstLine="0"/>
        <w:rPr>
          <w:rFonts w:ascii="Times New Roman" w:hAnsi="Times New Roman" w:cs="Times New Roman"/>
          <w:sz w:val="28"/>
        </w:rPr>
      </w:pPr>
      <w:r w:rsidRPr="00C241C0">
        <w:rPr>
          <w:rFonts w:ascii="Times New Roman" w:hAnsi="Times New Roman" w:cs="Times New Roman"/>
          <w:sz w:val="28"/>
        </w:rPr>
        <w:t>Advantages of Molecular Genetic Methods</w:t>
      </w:r>
    </w:p>
    <w:p w14:paraId="0AE3E58D" w14:textId="77777777" w:rsidR="004B2134" w:rsidRDefault="004B2134" w:rsidP="004B2134">
      <w:pPr>
        <w:pStyle w:val="BodyText"/>
        <w:spacing w:before="1" w:line="360" w:lineRule="auto"/>
        <w:ind w:left="540" w:right="710"/>
        <w:jc w:val="left"/>
        <w:rPr>
          <w:rFonts w:ascii="Times New Roman" w:hAnsi="Times New Roman" w:cs="Times New Roman"/>
          <w:sz w:val="24"/>
          <w:szCs w:val="24"/>
        </w:rPr>
      </w:pPr>
    </w:p>
    <w:p w14:paraId="61F4E5DA" w14:textId="2715D046" w:rsidR="00677C4A" w:rsidRPr="00C241C0" w:rsidRDefault="00677C4A" w:rsidP="004B2134">
      <w:pPr>
        <w:pStyle w:val="BodyText"/>
        <w:spacing w:before="1" w:line="360" w:lineRule="auto"/>
        <w:ind w:left="540" w:right="710"/>
        <w:jc w:val="left"/>
        <w:rPr>
          <w:rFonts w:ascii="Times New Roman" w:hAnsi="Times New Roman" w:cs="Times New Roman"/>
          <w:sz w:val="24"/>
          <w:szCs w:val="24"/>
        </w:rPr>
      </w:pPr>
      <w:r w:rsidRPr="00C241C0">
        <w:rPr>
          <w:rFonts w:ascii="Times New Roman" w:hAnsi="Times New Roman" w:cs="Times New Roman"/>
          <w:sz w:val="24"/>
          <w:szCs w:val="24"/>
        </w:rPr>
        <w:t>Here are some key advantages of using molecular methods for microbial detection and identification, as discussed by Siqueira and Rocas in 2005:</w:t>
      </w:r>
      <w:r w:rsidR="009E35C8" w:rsidRPr="00C241C0">
        <w:rPr>
          <w:rFonts w:ascii="Times New Roman" w:hAnsi="Times New Roman" w:cs="Times New Roman"/>
          <w:sz w:val="24"/>
          <w:szCs w:val="24"/>
        </w:rPr>
        <w:fldChar w:fldCharType="begin"/>
      </w:r>
      <w:r w:rsidR="009E35C8" w:rsidRPr="00C241C0">
        <w:rPr>
          <w:rFonts w:ascii="Times New Roman" w:hAnsi="Times New Roman" w:cs="Times New Roman"/>
          <w:sz w:val="24"/>
          <w:szCs w:val="24"/>
        </w:rPr>
        <w:instrText xml:space="preserve"> ADDIN ZOTERO_ITEM CSL_CITATION {"citationID":"JTRRfr3f","properties":{"formattedCitation":"(2)","plainCitation":"(2)","noteIndex":0},"citationItems":[{"id":39,"uris":["http://zotero.org/users/local/RZx4qjtE/items/MFETSEXY"],"itemData":{"id":39,"type":"article-journal","abstract":"Endodontic infections have been traditionally studied by culture-dependent methods. However, as with other areas of clinical microbiology, culture-based investigations are plagued by significant problems, including the probable involvement of viable but uncultivable microorganisms with disease causation and inaccurate microbial identification. Innumerous molecular technologies have been used for microbiological diagnosis in clinical microbiology, but only recently some of these techniques have been applied in endodontic microbiology research. This paper intended to review the main molecular methods that have been used or have the potential to be used in the study of endodontic infections. Moreover, advantages and limitations of current molecular techniques when compared to conventional methods for microbial identification are also discussed.","container-title":"Journal of Endodontics","DOI":"10.1097/01.don.0000157989.44949.26","ISSN":"00992399","issue":"6","journalAbbreviation":"Journal of Endodontics","language":"en","page":"411-423","source":"DOI.org (Crossref)","title":"Exploiting Molecular Methods to Explore Endodontic Infections: Part 1—Current Molecular Technologies for Microbiological Diagnosis","title-short":"Exploiting Molecular Methods to Explore Endodontic Infections","volume":"31","author":[{"family":"Siqueirajr","given":"J"},{"family":"Rocas","given":"I"}],"issued":{"date-parts":[["2005",6]]}}}],"schema":"https://github.com/citation-style-language/schema/raw/master/csl-citation.json"} </w:instrText>
      </w:r>
      <w:r w:rsidR="009E35C8" w:rsidRPr="00C241C0">
        <w:rPr>
          <w:rFonts w:ascii="Times New Roman" w:hAnsi="Times New Roman" w:cs="Times New Roman"/>
          <w:sz w:val="24"/>
          <w:szCs w:val="24"/>
        </w:rPr>
        <w:fldChar w:fldCharType="separate"/>
      </w:r>
      <w:r w:rsidR="009E35C8" w:rsidRPr="00C241C0">
        <w:rPr>
          <w:rFonts w:ascii="Times New Roman" w:hAnsi="Times New Roman" w:cs="Times New Roman"/>
          <w:sz w:val="24"/>
          <w:szCs w:val="24"/>
        </w:rPr>
        <w:t>(2)</w:t>
      </w:r>
      <w:r w:rsidR="009E35C8" w:rsidRPr="00C241C0">
        <w:rPr>
          <w:rFonts w:ascii="Times New Roman" w:hAnsi="Times New Roman" w:cs="Times New Roman"/>
          <w:sz w:val="24"/>
          <w:szCs w:val="24"/>
        </w:rPr>
        <w:fldChar w:fldCharType="end"/>
      </w:r>
    </w:p>
    <w:p w14:paraId="11300339" w14:textId="77777777" w:rsidR="00DD5461" w:rsidRPr="00C241C0" w:rsidRDefault="00DD5461" w:rsidP="004B2134">
      <w:pPr>
        <w:pStyle w:val="BodyText"/>
        <w:spacing w:before="1" w:line="360" w:lineRule="auto"/>
        <w:ind w:left="0"/>
        <w:jc w:val="left"/>
        <w:rPr>
          <w:rFonts w:ascii="Times New Roman" w:hAnsi="Times New Roman" w:cs="Times New Roman"/>
          <w:sz w:val="24"/>
          <w:szCs w:val="24"/>
        </w:rPr>
      </w:pPr>
    </w:p>
    <w:p w14:paraId="44E0D68E" w14:textId="77777777" w:rsidR="00DD5461" w:rsidRPr="00C241C0" w:rsidRDefault="00DD5461" w:rsidP="004B2134">
      <w:pPr>
        <w:pStyle w:val="BodyText"/>
        <w:spacing w:before="1" w:line="360" w:lineRule="auto"/>
        <w:ind w:left="720" w:right="350"/>
        <w:jc w:val="left"/>
        <w:rPr>
          <w:rFonts w:ascii="Times New Roman" w:hAnsi="Times New Roman" w:cs="Times New Roman"/>
          <w:sz w:val="24"/>
          <w:szCs w:val="24"/>
        </w:rPr>
      </w:pPr>
      <w:r w:rsidRPr="00C241C0">
        <w:rPr>
          <w:rFonts w:ascii="Times New Roman" w:hAnsi="Times New Roman" w:cs="Times New Roman"/>
          <w:sz w:val="24"/>
          <w:szCs w:val="24"/>
        </w:rPr>
        <w:t>• Identification of Culturable and Non-Culturable Species: Molecular techniques have the capability to identify both microorganisms that can be grown in the lab and those that cannot.</w:t>
      </w:r>
    </w:p>
    <w:p w14:paraId="0093F1DD" w14:textId="77777777" w:rsidR="00DD5461" w:rsidRPr="00C241C0" w:rsidRDefault="00DD5461" w:rsidP="004B2134">
      <w:pPr>
        <w:pStyle w:val="BodyText"/>
        <w:spacing w:before="1" w:line="360" w:lineRule="auto"/>
        <w:ind w:left="720"/>
        <w:jc w:val="left"/>
        <w:rPr>
          <w:rFonts w:ascii="Times New Roman" w:hAnsi="Times New Roman" w:cs="Times New Roman"/>
          <w:sz w:val="24"/>
          <w:szCs w:val="24"/>
        </w:rPr>
      </w:pPr>
      <w:r w:rsidRPr="00C241C0">
        <w:rPr>
          <w:rFonts w:ascii="Times New Roman" w:hAnsi="Times New Roman" w:cs="Times New Roman"/>
          <w:sz w:val="24"/>
          <w:szCs w:val="24"/>
        </w:rPr>
        <w:t>• Improved Precision: They provide higher specificity and more accurate identification, especially for microbial strains with unclear phenotypic characteristics.</w:t>
      </w:r>
    </w:p>
    <w:p w14:paraId="46B24A75" w14:textId="77777777" w:rsidR="00DD5461" w:rsidRPr="00C241C0" w:rsidRDefault="00DD5461" w:rsidP="004B2134">
      <w:pPr>
        <w:pStyle w:val="BodyText"/>
        <w:spacing w:before="1" w:line="360" w:lineRule="auto"/>
        <w:ind w:left="720"/>
        <w:jc w:val="left"/>
        <w:rPr>
          <w:rFonts w:ascii="Times New Roman" w:hAnsi="Times New Roman" w:cs="Times New Roman"/>
          <w:sz w:val="24"/>
          <w:szCs w:val="24"/>
        </w:rPr>
      </w:pPr>
      <w:r w:rsidRPr="00C241C0">
        <w:rPr>
          <w:rFonts w:ascii="Times New Roman" w:hAnsi="Times New Roman" w:cs="Times New Roman"/>
          <w:sz w:val="24"/>
          <w:szCs w:val="24"/>
        </w:rPr>
        <w:t xml:space="preserve">• Direct Detection in Clinical Samples: These methods can directly find microbial species in </w:t>
      </w:r>
      <w:r w:rsidRPr="00C241C0">
        <w:rPr>
          <w:rFonts w:ascii="Times New Roman" w:hAnsi="Times New Roman" w:cs="Times New Roman"/>
          <w:sz w:val="24"/>
          <w:szCs w:val="24"/>
        </w:rPr>
        <w:lastRenderedPageBreak/>
        <w:t>clinical samples without the need for cultivation, saving time and delivering swift results.</w:t>
      </w:r>
    </w:p>
    <w:p w14:paraId="40DF338F" w14:textId="77777777" w:rsidR="00DD5461" w:rsidRPr="00C241C0" w:rsidRDefault="00DD5461" w:rsidP="004B2134">
      <w:pPr>
        <w:pStyle w:val="BodyText"/>
        <w:spacing w:before="1" w:line="360" w:lineRule="auto"/>
        <w:ind w:left="720"/>
        <w:jc w:val="left"/>
        <w:rPr>
          <w:rFonts w:ascii="Times New Roman" w:hAnsi="Times New Roman" w:cs="Times New Roman"/>
          <w:sz w:val="24"/>
          <w:szCs w:val="24"/>
        </w:rPr>
      </w:pPr>
      <w:r w:rsidRPr="00C241C0">
        <w:rPr>
          <w:rFonts w:ascii="Times New Roman" w:hAnsi="Times New Roman" w:cs="Times New Roman"/>
          <w:sz w:val="24"/>
          <w:szCs w:val="24"/>
        </w:rPr>
        <w:t>• Enhanced Sensitivity: Molecular methods are extremely sensitive, enabling the detection of even very low concentrations of microorganisms.</w:t>
      </w:r>
    </w:p>
    <w:p w14:paraId="4DC9DE13" w14:textId="77777777" w:rsidR="00DD5461" w:rsidRPr="00C241C0" w:rsidRDefault="00DD5461" w:rsidP="004B2134">
      <w:pPr>
        <w:pStyle w:val="BodyText"/>
        <w:spacing w:before="1" w:line="360" w:lineRule="auto"/>
        <w:ind w:left="720"/>
        <w:jc w:val="left"/>
        <w:rPr>
          <w:rFonts w:ascii="Times New Roman" w:hAnsi="Times New Roman" w:cs="Times New Roman"/>
          <w:sz w:val="24"/>
          <w:szCs w:val="24"/>
        </w:rPr>
      </w:pPr>
      <w:r w:rsidRPr="00C241C0">
        <w:rPr>
          <w:rFonts w:ascii="Times New Roman" w:hAnsi="Times New Roman" w:cs="Times New Roman"/>
          <w:sz w:val="24"/>
          <w:szCs w:val="24"/>
        </w:rPr>
        <w:t>• Time-Efficiency: They are quicker and less time-consuming compared to traditional culture-based methods.</w:t>
      </w:r>
    </w:p>
    <w:p w14:paraId="545952AC" w14:textId="77777777" w:rsidR="00DD5461" w:rsidRPr="00C241C0" w:rsidRDefault="00DD5461" w:rsidP="004B2134">
      <w:pPr>
        <w:pStyle w:val="BodyText"/>
        <w:spacing w:before="1" w:line="360" w:lineRule="auto"/>
        <w:ind w:left="720"/>
        <w:jc w:val="left"/>
        <w:rPr>
          <w:rFonts w:ascii="Times New Roman" w:hAnsi="Times New Roman" w:cs="Times New Roman"/>
          <w:sz w:val="24"/>
          <w:szCs w:val="24"/>
        </w:rPr>
      </w:pPr>
      <w:r w:rsidRPr="00C241C0">
        <w:rPr>
          <w:rFonts w:ascii="Times New Roman" w:hAnsi="Times New Roman" w:cs="Times New Roman"/>
          <w:sz w:val="24"/>
          <w:szCs w:val="24"/>
        </w:rPr>
        <w:t>• Swift Diagnosis: Molecular techniques enable rapid diagnosis, which is especially crucial for life-threatening diseases or those caused by slow-growing microorganisms.</w:t>
      </w:r>
    </w:p>
    <w:p w14:paraId="01C56D2D" w14:textId="77777777" w:rsidR="00DD5461" w:rsidRPr="00C241C0" w:rsidRDefault="00DD5461" w:rsidP="004B2134">
      <w:pPr>
        <w:pStyle w:val="BodyText"/>
        <w:spacing w:before="1" w:line="360" w:lineRule="auto"/>
        <w:ind w:left="720"/>
        <w:jc w:val="left"/>
        <w:rPr>
          <w:rFonts w:ascii="Times New Roman" w:hAnsi="Times New Roman" w:cs="Times New Roman"/>
          <w:sz w:val="24"/>
          <w:szCs w:val="24"/>
        </w:rPr>
      </w:pPr>
      <w:r w:rsidRPr="00C241C0">
        <w:rPr>
          <w:rFonts w:ascii="Times New Roman" w:hAnsi="Times New Roman" w:cs="Times New Roman"/>
          <w:sz w:val="24"/>
          <w:szCs w:val="24"/>
        </w:rPr>
        <w:t>• No Need for Anaerobic Control: Unlike culture-based methods, molecular techniques don't require carefully controlled anaerobic conditions during sampling and transportation, preventing the loss of viability in delicate anaerobic bacteria and other fragile microorganisms.</w:t>
      </w:r>
    </w:p>
    <w:p w14:paraId="0DF9FEEA" w14:textId="77777777" w:rsidR="00DD5461" w:rsidRPr="00C241C0" w:rsidRDefault="00DD5461" w:rsidP="004B2134">
      <w:pPr>
        <w:pStyle w:val="BodyText"/>
        <w:spacing w:before="1" w:line="360" w:lineRule="auto"/>
        <w:ind w:left="720"/>
        <w:jc w:val="left"/>
        <w:rPr>
          <w:rFonts w:ascii="Times New Roman" w:hAnsi="Times New Roman" w:cs="Times New Roman"/>
          <w:sz w:val="24"/>
          <w:szCs w:val="24"/>
        </w:rPr>
      </w:pPr>
      <w:r w:rsidRPr="00C241C0">
        <w:rPr>
          <w:rFonts w:ascii="Times New Roman" w:hAnsi="Times New Roman" w:cs="Times New Roman"/>
          <w:sz w:val="24"/>
          <w:szCs w:val="24"/>
        </w:rPr>
        <w:t>• Applicability During Treatment: They can be utilized during antimicrobial therapy to monitor its effectiveness.</w:t>
      </w:r>
    </w:p>
    <w:p w14:paraId="503D42B9" w14:textId="59358E78" w:rsidR="00DD5461" w:rsidRPr="00C241C0" w:rsidRDefault="00DD5461" w:rsidP="004B2134">
      <w:pPr>
        <w:pStyle w:val="BodyText"/>
        <w:spacing w:before="1" w:line="360" w:lineRule="auto"/>
        <w:ind w:left="720" w:right="350"/>
        <w:jc w:val="left"/>
        <w:rPr>
          <w:rFonts w:ascii="Times New Roman" w:hAnsi="Times New Roman" w:cs="Times New Roman"/>
          <w:sz w:val="24"/>
          <w:szCs w:val="24"/>
        </w:rPr>
      </w:pPr>
      <w:r w:rsidRPr="00C241C0">
        <w:rPr>
          <w:rFonts w:ascii="Times New Roman" w:hAnsi="Times New Roman" w:cs="Times New Roman"/>
          <w:sz w:val="24"/>
          <w:szCs w:val="24"/>
        </w:rPr>
        <w:t>• Suitable for Epidemiological Investigations: In epidemiological studies that involve a large number of samples, molecular methods allow for sample storage and batch analysis.</w:t>
      </w:r>
    </w:p>
    <w:p w14:paraId="64339BBB" w14:textId="77777777" w:rsidR="00CF7FBB" w:rsidRPr="00C241C0" w:rsidRDefault="00CF7FBB" w:rsidP="004B2134">
      <w:pPr>
        <w:pStyle w:val="BodyText"/>
        <w:spacing w:before="1" w:line="360" w:lineRule="auto"/>
        <w:ind w:left="720"/>
        <w:jc w:val="left"/>
        <w:rPr>
          <w:rFonts w:ascii="Times New Roman" w:hAnsi="Times New Roman" w:cs="Times New Roman"/>
          <w:sz w:val="24"/>
          <w:szCs w:val="24"/>
        </w:rPr>
      </w:pPr>
    </w:p>
    <w:p w14:paraId="5FFEEE2B" w14:textId="3B9E5C44" w:rsidR="001D7DF8" w:rsidRPr="00C241C0" w:rsidRDefault="00677C4A" w:rsidP="004B2134">
      <w:pPr>
        <w:pStyle w:val="BodyText"/>
        <w:spacing w:before="1" w:line="360" w:lineRule="auto"/>
        <w:ind w:left="540" w:right="350"/>
        <w:jc w:val="left"/>
        <w:rPr>
          <w:rFonts w:ascii="Times New Roman" w:hAnsi="Times New Roman" w:cs="Times New Roman"/>
          <w:sz w:val="24"/>
          <w:szCs w:val="24"/>
        </w:rPr>
      </w:pPr>
      <w:r w:rsidRPr="00C241C0">
        <w:rPr>
          <w:rFonts w:ascii="Times New Roman" w:hAnsi="Times New Roman" w:cs="Times New Roman"/>
          <w:sz w:val="24"/>
          <w:szCs w:val="24"/>
        </w:rPr>
        <w:t>These advantages collectively make molecular methods a valuable tool in microbiological research and clinical diagnostics.</w:t>
      </w:r>
    </w:p>
    <w:p w14:paraId="2D4ADBDD" w14:textId="77777777" w:rsidR="00CF7FBB" w:rsidRPr="00C241C0" w:rsidRDefault="00CF7FBB" w:rsidP="004B2134">
      <w:pPr>
        <w:pStyle w:val="BodyText"/>
        <w:spacing w:before="1" w:line="360" w:lineRule="auto"/>
        <w:ind w:left="0"/>
        <w:jc w:val="left"/>
        <w:rPr>
          <w:rFonts w:ascii="Times New Roman" w:hAnsi="Times New Roman" w:cs="Times New Roman"/>
          <w:sz w:val="24"/>
          <w:szCs w:val="24"/>
        </w:rPr>
      </w:pPr>
    </w:p>
    <w:p w14:paraId="01BCB9D5" w14:textId="77777777" w:rsidR="00CF7FBB" w:rsidRPr="00C241C0" w:rsidRDefault="00CF7FBB" w:rsidP="004B2134">
      <w:pPr>
        <w:pStyle w:val="BodyText"/>
        <w:spacing w:before="1" w:line="360" w:lineRule="auto"/>
        <w:ind w:left="0"/>
        <w:jc w:val="left"/>
        <w:rPr>
          <w:rFonts w:ascii="Times New Roman" w:hAnsi="Times New Roman" w:cs="Times New Roman"/>
          <w:sz w:val="24"/>
          <w:szCs w:val="24"/>
        </w:rPr>
      </w:pPr>
    </w:p>
    <w:p w14:paraId="5359E191" w14:textId="77777777" w:rsidR="00CF7FBB" w:rsidRPr="00C241C0" w:rsidRDefault="00CF7FBB" w:rsidP="004B2134">
      <w:pPr>
        <w:pStyle w:val="BodyText"/>
        <w:spacing w:before="1" w:line="360" w:lineRule="auto"/>
        <w:ind w:left="0"/>
        <w:jc w:val="left"/>
        <w:rPr>
          <w:rFonts w:ascii="Times New Roman" w:hAnsi="Times New Roman" w:cs="Times New Roman"/>
          <w:sz w:val="24"/>
          <w:szCs w:val="24"/>
        </w:rPr>
      </w:pPr>
    </w:p>
    <w:p w14:paraId="4695ECC2" w14:textId="77777777" w:rsidR="00CF7FBB" w:rsidRPr="00C241C0" w:rsidRDefault="00CF7FBB" w:rsidP="004B2134">
      <w:pPr>
        <w:pStyle w:val="BodyText"/>
        <w:spacing w:before="1" w:line="360" w:lineRule="auto"/>
        <w:ind w:left="0"/>
        <w:jc w:val="left"/>
        <w:rPr>
          <w:rFonts w:ascii="Times New Roman" w:hAnsi="Times New Roman" w:cs="Times New Roman"/>
          <w:w w:val="105"/>
          <w:sz w:val="24"/>
          <w:szCs w:val="24"/>
        </w:rPr>
      </w:pPr>
    </w:p>
    <w:p w14:paraId="0911DF9E" w14:textId="77777777" w:rsidR="003D1333" w:rsidRDefault="003D1333" w:rsidP="004B2134">
      <w:pPr>
        <w:pStyle w:val="BodyText"/>
        <w:spacing w:before="1" w:line="360" w:lineRule="auto"/>
        <w:ind w:left="0"/>
        <w:jc w:val="left"/>
        <w:rPr>
          <w:rFonts w:ascii="Times New Roman" w:hAnsi="Times New Roman" w:cs="Times New Roman"/>
          <w:b/>
          <w:bCs/>
          <w:w w:val="105"/>
          <w:sz w:val="28"/>
          <w:szCs w:val="28"/>
        </w:rPr>
      </w:pPr>
    </w:p>
    <w:p w14:paraId="3522E4AB" w14:textId="77777777" w:rsidR="003D1333" w:rsidRDefault="003D1333" w:rsidP="004B2134">
      <w:pPr>
        <w:pStyle w:val="BodyText"/>
        <w:spacing w:before="1" w:line="360" w:lineRule="auto"/>
        <w:ind w:left="0"/>
        <w:jc w:val="left"/>
        <w:rPr>
          <w:rFonts w:ascii="Times New Roman" w:hAnsi="Times New Roman" w:cs="Times New Roman"/>
          <w:b/>
          <w:bCs/>
          <w:w w:val="105"/>
          <w:sz w:val="28"/>
          <w:szCs w:val="28"/>
        </w:rPr>
      </w:pPr>
    </w:p>
    <w:p w14:paraId="1965E52C" w14:textId="0958F7B1" w:rsidR="00237C5C" w:rsidRPr="00C241C0" w:rsidRDefault="00F12B67" w:rsidP="004B2134">
      <w:pPr>
        <w:pStyle w:val="BodyText"/>
        <w:spacing w:before="1" w:line="360" w:lineRule="auto"/>
        <w:ind w:left="0"/>
        <w:jc w:val="left"/>
        <w:rPr>
          <w:rFonts w:ascii="Times New Roman" w:hAnsi="Times New Roman" w:cs="Times New Roman"/>
          <w:b/>
          <w:bCs/>
          <w:w w:val="105"/>
          <w:sz w:val="28"/>
          <w:szCs w:val="28"/>
        </w:rPr>
      </w:pPr>
      <w:r w:rsidRPr="00C241C0">
        <w:rPr>
          <w:rFonts w:ascii="Times New Roman" w:hAnsi="Times New Roman" w:cs="Times New Roman"/>
          <w:b/>
          <w:bCs/>
          <w:w w:val="105"/>
          <w:sz w:val="28"/>
          <w:szCs w:val="28"/>
        </w:rPr>
        <w:t>Limitations of PCR-derived technologies</w:t>
      </w:r>
    </w:p>
    <w:p w14:paraId="2090DC5D" w14:textId="77777777" w:rsidR="00DD5461" w:rsidRPr="00C241C0" w:rsidRDefault="00DD5461" w:rsidP="004B2134">
      <w:pPr>
        <w:pStyle w:val="BodyText"/>
        <w:spacing w:before="1" w:line="360" w:lineRule="auto"/>
        <w:ind w:left="0"/>
        <w:jc w:val="left"/>
        <w:rPr>
          <w:rFonts w:ascii="Times New Roman" w:hAnsi="Times New Roman" w:cs="Times New Roman"/>
          <w:b/>
          <w:bCs/>
          <w:w w:val="105"/>
          <w:sz w:val="28"/>
          <w:szCs w:val="28"/>
        </w:rPr>
      </w:pPr>
    </w:p>
    <w:p w14:paraId="24B9E6AA" w14:textId="66154F2C" w:rsidR="00C06938" w:rsidRPr="00C241C0" w:rsidRDefault="00C06938" w:rsidP="004B2134">
      <w:pPr>
        <w:pStyle w:val="BodyText"/>
        <w:numPr>
          <w:ilvl w:val="0"/>
          <w:numId w:val="24"/>
        </w:numPr>
        <w:spacing w:before="1" w:line="360" w:lineRule="auto"/>
        <w:ind w:right="530"/>
        <w:jc w:val="left"/>
        <w:rPr>
          <w:rFonts w:ascii="Times New Roman" w:hAnsi="Times New Roman" w:cs="Times New Roman"/>
          <w:w w:val="105"/>
          <w:sz w:val="24"/>
        </w:rPr>
      </w:pPr>
      <w:r w:rsidRPr="00C241C0">
        <w:rPr>
          <w:rFonts w:ascii="Times New Roman" w:hAnsi="Times New Roman" w:cs="Times New Roman"/>
          <w:w w:val="105"/>
          <w:sz w:val="24"/>
        </w:rPr>
        <w:t>Here are some key considerations and challenges associated with PCR assays for microbial identification, as outlined by Siqueira and Rocas in 2005</w:t>
      </w:r>
      <w:r w:rsidR="009E35C8" w:rsidRPr="00C241C0">
        <w:rPr>
          <w:rFonts w:ascii="Times New Roman" w:hAnsi="Times New Roman" w:cs="Times New Roman"/>
          <w:w w:val="105"/>
          <w:sz w:val="24"/>
        </w:rPr>
        <w:fldChar w:fldCharType="begin"/>
      </w:r>
      <w:r w:rsidR="009E35C8" w:rsidRPr="00C241C0">
        <w:rPr>
          <w:rFonts w:ascii="Times New Roman" w:hAnsi="Times New Roman" w:cs="Times New Roman"/>
          <w:w w:val="105"/>
          <w:sz w:val="24"/>
        </w:rPr>
        <w:instrText xml:space="preserve"> ADDIN ZOTERO_ITEM CSL_CITATION {"citationID":"fU1FLOgI","properties":{"formattedCitation":"(2)","plainCitation":"(2)","noteIndex":0},"citationItems":[{"id":39,"uris":["http://zotero.org/users/local/RZx4qjtE/items/MFETSEXY"],"itemData":{"id":39,"type":"article-journal","abstract":"Endodontic infections have been traditionally studied by culture-dependent methods. However, as with other areas of clinical microbiology, culture-based investigations are plagued by significant problems, including the probable involvement of viable but uncultivable microorganisms with disease causation and inaccurate microbial identification. Innumerous molecular technologies have been used for microbiological diagnosis in clinical microbiology, but only recently some of these techniques have been applied in endodontic microbiology research. This paper intended to review the main molecular methods that have been used or have the potential to be used in the study of endodontic infections. Moreover, advantages and limitations of current molecular techniques when compared to conventional methods for microbial identification are also discussed.","container-title":"Journal of Endodontics","DOI":"10.1097/01.don.0000157989.44949.26","ISSN":"00992399","issue":"6","journalAbbreviation":"Journal of Endodontics","language":"en","page":"411-423","source":"DOI.org (Crossref)","title":"Exploiting Molecular Methods to Explore Endodontic Infections: Part 1—Current Molecular Technologies for Microbiological Diagnosis","title-short":"Exploiting Molecular Methods to Explore Endodontic Infections","volume":"31","author":[{"family":"Siqueirajr","given":"J"},{"family":"Rocas","given":"I"}],"issued":{"date-parts":[["2005",6]]}}}],"schema":"https://github.com/citation-style-language/schema/raw/master/csl-citation.json"} </w:instrText>
      </w:r>
      <w:r w:rsidR="009E35C8" w:rsidRPr="00C241C0">
        <w:rPr>
          <w:rFonts w:ascii="Times New Roman" w:hAnsi="Times New Roman" w:cs="Times New Roman"/>
          <w:w w:val="105"/>
          <w:sz w:val="24"/>
        </w:rPr>
        <w:fldChar w:fldCharType="separate"/>
      </w:r>
      <w:r w:rsidR="009E35C8" w:rsidRPr="00C241C0">
        <w:rPr>
          <w:rFonts w:ascii="Times New Roman" w:hAnsi="Times New Roman" w:cs="Times New Roman"/>
          <w:sz w:val="24"/>
        </w:rPr>
        <w:t>(2)</w:t>
      </w:r>
      <w:r w:rsidR="009E35C8" w:rsidRPr="00C241C0">
        <w:rPr>
          <w:rFonts w:ascii="Times New Roman" w:hAnsi="Times New Roman" w:cs="Times New Roman"/>
          <w:w w:val="105"/>
          <w:sz w:val="24"/>
        </w:rPr>
        <w:fldChar w:fldCharType="end"/>
      </w:r>
    </w:p>
    <w:p w14:paraId="5A31BE5E" w14:textId="77777777" w:rsidR="00DD5461" w:rsidRPr="00C241C0" w:rsidRDefault="00DD5461" w:rsidP="004B2134">
      <w:pPr>
        <w:pStyle w:val="BodyText"/>
        <w:spacing w:before="1" w:line="360" w:lineRule="auto"/>
        <w:ind w:left="360" w:right="350"/>
        <w:jc w:val="left"/>
        <w:rPr>
          <w:rFonts w:ascii="Times New Roman" w:hAnsi="Times New Roman" w:cs="Times New Roman"/>
          <w:w w:val="105"/>
          <w:sz w:val="24"/>
        </w:rPr>
      </w:pPr>
      <w:r w:rsidRPr="00C241C0">
        <w:rPr>
          <w:rFonts w:ascii="Times New Roman" w:hAnsi="Times New Roman" w:cs="Times New Roman"/>
          <w:w w:val="105"/>
          <w:sz w:val="24"/>
        </w:rPr>
        <w:t>Quantitative Limitations: Many PCR assays used for identification provide qualitative outcomes, indicating whether the target microorganism is present or absent in the sample, without quantifying its abundance. Quantitative results can be obtained using real-time PCR assays.</w:t>
      </w:r>
    </w:p>
    <w:p w14:paraId="4161135C" w14:textId="77777777" w:rsidR="00DD5461" w:rsidRPr="00C241C0" w:rsidRDefault="00DD5461" w:rsidP="004B2134">
      <w:pPr>
        <w:pStyle w:val="BodyText"/>
        <w:spacing w:before="1" w:line="360" w:lineRule="auto"/>
        <w:ind w:left="360"/>
        <w:jc w:val="left"/>
        <w:rPr>
          <w:rFonts w:ascii="Times New Roman" w:hAnsi="Times New Roman" w:cs="Times New Roman"/>
          <w:w w:val="105"/>
          <w:sz w:val="24"/>
        </w:rPr>
      </w:pPr>
      <w:r w:rsidRPr="00C241C0">
        <w:rPr>
          <w:rFonts w:ascii="Times New Roman" w:hAnsi="Times New Roman" w:cs="Times New Roman"/>
          <w:w w:val="105"/>
          <w:sz w:val="24"/>
        </w:rPr>
        <w:t xml:space="preserve">• Limited Target Detection: PCR assays typically focus on detecting one or a few specific </w:t>
      </w:r>
      <w:r w:rsidRPr="00C241C0">
        <w:rPr>
          <w:rFonts w:ascii="Times New Roman" w:hAnsi="Times New Roman" w:cs="Times New Roman"/>
          <w:w w:val="105"/>
          <w:sz w:val="24"/>
        </w:rPr>
        <w:lastRenderedPageBreak/>
        <w:t>species (or a limited set) at a time. In contrast, broad-range PCR analysis can provide information about the identity of nearly all species within a microbial community.</w:t>
      </w:r>
    </w:p>
    <w:p w14:paraId="443089E3" w14:textId="77777777" w:rsidR="00DD5461" w:rsidRPr="00C241C0" w:rsidRDefault="00DD5461" w:rsidP="004B2134">
      <w:pPr>
        <w:pStyle w:val="BodyText"/>
        <w:spacing w:before="1" w:line="360" w:lineRule="auto"/>
        <w:ind w:left="360"/>
        <w:jc w:val="left"/>
        <w:rPr>
          <w:rFonts w:ascii="Times New Roman" w:hAnsi="Times New Roman" w:cs="Times New Roman"/>
          <w:w w:val="105"/>
          <w:sz w:val="24"/>
        </w:rPr>
      </w:pPr>
      <w:r w:rsidRPr="00C241C0">
        <w:rPr>
          <w:rFonts w:ascii="Times New Roman" w:hAnsi="Times New Roman" w:cs="Times New Roman"/>
          <w:w w:val="105"/>
          <w:sz w:val="24"/>
        </w:rPr>
        <w:t>• Challenges in Detecting Unexpected Species: PCR assays are often designed to detect predetermined target species and may not recognize unexpected or unanticipated species. Broad-range PCR assays can help overcome this limitation by offering a more comprehensive view.</w:t>
      </w:r>
    </w:p>
    <w:p w14:paraId="15269EA9" w14:textId="77777777" w:rsidR="00DD5461" w:rsidRPr="00C241C0" w:rsidRDefault="00DD5461" w:rsidP="004B2134">
      <w:pPr>
        <w:pStyle w:val="BodyText"/>
        <w:spacing w:before="1" w:line="360" w:lineRule="auto"/>
        <w:ind w:left="360"/>
        <w:jc w:val="left"/>
        <w:rPr>
          <w:rFonts w:ascii="Times New Roman" w:hAnsi="Times New Roman" w:cs="Times New Roman"/>
          <w:w w:val="105"/>
          <w:sz w:val="24"/>
        </w:rPr>
      </w:pPr>
      <w:r w:rsidRPr="00C241C0">
        <w:rPr>
          <w:rFonts w:ascii="Times New Roman" w:hAnsi="Times New Roman" w:cs="Times New Roman"/>
          <w:w w:val="105"/>
          <w:sz w:val="24"/>
        </w:rPr>
        <w:t>• Potential Biases and Challenges: Broad-range PCR analyses can be influenced by various factors, including biases in sample homogenization, preferential DNA amplification, and differences in DNA extraction methods, which can introduce variability in results.</w:t>
      </w:r>
    </w:p>
    <w:p w14:paraId="05A18108" w14:textId="77777777" w:rsidR="00DD5461" w:rsidRPr="00C241C0" w:rsidRDefault="00DD5461" w:rsidP="004B2134">
      <w:pPr>
        <w:pStyle w:val="BodyText"/>
        <w:spacing w:before="1" w:line="360" w:lineRule="auto"/>
        <w:ind w:left="360" w:right="260"/>
        <w:jc w:val="left"/>
        <w:rPr>
          <w:rFonts w:ascii="Times New Roman" w:hAnsi="Times New Roman" w:cs="Times New Roman"/>
          <w:w w:val="105"/>
          <w:sz w:val="24"/>
        </w:rPr>
      </w:pPr>
      <w:r w:rsidRPr="00C241C0">
        <w:rPr>
          <w:rFonts w:ascii="Times New Roman" w:hAnsi="Times New Roman" w:cs="Times New Roman"/>
          <w:w w:val="105"/>
          <w:sz w:val="24"/>
        </w:rPr>
        <w:t>• Issues with Certain Microorganism Types: Microorganisms with robust cell walls, such as fungi, can be difficult to lyse, requiring additional steps to effectively release DNA.</w:t>
      </w:r>
    </w:p>
    <w:p w14:paraId="1FDFB5E6" w14:textId="77777777" w:rsidR="00DD5461" w:rsidRPr="00C241C0" w:rsidRDefault="00DD5461" w:rsidP="004B2134">
      <w:pPr>
        <w:pStyle w:val="BodyText"/>
        <w:spacing w:before="1" w:line="360" w:lineRule="auto"/>
        <w:ind w:left="360"/>
        <w:jc w:val="left"/>
        <w:rPr>
          <w:rFonts w:ascii="Times New Roman" w:hAnsi="Times New Roman" w:cs="Times New Roman"/>
          <w:w w:val="105"/>
          <w:sz w:val="24"/>
        </w:rPr>
      </w:pPr>
      <w:r w:rsidRPr="00C241C0">
        <w:rPr>
          <w:rFonts w:ascii="Times New Roman" w:hAnsi="Times New Roman" w:cs="Times New Roman"/>
          <w:w w:val="105"/>
          <w:sz w:val="24"/>
        </w:rPr>
        <w:t>• Risk of False Positives: False-positive results can occur due to the unintended amplification of contaminant DNA. It is crucial to take rigorous precautions to prevent contamination, including measures to avoid the carryover of amplification products.</w:t>
      </w:r>
    </w:p>
    <w:p w14:paraId="6451EF8D" w14:textId="77777777" w:rsidR="00DD5461" w:rsidRPr="00C241C0" w:rsidRDefault="00DD5461" w:rsidP="004B2134">
      <w:pPr>
        <w:pStyle w:val="BodyText"/>
        <w:spacing w:before="1" w:line="360" w:lineRule="auto"/>
        <w:ind w:left="360"/>
        <w:jc w:val="left"/>
        <w:rPr>
          <w:rFonts w:ascii="Times New Roman" w:hAnsi="Times New Roman" w:cs="Times New Roman"/>
          <w:w w:val="105"/>
          <w:sz w:val="24"/>
        </w:rPr>
      </w:pPr>
      <w:r w:rsidRPr="00C241C0">
        <w:rPr>
          <w:rFonts w:ascii="Times New Roman" w:hAnsi="Times New Roman" w:cs="Times New Roman"/>
          <w:w w:val="105"/>
          <w:sz w:val="24"/>
        </w:rPr>
        <w:t>• Potential for False Negatives: False negatives may arise due to the presence of enzyme inhibitors or nucleases in clinical samples, which can disrupt the amplification process and degrade DNA templates. Additionally, analyzing small sample volumes can increase the likelihood of false negatives, especially when the target species is present in low quantities.</w:t>
      </w:r>
    </w:p>
    <w:p w14:paraId="47CB0344" w14:textId="77777777" w:rsidR="00CF7FBB" w:rsidRPr="00C241C0" w:rsidRDefault="00CF7FBB" w:rsidP="004B2134">
      <w:pPr>
        <w:pStyle w:val="BodyText"/>
        <w:spacing w:before="1" w:line="360" w:lineRule="auto"/>
        <w:ind w:left="0"/>
        <w:jc w:val="left"/>
        <w:rPr>
          <w:rFonts w:ascii="Times New Roman" w:hAnsi="Times New Roman" w:cs="Times New Roman"/>
          <w:w w:val="105"/>
          <w:sz w:val="24"/>
        </w:rPr>
      </w:pPr>
    </w:p>
    <w:p w14:paraId="4F5BF203" w14:textId="204D9ED1" w:rsidR="00560A26" w:rsidRPr="00C241C0" w:rsidRDefault="00C06938" w:rsidP="004B2134">
      <w:pPr>
        <w:pStyle w:val="BodyText"/>
        <w:spacing w:before="1" w:line="360" w:lineRule="auto"/>
        <w:ind w:left="270"/>
        <w:jc w:val="left"/>
        <w:rPr>
          <w:rFonts w:ascii="Times New Roman" w:hAnsi="Times New Roman" w:cs="Times New Roman"/>
          <w:w w:val="105"/>
          <w:sz w:val="24"/>
        </w:rPr>
      </w:pPr>
      <w:r w:rsidRPr="00C241C0">
        <w:rPr>
          <w:rFonts w:ascii="Times New Roman" w:hAnsi="Times New Roman" w:cs="Times New Roman"/>
          <w:w w:val="105"/>
          <w:sz w:val="24"/>
        </w:rPr>
        <w:t>These considerations underscore the importance of careful experimental design, rigorous quality control measures, and an understanding of the limitations and challenges associated with PCR-based microbial identification</w:t>
      </w:r>
      <w:r w:rsidR="00EE545C" w:rsidRPr="00C241C0">
        <w:rPr>
          <w:rFonts w:ascii="Times New Roman" w:hAnsi="Times New Roman" w:cs="Times New Roman"/>
          <w:w w:val="105"/>
          <w:sz w:val="24"/>
        </w:rPr>
        <w:t>.</w:t>
      </w:r>
    </w:p>
    <w:p w14:paraId="76CEC64C" w14:textId="77777777" w:rsidR="001B3ED2" w:rsidRPr="00C241C0" w:rsidRDefault="001B3ED2" w:rsidP="004B2134">
      <w:pPr>
        <w:pStyle w:val="BodyText"/>
        <w:spacing w:before="1" w:line="360" w:lineRule="auto"/>
        <w:ind w:left="540"/>
        <w:jc w:val="left"/>
        <w:rPr>
          <w:rFonts w:ascii="Times New Roman" w:hAnsi="Times New Roman" w:cs="Times New Roman"/>
          <w:w w:val="105"/>
          <w:sz w:val="24"/>
        </w:rPr>
      </w:pPr>
    </w:p>
    <w:p w14:paraId="5A25A857" w14:textId="77777777" w:rsidR="00CF7FBB" w:rsidRPr="00C241C0" w:rsidRDefault="00CF7FBB" w:rsidP="004B2134">
      <w:pPr>
        <w:pStyle w:val="BodyText"/>
        <w:spacing w:before="1" w:line="360" w:lineRule="auto"/>
        <w:ind w:left="540"/>
        <w:jc w:val="left"/>
        <w:rPr>
          <w:rFonts w:ascii="Times New Roman" w:hAnsi="Times New Roman" w:cs="Times New Roman"/>
          <w:b/>
          <w:bCs/>
          <w:w w:val="105"/>
          <w:sz w:val="28"/>
          <w:szCs w:val="28"/>
        </w:rPr>
      </w:pPr>
    </w:p>
    <w:p w14:paraId="3973F334" w14:textId="77777777" w:rsidR="00CF7FBB" w:rsidRPr="00C241C0" w:rsidRDefault="00CF7FBB" w:rsidP="004B2134">
      <w:pPr>
        <w:pStyle w:val="BodyText"/>
        <w:spacing w:before="1" w:line="360" w:lineRule="auto"/>
        <w:ind w:left="540"/>
        <w:jc w:val="left"/>
        <w:rPr>
          <w:rFonts w:ascii="Times New Roman" w:hAnsi="Times New Roman" w:cs="Times New Roman"/>
          <w:b/>
          <w:bCs/>
          <w:w w:val="105"/>
          <w:sz w:val="28"/>
          <w:szCs w:val="28"/>
        </w:rPr>
      </w:pPr>
    </w:p>
    <w:p w14:paraId="61119720" w14:textId="7ADF7EAA" w:rsidR="001A2C1C" w:rsidRPr="00C241C0" w:rsidRDefault="008E371E" w:rsidP="004B2134">
      <w:pPr>
        <w:pStyle w:val="BodyText"/>
        <w:spacing w:before="1" w:line="360" w:lineRule="auto"/>
        <w:ind w:left="0"/>
        <w:jc w:val="left"/>
        <w:rPr>
          <w:rFonts w:ascii="Times New Roman" w:hAnsi="Times New Roman" w:cs="Times New Roman"/>
          <w:b/>
          <w:bCs/>
          <w:w w:val="105"/>
          <w:sz w:val="28"/>
          <w:szCs w:val="28"/>
        </w:rPr>
      </w:pPr>
      <w:r w:rsidRPr="00C241C0">
        <w:rPr>
          <w:rFonts w:ascii="Times New Roman" w:hAnsi="Times New Roman" w:cs="Times New Roman"/>
          <w:b/>
          <w:bCs/>
          <w:w w:val="105"/>
          <w:sz w:val="28"/>
          <w:szCs w:val="28"/>
        </w:rPr>
        <w:t xml:space="preserve">CONCLUSION  </w:t>
      </w:r>
    </w:p>
    <w:p w14:paraId="7F132431" w14:textId="77777777" w:rsidR="001A2C1C" w:rsidRPr="00C241C0" w:rsidRDefault="001A2C1C" w:rsidP="004B2134">
      <w:pPr>
        <w:pStyle w:val="BodyText"/>
        <w:spacing w:before="1" w:line="360" w:lineRule="auto"/>
        <w:jc w:val="left"/>
        <w:rPr>
          <w:rFonts w:ascii="Times New Roman" w:hAnsi="Times New Roman" w:cs="Times New Roman"/>
          <w:w w:val="105"/>
          <w:sz w:val="24"/>
        </w:rPr>
      </w:pPr>
      <w:r w:rsidRPr="00C241C0">
        <w:rPr>
          <w:rFonts w:ascii="Times New Roman" w:hAnsi="Times New Roman" w:cs="Times New Roman"/>
          <w:w w:val="105"/>
          <w:sz w:val="24"/>
        </w:rPr>
        <w:t xml:space="preserve">The critical role of bacteria in the development of pulpal and peri-radicular diseases is widely acknowledged. Their presence within the root canal system or periapical tissues can substantially impact the success of endodontic treatments. In cases of primary endodontic issues, the root canal environment provides a rich source of peptides and amino acids, nourishing the bacterial population inside the root canal system. However, when root canals are well-filled, most, if not all, of the necrotic pulp tissue remnants are removed. Therefore, clinicians must have a comprehensive understanding of the intricate nature of polymicrobial endodontic infections and recognize the importance of eliminating the source of infection </w:t>
      </w:r>
      <w:r w:rsidRPr="00C241C0">
        <w:rPr>
          <w:rFonts w:ascii="Times New Roman" w:hAnsi="Times New Roman" w:cs="Times New Roman"/>
          <w:w w:val="105"/>
          <w:sz w:val="24"/>
        </w:rPr>
        <w:lastRenderedPageBreak/>
        <w:t>through endodontic treatment or tooth extraction.</w:t>
      </w:r>
    </w:p>
    <w:p w14:paraId="1C6069C2" w14:textId="77777777" w:rsidR="001A2C1C" w:rsidRPr="00C241C0" w:rsidRDefault="001A2C1C" w:rsidP="004B2134">
      <w:pPr>
        <w:pStyle w:val="BodyText"/>
        <w:spacing w:before="1" w:line="360" w:lineRule="auto"/>
        <w:jc w:val="left"/>
        <w:rPr>
          <w:rFonts w:ascii="Times New Roman" w:hAnsi="Times New Roman" w:cs="Times New Roman"/>
          <w:w w:val="105"/>
          <w:sz w:val="24"/>
        </w:rPr>
      </w:pPr>
    </w:p>
    <w:p w14:paraId="39C5F7FE" w14:textId="77777777" w:rsidR="001A2C1C" w:rsidRPr="00C241C0" w:rsidRDefault="001A2C1C" w:rsidP="004B2134">
      <w:pPr>
        <w:pStyle w:val="BodyText"/>
        <w:spacing w:before="1" w:line="360" w:lineRule="auto"/>
        <w:jc w:val="left"/>
        <w:rPr>
          <w:rFonts w:ascii="Times New Roman" w:hAnsi="Times New Roman" w:cs="Times New Roman"/>
          <w:w w:val="105"/>
          <w:sz w:val="24"/>
        </w:rPr>
      </w:pPr>
      <w:r w:rsidRPr="00C241C0">
        <w:rPr>
          <w:rFonts w:ascii="Times New Roman" w:hAnsi="Times New Roman" w:cs="Times New Roman"/>
          <w:w w:val="105"/>
          <w:sz w:val="24"/>
        </w:rPr>
        <w:t>Endodontic biofilms, which are communities of microorganisms, are well-protected within the root canals of teeth and present challenges in terms of access and elimination. A practical approach for real-time detection and analysis of these biofilms involves making use of the inherent fluorescence of porphyrins and other bacterial metabolites. Utilizing visible red light as the excitation source is preferred for this purpose.</w:t>
      </w:r>
    </w:p>
    <w:p w14:paraId="7AC78DCE" w14:textId="77777777" w:rsidR="001A2C1C" w:rsidRPr="00C241C0" w:rsidRDefault="001A2C1C" w:rsidP="004B2134">
      <w:pPr>
        <w:pStyle w:val="BodyText"/>
        <w:spacing w:before="1" w:line="360" w:lineRule="auto"/>
        <w:jc w:val="left"/>
        <w:rPr>
          <w:rFonts w:ascii="Times New Roman" w:hAnsi="Times New Roman" w:cs="Times New Roman"/>
          <w:w w:val="105"/>
          <w:sz w:val="24"/>
        </w:rPr>
      </w:pPr>
    </w:p>
    <w:p w14:paraId="5498236D" w14:textId="77777777" w:rsidR="001A2C1C" w:rsidRPr="00C241C0" w:rsidRDefault="001A2C1C" w:rsidP="004B2134">
      <w:pPr>
        <w:pStyle w:val="BodyText"/>
        <w:spacing w:before="1" w:line="360" w:lineRule="auto"/>
        <w:jc w:val="left"/>
        <w:rPr>
          <w:rFonts w:ascii="Times New Roman" w:hAnsi="Times New Roman" w:cs="Times New Roman"/>
          <w:w w:val="105"/>
          <w:sz w:val="24"/>
        </w:rPr>
      </w:pPr>
      <w:r w:rsidRPr="00C241C0">
        <w:rPr>
          <w:rFonts w:ascii="Times New Roman" w:hAnsi="Times New Roman" w:cs="Times New Roman"/>
          <w:w w:val="105"/>
          <w:sz w:val="24"/>
        </w:rPr>
        <w:t>An effective strategy for removing biofilms likely involves a combination of various technologies discussed in this review. This may encompass improved methods for mechanically eradicating biofilms through instrumentation and irrigation fluids, as well as enhanced chemical treatments and more efficient biocides capable of deactivating microorganisms. The goal is to reduce reliance on conventional antibiotics and instead emphasize antimicrobial approaches that are less susceptible to the development of resistance.</w:t>
      </w:r>
    </w:p>
    <w:p w14:paraId="6B93F5B8" w14:textId="77777777" w:rsidR="001A2C1C" w:rsidRPr="00C241C0" w:rsidRDefault="001A2C1C" w:rsidP="004B2134">
      <w:pPr>
        <w:pStyle w:val="BodyText"/>
        <w:spacing w:before="1" w:line="360" w:lineRule="auto"/>
        <w:jc w:val="left"/>
        <w:rPr>
          <w:rFonts w:ascii="Times New Roman" w:hAnsi="Times New Roman" w:cs="Times New Roman"/>
          <w:w w:val="105"/>
          <w:sz w:val="24"/>
        </w:rPr>
      </w:pPr>
    </w:p>
    <w:p w14:paraId="26468DFB" w14:textId="77777777" w:rsidR="001A2C1C" w:rsidRPr="00C241C0" w:rsidRDefault="001A2C1C" w:rsidP="004B2134">
      <w:pPr>
        <w:pStyle w:val="BodyText"/>
        <w:spacing w:before="1" w:line="360" w:lineRule="auto"/>
        <w:jc w:val="left"/>
        <w:rPr>
          <w:rFonts w:ascii="Times New Roman" w:hAnsi="Times New Roman" w:cs="Times New Roman"/>
          <w:w w:val="105"/>
          <w:sz w:val="24"/>
        </w:rPr>
      </w:pPr>
      <w:r w:rsidRPr="00C241C0">
        <w:rPr>
          <w:rFonts w:ascii="Times New Roman" w:hAnsi="Times New Roman" w:cs="Times New Roman"/>
          <w:w w:val="105"/>
          <w:sz w:val="24"/>
        </w:rPr>
        <w:t>Recent advancements in root canal disinfection, driven by new technology and insights from recent research, offer promise for enhancing the capacity to disinfect the root canal system. These developments mark a significant progression in the field of endodontics.</w:t>
      </w:r>
    </w:p>
    <w:p w14:paraId="7BC18CA7" w14:textId="77777777" w:rsidR="001A2C1C" w:rsidRPr="00C241C0" w:rsidRDefault="001A2C1C" w:rsidP="004B2134">
      <w:pPr>
        <w:pStyle w:val="BodyText"/>
        <w:spacing w:before="1" w:line="360" w:lineRule="auto"/>
        <w:jc w:val="left"/>
        <w:rPr>
          <w:rFonts w:ascii="Times New Roman" w:hAnsi="Times New Roman" w:cs="Times New Roman"/>
          <w:w w:val="105"/>
          <w:sz w:val="24"/>
        </w:rPr>
      </w:pPr>
    </w:p>
    <w:p w14:paraId="4B3DE4E5" w14:textId="77777777" w:rsidR="001A2C1C" w:rsidRPr="00C241C0" w:rsidRDefault="001A2C1C" w:rsidP="004B2134">
      <w:pPr>
        <w:pStyle w:val="BodyText"/>
        <w:spacing w:before="1" w:line="360" w:lineRule="auto"/>
        <w:jc w:val="left"/>
        <w:rPr>
          <w:rFonts w:ascii="Times New Roman" w:hAnsi="Times New Roman" w:cs="Times New Roman"/>
          <w:w w:val="105"/>
          <w:sz w:val="24"/>
        </w:rPr>
      </w:pPr>
    </w:p>
    <w:p w14:paraId="2082F358" w14:textId="77777777" w:rsidR="001A2C1C" w:rsidRPr="00C241C0" w:rsidRDefault="001A2C1C" w:rsidP="004B2134">
      <w:pPr>
        <w:pStyle w:val="BodyText"/>
        <w:spacing w:before="1" w:line="360" w:lineRule="auto"/>
        <w:jc w:val="left"/>
        <w:rPr>
          <w:rFonts w:ascii="Times New Roman" w:hAnsi="Times New Roman" w:cs="Times New Roman"/>
          <w:w w:val="105"/>
          <w:sz w:val="24"/>
        </w:rPr>
      </w:pPr>
    </w:p>
    <w:p w14:paraId="5ABE3BC0" w14:textId="77777777" w:rsidR="001A2C1C" w:rsidRPr="00C241C0" w:rsidRDefault="001A2C1C" w:rsidP="004B2134">
      <w:pPr>
        <w:pStyle w:val="BodyText"/>
        <w:spacing w:before="1" w:line="360" w:lineRule="auto"/>
        <w:jc w:val="left"/>
        <w:rPr>
          <w:rFonts w:ascii="Times New Roman" w:hAnsi="Times New Roman" w:cs="Times New Roman"/>
          <w:w w:val="105"/>
          <w:sz w:val="24"/>
        </w:rPr>
      </w:pPr>
    </w:p>
    <w:p w14:paraId="2D1050AB" w14:textId="5D2211D6" w:rsidR="00D35EC5" w:rsidRPr="00C241C0" w:rsidRDefault="00D35EC5" w:rsidP="004B2134">
      <w:pPr>
        <w:pStyle w:val="BodyText"/>
        <w:spacing w:before="1" w:line="360" w:lineRule="auto"/>
        <w:ind w:left="0"/>
        <w:jc w:val="left"/>
        <w:rPr>
          <w:rFonts w:ascii="Times New Roman" w:hAnsi="Times New Roman" w:cs="Times New Roman"/>
          <w:w w:val="105"/>
          <w:sz w:val="24"/>
        </w:rPr>
      </w:pPr>
      <w:r w:rsidRPr="00C241C0">
        <w:rPr>
          <w:rFonts w:ascii="Times New Roman" w:hAnsi="Times New Roman" w:cs="Times New Roman"/>
          <w:w w:val="105"/>
          <w:sz w:val="24"/>
        </w:rPr>
        <w:br w:type="page"/>
      </w:r>
    </w:p>
    <w:p w14:paraId="5E7567FA" w14:textId="51A2CA89" w:rsidR="005B1B7F" w:rsidRPr="00C241C0" w:rsidRDefault="00551225" w:rsidP="004B2134">
      <w:pPr>
        <w:pStyle w:val="BodyText"/>
        <w:spacing w:before="1" w:line="360" w:lineRule="auto"/>
        <w:ind w:left="0"/>
        <w:jc w:val="left"/>
        <w:rPr>
          <w:rFonts w:ascii="Times New Roman" w:hAnsi="Times New Roman" w:cs="Times New Roman"/>
          <w:b/>
          <w:bCs/>
          <w:w w:val="105"/>
          <w:sz w:val="28"/>
          <w:szCs w:val="28"/>
        </w:rPr>
      </w:pPr>
      <w:r w:rsidRPr="00C241C0">
        <w:rPr>
          <w:rFonts w:ascii="Times New Roman" w:hAnsi="Times New Roman" w:cs="Times New Roman"/>
          <w:b/>
          <w:bCs/>
          <w:w w:val="105"/>
          <w:sz w:val="28"/>
          <w:szCs w:val="28"/>
        </w:rPr>
        <w:lastRenderedPageBreak/>
        <w:t>REFERENCES</w:t>
      </w:r>
    </w:p>
    <w:p w14:paraId="17AC1730" w14:textId="77777777" w:rsidR="00C45A4D" w:rsidRPr="00C45A4D" w:rsidRDefault="008D0CDD" w:rsidP="00C45A4D">
      <w:pPr>
        <w:pStyle w:val="Bibliography"/>
        <w:rPr>
          <w:rFonts w:ascii="Times New Roman" w:hAnsi="Times New Roman" w:cs="Times New Roman"/>
          <w:sz w:val="24"/>
        </w:rPr>
      </w:pPr>
      <w:r w:rsidRPr="00C241C0">
        <w:rPr>
          <w:w w:val="105"/>
        </w:rPr>
        <w:fldChar w:fldCharType="begin"/>
      </w:r>
      <w:r w:rsidR="00C45A4D">
        <w:rPr>
          <w:w w:val="105"/>
        </w:rPr>
        <w:instrText xml:space="preserve"> ADDIN ZOTERO_BIBL {"uncited":[],"omitted":[],"custom":[]} CSL_BIBLIOGRAPHY </w:instrText>
      </w:r>
      <w:r w:rsidRPr="00C241C0">
        <w:rPr>
          <w:w w:val="105"/>
        </w:rPr>
        <w:fldChar w:fldCharType="separate"/>
      </w:r>
      <w:r w:rsidR="00C45A4D" w:rsidRPr="00C45A4D">
        <w:rPr>
          <w:rFonts w:ascii="Times New Roman" w:hAnsi="Times New Roman" w:cs="Times New Roman"/>
          <w:sz w:val="24"/>
        </w:rPr>
        <w:t>1.</w:t>
      </w:r>
      <w:r w:rsidR="00C45A4D" w:rsidRPr="00C45A4D">
        <w:rPr>
          <w:rFonts w:ascii="Times New Roman" w:hAnsi="Times New Roman" w:cs="Times New Roman"/>
          <w:sz w:val="24"/>
        </w:rPr>
        <w:tab/>
        <w:t xml:space="preserve">Ricucci D, Siqueira JF, Bate AL, Pitt Ford TR. Histologic Investigation of Root Canal–treated Teeth with Apical Periodontitis: A Retrospective Study from Twenty-four Patients. J </w:t>
      </w:r>
      <w:proofErr w:type="spellStart"/>
      <w:r w:rsidR="00C45A4D" w:rsidRPr="00C45A4D">
        <w:rPr>
          <w:rFonts w:ascii="Times New Roman" w:hAnsi="Times New Roman" w:cs="Times New Roman"/>
          <w:sz w:val="24"/>
        </w:rPr>
        <w:t>Endod</w:t>
      </w:r>
      <w:proofErr w:type="spellEnd"/>
      <w:r w:rsidR="00C45A4D" w:rsidRPr="00C45A4D">
        <w:rPr>
          <w:rFonts w:ascii="Times New Roman" w:hAnsi="Times New Roman" w:cs="Times New Roman"/>
          <w:sz w:val="24"/>
        </w:rPr>
        <w:t xml:space="preserve">. 2009 Apr;35(4):493–502. </w:t>
      </w:r>
    </w:p>
    <w:p w14:paraId="400245FC" w14:textId="77777777" w:rsidR="00C45A4D" w:rsidRPr="00C45A4D" w:rsidRDefault="00C45A4D" w:rsidP="00C45A4D">
      <w:pPr>
        <w:pStyle w:val="Bibliography"/>
        <w:rPr>
          <w:rFonts w:ascii="Times New Roman" w:hAnsi="Times New Roman" w:cs="Times New Roman"/>
          <w:sz w:val="24"/>
        </w:rPr>
      </w:pPr>
      <w:r w:rsidRPr="00C45A4D">
        <w:rPr>
          <w:rFonts w:ascii="Times New Roman" w:hAnsi="Times New Roman" w:cs="Times New Roman"/>
          <w:sz w:val="24"/>
        </w:rPr>
        <w:t>2.</w:t>
      </w:r>
      <w:r w:rsidRPr="00C45A4D">
        <w:rPr>
          <w:rFonts w:ascii="Times New Roman" w:hAnsi="Times New Roman" w:cs="Times New Roman"/>
          <w:sz w:val="24"/>
        </w:rPr>
        <w:tab/>
      </w:r>
      <w:proofErr w:type="spellStart"/>
      <w:r w:rsidRPr="00C45A4D">
        <w:rPr>
          <w:rFonts w:ascii="Times New Roman" w:hAnsi="Times New Roman" w:cs="Times New Roman"/>
          <w:sz w:val="24"/>
        </w:rPr>
        <w:t>Siqueirajr</w:t>
      </w:r>
      <w:proofErr w:type="spellEnd"/>
      <w:r w:rsidRPr="00C45A4D">
        <w:rPr>
          <w:rFonts w:ascii="Times New Roman" w:hAnsi="Times New Roman" w:cs="Times New Roman"/>
          <w:sz w:val="24"/>
        </w:rPr>
        <w:t xml:space="preserve"> J, Rocas I. Exploiting Molecular Methods to Explore Endodontic Infections: Part 1—Current Molecular Technologies for Microbiological Diagnosis. J </w:t>
      </w:r>
      <w:proofErr w:type="spellStart"/>
      <w:r w:rsidRPr="00C45A4D">
        <w:rPr>
          <w:rFonts w:ascii="Times New Roman" w:hAnsi="Times New Roman" w:cs="Times New Roman"/>
          <w:sz w:val="24"/>
        </w:rPr>
        <w:t>Endod</w:t>
      </w:r>
      <w:proofErr w:type="spellEnd"/>
      <w:r w:rsidRPr="00C45A4D">
        <w:rPr>
          <w:rFonts w:ascii="Times New Roman" w:hAnsi="Times New Roman" w:cs="Times New Roman"/>
          <w:sz w:val="24"/>
        </w:rPr>
        <w:t xml:space="preserve">. 2005 Jun;31(6):411–23. </w:t>
      </w:r>
    </w:p>
    <w:p w14:paraId="32439B35" w14:textId="77777777" w:rsidR="00C45A4D" w:rsidRPr="00C45A4D" w:rsidRDefault="00C45A4D" w:rsidP="00C45A4D">
      <w:pPr>
        <w:pStyle w:val="Bibliography"/>
        <w:rPr>
          <w:rFonts w:ascii="Times New Roman" w:hAnsi="Times New Roman" w:cs="Times New Roman"/>
          <w:sz w:val="24"/>
        </w:rPr>
      </w:pPr>
      <w:r w:rsidRPr="00C45A4D">
        <w:rPr>
          <w:rFonts w:ascii="Times New Roman" w:hAnsi="Times New Roman" w:cs="Times New Roman"/>
          <w:sz w:val="24"/>
        </w:rPr>
        <w:t>3.</w:t>
      </w:r>
      <w:r w:rsidRPr="00C45A4D">
        <w:rPr>
          <w:rFonts w:ascii="Times New Roman" w:hAnsi="Times New Roman" w:cs="Times New Roman"/>
          <w:sz w:val="24"/>
        </w:rPr>
        <w:tab/>
        <w:t xml:space="preserve">Woo PCY, Lau SKP, Teng JLL, </w:t>
      </w:r>
      <w:proofErr w:type="spellStart"/>
      <w:r w:rsidRPr="00C45A4D">
        <w:rPr>
          <w:rFonts w:ascii="Times New Roman" w:hAnsi="Times New Roman" w:cs="Times New Roman"/>
          <w:sz w:val="24"/>
        </w:rPr>
        <w:t>Tse</w:t>
      </w:r>
      <w:proofErr w:type="spellEnd"/>
      <w:r w:rsidRPr="00C45A4D">
        <w:rPr>
          <w:rFonts w:ascii="Times New Roman" w:hAnsi="Times New Roman" w:cs="Times New Roman"/>
          <w:sz w:val="24"/>
        </w:rPr>
        <w:t xml:space="preserve"> H, Yuen KY. Then and now: use of 16S rDNA gene sequencing for bacterial identification and discovery of novel bacteria in clinical microbiology laboratories. Clin </w:t>
      </w:r>
      <w:proofErr w:type="spellStart"/>
      <w:r w:rsidRPr="00C45A4D">
        <w:rPr>
          <w:rFonts w:ascii="Times New Roman" w:hAnsi="Times New Roman" w:cs="Times New Roman"/>
          <w:sz w:val="24"/>
        </w:rPr>
        <w:t>Microbiol</w:t>
      </w:r>
      <w:proofErr w:type="spellEnd"/>
      <w:r w:rsidRPr="00C45A4D">
        <w:rPr>
          <w:rFonts w:ascii="Times New Roman" w:hAnsi="Times New Roman" w:cs="Times New Roman"/>
          <w:sz w:val="24"/>
        </w:rPr>
        <w:t xml:space="preserve"> Infect. 2008 Oct;14(10):908–34. </w:t>
      </w:r>
    </w:p>
    <w:p w14:paraId="66A5FEBE" w14:textId="77777777" w:rsidR="00C45A4D" w:rsidRPr="00C45A4D" w:rsidRDefault="00C45A4D" w:rsidP="00C45A4D">
      <w:pPr>
        <w:pStyle w:val="Bibliography"/>
        <w:rPr>
          <w:rFonts w:ascii="Times New Roman" w:hAnsi="Times New Roman" w:cs="Times New Roman"/>
          <w:sz w:val="24"/>
        </w:rPr>
      </w:pPr>
      <w:r w:rsidRPr="00C45A4D">
        <w:rPr>
          <w:rFonts w:ascii="Times New Roman" w:hAnsi="Times New Roman" w:cs="Times New Roman"/>
          <w:sz w:val="24"/>
        </w:rPr>
        <w:t>4.</w:t>
      </w:r>
      <w:r w:rsidRPr="00C45A4D">
        <w:rPr>
          <w:rFonts w:ascii="Times New Roman" w:hAnsi="Times New Roman" w:cs="Times New Roman"/>
          <w:sz w:val="24"/>
        </w:rPr>
        <w:tab/>
        <w:t>Solution of Pulp Tissue by Chemical Agents | Semantic Scholar [Internet]. [cited 2023 Sep 23]. Available from: https://www.semanticscholar.org/paper/Solution-of-Pulp-Tissue-by-Chemical-Agents-Grossman-Meiman/512085e0e3931bc73369a84fa7a3eadc8314edb1</w:t>
      </w:r>
    </w:p>
    <w:p w14:paraId="092AAB99" w14:textId="77777777" w:rsidR="00C45A4D" w:rsidRPr="00C45A4D" w:rsidRDefault="00C45A4D" w:rsidP="00C45A4D">
      <w:pPr>
        <w:pStyle w:val="Bibliography"/>
        <w:rPr>
          <w:rFonts w:ascii="Times New Roman" w:hAnsi="Times New Roman" w:cs="Times New Roman"/>
          <w:sz w:val="24"/>
        </w:rPr>
      </w:pPr>
      <w:r w:rsidRPr="00C45A4D">
        <w:rPr>
          <w:rFonts w:ascii="Times New Roman" w:hAnsi="Times New Roman" w:cs="Times New Roman"/>
          <w:sz w:val="24"/>
        </w:rPr>
        <w:t>5.</w:t>
      </w:r>
      <w:r w:rsidRPr="00C45A4D">
        <w:rPr>
          <w:rFonts w:ascii="Times New Roman" w:hAnsi="Times New Roman" w:cs="Times New Roman"/>
          <w:sz w:val="24"/>
        </w:rPr>
        <w:tab/>
        <w:t xml:space="preserve">Slots J. Rapid identification of important periodontal microorganisms by cultivation. Oral </w:t>
      </w:r>
      <w:proofErr w:type="spellStart"/>
      <w:r w:rsidRPr="00C45A4D">
        <w:rPr>
          <w:rFonts w:ascii="Times New Roman" w:hAnsi="Times New Roman" w:cs="Times New Roman"/>
          <w:sz w:val="24"/>
        </w:rPr>
        <w:t>Microbiol</w:t>
      </w:r>
      <w:proofErr w:type="spellEnd"/>
      <w:r w:rsidRPr="00C45A4D">
        <w:rPr>
          <w:rFonts w:ascii="Times New Roman" w:hAnsi="Times New Roman" w:cs="Times New Roman"/>
          <w:sz w:val="24"/>
        </w:rPr>
        <w:t xml:space="preserve"> Immunol. 1986 Feb;1(1):48–55. </w:t>
      </w:r>
    </w:p>
    <w:p w14:paraId="4505C7A0" w14:textId="77777777" w:rsidR="00C45A4D" w:rsidRPr="00C45A4D" w:rsidRDefault="00C45A4D" w:rsidP="00C45A4D">
      <w:pPr>
        <w:pStyle w:val="Bibliography"/>
        <w:rPr>
          <w:rFonts w:ascii="Times New Roman" w:hAnsi="Times New Roman" w:cs="Times New Roman"/>
          <w:sz w:val="24"/>
        </w:rPr>
      </w:pPr>
      <w:r w:rsidRPr="00C45A4D">
        <w:rPr>
          <w:rFonts w:ascii="Times New Roman" w:hAnsi="Times New Roman" w:cs="Times New Roman"/>
          <w:sz w:val="24"/>
        </w:rPr>
        <w:t>6.</w:t>
      </w:r>
      <w:r w:rsidRPr="00C45A4D">
        <w:rPr>
          <w:rFonts w:ascii="Times New Roman" w:hAnsi="Times New Roman" w:cs="Times New Roman"/>
          <w:sz w:val="24"/>
        </w:rPr>
        <w:tab/>
      </w:r>
      <w:proofErr w:type="spellStart"/>
      <w:r w:rsidRPr="00C45A4D">
        <w:rPr>
          <w:rFonts w:ascii="Times New Roman" w:hAnsi="Times New Roman" w:cs="Times New Roman"/>
          <w:sz w:val="24"/>
        </w:rPr>
        <w:t>Keijser</w:t>
      </w:r>
      <w:proofErr w:type="spellEnd"/>
      <w:r w:rsidRPr="00C45A4D">
        <w:rPr>
          <w:rFonts w:ascii="Times New Roman" w:hAnsi="Times New Roman" w:cs="Times New Roman"/>
          <w:sz w:val="24"/>
        </w:rPr>
        <w:t xml:space="preserve"> BJF, </w:t>
      </w:r>
      <w:proofErr w:type="spellStart"/>
      <w:r w:rsidRPr="00C45A4D">
        <w:rPr>
          <w:rFonts w:ascii="Times New Roman" w:hAnsi="Times New Roman" w:cs="Times New Roman"/>
          <w:sz w:val="24"/>
        </w:rPr>
        <w:t>Zaura</w:t>
      </w:r>
      <w:proofErr w:type="spellEnd"/>
      <w:r w:rsidRPr="00C45A4D">
        <w:rPr>
          <w:rFonts w:ascii="Times New Roman" w:hAnsi="Times New Roman" w:cs="Times New Roman"/>
          <w:sz w:val="24"/>
        </w:rPr>
        <w:t xml:space="preserve"> E, Huse SM, Van Der Vossen JMBM, </w:t>
      </w:r>
      <w:proofErr w:type="spellStart"/>
      <w:r w:rsidRPr="00C45A4D">
        <w:rPr>
          <w:rFonts w:ascii="Times New Roman" w:hAnsi="Times New Roman" w:cs="Times New Roman"/>
          <w:sz w:val="24"/>
        </w:rPr>
        <w:t>Schuren</w:t>
      </w:r>
      <w:proofErr w:type="spellEnd"/>
      <w:r w:rsidRPr="00C45A4D">
        <w:rPr>
          <w:rFonts w:ascii="Times New Roman" w:hAnsi="Times New Roman" w:cs="Times New Roman"/>
          <w:sz w:val="24"/>
        </w:rPr>
        <w:t xml:space="preserve"> FHJ, </w:t>
      </w:r>
      <w:proofErr w:type="spellStart"/>
      <w:r w:rsidRPr="00C45A4D">
        <w:rPr>
          <w:rFonts w:ascii="Times New Roman" w:hAnsi="Times New Roman" w:cs="Times New Roman"/>
          <w:sz w:val="24"/>
        </w:rPr>
        <w:t>Montijn</w:t>
      </w:r>
      <w:proofErr w:type="spellEnd"/>
      <w:r w:rsidRPr="00C45A4D">
        <w:rPr>
          <w:rFonts w:ascii="Times New Roman" w:hAnsi="Times New Roman" w:cs="Times New Roman"/>
          <w:sz w:val="24"/>
        </w:rPr>
        <w:t xml:space="preserve"> RC, et al. Pyrosequencing analysis of the Oral Microflora of healthy adults. J Dent Res. 2008 Nov;87(11):1016–20. </w:t>
      </w:r>
    </w:p>
    <w:p w14:paraId="09C82410" w14:textId="77777777" w:rsidR="00C45A4D" w:rsidRPr="00C45A4D" w:rsidRDefault="00C45A4D" w:rsidP="00C45A4D">
      <w:pPr>
        <w:pStyle w:val="Bibliography"/>
        <w:rPr>
          <w:rFonts w:ascii="Times New Roman" w:hAnsi="Times New Roman" w:cs="Times New Roman"/>
          <w:sz w:val="24"/>
        </w:rPr>
      </w:pPr>
      <w:r w:rsidRPr="00C45A4D">
        <w:rPr>
          <w:rFonts w:ascii="Times New Roman" w:hAnsi="Times New Roman" w:cs="Times New Roman"/>
          <w:sz w:val="24"/>
        </w:rPr>
        <w:t>7.</w:t>
      </w:r>
      <w:r w:rsidRPr="00C45A4D">
        <w:rPr>
          <w:rFonts w:ascii="Times New Roman" w:hAnsi="Times New Roman" w:cs="Times New Roman"/>
          <w:sz w:val="24"/>
        </w:rPr>
        <w:tab/>
        <w:t xml:space="preserve">Fouad AF, Rivera EM, Walton RE. Penicillin as a supplement in resolving the localized acute apical abscess. Oral Surg Oral Med Oral </w:t>
      </w:r>
      <w:proofErr w:type="spellStart"/>
      <w:r w:rsidRPr="00C45A4D">
        <w:rPr>
          <w:rFonts w:ascii="Times New Roman" w:hAnsi="Times New Roman" w:cs="Times New Roman"/>
          <w:sz w:val="24"/>
        </w:rPr>
        <w:t>Pathol</w:t>
      </w:r>
      <w:proofErr w:type="spellEnd"/>
      <w:r w:rsidRPr="00C45A4D">
        <w:rPr>
          <w:rFonts w:ascii="Times New Roman" w:hAnsi="Times New Roman" w:cs="Times New Roman"/>
          <w:sz w:val="24"/>
        </w:rPr>
        <w:t xml:space="preserve"> Oral </w:t>
      </w:r>
      <w:proofErr w:type="spellStart"/>
      <w:r w:rsidRPr="00C45A4D">
        <w:rPr>
          <w:rFonts w:ascii="Times New Roman" w:hAnsi="Times New Roman" w:cs="Times New Roman"/>
          <w:sz w:val="24"/>
        </w:rPr>
        <w:t>Radiol</w:t>
      </w:r>
      <w:proofErr w:type="spellEnd"/>
      <w:r w:rsidRPr="00C45A4D">
        <w:rPr>
          <w:rFonts w:ascii="Times New Roman" w:hAnsi="Times New Roman" w:cs="Times New Roman"/>
          <w:sz w:val="24"/>
        </w:rPr>
        <w:t xml:space="preserve"> Endodontology. 1996 May;81(5):590–5. </w:t>
      </w:r>
    </w:p>
    <w:p w14:paraId="5E1C329B" w14:textId="77777777" w:rsidR="00C45A4D" w:rsidRPr="00C45A4D" w:rsidRDefault="00C45A4D" w:rsidP="00C45A4D">
      <w:pPr>
        <w:pStyle w:val="Bibliography"/>
        <w:rPr>
          <w:rFonts w:ascii="Times New Roman" w:hAnsi="Times New Roman" w:cs="Times New Roman"/>
          <w:sz w:val="24"/>
        </w:rPr>
      </w:pPr>
      <w:r w:rsidRPr="00C45A4D">
        <w:rPr>
          <w:rFonts w:ascii="Times New Roman" w:hAnsi="Times New Roman" w:cs="Times New Roman"/>
          <w:sz w:val="24"/>
        </w:rPr>
        <w:t>8.</w:t>
      </w:r>
      <w:r w:rsidRPr="00C45A4D">
        <w:rPr>
          <w:rFonts w:ascii="Times New Roman" w:hAnsi="Times New Roman" w:cs="Times New Roman"/>
          <w:sz w:val="24"/>
        </w:rPr>
        <w:tab/>
      </w:r>
      <w:proofErr w:type="spellStart"/>
      <w:r w:rsidRPr="00C45A4D">
        <w:rPr>
          <w:rFonts w:ascii="Times New Roman" w:hAnsi="Times New Roman" w:cs="Times New Roman"/>
          <w:sz w:val="24"/>
        </w:rPr>
        <w:t>Engelkirk</w:t>
      </w:r>
      <w:proofErr w:type="spellEnd"/>
      <w:r w:rsidRPr="00C45A4D">
        <w:rPr>
          <w:rFonts w:ascii="Times New Roman" w:hAnsi="Times New Roman" w:cs="Times New Roman"/>
          <w:sz w:val="24"/>
        </w:rPr>
        <w:t xml:space="preserve"> PG, Duben-</w:t>
      </w:r>
      <w:proofErr w:type="spellStart"/>
      <w:r w:rsidRPr="00C45A4D">
        <w:rPr>
          <w:rFonts w:ascii="Times New Roman" w:hAnsi="Times New Roman" w:cs="Times New Roman"/>
          <w:sz w:val="24"/>
        </w:rPr>
        <w:t>Engelkirk</w:t>
      </w:r>
      <w:proofErr w:type="spellEnd"/>
      <w:r w:rsidRPr="00C45A4D">
        <w:rPr>
          <w:rFonts w:ascii="Times New Roman" w:hAnsi="Times New Roman" w:cs="Times New Roman"/>
          <w:sz w:val="24"/>
        </w:rPr>
        <w:t xml:space="preserve"> JL, Burton GRW. Burton’s microbiology for the health sciences. 9th ed. Philadelphia: Wolters Kluwer Health/Lippincott Williams &amp; Wilkins; 2011. 433 p. </w:t>
      </w:r>
    </w:p>
    <w:p w14:paraId="7ACE585F" w14:textId="77777777" w:rsidR="00C45A4D" w:rsidRPr="00C45A4D" w:rsidRDefault="00C45A4D" w:rsidP="00C45A4D">
      <w:pPr>
        <w:pStyle w:val="Bibliography"/>
        <w:rPr>
          <w:rFonts w:ascii="Times New Roman" w:hAnsi="Times New Roman" w:cs="Times New Roman"/>
          <w:sz w:val="24"/>
        </w:rPr>
      </w:pPr>
      <w:r w:rsidRPr="00C45A4D">
        <w:rPr>
          <w:rFonts w:ascii="Times New Roman" w:hAnsi="Times New Roman" w:cs="Times New Roman"/>
          <w:sz w:val="24"/>
        </w:rPr>
        <w:t>9.</w:t>
      </w:r>
      <w:r w:rsidRPr="00C45A4D">
        <w:rPr>
          <w:rFonts w:ascii="Times New Roman" w:hAnsi="Times New Roman" w:cs="Times New Roman"/>
          <w:sz w:val="24"/>
        </w:rPr>
        <w:tab/>
        <w:t xml:space="preserve">Woese CR. Bacterial evolution. </w:t>
      </w:r>
      <w:proofErr w:type="spellStart"/>
      <w:r w:rsidRPr="00C45A4D">
        <w:rPr>
          <w:rFonts w:ascii="Times New Roman" w:hAnsi="Times New Roman" w:cs="Times New Roman"/>
          <w:sz w:val="24"/>
        </w:rPr>
        <w:t>Microbiol</w:t>
      </w:r>
      <w:proofErr w:type="spellEnd"/>
      <w:r w:rsidRPr="00C45A4D">
        <w:rPr>
          <w:rFonts w:ascii="Times New Roman" w:hAnsi="Times New Roman" w:cs="Times New Roman"/>
          <w:sz w:val="24"/>
        </w:rPr>
        <w:t xml:space="preserve"> Rev. 1987 Jun;51(2):221–71. </w:t>
      </w:r>
    </w:p>
    <w:p w14:paraId="59211C36" w14:textId="77777777" w:rsidR="00C45A4D" w:rsidRPr="00C45A4D" w:rsidRDefault="00C45A4D" w:rsidP="00C45A4D">
      <w:pPr>
        <w:pStyle w:val="Bibliography"/>
        <w:rPr>
          <w:rFonts w:ascii="Times New Roman" w:hAnsi="Times New Roman" w:cs="Times New Roman"/>
          <w:sz w:val="24"/>
        </w:rPr>
      </w:pPr>
      <w:r w:rsidRPr="00C45A4D">
        <w:rPr>
          <w:rFonts w:ascii="Times New Roman" w:hAnsi="Times New Roman" w:cs="Times New Roman"/>
          <w:sz w:val="24"/>
        </w:rPr>
        <w:t>10.</w:t>
      </w:r>
      <w:r w:rsidRPr="00C45A4D">
        <w:rPr>
          <w:rFonts w:ascii="Times New Roman" w:hAnsi="Times New Roman" w:cs="Times New Roman"/>
          <w:sz w:val="24"/>
        </w:rPr>
        <w:tab/>
        <w:t xml:space="preserve">Mullis K, </w:t>
      </w:r>
      <w:proofErr w:type="spellStart"/>
      <w:r w:rsidRPr="00C45A4D">
        <w:rPr>
          <w:rFonts w:ascii="Times New Roman" w:hAnsi="Times New Roman" w:cs="Times New Roman"/>
          <w:sz w:val="24"/>
        </w:rPr>
        <w:t>Faloona</w:t>
      </w:r>
      <w:proofErr w:type="spellEnd"/>
      <w:r w:rsidRPr="00C45A4D">
        <w:rPr>
          <w:rFonts w:ascii="Times New Roman" w:hAnsi="Times New Roman" w:cs="Times New Roman"/>
          <w:sz w:val="24"/>
        </w:rPr>
        <w:t xml:space="preserve"> F, Scharf S, Saiki R, Horn G, Erlich H. Specific Enzymatic Amplification of DNA In Vitro: The Polymerase Chain Reaction. Cold Spring Harb Symp Quant Biol. 1986 Jan 1;51(0):263–73. </w:t>
      </w:r>
    </w:p>
    <w:p w14:paraId="66442C71" w14:textId="77777777" w:rsidR="00C45A4D" w:rsidRPr="00C45A4D" w:rsidRDefault="00C45A4D" w:rsidP="00C45A4D">
      <w:pPr>
        <w:pStyle w:val="Bibliography"/>
        <w:rPr>
          <w:rFonts w:ascii="Times New Roman" w:hAnsi="Times New Roman" w:cs="Times New Roman"/>
          <w:sz w:val="24"/>
        </w:rPr>
      </w:pPr>
      <w:r w:rsidRPr="00C45A4D">
        <w:rPr>
          <w:rFonts w:ascii="Times New Roman" w:hAnsi="Times New Roman" w:cs="Times New Roman"/>
          <w:sz w:val="24"/>
        </w:rPr>
        <w:t>11.</w:t>
      </w:r>
      <w:r w:rsidRPr="00C45A4D">
        <w:rPr>
          <w:rFonts w:ascii="Times New Roman" w:hAnsi="Times New Roman" w:cs="Times New Roman"/>
          <w:sz w:val="24"/>
        </w:rPr>
        <w:tab/>
        <w:t xml:space="preserve">Don RH, Cox PT, Wainwright BJ, Baker K, Mattick JS. ‘Touchdown’ PCR to circumvent spurious priming during gene amplification. Nucleic Acids Res. 1991;19(14):4008–4008. </w:t>
      </w:r>
    </w:p>
    <w:p w14:paraId="6069C94F" w14:textId="77777777" w:rsidR="00C45A4D" w:rsidRPr="00C45A4D" w:rsidRDefault="00C45A4D" w:rsidP="00C45A4D">
      <w:pPr>
        <w:pStyle w:val="Bibliography"/>
        <w:rPr>
          <w:rFonts w:ascii="Times New Roman" w:hAnsi="Times New Roman" w:cs="Times New Roman"/>
          <w:sz w:val="24"/>
        </w:rPr>
      </w:pPr>
      <w:r w:rsidRPr="00C45A4D">
        <w:rPr>
          <w:rFonts w:ascii="Times New Roman" w:hAnsi="Times New Roman" w:cs="Times New Roman"/>
          <w:sz w:val="24"/>
        </w:rPr>
        <w:t>12.</w:t>
      </w:r>
      <w:r w:rsidRPr="00C45A4D">
        <w:rPr>
          <w:rFonts w:ascii="Times New Roman" w:hAnsi="Times New Roman" w:cs="Times New Roman"/>
          <w:sz w:val="24"/>
        </w:rPr>
        <w:tab/>
        <w:t xml:space="preserve">James D, Schmidt A </w:t>
      </w:r>
      <w:proofErr w:type="spellStart"/>
      <w:r w:rsidRPr="00C45A4D">
        <w:rPr>
          <w:rFonts w:ascii="Times New Roman" w:hAnsi="Times New Roman" w:cs="Times New Roman"/>
          <w:sz w:val="24"/>
        </w:rPr>
        <w:t>mary</w:t>
      </w:r>
      <w:proofErr w:type="spellEnd"/>
      <w:r w:rsidRPr="00C45A4D">
        <w:rPr>
          <w:rFonts w:ascii="Times New Roman" w:hAnsi="Times New Roman" w:cs="Times New Roman"/>
          <w:sz w:val="24"/>
        </w:rPr>
        <w:t xml:space="preserve">, Wall E, Green M, Masri S. Reliable Detection and Identification of Genetically Modified Maize, Soybean, and Canola by Multiplex PCR Analysis. J Agric Food Chem. 2003 Sep 1;51(20):5829–34. </w:t>
      </w:r>
    </w:p>
    <w:p w14:paraId="555CC8DE" w14:textId="77777777" w:rsidR="00C45A4D" w:rsidRPr="00C45A4D" w:rsidRDefault="00C45A4D" w:rsidP="00C45A4D">
      <w:pPr>
        <w:pStyle w:val="Bibliography"/>
        <w:rPr>
          <w:rFonts w:ascii="Times New Roman" w:hAnsi="Times New Roman" w:cs="Times New Roman"/>
          <w:sz w:val="24"/>
        </w:rPr>
      </w:pPr>
      <w:r w:rsidRPr="00C45A4D">
        <w:rPr>
          <w:rFonts w:ascii="Times New Roman" w:hAnsi="Times New Roman" w:cs="Times New Roman"/>
          <w:sz w:val="24"/>
        </w:rPr>
        <w:t>13.</w:t>
      </w:r>
      <w:r w:rsidRPr="00C45A4D">
        <w:rPr>
          <w:rFonts w:ascii="Times New Roman" w:hAnsi="Times New Roman" w:cs="Times New Roman"/>
          <w:sz w:val="24"/>
        </w:rPr>
        <w:tab/>
        <w:t xml:space="preserve">Chamberlain JS, Gibbs RA, Rainer JE, Nguyen PN, Thomas C. Deletion screening of the Duchenne muscular dystrophy locus via multiplex DNA amplification. Nucleic Acids Res. 1988;16(23):11141–56. </w:t>
      </w:r>
    </w:p>
    <w:p w14:paraId="6392DF70" w14:textId="77777777" w:rsidR="00C45A4D" w:rsidRPr="00C45A4D" w:rsidRDefault="00C45A4D" w:rsidP="00C45A4D">
      <w:pPr>
        <w:pStyle w:val="Bibliography"/>
        <w:rPr>
          <w:rFonts w:ascii="Times New Roman" w:hAnsi="Times New Roman" w:cs="Times New Roman"/>
          <w:sz w:val="24"/>
        </w:rPr>
      </w:pPr>
      <w:r w:rsidRPr="00C45A4D">
        <w:rPr>
          <w:rFonts w:ascii="Times New Roman" w:hAnsi="Times New Roman" w:cs="Times New Roman"/>
          <w:sz w:val="24"/>
        </w:rPr>
        <w:t>14.</w:t>
      </w:r>
      <w:r w:rsidRPr="00C45A4D">
        <w:rPr>
          <w:rFonts w:ascii="Times New Roman" w:hAnsi="Times New Roman" w:cs="Times New Roman"/>
          <w:sz w:val="24"/>
        </w:rPr>
        <w:tab/>
      </w:r>
      <w:proofErr w:type="spellStart"/>
      <w:r w:rsidRPr="00C45A4D">
        <w:rPr>
          <w:rFonts w:ascii="Times New Roman" w:hAnsi="Times New Roman" w:cs="Times New Roman"/>
          <w:sz w:val="24"/>
        </w:rPr>
        <w:t>Abravaya</w:t>
      </w:r>
      <w:proofErr w:type="spellEnd"/>
      <w:r w:rsidRPr="00C45A4D">
        <w:rPr>
          <w:rFonts w:ascii="Times New Roman" w:hAnsi="Times New Roman" w:cs="Times New Roman"/>
          <w:sz w:val="24"/>
        </w:rPr>
        <w:t xml:space="preserve"> K, Huff J, Marshall R, Merchant B, Mullen C, Schneider G, et al. Molecular Beacons as Diagnostic Tools: Technology and Applications. Clin Chem Lab Med [Internet]. 2003 Jan 25 [cited 2023 Sep 23];41(4). Available from: https://www.degruyter.com/document/doi/10.1515/CCLM.2003.070/html</w:t>
      </w:r>
    </w:p>
    <w:p w14:paraId="1492B005" w14:textId="77777777" w:rsidR="00C45A4D" w:rsidRPr="00C45A4D" w:rsidRDefault="00C45A4D" w:rsidP="00C45A4D">
      <w:pPr>
        <w:pStyle w:val="Bibliography"/>
        <w:rPr>
          <w:rFonts w:ascii="Times New Roman" w:hAnsi="Times New Roman" w:cs="Times New Roman"/>
          <w:sz w:val="24"/>
        </w:rPr>
      </w:pPr>
      <w:r w:rsidRPr="00C45A4D">
        <w:rPr>
          <w:rFonts w:ascii="Times New Roman" w:hAnsi="Times New Roman" w:cs="Times New Roman"/>
          <w:sz w:val="24"/>
        </w:rPr>
        <w:t>15.</w:t>
      </w:r>
      <w:r w:rsidRPr="00C45A4D">
        <w:rPr>
          <w:rFonts w:ascii="Times New Roman" w:hAnsi="Times New Roman" w:cs="Times New Roman"/>
          <w:sz w:val="24"/>
        </w:rPr>
        <w:tab/>
        <w:t xml:space="preserve">Maeda H, Fujimoto C, Haruki Y, Maeda T, </w:t>
      </w:r>
      <w:proofErr w:type="spellStart"/>
      <w:r w:rsidRPr="00C45A4D">
        <w:rPr>
          <w:rFonts w:ascii="Times New Roman" w:hAnsi="Times New Roman" w:cs="Times New Roman"/>
          <w:sz w:val="24"/>
        </w:rPr>
        <w:t>Kokeguchi</w:t>
      </w:r>
      <w:proofErr w:type="spellEnd"/>
      <w:r w:rsidRPr="00C45A4D">
        <w:rPr>
          <w:rFonts w:ascii="Times New Roman" w:hAnsi="Times New Roman" w:cs="Times New Roman"/>
          <w:sz w:val="24"/>
        </w:rPr>
        <w:t xml:space="preserve"> S, Petelin M, et al. Quantitative real-time PCR using TaqMan and SYBR Green for </w:t>
      </w:r>
      <w:r w:rsidRPr="00C45A4D">
        <w:rPr>
          <w:rFonts w:ascii="Times New Roman" w:hAnsi="Times New Roman" w:cs="Times New Roman"/>
          <w:i/>
          <w:iCs/>
          <w:sz w:val="24"/>
        </w:rPr>
        <w:t xml:space="preserve">Actinobacillus </w:t>
      </w:r>
      <w:proofErr w:type="spellStart"/>
      <w:proofErr w:type="gramStart"/>
      <w:r w:rsidRPr="00C45A4D">
        <w:rPr>
          <w:rFonts w:ascii="Times New Roman" w:hAnsi="Times New Roman" w:cs="Times New Roman"/>
          <w:i/>
          <w:iCs/>
          <w:sz w:val="24"/>
        </w:rPr>
        <w:t>actinomycetemcomitans</w:t>
      </w:r>
      <w:proofErr w:type="spellEnd"/>
      <w:r w:rsidRPr="00C45A4D">
        <w:rPr>
          <w:rFonts w:ascii="Times New Roman" w:hAnsi="Times New Roman" w:cs="Times New Roman"/>
          <w:sz w:val="24"/>
        </w:rPr>
        <w:t xml:space="preserve"> ,</w:t>
      </w:r>
      <w:proofErr w:type="gramEnd"/>
      <w:r w:rsidRPr="00C45A4D">
        <w:rPr>
          <w:rFonts w:ascii="Times New Roman" w:hAnsi="Times New Roman" w:cs="Times New Roman"/>
          <w:sz w:val="24"/>
        </w:rPr>
        <w:t xml:space="preserve"> </w:t>
      </w:r>
      <w:proofErr w:type="spellStart"/>
      <w:r w:rsidRPr="00C45A4D">
        <w:rPr>
          <w:rFonts w:ascii="Times New Roman" w:hAnsi="Times New Roman" w:cs="Times New Roman"/>
          <w:i/>
          <w:iCs/>
          <w:sz w:val="24"/>
        </w:rPr>
        <w:t>Porphyromonas</w:t>
      </w:r>
      <w:proofErr w:type="spellEnd"/>
      <w:r w:rsidRPr="00C45A4D">
        <w:rPr>
          <w:rFonts w:ascii="Times New Roman" w:hAnsi="Times New Roman" w:cs="Times New Roman"/>
          <w:i/>
          <w:iCs/>
          <w:sz w:val="24"/>
        </w:rPr>
        <w:t xml:space="preserve"> </w:t>
      </w:r>
      <w:proofErr w:type="spellStart"/>
      <w:r w:rsidRPr="00C45A4D">
        <w:rPr>
          <w:rFonts w:ascii="Times New Roman" w:hAnsi="Times New Roman" w:cs="Times New Roman"/>
          <w:i/>
          <w:iCs/>
          <w:sz w:val="24"/>
        </w:rPr>
        <w:t>gingivalis</w:t>
      </w:r>
      <w:proofErr w:type="spellEnd"/>
      <w:r w:rsidRPr="00C45A4D">
        <w:rPr>
          <w:rFonts w:ascii="Times New Roman" w:hAnsi="Times New Roman" w:cs="Times New Roman"/>
          <w:sz w:val="24"/>
        </w:rPr>
        <w:t xml:space="preserve"> , </w:t>
      </w:r>
      <w:r w:rsidRPr="00C45A4D">
        <w:rPr>
          <w:rFonts w:ascii="Times New Roman" w:hAnsi="Times New Roman" w:cs="Times New Roman"/>
          <w:i/>
          <w:iCs/>
          <w:sz w:val="24"/>
        </w:rPr>
        <w:t>Prevotella intermedia</w:t>
      </w:r>
      <w:r w:rsidRPr="00C45A4D">
        <w:rPr>
          <w:rFonts w:ascii="Times New Roman" w:hAnsi="Times New Roman" w:cs="Times New Roman"/>
          <w:sz w:val="24"/>
        </w:rPr>
        <w:t xml:space="preserve"> , </w:t>
      </w:r>
      <w:proofErr w:type="spellStart"/>
      <w:r w:rsidRPr="00C45A4D">
        <w:rPr>
          <w:rFonts w:ascii="Times New Roman" w:hAnsi="Times New Roman" w:cs="Times New Roman"/>
          <w:i/>
          <w:iCs/>
          <w:sz w:val="24"/>
        </w:rPr>
        <w:t>tetQ</w:t>
      </w:r>
      <w:proofErr w:type="spellEnd"/>
      <w:r w:rsidRPr="00C45A4D">
        <w:rPr>
          <w:rFonts w:ascii="Times New Roman" w:hAnsi="Times New Roman" w:cs="Times New Roman"/>
          <w:sz w:val="24"/>
        </w:rPr>
        <w:t xml:space="preserve"> gene and total bacteria. FEMS Immunol Med </w:t>
      </w:r>
      <w:proofErr w:type="spellStart"/>
      <w:r w:rsidRPr="00C45A4D">
        <w:rPr>
          <w:rFonts w:ascii="Times New Roman" w:hAnsi="Times New Roman" w:cs="Times New Roman"/>
          <w:sz w:val="24"/>
        </w:rPr>
        <w:t>Microbiol</w:t>
      </w:r>
      <w:proofErr w:type="spellEnd"/>
      <w:r w:rsidRPr="00C45A4D">
        <w:rPr>
          <w:rFonts w:ascii="Times New Roman" w:hAnsi="Times New Roman" w:cs="Times New Roman"/>
          <w:sz w:val="24"/>
        </w:rPr>
        <w:t xml:space="preserve">. 2003 Oct;39(1):81–6. </w:t>
      </w:r>
    </w:p>
    <w:p w14:paraId="5A776B9C" w14:textId="77777777" w:rsidR="00C45A4D" w:rsidRPr="00C45A4D" w:rsidRDefault="00C45A4D" w:rsidP="00C45A4D">
      <w:pPr>
        <w:pStyle w:val="Bibliography"/>
        <w:rPr>
          <w:rFonts w:ascii="Times New Roman" w:hAnsi="Times New Roman" w:cs="Times New Roman"/>
          <w:sz w:val="24"/>
        </w:rPr>
      </w:pPr>
      <w:r w:rsidRPr="00C45A4D">
        <w:rPr>
          <w:rFonts w:ascii="Times New Roman" w:hAnsi="Times New Roman" w:cs="Times New Roman"/>
          <w:sz w:val="24"/>
        </w:rPr>
        <w:t>16.</w:t>
      </w:r>
      <w:r w:rsidRPr="00C45A4D">
        <w:rPr>
          <w:rFonts w:ascii="Times New Roman" w:hAnsi="Times New Roman" w:cs="Times New Roman"/>
          <w:sz w:val="24"/>
        </w:rPr>
        <w:tab/>
        <w:t xml:space="preserve">Conrads G, Gharbia SE, </w:t>
      </w:r>
      <w:proofErr w:type="spellStart"/>
      <w:r w:rsidRPr="00C45A4D">
        <w:rPr>
          <w:rFonts w:ascii="Times New Roman" w:hAnsi="Times New Roman" w:cs="Times New Roman"/>
          <w:sz w:val="24"/>
        </w:rPr>
        <w:t>Gulabivala</w:t>
      </w:r>
      <w:proofErr w:type="spellEnd"/>
      <w:r w:rsidRPr="00C45A4D">
        <w:rPr>
          <w:rFonts w:ascii="Times New Roman" w:hAnsi="Times New Roman" w:cs="Times New Roman"/>
          <w:sz w:val="24"/>
        </w:rPr>
        <w:t xml:space="preserve"> K, Lampert F, Shah HN. The use of a 16S rDNA directed PCR for the detection of </w:t>
      </w:r>
      <w:proofErr w:type="spellStart"/>
      <w:r w:rsidRPr="00C45A4D">
        <w:rPr>
          <w:rFonts w:ascii="Times New Roman" w:hAnsi="Times New Roman" w:cs="Times New Roman"/>
          <w:sz w:val="24"/>
        </w:rPr>
        <w:t>endodontopathogenic</w:t>
      </w:r>
      <w:proofErr w:type="spellEnd"/>
      <w:r w:rsidRPr="00C45A4D">
        <w:rPr>
          <w:rFonts w:ascii="Times New Roman" w:hAnsi="Times New Roman" w:cs="Times New Roman"/>
          <w:sz w:val="24"/>
        </w:rPr>
        <w:t xml:space="preserve"> Bacteria. J </w:t>
      </w:r>
      <w:proofErr w:type="spellStart"/>
      <w:r w:rsidRPr="00C45A4D">
        <w:rPr>
          <w:rFonts w:ascii="Times New Roman" w:hAnsi="Times New Roman" w:cs="Times New Roman"/>
          <w:sz w:val="24"/>
        </w:rPr>
        <w:t>Endod</w:t>
      </w:r>
      <w:proofErr w:type="spellEnd"/>
      <w:r w:rsidRPr="00C45A4D">
        <w:rPr>
          <w:rFonts w:ascii="Times New Roman" w:hAnsi="Times New Roman" w:cs="Times New Roman"/>
          <w:sz w:val="24"/>
        </w:rPr>
        <w:t xml:space="preserve">. 1997 Jul;23(7):433–8. </w:t>
      </w:r>
    </w:p>
    <w:p w14:paraId="32681790" w14:textId="77777777" w:rsidR="00C45A4D" w:rsidRPr="00C45A4D" w:rsidRDefault="00C45A4D" w:rsidP="00C45A4D">
      <w:pPr>
        <w:pStyle w:val="Bibliography"/>
        <w:rPr>
          <w:rFonts w:ascii="Times New Roman" w:hAnsi="Times New Roman" w:cs="Times New Roman"/>
          <w:sz w:val="24"/>
        </w:rPr>
      </w:pPr>
      <w:r w:rsidRPr="00C45A4D">
        <w:rPr>
          <w:rFonts w:ascii="Times New Roman" w:hAnsi="Times New Roman" w:cs="Times New Roman"/>
          <w:sz w:val="24"/>
        </w:rPr>
        <w:t>17.</w:t>
      </w:r>
      <w:r w:rsidRPr="00C45A4D">
        <w:rPr>
          <w:rFonts w:ascii="Times New Roman" w:hAnsi="Times New Roman" w:cs="Times New Roman"/>
          <w:sz w:val="24"/>
        </w:rPr>
        <w:tab/>
        <w:t xml:space="preserve">Drancourt M, </w:t>
      </w:r>
      <w:proofErr w:type="spellStart"/>
      <w:r w:rsidRPr="00C45A4D">
        <w:rPr>
          <w:rFonts w:ascii="Times New Roman" w:hAnsi="Times New Roman" w:cs="Times New Roman"/>
          <w:sz w:val="24"/>
        </w:rPr>
        <w:t>Bollet</w:t>
      </w:r>
      <w:proofErr w:type="spellEnd"/>
      <w:r w:rsidRPr="00C45A4D">
        <w:rPr>
          <w:rFonts w:ascii="Times New Roman" w:hAnsi="Times New Roman" w:cs="Times New Roman"/>
          <w:sz w:val="24"/>
        </w:rPr>
        <w:t xml:space="preserve"> C, </w:t>
      </w:r>
      <w:proofErr w:type="spellStart"/>
      <w:r w:rsidRPr="00C45A4D">
        <w:rPr>
          <w:rFonts w:ascii="Times New Roman" w:hAnsi="Times New Roman" w:cs="Times New Roman"/>
          <w:sz w:val="24"/>
        </w:rPr>
        <w:t>Carlioz</w:t>
      </w:r>
      <w:proofErr w:type="spellEnd"/>
      <w:r w:rsidRPr="00C45A4D">
        <w:rPr>
          <w:rFonts w:ascii="Times New Roman" w:hAnsi="Times New Roman" w:cs="Times New Roman"/>
          <w:sz w:val="24"/>
        </w:rPr>
        <w:t xml:space="preserve"> A, </w:t>
      </w:r>
      <w:proofErr w:type="spellStart"/>
      <w:r w:rsidRPr="00C45A4D">
        <w:rPr>
          <w:rFonts w:ascii="Times New Roman" w:hAnsi="Times New Roman" w:cs="Times New Roman"/>
          <w:sz w:val="24"/>
        </w:rPr>
        <w:t>Martelin</w:t>
      </w:r>
      <w:proofErr w:type="spellEnd"/>
      <w:r w:rsidRPr="00C45A4D">
        <w:rPr>
          <w:rFonts w:ascii="Times New Roman" w:hAnsi="Times New Roman" w:cs="Times New Roman"/>
          <w:sz w:val="24"/>
        </w:rPr>
        <w:t xml:space="preserve"> R, </w:t>
      </w:r>
      <w:proofErr w:type="spellStart"/>
      <w:r w:rsidRPr="00C45A4D">
        <w:rPr>
          <w:rFonts w:ascii="Times New Roman" w:hAnsi="Times New Roman" w:cs="Times New Roman"/>
          <w:sz w:val="24"/>
        </w:rPr>
        <w:t>Gayral</w:t>
      </w:r>
      <w:proofErr w:type="spellEnd"/>
      <w:r w:rsidRPr="00C45A4D">
        <w:rPr>
          <w:rFonts w:ascii="Times New Roman" w:hAnsi="Times New Roman" w:cs="Times New Roman"/>
          <w:sz w:val="24"/>
        </w:rPr>
        <w:t xml:space="preserve"> JP, </w:t>
      </w:r>
      <w:proofErr w:type="spellStart"/>
      <w:r w:rsidRPr="00C45A4D">
        <w:rPr>
          <w:rFonts w:ascii="Times New Roman" w:hAnsi="Times New Roman" w:cs="Times New Roman"/>
          <w:sz w:val="24"/>
        </w:rPr>
        <w:t>Raoult</w:t>
      </w:r>
      <w:proofErr w:type="spellEnd"/>
      <w:r w:rsidRPr="00C45A4D">
        <w:rPr>
          <w:rFonts w:ascii="Times New Roman" w:hAnsi="Times New Roman" w:cs="Times New Roman"/>
          <w:sz w:val="24"/>
        </w:rPr>
        <w:t xml:space="preserve"> D. 16S Ribosomal DNA Sequence Analysis of a Large Collection of Environmental and Clinical Unidentifiable Bacterial Isolates. J Clin </w:t>
      </w:r>
      <w:proofErr w:type="spellStart"/>
      <w:r w:rsidRPr="00C45A4D">
        <w:rPr>
          <w:rFonts w:ascii="Times New Roman" w:hAnsi="Times New Roman" w:cs="Times New Roman"/>
          <w:sz w:val="24"/>
        </w:rPr>
        <w:t>Microbiol</w:t>
      </w:r>
      <w:proofErr w:type="spellEnd"/>
      <w:r w:rsidRPr="00C45A4D">
        <w:rPr>
          <w:rFonts w:ascii="Times New Roman" w:hAnsi="Times New Roman" w:cs="Times New Roman"/>
          <w:sz w:val="24"/>
        </w:rPr>
        <w:t xml:space="preserve">. 2000 Oct;38(10):3623–30. </w:t>
      </w:r>
    </w:p>
    <w:p w14:paraId="5E5CCB9F" w14:textId="77777777" w:rsidR="00C45A4D" w:rsidRPr="00C45A4D" w:rsidRDefault="00C45A4D" w:rsidP="00C45A4D">
      <w:pPr>
        <w:pStyle w:val="Bibliography"/>
        <w:rPr>
          <w:rFonts w:ascii="Times New Roman" w:hAnsi="Times New Roman" w:cs="Times New Roman"/>
          <w:sz w:val="24"/>
        </w:rPr>
      </w:pPr>
      <w:r w:rsidRPr="00C45A4D">
        <w:rPr>
          <w:rFonts w:ascii="Times New Roman" w:hAnsi="Times New Roman" w:cs="Times New Roman"/>
          <w:sz w:val="24"/>
        </w:rPr>
        <w:t>18.</w:t>
      </w:r>
      <w:r w:rsidRPr="00C45A4D">
        <w:rPr>
          <w:rFonts w:ascii="Times New Roman" w:hAnsi="Times New Roman" w:cs="Times New Roman"/>
          <w:sz w:val="24"/>
        </w:rPr>
        <w:tab/>
        <w:t xml:space="preserve">Kumar PS, Leys EJ, Bryk JM, Martinez FJ, </w:t>
      </w:r>
      <w:proofErr w:type="spellStart"/>
      <w:r w:rsidRPr="00C45A4D">
        <w:rPr>
          <w:rFonts w:ascii="Times New Roman" w:hAnsi="Times New Roman" w:cs="Times New Roman"/>
          <w:sz w:val="24"/>
        </w:rPr>
        <w:t>Moeschberger</w:t>
      </w:r>
      <w:proofErr w:type="spellEnd"/>
      <w:r w:rsidRPr="00C45A4D">
        <w:rPr>
          <w:rFonts w:ascii="Times New Roman" w:hAnsi="Times New Roman" w:cs="Times New Roman"/>
          <w:sz w:val="24"/>
        </w:rPr>
        <w:t xml:space="preserve"> ML, Griffen AL. Changes in Periodontal Health Status Are Associated with Bacterial Community Shifts as Assessed by Quantitative 16S Cloning and Sequencing. J Clin </w:t>
      </w:r>
      <w:proofErr w:type="spellStart"/>
      <w:r w:rsidRPr="00C45A4D">
        <w:rPr>
          <w:rFonts w:ascii="Times New Roman" w:hAnsi="Times New Roman" w:cs="Times New Roman"/>
          <w:sz w:val="24"/>
        </w:rPr>
        <w:t>Microbiol</w:t>
      </w:r>
      <w:proofErr w:type="spellEnd"/>
      <w:r w:rsidRPr="00C45A4D">
        <w:rPr>
          <w:rFonts w:ascii="Times New Roman" w:hAnsi="Times New Roman" w:cs="Times New Roman"/>
          <w:sz w:val="24"/>
        </w:rPr>
        <w:t xml:space="preserve">. 2006 Oct;44(10):3665–73. </w:t>
      </w:r>
    </w:p>
    <w:p w14:paraId="28FC8A93" w14:textId="77777777" w:rsidR="00C45A4D" w:rsidRPr="00C45A4D" w:rsidRDefault="00C45A4D" w:rsidP="00C45A4D">
      <w:pPr>
        <w:pStyle w:val="Bibliography"/>
        <w:rPr>
          <w:rFonts w:ascii="Times New Roman" w:hAnsi="Times New Roman" w:cs="Times New Roman"/>
          <w:sz w:val="24"/>
        </w:rPr>
      </w:pPr>
      <w:r w:rsidRPr="00C45A4D">
        <w:rPr>
          <w:rFonts w:ascii="Times New Roman" w:hAnsi="Times New Roman" w:cs="Times New Roman"/>
          <w:sz w:val="24"/>
        </w:rPr>
        <w:t>19.</w:t>
      </w:r>
      <w:r w:rsidRPr="00C45A4D">
        <w:rPr>
          <w:rFonts w:ascii="Times New Roman" w:hAnsi="Times New Roman" w:cs="Times New Roman"/>
          <w:sz w:val="24"/>
        </w:rPr>
        <w:tab/>
        <w:t xml:space="preserve">Cho JC, Tiedje JM. Bacterial Species Determination from DNA-DNA Hybridization by Using Genome Fragments and DNA Microarrays. Appl Environ </w:t>
      </w:r>
      <w:proofErr w:type="spellStart"/>
      <w:r w:rsidRPr="00C45A4D">
        <w:rPr>
          <w:rFonts w:ascii="Times New Roman" w:hAnsi="Times New Roman" w:cs="Times New Roman"/>
          <w:sz w:val="24"/>
        </w:rPr>
        <w:t>Microbiol</w:t>
      </w:r>
      <w:proofErr w:type="spellEnd"/>
      <w:r w:rsidRPr="00C45A4D">
        <w:rPr>
          <w:rFonts w:ascii="Times New Roman" w:hAnsi="Times New Roman" w:cs="Times New Roman"/>
          <w:sz w:val="24"/>
        </w:rPr>
        <w:t xml:space="preserve">. 2001 Aug;67(8):3677–82. </w:t>
      </w:r>
    </w:p>
    <w:p w14:paraId="7B5CEDE2" w14:textId="77777777" w:rsidR="00C45A4D" w:rsidRPr="00C45A4D" w:rsidRDefault="00C45A4D" w:rsidP="00C45A4D">
      <w:pPr>
        <w:pStyle w:val="Bibliography"/>
        <w:rPr>
          <w:rFonts w:ascii="Times New Roman" w:hAnsi="Times New Roman" w:cs="Times New Roman"/>
          <w:sz w:val="24"/>
        </w:rPr>
      </w:pPr>
      <w:r w:rsidRPr="00C45A4D">
        <w:rPr>
          <w:rFonts w:ascii="Times New Roman" w:hAnsi="Times New Roman" w:cs="Times New Roman"/>
          <w:sz w:val="24"/>
        </w:rPr>
        <w:t>20.</w:t>
      </w:r>
      <w:r w:rsidRPr="00C45A4D">
        <w:rPr>
          <w:rFonts w:ascii="Times New Roman" w:hAnsi="Times New Roman" w:cs="Times New Roman"/>
          <w:sz w:val="24"/>
        </w:rPr>
        <w:tab/>
        <w:t xml:space="preserve">Schena M, Shalon D, Davis RW, Brown PO. Quantitative Monitoring of Gene Expression Patterns with a Complementary DNA Microarray. Science. 1995 Oct 20;270(5235):467–70. </w:t>
      </w:r>
    </w:p>
    <w:p w14:paraId="371EF80E" w14:textId="77777777" w:rsidR="00C45A4D" w:rsidRPr="00C45A4D" w:rsidRDefault="00C45A4D" w:rsidP="00C45A4D">
      <w:pPr>
        <w:pStyle w:val="Bibliography"/>
        <w:rPr>
          <w:rFonts w:ascii="Times New Roman" w:hAnsi="Times New Roman" w:cs="Times New Roman"/>
          <w:sz w:val="24"/>
        </w:rPr>
      </w:pPr>
      <w:r w:rsidRPr="00C45A4D">
        <w:rPr>
          <w:rFonts w:ascii="Times New Roman" w:hAnsi="Times New Roman" w:cs="Times New Roman"/>
          <w:sz w:val="24"/>
        </w:rPr>
        <w:t>21.</w:t>
      </w:r>
      <w:r w:rsidRPr="00C45A4D">
        <w:rPr>
          <w:rFonts w:ascii="Times New Roman" w:hAnsi="Times New Roman" w:cs="Times New Roman"/>
          <w:sz w:val="24"/>
        </w:rPr>
        <w:tab/>
        <w:t xml:space="preserve">Clarke JD, Zhu T. Microarray analysis of the transcriptome as a stepping stone towards understanding biological systems: practical considerations and perspectives. Plant J. 2006 Feb;45(4):630–50. </w:t>
      </w:r>
    </w:p>
    <w:p w14:paraId="3A1EFBCA" w14:textId="77777777" w:rsidR="00C45A4D" w:rsidRPr="00C45A4D" w:rsidRDefault="00C45A4D" w:rsidP="00C45A4D">
      <w:pPr>
        <w:pStyle w:val="Bibliography"/>
        <w:rPr>
          <w:rFonts w:ascii="Times New Roman" w:hAnsi="Times New Roman" w:cs="Times New Roman"/>
          <w:sz w:val="24"/>
        </w:rPr>
      </w:pPr>
      <w:r w:rsidRPr="00C45A4D">
        <w:rPr>
          <w:rFonts w:ascii="Times New Roman" w:hAnsi="Times New Roman" w:cs="Times New Roman"/>
          <w:sz w:val="24"/>
        </w:rPr>
        <w:t>22.</w:t>
      </w:r>
      <w:r w:rsidRPr="00C45A4D">
        <w:rPr>
          <w:rFonts w:ascii="Times New Roman" w:hAnsi="Times New Roman" w:cs="Times New Roman"/>
          <w:sz w:val="24"/>
        </w:rPr>
        <w:tab/>
        <w:t xml:space="preserve">Smoot LM, Smoot JC, Smidt H, Noble PA, </w:t>
      </w:r>
      <w:proofErr w:type="spellStart"/>
      <w:r w:rsidRPr="00C45A4D">
        <w:rPr>
          <w:rFonts w:ascii="Times New Roman" w:hAnsi="Times New Roman" w:cs="Times New Roman"/>
          <w:sz w:val="24"/>
        </w:rPr>
        <w:t>Könneke</w:t>
      </w:r>
      <w:proofErr w:type="spellEnd"/>
      <w:r w:rsidRPr="00C45A4D">
        <w:rPr>
          <w:rFonts w:ascii="Times New Roman" w:hAnsi="Times New Roman" w:cs="Times New Roman"/>
          <w:sz w:val="24"/>
        </w:rPr>
        <w:t xml:space="preserve"> M, McMurry ZA, et al. DNA Microarrays as Salivary Diagnostic Tools for Characterizing the Oral Cavity’s Microbial Community. Adv Dent Res. 2005 Jun;18(1):6–11. </w:t>
      </w:r>
    </w:p>
    <w:p w14:paraId="39184CB2" w14:textId="27888C0B" w:rsidR="00D2104A" w:rsidRPr="00C241C0" w:rsidRDefault="008D0CDD" w:rsidP="004B2134">
      <w:pPr>
        <w:pStyle w:val="ListParagraph"/>
        <w:tabs>
          <w:tab w:val="left" w:pos="901"/>
        </w:tabs>
        <w:spacing w:before="180" w:line="360" w:lineRule="auto"/>
        <w:ind w:left="643" w:right="497" w:firstLine="0"/>
        <w:jc w:val="left"/>
        <w:rPr>
          <w:rFonts w:ascii="Times New Roman" w:hAnsi="Times New Roman" w:cs="Times New Roman"/>
          <w:w w:val="105"/>
          <w:sz w:val="24"/>
          <w:szCs w:val="24"/>
        </w:rPr>
      </w:pPr>
      <w:r w:rsidRPr="00C241C0">
        <w:rPr>
          <w:rFonts w:ascii="Times New Roman" w:hAnsi="Times New Roman" w:cs="Times New Roman"/>
          <w:w w:val="105"/>
          <w:sz w:val="24"/>
          <w:szCs w:val="24"/>
        </w:rPr>
        <w:fldChar w:fldCharType="end"/>
      </w:r>
    </w:p>
    <w:sectPr w:rsidR="00D2104A" w:rsidRPr="00C241C0">
      <w:pgSz w:w="11910" w:h="16840"/>
      <w:pgMar w:top="1440" w:right="940" w:bottom="1200" w:left="126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720C5" w14:textId="77777777" w:rsidR="008A6D8C" w:rsidRDefault="008A6D8C">
      <w:r>
        <w:separator/>
      </w:r>
    </w:p>
  </w:endnote>
  <w:endnote w:type="continuationSeparator" w:id="0">
    <w:p w14:paraId="4135934E" w14:textId="77777777" w:rsidR="008A6D8C" w:rsidRDefault="008A6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0486" w14:textId="77777777" w:rsidR="004114FD" w:rsidRDefault="00D97D0A" w:rsidP="004B34E3">
    <w:pPr>
      <w:pStyle w:val="BodyText"/>
      <w:spacing w:line="14" w:lineRule="auto"/>
      <w:ind w:left="0"/>
      <w:rPr>
        <w:sz w:val="14"/>
      </w:rPr>
    </w:pPr>
    <w:r>
      <w:pict w14:anchorId="2033719B">
        <v:shapetype id="_x0000_t202" coordsize="21600,21600" o:spt="202" path="m,l,21600r21600,l21600,xe">
          <v:stroke joinstyle="miter"/>
          <v:path gradientshapeok="t" o:connecttype="rect"/>
        </v:shapetype>
        <v:shape id="_x0000_s2049" type="#_x0000_t202" style="position:absolute;left:0;text-align:left;margin-left:286.35pt;margin-top:780.9pt;width:22.75pt;height:13.05pt;z-index:-251658752;mso-position-horizontal-relative:page;mso-position-vertical-relative:page" filled="f" stroked="f">
          <v:textbox style="mso-next-textbox:#_x0000_s2049" inset="0,0,0,0">
            <w:txbxContent>
              <w:p w14:paraId="1126031F" w14:textId="2AF1F430" w:rsidR="004114FD" w:rsidRPr="00D2104A" w:rsidRDefault="004114FD">
                <w:pPr>
                  <w:spacing w:line="245" w:lineRule="exact"/>
                  <w:ind w:left="60"/>
                  <w:rPr>
                    <w:rFonts w:ascii="Calibri"/>
                    <w:lang w:val="en-IN"/>
                  </w:rPr>
                </w:pPr>
                <w:r>
                  <w:fldChar w:fldCharType="begin"/>
                </w:r>
                <w:r>
                  <w:rPr>
                    <w:rFonts w:ascii="Calibri"/>
                  </w:rPr>
                  <w:instrText xml:space="preserve"> PAGE </w:instrText>
                </w:r>
                <w:r>
                  <w:fldChar w:fldCharType="separate"/>
                </w:r>
                <w:r w:rsidR="00464E66">
                  <w:rPr>
                    <w:rFonts w:ascii="Calibri"/>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A1076" w14:textId="77777777" w:rsidR="008A6D8C" w:rsidRDefault="008A6D8C">
      <w:r>
        <w:separator/>
      </w:r>
    </w:p>
  </w:footnote>
  <w:footnote w:type="continuationSeparator" w:id="0">
    <w:p w14:paraId="7B6FB1A1" w14:textId="77777777" w:rsidR="008A6D8C" w:rsidRDefault="008A6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5E95"/>
    <w:multiLevelType w:val="hybridMultilevel"/>
    <w:tmpl w:val="A73AF15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40E0949"/>
    <w:multiLevelType w:val="hybridMultilevel"/>
    <w:tmpl w:val="E92CF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55D4273"/>
    <w:multiLevelType w:val="hybridMultilevel"/>
    <w:tmpl w:val="E32E031E"/>
    <w:lvl w:ilvl="0" w:tplc="D448472A">
      <w:start w:val="1"/>
      <w:numFmt w:val="lowerRoman"/>
      <w:lvlText w:val="%1."/>
      <w:lvlJc w:val="left"/>
      <w:pPr>
        <w:ind w:left="720" w:hanging="72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3" w15:restartNumberingAfterBreak="0">
    <w:nsid w:val="19AB600C"/>
    <w:multiLevelType w:val="hybridMultilevel"/>
    <w:tmpl w:val="CA5CE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D90656"/>
    <w:multiLevelType w:val="hybridMultilevel"/>
    <w:tmpl w:val="7512B7CC"/>
    <w:lvl w:ilvl="0" w:tplc="40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D562DB9"/>
    <w:multiLevelType w:val="hybridMultilevel"/>
    <w:tmpl w:val="8BE2D1AC"/>
    <w:lvl w:ilvl="0" w:tplc="8892E35A">
      <w:start w:val="1"/>
      <w:numFmt w:val="decimal"/>
      <w:lvlText w:val="%1."/>
      <w:lvlJc w:val="left"/>
      <w:pPr>
        <w:ind w:left="570" w:hanging="39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6" w15:restartNumberingAfterBreak="0">
    <w:nsid w:val="1F70540D"/>
    <w:multiLevelType w:val="hybridMultilevel"/>
    <w:tmpl w:val="736EE416"/>
    <w:lvl w:ilvl="0" w:tplc="4009000F">
      <w:start w:val="1"/>
      <w:numFmt w:val="decimal"/>
      <w:lvlText w:val="%1."/>
      <w:lvlJc w:val="left"/>
      <w:pPr>
        <w:ind w:left="0" w:hanging="360"/>
      </w:p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7" w15:restartNumberingAfterBreak="0">
    <w:nsid w:val="224D2F81"/>
    <w:multiLevelType w:val="hybridMultilevel"/>
    <w:tmpl w:val="C276BE96"/>
    <w:lvl w:ilvl="0" w:tplc="4009001B">
      <w:start w:val="1"/>
      <w:numFmt w:val="lowerRoman"/>
      <w:lvlText w:val="%1."/>
      <w:lvlJc w:val="righ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5DC2DA4"/>
    <w:multiLevelType w:val="hybridMultilevel"/>
    <w:tmpl w:val="D300568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8B3202D"/>
    <w:multiLevelType w:val="hybridMultilevel"/>
    <w:tmpl w:val="409AA1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C4E7088"/>
    <w:multiLevelType w:val="hybridMultilevel"/>
    <w:tmpl w:val="58AC4900"/>
    <w:lvl w:ilvl="0" w:tplc="40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583F42"/>
    <w:multiLevelType w:val="hybridMultilevel"/>
    <w:tmpl w:val="1DD0F4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0F026EB"/>
    <w:multiLevelType w:val="hybridMultilevel"/>
    <w:tmpl w:val="8FF075A2"/>
    <w:lvl w:ilvl="0" w:tplc="5B44B83A">
      <w:start w:val="1"/>
      <w:numFmt w:val="decimal"/>
      <w:lvlText w:val="%1."/>
      <w:lvlJc w:val="left"/>
      <w:pPr>
        <w:ind w:left="643" w:hanging="360"/>
        <w:jc w:val="right"/>
      </w:pPr>
      <w:rPr>
        <w:rFonts w:ascii="Cambria" w:eastAsia="Cambria" w:hAnsi="Cambria" w:cs="Cambria" w:hint="default"/>
        <w:w w:val="98"/>
        <w:sz w:val="26"/>
        <w:szCs w:val="26"/>
        <w:lang w:val="en-US" w:eastAsia="en-US" w:bidi="ar-SA"/>
      </w:rPr>
    </w:lvl>
    <w:lvl w:ilvl="1" w:tplc="121282D0">
      <w:numFmt w:val="bullet"/>
      <w:lvlText w:val="•"/>
      <w:lvlJc w:val="left"/>
      <w:pPr>
        <w:ind w:left="1780" w:hanging="360"/>
      </w:pPr>
      <w:rPr>
        <w:rFonts w:hint="default"/>
        <w:lang w:val="en-US" w:eastAsia="en-US" w:bidi="ar-SA"/>
      </w:rPr>
    </w:lvl>
    <w:lvl w:ilvl="2" w:tplc="D256BF38">
      <w:numFmt w:val="bullet"/>
      <w:lvlText w:val="•"/>
      <w:lvlJc w:val="left"/>
      <w:pPr>
        <w:ind w:left="2661" w:hanging="360"/>
      </w:pPr>
      <w:rPr>
        <w:rFonts w:hint="default"/>
        <w:lang w:val="en-US" w:eastAsia="en-US" w:bidi="ar-SA"/>
      </w:rPr>
    </w:lvl>
    <w:lvl w:ilvl="3" w:tplc="395862D4">
      <w:numFmt w:val="bullet"/>
      <w:lvlText w:val="•"/>
      <w:lvlJc w:val="left"/>
      <w:pPr>
        <w:ind w:left="3541" w:hanging="360"/>
      </w:pPr>
      <w:rPr>
        <w:rFonts w:hint="default"/>
        <w:lang w:val="en-US" w:eastAsia="en-US" w:bidi="ar-SA"/>
      </w:rPr>
    </w:lvl>
    <w:lvl w:ilvl="4" w:tplc="F844DDF6">
      <w:numFmt w:val="bullet"/>
      <w:lvlText w:val="•"/>
      <w:lvlJc w:val="left"/>
      <w:pPr>
        <w:ind w:left="4422" w:hanging="360"/>
      </w:pPr>
      <w:rPr>
        <w:rFonts w:hint="default"/>
        <w:lang w:val="en-US" w:eastAsia="en-US" w:bidi="ar-SA"/>
      </w:rPr>
    </w:lvl>
    <w:lvl w:ilvl="5" w:tplc="B20E4144">
      <w:numFmt w:val="bullet"/>
      <w:lvlText w:val="•"/>
      <w:lvlJc w:val="left"/>
      <w:pPr>
        <w:ind w:left="5303" w:hanging="360"/>
      </w:pPr>
      <w:rPr>
        <w:rFonts w:hint="default"/>
        <w:lang w:val="en-US" w:eastAsia="en-US" w:bidi="ar-SA"/>
      </w:rPr>
    </w:lvl>
    <w:lvl w:ilvl="6" w:tplc="3A80B7C6">
      <w:numFmt w:val="bullet"/>
      <w:lvlText w:val="•"/>
      <w:lvlJc w:val="left"/>
      <w:pPr>
        <w:ind w:left="6183" w:hanging="360"/>
      </w:pPr>
      <w:rPr>
        <w:rFonts w:hint="default"/>
        <w:lang w:val="en-US" w:eastAsia="en-US" w:bidi="ar-SA"/>
      </w:rPr>
    </w:lvl>
    <w:lvl w:ilvl="7" w:tplc="D62003B0">
      <w:numFmt w:val="bullet"/>
      <w:lvlText w:val="•"/>
      <w:lvlJc w:val="left"/>
      <w:pPr>
        <w:ind w:left="7064" w:hanging="360"/>
      </w:pPr>
      <w:rPr>
        <w:rFonts w:hint="default"/>
        <w:lang w:val="en-US" w:eastAsia="en-US" w:bidi="ar-SA"/>
      </w:rPr>
    </w:lvl>
    <w:lvl w:ilvl="8" w:tplc="AF76CE4C">
      <w:numFmt w:val="bullet"/>
      <w:lvlText w:val="•"/>
      <w:lvlJc w:val="left"/>
      <w:pPr>
        <w:ind w:left="7945" w:hanging="360"/>
      </w:pPr>
      <w:rPr>
        <w:rFonts w:hint="default"/>
        <w:lang w:val="en-US" w:eastAsia="en-US" w:bidi="ar-SA"/>
      </w:rPr>
    </w:lvl>
  </w:abstractNum>
  <w:abstractNum w:abstractNumId="13" w15:restartNumberingAfterBreak="0">
    <w:nsid w:val="33A04AB4"/>
    <w:multiLevelType w:val="hybridMultilevel"/>
    <w:tmpl w:val="8C78828E"/>
    <w:lvl w:ilvl="0" w:tplc="4009000F">
      <w:start w:val="1"/>
      <w:numFmt w:val="decimal"/>
      <w:lvlText w:val="%1."/>
      <w:lvlJc w:val="left"/>
      <w:pPr>
        <w:ind w:left="-144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0" w:hanging="360"/>
      </w:pPr>
      <w:rPr>
        <w:rFonts w:ascii="Wingdings" w:hAnsi="Wingdings" w:hint="default"/>
      </w:rPr>
    </w:lvl>
    <w:lvl w:ilvl="3" w:tplc="FFFFFFFF" w:tentative="1">
      <w:start w:val="1"/>
      <w:numFmt w:val="bullet"/>
      <w:lvlText w:val=""/>
      <w:lvlJc w:val="left"/>
      <w:pPr>
        <w:ind w:left="720" w:hanging="360"/>
      </w:pPr>
      <w:rPr>
        <w:rFonts w:ascii="Symbol" w:hAnsi="Symbol" w:hint="default"/>
      </w:rPr>
    </w:lvl>
    <w:lvl w:ilvl="4" w:tplc="FFFFFFFF" w:tentative="1">
      <w:start w:val="1"/>
      <w:numFmt w:val="bullet"/>
      <w:lvlText w:val="o"/>
      <w:lvlJc w:val="left"/>
      <w:pPr>
        <w:ind w:left="1440" w:hanging="360"/>
      </w:pPr>
      <w:rPr>
        <w:rFonts w:ascii="Courier New" w:hAnsi="Courier New" w:cs="Courier New" w:hint="default"/>
      </w:rPr>
    </w:lvl>
    <w:lvl w:ilvl="5" w:tplc="FFFFFFFF" w:tentative="1">
      <w:start w:val="1"/>
      <w:numFmt w:val="bullet"/>
      <w:lvlText w:val=""/>
      <w:lvlJc w:val="left"/>
      <w:pPr>
        <w:ind w:left="2160" w:hanging="360"/>
      </w:pPr>
      <w:rPr>
        <w:rFonts w:ascii="Wingdings" w:hAnsi="Wingdings" w:hint="default"/>
      </w:rPr>
    </w:lvl>
    <w:lvl w:ilvl="6" w:tplc="FFFFFFFF" w:tentative="1">
      <w:start w:val="1"/>
      <w:numFmt w:val="bullet"/>
      <w:lvlText w:val=""/>
      <w:lvlJc w:val="left"/>
      <w:pPr>
        <w:ind w:left="2880" w:hanging="360"/>
      </w:pPr>
      <w:rPr>
        <w:rFonts w:ascii="Symbol" w:hAnsi="Symbol" w:hint="default"/>
      </w:rPr>
    </w:lvl>
    <w:lvl w:ilvl="7" w:tplc="FFFFFFFF" w:tentative="1">
      <w:start w:val="1"/>
      <w:numFmt w:val="bullet"/>
      <w:lvlText w:val="o"/>
      <w:lvlJc w:val="left"/>
      <w:pPr>
        <w:ind w:left="3600" w:hanging="360"/>
      </w:pPr>
      <w:rPr>
        <w:rFonts w:ascii="Courier New" w:hAnsi="Courier New" w:cs="Courier New" w:hint="default"/>
      </w:rPr>
    </w:lvl>
    <w:lvl w:ilvl="8" w:tplc="FFFFFFFF" w:tentative="1">
      <w:start w:val="1"/>
      <w:numFmt w:val="bullet"/>
      <w:lvlText w:val=""/>
      <w:lvlJc w:val="left"/>
      <w:pPr>
        <w:ind w:left="4320" w:hanging="360"/>
      </w:pPr>
      <w:rPr>
        <w:rFonts w:ascii="Wingdings" w:hAnsi="Wingdings" w:hint="default"/>
      </w:rPr>
    </w:lvl>
  </w:abstractNum>
  <w:abstractNum w:abstractNumId="14" w15:restartNumberingAfterBreak="0">
    <w:nsid w:val="37167C06"/>
    <w:multiLevelType w:val="hybridMultilevel"/>
    <w:tmpl w:val="7D92E2FA"/>
    <w:lvl w:ilvl="0" w:tplc="40090001">
      <w:start w:val="1"/>
      <w:numFmt w:val="bullet"/>
      <w:lvlText w:val=""/>
      <w:lvlJc w:val="left"/>
      <w:pPr>
        <w:ind w:left="1260" w:hanging="360"/>
      </w:pPr>
      <w:rPr>
        <w:rFonts w:ascii="Symbol" w:hAnsi="Symbol"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15" w15:restartNumberingAfterBreak="0">
    <w:nsid w:val="39325FE5"/>
    <w:multiLevelType w:val="hybridMultilevel"/>
    <w:tmpl w:val="362A3EDC"/>
    <w:lvl w:ilvl="0" w:tplc="D448472A">
      <w:start w:val="1"/>
      <w:numFmt w:val="lowerRoman"/>
      <w:lvlText w:val="%1."/>
      <w:lvlJc w:val="left"/>
      <w:pPr>
        <w:ind w:left="144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E4D5794"/>
    <w:multiLevelType w:val="hybridMultilevel"/>
    <w:tmpl w:val="11B808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4A7713F"/>
    <w:multiLevelType w:val="hybridMultilevel"/>
    <w:tmpl w:val="7C566674"/>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93704E6"/>
    <w:multiLevelType w:val="hybridMultilevel"/>
    <w:tmpl w:val="FAA644F6"/>
    <w:lvl w:ilvl="0" w:tplc="D448472A">
      <w:start w:val="1"/>
      <w:numFmt w:val="lowerRoman"/>
      <w:lvlText w:val="%1."/>
      <w:lvlJc w:val="left"/>
      <w:pPr>
        <w:ind w:left="720" w:hanging="72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19" w15:restartNumberingAfterBreak="0">
    <w:nsid w:val="4DC54338"/>
    <w:multiLevelType w:val="multilevel"/>
    <w:tmpl w:val="B30A29F4"/>
    <w:lvl w:ilvl="0">
      <w:start w:val="10"/>
      <w:numFmt w:val="decimal"/>
      <w:lvlText w:val="%1"/>
      <w:lvlJc w:val="left"/>
      <w:pPr>
        <w:ind w:left="698" w:hanging="519"/>
      </w:pPr>
      <w:rPr>
        <w:rFonts w:hint="default"/>
        <w:lang w:val="en-US" w:eastAsia="en-US" w:bidi="ar-SA"/>
      </w:rPr>
    </w:lvl>
    <w:lvl w:ilvl="1">
      <w:start w:val="1"/>
      <w:numFmt w:val="decimal"/>
      <w:lvlText w:val="%1.%2"/>
      <w:lvlJc w:val="left"/>
      <w:pPr>
        <w:ind w:left="698" w:hanging="519"/>
      </w:pPr>
      <w:rPr>
        <w:rFonts w:ascii="Palatino Linotype" w:eastAsia="Palatino Linotype" w:hAnsi="Palatino Linotype" w:cs="Palatino Linotype" w:hint="default"/>
        <w:b/>
        <w:bCs/>
        <w:w w:val="99"/>
        <w:sz w:val="26"/>
        <w:szCs w:val="26"/>
        <w:lang w:val="en-US" w:eastAsia="en-US" w:bidi="ar-SA"/>
      </w:rPr>
    </w:lvl>
    <w:lvl w:ilvl="2">
      <w:numFmt w:val="bullet"/>
      <w:lvlText w:val=""/>
      <w:lvlJc w:val="left"/>
      <w:pPr>
        <w:ind w:left="900" w:hanging="360"/>
      </w:pPr>
      <w:rPr>
        <w:rFonts w:ascii="Symbol" w:eastAsia="Symbol" w:hAnsi="Symbol" w:cs="Symbol" w:hint="default"/>
        <w:w w:val="99"/>
        <w:sz w:val="26"/>
        <w:szCs w:val="26"/>
        <w:lang w:val="en-US" w:eastAsia="en-US" w:bidi="ar-SA"/>
      </w:rPr>
    </w:lvl>
    <w:lvl w:ilvl="3">
      <w:numFmt w:val="bullet"/>
      <w:lvlText w:val="•"/>
      <w:lvlJc w:val="left"/>
      <w:pPr>
        <w:ind w:left="2856" w:hanging="360"/>
      </w:pPr>
      <w:rPr>
        <w:rFonts w:hint="default"/>
        <w:lang w:val="en-US" w:eastAsia="en-US" w:bidi="ar-SA"/>
      </w:rPr>
    </w:lvl>
    <w:lvl w:ilvl="4">
      <w:numFmt w:val="bullet"/>
      <w:lvlText w:val="•"/>
      <w:lvlJc w:val="left"/>
      <w:pPr>
        <w:ind w:left="3835" w:hanging="360"/>
      </w:pPr>
      <w:rPr>
        <w:rFonts w:hint="default"/>
        <w:lang w:val="en-US" w:eastAsia="en-US" w:bidi="ar-SA"/>
      </w:rPr>
    </w:lvl>
    <w:lvl w:ilvl="5">
      <w:numFmt w:val="bullet"/>
      <w:lvlText w:val="•"/>
      <w:lvlJc w:val="left"/>
      <w:pPr>
        <w:ind w:left="4813" w:hanging="360"/>
      </w:pPr>
      <w:rPr>
        <w:rFonts w:hint="default"/>
        <w:lang w:val="en-US" w:eastAsia="en-US" w:bidi="ar-SA"/>
      </w:rPr>
    </w:lvl>
    <w:lvl w:ilvl="6">
      <w:numFmt w:val="bullet"/>
      <w:lvlText w:val="•"/>
      <w:lvlJc w:val="left"/>
      <w:pPr>
        <w:ind w:left="5792" w:hanging="360"/>
      </w:pPr>
      <w:rPr>
        <w:rFonts w:hint="default"/>
        <w:lang w:val="en-US" w:eastAsia="en-US" w:bidi="ar-SA"/>
      </w:rPr>
    </w:lvl>
    <w:lvl w:ilvl="7">
      <w:numFmt w:val="bullet"/>
      <w:lvlText w:val="•"/>
      <w:lvlJc w:val="left"/>
      <w:pPr>
        <w:ind w:left="6770" w:hanging="360"/>
      </w:pPr>
      <w:rPr>
        <w:rFonts w:hint="default"/>
        <w:lang w:val="en-US" w:eastAsia="en-US" w:bidi="ar-SA"/>
      </w:rPr>
    </w:lvl>
    <w:lvl w:ilvl="8">
      <w:numFmt w:val="bullet"/>
      <w:lvlText w:val="•"/>
      <w:lvlJc w:val="left"/>
      <w:pPr>
        <w:ind w:left="7749" w:hanging="360"/>
      </w:pPr>
      <w:rPr>
        <w:rFonts w:hint="default"/>
        <w:lang w:val="en-US" w:eastAsia="en-US" w:bidi="ar-SA"/>
      </w:rPr>
    </w:lvl>
  </w:abstractNum>
  <w:abstractNum w:abstractNumId="20" w15:restartNumberingAfterBreak="0">
    <w:nsid w:val="4E3E5A3F"/>
    <w:multiLevelType w:val="hybridMultilevel"/>
    <w:tmpl w:val="D28AB640"/>
    <w:lvl w:ilvl="0" w:tplc="2B90B36E">
      <w:start w:val="11"/>
      <w:numFmt w:val="decimal"/>
      <w:lvlText w:val="%1."/>
      <w:lvlJc w:val="left"/>
      <w:pPr>
        <w:ind w:left="607" w:hanging="428"/>
      </w:pPr>
      <w:rPr>
        <w:rFonts w:ascii="Palatino Linotype" w:eastAsia="Palatino Linotype" w:hAnsi="Palatino Linotype" w:cs="Palatino Linotype" w:hint="default"/>
        <w:b/>
        <w:bCs/>
        <w:w w:val="99"/>
        <w:sz w:val="26"/>
        <w:szCs w:val="26"/>
        <w:lang w:val="en-US" w:eastAsia="en-US" w:bidi="ar-SA"/>
      </w:rPr>
    </w:lvl>
    <w:lvl w:ilvl="1" w:tplc="2B8AD650">
      <w:numFmt w:val="bullet"/>
      <w:lvlText w:val=""/>
      <w:lvlJc w:val="left"/>
      <w:pPr>
        <w:ind w:left="900" w:hanging="360"/>
      </w:pPr>
      <w:rPr>
        <w:rFonts w:ascii="Symbol" w:eastAsia="Symbol" w:hAnsi="Symbol" w:cs="Symbol" w:hint="default"/>
        <w:w w:val="99"/>
        <w:sz w:val="26"/>
        <w:szCs w:val="26"/>
        <w:lang w:val="en-US" w:eastAsia="en-US" w:bidi="ar-SA"/>
      </w:rPr>
    </w:lvl>
    <w:lvl w:ilvl="2" w:tplc="3CB2D94C">
      <w:numFmt w:val="bullet"/>
      <w:lvlText w:val="•"/>
      <w:lvlJc w:val="left"/>
      <w:pPr>
        <w:ind w:left="1878" w:hanging="360"/>
      </w:pPr>
      <w:rPr>
        <w:rFonts w:hint="default"/>
        <w:lang w:val="en-US" w:eastAsia="en-US" w:bidi="ar-SA"/>
      </w:rPr>
    </w:lvl>
    <w:lvl w:ilvl="3" w:tplc="F3B2B410">
      <w:numFmt w:val="bullet"/>
      <w:lvlText w:val="•"/>
      <w:lvlJc w:val="left"/>
      <w:pPr>
        <w:ind w:left="2856" w:hanging="360"/>
      </w:pPr>
      <w:rPr>
        <w:rFonts w:hint="default"/>
        <w:lang w:val="en-US" w:eastAsia="en-US" w:bidi="ar-SA"/>
      </w:rPr>
    </w:lvl>
    <w:lvl w:ilvl="4" w:tplc="384E79EE">
      <w:numFmt w:val="bullet"/>
      <w:lvlText w:val="•"/>
      <w:lvlJc w:val="left"/>
      <w:pPr>
        <w:ind w:left="3835" w:hanging="360"/>
      </w:pPr>
      <w:rPr>
        <w:rFonts w:hint="default"/>
        <w:lang w:val="en-US" w:eastAsia="en-US" w:bidi="ar-SA"/>
      </w:rPr>
    </w:lvl>
    <w:lvl w:ilvl="5" w:tplc="FF028D7A">
      <w:numFmt w:val="bullet"/>
      <w:lvlText w:val="•"/>
      <w:lvlJc w:val="left"/>
      <w:pPr>
        <w:ind w:left="4813" w:hanging="360"/>
      </w:pPr>
      <w:rPr>
        <w:rFonts w:hint="default"/>
        <w:lang w:val="en-US" w:eastAsia="en-US" w:bidi="ar-SA"/>
      </w:rPr>
    </w:lvl>
    <w:lvl w:ilvl="6" w:tplc="0DCE089A">
      <w:numFmt w:val="bullet"/>
      <w:lvlText w:val="•"/>
      <w:lvlJc w:val="left"/>
      <w:pPr>
        <w:ind w:left="5792" w:hanging="360"/>
      </w:pPr>
      <w:rPr>
        <w:rFonts w:hint="default"/>
        <w:lang w:val="en-US" w:eastAsia="en-US" w:bidi="ar-SA"/>
      </w:rPr>
    </w:lvl>
    <w:lvl w:ilvl="7" w:tplc="7BEA48C0">
      <w:numFmt w:val="bullet"/>
      <w:lvlText w:val="•"/>
      <w:lvlJc w:val="left"/>
      <w:pPr>
        <w:ind w:left="6770" w:hanging="360"/>
      </w:pPr>
      <w:rPr>
        <w:rFonts w:hint="default"/>
        <w:lang w:val="en-US" w:eastAsia="en-US" w:bidi="ar-SA"/>
      </w:rPr>
    </w:lvl>
    <w:lvl w:ilvl="8" w:tplc="814A8E48">
      <w:numFmt w:val="bullet"/>
      <w:lvlText w:val="•"/>
      <w:lvlJc w:val="left"/>
      <w:pPr>
        <w:ind w:left="7749" w:hanging="360"/>
      </w:pPr>
      <w:rPr>
        <w:rFonts w:hint="default"/>
        <w:lang w:val="en-US" w:eastAsia="en-US" w:bidi="ar-SA"/>
      </w:rPr>
    </w:lvl>
  </w:abstractNum>
  <w:abstractNum w:abstractNumId="21" w15:restartNumberingAfterBreak="0">
    <w:nsid w:val="4F66393A"/>
    <w:multiLevelType w:val="hybridMultilevel"/>
    <w:tmpl w:val="A28444E2"/>
    <w:lvl w:ilvl="0" w:tplc="9B2EBFAC">
      <w:start w:val="1"/>
      <w:numFmt w:val="lowerRoman"/>
      <w:lvlText w:val="%1."/>
      <w:lvlJc w:val="left"/>
      <w:pPr>
        <w:ind w:left="1260" w:hanging="72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22" w15:restartNumberingAfterBreak="0">
    <w:nsid w:val="4FDA27E7"/>
    <w:multiLevelType w:val="hybridMultilevel"/>
    <w:tmpl w:val="E31A02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2C34D5F"/>
    <w:multiLevelType w:val="hybridMultilevel"/>
    <w:tmpl w:val="FA02C91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0" w:hanging="360"/>
      </w:pPr>
      <w:rPr>
        <w:rFonts w:ascii="Wingdings" w:hAnsi="Wingdings" w:hint="default"/>
      </w:rPr>
    </w:lvl>
    <w:lvl w:ilvl="3" w:tplc="40090001" w:tentative="1">
      <w:start w:val="1"/>
      <w:numFmt w:val="bullet"/>
      <w:lvlText w:val=""/>
      <w:lvlJc w:val="left"/>
      <w:pPr>
        <w:ind w:left="720" w:hanging="360"/>
      </w:pPr>
      <w:rPr>
        <w:rFonts w:ascii="Symbol" w:hAnsi="Symbol" w:hint="default"/>
      </w:rPr>
    </w:lvl>
    <w:lvl w:ilvl="4" w:tplc="40090003" w:tentative="1">
      <w:start w:val="1"/>
      <w:numFmt w:val="bullet"/>
      <w:lvlText w:val="o"/>
      <w:lvlJc w:val="left"/>
      <w:pPr>
        <w:ind w:left="1440" w:hanging="360"/>
      </w:pPr>
      <w:rPr>
        <w:rFonts w:ascii="Courier New" w:hAnsi="Courier New" w:cs="Courier New" w:hint="default"/>
      </w:rPr>
    </w:lvl>
    <w:lvl w:ilvl="5" w:tplc="40090005" w:tentative="1">
      <w:start w:val="1"/>
      <w:numFmt w:val="bullet"/>
      <w:lvlText w:val=""/>
      <w:lvlJc w:val="left"/>
      <w:pPr>
        <w:ind w:left="2160" w:hanging="360"/>
      </w:pPr>
      <w:rPr>
        <w:rFonts w:ascii="Wingdings" w:hAnsi="Wingdings" w:hint="default"/>
      </w:rPr>
    </w:lvl>
    <w:lvl w:ilvl="6" w:tplc="40090001" w:tentative="1">
      <w:start w:val="1"/>
      <w:numFmt w:val="bullet"/>
      <w:lvlText w:val=""/>
      <w:lvlJc w:val="left"/>
      <w:pPr>
        <w:ind w:left="2880" w:hanging="360"/>
      </w:pPr>
      <w:rPr>
        <w:rFonts w:ascii="Symbol" w:hAnsi="Symbol" w:hint="default"/>
      </w:rPr>
    </w:lvl>
    <w:lvl w:ilvl="7" w:tplc="40090003" w:tentative="1">
      <w:start w:val="1"/>
      <w:numFmt w:val="bullet"/>
      <w:lvlText w:val="o"/>
      <w:lvlJc w:val="left"/>
      <w:pPr>
        <w:ind w:left="3600" w:hanging="360"/>
      </w:pPr>
      <w:rPr>
        <w:rFonts w:ascii="Courier New" w:hAnsi="Courier New" w:cs="Courier New" w:hint="default"/>
      </w:rPr>
    </w:lvl>
    <w:lvl w:ilvl="8" w:tplc="40090005" w:tentative="1">
      <w:start w:val="1"/>
      <w:numFmt w:val="bullet"/>
      <w:lvlText w:val=""/>
      <w:lvlJc w:val="left"/>
      <w:pPr>
        <w:ind w:left="4320" w:hanging="360"/>
      </w:pPr>
      <w:rPr>
        <w:rFonts w:ascii="Wingdings" w:hAnsi="Wingdings" w:hint="default"/>
      </w:rPr>
    </w:lvl>
  </w:abstractNum>
  <w:abstractNum w:abstractNumId="24" w15:restartNumberingAfterBreak="0">
    <w:nsid w:val="56BF13F1"/>
    <w:multiLevelType w:val="hybridMultilevel"/>
    <w:tmpl w:val="50CCFD56"/>
    <w:lvl w:ilvl="0" w:tplc="7270AEB6">
      <w:start w:val="231"/>
      <w:numFmt w:val="decimal"/>
      <w:lvlText w:val="%1."/>
      <w:lvlJc w:val="left"/>
      <w:pPr>
        <w:ind w:left="862" w:hanging="579"/>
      </w:pPr>
      <w:rPr>
        <w:rFonts w:ascii="Cambria" w:eastAsia="Cambria" w:hAnsi="Cambria" w:cs="Cambria" w:hint="default"/>
        <w:w w:val="93"/>
        <w:sz w:val="26"/>
        <w:szCs w:val="26"/>
        <w:lang w:val="en-US" w:eastAsia="en-US" w:bidi="ar-SA"/>
      </w:rPr>
    </w:lvl>
    <w:lvl w:ilvl="1" w:tplc="F23438E2">
      <w:numFmt w:val="bullet"/>
      <w:lvlText w:val="•"/>
      <w:lvlJc w:val="left"/>
      <w:pPr>
        <w:ind w:left="1780" w:hanging="579"/>
      </w:pPr>
      <w:rPr>
        <w:rFonts w:hint="default"/>
        <w:lang w:val="en-US" w:eastAsia="en-US" w:bidi="ar-SA"/>
      </w:rPr>
    </w:lvl>
    <w:lvl w:ilvl="2" w:tplc="BF5CA15C">
      <w:numFmt w:val="bullet"/>
      <w:lvlText w:val="•"/>
      <w:lvlJc w:val="left"/>
      <w:pPr>
        <w:ind w:left="2661" w:hanging="579"/>
      </w:pPr>
      <w:rPr>
        <w:rFonts w:hint="default"/>
        <w:lang w:val="en-US" w:eastAsia="en-US" w:bidi="ar-SA"/>
      </w:rPr>
    </w:lvl>
    <w:lvl w:ilvl="3" w:tplc="EC26075C">
      <w:numFmt w:val="bullet"/>
      <w:lvlText w:val="•"/>
      <w:lvlJc w:val="left"/>
      <w:pPr>
        <w:ind w:left="3541" w:hanging="579"/>
      </w:pPr>
      <w:rPr>
        <w:rFonts w:hint="default"/>
        <w:lang w:val="en-US" w:eastAsia="en-US" w:bidi="ar-SA"/>
      </w:rPr>
    </w:lvl>
    <w:lvl w:ilvl="4" w:tplc="CC126BB4">
      <w:numFmt w:val="bullet"/>
      <w:lvlText w:val="•"/>
      <w:lvlJc w:val="left"/>
      <w:pPr>
        <w:ind w:left="4422" w:hanging="579"/>
      </w:pPr>
      <w:rPr>
        <w:rFonts w:hint="default"/>
        <w:lang w:val="en-US" w:eastAsia="en-US" w:bidi="ar-SA"/>
      </w:rPr>
    </w:lvl>
    <w:lvl w:ilvl="5" w:tplc="6A105EF2">
      <w:numFmt w:val="bullet"/>
      <w:lvlText w:val="•"/>
      <w:lvlJc w:val="left"/>
      <w:pPr>
        <w:ind w:left="5303" w:hanging="579"/>
      </w:pPr>
      <w:rPr>
        <w:rFonts w:hint="default"/>
        <w:lang w:val="en-US" w:eastAsia="en-US" w:bidi="ar-SA"/>
      </w:rPr>
    </w:lvl>
    <w:lvl w:ilvl="6" w:tplc="C70C9466">
      <w:numFmt w:val="bullet"/>
      <w:lvlText w:val="•"/>
      <w:lvlJc w:val="left"/>
      <w:pPr>
        <w:ind w:left="6183" w:hanging="579"/>
      </w:pPr>
      <w:rPr>
        <w:rFonts w:hint="default"/>
        <w:lang w:val="en-US" w:eastAsia="en-US" w:bidi="ar-SA"/>
      </w:rPr>
    </w:lvl>
    <w:lvl w:ilvl="7" w:tplc="B1F6BD1E">
      <w:numFmt w:val="bullet"/>
      <w:lvlText w:val="•"/>
      <w:lvlJc w:val="left"/>
      <w:pPr>
        <w:ind w:left="7064" w:hanging="579"/>
      </w:pPr>
      <w:rPr>
        <w:rFonts w:hint="default"/>
        <w:lang w:val="en-US" w:eastAsia="en-US" w:bidi="ar-SA"/>
      </w:rPr>
    </w:lvl>
    <w:lvl w:ilvl="8" w:tplc="A9B88A76">
      <w:numFmt w:val="bullet"/>
      <w:lvlText w:val="•"/>
      <w:lvlJc w:val="left"/>
      <w:pPr>
        <w:ind w:left="7945" w:hanging="579"/>
      </w:pPr>
      <w:rPr>
        <w:rFonts w:hint="default"/>
        <w:lang w:val="en-US" w:eastAsia="en-US" w:bidi="ar-SA"/>
      </w:rPr>
    </w:lvl>
  </w:abstractNum>
  <w:abstractNum w:abstractNumId="25" w15:restartNumberingAfterBreak="0">
    <w:nsid w:val="573436AF"/>
    <w:multiLevelType w:val="hybridMultilevel"/>
    <w:tmpl w:val="DC1CD816"/>
    <w:lvl w:ilvl="0" w:tplc="40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9AD0824"/>
    <w:multiLevelType w:val="hybridMultilevel"/>
    <w:tmpl w:val="10E8D5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DEC7EB8"/>
    <w:multiLevelType w:val="hybridMultilevel"/>
    <w:tmpl w:val="3A6A43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E164C59"/>
    <w:multiLevelType w:val="hybridMultilevel"/>
    <w:tmpl w:val="349EFE4E"/>
    <w:lvl w:ilvl="0" w:tplc="4009000F">
      <w:start w:val="1"/>
      <w:numFmt w:val="decimal"/>
      <w:lvlText w:val="%1."/>
      <w:lvlJc w:val="left"/>
      <w:pPr>
        <w:ind w:left="360" w:hanging="360"/>
      </w:pPr>
    </w:lvl>
    <w:lvl w:ilvl="1" w:tplc="D448472A">
      <w:start w:val="1"/>
      <w:numFmt w:val="lowerRoman"/>
      <w:lvlText w:val="%2."/>
      <w:lvlJc w:val="left"/>
      <w:pPr>
        <w:ind w:left="1440" w:hanging="72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5E8016E3"/>
    <w:multiLevelType w:val="hybridMultilevel"/>
    <w:tmpl w:val="458C6144"/>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5EF76D23"/>
    <w:multiLevelType w:val="hybridMultilevel"/>
    <w:tmpl w:val="4F0C0F22"/>
    <w:lvl w:ilvl="0" w:tplc="4009000F">
      <w:start w:val="1"/>
      <w:numFmt w:val="decimal"/>
      <w:lvlText w:val="%1."/>
      <w:lvlJc w:val="left"/>
      <w:pPr>
        <w:ind w:left="1079" w:hanging="360"/>
      </w:pPr>
    </w:lvl>
    <w:lvl w:ilvl="1" w:tplc="40090019" w:tentative="1">
      <w:start w:val="1"/>
      <w:numFmt w:val="lowerLetter"/>
      <w:lvlText w:val="%2."/>
      <w:lvlJc w:val="left"/>
      <w:pPr>
        <w:ind w:left="1799" w:hanging="360"/>
      </w:pPr>
    </w:lvl>
    <w:lvl w:ilvl="2" w:tplc="4009001B" w:tentative="1">
      <w:start w:val="1"/>
      <w:numFmt w:val="lowerRoman"/>
      <w:lvlText w:val="%3."/>
      <w:lvlJc w:val="right"/>
      <w:pPr>
        <w:ind w:left="2519" w:hanging="180"/>
      </w:pPr>
    </w:lvl>
    <w:lvl w:ilvl="3" w:tplc="4009000F" w:tentative="1">
      <w:start w:val="1"/>
      <w:numFmt w:val="decimal"/>
      <w:lvlText w:val="%4."/>
      <w:lvlJc w:val="left"/>
      <w:pPr>
        <w:ind w:left="3239" w:hanging="360"/>
      </w:pPr>
    </w:lvl>
    <w:lvl w:ilvl="4" w:tplc="40090019" w:tentative="1">
      <w:start w:val="1"/>
      <w:numFmt w:val="lowerLetter"/>
      <w:lvlText w:val="%5."/>
      <w:lvlJc w:val="left"/>
      <w:pPr>
        <w:ind w:left="3959" w:hanging="360"/>
      </w:pPr>
    </w:lvl>
    <w:lvl w:ilvl="5" w:tplc="4009001B" w:tentative="1">
      <w:start w:val="1"/>
      <w:numFmt w:val="lowerRoman"/>
      <w:lvlText w:val="%6."/>
      <w:lvlJc w:val="right"/>
      <w:pPr>
        <w:ind w:left="4679" w:hanging="180"/>
      </w:pPr>
    </w:lvl>
    <w:lvl w:ilvl="6" w:tplc="4009000F" w:tentative="1">
      <w:start w:val="1"/>
      <w:numFmt w:val="decimal"/>
      <w:lvlText w:val="%7."/>
      <w:lvlJc w:val="left"/>
      <w:pPr>
        <w:ind w:left="5399" w:hanging="360"/>
      </w:pPr>
    </w:lvl>
    <w:lvl w:ilvl="7" w:tplc="40090019" w:tentative="1">
      <w:start w:val="1"/>
      <w:numFmt w:val="lowerLetter"/>
      <w:lvlText w:val="%8."/>
      <w:lvlJc w:val="left"/>
      <w:pPr>
        <w:ind w:left="6119" w:hanging="360"/>
      </w:pPr>
    </w:lvl>
    <w:lvl w:ilvl="8" w:tplc="4009001B" w:tentative="1">
      <w:start w:val="1"/>
      <w:numFmt w:val="lowerRoman"/>
      <w:lvlText w:val="%9."/>
      <w:lvlJc w:val="right"/>
      <w:pPr>
        <w:ind w:left="6839" w:hanging="180"/>
      </w:pPr>
    </w:lvl>
  </w:abstractNum>
  <w:abstractNum w:abstractNumId="31" w15:restartNumberingAfterBreak="0">
    <w:nsid w:val="789D005D"/>
    <w:multiLevelType w:val="hybridMultilevel"/>
    <w:tmpl w:val="450C468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040206991">
    <w:abstractNumId w:val="24"/>
  </w:num>
  <w:num w:numId="2" w16cid:durableId="402064270">
    <w:abstractNumId w:val="12"/>
  </w:num>
  <w:num w:numId="3" w16cid:durableId="1855265467">
    <w:abstractNumId w:val="20"/>
  </w:num>
  <w:num w:numId="4" w16cid:durableId="442072874">
    <w:abstractNumId w:val="19"/>
  </w:num>
  <w:num w:numId="5" w16cid:durableId="1689328871">
    <w:abstractNumId w:val="0"/>
  </w:num>
  <w:num w:numId="6" w16cid:durableId="1221789839">
    <w:abstractNumId w:val="27"/>
  </w:num>
  <w:num w:numId="7" w16cid:durableId="1165049550">
    <w:abstractNumId w:val="11"/>
  </w:num>
  <w:num w:numId="8" w16cid:durableId="274753537">
    <w:abstractNumId w:val="8"/>
  </w:num>
  <w:num w:numId="9" w16cid:durableId="1009873356">
    <w:abstractNumId w:val="10"/>
  </w:num>
  <w:num w:numId="10" w16cid:durableId="979650153">
    <w:abstractNumId w:val="17"/>
  </w:num>
  <w:num w:numId="11" w16cid:durableId="2075004925">
    <w:abstractNumId w:val="23"/>
  </w:num>
  <w:num w:numId="12" w16cid:durableId="1477336089">
    <w:abstractNumId w:val="26"/>
  </w:num>
  <w:num w:numId="13" w16cid:durableId="1049375775">
    <w:abstractNumId w:val="1"/>
  </w:num>
  <w:num w:numId="14" w16cid:durableId="1796946107">
    <w:abstractNumId w:val="7"/>
  </w:num>
  <w:num w:numId="15" w16cid:durableId="1123617576">
    <w:abstractNumId w:val="22"/>
  </w:num>
  <w:num w:numId="16" w16cid:durableId="234702103">
    <w:abstractNumId w:val="6"/>
  </w:num>
  <w:num w:numId="17" w16cid:durableId="1051268952">
    <w:abstractNumId w:val="30"/>
  </w:num>
  <w:num w:numId="18" w16cid:durableId="1032682460">
    <w:abstractNumId w:val="31"/>
  </w:num>
  <w:num w:numId="19" w16cid:durableId="2118745727">
    <w:abstractNumId w:val="28"/>
  </w:num>
  <w:num w:numId="20" w16cid:durableId="1260019844">
    <w:abstractNumId w:val="13"/>
  </w:num>
  <w:num w:numId="21" w16cid:durableId="722410454">
    <w:abstractNumId w:val="29"/>
  </w:num>
  <w:num w:numId="22" w16cid:durableId="1471941540">
    <w:abstractNumId w:val="2"/>
  </w:num>
  <w:num w:numId="23" w16cid:durableId="724139622">
    <w:abstractNumId w:val="18"/>
  </w:num>
  <w:num w:numId="24" w16cid:durableId="1148203354">
    <w:abstractNumId w:val="4"/>
  </w:num>
  <w:num w:numId="25" w16cid:durableId="2033021638">
    <w:abstractNumId w:val="25"/>
  </w:num>
  <w:num w:numId="26" w16cid:durableId="1082067807">
    <w:abstractNumId w:val="3"/>
  </w:num>
  <w:num w:numId="27" w16cid:durableId="1511681295">
    <w:abstractNumId w:val="9"/>
  </w:num>
  <w:num w:numId="28" w16cid:durableId="431828409">
    <w:abstractNumId w:val="16"/>
  </w:num>
  <w:num w:numId="29" w16cid:durableId="1216503428">
    <w:abstractNumId w:val="5"/>
  </w:num>
  <w:num w:numId="30" w16cid:durableId="1961567338">
    <w:abstractNumId w:val="15"/>
  </w:num>
  <w:num w:numId="31" w16cid:durableId="363362010">
    <w:abstractNumId w:val="21"/>
  </w:num>
  <w:num w:numId="32" w16cid:durableId="125543750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US" w:vendorID="64" w:dllVersion="4096" w:nlCheck="1" w:checkStyle="0"/>
  <w:activeWritingStyle w:appName="MSWord" w:lang="en-US" w:vendorID="64" w:dllVersion="6" w:nlCheck="1" w:checkStyle="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3ED2"/>
    <w:rsid w:val="00014D6E"/>
    <w:rsid w:val="000266A4"/>
    <w:rsid w:val="0006393D"/>
    <w:rsid w:val="00077A26"/>
    <w:rsid w:val="000F07A4"/>
    <w:rsid w:val="000F082C"/>
    <w:rsid w:val="000F1D71"/>
    <w:rsid w:val="000F77A5"/>
    <w:rsid w:val="00107959"/>
    <w:rsid w:val="0013382F"/>
    <w:rsid w:val="00136391"/>
    <w:rsid w:val="00151536"/>
    <w:rsid w:val="00177AC8"/>
    <w:rsid w:val="0019356C"/>
    <w:rsid w:val="00197B9E"/>
    <w:rsid w:val="001A1F0F"/>
    <w:rsid w:val="001A2C1C"/>
    <w:rsid w:val="001B3ED2"/>
    <w:rsid w:val="001D647F"/>
    <w:rsid w:val="001D7DF8"/>
    <w:rsid w:val="001F7A91"/>
    <w:rsid w:val="00216C13"/>
    <w:rsid w:val="0023417E"/>
    <w:rsid w:val="00234E77"/>
    <w:rsid w:val="00237C5C"/>
    <w:rsid w:val="002444A9"/>
    <w:rsid w:val="00257676"/>
    <w:rsid w:val="00287440"/>
    <w:rsid w:val="002B2354"/>
    <w:rsid w:val="002C4742"/>
    <w:rsid w:val="002E0564"/>
    <w:rsid w:val="002F7A99"/>
    <w:rsid w:val="003218D0"/>
    <w:rsid w:val="0037144C"/>
    <w:rsid w:val="003B181C"/>
    <w:rsid w:val="003C3057"/>
    <w:rsid w:val="003D1333"/>
    <w:rsid w:val="004114FD"/>
    <w:rsid w:val="00421640"/>
    <w:rsid w:val="004367F4"/>
    <w:rsid w:val="00453428"/>
    <w:rsid w:val="00464E66"/>
    <w:rsid w:val="004754F6"/>
    <w:rsid w:val="00487756"/>
    <w:rsid w:val="00496D42"/>
    <w:rsid w:val="004B2134"/>
    <w:rsid w:val="004B34E3"/>
    <w:rsid w:val="004C55A2"/>
    <w:rsid w:val="00511AFE"/>
    <w:rsid w:val="00551225"/>
    <w:rsid w:val="00554E92"/>
    <w:rsid w:val="00560A26"/>
    <w:rsid w:val="00575230"/>
    <w:rsid w:val="005B1B7F"/>
    <w:rsid w:val="00604CEE"/>
    <w:rsid w:val="00611B5D"/>
    <w:rsid w:val="00612203"/>
    <w:rsid w:val="0061285A"/>
    <w:rsid w:val="0065019A"/>
    <w:rsid w:val="00661B36"/>
    <w:rsid w:val="00666013"/>
    <w:rsid w:val="00677C4A"/>
    <w:rsid w:val="006F6E88"/>
    <w:rsid w:val="0073518C"/>
    <w:rsid w:val="007524AA"/>
    <w:rsid w:val="007A6ACB"/>
    <w:rsid w:val="007F337B"/>
    <w:rsid w:val="00811B8C"/>
    <w:rsid w:val="00824360"/>
    <w:rsid w:val="00827A65"/>
    <w:rsid w:val="008357D2"/>
    <w:rsid w:val="00867D46"/>
    <w:rsid w:val="00875B4F"/>
    <w:rsid w:val="008A6D8C"/>
    <w:rsid w:val="008C456A"/>
    <w:rsid w:val="008C53FE"/>
    <w:rsid w:val="008D0CDD"/>
    <w:rsid w:val="008E371E"/>
    <w:rsid w:val="009543C8"/>
    <w:rsid w:val="009C5AEF"/>
    <w:rsid w:val="009D2BB5"/>
    <w:rsid w:val="009E35C8"/>
    <w:rsid w:val="00A05C08"/>
    <w:rsid w:val="00A37F27"/>
    <w:rsid w:val="00A7204A"/>
    <w:rsid w:val="00A96508"/>
    <w:rsid w:val="00A97CE5"/>
    <w:rsid w:val="00AC39BB"/>
    <w:rsid w:val="00AD7D70"/>
    <w:rsid w:val="00AF5EBE"/>
    <w:rsid w:val="00B20354"/>
    <w:rsid w:val="00B549C1"/>
    <w:rsid w:val="00B91EF4"/>
    <w:rsid w:val="00B970C3"/>
    <w:rsid w:val="00BB1D9A"/>
    <w:rsid w:val="00BB41A5"/>
    <w:rsid w:val="00BD74C5"/>
    <w:rsid w:val="00BF5333"/>
    <w:rsid w:val="00C06938"/>
    <w:rsid w:val="00C138B1"/>
    <w:rsid w:val="00C241C0"/>
    <w:rsid w:val="00C307DA"/>
    <w:rsid w:val="00C45A4D"/>
    <w:rsid w:val="00C5494E"/>
    <w:rsid w:val="00C64D9B"/>
    <w:rsid w:val="00C975B1"/>
    <w:rsid w:val="00CE45D4"/>
    <w:rsid w:val="00CF7FBB"/>
    <w:rsid w:val="00D1119B"/>
    <w:rsid w:val="00D16CFD"/>
    <w:rsid w:val="00D2104A"/>
    <w:rsid w:val="00D32849"/>
    <w:rsid w:val="00D35EC5"/>
    <w:rsid w:val="00D448CE"/>
    <w:rsid w:val="00D90D57"/>
    <w:rsid w:val="00D921D9"/>
    <w:rsid w:val="00D97D0A"/>
    <w:rsid w:val="00DD5461"/>
    <w:rsid w:val="00DF4117"/>
    <w:rsid w:val="00DF52D8"/>
    <w:rsid w:val="00DF584A"/>
    <w:rsid w:val="00DF61CC"/>
    <w:rsid w:val="00E03992"/>
    <w:rsid w:val="00E232A4"/>
    <w:rsid w:val="00E273E3"/>
    <w:rsid w:val="00E76E18"/>
    <w:rsid w:val="00EA1134"/>
    <w:rsid w:val="00EA76BD"/>
    <w:rsid w:val="00ED0B4C"/>
    <w:rsid w:val="00EE545C"/>
    <w:rsid w:val="00F06951"/>
    <w:rsid w:val="00F109D0"/>
    <w:rsid w:val="00F12B67"/>
    <w:rsid w:val="00F2285E"/>
    <w:rsid w:val="00F51858"/>
    <w:rsid w:val="00F72125"/>
    <w:rsid w:val="00F73260"/>
    <w:rsid w:val="00FA5649"/>
    <w:rsid w:val="00FC23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616127"/>
  <w15:docId w15:val="{6D16FA54-615D-4527-9151-5C7A41FA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mbria" w:eastAsia="Cambria" w:hAnsi="Cambria" w:cs="Cambria"/>
    </w:rPr>
  </w:style>
  <w:style w:type="paragraph" w:styleId="Heading1">
    <w:name w:val="heading 1"/>
    <w:basedOn w:val="Normal"/>
    <w:link w:val="Heading1Char"/>
    <w:uiPriority w:val="1"/>
    <w:qFormat/>
    <w:pPr>
      <w:spacing w:before="44"/>
      <w:ind w:left="698" w:hanging="519"/>
      <w:outlineLvl w:val="0"/>
    </w:pPr>
    <w:rPr>
      <w:rFonts w:ascii="Palatino Linotype" w:eastAsia="Palatino Linotype" w:hAnsi="Palatino Linotype" w:cs="Palatino Linotype"/>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80"/>
      <w:jc w:val="both"/>
    </w:pPr>
    <w:rPr>
      <w:sz w:val="26"/>
      <w:szCs w:val="26"/>
    </w:rPr>
  </w:style>
  <w:style w:type="paragraph" w:styleId="ListParagraph">
    <w:name w:val="List Paragraph"/>
    <w:basedOn w:val="Normal"/>
    <w:uiPriority w:val="1"/>
    <w:qFormat/>
    <w:pPr>
      <w:ind w:left="900" w:hanging="57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34E3"/>
    <w:pPr>
      <w:tabs>
        <w:tab w:val="center" w:pos="4513"/>
        <w:tab w:val="right" w:pos="9026"/>
      </w:tabs>
    </w:pPr>
  </w:style>
  <w:style w:type="character" w:customStyle="1" w:styleId="HeaderChar">
    <w:name w:val="Header Char"/>
    <w:basedOn w:val="DefaultParagraphFont"/>
    <w:link w:val="Header"/>
    <w:uiPriority w:val="99"/>
    <w:rsid w:val="004B34E3"/>
    <w:rPr>
      <w:rFonts w:ascii="Cambria" w:eastAsia="Cambria" w:hAnsi="Cambria" w:cs="Cambria"/>
    </w:rPr>
  </w:style>
  <w:style w:type="paragraph" w:styleId="Footer">
    <w:name w:val="footer"/>
    <w:basedOn w:val="Normal"/>
    <w:link w:val="FooterChar"/>
    <w:uiPriority w:val="99"/>
    <w:unhideWhenUsed/>
    <w:rsid w:val="004B34E3"/>
    <w:pPr>
      <w:tabs>
        <w:tab w:val="center" w:pos="4513"/>
        <w:tab w:val="right" w:pos="9026"/>
      </w:tabs>
    </w:pPr>
  </w:style>
  <w:style w:type="character" w:customStyle="1" w:styleId="FooterChar">
    <w:name w:val="Footer Char"/>
    <w:basedOn w:val="DefaultParagraphFont"/>
    <w:link w:val="Footer"/>
    <w:uiPriority w:val="99"/>
    <w:rsid w:val="004B34E3"/>
    <w:rPr>
      <w:rFonts w:ascii="Cambria" w:eastAsia="Cambria" w:hAnsi="Cambria" w:cs="Cambria"/>
    </w:rPr>
  </w:style>
  <w:style w:type="character" w:styleId="Hyperlink">
    <w:name w:val="Hyperlink"/>
    <w:basedOn w:val="DefaultParagraphFont"/>
    <w:uiPriority w:val="99"/>
    <w:unhideWhenUsed/>
    <w:rsid w:val="00D2104A"/>
    <w:rPr>
      <w:color w:val="0000FF" w:themeColor="hyperlink"/>
      <w:u w:val="single"/>
    </w:rPr>
  </w:style>
  <w:style w:type="character" w:customStyle="1" w:styleId="UnresolvedMention1">
    <w:name w:val="Unresolved Mention1"/>
    <w:basedOn w:val="DefaultParagraphFont"/>
    <w:uiPriority w:val="99"/>
    <w:semiHidden/>
    <w:unhideWhenUsed/>
    <w:rsid w:val="00D2104A"/>
    <w:rPr>
      <w:color w:val="605E5C"/>
      <w:shd w:val="clear" w:color="auto" w:fill="E1DFDD"/>
    </w:rPr>
  </w:style>
  <w:style w:type="character" w:customStyle="1" w:styleId="Heading1Char">
    <w:name w:val="Heading 1 Char"/>
    <w:basedOn w:val="DefaultParagraphFont"/>
    <w:link w:val="Heading1"/>
    <w:uiPriority w:val="1"/>
    <w:rsid w:val="00A7204A"/>
    <w:rPr>
      <w:rFonts w:ascii="Palatino Linotype" w:eastAsia="Palatino Linotype" w:hAnsi="Palatino Linotype" w:cs="Palatino Linotype"/>
      <w:b/>
      <w:bCs/>
      <w:sz w:val="26"/>
      <w:szCs w:val="26"/>
    </w:rPr>
  </w:style>
  <w:style w:type="character" w:customStyle="1" w:styleId="BodyTextChar">
    <w:name w:val="Body Text Char"/>
    <w:basedOn w:val="DefaultParagraphFont"/>
    <w:link w:val="BodyText"/>
    <w:uiPriority w:val="1"/>
    <w:rsid w:val="00A7204A"/>
    <w:rPr>
      <w:rFonts w:ascii="Cambria" w:eastAsia="Cambria" w:hAnsi="Cambria" w:cs="Cambria"/>
      <w:sz w:val="26"/>
      <w:szCs w:val="26"/>
    </w:rPr>
  </w:style>
  <w:style w:type="paragraph" w:styleId="Bibliography">
    <w:name w:val="Bibliography"/>
    <w:basedOn w:val="Normal"/>
    <w:next w:val="Normal"/>
    <w:uiPriority w:val="37"/>
    <w:unhideWhenUsed/>
    <w:rsid w:val="008D0CDD"/>
    <w:pPr>
      <w:tabs>
        <w:tab w:val="left" w:pos="264"/>
      </w:tabs>
      <w:spacing w:after="240"/>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37946">
      <w:bodyDiv w:val="1"/>
      <w:marLeft w:val="0"/>
      <w:marRight w:val="0"/>
      <w:marTop w:val="0"/>
      <w:marBottom w:val="0"/>
      <w:divBdr>
        <w:top w:val="none" w:sz="0" w:space="0" w:color="auto"/>
        <w:left w:val="none" w:sz="0" w:space="0" w:color="auto"/>
        <w:bottom w:val="none" w:sz="0" w:space="0" w:color="auto"/>
        <w:right w:val="none" w:sz="0" w:space="0" w:color="auto"/>
      </w:divBdr>
    </w:div>
    <w:div w:id="10117614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10257-F2F4-4086-97C4-EDAAC97B5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30</Pages>
  <Words>11944</Words>
  <Characters>68086</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TARUN NEELA</cp:lastModifiedBy>
  <cp:revision>37</cp:revision>
  <dcterms:created xsi:type="dcterms:W3CDTF">2023-08-24T04:58:00Z</dcterms:created>
  <dcterms:modified xsi:type="dcterms:W3CDTF">2023-09-25T15:51:00Z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Microsoft® Word 2016</vt:lpwstr>
  </property>
  <property fmtid="{D5CDD505-2E9C-101B-9397-08002B2CF9AE}" pid="4" name="LastSaved">
    <vt:filetime>2023-08-24T00:00:00Z</vt:filetime>
  </property>
  <property fmtid="{D5CDD505-2E9C-101B-9397-08002B2CF9AE}" pid="5" name="GrammarlyDocumentId">
    <vt:lpwstr>c2cd4fa2271effce4f5629b8e38bafd7805ab634693acc9938b805e55c03feb2</vt:lpwstr>
  </property>
  <property fmtid="{D5CDD505-2E9C-101B-9397-08002B2CF9AE}" pid="6" name="ZOTERO_PREF_1">
    <vt:lpwstr>&lt;data data-version="3" zotero-version="6.0.27"&gt;&lt;session id="RMzmX7Md"/&gt;&lt;style id="http://www.zotero.org/styles/vancouver" locale="en-US" hasBibliography="1" bibliographyStyleHasBeenSet="1"/&gt;&lt;prefs&gt;&lt;pref name="fieldType" value="Field"/&gt;&lt;pref name="automati</vt:lpwstr>
  </property>
  <property fmtid="{D5CDD505-2E9C-101B-9397-08002B2CF9AE}" pid="7" name="ZOTERO_PREF_2">
    <vt:lpwstr>cJournalAbbreviations" value="true"/&gt;&lt;/prefs&gt;&lt;/data&gt;</vt:lpwstr>
  </property>
</Properties>
</file>