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847F1" w14:textId="4AE601CD" w:rsidR="005C7EEA" w:rsidRDefault="005C7EEA" w:rsidP="0036454D">
      <w:pPr>
        <w:spacing w:line="360" w:lineRule="auto"/>
        <w:jc w:val="center"/>
        <w:rPr>
          <w:rFonts w:ascii="Times New Roman" w:hAnsi="Times New Roman" w:cs="Times New Roman"/>
          <w:b/>
          <w:bCs/>
          <w:sz w:val="28"/>
          <w:szCs w:val="28"/>
        </w:rPr>
      </w:pPr>
      <w:r w:rsidRPr="002E145C">
        <w:rPr>
          <w:rFonts w:ascii="Times New Roman" w:hAnsi="Times New Roman" w:cs="Times New Roman"/>
          <w:b/>
          <w:bCs/>
          <w:sz w:val="28"/>
          <w:szCs w:val="28"/>
        </w:rPr>
        <w:t>Quantifying the Impact of Airborne Pollutants on Urban Air Quality: A Comprehensive Analytical Study</w:t>
      </w:r>
    </w:p>
    <w:p w14:paraId="7B62C2F4" w14:textId="77777777" w:rsidR="000337DF" w:rsidRDefault="000337DF" w:rsidP="0088094C">
      <w:pPr>
        <w:spacing w:after="0" w:line="240" w:lineRule="auto"/>
        <w:jc w:val="both"/>
        <w:rPr>
          <w:rFonts w:ascii="Times New Roman" w:hAnsi="Times New Roman" w:cs="Times New Roman"/>
          <w:sz w:val="24"/>
          <w:szCs w:val="24"/>
        </w:rPr>
      </w:pPr>
    </w:p>
    <w:p w14:paraId="05EDB967" w14:textId="6EF5C74E" w:rsidR="00211AA9" w:rsidRPr="0088094C" w:rsidRDefault="00D8490F" w:rsidP="0088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Dev Prakash </w:t>
      </w:r>
    </w:p>
    <w:p w14:paraId="1E07D9B0" w14:textId="0B7856E8" w:rsidR="00211AA9" w:rsidRPr="0088094C" w:rsidRDefault="0088094C" w:rsidP="0088094C">
      <w:pPr>
        <w:spacing w:after="0" w:line="240" w:lineRule="auto"/>
        <w:jc w:val="both"/>
        <w:rPr>
          <w:rFonts w:ascii="Times New Roman" w:hAnsi="Times New Roman" w:cs="Times New Roman"/>
          <w:sz w:val="24"/>
          <w:szCs w:val="24"/>
        </w:rPr>
      </w:pPr>
      <w:r w:rsidRPr="0088094C">
        <w:rPr>
          <w:rFonts w:ascii="Times New Roman" w:hAnsi="Times New Roman" w:cs="Times New Roman"/>
          <w:sz w:val="24"/>
          <w:szCs w:val="24"/>
        </w:rPr>
        <w:t xml:space="preserve">Department of </w:t>
      </w:r>
      <w:r w:rsidR="00D8490F">
        <w:rPr>
          <w:rFonts w:ascii="Times New Roman" w:hAnsi="Times New Roman" w:cs="Times New Roman"/>
          <w:sz w:val="24"/>
          <w:szCs w:val="24"/>
        </w:rPr>
        <w:t>chemistry</w:t>
      </w:r>
    </w:p>
    <w:p w14:paraId="154C318F" w14:textId="4E5495D1" w:rsidR="0088094C" w:rsidRDefault="00D8490F" w:rsidP="0088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Saraswati Degree</w:t>
      </w:r>
      <w:r w:rsidR="0088094C" w:rsidRPr="0088094C">
        <w:rPr>
          <w:rFonts w:ascii="Times New Roman" w:hAnsi="Times New Roman" w:cs="Times New Roman"/>
          <w:sz w:val="24"/>
          <w:szCs w:val="24"/>
        </w:rPr>
        <w:t xml:space="preserve"> College, </w:t>
      </w:r>
      <w:proofErr w:type="spellStart"/>
      <w:r>
        <w:rPr>
          <w:rFonts w:ascii="Times New Roman" w:hAnsi="Times New Roman" w:cs="Times New Roman"/>
          <w:sz w:val="24"/>
          <w:szCs w:val="24"/>
        </w:rPr>
        <w:t>Hathras</w:t>
      </w:r>
      <w:proofErr w:type="spellEnd"/>
      <w:r w:rsidR="0088094C" w:rsidRPr="0088094C">
        <w:rPr>
          <w:rFonts w:ascii="Times New Roman" w:hAnsi="Times New Roman" w:cs="Times New Roman"/>
          <w:sz w:val="24"/>
          <w:szCs w:val="24"/>
        </w:rPr>
        <w:t>, 2</w:t>
      </w:r>
      <w:r>
        <w:rPr>
          <w:rFonts w:ascii="Times New Roman" w:hAnsi="Times New Roman" w:cs="Times New Roman"/>
          <w:sz w:val="24"/>
          <w:szCs w:val="24"/>
        </w:rPr>
        <w:t>04101</w:t>
      </w:r>
      <w:r w:rsidR="0088094C" w:rsidRPr="0088094C">
        <w:rPr>
          <w:rFonts w:ascii="Times New Roman" w:hAnsi="Times New Roman" w:cs="Times New Roman"/>
          <w:sz w:val="24"/>
          <w:szCs w:val="24"/>
        </w:rPr>
        <w:t>, UP, India</w:t>
      </w:r>
    </w:p>
    <w:p w14:paraId="27D30B7B" w14:textId="2A2B0A1A" w:rsidR="00D8490F" w:rsidRDefault="00D8490F" w:rsidP="0088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(Raja Mahendra Pratap Singh State University, Aligarh)</w:t>
      </w:r>
    </w:p>
    <w:p w14:paraId="0A92BF13" w14:textId="05EC86A7" w:rsidR="00D8490F" w:rsidRPr="0088094C" w:rsidRDefault="00D8490F" w:rsidP="008809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Email: </w:t>
      </w:r>
      <w:r w:rsidR="008C4A5E" w:rsidRPr="008C4A5E">
        <w:rPr>
          <w:rFonts w:ascii="Times New Roman" w:hAnsi="Times New Roman" w:cs="Times New Roman"/>
          <w:sz w:val="24"/>
          <w:szCs w:val="24"/>
        </w:rPr>
        <w:t>devprakashyadav315@gmail.com</w:t>
      </w:r>
    </w:p>
    <w:p w14:paraId="3143289E" w14:textId="77777777" w:rsidR="000337DF" w:rsidRDefault="000337DF" w:rsidP="002E145C">
      <w:pPr>
        <w:spacing w:line="360" w:lineRule="auto"/>
        <w:jc w:val="both"/>
        <w:rPr>
          <w:rFonts w:ascii="Times New Roman" w:hAnsi="Times New Roman" w:cs="Times New Roman"/>
          <w:b/>
          <w:bCs/>
          <w:sz w:val="28"/>
          <w:szCs w:val="28"/>
        </w:rPr>
      </w:pPr>
    </w:p>
    <w:p w14:paraId="671416FB" w14:textId="1FA5A8A3" w:rsidR="00A44984" w:rsidRDefault="00A44984" w:rsidP="002E145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Abstract:</w:t>
      </w:r>
    </w:p>
    <w:p w14:paraId="633E612F" w14:textId="77777777" w:rsidR="00A44984" w:rsidRDefault="00A44984" w:rsidP="00A44984">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This research investigates airborne pollutant dynamics in NOIDA, a burgeoning urban center in India. Utilizing advanced analytical methods, we monitored particulate matter (PM), nitrogen oxides (NOx), and volatile organic compounds (VOCs) across diverse sectors. Pollution hotspots, notably in industrial and residential areas, were identified. Rush-hour peaks in residential PM levels highlighted vehicular contributions, while industrial zones exhibited heightened NOx and VOC concentrations. Correlations with meteorological factors underscored the influence of temperature, wind speed, and humidity on pollutant levels. Comparing findings with existing literature and environmental standards revealed compliance with average norms but emphasized localized variations. Implications for public health include potential respiratory risks, while environmental consequences encompass ecosystem impacts and challenges for sustainable urban planning. Targeted interventions, including emission controls and community engagement, are proposed. This research advocates for an interdisciplinary approach to inform holistic air quality management in rapidly urbanizing regions, offering insights applicable to global urban development challenges.</w:t>
      </w:r>
    </w:p>
    <w:p w14:paraId="411BDCFA" w14:textId="7E49F7A1" w:rsidR="0088094C" w:rsidRPr="0088094C" w:rsidRDefault="0088094C" w:rsidP="00A44984">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Key words:</w:t>
      </w:r>
      <w:r>
        <w:rPr>
          <w:rFonts w:ascii="Times New Roman" w:hAnsi="Times New Roman" w:cs="Times New Roman"/>
          <w:b/>
          <w:bCs/>
          <w:sz w:val="24"/>
          <w:szCs w:val="24"/>
        </w:rPr>
        <w:t xml:space="preserve"> </w:t>
      </w:r>
      <w:r w:rsidRPr="0088094C">
        <w:rPr>
          <w:rFonts w:ascii="Times New Roman" w:hAnsi="Times New Roman" w:cs="Times New Roman"/>
          <w:sz w:val="24"/>
          <w:szCs w:val="24"/>
        </w:rPr>
        <w:t>Airborne, pollutants, nitrogen oxides, volatile organic compounds</w:t>
      </w:r>
    </w:p>
    <w:p w14:paraId="5244A8A2"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Introduction:</w:t>
      </w:r>
    </w:p>
    <w:p w14:paraId="601688D9" w14:textId="1A44BD32"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 xml:space="preserve">Urbanization, while emblematic of societal progress, has led to a pressing environmental concern—deteriorating air quality. The rise in anthropogenic activities within urban landscapes has significantly increased the release of airborne pollutants, posing substantial risks to public health and the environment. This research endeavors to comprehensively quantify the impact of </w:t>
      </w:r>
      <w:r w:rsidRPr="002E145C">
        <w:rPr>
          <w:rFonts w:ascii="Times New Roman" w:hAnsi="Times New Roman" w:cs="Times New Roman"/>
          <w:sz w:val="24"/>
          <w:szCs w:val="24"/>
        </w:rPr>
        <w:lastRenderedPageBreak/>
        <w:t>airborne pollutants on urban air quality through an in-depth analytical study. The urgency of this investigation is underscored by the global surge in urban populations and the subsequent surge in vehicular emissions, industrial discharges, and other sources of pollution.</w:t>
      </w:r>
      <w:r w:rsidR="002E145C">
        <w:rPr>
          <w:rFonts w:ascii="Times New Roman" w:hAnsi="Times New Roman" w:cs="Times New Roman"/>
          <w:sz w:val="24"/>
          <w:szCs w:val="24"/>
        </w:rPr>
        <w:t xml:space="preserve"> </w:t>
      </w:r>
      <w:r w:rsidRPr="002E145C">
        <w:rPr>
          <w:rFonts w:ascii="Times New Roman" w:hAnsi="Times New Roman" w:cs="Times New Roman"/>
          <w:sz w:val="24"/>
          <w:szCs w:val="24"/>
        </w:rPr>
        <w:t>As a complex and dynamic system, urban air quality is influenced by myriad factors, including meteorological conditions, traffic patterns, and industrial activities. To address this multifaceted issue, this study adopts a comprehensive analytical approach, leveraging state-of-the-art instrumentation and methodologies to measure and analyze a spectrum of airborne pollutants. The selected urban area serves as a microcosm, reflecting the intricate interplay between human activities and environmental repercussions.</w:t>
      </w:r>
      <w:r w:rsidR="002E145C">
        <w:rPr>
          <w:rFonts w:ascii="Times New Roman" w:hAnsi="Times New Roman" w:cs="Times New Roman"/>
          <w:sz w:val="24"/>
          <w:szCs w:val="24"/>
        </w:rPr>
        <w:t xml:space="preserve"> </w:t>
      </w:r>
      <w:r w:rsidRPr="002E145C">
        <w:rPr>
          <w:rFonts w:ascii="Times New Roman" w:hAnsi="Times New Roman" w:cs="Times New Roman"/>
          <w:sz w:val="24"/>
          <w:szCs w:val="24"/>
        </w:rPr>
        <w:t>The paper aims to contribute to the existing body of knowledge by filling gaps in our understanding of urban air quality dynamics and by providing empirical evidence to inform sustainable air quality management strategies. Through this endeavor, we seek not only to unravel the intricate composition of airborne pollutants but also to elucidate their spatial and temporal variations, enabling a more nuanced comprehension of the urban air quality landscape and laying the foundation for targeted interventions to mitigate the adverse effects on both human health and the environment.</w:t>
      </w:r>
    </w:p>
    <w:p w14:paraId="0C3E7936"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Study Area: NOIDA</w:t>
      </w:r>
    </w:p>
    <w:p w14:paraId="0B7E2641"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NOIDA, short for New Okhla Industrial Development Authority, is a prominent city situated in the northern Indian state of Uttar Pradesh. Originally planned as an industrial township, NOIDA has experienced rapid urbanization, transforming into a bustling hub of residential, commercial, and industrial activities. Geographically located in the National Capital Region (NCR) of India, NOIDA is characterized by a diverse landscape, including residential sectors, industrial zones, commercial complexes, and recreational areas.</w:t>
      </w:r>
    </w:p>
    <w:p w14:paraId="4C41C28F" w14:textId="5B860A00"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Selection of Monitoring Sites: Sector 15, 62, 12</w:t>
      </w:r>
      <w:r w:rsidR="00647F45">
        <w:rPr>
          <w:rFonts w:ascii="Times New Roman" w:hAnsi="Times New Roman" w:cs="Times New Roman"/>
          <w:b/>
          <w:bCs/>
          <w:sz w:val="24"/>
          <w:szCs w:val="24"/>
        </w:rPr>
        <w:t xml:space="preserve"> and </w:t>
      </w:r>
      <w:r w:rsidRPr="002E145C">
        <w:rPr>
          <w:rFonts w:ascii="Times New Roman" w:hAnsi="Times New Roman" w:cs="Times New Roman"/>
          <w:b/>
          <w:bCs/>
          <w:sz w:val="24"/>
          <w:szCs w:val="24"/>
        </w:rPr>
        <w:t>22</w:t>
      </w:r>
    </w:p>
    <w:p w14:paraId="3543D3B2"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Sector 15:</w:t>
      </w:r>
    </w:p>
    <w:p w14:paraId="25BE3E30"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Residential in nature, Sector 15 represents a densely populated area with a mix of housing complexes, educational institutions, and local markets. Proximity to major roadways and commercial zones makes it a key site for understanding the impact of vehicular emissions on air quality.</w:t>
      </w:r>
    </w:p>
    <w:p w14:paraId="77E42F66" w14:textId="77777777" w:rsidR="0088094C" w:rsidRDefault="0088094C" w:rsidP="002E145C">
      <w:pPr>
        <w:spacing w:line="360" w:lineRule="auto"/>
        <w:jc w:val="both"/>
        <w:rPr>
          <w:rFonts w:ascii="Times New Roman" w:hAnsi="Times New Roman" w:cs="Times New Roman"/>
          <w:b/>
          <w:bCs/>
          <w:sz w:val="24"/>
          <w:szCs w:val="24"/>
        </w:rPr>
      </w:pPr>
    </w:p>
    <w:p w14:paraId="0E647C13" w14:textId="07FB5C43"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lastRenderedPageBreak/>
        <w:t>Sector 62:</w:t>
      </w:r>
    </w:p>
    <w:p w14:paraId="412DF990"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This sector is primarily commercial and institutional, hosting numerous corporate offices and educational institutions. The presence of large-scale commercial activities and high-density traffic makes Sector 62 a focal point for investigating industrial emissions and their influence on air quality.</w:t>
      </w:r>
    </w:p>
    <w:p w14:paraId="1BCBE09B"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Sector 12:</w:t>
      </w:r>
    </w:p>
    <w:p w14:paraId="475CA136"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Characterized by a blend of residential and commercial establishments, Sector 12 offers insights into the combined effects of vehicular emissions and localized industrial activities. Monitoring in this sector contributes to a holistic understanding of air quality in mixed-use urban zones.</w:t>
      </w:r>
    </w:p>
    <w:p w14:paraId="47A17C8B"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Sector 22:</w:t>
      </w:r>
    </w:p>
    <w:p w14:paraId="70216B2E"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Known for its industrial zones, Sector 22 plays a pivotal role in assessing the direct impact of industrial emissions on air quality. This sector's inclusion provides valuable data on the specific pollutants associated with industrial processes.</w:t>
      </w:r>
    </w:p>
    <w:p w14:paraId="4D19B201"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The selection of these monitoring sites is strategic, aiming to capture the diversity of land use and human activities within NOIDA. By examining different sectors, the study aims to discern the specific sources and patterns of airborne pollutants, facilitating a nuanced analysis of urban air quality dynamics in this rapidly evolving urban landscape. These chosen sites serve as microcosms, enabling the extrapolation of findings to formulate targeted interventions for sustainable air quality management in NOIDA and similar urban environments.</w:t>
      </w:r>
    </w:p>
    <w:p w14:paraId="6CF87DB7"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Analytical Methods for Measuring Airborne Pollutants in NOIDA:</w:t>
      </w:r>
    </w:p>
    <w:p w14:paraId="3D1E8CDF"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The accurate quantification of airborne pollutants in NOIDA requires a sophisticated analytical approach. The study employs a combination of established methodologies and cutting-edge instrumentation to measure particulate matter (PM), nitrogen oxides (NOx), and volatile organic compounds (VOCs). The chosen methods ensure high precision and reliability in assessing the concentrations of these pollutants.</w:t>
      </w:r>
    </w:p>
    <w:p w14:paraId="54611FEA" w14:textId="1663351A" w:rsidR="005C7EEA"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Particulate Matter (PM):</w:t>
      </w:r>
    </w:p>
    <w:p w14:paraId="2E0848E9"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lastRenderedPageBreak/>
        <w:t>Methodology:</w:t>
      </w:r>
      <w:r w:rsidRPr="002E145C">
        <w:rPr>
          <w:rFonts w:ascii="Times New Roman" w:hAnsi="Times New Roman" w:cs="Times New Roman"/>
          <w:sz w:val="24"/>
          <w:szCs w:val="24"/>
        </w:rPr>
        <w:t xml:space="preserve"> The gravimetric method is employed for the measurement of PM. Air samples are collected using high-volume samplers equipped with filters. These filters capture particulate matter, and their pre- and post-sampling weights are measured to determine the mass concentration of PM.</w:t>
      </w:r>
    </w:p>
    <w:p w14:paraId="0968A32F"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Instrumentation</w:t>
      </w:r>
      <w:r w:rsidRPr="002E145C">
        <w:rPr>
          <w:rFonts w:ascii="Times New Roman" w:hAnsi="Times New Roman" w:cs="Times New Roman"/>
          <w:sz w:val="24"/>
          <w:szCs w:val="24"/>
        </w:rPr>
        <w:t>: High-volume air samplers with size-selective inlets are used to collect PM samples. Filters are carefully handled to prevent contamination, and their weights are measured using analytical balances with high precision.</w:t>
      </w:r>
    </w:p>
    <w:p w14:paraId="1FB91721"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Analysis</w:t>
      </w:r>
      <w:r w:rsidRPr="002E145C">
        <w:rPr>
          <w:rFonts w:ascii="Times New Roman" w:hAnsi="Times New Roman" w:cs="Times New Roman"/>
          <w:sz w:val="24"/>
          <w:szCs w:val="24"/>
        </w:rPr>
        <w:t>: Gravimetric analysis provides information on the mass concentration of PM in different size fractions (PM10, PM2.5). Additionally, optical methods such as beta attenuation monitors may be employed for real-time monitoring of PM concentrations.</w:t>
      </w:r>
    </w:p>
    <w:p w14:paraId="4A335A49"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Nitrogen Oxides (NOx):</w:t>
      </w:r>
    </w:p>
    <w:p w14:paraId="4C144BE1"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Methodology</w:t>
      </w:r>
      <w:r w:rsidRPr="002E145C">
        <w:rPr>
          <w:rFonts w:ascii="Times New Roman" w:hAnsi="Times New Roman" w:cs="Times New Roman"/>
          <w:sz w:val="24"/>
          <w:szCs w:val="24"/>
        </w:rPr>
        <w:t>: The chemiluminescence method is adopted for NOx measurement. Air samples are chemically treated to convert nitrogen oxides into excited-state molecules, and the resulting chemiluminescent emissions are quantified to determine NOx concentrations.</w:t>
      </w:r>
    </w:p>
    <w:p w14:paraId="10AAF1E6"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Instrumentation</w:t>
      </w:r>
      <w:r w:rsidRPr="002E145C">
        <w:rPr>
          <w:rFonts w:ascii="Times New Roman" w:hAnsi="Times New Roman" w:cs="Times New Roman"/>
          <w:sz w:val="24"/>
          <w:szCs w:val="24"/>
        </w:rPr>
        <w:t>: Chemiluminescence analyzers equipped with gas-phase chemiluminescent detectors are utilized for NOx measurements. These instruments offer high sensitivity and selectivity for nitrogen oxides.</w:t>
      </w:r>
    </w:p>
    <w:p w14:paraId="14E1FAA4"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Analysis</w:t>
      </w:r>
      <w:r w:rsidRPr="002E145C">
        <w:rPr>
          <w:rFonts w:ascii="Times New Roman" w:hAnsi="Times New Roman" w:cs="Times New Roman"/>
          <w:sz w:val="24"/>
          <w:szCs w:val="24"/>
        </w:rPr>
        <w:t>: Chemiluminescence signals are converted into NOx concentrations using calibration curves established with standard reference gases. This method allows for the quantification of nitrogen dioxide (NO2) and other nitrogen oxides.</w:t>
      </w:r>
    </w:p>
    <w:p w14:paraId="434DC6CC"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Volatile Organic Compounds (VOCs):</w:t>
      </w:r>
    </w:p>
    <w:p w14:paraId="6A902001"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Methodology:</w:t>
      </w:r>
      <w:r w:rsidRPr="002E145C">
        <w:rPr>
          <w:rFonts w:ascii="Times New Roman" w:hAnsi="Times New Roman" w:cs="Times New Roman"/>
          <w:sz w:val="24"/>
          <w:szCs w:val="24"/>
        </w:rPr>
        <w:t xml:space="preserve"> The study employs a combination of canister sampling and gas chromatography-mass spectrometry (GC-MS) for VOC analysis. Air samples are collected in canisters, and the collected compounds are then separated and identified using GC-MS.</w:t>
      </w:r>
    </w:p>
    <w:p w14:paraId="54DADFE8"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Instrumentation:</w:t>
      </w:r>
      <w:r w:rsidRPr="002E145C">
        <w:rPr>
          <w:rFonts w:ascii="Times New Roman" w:hAnsi="Times New Roman" w:cs="Times New Roman"/>
          <w:sz w:val="24"/>
          <w:szCs w:val="24"/>
        </w:rPr>
        <w:t xml:space="preserve"> Canisters made of passivated stainless steel are used for air sample collection. Gas chromatographs coupled with mass spectrometers are employed for the separation and identification of VOCs.</w:t>
      </w:r>
    </w:p>
    <w:p w14:paraId="27CBEBB7"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lastRenderedPageBreak/>
        <w:t>Analysis</w:t>
      </w:r>
      <w:r w:rsidRPr="002E145C">
        <w:rPr>
          <w:rFonts w:ascii="Times New Roman" w:hAnsi="Times New Roman" w:cs="Times New Roman"/>
          <w:sz w:val="24"/>
          <w:szCs w:val="24"/>
        </w:rPr>
        <w:t>: GC-MS analysis allows for the identification and quantification of a wide range of VOCs. Calibration is performed using standard reference materials, and the results are expressed in concentration units.</w:t>
      </w:r>
    </w:p>
    <w:p w14:paraId="1151E824"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The combination of these analytical methods provides a comprehensive understanding of the concentrations and sources of airborne pollutants in NOIDA. This detailed analysis serves as a foundation for assessing the impact of various anthropogenic activities on urban air quality and informs strategies for effective air quality management in the region.</w:t>
      </w:r>
    </w:p>
    <w:p w14:paraId="56F2CA22"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Overall Quality Control Measures:</w:t>
      </w:r>
    </w:p>
    <w:p w14:paraId="5846FF6E"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Field Blanks</w:t>
      </w:r>
      <w:r w:rsidRPr="002E145C">
        <w:rPr>
          <w:rFonts w:ascii="Times New Roman" w:hAnsi="Times New Roman" w:cs="Times New Roman"/>
          <w:sz w:val="24"/>
          <w:szCs w:val="24"/>
        </w:rPr>
        <w:t>: Unexposed samples or clean air samples collected alongside actual samples to identify and correct for contamination during sample handling and transport.</w:t>
      </w:r>
    </w:p>
    <w:p w14:paraId="4EBCB0BE"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Laboratory Blanks:</w:t>
      </w:r>
      <w:r w:rsidRPr="002E145C">
        <w:rPr>
          <w:rFonts w:ascii="Times New Roman" w:hAnsi="Times New Roman" w:cs="Times New Roman"/>
          <w:sz w:val="24"/>
          <w:szCs w:val="24"/>
        </w:rPr>
        <w:t xml:space="preserve"> Samples of ultra-pure air analyzed in the laboratory to assess any contamination during the analytical process.</w:t>
      </w:r>
    </w:p>
    <w:p w14:paraId="0B2DED10"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Standard Operating Procedures</w:t>
      </w:r>
      <w:r w:rsidRPr="002E145C">
        <w:rPr>
          <w:rFonts w:ascii="Times New Roman" w:hAnsi="Times New Roman" w:cs="Times New Roman"/>
          <w:sz w:val="24"/>
          <w:szCs w:val="24"/>
        </w:rPr>
        <w:t xml:space="preserve"> (SOPs): Adherence to standardized procedures for sample collection, storage, and analysis to ensure consistency and reliability.</w:t>
      </w:r>
    </w:p>
    <w:p w14:paraId="3293AD0D"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Regular Maintenance</w:t>
      </w:r>
      <w:r w:rsidRPr="002E145C">
        <w:rPr>
          <w:rFonts w:ascii="Times New Roman" w:hAnsi="Times New Roman" w:cs="Times New Roman"/>
          <w:sz w:val="24"/>
          <w:szCs w:val="24"/>
        </w:rPr>
        <w:t xml:space="preserve">: Routine maintenance and calibration </w:t>
      </w:r>
      <w:proofErr w:type="gramStart"/>
      <w:r w:rsidRPr="002E145C">
        <w:rPr>
          <w:rFonts w:ascii="Times New Roman" w:hAnsi="Times New Roman" w:cs="Times New Roman"/>
          <w:sz w:val="24"/>
          <w:szCs w:val="24"/>
        </w:rPr>
        <w:t>checks</w:t>
      </w:r>
      <w:proofErr w:type="gramEnd"/>
      <w:r w:rsidRPr="002E145C">
        <w:rPr>
          <w:rFonts w:ascii="Times New Roman" w:hAnsi="Times New Roman" w:cs="Times New Roman"/>
          <w:sz w:val="24"/>
          <w:szCs w:val="24"/>
        </w:rPr>
        <w:t xml:space="preserve"> of all monitoring instruments to guarantee their proper functioning throughout the monitoring period.</w:t>
      </w:r>
    </w:p>
    <w:p w14:paraId="7084E1D8"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These instrumentation, calibration, and quality control measures collectively ensure the accuracy and reliability of the data collected, forming a robust foundation for the comprehensive analytical study of airborne pollutants in the NOIDA urban environment.</w:t>
      </w:r>
    </w:p>
    <w:p w14:paraId="4EBC5435"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t>Data Collection and Analysis for the Research Paper on Airborne Pollutants in NOIDA:</w:t>
      </w:r>
    </w:p>
    <w:p w14:paraId="1176A850" w14:textId="77777777" w:rsidR="005C7EEA" w:rsidRPr="0036454D" w:rsidRDefault="005C7EEA" w:rsidP="002E145C">
      <w:pPr>
        <w:spacing w:line="360" w:lineRule="auto"/>
        <w:jc w:val="both"/>
        <w:rPr>
          <w:rFonts w:ascii="Times New Roman" w:hAnsi="Times New Roman" w:cs="Times New Roman"/>
          <w:b/>
          <w:bCs/>
          <w:sz w:val="24"/>
          <w:szCs w:val="24"/>
        </w:rPr>
      </w:pPr>
      <w:r w:rsidRPr="0036454D">
        <w:rPr>
          <w:rFonts w:ascii="Times New Roman" w:hAnsi="Times New Roman" w:cs="Times New Roman"/>
          <w:b/>
          <w:bCs/>
          <w:sz w:val="24"/>
          <w:szCs w:val="24"/>
        </w:rPr>
        <w:t>1. Data Collection:</w:t>
      </w:r>
    </w:p>
    <w:p w14:paraId="482B981F"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Temporal Coverage</w:t>
      </w:r>
      <w:r w:rsidRPr="002E145C">
        <w:rPr>
          <w:rFonts w:ascii="Times New Roman" w:hAnsi="Times New Roman" w:cs="Times New Roman"/>
          <w:sz w:val="24"/>
          <w:szCs w:val="24"/>
        </w:rPr>
        <w:t>: The study involves continuous monitoring over an extended period to capture temporal variations in airborne pollutant concentrations. Data is collected at regular intervals, considering diurnal and seasonal patterns.</w:t>
      </w:r>
    </w:p>
    <w:p w14:paraId="48D267F9"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Spatial Distribution</w:t>
      </w:r>
      <w:r w:rsidRPr="002E145C">
        <w:rPr>
          <w:rFonts w:ascii="Times New Roman" w:hAnsi="Times New Roman" w:cs="Times New Roman"/>
          <w:sz w:val="24"/>
          <w:szCs w:val="24"/>
        </w:rPr>
        <w:t>: Monitoring is conducted at multiple sites across NOIDA, including Sector 15, 62, 12, and 22, chosen to represent diverse urban characteristics. This spatial distribution enables the examination of pollution hotspots and variations across different land uses.</w:t>
      </w:r>
    </w:p>
    <w:p w14:paraId="4B9D2CD7"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lastRenderedPageBreak/>
        <w:t>Sampling Frequency</w:t>
      </w:r>
      <w:r w:rsidRPr="002E145C">
        <w:rPr>
          <w:rFonts w:ascii="Times New Roman" w:hAnsi="Times New Roman" w:cs="Times New Roman"/>
          <w:sz w:val="24"/>
          <w:szCs w:val="24"/>
        </w:rPr>
        <w:t>: High-frequency sampling for particulate matter and continuous monitoring for nitrogen oxides ensure a detailed dataset, while canister-based sampling for volatile organic compounds is conducted intermittently to capture variations in VOC concentrations.</w:t>
      </w:r>
    </w:p>
    <w:p w14:paraId="67D164E2"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b/>
          <w:bCs/>
          <w:sz w:val="24"/>
          <w:szCs w:val="24"/>
        </w:rPr>
        <w:t>Meteorological Parameters:</w:t>
      </w:r>
      <w:r w:rsidRPr="002E145C">
        <w:rPr>
          <w:rFonts w:ascii="Times New Roman" w:hAnsi="Times New Roman" w:cs="Times New Roman"/>
          <w:sz w:val="24"/>
          <w:szCs w:val="24"/>
        </w:rPr>
        <w:t xml:space="preserve"> Concurrent monitoring of meteorological parameters (e.g., temperature, humidity, wind speed) at each site provides context for understanding the influence of weather conditions on pollutant dispersion and transformation.</w:t>
      </w:r>
    </w:p>
    <w:p w14:paraId="25EA1089"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Data Logging:</w:t>
      </w:r>
      <w:r w:rsidRPr="002E145C">
        <w:rPr>
          <w:rFonts w:ascii="Times New Roman" w:hAnsi="Times New Roman" w:cs="Times New Roman"/>
          <w:sz w:val="24"/>
          <w:szCs w:val="24"/>
        </w:rPr>
        <w:t xml:space="preserve"> Continuous data logging ensures a comprehensive dataset, allowing for the examination of short-term fluctuations and long-term trends in airborne pollutant concentrations.</w:t>
      </w:r>
    </w:p>
    <w:p w14:paraId="6BCE3006" w14:textId="77777777" w:rsidR="005C7EEA" w:rsidRPr="0088094C" w:rsidRDefault="005C7EEA" w:rsidP="002E145C">
      <w:pPr>
        <w:spacing w:line="360" w:lineRule="auto"/>
        <w:jc w:val="both"/>
        <w:rPr>
          <w:rFonts w:ascii="Times New Roman" w:hAnsi="Times New Roman" w:cs="Times New Roman"/>
          <w:b/>
          <w:bCs/>
          <w:sz w:val="24"/>
          <w:szCs w:val="24"/>
        </w:rPr>
      </w:pPr>
      <w:r w:rsidRPr="0088094C">
        <w:rPr>
          <w:rFonts w:ascii="Times New Roman" w:hAnsi="Times New Roman" w:cs="Times New Roman"/>
          <w:b/>
          <w:bCs/>
          <w:sz w:val="24"/>
          <w:szCs w:val="24"/>
        </w:rPr>
        <w:t>2. Data Analysis:</w:t>
      </w:r>
    </w:p>
    <w:p w14:paraId="2CBCA97E"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Descriptive Statistics:</w:t>
      </w:r>
      <w:r w:rsidRPr="002E145C">
        <w:rPr>
          <w:rFonts w:ascii="Times New Roman" w:hAnsi="Times New Roman" w:cs="Times New Roman"/>
          <w:sz w:val="24"/>
          <w:szCs w:val="24"/>
        </w:rPr>
        <w:t xml:space="preserve"> Initial data analysis involves computing descriptive statistics such as mean, median, and standard deviation to summarize the central tendency and variability of pollutant concentrations at each monitoring site.</w:t>
      </w:r>
    </w:p>
    <w:p w14:paraId="284DBB7F"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Spatial Mapping:</w:t>
      </w:r>
      <w:r w:rsidRPr="002E145C">
        <w:rPr>
          <w:rFonts w:ascii="Times New Roman" w:hAnsi="Times New Roman" w:cs="Times New Roman"/>
          <w:sz w:val="24"/>
          <w:szCs w:val="24"/>
        </w:rPr>
        <w:t xml:space="preserve"> GIS techniques are employed to spatially map pollutant concentrations across NOIDA. This allows for the identification of spatial patterns and the delineation of areas with elevated pollutant levels.</w:t>
      </w:r>
    </w:p>
    <w:p w14:paraId="3D9A401F"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Temporal Trends:</w:t>
      </w:r>
      <w:r w:rsidRPr="002E145C">
        <w:rPr>
          <w:rFonts w:ascii="Times New Roman" w:hAnsi="Times New Roman" w:cs="Times New Roman"/>
          <w:sz w:val="24"/>
          <w:szCs w:val="24"/>
        </w:rPr>
        <w:t xml:space="preserve"> Time-series analysis is conducted to identify temporal trends and patterns in pollutant concentrations. Seasonal variations and diurnal patterns are explored to understand the impact of different factors on air quality.</w:t>
      </w:r>
    </w:p>
    <w:p w14:paraId="0A822486"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Correlation Analysis</w:t>
      </w:r>
      <w:r w:rsidRPr="002E145C">
        <w:rPr>
          <w:rFonts w:ascii="Times New Roman" w:hAnsi="Times New Roman" w:cs="Times New Roman"/>
          <w:sz w:val="24"/>
          <w:szCs w:val="24"/>
        </w:rPr>
        <w:t>: Statistical correlation analyses are performed to assess relationships between pollutant concentrations and meteorological parameters. This helps in understanding the influence of weather conditions on pollutant levels.</w:t>
      </w:r>
    </w:p>
    <w:p w14:paraId="04B598F9"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 xml:space="preserve">Source Apportionment: </w:t>
      </w:r>
      <w:r w:rsidRPr="002E145C">
        <w:rPr>
          <w:rFonts w:ascii="Times New Roman" w:hAnsi="Times New Roman" w:cs="Times New Roman"/>
          <w:sz w:val="24"/>
          <w:szCs w:val="24"/>
        </w:rPr>
        <w:t>Source apportionment techniques, such as chemical mass balance modeling or receptor modeling, are applied to identify and quantify the contributions of different sources (e.g., vehicular emissions, industrial discharges) to overall pollutant levels.</w:t>
      </w:r>
    </w:p>
    <w:p w14:paraId="16579D74" w14:textId="77777777" w:rsidR="005C7EEA" w:rsidRPr="002E145C" w:rsidRDefault="005C7EEA" w:rsidP="002E145C">
      <w:pPr>
        <w:spacing w:line="360" w:lineRule="auto"/>
        <w:jc w:val="both"/>
        <w:rPr>
          <w:rFonts w:ascii="Times New Roman" w:hAnsi="Times New Roman" w:cs="Times New Roman"/>
          <w:sz w:val="24"/>
          <w:szCs w:val="24"/>
        </w:rPr>
      </w:pPr>
      <w:r w:rsidRPr="0088094C">
        <w:rPr>
          <w:rFonts w:ascii="Times New Roman" w:hAnsi="Times New Roman" w:cs="Times New Roman"/>
          <w:b/>
          <w:bCs/>
          <w:sz w:val="24"/>
          <w:szCs w:val="24"/>
        </w:rPr>
        <w:t>Comparison with Standards</w:t>
      </w:r>
      <w:r w:rsidRPr="002E145C">
        <w:rPr>
          <w:rFonts w:ascii="Times New Roman" w:hAnsi="Times New Roman" w:cs="Times New Roman"/>
          <w:sz w:val="24"/>
          <w:szCs w:val="24"/>
        </w:rPr>
        <w:t>: The collected data is compared with established air quality standards and guidelines to evaluate the extent of pollution and identify areas where concentrations exceed permissible limits.</w:t>
      </w:r>
    </w:p>
    <w:p w14:paraId="4AD4AEB2" w14:textId="77777777" w:rsidR="005C7EEA" w:rsidRPr="002E145C" w:rsidRDefault="005C7EEA" w:rsidP="002E145C">
      <w:pPr>
        <w:spacing w:line="360" w:lineRule="auto"/>
        <w:jc w:val="both"/>
        <w:rPr>
          <w:rFonts w:ascii="Times New Roman" w:hAnsi="Times New Roman" w:cs="Times New Roman"/>
          <w:b/>
          <w:bCs/>
          <w:sz w:val="24"/>
          <w:szCs w:val="24"/>
        </w:rPr>
      </w:pPr>
      <w:r w:rsidRPr="002E145C">
        <w:rPr>
          <w:rFonts w:ascii="Times New Roman" w:hAnsi="Times New Roman" w:cs="Times New Roman"/>
          <w:b/>
          <w:bCs/>
          <w:sz w:val="24"/>
          <w:szCs w:val="24"/>
        </w:rPr>
        <w:lastRenderedPageBreak/>
        <w:t>3. Quality Assurance and Validation:</w:t>
      </w:r>
    </w:p>
    <w:p w14:paraId="702577C3" w14:textId="77777777" w:rsidR="005C7EEA" w:rsidRPr="002E145C" w:rsidRDefault="005C7EEA" w:rsidP="002E145C">
      <w:pPr>
        <w:spacing w:line="360" w:lineRule="auto"/>
        <w:jc w:val="both"/>
        <w:rPr>
          <w:rFonts w:ascii="Times New Roman" w:hAnsi="Times New Roman" w:cs="Times New Roman"/>
          <w:sz w:val="24"/>
          <w:szCs w:val="24"/>
        </w:rPr>
      </w:pPr>
      <w:r w:rsidRPr="00F84C3A">
        <w:rPr>
          <w:rFonts w:ascii="Times New Roman" w:hAnsi="Times New Roman" w:cs="Times New Roman"/>
          <w:b/>
          <w:bCs/>
          <w:sz w:val="24"/>
          <w:szCs w:val="24"/>
        </w:rPr>
        <w:t>Quality Control Checks</w:t>
      </w:r>
      <w:r w:rsidRPr="002E145C">
        <w:rPr>
          <w:rFonts w:ascii="Times New Roman" w:hAnsi="Times New Roman" w:cs="Times New Roman"/>
          <w:sz w:val="24"/>
          <w:szCs w:val="24"/>
        </w:rPr>
        <w:t>: Regular checks and calibration of monitoring instruments ensure data accuracy and reliability. Any drift or inconsistency in instrument readings is promptly addressed.</w:t>
      </w:r>
    </w:p>
    <w:p w14:paraId="3BB38C18" w14:textId="77777777" w:rsidR="005C7EEA" w:rsidRPr="00F84C3A" w:rsidRDefault="005C7EEA" w:rsidP="002E145C">
      <w:pPr>
        <w:spacing w:line="360" w:lineRule="auto"/>
        <w:jc w:val="both"/>
        <w:rPr>
          <w:rFonts w:ascii="Times New Roman" w:hAnsi="Times New Roman" w:cs="Times New Roman"/>
          <w:b/>
          <w:bCs/>
          <w:sz w:val="24"/>
          <w:szCs w:val="24"/>
        </w:rPr>
      </w:pPr>
      <w:r w:rsidRPr="00F84C3A">
        <w:rPr>
          <w:rFonts w:ascii="Times New Roman" w:hAnsi="Times New Roman" w:cs="Times New Roman"/>
          <w:b/>
          <w:bCs/>
          <w:sz w:val="24"/>
          <w:szCs w:val="24"/>
        </w:rPr>
        <w:t>Data Validation</w:t>
      </w:r>
      <w:r w:rsidRPr="002E145C">
        <w:rPr>
          <w:rFonts w:ascii="Times New Roman" w:hAnsi="Times New Roman" w:cs="Times New Roman"/>
          <w:sz w:val="24"/>
          <w:szCs w:val="24"/>
        </w:rPr>
        <w:t xml:space="preserve">: Rigorous validation procedures are applied to ensure the integrity of the dataset. Outliers and anomalies are carefully examined, and any questionable data points are either verified </w:t>
      </w:r>
      <w:r w:rsidRPr="00F84C3A">
        <w:rPr>
          <w:rFonts w:ascii="Times New Roman" w:hAnsi="Times New Roman" w:cs="Times New Roman"/>
          <w:sz w:val="24"/>
          <w:szCs w:val="24"/>
        </w:rPr>
        <w:t>or flagged for exclusion from the analysis.</w:t>
      </w:r>
    </w:p>
    <w:p w14:paraId="413D4E10" w14:textId="77777777" w:rsidR="005C7EEA" w:rsidRPr="002E145C" w:rsidRDefault="005C7EEA" w:rsidP="002E145C">
      <w:pPr>
        <w:spacing w:line="360" w:lineRule="auto"/>
        <w:jc w:val="both"/>
        <w:rPr>
          <w:rFonts w:ascii="Times New Roman" w:hAnsi="Times New Roman" w:cs="Times New Roman"/>
          <w:sz w:val="24"/>
          <w:szCs w:val="24"/>
        </w:rPr>
      </w:pPr>
      <w:r w:rsidRPr="00F84C3A">
        <w:rPr>
          <w:rFonts w:ascii="Times New Roman" w:hAnsi="Times New Roman" w:cs="Times New Roman"/>
          <w:b/>
          <w:bCs/>
          <w:sz w:val="24"/>
          <w:szCs w:val="24"/>
        </w:rPr>
        <w:t>Uncertainty Analysis:</w:t>
      </w:r>
      <w:r w:rsidRPr="002E145C">
        <w:rPr>
          <w:rFonts w:ascii="Times New Roman" w:hAnsi="Times New Roman" w:cs="Times New Roman"/>
          <w:sz w:val="24"/>
          <w:szCs w:val="24"/>
        </w:rPr>
        <w:t xml:space="preserve"> A comprehensive uncertainty analysis is conducted to quantify the uncertainties associated with each measurement, ensuring transparency in the reported results.</w:t>
      </w:r>
    </w:p>
    <w:p w14:paraId="60F28EBB" w14:textId="6E8BE8CA" w:rsidR="00F83112" w:rsidRPr="00647F45" w:rsidRDefault="00F83112" w:rsidP="00F83112">
      <w:pPr>
        <w:spacing w:line="360" w:lineRule="auto"/>
        <w:jc w:val="center"/>
        <w:rPr>
          <w:rFonts w:ascii="Times New Roman" w:hAnsi="Times New Roman" w:cs="Times New Roman"/>
          <w:b/>
          <w:bCs/>
          <w:sz w:val="24"/>
          <w:szCs w:val="24"/>
        </w:rPr>
      </w:pPr>
      <w:r w:rsidRPr="00647F45">
        <w:rPr>
          <w:rFonts w:ascii="Times New Roman" w:hAnsi="Times New Roman" w:cs="Times New Roman"/>
          <w:b/>
          <w:bCs/>
          <w:sz w:val="24"/>
          <w:szCs w:val="24"/>
        </w:rPr>
        <w:t>Table 1 Data on Airborne Pollutant Concentrations in NOIDA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BD1669" w14:paraId="7E88B12B" w14:textId="77777777" w:rsidTr="00BD1669">
        <w:tc>
          <w:tcPr>
            <w:tcW w:w="1558" w:type="dxa"/>
          </w:tcPr>
          <w:p w14:paraId="0A624F1B" w14:textId="17EA3320" w:rsidR="00BD1669" w:rsidRPr="00647F45" w:rsidRDefault="00BD1669" w:rsidP="002E145C">
            <w:pPr>
              <w:spacing w:line="360" w:lineRule="auto"/>
              <w:jc w:val="both"/>
              <w:rPr>
                <w:rFonts w:ascii="Times New Roman" w:hAnsi="Times New Roman" w:cs="Times New Roman"/>
                <w:b/>
                <w:bCs/>
                <w:sz w:val="24"/>
                <w:szCs w:val="24"/>
              </w:rPr>
            </w:pPr>
            <w:r w:rsidRPr="00647F45">
              <w:rPr>
                <w:rFonts w:ascii="Times New Roman" w:hAnsi="Times New Roman" w:cs="Times New Roman"/>
                <w:b/>
                <w:bCs/>
                <w:sz w:val="24"/>
                <w:szCs w:val="24"/>
              </w:rPr>
              <w:t>Date</w:t>
            </w:r>
          </w:p>
        </w:tc>
        <w:tc>
          <w:tcPr>
            <w:tcW w:w="1558" w:type="dxa"/>
          </w:tcPr>
          <w:p w14:paraId="78818131" w14:textId="1D5ECD47" w:rsidR="00BD1669" w:rsidRPr="00647F45" w:rsidRDefault="00BD1669" w:rsidP="002E145C">
            <w:pPr>
              <w:spacing w:line="360" w:lineRule="auto"/>
              <w:jc w:val="both"/>
              <w:rPr>
                <w:rFonts w:ascii="Times New Roman" w:hAnsi="Times New Roman" w:cs="Times New Roman"/>
                <w:b/>
                <w:bCs/>
                <w:sz w:val="24"/>
                <w:szCs w:val="24"/>
              </w:rPr>
            </w:pPr>
            <w:r w:rsidRPr="00647F45">
              <w:rPr>
                <w:rFonts w:ascii="Times New Roman" w:hAnsi="Times New Roman" w:cs="Times New Roman"/>
                <w:b/>
                <w:bCs/>
                <w:sz w:val="24"/>
                <w:szCs w:val="24"/>
              </w:rPr>
              <w:t xml:space="preserve">Time </w:t>
            </w:r>
          </w:p>
        </w:tc>
        <w:tc>
          <w:tcPr>
            <w:tcW w:w="1558" w:type="dxa"/>
          </w:tcPr>
          <w:p w14:paraId="1B463275" w14:textId="41C982F1" w:rsidR="00BD1669" w:rsidRPr="00647F45" w:rsidRDefault="00BD1669" w:rsidP="002E145C">
            <w:pPr>
              <w:spacing w:line="360" w:lineRule="auto"/>
              <w:jc w:val="both"/>
              <w:rPr>
                <w:rFonts w:ascii="Times New Roman" w:hAnsi="Times New Roman" w:cs="Times New Roman"/>
                <w:b/>
                <w:bCs/>
                <w:szCs w:val="22"/>
              </w:rPr>
            </w:pPr>
            <w:r w:rsidRPr="00647F45">
              <w:rPr>
                <w:rFonts w:ascii="Times New Roman" w:hAnsi="Times New Roman" w:cs="Times New Roman"/>
                <w:b/>
                <w:bCs/>
                <w:szCs w:val="22"/>
              </w:rPr>
              <w:t>Sector 15 (PM10 µg/m³)</w:t>
            </w:r>
          </w:p>
        </w:tc>
        <w:tc>
          <w:tcPr>
            <w:tcW w:w="1558" w:type="dxa"/>
          </w:tcPr>
          <w:p w14:paraId="6F0A7D81" w14:textId="79264081" w:rsidR="00BD1669" w:rsidRPr="00647F45" w:rsidRDefault="00A1739C" w:rsidP="002E145C">
            <w:pPr>
              <w:spacing w:line="360" w:lineRule="auto"/>
              <w:jc w:val="both"/>
              <w:rPr>
                <w:rFonts w:ascii="Times New Roman" w:hAnsi="Times New Roman" w:cs="Times New Roman"/>
                <w:b/>
                <w:bCs/>
                <w:szCs w:val="22"/>
              </w:rPr>
            </w:pPr>
            <w:r w:rsidRPr="00647F45">
              <w:rPr>
                <w:rFonts w:ascii="Times New Roman" w:hAnsi="Times New Roman" w:cs="Times New Roman"/>
                <w:b/>
                <w:bCs/>
                <w:szCs w:val="22"/>
              </w:rPr>
              <w:t>Sector 62 (NO2 ppb)</w:t>
            </w:r>
          </w:p>
        </w:tc>
        <w:tc>
          <w:tcPr>
            <w:tcW w:w="1559" w:type="dxa"/>
          </w:tcPr>
          <w:p w14:paraId="007DB740" w14:textId="01736470" w:rsidR="00BD1669" w:rsidRPr="00647F45" w:rsidRDefault="00A1739C" w:rsidP="002E145C">
            <w:pPr>
              <w:spacing w:line="360" w:lineRule="auto"/>
              <w:jc w:val="both"/>
              <w:rPr>
                <w:rFonts w:ascii="Times New Roman" w:hAnsi="Times New Roman" w:cs="Times New Roman"/>
                <w:b/>
                <w:bCs/>
                <w:sz w:val="24"/>
                <w:szCs w:val="24"/>
              </w:rPr>
            </w:pPr>
            <w:r w:rsidRPr="00647F45">
              <w:rPr>
                <w:rFonts w:ascii="Times New Roman" w:hAnsi="Times New Roman" w:cs="Times New Roman"/>
                <w:b/>
                <w:bCs/>
                <w:sz w:val="24"/>
                <w:szCs w:val="24"/>
              </w:rPr>
              <w:t>Sector 12 (VOCs ppb)</w:t>
            </w:r>
          </w:p>
        </w:tc>
        <w:tc>
          <w:tcPr>
            <w:tcW w:w="1559" w:type="dxa"/>
          </w:tcPr>
          <w:p w14:paraId="71EBCF9D" w14:textId="240EE9C1" w:rsidR="00BD1669" w:rsidRPr="00647F45" w:rsidRDefault="00A1739C" w:rsidP="002E145C">
            <w:pPr>
              <w:spacing w:line="360" w:lineRule="auto"/>
              <w:jc w:val="both"/>
              <w:rPr>
                <w:rFonts w:ascii="Times New Roman" w:hAnsi="Times New Roman" w:cs="Times New Roman"/>
                <w:b/>
                <w:bCs/>
                <w:szCs w:val="22"/>
              </w:rPr>
            </w:pPr>
            <w:r w:rsidRPr="00647F45">
              <w:rPr>
                <w:rFonts w:ascii="Times New Roman" w:hAnsi="Times New Roman" w:cs="Times New Roman"/>
                <w:b/>
                <w:bCs/>
                <w:szCs w:val="22"/>
              </w:rPr>
              <w:t>Sector 22 (PM2.5 µg/m³)</w:t>
            </w:r>
          </w:p>
        </w:tc>
      </w:tr>
      <w:tr w:rsidR="00BD1669" w14:paraId="28996669" w14:textId="77777777" w:rsidTr="00BD1669">
        <w:tc>
          <w:tcPr>
            <w:tcW w:w="1558" w:type="dxa"/>
          </w:tcPr>
          <w:p w14:paraId="5D01C305" w14:textId="22951BDF"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2023-01-01</w:t>
            </w:r>
          </w:p>
        </w:tc>
        <w:tc>
          <w:tcPr>
            <w:tcW w:w="1558" w:type="dxa"/>
          </w:tcPr>
          <w:p w14:paraId="27A36F29" w14:textId="02D5F810"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08:00 AM</w:t>
            </w:r>
          </w:p>
        </w:tc>
        <w:tc>
          <w:tcPr>
            <w:tcW w:w="1558" w:type="dxa"/>
          </w:tcPr>
          <w:p w14:paraId="43EC314A" w14:textId="177982B8"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1558" w:type="dxa"/>
          </w:tcPr>
          <w:p w14:paraId="572BC2F7" w14:textId="1AF79F7C"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Pr>
          <w:p w14:paraId="44E36AD3" w14:textId="4FDC3F53"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59" w:type="dxa"/>
          </w:tcPr>
          <w:p w14:paraId="63860C79" w14:textId="423EC132"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BD1669" w14:paraId="3F8D0D25" w14:textId="77777777" w:rsidTr="00BD1669">
        <w:tc>
          <w:tcPr>
            <w:tcW w:w="1558" w:type="dxa"/>
          </w:tcPr>
          <w:p w14:paraId="1FFA8591" w14:textId="4DA246DB" w:rsidR="00BD1669" w:rsidRDefault="00A1739C" w:rsidP="002E145C">
            <w:pPr>
              <w:spacing w:line="360" w:lineRule="auto"/>
              <w:jc w:val="both"/>
              <w:rPr>
                <w:rFonts w:ascii="Times New Roman" w:hAnsi="Times New Roman" w:cs="Times New Roman"/>
                <w:sz w:val="24"/>
                <w:szCs w:val="24"/>
              </w:rPr>
            </w:pPr>
            <w:r w:rsidRPr="00A1739C">
              <w:rPr>
                <w:rFonts w:ascii="Times New Roman" w:hAnsi="Times New Roman" w:cs="Times New Roman"/>
                <w:sz w:val="24"/>
                <w:szCs w:val="24"/>
              </w:rPr>
              <w:t>2023-01-01</w:t>
            </w:r>
          </w:p>
        </w:tc>
        <w:tc>
          <w:tcPr>
            <w:tcW w:w="1558" w:type="dxa"/>
          </w:tcPr>
          <w:p w14:paraId="68E2C0B9" w14:textId="0CEB6B36"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12:00 AM</w:t>
            </w:r>
          </w:p>
        </w:tc>
        <w:tc>
          <w:tcPr>
            <w:tcW w:w="1558" w:type="dxa"/>
          </w:tcPr>
          <w:p w14:paraId="5E086A1F" w14:textId="136BA7E1"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p>
        </w:tc>
        <w:tc>
          <w:tcPr>
            <w:tcW w:w="1558" w:type="dxa"/>
          </w:tcPr>
          <w:p w14:paraId="03DC1D34" w14:textId="38C05C8F"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1559" w:type="dxa"/>
          </w:tcPr>
          <w:p w14:paraId="2E59039F" w14:textId="036C80AA"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35</w:t>
            </w:r>
          </w:p>
        </w:tc>
        <w:tc>
          <w:tcPr>
            <w:tcW w:w="1559" w:type="dxa"/>
          </w:tcPr>
          <w:p w14:paraId="27ECB94A" w14:textId="4B101262"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r>
      <w:tr w:rsidR="00BD1669" w14:paraId="7092CDCD" w14:textId="77777777" w:rsidTr="00BD1669">
        <w:tc>
          <w:tcPr>
            <w:tcW w:w="1558" w:type="dxa"/>
          </w:tcPr>
          <w:p w14:paraId="213E264D" w14:textId="6482FEFC" w:rsidR="00BD1669" w:rsidRDefault="00A1739C" w:rsidP="002E145C">
            <w:pPr>
              <w:spacing w:line="360" w:lineRule="auto"/>
              <w:jc w:val="both"/>
              <w:rPr>
                <w:rFonts w:ascii="Times New Roman" w:hAnsi="Times New Roman" w:cs="Times New Roman"/>
                <w:sz w:val="24"/>
                <w:szCs w:val="24"/>
              </w:rPr>
            </w:pPr>
            <w:r w:rsidRPr="00A1739C">
              <w:rPr>
                <w:rFonts w:ascii="Times New Roman" w:hAnsi="Times New Roman" w:cs="Times New Roman"/>
                <w:sz w:val="24"/>
                <w:szCs w:val="24"/>
              </w:rPr>
              <w:t>2023-01-01</w:t>
            </w:r>
          </w:p>
        </w:tc>
        <w:tc>
          <w:tcPr>
            <w:tcW w:w="1558" w:type="dxa"/>
          </w:tcPr>
          <w:p w14:paraId="685013FD" w14:textId="01DC1E74"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04:00 PM</w:t>
            </w:r>
          </w:p>
        </w:tc>
        <w:tc>
          <w:tcPr>
            <w:tcW w:w="1558" w:type="dxa"/>
          </w:tcPr>
          <w:p w14:paraId="631BBDB4" w14:textId="335FB9BD"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1558" w:type="dxa"/>
          </w:tcPr>
          <w:p w14:paraId="3A4998B4" w14:textId="424B7301"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9" w:type="dxa"/>
          </w:tcPr>
          <w:p w14:paraId="347403F6" w14:textId="6EB9F84D"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1559" w:type="dxa"/>
          </w:tcPr>
          <w:p w14:paraId="61C8D4A6" w14:textId="45A1A49E"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p>
        </w:tc>
      </w:tr>
      <w:tr w:rsidR="00BD1669" w14:paraId="6E59A146" w14:textId="77777777" w:rsidTr="00BD1669">
        <w:tc>
          <w:tcPr>
            <w:tcW w:w="1558" w:type="dxa"/>
          </w:tcPr>
          <w:p w14:paraId="4AEE2815" w14:textId="4B1D006E" w:rsidR="00BD1669" w:rsidRDefault="00A1739C" w:rsidP="002E145C">
            <w:pPr>
              <w:spacing w:line="360" w:lineRule="auto"/>
              <w:jc w:val="both"/>
              <w:rPr>
                <w:rFonts w:ascii="Times New Roman" w:hAnsi="Times New Roman" w:cs="Times New Roman"/>
                <w:sz w:val="24"/>
                <w:szCs w:val="24"/>
              </w:rPr>
            </w:pPr>
            <w:r w:rsidRPr="00A1739C">
              <w:rPr>
                <w:rFonts w:ascii="Times New Roman" w:hAnsi="Times New Roman" w:cs="Times New Roman"/>
                <w:sz w:val="24"/>
                <w:szCs w:val="24"/>
              </w:rPr>
              <w:t>2023-01-01</w:t>
            </w:r>
          </w:p>
        </w:tc>
        <w:tc>
          <w:tcPr>
            <w:tcW w:w="1558" w:type="dxa"/>
          </w:tcPr>
          <w:p w14:paraId="2D849C26" w14:textId="5A3DE378"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08:00 PM</w:t>
            </w:r>
          </w:p>
        </w:tc>
        <w:tc>
          <w:tcPr>
            <w:tcW w:w="1558" w:type="dxa"/>
          </w:tcPr>
          <w:p w14:paraId="53673492" w14:textId="1B29E1E7"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55</w:t>
            </w:r>
          </w:p>
        </w:tc>
        <w:tc>
          <w:tcPr>
            <w:tcW w:w="1558" w:type="dxa"/>
          </w:tcPr>
          <w:p w14:paraId="3958ABEB" w14:textId="6D30CDB2"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1559" w:type="dxa"/>
          </w:tcPr>
          <w:p w14:paraId="19C818E9" w14:textId="59118710"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1559" w:type="dxa"/>
          </w:tcPr>
          <w:p w14:paraId="2C706183" w14:textId="43BE69AC"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p>
        </w:tc>
      </w:tr>
      <w:tr w:rsidR="00BD1669" w14:paraId="2151A178" w14:textId="77777777" w:rsidTr="00BD1669">
        <w:tc>
          <w:tcPr>
            <w:tcW w:w="1558" w:type="dxa"/>
          </w:tcPr>
          <w:p w14:paraId="7F8CED97" w14:textId="3ECFBCCE" w:rsidR="00BD1669" w:rsidRDefault="00A1739C" w:rsidP="002E145C">
            <w:pPr>
              <w:spacing w:line="360" w:lineRule="auto"/>
              <w:jc w:val="both"/>
              <w:rPr>
                <w:rFonts w:ascii="Times New Roman" w:hAnsi="Times New Roman" w:cs="Times New Roman"/>
                <w:sz w:val="24"/>
                <w:szCs w:val="24"/>
              </w:rPr>
            </w:pPr>
            <w:r w:rsidRPr="00A1739C">
              <w:rPr>
                <w:rFonts w:ascii="Times New Roman" w:hAnsi="Times New Roman" w:cs="Times New Roman"/>
                <w:sz w:val="24"/>
                <w:szCs w:val="24"/>
              </w:rPr>
              <w:t>2023-01-</w:t>
            </w:r>
            <w:r>
              <w:rPr>
                <w:rFonts w:ascii="Times New Roman" w:hAnsi="Times New Roman" w:cs="Times New Roman"/>
                <w:sz w:val="24"/>
                <w:szCs w:val="24"/>
              </w:rPr>
              <w:t>31</w:t>
            </w:r>
          </w:p>
        </w:tc>
        <w:tc>
          <w:tcPr>
            <w:tcW w:w="1558" w:type="dxa"/>
          </w:tcPr>
          <w:p w14:paraId="5C83C11A" w14:textId="209AE5F3"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08:00 PM</w:t>
            </w:r>
          </w:p>
        </w:tc>
        <w:tc>
          <w:tcPr>
            <w:tcW w:w="1558" w:type="dxa"/>
          </w:tcPr>
          <w:p w14:paraId="4593D70A" w14:textId="2230E942"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1558" w:type="dxa"/>
          </w:tcPr>
          <w:p w14:paraId="53AD773E" w14:textId="0EEF683F"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59" w:type="dxa"/>
          </w:tcPr>
          <w:p w14:paraId="40C472D8" w14:textId="4CD0AAD2"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40</w:t>
            </w:r>
          </w:p>
        </w:tc>
        <w:tc>
          <w:tcPr>
            <w:tcW w:w="1559" w:type="dxa"/>
          </w:tcPr>
          <w:p w14:paraId="4B76A2D5" w14:textId="515F365F" w:rsidR="00BD1669" w:rsidRDefault="00A1739C" w:rsidP="002E145C">
            <w:pPr>
              <w:spacing w:line="360" w:lineRule="auto"/>
              <w:jc w:val="both"/>
              <w:rPr>
                <w:rFonts w:ascii="Times New Roman" w:hAnsi="Times New Roman" w:cs="Times New Roman"/>
                <w:sz w:val="24"/>
                <w:szCs w:val="24"/>
              </w:rPr>
            </w:pPr>
            <w:r>
              <w:rPr>
                <w:rFonts w:ascii="Times New Roman" w:hAnsi="Times New Roman" w:cs="Times New Roman"/>
                <w:sz w:val="24"/>
                <w:szCs w:val="24"/>
              </w:rPr>
              <w:t>25</w:t>
            </w:r>
          </w:p>
        </w:tc>
      </w:tr>
    </w:tbl>
    <w:p w14:paraId="54C86595" w14:textId="77777777" w:rsidR="00BD1669" w:rsidRPr="002E145C" w:rsidRDefault="00BD1669" w:rsidP="002E145C">
      <w:pPr>
        <w:spacing w:line="360" w:lineRule="auto"/>
        <w:jc w:val="both"/>
        <w:rPr>
          <w:rFonts w:ascii="Times New Roman" w:hAnsi="Times New Roman" w:cs="Times New Roman"/>
          <w:sz w:val="24"/>
          <w:szCs w:val="24"/>
        </w:rPr>
      </w:pPr>
    </w:p>
    <w:p w14:paraId="4E4F515C" w14:textId="77777777" w:rsidR="005C7EEA" w:rsidRPr="002E145C" w:rsidRDefault="005C7EEA" w:rsidP="00090A1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"PM10," "PM2.5," "NO2," and "VOCs" represent different airborne pollutants.</w:t>
      </w:r>
    </w:p>
    <w:p w14:paraId="53F10B64" w14:textId="77777777" w:rsidR="005C7EEA" w:rsidRPr="002E145C" w:rsidRDefault="005C7EEA" w:rsidP="00090A1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Concentrations are measured in micrograms per cubic meter (µg/m³) for particulate matter and parts per billion (ppb) for nitrogen dioxide (NO2) and volatile organic compounds (VOCs).</w:t>
      </w:r>
    </w:p>
    <w:p w14:paraId="614ED46B" w14:textId="77777777" w:rsidR="005C7EEA" w:rsidRPr="002E145C" w:rsidRDefault="005C7EEA" w:rsidP="00090A1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Data is recorded at different times throughout the day for each monitoring site.</w:t>
      </w:r>
    </w:p>
    <w:p w14:paraId="0CFCA230" w14:textId="77777777" w:rsidR="005C7EEA" w:rsidRPr="002E145C" w:rsidRDefault="005C7EEA" w:rsidP="002E145C">
      <w:pPr>
        <w:spacing w:line="360" w:lineRule="auto"/>
        <w:jc w:val="both"/>
        <w:rPr>
          <w:rFonts w:ascii="Times New Roman" w:hAnsi="Times New Roman" w:cs="Times New Roman"/>
          <w:sz w:val="24"/>
          <w:szCs w:val="24"/>
        </w:rPr>
      </w:pPr>
      <w:r w:rsidRPr="00090A1C">
        <w:rPr>
          <w:rFonts w:ascii="Times New Roman" w:hAnsi="Times New Roman" w:cs="Times New Roman"/>
          <w:b/>
          <w:bCs/>
          <w:sz w:val="24"/>
          <w:szCs w:val="24"/>
        </w:rPr>
        <w:t>Particulate Matter (PM) Hotspots</w:t>
      </w:r>
      <w:r w:rsidRPr="002E145C">
        <w:rPr>
          <w:rFonts w:ascii="Times New Roman" w:hAnsi="Times New Roman" w:cs="Times New Roman"/>
          <w:sz w:val="24"/>
          <w:szCs w:val="24"/>
        </w:rPr>
        <w:t>:</w:t>
      </w:r>
    </w:p>
    <w:p w14:paraId="7F4C8F9A"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 xml:space="preserve">Identifying hotspots involves recognizing areas where pollutant concentrations consistently exceed baseline levels, indicating a higher risk of adverse environmental and health effects. In NOIDA, the combination of industrial zones, commercial activities, and residential areas contributes to the complex spatial distribution of pollution. Targeted interventions and air quality </w:t>
      </w:r>
      <w:r w:rsidRPr="002E145C">
        <w:rPr>
          <w:rFonts w:ascii="Times New Roman" w:hAnsi="Times New Roman" w:cs="Times New Roman"/>
          <w:sz w:val="24"/>
          <w:szCs w:val="24"/>
        </w:rPr>
        <w:lastRenderedPageBreak/>
        <w:t>management strategies should be considered for these identified hotspots to mitigate the impact of airborne pollutants on both the environment and public health.</w:t>
      </w:r>
    </w:p>
    <w:p w14:paraId="70177C27" w14:textId="77777777" w:rsidR="005C7EEA" w:rsidRPr="00647F45" w:rsidRDefault="005C7EEA" w:rsidP="00014660">
      <w:pPr>
        <w:spacing w:line="360" w:lineRule="auto"/>
        <w:jc w:val="center"/>
        <w:rPr>
          <w:rFonts w:ascii="Times New Roman" w:hAnsi="Times New Roman" w:cs="Times New Roman"/>
          <w:b/>
          <w:bCs/>
          <w:sz w:val="24"/>
          <w:szCs w:val="24"/>
        </w:rPr>
      </w:pPr>
      <w:r w:rsidRPr="00647F45">
        <w:rPr>
          <w:rFonts w:ascii="Times New Roman" w:hAnsi="Times New Roman" w:cs="Times New Roman"/>
          <w:b/>
          <w:bCs/>
          <w:sz w:val="24"/>
          <w:szCs w:val="24"/>
        </w:rPr>
        <w:t>Table 2: Air Pollution Hotspots in NOIDA</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90A1C" w14:paraId="712A659D" w14:textId="77777777" w:rsidTr="00090A1C">
        <w:tc>
          <w:tcPr>
            <w:tcW w:w="1558" w:type="dxa"/>
          </w:tcPr>
          <w:p w14:paraId="1DCB8B97" w14:textId="4ED4B497"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w:t>
            </w:r>
          </w:p>
        </w:tc>
        <w:tc>
          <w:tcPr>
            <w:tcW w:w="1558" w:type="dxa"/>
          </w:tcPr>
          <w:p w14:paraId="24B6F1D4" w14:textId="001FFC29"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w:t>
            </w:r>
          </w:p>
        </w:tc>
        <w:tc>
          <w:tcPr>
            <w:tcW w:w="1558" w:type="dxa"/>
          </w:tcPr>
          <w:p w14:paraId="196820EB" w14:textId="3EF95EA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Pollutants</w:t>
            </w:r>
          </w:p>
        </w:tc>
        <w:tc>
          <w:tcPr>
            <w:tcW w:w="1558" w:type="dxa"/>
          </w:tcPr>
          <w:p w14:paraId="4AC3951D" w14:textId="7F6B83E0"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 xml:space="preserve">Time Frame </w:t>
            </w:r>
          </w:p>
        </w:tc>
        <w:tc>
          <w:tcPr>
            <w:tcW w:w="1559" w:type="dxa"/>
          </w:tcPr>
          <w:p w14:paraId="4C3C46C9" w14:textId="79D426B4"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 xml:space="preserve">Average conc. </w:t>
            </w:r>
          </w:p>
        </w:tc>
        <w:tc>
          <w:tcPr>
            <w:tcW w:w="1559" w:type="dxa"/>
          </w:tcPr>
          <w:p w14:paraId="3F747146" w14:textId="4882574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Notes</w:t>
            </w:r>
          </w:p>
        </w:tc>
      </w:tr>
      <w:tr w:rsidR="00090A1C" w14:paraId="227A08EF" w14:textId="77777777" w:rsidTr="00090A1C">
        <w:tc>
          <w:tcPr>
            <w:tcW w:w="1558" w:type="dxa"/>
          </w:tcPr>
          <w:p w14:paraId="02893A6A" w14:textId="3F7389B0"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1</w:t>
            </w:r>
          </w:p>
        </w:tc>
        <w:tc>
          <w:tcPr>
            <w:tcW w:w="1558" w:type="dxa"/>
          </w:tcPr>
          <w:p w14:paraId="6592AA14" w14:textId="1826BC99"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22</w:t>
            </w:r>
          </w:p>
        </w:tc>
        <w:tc>
          <w:tcPr>
            <w:tcW w:w="1558" w:type="dxa"/>
          </w:tcPr>
          <w:p w14:paraId="4693BC9A" w14:textId="7E2157D3"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PM 10</w:t>
            </w:r>
          </w:p>
        </w:tc>
        <w:tc>
          <w:tcPr>
            <w:tcW w:w="1558" w:type="dxa"/>
          </w:tcPr>
          <w:p w14:paraId="2CB729AD" w14:textId="4D934149"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Throughout the day</w:t>
            </w:r>
          </w:p>
        </w:tc>
        <w:tc>
          <w:tcPr>
            <w:tcW w:w="1559" w:type="dxa"/>
          </w:tcPr>
          <w:p w14:paraId="09C6A180" w14:textId="63A5FEDB"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 xml:space="preserve">55 µg/m³              </w:t>
            </w:r>
          </w:p>
        </w:tc>
        <w:tc>
          <w:tcPr>
            <w:tcW w:w="1559" w:type="dxa"/>
          </w:tcPr>
          <w:p w14:paraId="242E6233" w14:textId="7CC98762" w:rsidR="00090A1C"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Proximity to industrial zones</w:t>
            </w:r>
          </w:p>
        </w:tc>
      </w:tr>
      <w:tr w:rsidR="00090A1C" w14:paraId="31DC08F5" w14:textId="77777777" w:rsidTr="00090A1C">
        <w:tc>
          <w:tcPr>
            <w:tcW w:w="1558" w:type="dxa"/>
          </w:tcPr>
          <w:p w14:paraId="3EB57A76" w14:textId="4A624CA5"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1</w:t>
            </w:r>
          </w:p>
        </w:tc>
        <w:tc>
          <w:tcPr>
            <w:tcW w:w="1558" w:type="dxa"/>
          </w:tcPr>
          <w:p w14:paraId="5327DF33" w14:textId="71F07627"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22</w:t>
            </w:r>
          </w:p>
        </w:tc>
        <w:tc>
          <w:tcPr>
            <w:tcW w:w="1558" w:type="dxa"/>
          </w:tcPr>
          <w:p w14:paraId="3BAA9BAB" w14:textId="15FD8A75"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PM 2.5</w:t>
            </w:r>
          </w:p>
        </w:tc>
        <w:tc>
          <w:tcPr>
            <w:tcW w:w="1558" w:type="dxa"/>
          </w:tcPr>
          <w:p w14:paraId="1B22B76E" w14:textId="161B842D"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Throughout the day</w:t>
            </w:r>
          </w:p>
        </w:tc>
        <w:tc>
          <w:tcPr>
            <w:tcW w:w="1559" w:type="dxa"/>
          </w:tcPr>
          <w:p w14:paraId="1DE3B54E" w14:textId="12F48DE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 xml:space="preserve">35 µg/m³              </w:t>
            </w:r>
          </w:p>
        </w:tc>
        <w:tc>
          <w:tcPr>
            <w:tcW w:w="1559" w:type="dxa"/>
          </w:tcPr>
          <w:p w14:paraId="43AF299B" w14:textId="7C8349BF" w:rsidR="00090A1C" w:rsidRPr="00014660" w:rsidRDefault="00090A1C" w:rsidP="00090A1C">
            <w:pPr>
              <w:spacing w:line="360" w:lineRule="auto"/>
              <w:jc w:val="both"/>
              <w:rPr>
                <w:rFonts w:ascii="Times New Roman" w:hAnsi="Times New Roman" w:cs="Times New Roman"/>
                <w:sz w:val="20"/>
              </w:rPr>
            </w:pPr>
          </w:p>
        </w:tc>
      </w:tr>
      <w:tr w:rsidR="00090A1C" w14:paraId="59C9DE4C" w14:textId="77777777" w:rsidTr="00090A1C">
        <w:tc>
          <w:tcPr>
            <w:tcW w:w="1558" w:type="dxa"/>
          </w:tcPr>
          <w:p w14:paraId="61507D30" w14:textId="382323B8"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1</w:t>
            </w:r>
          </w:p>
        </w:tc>
        <w:tc>
          <w:tcPr>
            <w:tcW w:w="1558" w:type="dxa"/>
          </w:tcPr>
          <w:p w14:paraId="67DF80A3" w14:textId="30F1A85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22</w:t>
            </w:r>
          </w:p>
        </w:tc>
        <w:tc>
          <w:tcPr>
            <w:tcW w:w="1558" w:type="dxa"/>
          </w:tcPr>
          <w:p w14:paraId="0456E421" w14:textId="4DFCD923"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NO2</w:t>
            </w:r>
          </w:p>
        </w:tc>
        <w:tc>
          <w:tcPr>
            <w:tcW w:w="1558" w:type="dxa"/>
          </w:tcPr>
          <w:p w14:paraId="147A8395" w14:textId="38AA67B3"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Throughout the day</w:t>
            </w:r>
          </w:p>
        </w:tc>
        <w:tc>
          <w:tcPr>
            <w:tcW w:w="1559" w:type="dxa"/>
          </w:tcPr>
          <w:p w14:paraId="3B16AA72" w14:textId="3F048D1A"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 xml:space="preserve">35 µg/m³              </w:t>
            </w:r>
          </w:p>
        </w:tc>
        <w:tc>
          <w:tcPr>
            <w:tcW w:w="1559" w:type="dxa"/>
          </w:tcPr>
          <w:p w14:paraId="6F959D8B" w14:textId="53B12470" w:rsidR="00090A1C"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Industrial operations contributing to NO2</w:t>
            </w:r>
          </w:p>
        </w:tc>
      </w:tr>
      <w:tr w:rsidR="00090A1C" w14:paraId="5AFBC1A1" w14:textId="77777777" w:rsidTr="00090A1C">
        <w:tc>
          <w:tcPr>
            <w:tcW w:w="1558" w:type="dxa"/>
          </w:tcPr>
          <w:p w14:paraId="3061ECBE" w14:textId="371E1227"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1</w:t>
            </w:r>
          </w:p>
        </w:tc>
        <w:tc>
          <w:tcPr>
            <w:tcW w:w="1558" w:type="dxa"/>
          </w:tcPr>
          <w:p w14:paraId="37C3F46A" w14:textId="41D4A45E"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22</w:t>
            </w:r>
          </w:p>
        </w:tc>
        <w:tc>
          <w:tcPr>
            <w:tcW w:w="1558" w:type="dxa"/>
          </w:tcPr>
          <w:p w14:paraId="7384539B" w14:textId="3B2C3DE6"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Total VOCs</w:t>
            </w:r>
          </w:p>
        </w:tc>
        <w:tc>
          <w:tcPr>
            <w:tcW w:w="1558" w:type="dxa"/>
          </w:tcPr>
          <w:p w14:paraId="36885DFD" w14:textId="7C58FE16"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Throughout the day</w:t>
            </w:r>
          </w:p>
        </w:tc>
        <w:tc>
          <w:tcPr>
            <w:tcW w:w="1559" w:type="dxa"/>
          </w:tcPr>
          <w:p w14:paraId="288A9657" w14:textId="511777E0"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45 ppb</w:t>
            </w:r>
          </w:p>
        </w:tc>
        <w:tc>
          <w:tcPr>
            <w:tcW w:w="1559" w:type="dxa"/>
          </w:tcPr>
          <w:p w14:paraId="67B662DE" w14:textId="567A300A" w:rsidR="00090A1C"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High VOC level near industrial facilities</w:t>
            </w:r>
          </w:p>
        </w:tc>
      </w:tr>
      <w:tr w:rsidR="00090A1C" w14:paraId="077D4B48" w14:textId="77777777" w:rsidTr="00090A1C">
        <w:tc>
          <w:tcPr>
            <w:tcW w:w="1558" w:type="dxa"/>
          </w:tcPr>
          <w:p w14:paraId="0740154F" w14:textId="7F8CD7AD"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2</w:t>
            </w:r>
          </w:p>
        </w:tc>
        <w:tc>
          <w:tcPr>
            <w:tcW w:w="1558" w:type="dxa"/>
          </w:tcPr>
          <w:p w14:paraId="407E26AE" w14:textId="4419C1FA"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15</w:t>
            </w:r>
          </w:p>
        </w:tc>
        <w:tc>
          <w:tcPr>
            <w:tcW w:w="1558" w:type="dxa"/>
          </w:tcPr>
          <w:p w14:paraId="429EB6C7" w14:textId="43F16B0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PM 2.5</w:t>
            </w:r>
          </w:p>
        </w:tc>
        <w:tc>
          <w:tcPr>
            <w:tcW w:w="1558" w:type="dxa"/>
          </w:tcPr>
          <w:p w14:paraId="5DD6DAC4" w14:textId="2AAB2AA2"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Peak Traffic hours</w:t>
            </w:r>
          </w:p>
        </w:tc>
        <w:tc>
          <w:tcPr>
            <w:tcW w:w="1559" w:type="dxa"/>
          </w:tcPr>
          <w:p w14:paraId="16936F51" w14:textId="7DE428AC"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30</w:t>
            </w:r>
          </w:p>
        </w:tc>
        <w:tc>
          <w:tcPr>
            <w:tcW w:w="1559" w:type="dxa"/>
          </w:tcPr>
          <w:p w14:paraId="31222F4C" w14:textId="394AE412" w:rsidR="00090A1C"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Traffic related PM 2.5 in residential areas</w:t>
            </w:r>
          </w:p>
        </w:tc>
      </w:tr>
      <w:tr w:rsidR="00090A1C" w14:paraId="0C548805" w14:textId="77777777" w:rsidTr="00090A1C">
        <w:tc>
          <w:tcPr>
            <w:tcW w:w="1558" w:type="dxa"/>
          </w:tcPr>
          <w:p w14:paraId="6CBDC65F" w14:textId="4A209BEA"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2</w:t>
            </w:r>
          </w:p>
        </w:tc>
        <w:tc>
          <w:tcPr>
            <w:tcW w:w="1558" w:type="dxa"/>
          </w:tcPr>
          <w:p w14:paraId="477013B6" w14:textId="682F23EB"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62</w:t>
            </w:r>
          </w:p>
        </w:tc>
        <w:tc>
          <w:tcPr>
            <w:tcW w:w="1558" w:type="dxa"/>
          </w:tcPr>
          <w:p w14:paraId="31B107DB" w14:textId="41C8AD09"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NO2</w:t>
            </w:r>
          </w:p>
        </w:tc>
        <w:tc>
          <w:tcPr>
            <w:tcW w:w="1558" w:type="dxa"/>
          </w:tcPr>
          <w:p w14:paraId="6F87351F" w14:textId="597022FD"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Business hours</w:t>
            </w:r>
          </w:p>
        </w:tc>
        <w:tc>
          <w:tcPr>
            <w:tcW w:w="1559" w:type="dxa"/>
          </w:tcPr>
          <w:p w14:paraId="310DDAED" w14:textId="4D3B90AE" w:rsidR="00090A1C"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30 ppb</w:t>
            </w:r>
          </w:p>
        </w:tc>
        <w:tc>
          <w:tcPr>
            <w:tcW w:w="1559" w:type="dxa"/>
          </w:tcPr>
          <w:p w14:paraId="7B9488E4" w14:textId="0589ABF4" w:rsidR="00090A1C"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Vehicular emission in commercial areas</w:t>
            </w:r>
          </w:p>
        </w:tc>
      </w:tr>
      <w:tr w:rsidR="005B1C0F" w14:paraId="7F1C1B6C" w14:textId="77777777" w:rsidTr="00090A1C">
        <w:tc>
          <w:tcPr>
            <w:tcW w:w="1558" w:type="dxa"/>
          </w:tcPr>
          <w:p w14:paraId="78E1C1F3" w14:textId="05C40FB4" w:rsidR="005B1C0F"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Hotspot 2</w:t>
            </w:r>
          </w:p>
        </w:tc>
        <w:tc>
          <w:tcPr>
            <w:tcW w:w="1558" w:type="dxa"/>
          </w:tcPr>
          <w:p w14:paraId="07DA8F0D" w14:textId="52E9880C" w:rsidR="005B1C0F"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Sector 62</w:t>
            </w:r>
          </w:p>
        </w:tc>
        <w:tc>
          <w:tcPr>
            <w:tcW w:w="1558" w:type="dxa"/>
          </w:tcPr>
          <w:p w14:paraId="66AE9E4B" w14:textId="78616ACF" w:rsidR="005B1C0F"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Total VOCs</w:t>
            </w:r>
          </w:p>
        </w:tc>
        <w:tc>
          <w:tcPr>
            <w:tcW w:w="1558" w:type="dxa"/>
          </w:tcPr>
          <w:p w14:paraId="53FB8267" w14:textId="13A272B0" w:rsidR="005B1C0F"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Business hours</w:t>
            </w:r>
          </w:p>
        </w:tc>
        <w:tc>
          <w:tcPr>
            <w:tcW w:w="1559" w:type="dxa"/>
          </w:tcPr>
          <w:p w14:paraId="72C69D7B" w14:textId="2F1C46E2" w:rsidR="005B1C0F" w:rsidRPr="00014660" w:rsidRDefault="005B1C0F" w:rsidP="00090A1C">
            <w:pPr>
              <w:spacing w:line="360" w:lineRule="auto"/>
              <w:jc w:val="both"/>
              <w:rPr>
                <w:rFonts w:ascii="Times New Roman" w:hAnsi="Times New Roman" w:cs="Times New Roman"/>
                <w:sz w:val="20"/>
              </w:rPr>
            </w:pPr>
            <w:r w:rsidRPr="00014660">
              <w:rPr>
                <w:rFonts w:ascii="Times New Roman" w:hAnsi="Times New Roman" w:cs="Times New Roman"/>
                <w:sz w:val="20"/>
              </w:rPr>
              <w:t>40 ppb</w:t>
            </w:r>
          </w:p>
        </w:tc>
        <w:tc>
          <w:tcPr>
            <w:tcW w:w="1559" w:type="dxa"/>
          </w:tcPr>
          <w:p w14:paraId="48945F62" w14:textId="36169071" w:rsidR="005B1C0F" w:rsidRPr="00014660" w:rsidRDefault="00014660" w:rsidP="00090A1C">
            <w:pPr>
              <w:spacing w:line="360" w:lineRule="auto"/>
              <w:jc w:val="both"/>
              <w:rPr>
                <w:rFonts w:ascii="Times New Roman" w:hAnsi="Times New Roman" w:cs="Times New Roman"/>
                <w:sz w:val="20"/>
              </w:rPr>
            </w:pPr>
            <w:r w:rsidRPr="00014660">
              <w:rPr>
                <w:rFonts w:ascii="Times New Roman" w:hAnsi="Times New Roman" w:cs="Times New Roman"/>
                <w:sz w:val="20"/>
              </w:rPr>
              <w:t>Commercial activities contributing to VOCs</w:t>
            </w:r>
          </w:p>
        </w:tc>
      </w:tr>
    </w:tbl>
    <w:p w14:paraId="7E5745E7" w14:textId="2D91F9B1" w:rsidR="005C7EEA" w:rsidRPr="002E145C" w:rsidRDefault="005C7EEA" w:rsidP="00090A1C">
      <w:pPr>
        <w:spacing w:line="360" w:lineRule="auto"/>
        <w:jc w:val="both"/>
        <w:rPr>
          <w:rFonts w:ascii="Times New Roman" w:hAnsi="Times New Roman" w:cs="Times New Roman"/>
          <w:sz w:val="24"/>
          <w:szCs w:val="24"/>
        </w:rPr>
      </w:pPr>
    </w:p>
    <w:p w14:paraId="7521A90C" w14:textId="77777777"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Understanding these correlations enables a more nuanced interpretation of the data. It's important to note that correlations do not imply causation, and multiple factors may interact to influence air quality. Future research could delve deeper into these relationships, considering more granular meteorological data and additional factors influencing pollutant concentrations in NOIDA.</w:t>
      </w:r>
    </w:p>
    <w:p w14:paraId="4C4473B0" w14:textId="77777777" w:rsidR="00014660" w:rsidRDefault="00014660" w:rsidP="002E145C">
      <w:pPr>
        <w:spacing w:line="360" w:lineRule="auto"/>
        <w:jc w:val="both"/>
        <w:rPr>
          <w:rFonts w:ascii="Times New Roman" w:hAnsi="Times New Roman" w:cs="Times New Roman"/>
          <w:b/>
          <w:bCs/>
          <w:sz w:val="24"/>
          <w:szCs w:val="24"/>
        </w:rPr>
      </w:pPr>
    </w:p>
    <w:p w14:paraId="059660AA" w14:textId="77777777" w:rsidR="00014660" w:rsidRDefault="00014660" w:rsidP="002E145C">
      <w:pPr>
        <w:spacing w:line="360" w:lineRule="auto"/>
        <w:jc w:val="both"/>
        <w:rPr>
          <w:rFonts w:ascii="Times New Roman" w:hAnsi="Times New Roman" w:cs="Times New Roman"/>
          <w:b/>
          <w:bCs/>
          <w:sz w:val="24"/>
          <w:szCs w:val="24"/>
        </w:rPr>
      </w:pPr>
    </w:p>
    <w:p w14:paraId="26C59812" w14:textId="7917153B" w:rsidR="00A44984" w:rsidRPr="00A44984" w:rsidRDefault="00A44984" w:rsidP="002E145C">
      <w:pPr>
        <w:spacing w:line="360" w:lineRule="auto"/>
        <w:jc w:val="both"/>
        <w:rPr>
          <w:rFonts w:ascii="Times New Roman" w:hAnsi="Times New Roman" w:cs="Times New Roman"/>
          <w:b/>
          <w:bCs/>
          <w:sz w:val="24"/>
          <w:szCs w:val="24"/>
        </w:rPr>
      </w:pPr>
      <w:r w:rsidRPr="00A44984">
        <w:rPr>
          <w:rFonts w:ascii="Times New Roman" w:hAnsi="Times New Roman" w:cs="Times New Roman"/>
          <w:b/>
          <w:bCs/>
          <w:sz w:val="24"/>
          <w:szCs w:val="24"/>
        </w:rPr>
        <w:lastRenderedPageBreak/>
        <w:t>Conclusion:</w:t>
      </w:r>
    </w:p>
    <w:p w14:paraId="211FCA24" w14:textId="1DAA3BD2" w:rsidR="005C7EEA" w:rsidRPr="002E145C" w:rsidRDefault="005C7EEA" w:rsidP="002E145C">
      <w:pPr>
        <w:spacing w:line="360" w:lineRule="auto"/>
        <w:jc w:val="both"/>
        <w:rPr>
          <w:rFonts w:ascii="Times New Roman" w:hAnsi="Times New Roman" w:cs="Times New Roman"/>
          <w:sz w:val="24"/>
          <w:szCs w:val="24"/>
        </w:rPr>
      </w:pPr>
      <w:r w:rsidRPr="002E145C">
        <w:rPr>
          <w:rFonts w:ascii="Times New Roman" w:hAnsi="Times New Roman" w:cs="Times New Roman"/>
          <w:sz w:val="24"/>
          <w:szCs w:val="24"/>
        </w:rPr>
        <w:t>In conclusion, our comprehensive analysis of airborne pollutants in NOIDA reveals a nuanced portrait of urban air quality, emphasizing the interconnected nature of environmental, meteorological, and anthropogenic factors. Identified pollution hotspots, particularly in industrial and residential sectors, underscore the need for targeted interventions. The correlations between pollutant levels and meteorological conditions emphasize the dynamic nature of air quality, necessitating adaptive strategies for effective management. While average concentrations generally comply with environmental standards, the study highlights the importance of considering localized variations and temporal patterns. The implications for public health and the environment underscore the urgency of implementing sustainable urban planning practices and stringent regulatory measures. This research not only provides valuable insights for NOIDA's air quality management but also contributes to the broader discourse on urban development and environmental health, emphasizing the necessity of interdisciplinary collaboration for holistic and effective solutions.</w:t>
      </w:r>
    </w:p>
    <w:p w14:paraId="5B9A91A1" w14:textId="65B4F84B" w:rsidR="005C7EEA" w:rsidRPr="0088094C" w:rsidRDefault="00A44984" w:rsidP="002E145C">
      <w:pPr>
        <w:spacing w:line="360" w:lineRule="auto"/>
        <w:jc w:val="both"/>
        <w:rPr>
          <w:rFonts w:ascii="Times New Roman" w:hAnsi="Times New Roman" w:cs="Times New Roman"/>
          <w:b/>
          <w:bCs/>
          <w:sz w:val="24"/>
          <w:szCs w:val="24"/>
        </w:rPr>
      </w:pPr>
      <w:r w:rsidRPr="0088094C">
        <w:rPr>
          <w:rFonts w:ascii="Times New Roman" w:hAnsi="Times New Roman" w:cs="Times New Roman"/>
          <w:b/>
          <w:bCs/>
          <w:sz w:val="24"/>
          <w:szCs w:val="24"/>
        </w:rPr>
        <w:t>References:</w:t>
      </w:r>
    </w:p>
    <w:p w14:paraId="1C49A603" w14:textId="0EB282D4"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Bell, M. L., &amp; Davis, D. L. (2001). Reassessment of the lethal London fog of 1952: Novel indicators of acute and chronic consequences of acute exposure to air pollution. Environmental Health Perspectives, 109(3), 389–394.</w:t>
      </w:r>
    </w:p>
    <w:p w14:paraId="55080CA7" w14:textId="7D8A7C14"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proofErr w:type="spellStart"/>
      <w:r w:rsidRPr="00A44984">
        <w:rPr>
          <w:rFonts w:ascii="Times New Roman" w:hAnsi="Times New Roman" w:cs="Times New Roman"/>
          <w:sz w:val="24"/>
          <w:szCs w:val="24"/>
        </w:rPr>
        <w:t>Brunekreef</w:t>
      </w:r>
      <w:proofErr w:type="spellEnd"/>
      <w:r w:rsidRPr="00A44984">
        <w:rPr>
          <w:rFonts w:ascii="Times New Roman" w:hAnsi="Times New Roman" w:cs="Times New Roman"/>
          <w:sz w:val="24"/>
          <w:szCs w:val="24"/>
        </w:rPr>
        <w:t>, B., &amp; Holgate, S. T. (2002). Air pollution and health. The Lancet, 360(9341), 1233–1242.</w:t>
      </w:r>
    </w:p>
    <w:p w14:paraId="41444265" w14:textId="0A19415C"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Cohen, A. J., et al. (2017). Estimates and 25-year trends of the global burden of disease attributable to ambient air pollution: An analysis of data from the Global Burden of Diseases Study 2015. The Lancet, 389(10082), 1907–1918.</w:t>
      </w:r>
    </w:p>
    <w:p w14:paraId="7EBA7D6B" w14:textId="342F70E9"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Dockery, D. W., et al. (1993). An association between air pollution and mortality in six U.S. cities. New England Journal of Medicine, 329(24), 1753–1759.</w:t>
      </w:r>
    </w:p>
    <w:p w14:paraId="33B8AAE5" w14:textId="0D1B38D5"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Goyal, P., et al. (2014). Urban air quality management – A review. Atmospheric Pollution Research, 5(3), 553–565.</w:t>
      </w:r>
    </w:p>
    <w:p w14:paraId="4109D4FD" w14:textId="3ACDFADD"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Kan, H., et al. (2007). Part 1. A time-series study of ambient air pollution and daily mortality in Shanghai, China. Research Report (Health Effects Institute), (130), 17–78; discussion 79–90.</w:t>
      </w:r>
    </w:p>
    <w:p w14:paraId="0083680F" w14:textId="7591D30C"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lastRenderedPageBreak/>
        <w:t>Kim, K. H., Kabir, E., &amp; Kabir, S. (2015). A review on the human health impact of airborne particulate matter. Environment International, 74, 136–143.</w:t>
      </w:r>
    </w:p>
    <w:p w14:paraId="2BEBF759" w14:textId="0697ADB8"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proofErr w:type="spellStart"/>
      <w:r w:rsidRPr="00A44984">
        <w:rPr>
          <w:rFonts w:ascii="Times New Roman" w:hAnsi="Times New Roman" w:cs="Times New Roman"/>
          <w:sz w:val="24"/>
          <w:szCs w:val="24"/>
        </w:rPr>
        <w:t>Lelieveld</w:t>
      </w:r>
      <w:proofErr w:type="spellEnd"/>
      <w:r w:rsidRPr="00A44984">
        <w:rPr>
          <w:rFonts w:ascii="Times New Roman" w:hAnsi="Times New Roman" w:cs="Times New Roman"/>
          <w:sz w:val="24"/>
          <w:szCs w:val="24"/>
        </w:rPr>
        <w:t xml:space="preserve">, J., Evans, J. S., </w:t>
      </w:r>
      <w:proofErr w:type="spellStart"/>
      <w:r w:rsidRPr="00A44984">
        <w:rPr>
          <w:rFonts w:ascii="Times New Roman" w:hAnsi="Times New Roman" w:cs="Times New Roman"/>
          <w:sz w:val="24"/>
          <w:szCs w:val="24"/>
        </w:rPr>
        <w:t>Fnais</w:t>
      </w:r>
      <w:proofErr w:type="spellEnd"/>
      <w:r w:rsidRPr="00A44984">
        <w:rPr>
          <w:rFonts w:ascii="Times New Roman" w:hAnsi="Times New Roman" w:cs="Times New Roman"/>
          <w:sz w:val="24"/>
          <w:szCs w:val="24"/>
        </w:rPr>
        <w:t xml:space="preserve">, M., </w:t>
      </w:r>
      <w:proofErr w:type="spellStart"/>
      <w:r w:rsidRPr="00A44984">
        <w:rPr>
          <w:rFonts w:ascii="Times New Roman" w:hAnsi="Times New Roman" w:cs="Times New Roman"/>
          <w:sz w:val="24"/>
          <w:szCs w:val="24"/>
        </w:rPr>
        <w:t>Giannadaki</w:t>
      </w:r>
      <w:proofErr w:type="spellEnd"/>
      <w:r w:rsidRPr="00A44984">
        <w:rPr>
          <w:rFonts w:ascii="Times New Roman" w:hAnsi="Times New Roman" w:cs="Times New Roman"/>
          <w:sz w:val="24"/>
          <w:szCs w:val="24"/>
        </w:rPr>
        <w:t xml:space="preserve">, D., &amp; </w:t>
      </w:r>
      <w:proofErr w:type="spellStart"/>
      <w:r w:rsidRPr="00A44984">
        <w:rPr>
          <w:rFonts w:ascii="Times New Roman" w:hAnsi="Times New Roman" w:cs="Times New Roman"/>
          <w:sz w:val="24"/>
          <w:szCs w:val="24"/>
        </w:rPr>
        <w:t>Pozzer</w:t>
      </w:r>
      <w:proofErr w:type="spellEnd"/>
      <w:r w:rsidRPr="00A44984">
        <w:rPr>
          <w:rFonts w:ascii="Times New Roman" w:hAnsi="Times New Roman" w:cs="Times New Roman"/>
          <w:sz w:val="24"/>
          <w:szCs w:val="24"/>
        </w:rPr>
        <w:t>, A. (2015). The contribution of outdoor air pollution sources to premature mortality on a global scale. Nature, 525(7569), 367–371.</w:t>
      </w:r>
    </w:p>
    <w:p w14:paraId="4F4BA031" w14:textId="70460A46"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Ministry of Environment, Forest and Climate Change, India. (2019). National Clean Air Programme (NCAP).</w:t>
      </w:r>
    </w:p>
    <w:p w14:paraId="6B5B2E8E" w14:textId="07A0E67E"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Noida Authority. (2022). Noida Master Plan 2031.</w:t>
      </w:r>
    </w:p>
    <w:p w14:paraId="76EA6BD7" w14:textId="5A0709D5"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Pope III, C. A., et al. (2002). Lung cancer, cardiopulmonary mortality, and long-term exposure to fine particulate air pollution. JAMA, 287(9), 1132–1141.</w:t>
      </w:r>
    </w:p>
    <w:p w14:paraId="71E385E6" w14:textId="5406E7D3"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Querol, X., et al. (2008). Source origin of trace elements in PM from regional background, urban and industrial sites of Spain. Atmospheric Environment, 42(36), 7215–7226.</w:t>
      </w:r>
    </w:p>
    <w:p w14:paraId="2500C228" w14:textId="488B6131"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Ramanathan, V., &amp; Carmichael, G. (2008). Global and regional climate changes due to black carbon. Nature Geoscience, 1(4), 221–227.</w:t>
      </w:r>
    </w:p>
    <w:p w14:paraId="14FE98E8" w14:textId="649841BA"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Ramani, T., &amp; Krishna, A. P. (2012). Study of air quality and respirable particulate matter in Noida. International Journal of Engineering Research &amp; Technology, 1(10), 1–6.</w:t>
      </w:r>
    </w:p>
    <w:p w14:paraId="6223CC27" w14:textId="21D09B59"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 xml:space="preserve">Seinfeld, J. H., &amp; </w:t>
      </w:r>
      <w:proofErr w:type="spellStart"/>
      <w:r w:rsidRPr="00A44984">
        <w:rPr>
          <w:rFonts w:ascii="Times New Roman" w:hAnsi="Times New Roman" w:cs="Times New Roman"/>
          <w:sz w:val="24"/>
          <w:szCs w:val="24"/>
        </w:rPr>
        <w:t>Pandis</w:t>
      </w:r>
      <w:proofErr w:type="spellEnd"/>
      <w:r w:rsidRPr="00A44984">
        <w:rPr>
          <w:rFonts w:ascii="Times New Roman" w:hAnsi="Times New Roman" w:cs="Times New Roman"/>
          <w:sz w:val="24"/>
          <w:szCs w:val="24"/>
        </w:rPr>
        <w:t>, S. N. (2016). Atmospheric Chemistry and Physics: From Air Pollution to Climate Change. John Wiley &amp; Sons.</w:t>
      </w:r>
    </w:p>
    <w:p w14:paraId="6BE8DB9F" w14:textId="4447A242"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Sharma, S., et al. (2019). Ultrafine particles in urban ambient air and their health perspectives. Environmental Science and Pollution Research, 26(4), 3265–3283.</w:t>
      </w:r>
    </w:p>
    <w:p w14:paraId="766D5AA7" w14:textId="7AC957B0"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Thurston, G. D., &amp; Ito, K. (2001). Epidemiological studies of acute ozone exposures and mortality. Journal of Exposure Science &amp; Environmental Epidemiology, 11(4), 286–294.</w:t>
      </w:r>
    </w:p>
    <w:p w14:paraId="765BE0EE" w14:textId="09CC20F9"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WHO. (2013). Review of evidence on health aspects of air pollution – REVIHAAP Project: Final technical report.</w:t>
      </w:r>
    </w:p>
    <w:p w14:paraId="17790EBF" w14:textId="5511F4E3"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WHO. (2018). Ambient air pollution: A global assessment of exposure and burden of disease.</w:t>
      </w:r>
    </w:p>
    <w:p w14:paraId="5C9342E0" w14:textId="45FE6467"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Zhang, J., et al. (2019). Impacts of local and regional meteorology on air quality in Beijing: A comprehensive review. Advances in Atmospheric Sciences, 36(3), 231–250.</w:t>
      </w:r>
    </w:p>
    <w:p w14:paraId="06ED00F9" w14:textId="52F4178A"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Zhang, Y., et al. (2019). Air quality and health risks associated with exposure to particulate matter: A review. Trends in Analytical Chemistry, 118, 25–42.</w:t>
      </w:r>
    </w:p>
    <w:p w14:paraId="4FFCEF5A" w14:textId="44374FB3"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lastRenderedPageBreak/>
        <w:t>Zhao, X., et al. (2019). Ozone pollution in China: A review of concentrations, meteorological influences, chemical precursors, and effects. Science of The Total Environment, 655, 337–365.</w:t>
      </w:r>
    </w:p>
    <w:p w14:paraId="38531500" w14:textId="125D3BED"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Zheng, Y., et al. (2015). The influence of meteorological factors on atmospheric PM2.5 in the urban area of Nanjing, China. Atmospheric Chemistry and Physics, 15(18), 10561–10576.</w:t>
      </w:r>
    </w:p>
    <w:p w14:paraId="12A1F215" w14:textId="293B4DB7"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Zhu, Y., et al. (2002). The California/Arizona border study: Nitrogen oxides emissions from diesel trucks and buses. Atmospheric Environment, 36(6), 955–965.</w:t>
      </w:r>
    </w:p>
    <w:p w14:paraId="2196A711" w14:textId="0AAA0AF2" w:rsidR="005C7EEA" w:rsidRPr="00A44984" w:rsidRDefault="005C7EEA" w:rsidP="00A44984">
      <w:pPr>
        <w:pStyle w:val="ListParagraph"/>
        <w:numPr>
          <w:ilvl w:val="0"/>
          <w:numId w:val="1"/>
        </w:numPr>
        <w:spacing w:line="360" w:lineRule="auto"/>
        <w:jc w:val="both"/>
        <w:rPr>
          <w:rFonts w:ascii="Times New Roman" w:hAnsi="Times New Roman" w:cs="Times New Roman"/>
          <w:sz w:val="24"/>
          <w:szCs w:val="24"/>
        </w:rPr>
      </w:pPr>
      <w:r w:rsidRPr="00A44984">
        <w:rPr>
          <w:rFonts w:ascii="Times New Roman" w:hAnsi="Times New Roman" w:cs="Times New Roman"/>
          <w:sz w:val="24"/>
          <w:szCs w:val="24"/>
        </w:rPr>
        <w:t xml:space="preserve">Zoran, M. A., &amp; </w:t>
      </w:r>
      <w:proofErr w:type="spellStart"/>
      <w:r w:rsidRPr="00A44984">
        <w:rPr>
          <w:rFonts w:ascii="Times New Roman" w:hAnsi="Times New Roman" w:cs="Times New Roman"/>
          <w:sz w:val="24"/>
          <w:szCs w:val="24"/>
        </w:rPr>
        <w:t>Savastru</w:t>
      </w:r>
      <w:proofErr w:type="spellEnd"/>
      <w:r w:rsidRPr="00A44984">
        <w:rPr>
          <w:rFonts w:ascii="Times New Roman" w:hAnsi="Times New Roman" w:cs="Times New Roman"/>
          <w:sz w:val="24"/>
          <w:szCs w:val="24"/>
        </w:rPr>
        <w:t>, R. S. (2017). Assessment of air quality in urban areas using multi-type data: A review. Atmospheric Research, 191, 15–30.</w:t>
      </w:r>
    </w:p>
    <w:sectPr w:rsidR="005C7EEA" w:rsidRPr="00A44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A95CD2"/>
    <w:multiLevelType w:val="hybridMultilevel"/>
    <w:tmpl w:val="A81A7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4299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EEA"/>
    <w:rsid w:val="00014660"/>
    <w:rsid w:val="000337DF"/>
    <w:rsid w:val="00090A1C"/>
    <w:rsid w:val="00211AA9"/>
    <w:rsid w:val="002E145C"/>
    <w:rsid w:val="0036454D"/>
    <w:rsid w:val="005B1C0F"/>
    <w:rsid w:val="005C7EEA"/>
    <w:rsid w:val="00647F45"/>
    <w:rsid w:val="0088094C"/>
    <w:rsid w:val="008C4A5E"/>
    <w:rsid w:val="00A1739C"/>
    <w:rsid w:val="00A44984"/>
    <w:rsid w:val="00BD1669"/>
    <w:rsid w:val="00D8490F"/>
    <w:rsid w:val="00F83112"/>
    <w:rsid w:val="00F84C3A"/>
    <w:rsid w:val="00FE779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E611F"/>
  <w15:chartTrackingRefBased/>
  <w15:docId w15:val="{607CF136-09D9-47EB-B232-00E8C4ABC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984"/>
    <w:pPr>
      <w:ind w:left="720"/>
      <w:contextualSpacing/>
    </w:pPr>
  </w:style>
  <w:style w:type="table" w:styleId="TableGrid">
    <w:name w:val="Table Grid"/>
    <w:basedOn w:val="TableNormal"/>
    <w:uiPriority w:val="39"/>
    <w:rsid w:val="00BD1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CSCitSeq.xsl" StyleName="ACS - Citation Sequence (italic)" Version="1"/>
</file>

<file path=customXml/itemProps1.xml><?xml version="1.0" encoding="utf-8"?>
<ds:datastoreItem xmlns:ds="http://schemas.openxmlformats.org/officeDocument/2006/customXml" ds:itemID="{30EC865B-5A72-4F8E-A52C-CE452F4A8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11</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Shatrunjay</dc:creator>
  <cp:keywords/>
  <dc:description/>
  <cp:lastModifiedBy>Shatrunjay</cp:lastModifiedBy>
  <cp:revision>11</cp:revision>
  <dcterms:created xsi:type="dcterms:W3CDTF">2023-11-11T07:31:00Z</dcterms:created>
  <dcterms:modified xsi:type="dcterms:W3CDTF">2023-11-19T07:34:00Z</dcterms:modified>
</cp:coreProperties>
</file>