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81A97" w14:textId="5E63A186" w:rsidR="009E2D01" w:rsidRPr="00AB6F16" w:rsidRDefault="009E2D01" w:rsidP="009E2D01">
      <w:pPr>
        <w:tabs>
          <w:tab w:val="left" w:pos="360"/>
        </w:tabs>
        <w:spacing w:after="0" w:line="360" w:lineRule="auto"/>
        <w:jc w:val="center"/>
        <w:rPr>
          <w:rFonts w:ascii="Times New Roman" w:hAnsi="Times New Roman"/>
          <w:b/>
          <w:bCs/>
          <w:sz w:val="24"/>
          <w:szCs w:val="24"/>
        </w:rPr>
      </w:pPr>
      <w:r w:rsidRPr="00AB6F16">
        <w:rPr>
          <w:rFonts w:ascii="Times New Roman" w:hAnsi="Times New Roman"/>
          <w:b/>
          <w:bCs/>
          <w:sz w:val="24"/>
          <w:szCs w:val="24"/>
        </w:rPr>
        <w:t xml:space="preserve">THE DURABILITY </w:t>
      </w:r>
      <w:r>
        <w:rPr>
          <w:rFonts w:ascii="Times New Roman" w:hAnsi="Times New Roman"/>
          <w:b/>
          <w:bCs/>
          <w:sz w:val="24"/>
          <w:szCs w:val="24"/>
        </w:rPr>
        <w:t>PERFORMANCE OF CONTROLLED PERMEABLE FORMWORK LINER</w:t>
      </w:r>
      <w:r w:rsidRPr="00AB6F16">
        <w:rPr>
          <w:rFonts w:ascii="Times New Roman" w:hAnsi="Times New Roman"/>
          <w:b/>
          <w:bCs/>
          <w:sz w:val="24"/>
          <w:szCs w:val="24"/>
        </w:rPr>
        <w:t xml:space="preserve"> </w:t>
      </w:r>
      <w:r w:rsidR="00F367C6">
        <w:rPr>
          <w:rFonts w:ascii="Times New Roman" w:hAnsi="Times New Roman"/>
          <w:b/>
          <w:bCs/>
          <w:sz w:val="24"/>
          <w:szCs w:val="24"/>
        </w:rPr>
        <w:t xml:space="preserve">SELF COMPACTING </w:t>
      </w:r>
      <w:r w:rsidRPr="00AB6F16">
        <w:rPr>
          <w:rFonts w:ascii="Times New Roman" w:hAnsi="Times New Roman"/>
          <w:b/>
          <w:bCs/>
          <w:sz w:val="24"/>
          <w:szCs w:val="24"/>
        </w:rPr>
        <w:t>CONCRETE</w:t>
      </w:r>
    </w:p>
    <w:p w14:paraId="45410C3D" w14:textId="77777777" w:rsidR="009E2D01" w:rsidRDefault="009E2D01" w:rsidP="009E2D01">
      <w:pPr>
        <w:spacing w:after="0" w:line="240" w:lineRule="auto"/>
        <w:jc w:val="center"/>
        <w:rPr>
          <w:rFonts w:ascii="Times New Roman" w:hAnsi="Times New Roman"/>
          <w:sz w:val="10"/>
          <w:szCs w:val="24"/>
        </w:rPr>
      </w:pPr>
    </w:p>
    <w:p w14:paraId="6B7F63E3" w14:textId="67907438" w:rsidR="009E2D01" w:rsidRPr="006A6DC1" w:rsidRDefault="009E2D01" w:rsidP="009E2D01">
      <w:pPr>
        <w:tabs>
          <w:tab w:val="left" w:pos="180"/>
        </w:tabs>
        <w:spacing w:after="0" w:line="360" w:lineRule="auto"/>
        <w:jc w:val="center"/>
        <w:rPr>
          <w:rFonts w:ascii="Times New Roman" w:hAnsi="Times New Roman" w:cs="Times New Roman"/>
          <w:szCs w:val="24"/>
        </w:rPr>
      </w:pPr>
      <w:r w:rsidRPr="006A6DC1">
        <w:rPr>
          <w:rFonts w:ascii="Times New Roman" w:hAnsi="Times New Roman" w:cs="Times New Roman"/>
          <w:szCs w:val="24"/>
        </w:rPr>
        <w:t>S. Kandasamy</w:t>
      </w:r>
      <w:r w:rsidRPr="006A6DC1">
        <w:rPr>
          <w:rFonts w:ascii="Times New Roman" w:hAnsi="Times New Roman" w:cs="Times New Roman"/>
          <w:szCs w:val="24"/>
          <w:vertAlign w:val="superscript"/>
        </w:rPr>
        <w:t>1</w:t>
      </w:r>
      <w:r>
        <w:rPr>
          <w:rFonts w:ascii="Times New Roman" w:hAnsi="Times New Roman" w:cs="Times New Roman"/>
          <w:szCs w:val="24"/>
          <w:vertAlign w:val="superscript"/>
        </w:rPr>
        <w:t>*</w:t>
      </w:r>
      <w:r w:rsidRPr="006A6DC1">
        <w:rPr>
          <w:rFonts w:ascii="Times New Roman" w:hAnsi="Times New Roman" w:cs="Times New Roman"/>
          <w:szCs w:val="24"/>
        </w:rPr>
        <w:t xml:space="preserve">, </w:t>
      </w:r>
      <w:r w:rsidR="00B42786">
        <w:rPr>
          <w:rFonts w:ascii="Times New Roman" w:hAnsi="Times New Roman" w:cs="Times New Roman"/>
          <w:szCs w:val="24"/>
        </w:rPr>
        <w:t xml:space="preserve">N. </w:t>
      </w:r>
      <w:proofErr w:type="spellStart"/>
      <w:r w:rsidR="00B42786">
        <w:rPr>
          <w:rFonts w:ascii="Times New Roman" w:hAnsi="Times New Roman" w:cs="Times New Roman"/>
          <w:szCs w:val="24"/>
        </w:rPr>
        <w:t>Pannirselvam</w:t>
      </w:r>
      <w:proofErr w:type="spellEnd"/>
      <w:r w:rsidR="00B42786" w:rsidRPr="00B42786">
        <w:rPr>
          <w:rFonts w:ascii="Times New Roman" w:hAnsi="Times New Roman" w:cs="Times New Roman"/>
          <w:szCs w:val="24"/>
        </w:rPr>
        <w:t xml:space="preserve"> </w:t>
      </w:r>
      <w:r w:rsidRPr="006A6DC1">
        <w:rPr>
          <w:rFonts w:ascii="Times New Roman" w:hAnsi="Times New Roman" w:cs="Times New Roman"/>
          <w:szCs w:val="24"/>
          <w:vertAlign w:val="superscript"/>
        </w:rPr>
        <w:t>2</w:t>
      </w:r>
      <w:r w:rsidRPr="006A6DC1">
        <w:rPr>
          <w:rFonts w:ascii="Times New Roman" w:hAnsi="Times New Roman" w:cs="Times New Roman"/>
          <w:szCs w:val="24"/>
        </w:rPr>
        <w:t xml:space="preserve">, </w:t>
      </w:r>
      <w:r w:rsidR="00B42786" w:rsidRPr="006A6DC1">
        <w:rPr>
          <w:rFonts w:ascii="Times New Roman" w:hAnsi="Times New Roman" w:cs="Times New Roman"/>
          <w:szCs w:val="24"/>
        </w:rPr>
        <w:t>S. Syed Ibrahim</w:t>
      </w:r>
      <w:r w:rsidR="00B42786" w:rsidRPr="006A6DC1">
        <w:rPr>
          <w:rFonts w:ascii="Times New Roman" w:hAnsi="Times New Roman" w:cs="Times New Roman"/>
          <w:szCs w:val="24"/>
          <w:vertAlign w:val="superscript"/>
        </w:rPr>
        <w:t xml:space="preserve"> </w:t>
      </w:r>
      <w:r w:rsidRPr="006A6DC1">
        <w:rPr>
          <w:rFonts w:ascii="Times New Roman" w:hAnsi="Times New Roman" w:cs="Times New Roman"/>
          <w:szCs w:val="24"/>
          <w:vertAlign w:val="superscript"/>
        </w:rPr>
        <w:t>3</w:t>
      </w:r>
      <w:r w:rsidRPr="006A6DC1">
        <w:rPr>
          <w:rFonts w:ascii="Times New Roman" w:hAnsi="Times New Roman" w:cs="Times New Roman"/>
          <w:szCs w:val="24"/>
        </w:rPr>
        <w:t xml:space="preserve">, </w:t>
      </w:r>
      <w:r w:rsidR="007A33D1" w:rsidRPr="000C37D8">
        <w:rPr>
          <w:rFonts w:ascii="Times New Roman" w:hAnsi="Times New Roman" w:cs="Times New Roman"/>
          <w:szCs w:val="24"/>
        </w:rPr>
        <w:t>J. Vanjinathan</w:t>
      </w:r>
      <w:r w:rsidRPr="000C37D8">
        <w:rPr>
          <w:rFonts w:ascii="Times New Roman" w:hAnsi="Times New Roman" w:cs="Times New Roman"/>
          <w:szCs w:val="24"/>
          <w:vertAlign w:val="superscript"/>
        </w:rPr>
        <w:t>4</w:t>
      </w:r>
      <w:r w:rsidRPr="006A6DC1">
        <w:rPr>
          <w:rFonts w:ascii="Times New Roman" w:hAnsi="Times New Roman" w:cs="Times New Roman"/>
          <w:szCs w:val="24"/>
        </w:rPr>
        <w:t xml:space="preserve">, </w:t>
      </w:r>
      <w:r w:rsidR="00B24D97">
        <w:rPr>
          <w:rFonts w:ascii="Times New Roman" w:hAnsi="Times New Roman" w:cs="Times New Roman"/>
          <w:szCs w:val="24"/>
        </w:rPr>
        <w:t>S</w:t>
      </w:r>
      <w:r>
        <w:rPr>
          <w:rFonts w:ascii="Times New Roman" w:hAnsi="Times New Roman" w:cs="Times New Roman"/>
          <w:szCs w:val="24"/>
        </w:rPr>
        <w:t>. S</w:t>
      </w:r>
      <w:r w:rsidR="00B24D97">
        <w:rPr>
          <w:rFonts w:ascii="Times New Roman" w:hAnsi="Times New Roman" w:cs="Times New Roman"/>
          <w:szCs w:val="24"/>
        </w:rPr>
        <w:t>undararaman</w:t>
      </w:r>
      <w:r w:rsidRPr="006A6DC1">
        <w:rPr>
          <w:rFonts w:ascii="Times New Roman" w:hAnsi="Times New Roman" w:cs="Times New Roman"/>
          <w:szCs w:val="24"/>
          <w:vertAlign w:val="superscript"/>
        </w:rPr>
        <w:t>5</w:t>
      </w:r>
    </w:p>
    <w:p w14:paraId="1127F29B" w14:textId="7A1192DA" w:rsidR="009E2D01" w:rsidRPr="006A6DC1" w:rsidRDefault="009E2D01" w:rsidP="009E2D01">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1</w:t>
      </w:r>
      <w:r w:rsidRPr="006A6DC1">
        <w:rPr>
          <w:rFonts w:ascii="Times New Roman" w:hAnsi="Times New Roman" w:cs="Times New Roman"/>
          <w:i/>
          <w:szCs w:val="24"/>
        </w:rPr>
        <w:t xml:space="preserve"> Professor, Department of Civil Engineering, Vel Tech Rangarajan </w:t>
      </w:r>
      <w:proofErr w:type="spellStart"/>
      <w:r w:rsidRPr="006A6DC1">
        <w:rPr>
          <w:rFonts w:ascii="Times New Roman" w:hAnsi="Times New Roman" w:cs="Times New Roman"/>
          <w:i/>
          <w:szCs w:val="24"/>
        </w:rPr>
        <w:t>Dr.</w:t>
      </w:r>
      <w:proofErr w:type="spellEnd"/>
      <w:r w:rsidRPr="006A6DC1">
        <w:rPr>
          <w:rFonts w:ascii="Times New Roman" w:hAnsi="Times New Roman" w:cs="Times New Roman"/>
          <w:i/>
          <w:szCs w:val="24"/>
        </w:rPr>
        <w:t xml:space="preserve"> Sagunthala R&amp;D Institute of Science and Technology, Chennai-600062, Tamil Nadu, India</w:t>
      </w:r>
    </w:p>
    <w:p w14:paraId="4492D097" w14:textId="63AD35C9" w:rsidR="009E2D01" w:rsidRPr="006A6DC1" w:rsidRDefault="009E2D01" w:rsidP="009E2D01">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 xml:space="preserve">2 </w:t>
      </w:r>
      <w:r w:rsidRPr="006A6DC1">
        <w:rPr>
          <w:rFonts w:ascii="Times New Roman" w:hAnsi="Times New Roman" w:cs="Times New Roman"/>
          <w:i/>
          <w:szCs w:val="24"/>
        </w:rPr>
        <w:t xml:space="preserve">Professor, Department of Civil Engineering, </w:t>
      </w:r>
      <w:r w:rsidR="00B42786">
        <w:rPr>
          <w:rFonts w:ascii="Times New Roman" w:hAnsi="Times New Roman" w:cs="Times New Roman"/>
          <w:i/>
          <w:szCs w:val="24"/>
        </w:rPr>
        <w:t>SRM Institute of Science</w:t>
      </w:r>
      <w:r w:rsidRPr="006A6DC1">
        <w:rPr>
          <w:rFonts w:ascii="Times New Roman" w:hAnsi="Times New Roman" w:cs="Times New Roman"/>
          <w:i/>
          <w:szCs w:val="24"/>
        </w:rPr>
        <w:t xml:space="preserve"> and </w:t>
      </w:r>
      <w:r w:rsidR="00B42786">
        <w:rPr>
          <w:rFonts w:ascii="Times New Roman" w:hAnsi="Times New Roman" w:cs="Times New Roman"/>
          <w:i/>
          <w:szCs w:val="24"/>
        </w:rPr>
        <w:t>Technology</w:t>
      </w:r>
      <w:r>
        <w:rPr>
          <w:rFonts w:ascii="Times New Roman" w:hAnsi="Times New Roman" w:cs="Times New Roman"/>
          <w:i/>
          <w:szCs w:val="24"/>
        </w:rPr>
        <w:t xml:space="preserve">, </w:t>
      </w:r>
      <w:r w:rsidR="00B42786">
        <w:rPr>
          <w:rFonts w:ascii="Times New Roman" w:hAnsi="Times New Roman" w:cs="Times New Roman"/>
          <w:i/>
          <w:szCs w:val="24"/>
        </w:rPr>
        <w:t>Chennai</w:t>
      </w:r>
      <w:r>
        <w:rPr>
          <w:rFonts w:ascii="Times New Roman" w:hAnsi="Times New Roman" w:cs="Times New Roman"/>
          <w:i/>
          <w:szCs w:val="24"/>
        </w:rPr>
        <w:t xml:space="preserve">, </w:t>
      </w:r>
      <w:r w:rsidR="007A33D1">
        <w:rPr>
          <w:rFonts w:ascii="Times New Roman" w:hAnsi="Times New Roman" w:cs="Times New Roman"/>
          <w:i/>
          <w:szCs w:val="24"/>
        </w:rPr>
        <w:t xml:space="preserve">Tamil Nadu, </w:t>
      </w:r>
      <w:r>
        <w:rPr>
          <w:rFonts w:ascii="Times New Roman" w:hAnsi="Times New Roman" w:cs="Times New Roman"/>
          <w:i/>
          <w:szCs w:val="24"/>
        </w:rPr>
        <w:t>India</w:t>
      </w:r>
      <w:r w:rsidRPr="006A6DC1">
        <w:rPr>
          <w:rFonts w:ascii="Times New Roman" w:hAnsi="Times New Roman" w:cs="Times New Roman"/>
          <w:i/>
          <w:szCs w:val="24"/>
        </w:rPr>
        <w:t xml:space="preserve"> </w:t>
      </w:r>
    </w:p>
    <w:p w14:paraId="088C0E1F" w14:textId="77777777" w:rsidR="00B42786" w:rsidRPr="006A6DC1" w:rsidRDefault="009E2D01" w:rsidP="00B42786">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3</w:t>
      </w:r>
      <w:r w:rsidRPr="006A6DC1">
        <w:rPr>
          <w:rFonts w:ascii="Times New Roman" w:hAnsi="Times New Roman" w:cs="Times New Roman"/>
          <w:i/>
          <w:szCs w:val="24"/>
        </w:rPr>
        <w:t xml:space="preserve"> </w:t>
      </w:r>
      <w:r w:rsidR="00B42786" w:rsidRPr="006A6DC1">
        <w:rPr>
          <w:rFonts w:ascii="Times New Roman" w:hAnsi="Times New Roman" w:cs="Times New Roman"/>
          <w:i/>
          <w:szCs w:val="24"/>
        </w:rPr>
        <w:t xml:space="preserve">Associate Professor, Department of Civil Engineering, </w:t>
      </w:r>
      <w:proofErr w:type="spellStart"/>
      <w:r w:rsidR="00B42786" w:rsidRPr="006A6DC1">
        <w:rPr>
          <w:rFonts w:ascii="Times New Roman" w:hAnsi="Times New Roman" w:cs="Times New Roman"/>
          <w:i/>
          <w:szCs w:val="24"/>
        </w:rPr>
        <w:t>Ilahia</w:t>
      </w:r>
      <w:proofErr w:type="spellEnd"/>
      <w:r w:rsidR="00B42786" w:rsidRPr="006A6DC1">
        <w:rPr>
          <w:rFonts w:ascii="Times New Roman" w:hAnsi="Times New Roman" w:cs="Times New Roman"/>
          <w:i/>
          <w:szCs w:val="24"/>
        </w:rPr>
        <w:t xml:space="preserve"> College of Engineering and Technology, </w:t>
      </w:r>
      <w:r w:rsidR="00B42786">
        <w:rPr>
          <w:rFonts w:ascii="Times New Roman" w:hAnsi="Times New Roman" w:cs="Times New Roman"/>
          <w:i/>
          <w:szCs w:val="24"/>
        </w:rPr>
        <w:t>Ernakulam, Kerala, India</w:t>
      </w:r>
      <w:r w:rsidR="00B42786" w:rsidRPr="006A6DC1">
        <w:rPr>
          <w:rFonts w:ascii="Times New Roman" w:hAnsi="Times New Roman" w:cs="Times New Roman"/>
          <w:i/>
          <w:szCs w:val="24"/>
        </w:rPr>
        <w:t xml:space="preserve"> </w:t>
      </w:r>
    </w:p>
    <w:p w14:paraId="27FEA930" w14:textId="6C003628" w:rsidR="009E2D01" w:rsidRPr="000C37D8" w:rsidRDefault="009E2D01" w:rsidP="009E2D01">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4</w:t>
      </w:r>
      <w:r w:rsidRPr="006A6DC1">
        <w:rPr>
          <w:rFonts w:ascii="Times New Roman" w:hAnsi="Times New Roman" w:cs="Times New Roman"/>
          <w:i/>
          <w:szCs w:val="24"/>
        </w:rPr>
        <w:t xml:space="preserve"> </w:t>
      </w:r>
      <w:r w:rsidRPr="000C37D8">
        <w:rPr>
          <w:rFonts w:ascii="Times New Roman" w:hAnsi="Times New Roman" w:cs="Times New Roman"/>
          <w:i/>
          <w:szCs w:val="24"/>
        </w:rPr>
        <w:t>Ass</w:t>
      </w:r>
      <w:r w:rsidR="007A33D1" w:rsidRPr="000C37D8">
        <w:rPr>
          <w:rFonts w:ascii="Times New Roman" w:hAnsi="Times New Roman" w:cs="Times New Roman"/>
          <w:i/>
          <w:szCs w:val="24"/>
        </w:rPr>
        <w:t>istant</w:t>
      </w:r>
      <w:r w:rsidRPr="000C37D8">
        <w:rPr>
          <w:rFonts w:ascii="Times New Roman" w:hAnsi="Times New Roman" w:cs="Times New Roman"/>
          <w:i/>
          <w:szCs w:val="24"/>
        </w:rPr>
        <w:t xml:space="preserve"> Professor, Department of Civil Engineering, </w:t>
      </w:r>
      <w:r w:rsidR="000C37D8" w:rsidRPr="000C37D8">
        <w:rPr>
          <w:rFonts w:ascii="Times New Roman" w:hAnsi="Times New Roman" w:cs="Times New Roman"/>
          <w:i/>
          <w:szCs w:val="24"/>
        </w:rPr>
        <w:t>Sathyabama</w:t>
      </w:r>
      <w:r w:rsidRPr="000C37D8">
        <w:rPr>
          <w:rFonts w:ascii="Times New Roman" w:hAnsi="Times New Roman" w:cs="Times New Roman"/>
          <w:i/>
          <w:szCs w:val="24"/>
        </w:rPr>
        <w:t xml:space="preserve"> Institute of </w:t>
      </w:r>
      <w:r w:rsidR="007A33D1" w:rsidRPr="000C37D8">
        <w:rPr>
          <w:rFonts w:ascii="Times New Roman" w:hAnsi="Times New Roman" w:cs="Times New Roman"/>
          <w:i/>
          <w:szCs w:val="24"/>
        </w:rPr>
        <w:t>Sciences</w:t>
      </w:r>
      <w:r w:rsidRPr="000C37D8">
        <w:rPr>
          <w:rFonts w:ascii="Times New Roman" w:hAnsi="Times New Roman" w:cs="Times New Roman"/>
          <w:i/>
          <w:szCs w:val="24"/>
        </w:rPr>
        <w:t xml:space="preserve"> and </w:t>
      </w:r>
      <w:r w:rsidR="007A33D1" w:rsidRPr="000C37D8">
        <w:rPr>
          <w:rFonts w:ascii="Times New Roman" w:hAnsi="Times New Roman" w:cs="Times New Roman"/>
          <w:i/>
          <w:szCs w:val="24"/>
        </w:rPr>
        <w:t>Technology</w:t>
      </w:r>
      <w:r w:rsidRPr="000C37D8">
        <w:rPr>
          <w:rFonts w:ascii="Times New Roman" w:hAnsi="Times New Roman" w:cs="Times New Roman"/>
          <w:i/>
          <w:szCs w:val="24"/>
        </w:rPr>
        <w:t xml:space="preserve">, </w:t>
      </w:r>
      <w:r w:rsidR="007A33D1" w:rsidRPr="000C37D8">
        <w:rPr>
          <w:rFonts w:ascii="Times New Roman" w:hAnsi="Times New Roman" w:cs="Times New Roman"/>
          <w:i/>
          <w:szCs w:val="24"/>
        </w:rPr>
        <w:t>Chennai, Tamil Nadu</w:t>
      </w:r>
      <w:r w:rsidRPr="000C37D8">
        <w:rPr>
          <w:rFonts w:ascii="Times New Roman" w:hAnsi="Times New Roman" w:cs="Times New Roman"/>
          <w:i/>
          <w:szCs w:val="24"/>
        </w:rPr>
        <w:t>, India</w:t>
      </w:r>
    </w:p>
    <w:p w14:paraId="6FAD670F" w14:textId="0C638D92" w:rsidR="009E2D01" w:rsidRDefault="009E2D01" w:rsidP="009E2D01">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5</w:t>
      </w:r>
      <w:r w:rsidRPr="006A6DC1">
        <w:rPr>
          <w:rFonts w:ascii="Times New Roman" w:hAnsi="Times New Roman" w:cs="Times New Roman"/>
          <w:i/>
          <w:szCs w:val="24"/>
        </w:rPr>
        <w:t xml:space="preserve"> Professor, Department of Civil Engineering</w:t>
      </w:r>
      <w:r>
        <w:rPr>
          <w:rFonts w:ascii="Times New Roman" w:hAnsi="Times New Roman" w:cs="Times New Roman"/>
          <w:i/>
          <w:szCs w:val="24"/>
        </w:rPr>
        <w:t xml:space="preserve">, </w:t>
      </w:r>
      <w:r w:rsidR="00B24D97">
        <w:rPr>
          <w:rFonts w:ascii="Times New Roman" w:hAnsi="Times New Roman" w:cs="Times New Roman"/>
          <w:i/>
          <w:szCs w:val="24"/>
        </w:rPr>
        <w:t xml:space="preserve">Sri </w:t>
      </w:r>
      <w:proofErr w:type="spellStart"/>
      <w:r w:rsidR="00B24D97">
        <w:rPr>
          <w:rFonts w:ascii="Times New Roman" w:hAnsi="Times New Roman" w:cs="Times New Roman"/>
          <w:i/>
          <w:szCs w:val="24"/>
        </w:rPr>
        <w:t>Manakula</w:t>
      </w:r>
      <w:proofErr w:type="spellEnd"/>
      <w:r w:rsidR="00B24D97">
        <w:rPr>
          <w:rFonts w:ascii="Times New Roman" w:hAnsi="Times New Roman" w:cs="Times New Roman"/>
          <w:i/>
          <w:szCs w:val="24"/>
        </w:rPr>
        <w:t xml:space="preserve"> Vinayagar</w:t>
      </w:r>
      <w:r>
        <w:rPr>
          <w:rFonts w:ascii="Times New Roman" w:hAnsi="Times New Roman" w:cs="Times New Roman"/>
          <w:i/>
          <w:szCs w:val="24"/>
        </w:rPr>
        <w:t xml:space="preserve"> Engineering College, </w:t>
      </w:r>
      <w:r w:rsidR="00B24D97">
        <w:rPr>
          <w:rFonts w:ascii="Times New Roman" w:hAnsi="Times New Roman" w:cs="Times New Roman"/>
          <w:i/>
          <w:szCs w:val="24"/>
        </w:rPr>
        <w:t>Puducherry</w:t>
      </w:r>
      <w:r w:rsidRPr="006A6DC1">
        <w:rPr>
          <w:rFonts w:ascii="Times New Roman" w:hAnsi="Times New Roman" w:cs="Times New Roman"/>
          <w:i/>
          <w:szCs w:val="24"/>
        </w:rPr>
        <w:t>, India</w:t>
      </w:r>
    </w:p>
    <w:p w14:paraId="6A57955F" w14:textId="77777777" w:rsidR="009E2D01" w:rsidRDefault="009E2D01" w:rsidP="009E2D01">
      <w:pPr>
        <w:tabs>
          <w:tab w:val="left" w:pos="180"/>
        </w:tabs>
        <w:spacing w:after="0" w:line="360" w:lineRule="auto"/>
        <w:jc w:val="center"/>
        <w:rPr>
          <w:rFonts w:ascii="Times New Roman" w:hAnsi="Times New Roman" w:cs="Times New Roman"/>
          <w:i/>
          <w:szCs w:val="24"/>
        </w:rPr>
      </w:pPr>
    </w:p>
    <w:p w14:paraId="3D0A3F25" w14:textId="77777777" w:rsidR="009E2D01" w:rsidRDefault="009E2D01" w:rsidP="009E2D01">
      <w:pPr>
        <w:tabs>
          <w:tab w:val="left" w:pos="180"/>
        </w:tabs>
        <w:spacing w:after="0" w:line="360" w:lineRule="auto"/>
        <w:jc w:val="center"/>
        <w:rPr>
          <w:rFonts w:ascii="Times New Roman" w:hAnsi="Times New Roman" w:cs="Times New Roman"/>
          <w:i/>
          <w:szCs w:val="24"/>
        </w:rPr>
      </w:pPr>
      <w:r w:rsidRPr="006A6DC1">
        <w:rPr>
          <w:rFonts w:ascii="Times New Roman" w:hAnsi="Times New Roman" w:cs="Times New Roman"/>
          <w:i/>
          <w:szCs w:val="24"/>
          <w:vertAlign w:val="superscript"/>
        </w:rPr>
        <w:t>*</w:t>
      </w:r>
      <w:r>
        <w:rPr>
          <w:rFonts w:ascii="Times New Roman" w:hAnsi="Times New Roman" w:cs="Times New Roman"/>
          <w:i/>
          <w:szCs w:val="24"/>
        </w:rPr>
        <w:t>Corresponding author E-mail:</w:t>
      </w:r>
      <w:r>
        <w:rPr>
          <w:rFonts w:ascii="Times New Roman" w:hAnsi="Times New Roman" w:cs="Times New Roman"/>
          <w:i/>
          <w:szCs w:val="24"/>
          <w:shd w:val="clear" w:color="auto" w:fill="FFFFFF"/>
        </w:rPr>
        <w:t xml:space="preserve"> </w:t>
      </w:r>
      <w:r>
        <w:rPr>
          <w:rFonts w:ascii="Times New Roman" w:hAnsi="Times New Roman" w:cs="Times New Roman"/>
          <w:i/>
          <w:szCs w:val="24"/>
        </w:rPr>
        <w:t>skandasamyisha@gmail.com</w:t>
      </w:r>
    </w:p>
    <w:p w14:paraId="292E9EDA" w14:textId="0613F1FE" w:rsidR="00A65A1E" w:rsidRPr="00A65A1E" w:rsidRDefault="00A2391C" w:rsidP="00A65A1E">
      <w:pPr>
        <w:widowControl w:val="0"/>
        <w:tabs>
          <w:tab w:val="left" w:pos="360"/>
        </w:tabs>
        <w:autoSpaceDE w:val="0"/>
        <w:autoSpaceDN w:val="0"/>
        <w:adjustRightInd w:val="0"/>
        <w:snapToGrid w:val="0"/>
        <w:spacing w:after="0" w:line="480" w:lineRule="auto"/>
        <w:jc w:val="both"/>
        <w:rPr>
          <w:rFonts w:ascii="Times New Roman" w:hAnsi="Times New Roman" w:cs="Times New Roman"/>
          <w:sz w:val="24"/>
          <w:szCs w:val="24"/>
        </w:rPr>
      </w:pPr>
      <w:r w:rsidRPr="009276F9">
        <w:rPr>
          <w:rFonts w:ascii="Times New Roman" w:hAnsi="Times New Roman" w:cs="Times New Roman"/>
          <w:b/>
          <w:sz w:val="24"/>
          <w:szCs w:val="24"/>
        </w:rPr>
        <w:t>Abstract</w:t>
      </w:r>
      <w:r w:rsidR="00D15A2D">
        <w:rPr>
          <w:rFonts w:ascii="Times New Roman" w:hAnsi="Times New Roman" w:cs="Times New Roman"/>
          <w:b/>
          <w:sz w:val="24"/>
          <w:szCs w:val="24"/>
        </w:rPr>
        <w:t xml:space="preserve">: </w:t>
      </w:r>
      <w:r w:rsidR="0022595D" w:rsidRPr="0051677B">
        <w:rPr>
          <w:rFonts w:ascii="Times New Roman" w:hAnsi="Times New Roman"/>
          <w:color w:val="000000"/>
          <w:sz w:val="24"/>
          <w:szCs w:val="24"/>
        </w:rPr>
        <w:t xml:space="preserve">The corrosion of </w:t>
      </w:r>
      <w:r w:rsidR="0022595D">
        <w:rPr>
          <w:rFonts w:ascii="Times New Roman" w:hAnsi="Times New Roman"/>
          <w:color w:val="000000"/>
          <w:sz w:val="24"/>
          <w:szCs w:val="24"/>
        </w:rPr>
        <w:t>reinforced concrete structures a</w:t>
      </w:r>
      <w:r w:rsidR="0022595D" w:rsidRPr="0051677B">
        <w:rPr>
          <w:rFonts w:ascii="Times New Roman" w:hAnsi="Times New Roman"/>
          <w:color w:val="000000"/>
          <w:sz w:val="24"/>
          <w:szCs w:val="24"/>
        </w:rPr>
        <w:t>s a major probl</w:t>
      </w:r>
      <w:r w:rsidR="0022595D">
        <w:rPr>
          <w:rFonts w:ascii="Times New Roman" w:hAnsi="Times New Roman"/>
          <w:color w:val="000000"/>
          <w:sz w:val="24"/>
          <w:szCs w:val="24"/>
        </w:rPr>
        <w:t>em throughout the world, it leads</w:t>
      </w:r>
      <w:r w:rsidR="0022595D" w:rsidRPr="0051677B">
        <w:rPr>
          <w:rFonts w:ascii="Times New Roman" w:hAnsi="Times New Roman"/>
          <w:color w:val="000000"/>
          <w:sz w:val="24"/>
          <w:szCs w:val="24"/>
        </w:rPr>
        <w:t xml:space="preserve"> to</w:t>
      </w:r>
      <w:r w:rsidR="0022595D" w:rsidRPr="0051677B">
        <w:rPr>
          <w:rFonts w:ascii="Times New Roman" w:hAnsi="Times New Roman"/>
          <w:sz w:val="24"/>
          <w:szCs w:val="24"/>
        </w:rPr>
        <w:t xml:space="preserve"> </w:t>
      </w:r>
      <w:r w:rsidR="0022595D" w:rsidRPr="0051677B">
        <w:rPr>
          <w:rFonts w:ascii="Times New Roman" w:hAnsi="Times New Roman"/>
          <w:color w:val="000000"/>
          <w:sz w:val="24"/>
          <w:szCs w:val="24"/>
        </w:rPr>
        <w:t>significant</w:t>
      </w:r>
      <w:r w:rsidR="0022595D">
        <w:rPr>
          <w:rFonts w:ascii="Times New Roman" w:hAnsi="Times New Roman"/>
          <w:color w:val="000000"/>
          <w:sz w:val="24"/>
          <w:szCs w:val="24"/>
        </w:rPr>
        <w:t xml:space="preserve"> costs of repair and retrofitting</w:t>
      </w:r>
      <w:r w:rsidR="0022595D" w:rsidRPr="0051677B">
        <w:rPr>
          <w:rFonts w:ascii="Times New Roman" w:hAnsi="Times New Roman"/>
          <w:color w:val="000000"/>
          <w:sz w:val="24"/>
          <w:szCs w:val="24"/>
        </w:rPr>
        <w:t>.</w:t>
      </w:r>
      <w:r w:rsidR="0022595D">
        <w:rPr>
          <w:rFonts w:ascii="Times New Roman" w:hAnsi="Times New Roman"/>
          <w:color w:val="000000"/>
          <w:sz w:val="24"/>
          <w:szCs w:val="24"/>
        </w:rPr>
        <w:t xml:space="preserve"> All the aggressive agents are </w:t>
      </w:r>
      <w:proofErr w:type="gramStart"/>
      <w:r w:rsidR="0022595D">
        <w:rPr>
          <w:rFonts w:ascii="Times New Roman" w:hAnsi="Times New Roman"/>
          <w:color w:val="000000"/>
          <w:sz w:val="24"/>
          <w:szCs w:val="24"/>
        </w:rPr>
        <w:t>penetrate</w:t>
      </w:r>
      <w:proofErr w:type="gramEnd"/>
      <w:r w:rsidR="0022595D">
        <w:rPr>
          <w:rFonts w:ascii="Times New Roman" w:hAnsi="Times New Roman"/>
          <w:color w:val="000000"/>
          <w:sz w:val="24"/>
          <w:szCs w:val="24"/>
        </w:rPr>
        <w:t xml:space="preserve"> into the concrete through the surface of concrete to initiate the rebar corrosion. </w:t>
      </w:r>
      <w:r w:rsidR="00A67CF2" w:rsidRPr="009276F9">
        <w:rPr>
          <w:rFonts w:ascii="Times New Roman" w:hAnsi="Times New Roman" w:cs="Times New Roman"/>
          <w:sz w:val="24"/>
          <w:szCs w:val="24"/>
        </w:rPr>
        <w:t>Controlled Permeability F</w:t>
      </w:r>
      <w:r w:rsidR="004F4720" w:rsidRPr="009276F9">
        <w:rPr>
          <w:rFonts w:ascii="Times New Roman" w:hAnsi="Times New Roman" w:cs="Times New Roman"/>
          <w:sz w:val="24"/>
          <w:szCs w:val="24"/>
        </w:rPr>
        <w:t xml:space="preserve">ormwork (CPF) is the </w:t>
      </w:r>
      <w:r w:rsidR="001104BD">
        <w:rPr>
          <w:rFonts w:ascii="Times New Roman" w:hAnsi="Times New Roman" w:cs="Times New Roman"/>
          <w:sz w:val="24"/>
          <w:szCs w:val="24"/>
        </w:rPr>
        <w:t>active method to improve</w:t>
      </w:r>
      <w:r w:rsidR="00D34929" w:rsidRPr="009276F9">
        <w:rPr>
          <w:rFonts w:ascii="Times New Roman" w:hAnsi="Times New Roman" w:cs="Times New Roman"/>
          <w:sz w:val="24"/>
          <w:szCs w:val="24"/>
        </w:rPr>
        <w:t xml:space="preserve"> the </w:t>
      </w:r>
      <w:r w:rsidR="004F4720" w:rsidRPr="009276F9">
        <w:rPr>
          <w:rFonts w:ascii="Times New Roman" w:hAnsi="Times New Roman" w:cs="Times New Roman"/>
          <w:sz w:val="24"/>
          <w:szCs w:val="24"/>
        </w:rPr>
        <w:t xml:space="preserve">quality of </w:t>
      </w:r>
      <w:r w:rsidR="001104BD">
        <w:rPr>
          <w:rFonts w:ascii="Times New Roman" w:hAnsi="Times New Roman" w:cs="Times New Roman"/>
          <w:sz w:val="24"/>
          <w:szCs w:val="24"/>
        </w:rPr>
        <w:t>surface</w:t>
      </w:r>
      <w:r w:rsidR="00D34929" w:rsidRPr="009276F9">
        <w:rPr>
          <w:rFonts w:ascii="Times New Roman" w:hAnsi="Times New Roman" w:cs="Times New Roman"/>
          <w:sz w:val="24"/>
          <w:szCs w:val="24"/>
        </w:rPr>
        <w:t xml:space="preserve"> zone of concrete. This t</w:t>
      </w:r>
      <w:r w:rsidR="004F4720" w:rsidRPr="009276F9">
        <w:rPr>
          <w:rFonts w:ascii="Times New Roman" w:hAnsi="Times New Roman" w:cs="Times New Roman"/>
          <w:sz w:val="24"/>
          <w:szCs w:val="24"/>
        </w:rPr>
        <w:t xml:space="preserve">echnique is </w:t>
      </w:r>
      <w:r w:rsidR="007E642C">
        <w:rPr>
          <w:rFonts w:ascii="Times New Roman" w:hAnsi="Times New Roman" w:cs="Times New Roman"/>
          <w:sz w:val="24"/>
          <w:szCs w:val="24"/>
        </w:rPr>
        <w:t xml:space="preserve">used </w:t>
      </w:r>
      <w:r w:rsidR="004F4720" w:rsidRPr="009276F9">
        <w:rPr>
          <w:rFonts w:ascii="Times New Roman" w:hAnsi="Times New Roman" w:cs="Times New Roman"/>
          <w:sz w:val="24"/>
          <w:szCs w:val="24"/>
        </w:rPr>
        <w:t>to drain the surplus</w:t>
      </w:r>
      <w:r w:rsidR="00D34929" w:rsidRPr="009276F9">
        <w:rPr>
          <w:rFonts w:ascii="Times New Roman" w:hAnsi="Times New Roman" w:cs="Times New Roman"/>
          <w:sz w:val="24"/>
          <w:szCs w:val="24"/>
        </w:rPr>
        <w:t xml:space="preserve"> water and entrapped air from the near surface</w:t>
      </w:r>
      <w:r w:rsidR="004F4720" w:rsidRPr="009276F9">
        <w:rPr>
          <w:rFonts w:ascii="Times New Roman" w:hAnsi="Times New Roman" w:cs="Times New Roman"/>
          <w:sz w:val="24"/>
          <w:szCs w:val="24"/>
        </w:rPr>
        <w:t xml:space="preserve"> of fresh concrete whilst</w:t>
      </w:r>
      <w:r w:rsidR="00D34929" w:rsidRPr="009276F9">
        <w:rPr>
          <w:rFonts w:ascii="Times New Roman" w:hAnsi="Times New Roman" w:cs="Times New Roman"/>
          <w:sz w:val="24"/>
          <w:szCs w:val="24"/>
        </w:rPr>
        <w:t xml:space="preserve"> retaining the cement and </w:t>
      </w:r>
      <w:r w:rsidR="004F4720" w:rsidRPr="009276F9">
        <w:rPr>
          <w:rFonts w:ascii="Times New Roman" w:hAnsi="Times New Roman" w:cs="Times New Roman"/>
          <w:sz w:val="24"/>
          <w:szCs w:val="24"/>
        </w:rPr>
        <w:t xml:space="preserve">other </w:t>
      </w:r>
      <w:r w:rsidR="00D34929" w:rsidRPr="009276F9">
        <w:rPr>
          <w:rFonts w:ascii="Times New Roman" w:hAnsi="Times New Roman" w:cs="Times New Roman"/>
          <w:sz w:val="24"/>
          <w:szCs w:val="24"/>
        </w:rPr>
        <w:t>fine particles. This ensu</w:t>
      </w:r>
      <w:r w:rsidR="004F4720" w:rsidRPr="009276F9">
        <w:rPr>
          <w:rFonts w:ascii="Times New Roman" w:hAnsi="Times New Roman" w:cs="Times New Roman"/>
          <w:sz w:val="24"/>
          <w:szCs w:val="24"/>
        </w:rPr>
        <w:t>res reducing the</w:t>
      </w:r>
      <w:r w:rsidR="00D34929" w:rsidRPr="009276F9">
        <w:rPr>
          <w:rFonts w:ascii="Times New Roman" w:hAnsi="Times New Roman" w:cs="Times New Roman"/>
          <w:sz w:val="24"/>
          <w:szCs w:val="24"/>
        </w:rPr>
        <w:t xml:space="preserve"> water-cement</w:t>
      </w:r>
      <w:r w:rsidR="004A5563" w:rsidRPr="009276F9">
        <w:rPr>
          <w:rFonts w:ascii="Times New Roman" w:hAnsi="Times New Roman" w:cs="Times New Roman"/>
          <w:sz w:val="24"/>
          <w:szCs w:val="24"/>
        </w:rPr>
        <w:t xml:space="preserve"> </w:t>
      </w:r>
      <w:r w:rsidR="00BC2E05">
        <w:rPr>
          <w:rFonts w:ascii="Times New Roman" w:hAnsi="Times New Roman" w:cs="Times New Roman"/>
          <w:sz w:val="24"/>
          <w:szCs w:val="24"/>
        </w:rPr>
        <w:t>(w-</w:t>
      </w:r>
      <w:r w:rsidR="004F4720" w:rsidRPr="009276F9">
        <w:rPr>
          <w:rFonts w:ascii="Times New Roman" w:hAnsi="Times New Roman" w:cs="Times New Roman"/>
          <w:sz w:val="24"/>
          <w:szCs w:val="24"/>
        </w:rPr>
        <w:t>c)</w:t>
      </w:r>
      <w:r w:rsidR="00D34929" w:rsidRPr="009276F9">
        <w:rPr>
          <w:rFonts w:ascii="Times New Roman" w:hAnsi="Times New Roman" w:cs="Times New Roman"/>
          <w:sz w:val="24"/>
          <w:szCs w:val="24"/>
        </w:rPr>
        <w:t xml:space="preserve"> ratio, </w:t>
      </w:r>
      <w:r w:rsidR="004F4720" w:rsidRPr="009276F9">
        <w:rPr>
          <w:rFonts w:ascii="Times New Roman" w:hAnsi="Times New Roman" w:cs="Times New Roman"/>
          <w:sz w:val="24"/>
          <w:szCs w:val="24"/>
        </w:rPr>
        <w:t>enrich of cement content and decrease of</w:t>
      </w:r>
      <w:r w:rsidR="00D34929" w:rsidRPr="009276F9">
        <w:rPr>
          <w:rFonts w:ascii="Times New Roman" w:hAnsi="Times New Roman" w:cs="Times New Roman"/>
          <w:sz w:val="24"/>
          <w:szCs w:val="24"/>
        </w:rPr>
        <w:t xml:space="preserve"> surface poros</w:t>
      </w:r>
      <w:r w:rsidR="004F4720" w:rsidRPr="009276F9">
        <w:rPr>
          <w:rFonts w:ascii="Times New Roman" w:hAnsi="Times New Roman" w:cs="Times New Roman"/>
          <w:sz w:val="24"/>
          <w:szCs w:val="24"/>
        </w:rPr>
        <w:t>ity in</w:t>
      </w:r>
      <w:r w:rsidR="00D34929" w:rsidRPr="009276F9">
        <w:rPr>
          <w:rFonts w:ascii="Times New Roman" w:hAnsi="Times New Roman" w:cs="Times New Roman"/>
          <w:sz w:val="24"/>
          <w:szCs w:val="24"/>
        </w:rPr>
        <w:t xml:space="preserve"> the cover zone</w:t>
      </w:r>
      <w:r w:rsidR="004F4720" w:rsidRPr="009276F9">
        <w:rPr>
          <w:rFonts w:ascii="Times New Roman" w:hAnsi="Times New Roman" w:cs="Times New Roman"/>
          <w:sz w:val="24"/>
          <w:szCs w:val="24"/>
        </w:rPr>
        <w:t xml:space="preserve"> of the concrete</w:t>
      </w:r>
      <w:r w:rsidR="00D34929" w:rsidRPr="009276F9">
        <w:rPr>
          <w:rFonts w:ascii="Times New Roman" w:hAnsi="Times New Roman" w:cs="Times New Roman"/>
          <w:sz w:val="24"/>
          <w:szCs w:val="24"/>
        </w:rPr>
        <w:t xml:space="preserve">. CPF action creates </w:t>
      </w:r>
      <w:r w:rsidR="00174DE5" w:rsidRPr="009276F9">
        <w:rPr>
          <w:rFonts w:ascii="Times New Roman" w:hAnsi="Times New Roman" w:cs="Times New Roman"/>
          <w:sz w:val="24"/>
          <w:szCs w:val="24"/>
        </w:rPr>
        <w:t xml:space="preserve">smooth </w:t>
      </w:r>
      <w:r w:rsidR="00D34929" w:rsidRPr="009276F9">
        <w:rPr>
          <w:rFonts w:ascii="Times New Roman" w:hAnsi="Times New Roman" w:cs="Times New Roman"/>
          <w:sz w:val="24"/>
          <w:szCs w:val="24"/>
        </w:rPr>
        <w:t xml:space="preserve">surface </w:t>
      </w:r>
      <w:r w:rsidR="004F4720" w:rsidRPr="009276F9">
        <w:rPr>
          <w:rFonts w:ascii="Times New Roman" w:hAnsi="Times New Roman" w:cs="Times New Roman"/>
          <w:sz w:val="24"/>
          <w:szCs w:val="24"/>
        </w:rPr>
        <w:t xml:space="preserve">with </w:t>
      </w:r>
      <w:r w:rsidR="00D34929" w:rsidRPr="009276F9">
        <w:rPr>
          <w:rFonts w:ascii="Times New Roman" w:hAnsi="Times New Roman" w:cs="Times New Roman"/>
          <w:sz w:val="24"/>
          <w:szCs w:val="24"/>
        </w:rPr>
        <w:t xml:space="preserve">free from </w:t>
      </w:r>
      <w:r w:rsidR="004F4720" w:rsidRPr="009276F9">
        <w:rPr>
          <w:rFonts w:ascii="Times New Roman" w:hAnsi="Times New Roman" w:cs="Times New Roman"/>
          <w:sz w:val="24"/>
          <w:szCs w:val="24"/>
        </w:rPr>
        <w:t>pin and blow</w:t>
      </w:r>
      <w:r w:rsidR="004A5563" w:rsidRPr="009276F9">
        <w:rPr>
          <w:rFonts w:ascii="Times New Roman" w:hAnsi="Times New Roman" w:cs="Times New Roman"/>
          <w:sz w:val="24"/>
          <w:szCs w:val="24"/>
        </w:rPr>
        <w:t xml:space="preserve">. </w:t>
      </w:r>
      <w:r w:rsidR="005B3A2F" w:rsidRPr="009276F9">
        <w:rPr>
          <w:rFonts w:ascii="Times New Roman" w:hAnsi="Times New Roman" w:cs="Times New Roman"/>
          <w:iCs/>
          <w:sz w:val="24"/>
          <w:szCs w:val="24"/>
        </w:rPr>
        <w:t xml:space="preserve">This paper reports an experimental study carried out to investigate the influence of CPF liner on </w:t>
      </w:r>
      <w:r w:rsidR="007536AD">
        <w:rPr>
          <w:rFonts w:ascii="Times New Roman" w:hAnsi="Times New Roman" w:cs="Times New Roman"/>
          <w:iCs/>
          <w:sz w:val="24"/>
          <w:szCs w:val="24"/>
        </w:rPr>
        <w:t>durability</w:t>
      </w:r>
      <w:r w:rsidR="004443E1" w:rsidRPr="009276F9">
        <w:rPr>
          <w:rFonts w:ascii="Times New Roman" w:hAnsi="Times New Roman" w:cs="Times New Roman"/>
          <w:iCs/>
          <w:sz w:val="24"/>
          <w:szCs w:val="24"/>
        </w:rPr>
        <w:t xml:space="preserve"> </w:t>
      </w:r>
      <w:r w:rsidR="005B3A2F" w:rsidRPr="009276F9">
        <w:rPr>
          <w:rFonts w:ascii="Times New Roman" w:hAnsi="Times New Roman" w:cs="Times New Roman"/>
          <w:iCs/>
          <w:sz w:val="24"/>
          <w:szCs w:val="24"/>
        </w:rPr>
        <w:t>properties of</w:t>
      </w:r>
      <w:r w:rsidR="004A5563" w:rsidRPr="009276F9">
        <w:rPr>
          <w:rFonts w:ascii="Times New Roman" w:hAnsi="Times New Roman" w:cs="Times New Roman"/>
          <w:iCs/>
          <w:sz w:val="24"/>
          <w:szCs w:val="24"/>
        </w:rPr>
        <w:t xml:space="preserve"> self-compacting concrete </w:t>
      </w:r>
      <w:r w:rsidR="005B3A2F" w:rsidRPr="009276F9">
        <w:rPr>
          <w:rFonts w:ascii="Times New Roman" w:hAnsi="Times New Roman" w:cs="Times New Roman"/>
          <w:iCs/>
          <w:sz w:val="24"/>
          <w:szCs w:val="24"/>
        </w:rPr>
        <w:t xml:space="preserve">(SCC). The specimens were prepared against CPF liner and impermeable steel formwork (IMF) and tested at </w:t>
      </w:r>
      <w:r w:rsidR="000D2F16">
        <w:rPr>
          <w:rFonts w:ascii="Times New Roman" w:hAnsi="Times New Roman" w:cs="Times New Roman"/>
          <w:iCs/>
          <w:sz w:val="24"/>
          <w:szCs w:val="24"/>
        </w:rPr>
        <w:t>various ages</w:t>
      </w:r>
      <w:r w:rsidR="005B3A2F" w:rsidRPr="009276F9">
        <w:rPr>
          <w:rFonts w:ascii="Times New Roman" w:hAnsi="Times New Roman" w:cs="Times New Roman"/>
          <w:iCs/>
          <w:sz w:val="24"/>
          <w:szCs w:val="24"/>
        </w:rPr>
        <w:t xml:space="preserve">. The tests that were carried out include </w:t>
      </w:r>
      <w:r w:rsidR="00BC6DDC">
        <w:rPr>
          <w:rFonts w:ascii="Times New Roman" w:hAnsi="Times New Roman" w:cs="Times New Roman"/>
          <w:iCs/>
          <w:sz w:val="24"/>
          <w:szCs w:val="24"/>
        </w:rPr>
        <w:t xml:space="preserve">water absorption, </w:t>
      </w:r>
      <w:proofErr w:type="spellStart"/>
      <w:r w:rsidR="00BC6DDC">
        <w:rPr>
          <w:rFonts w:ascii="Times New Roman" w:hAnsi="Times New Roman" w:cs="Times New Roman"/>
          <w:iCs/>
          <w:sz w:val="24"/>
          <w:szCs w:val="24"/>
        </w:rPr>
        <w:t>sorptivity</w:t>
      </w:r>
      <w:proofErr w:type="spellEnd"/>
      <w:r w:rsidR="00BC6DDC">
        <w:rPr>
          <w:rFonts w:ascii="Times New Roman" w:hAnsi="Times New Roman" w:cs="Times New Roman"/>
          <w:iCs/>
          <w:sz w:val="24"/>
          <w:szCs w:val="24"/>
        </w:rPr>
        <w:t xml:space="preserve">, hydrochloric acid resistance and </w:t>
      </w:r>
      <w:proofErr w:type="spellStart"/>
      <w:r w:rsidR="00BC6DDC">
        <w:rPr>
          <w:rFonts w:ascii="Times New Roman" w:hAnsi="Times New Roman" w:cs="Times New Roman"/>
          <w:iCs/>
          <w:sz w:val="24"/>
          <w:szCs w:val="24"/>
        </w:rPr>
        <w:t>sul</w:t>
      </w:r>
      <w:r w:rsidR="004F0ECF">
        <w:rPr>
          <w:rFonts w:ascii="Times New Roman" w:hAnsi="Times New Roman" w:cs="Times New Roman"/>
          <w:iCs/>
          <w:sz w:val="24"/>
          <w:szCs w:val="24"/>
        </w:rPr>
        <w:t>f</w:t>
      </w:r>
      <w:r w:rsidR="00BC6DDC">
        <w:rPr>
          <w:rFonts w:ascii="Times New Roman" w:hAnsi="Times New Roman" w:cs="Times New Roman"/>
          <w:iCs/>
          <w:sz w:val="24"/>
          <w:szCs w:val="24"/>
        </w:rPr>
        <w:t>ate</w:t>
      </w:r>
      <w:proofErr w:type="spellEnd"/>
      <w:r w:rsidR="00BC6DDC">
        <w:rPr>
          <w:rFonts w:ascii="Times New Roman" w:hAnsi="Times New Roman" w:cs="Times New Roman"/>
          <w:iCs/>
          <w:sz w:val="24"/>
          <w:szCs w:val="24"/>
        </w:rPr>
        <w:t xml:space="preserve"> resistance</w:t>
      </w:r>
      <w:r w:rsidR="005B3A2F" w:rsidRPr="009276F9">
        <w:rPr>
          <w:rFonts w:ascii="Times New Roman" w:hAnsi="Times New Roman" w:cs="Times New Roman"/>
          <w:iCs/>
          <w:sz w:val="24"/>
          <w:szCs w:val="24"/>
        </w:rPr>
        <w:t xml:space="preserve">. </w:t>
      </w:r>
      <w:r w:rsidR="00A65A1E" w:rsidRPr="00A65A1E">
        <w:rPr>
          <w:rFonts w:ascii="Times New Roman" w:hAnsi="Times New Roman" w:cs="Times New Roman"/>
          <w:sz w:val="24"/>
          <w:szCs w:val="24"/>
        </w:rPr>
        <w:t>The findings revealed that CPF concretes had an excellent resistance to water absorption (</w:t>
      </w:r>
      <w:proofErr w:type="spellStart"/>
      <w:r w:rsidR="00A65A1E" w:rsidRPr="00A65A1E">
        <w:rPr>
          <w:rFonts w:ascii="Times New Roman" w:hAnsi="Times New Roman" w:cs="Times New Roman"/>
          <w:sz w:val="24"/>
          <w:szCs w:val="24"/>
        </w:rPr>
        <w:t>sorptivity</w:t>
      </w:r>
      <w:proofErr w:type="spellEnd"/>
      <w:r w:rsidR="00A65A1E" w:rsidRPr="00A65A1E">
        <w:rPr>
          <w:rFonts w:ascii="Times New Roman" w:hAnsi="Times New Roman" w:cs="Times New Roman"/>
          <w:sz w:val="24"/>
          <w:szCs w:val="24"/>
        </w:rPr>
        <w:t xml:space="preserve">) of </w:t>
      </w:r>
      <w:r w:rsidR="00A65A1E">
        <w:rPr>
          <w:rFonts w:ascii="Times New Roman" w:hAnsi="Times New Roman" w:cs="Times New Roman"/>
          <w:sz w:val="24"/>
          <w:szCs w:val="24"/>
        </w:rPr>
        <w:t>2</w:t>
      </w:r>
      <w:r w:rsidR="00A65A1E" w:rsidRPr="00A65A1E">
        <w:rPr>
          <w:rFonts w:ascii="Times New Roman" w:hAnsi="Times New Roman" w:cs="Times New Roman"/>
          <w:sz w:val="24"/>
          <w:szCs w:val="24"/>
        </w:rPr>
        <w:t xml:space="preserve">2 to 67 percent. The residual compressive strength of CPF concrete was more by </w:t>
      </w:r>
      <w:r w:rsidR="00A65A1E">
        <w:rPr>
          <w:rFonts w:ascii="Times New Roman" w:hAnsi="Times New Roman" w:cs="Times New Roman"/>
          <w:sz w:val="24"/>
          <w:szCs w:val="24"/>
        </w:rPr>
        <w:t>14</w:t>
      </w:r>
      <w:r w:rsidR="00A65A1E" w:rsidRPr="00A65A1E">
        <w:rPr>
          <w:rFonts w:ascii="Times New Roman" w:hAnsi="Times New Roman" w:cs="Times New Roman"/>
          <w:sz w:val="24"/>
          <w:szCs w:val="24"/>
        </w:rPr>
        <w:t>% - 14</w:t>
      </w:r>
      <w:r w:rsidR="00A65A1E">
        <w:rPr>
          <w:rFonts w:ascii="Times New Roman" w:hAnsi="Times New Roman" w:cs="Times New Roman"/>
          <w:sz w:val="24"/>
          <w:szCs w:val="24"/>
        </w:rPr>
        <w:t>3</w:t>
      </w:r>
      <w:r w:rsidR="00A65A1E" w:rsidRPr="00A65A1E">
        <w:rPr>
          <w:rFonts w:ascii="Times New Roman" w:hAnsi="Times New Roman" w:cs="Times New Roman"/>
          <w:sz w:val="24"/>
          <w:szCs w:val="24"/>
        </w:rPr>
        <w:t xml:space="preserve">% compared to IMF concretes </w:t>
      </w:r>
      <w:r w:rsidR="00A65A1E" w:rsidRPr="00A65A1E">
        <w:rPr>
          <w:rFonts w:ascii="Times New Roman" w:hAnsi="Times New Roman" w:cs="Times New Roman"/>
          <w:sz w:val="24"/>
          <w:szCs w:val="24"/>
        </w:rPr>
        <w:lastRenderedPageBreak/>
        <w:t>under hydrochloric acid environment.</w:t>
      </w:r>
    </w:p>
    <w:p w14:paraId="2E489459" w14:textId="7C90DD78" w:rsidR="000C2043" w:rsidRPr="00A65A1E" w:rsidRDefault="0057144E" w:rsidP="00A65A1E">
      <w:pPr>
        <w:pStyle w:val="NoSpacing"/>
        <w:spacing w:line="360" w:lineRule="auto"/>
        <w:rPr>
          <w:rFonts w:ascii="Times New Roman" w:hAnsi="Times New Roman" w:cs="Times New Roman"/>
          <w:sz w:val="24"/>
          <w:szCs w:val="24"/>
        </w:rPr>
        <w:sectPr w:rsidR="000C2043" w:rsidRPr="00A65A1E" w:rsidSect="00EF238F">
          <w:footerReference w:type="default" r:id="rId8"/>
          <w:pgSz w:w="11906" w:h="16838" w:code="9"/>
          <w:pgMar w:top="1440" w:right="1440" w:bottom="1440" w:left="1440" w:header="706" w:footer="706" w:gutter="0"/>
          <w:cols w:space="708"/>
          <w:docGrid w:linePitch="360"/>
        </w:sectPr>
      </w:pPr>
      <w:r w:rsidRPr="00A65A1E">
        <w:rPr>
          <w:rFonts w:ascii="Times New Roman" w:hAnsi="Times New Roman" w:cs="Times New Roman"/>
          <w:b/>
          <w:sz w:val="24"/>
          <w:szCs w:val="24"/>
        </w:rPr>
        <w:t>Keyword</w:t>
      </w:r>
      <w:r w:rsidR="00674863" w:rsidRPr="00A65A1E">
        <w:rPr>
          <w:rFonts w:ascii="Times New Roman" w:hAnsi="Times New Roman" w:cs="Times New Roman"/>
          <w:b/>
          <w:sz w:val="24"/>
          <w:szCs w:val="24"/>
        </w:rPr>
        <w:t>s</w:t>
      </w:r>
      <w:r w:rsidR="00D34929" w:rsidRPr="00A65A1E">
        <w:rPr>
          <w:rFonts w:ascii="Times New Roman" w:hAnsi="Times New Roman" w:cs="Times New Roman"/>
          <w:b/>
          <w:sz w:val="24"/>
          <w:szCs w:val="24"/>
        </w:rPr>
        <w:t>:</w:t>
      </w:r>
      <w:r w:rsidR="006F4BCA" w:rsidRPr="00A65A1E">
        <w:rPr>
          <w:rFonts w:ascii="Times New Roman" w:hAnsi="Times New Roman" w:cs="Times New Roman"/>
          <w:sz w:val="24"/>
          <w:szCs w:val="24"/>
        </w:rPr>
        <w:t xml:space="preserve"> </w:t>
      </w:r>
      <w:r w:rsidR="00614487" w:rsidRPr="00A65A1E">
        <w:rPr>
          <w:rFonts w:ascii="Times New Roman" w:hAnsi="Times New Roman" w:cs="Times New Roman"/>
          <w:sz w:val="24"/>
          <w:szCs w:val="24"/>
        </w:rPr>
        <w:t>Water absorption</w:t>
      </w:r>
      <w:r w:rsidR="00E07C01" w:rsidRPr="00A65A1E">
        <w:rPr>
          <w:rFonts w:ascii="Times New Roman" w:hAnsi="Times New Roman" w:cs="Times New Roman"/>
          <w:color w:val="000000"/>
          <w:sz w:val="24"/>
          <w:szCs w:val="24"/>
          <w:lang w:eastAsia="en-IN"/>
        </w:rPr>
        <w:t xml:space="preserve"> </w:t>
      </w:r>
      <w:bookmarkStart w:id="0" w:name="OLE_LINK1"/>
      <w:r w:rsidR="00E07C01" w:rsidRPr="00A65A1E">
        <w:rPr>
          <w:rFonts w:ascii="Times New Roman" w:hAnsi="Times New Roman" w:cs="Times New Roman"/>
          <w:color w:val="000000"/>
          <w:sz w:val="24"/>
          <w:szCs w:val="24"/>
          <w:lang w:eastAsia="en-IN"/>
        </w:rPr>
        <w:t>·</w:t>
      </w:r>
      <w:bookmarkEnd w:id="0"/>
      <w:r w:rsidR="00E07C01" w:rsidRPr="00A65A1E">
        <w:rPr>
          <w:rFonts w:ascii="Times New Roman" w:hAnsi="Times New Roman" w:cs="Times New Roman"/>
          <w:color w:val="000000"/>
          <w:sz w:val="24"/>
          <w:szCs w:val="24"/>
          <w:lang w:eastAsia="en-IN"/>
        </w:rPr>
        <w:t xml:space="preserve"> </w:t>
      </w:r>
      <w:proofErr w:type="spellStart"/>
      <w:r w:rsidR="00614487" w:rsidRPr="00A65A1E">
        <w:rPr>
          <w:rFonts w:ascii="Times New Roman" w:hAnsi="Times New Roman" w:cs="Times New Roman"/>
          <w:sz w:val="24"/>
          <w:szCs w:val="24"/>
        </w:rPr>
        <w:t>Sorptivity</w:t>
      </w:r>
      <w:proofErr w:type="spellEnd"/>
      <w:r w:rsidR="00E07C01" w:rsidRPr="00A65A1E">
        <w:rPr>
          <w:rFonts w:ascii="Times New Roman" w:hAnsi="Times New Roman" w:cs="Times New Roman"/>
          <w:color w:val="000000"/>
          <w:sz w:val="24"/>
          <w:szCs w:val="24"/>
          <w:lang w:eastAsia="en-IN"/>
        </w:rPr>
        <w:t xml:space="preserve"> ·</w:t>
      </w:r>
      <w:r w:rsidR="00EF238F" w:rsidRPr="00A65A1E">
        <w:rPr>
          <w:rFonts w:ascii="Times New Roman" w:hAnsi="Times New Roman" w:cs="Times New Roman"/>
          <w:sz w:val="24"/>
          <w:szCs w:val="24"/>
        </w:rPr>
        <w:t xml:space="preserve"> </w:t>
      </w:r>
      <w:r w:rsidR="00D16846" w:rsidRPr="00A65A1E">
        <w:rPr>
          <w:rFonts w:ascii="Times New Roman" w:hAnsi="Times New Roman" w:cs="Times New Roman"/>
          <w:sz w:val="24"/>
          <w:szCs w:val="24"/>
        </w:rPr>
        <w:t>Controlled p</w:t>
      </w:r>
      <w:r w:rsidR="00D34929" w:rsidRPr="00A65A1E">
        <w:rPr>
          <w:rFonts w:ascii="Times New Roman" w:hAnsi="Times New Roman" w:cs="Times New Roman"/>
          <w:sz w:val="24"/>
          <w:szCs w:val="24"/>
        </w:rPr>
        <w:t xml:space="preserve">ermeability </w:t>
      </w:r>
      <w:r w:rsidR="00D16846" w:rsidRPr="00A65A1E">
        <w:rPr>
          <w:rFonts w:ascii="Times New Roman" w:hAnsi="Times New Roman" w:cs="Times New Roman"/>
          <w:sz w:val="24"/>
          <w:szCs w:val="24"/>
        </w:rPr>
        <w:t>f</w:t>
      </w:r>
      <w:r w:rsidR="006F4BCA" w:rsidRPr="00A65A1E">
        <w:rPr>
          <w:rFonts w:ascii="Times New Roman" w:hAnsi="Times New Roman" w:cs="Times New Roman"/>
          <w:sz w:val="24"/>
          <w:szCs w:val="24"/>
        </w:rPr>
        <w:t>ormwork</w:t>
      </w:r>
      <w:r w:rsidR="00E07C01" w:rsidRPr="00A65A1E">
        <w:rPr>
          <w:rFonts w:ascii="Times New Roman" w:hAnsi="Times New Roman" w:cs="Times New Roman"/>
          <w:color w:val="000000"/>
          <w:sz w:val="24"/>
          <w:szCs w:val="24"/>
          <w:lang w:eastAsia="en-IN"/>
        </w:rPr>
        <w:t xml:space="preserve"> ·</w:t>
      </w:r>
      <w:r w:rsidR="00B65133" w:rsidRPr="00A65A1E">
        <w:rPr>
          <w:rFonts w:ascii="Times New Roman" w:hAnsi="Times New Roman" w:cs="Times New Roman"/>
          <w:sz w:val="24"/>
          <w:szCs w:val="24"/>
        </w:rPr>
        <w:t xml:space="preserve"> </w:t>
      </w:r>
      <w:proofErr w:type="spellStart"/>
      <w:r w:rsidR="00614487" w:rsidRPr="00A65A1E">
        <w:rPr>
          <w:rFonts w:ascii="Times New Roman" w:hAnsi="Times New Roman" w:cs="Times New Roman"/>
          <w:sz w:val="24"/>
          <w:szCs w:val="24"/>
        </w:rPr>
        <w:t>Sul</w:t>
      </w:r>
      <w:r w:rsidR="004F0ECF" w:rsidRPr="00A65A1E">
        <w:rPr>
          <w:rFonts w:ascii="Times New Roman" w:hAnsi="Times New Roman" w:cs="Times New Roman"/>
          <w:sz w:val="24"/>
          <w:szCs w:val="24"/>
        </w:rPr>
        <w:t>f</w:t>
      </w:r>
      <w:r w:rsidR="00614487" w:rsidRPr="00A65A1E">
        <w:rPr>
          <w:rFonts w:ascii="Times New Roman" w:hAnsi="Times New Roman" w:cs="Times New Roman"/>
          <w:sz w:val="24"/>
          <w:szCs w:val="24"/>
        </w:rPr>
        <w:t>ate</w:t>
      </w:r>
      <w:proofErr w:type="spellEnd"/>
      <w:r w:rsidR="00614487" w:rsidRPr="00A65A1E">
        <w:rPr>
          <w:rFonts w:ascii="Times New Roman" w:hAnsi="Times New Roman" w:cs="Times New Roman"/>
          <w:sz w:val="24"/>
          <w:szCs w:val="24"/>
        </w:rPr>
        <w:t xml:space="preserve"> resistance</w:t>
      </w:r>
      <w:r w:rsidR="00D15A2D" w:rsidRPr="00A65A1E">
        <w:rPr>
          <w:rFonts w:ascii="Times New Roman" w:hAnsi="Times New Roman" w:cs="Times New Roman"/>
          <w:sz w:val="24"/>
          <w:szCs w:val="24"/>
        </w:rPr>
        <w:t xml:space="preserve"> </w:t>
      </w:r>
      <w:r w:rsidR="00614487" w:rsidRPr="00A65A1E">
        <w:rPr>
          <w:rFonts w:ascii="Times New Roman" w:hAnsi="Times New Roman" w:cs="Times New Roman"/>
          <w:color w:val="000000"/>
          <w:sz w:val="24"/>
          <w:szCs w:val="24"/>
          <w:lang w:eastAsia="en-IN"/>
        </w:rPr>
        <w:t>· Hydrochloric acid resistance</w:t>
      </w:r>
    </w:p>
    <w:p w14:paraId="2B92F4B7" w14:textId="77777777" w:rsidR="0022595D" w:rsidRDefault="0022595D" w:rsidP="00726D88">
      <w:pPr>
        <w:spacing w:after="240" w:line="276" w:lineRule="auto"/>
        <w:rPr>
          <w:rFonts w:ascii="Times New Roman" w:hAnsi="Times New Roman" w:cs="Times New Roman"/>
          <w:b/>
          <w:sz w:val="20"/>
          <w:szCs w:val="20"/>
        </w:rPr>
      </w:pPr>
    </w:p>
    <w:p w14:paraId="3FC2D471" w14:textId="77777777" w:rsidR="00127AF2" w:rsidRPr="00555928" w:rsidRDefault="008D6498" w:rsidP="00726D88">
      <w:pPr>
        <w:spacing w:after="240" w:line="276" w:lineRule="auto"/>
        <w:rPr>
          <w:rFonts w:ascii="Times New Roman" w:eastAsia="Times New Roman" w:hAnsi="Times New Roman" w:cs="Latha"/>
          <w:b/>
          <w:color w:val="000000"/>
          <w:sz w:val="24"/>
          <w:szCs w:val="24"/>
          <w:lang w:eastAsia="en-IN"/>
        </w:rPr>
      </w:pPr>
      <w:r>
        <w:rPr>
          <w:rFonts w:ascii="Times New Roman" w:eastAsia="Times New Roman" w:hAnsi="Times New Roman" w:cs="Latha"/>
          <w:b/>
          <w:color w:val="000000"/>
          <w:sz w:val="24"/>
          <w:szCs w:val="24"/>
          <w:lang w:eastAsia="en-IN"/>
        </w:rPr>
        <w:t>I</w:t>
      </w:r>
      <w:r w:rsidRPr="00555928">
        <w:rPr>
          <w:rFonts w:ascii="Times New Roman" w:eastAsia="Times New Roman" w:hAnsi="Times New Roman" w:cs="Latha"/>
          <w:b/>
          <w:color w:val="000000"/>
          <w:sz w:val="24"/>
          <w:szCs w:val="24"/>
          <w:lang w:eastAsia="en-IN"/>
        </w:rPr>
        <w:t>NTRODUCTION</w:t>
      </w:r>
    </w:p>
    <w:p w14:paraId="305CC33A" w14:textId="77777777" w:rsidR="00CC2B8E" w:rsidRPr="00555928" w:rsidRDefault="004978FD" w:rsidP="00555928">
      <w:pPr>
        <w:tabs>
          <w:tab w:val="left" w:pos="360"/>
        </w:tabs>
        <w:spacing w:after="240" w:line="360" w:lineRule="auto"/>
        <w:jc w:val="both"/>
        <w:rPr>
          <w:rFonts w:ascii="Times New Roman" w:eastAsia="Times New Roman" w:hAnsi="Times New Roman" w:cs="Latha"/>
          <w:color w:val="000000"/>
          <w:sz w:val="24"/>
          <w:szCs w:val="24"/>
          <w:lang w:eastAsia="en-IN"/>
        </w:rPr>
      </w:pPr>
      <w:r w:rsidRPr="0051677B">
        <w:rPr>
          <w:rFonts w:ascii="Times New Roman" w:hAnsi="Times New Roman"/>
          <w:color w:val="000000"/>
          <w:sz w:val="24"/>
          <w:szCs w:val="24"/>
        </w:rPr>
        <w:t xml:space="preserve">The corrosion of </w:t>
      </w:r>
      <w:r>
        <w:rPr>
          <w:rFonts w:ascii="Times New Roman" w:hAnsi="Times New Roman"/>
          <w:color w:val="000000"/>
          <w:sz w:val="24"/>
          <w:szCs w:val="24"/>
        </w:rPr>
        <w:t>reinforced concrete structures a</w:t>
      </w:r>
      <w:r w:rsidRPr="0051677B">
        <w:rPr>
          <w:rFonts w:ascii="Times New Roman" w:hAnsi="Times New Roman"/>
          <w:color w:val="000000"/>
          <w:sz w:val="24"/>
          <w:szCs w:val="24"/>
        </w:rPr>
        <w:t>s a major probl</w:t>
      </w:r>
      <w:r>
        <w:rPr>
          <w:rFonts w:ascii="Times New Roman" w:hAnsi="Times New Roman"/>
          <w:color w:val="000000"/>
          <w:sz w:val="24"/>
          <w:szCs w:val="24"/>
        </w:rPr>
        <w:t>em throughout the world, it leads</w:t>
      </w:r>
      <w:r w:rsidRPr="0051677B">
        <w:rPr>
          <w:rFonts w:ascii="Times New Roman" w:hAnsi="Times New Roman"/>
          <w:color w:val="000000"/>
          <w:sz w:val="24"/>
          <w:szCs w:val="24"/>
        </w:rPr>
        <w:t xml:space="preserve"> to</w:t>
      </w:r>
      <w:r w:rsidRPr="0051677B">
        <w:rPr>
          <w:rFonts w:ascii="Times New Roman" w:hAnsi="Times New Roman"/>
          <w:sz w:val="24"/>
          <w:szCs w:val="24"/>
        </w:rPr>
        <w:t xml:space="preserve"> </w:t>
      </w:r>
      <w:r w:rsidRPr="0051677B">
        <w:rPr>
          <w:rFonts w:ascii="Times New Roman" w:hAnsi="Times New Roman"/>
          <w:color w:val="000000"/>
          <w:sz w:val="24"/>
          <w:szCs w:val="24"/>
        </w:rPr>
        <w:t>significant</w:t>
      </w:r>
      <w:r>
        <w:rPr>
          <w:rFonts w:ascii="Times New Roman" w:hAnsi="Times New Roman"/>
          <w:color w:val="000000"/>
          <w:sz w:val="24"/>
          <w:szCs w:val="24"/>
        </w:rPr>
        <w:t xml:space="preserve"> costs of repair and retrofitting</w:t>
      </w:r>
      <w:r w:rsidRPr="0051677B">
        <w:rPr>
          <w:rFonts w:ascii="Times New Roman" w:hAnsi="Times New Roman"/>
          <w:color w:val="000000"/>
          <w:sz w:val="24"/>
          <w:szCs w:val="24"/>
        </w:rPr>
        <w:t>.</w:t>
      </w:r>
      <w:r>
        <w:rPr>
          <w:rFonts w:ascii="Times New Roman" w:hAnsi="Times New Roman"/>
          <w:color w:val="000000"/>
          <w:sz w:val="24"/>
          <w:szCs w:val="24"/>
        </w:rPr>
        <w:t xml:space="preserve"> All the aggressive agents are </w:t>
      </w:r>
      <w:proofErr w:type="gramStart"/>
      <w:r>
        <w:rPr>
          <w:rFonts w:ascii="Times New Roman" w:hAnsi="Times New Roman"/>
          <w:color w:val="000000"/>
          <w:sz w:val="24"/>
          <w:szCs w:val="24"/>
        </w:rPr>
        <w:t>penetrate</w:t>
      </w:r>
      <w:proofErr w:type="gramEnd"/>
      <w:r>
        <w:rPr>
          <w:rFonts w:ascii="Times New Roman" w:hAnsi="Times New Roman"/>
          <w:color w:val="000000"/>
          <w:sz w:val="24"/>
          <w:szCs w:val="24"/>
        </w:rPr>
        <w:t xml:space="preserve"> into the concrete through the surface of concrete to initiate the rebar corrosion. </w:t>
      </w:r>
      <w:r w:rsidR="00BA7A24" w:rsidRPr="00555928">
        <w:rPr>
          <w:rFonts w:ascii="Times New Roman" w:eastAsia="Times New Roman" w:hAnsi="Times New Roman" w:cs="Latha"/>
          <w:color w:val="000000"/>
          <w:sz w:val="24"/>
          <w:szCs w:val="24"/>
          <w:lang w:eastAsia="en-IN"/>
        </w:rPr>
        <w:t xml:space="preserve">The quality of the </w:t>
      </w:r>
      <w:r>
        <w:rPr>
          <w:rFonts w:ascii="Times New Roman" w:eastAsia="Times New Roman" w:hAnsi="Times New Roman" w:cs="Latha"/>
          <w:color w:val="000000"/>
          <w:sz w:val="24"/>
          <w:szCs w:val="24"/>
          <w:lang w:eastAsia="en-IN"/>
        </w:rPr>
        <w:t>surface/</w:t>
      </w:r>
      <w:r w:rsidR="00BA7A24" w:rsidRPr="00555928">
        <w:rPr>
          <w:rFonts w:ascii="Times New Roman" w:eastAsia="Times New Roman" w:hAnsi="Times New Roman" w:cs="Latha"/>
          <w:color w:val="000000"/>
          <w:sz w:val="24"/>
          <w:szCs w:val="24"/>
          <w:lang w:eastAsia="en-IN"/>
        </w:rPr>
        <w:t>cover</w:t>
      </w:r>
      <w:r w:rsidR="00127AF2" w:rsidRPr="00555928">
        <w:rPr>
          <w:rFonts w:ascii="Times New Roman" w:eastAsia="Times New Roman" w:hAnsi="Times New Roman" w:cs="Latha"/>
          <w:color w:val="000000"/>
          <w:sz w:val="24"/>
          <w:szCs w:val="24"/>
          <w:lang w:eastAsia="en-IN"/>
        </w:rPr>
        <w:t xml:space="preserve"> zone </w:t>
      </w:r>
      <w:r w:rsidR="00BA7A24" w:rsidRPr="00555928">
        <w:rPr>
          <w:rFonts w:ascii="Times New Roman" w:eastAsia="Times New Roman" w:hAnsi="Times New Roman" w:cs="Latha"/>
          <w:color w:val="000000"/>
          <w:sz w:val="24"/>
          <w:szCs w:val="24"/>
          <w:lang w:eastAsia="en-IN"/>
        </w:rPr>
        <w:t>of the concrete is a</w:t>
      </w:r>
      <w:r w:rsidR="00127AF2" w:rsidRPr="00555928">
        <w:rPr>
          <w:rFonts w:ascii="Times New Roman" w:eastAsia="Times New Roman" w:hAnsi="Times New Roman" w:cs="Latha"/>
          <w:color w:val="000000"/>
          <w:sz w:val="24"/>
          <w:szCs w:val="24"/>
          <w:lang w:eastAsia="en-IN"/>
        </w:rPr>
        <w:t xml:space="preserve"> major influence on the durability of concrete </w:t>
      </w:r>
      <w:r w:rsidR="00BA7A24" w:rsidRPr="00555928">
        <w:rPr>
          <w:rFonts w:ascii="Times New Roman" w:eastAsia="Times New Roman" w:hAnsi="Times New Roman" w:cs="Latha"/>
          <w:color w:val="000000"/>
          <w:sz w:val="24"/>
          <w:szCs w:val="24"/>
          <w:lang w:eastAsia="en-IN"/>
        </w:rPr>
        <w:t>structures. Because,</w:t>
      </w:r>
      <w:r w:rsidR="00556F96" w:rsidRPr="00555928">
        <w:rPr>
          <w:rFonts w:ascii="Times New Roman" w:eastAsia="Times New Roman" w:hAnsi="Times New Roman" w:cs="Latha"/>
          <w:color w:val="000000"/>
          <w:sz w:val="24"/>
          <w:szCs w:val="24"/>
          <w:lang w:eastAsia="en-IN"/>
        </w:rPr>
        <w:t xml:space="preserve"> it </w:t>
      </w:r>
      <w:r w:rsidR="00BA7A24" w:rsidRPr="00555928">
        <w:rPr>
          <w:rFonts w:ascii="Times New Roman" w:eastAsia="Times New Roman" w:hAnsi="Times New Roman" w:cs="Latha"/>
          <w:color w:val="000000"/>
          <w:sz w:val="24"/>
          <w:szCs w:val="24"/>
          <w:lang w:eastAsia="en-IN"/>
        </w:rPr>
        <w:t>is acted as the first line of resistance against</w:t>
      </w:r>
      <w:r w:rsidR="00127AF2" w:rsidRPr="00555928">
        <w:rPr>
          <w:rFonts w:ascii="Times New Roman" w:eastAsia="Times New Roman" w:hAnsi="Times New Roman" w:cs="Latha"/>
          <w:color w:val="000000"/>
          <w:sz w:val="24"/>
          <w:szCs w:val="24"/>
          <w:lang w:eastAsia="en-IN"/>
        </w:rPr>
        <w:t xml:space="preserve"> either physi</w:t>
      </w:r>
      <w:r w:rsidR="0022595D">
        <w:rPr>
          <w:rFonts w:ascii="Times New Roman" w:eastAsia="Times New Roman" w:hAnsi="Times New Roman" w:cs="Latha"/>
          <w:color w:val="000000"/>
          <w:sz w:val="24"/>
          <w:szCs w:val="24"/>
          <w:lang w:eastAsia="en-IN"/>
        </w:rPr>
        <w:t xml:space="preserve">cal or chemical deterioration. </w:t>
      </w:r>
      <w:r w:rsidR="00127AF2" w:rsidRPr="00555928">
        <w:rPr>
          <w:rFonts w:ascii="Times New Roman" w:eastAsia="Times New Roman" w:hAnsi="Times New Roman" w:cs="Latha"/>
          <w:color w:val="000000"/>
          <w:sz w:val="24"/>
          <w:szCs w:val="24"/>
          <w:lang w:eastAsia="en-IN"/>
        </w:rPr>
        <w:t xml:space="preserve">Improvement of durability of </w:t>
      </w:r>
      <w:r w:rsidR="00BA7A24" w:rsidRPr="00555928">
        <w:rPr>
          <w:rFonts w:ascii="Times New Roman" w:eastAsia="Times New Roman" w:hAnsi="Times New Roman" w:cs="Latha"/>
          <w:color w:val="000000"/>
          <w:sz w:val="24"/>
          <w:szCs w:val="24"/>
          <w:lang w:eastAsia="en-IN"/>
        </w:rPr>
        <w:t xml:space="preserve">cover zone of </w:t>
      </w:r>
      <w:r w:rsidR="00CC2B8E" w:rsidRPr="00555928">
        <w:rPr>
          <w:rFonts w:ascii="Times New Roman" w:eastAsia="Times New Roman" w:hAnsi="Times New Roman" w:cs="Latha"/>
          <w:color w:val="000000"/>
          <w:sz w:val="24"/>
          <w:szCs w:val="24"/>
          <w:lang w:eastAsia="en-IN"/>
        </w:rPr>
        <w:t>concrete to extend service life of</w:t>
      </w:r>
      <w:r w:rsidR="00127AF2" w:rsidRPr="00555928">
        <w:rPr>
          <w:rFonts w:ascii="Times New Roman" w:eastAsia="Times New Roman" w:hAnsi="Times New Roman" w:cs="Latha"/>
          <w:color w:val="000000"/>
          <w:sz w:val="24"/>
          <w:szCs w:val="24"/>
          <w:lang w:eastAsia="en-IN"/>
        </w:rPr>
        <w:t xml:space="preserve"> reinforcement concrete structure is an important and economic issue. </w:t>
      </w:r>
      <w:r w:rsidR="00CC2B8E" w:rsidRPr="00555928">
        <w:rPr>
          <w:rFonts w:ascii="Times New Roman" w:eastAsia="Times New Roman" w:hAnsi="Times New Roman" w:cs="Latha"/>
          <w:color w:val="000000"/>
          <w:sz w:val="24"/>
          <w:szCs w:val="24"/>
          <w:lang w:eastAsia="en-IN"/>
        </w:rPr>
        <w:t xml:space="preserve">Now a days, durability of concrete has traditionally been addressed through increased </w:t>
      </w:r>
      <w:r w:rsidR="00127AF2" w:rsidRPr="00555928">
        <w:rPr>
          <w:rFonts w:ascii="Times New Roman" w:eastAsia="Times New Roman" w:hAnsi="Times New Roman" w:cs="Latha"/>
          <w:color w:val="000000"/>
          <w:sz w:val="24"/>
          <w:szCs w:val="24"/>
          <w:lang w:eastAsia="en-IN"/>
        </w:rPr>
        <w:t>cement contents</w:t>
      </w:r>
      <w:r w:rsidR="00CC2B8E" w:rsidRPr="00555928">
        <w:rPr>
          <w:rFonts w:ascii="Times New Roman" w:eastAsia="Times New Roman" w:hAnsi="Times New Roman" w:cs="Latha"/>
          <w:color w:val="000000"/>
          <w:sz w:val="24"/>
          <w:szCs w:val="24"/>
          <w:lang w:eastAsia="en-IN"/>
        </w:rPr>
        <w:t>, decreased water-cement ratio and adding admixtures. But these materials/methods influenced on the</w:t>
      </w:r>
      <w:r w:rsidR="00127AF2" w:rsidRPr="00555928">
        <w:rPr>
          <w:rFonts w:ascii="Times New Roman" w:eastAsia="Times New Roman" w:hAnsi="Times New Roman" w:cs="Latha"/>
          <w:color w:val="000000"/>
          <w:sz w:val="24"/>
          <w:szCs w:val="24"/>
          <w:lang w:eastAsia="en-IN"/>
        </w:rPr>
        <w:t xml:space="preserve"> bulk</w:t>
      </w:r>
      <w:r w:rsidR="00CC2B8E" w:rsidRPr="00555928">
        <w:rPr>
          <w:rFonts w:ascii="Times New Roman" w:eastAsia="Times New Roman" w:hAnsi="Times New Roman" w:cs="Latha"/>
          <w:color w:val="000000"/>
          <w:sz w:val="24"/>
          <w:szCs w:val="24"/>
          <w:lang w:eastAsia="en-IN"/>
        </w:rPr>
        <w:t xml:space="preserve">/core properties of concrete, not at the surface level. </w:t>
      </w:r>
      <w:r w:rsidR="00127AF2" w:rsidRPr="00555928">
        <w:rPr>
          <w:rFonts w:ascii="Times New Roman" w:eastAsia="Times New Roman" w:hAnsi="Times New Roman" w:cs="Latha"/>
          <w:color w:val="000000"/>
          <w:sz w:val="24"/>
          <w:szCs w:val="24"/>
          <w:lang w:eastAsia="en-IN"/>
        </w:rPr>
        <w:t xml:space="preserve"> </w:t>
      </w:r>
      <w:r w:rsidR="00556F96" w:rsidRPr="00555928">
        <w:rPr>
          <w:rFonts w:ascii="Times New Roman" w:eastAsia="Times New Roman" w:hAnsi="Times New Roman" w:cs="Latha"/>
          <w:color w:val="000000"/>
          <w:sz w:val="24"/>
          <w:szCs w:val="24"/>
          <w:lang w:eastAsia="en-IN"/>
        </w:rPr>
        <w:t xml:space="preserve">Practically, the surface skin of concrete is direct contact with atmospheric conditions. All the </w:t>
      </w:r>
      <w:r w:rsidR="00127AF2" w:rsidRPr="00555928">
        <w:rPr>
          <w:rFonts w:ascii="Times New Roman" w:eastAsia="Times New Roman" w:hAnsi="Times New Roman" w:cs="Latha"/>
          <w:color w:val="000000"/>
          <w:sz w:val="24"/>
          <w:szCs w:val="24"/>
          <w:lang w:eastAsia="en-IN"/>
        </w:rPr>
        <w:t>aggressive agents, gaseous or liquid, pa</w:t>
      </w:r>
      <w:r w:rsidR="00556F96" w:rsidRPr="00555928">
        <w:rPr>
          <w:rFonts w:ascii="Times New Roman" w:eastAsia="Times New Roman" w:hAnsi="Times New Roman" w:cs="Latha"/>
          <w:color w:val="000000"/>
          <w:sz w:val="24"/>
          <w:szCs w:val="24"/>
          <w:lang w:eastAsia="en-IN"/>
        </w:rPr>
        <w:t xml:space="preserve">rticularly chloride or carbon dioxide are </w:t>
      </w:r>
      <w:r w:rsidR="007F1528" w:rsidRPr="00555928">
        <w:rPr>
          <w:rFonts w:ascii="Times New Roman" w:eastAsia="Times New Roman" w:hAnsi="Times New Roman" w:cs="Latha"/>
          <w:color w:val="000000"/>
          <w:sz w:val="24"/>
          <w:szCs w:val="24"/>
          <w:lang w:eastAsia="en-IN"/>
        </w:rPr>
        <w:t>penetrating</w:t>
      </w:r>
      <w:r w:rsidR="00556F96" w:rsidRPr="00555928">
        <w:rPr>
          <w:rFonts w:ascii="Times New Roman" w:eastAsia="Times New Roman" w:hAnsi="Times New Roman" w:cs="Latha"/>
          <w:color w:val="000000"/>
          <w:sz w:val="24"/>
          <w:szCs w:val="24"/>
          <w:lang w:eastAsia="en-IN"/>
        </w:rPr>
        <w:t xml:space="preserve"> to the concrete through the surface skin of concrete to destroy the concrete structures.</w:t>
      </w:r>
      <w:r w:rsidR="00127AF2" w:rsidRPr="00555928">
        <w:rPr>
          <w:rFonts w:ascii="Times New Roman" w:eastAsia="Times New Roman" w:hAnsi="Times New Roman" w:cs="Latha"/>
          <w:color w:val="000000"/>
          <w:sz w:val="24"/>
          <w:szCs w:val="24"/>
          <w:lang w:eastAsia="en-IN"/>
        </w:rPr>
        <w:t xml:space="preserve"> The performance of the surface skin is significantly affected by the type of formwork used durin</w:t>
      </w:r>
      <w:r w:rsidR="00CC2B8E" w:rsidRPr="00555928">
        <w:rPr>
          <w:rFonts w:ascii="Times New Roman" w:eastAsia="Times New Roman" w:hAnsi="Times New Roman" w:cs="Latha"/>
          <w:color w:val="000000"/>
          <w:sz w:val="24"/>
          <w:szCs w:val="24"/>
          <w:lang w:eastAsia="en-IN"/>
        </w:rPr>
        <w:t>g the construction [1].</w:t>
      </w:r>
    </w:p>
    <w:p w14:paraId="71BA492E" w14:textId="77777777" w:rsidR="00127AF2" w:rsidRPr="00555928" w:rsidRDefault="00B9777C" w:rsidP="00555928">
      <w:pPr>
        <w:tabs>
          <w:tab w:val="left" w:pos="360"/>
        </w:tabs>
        <w:spacing w:after="240" w:line="360" w:lineRule="auto"/>
        <w:jc w:val="both"/>
        <w:rPr>
          <w:rFonts w:ascii="Times New Roman" w:eastAsia="Times New Roman" w:hAnsi="Times New Roman" w:cs="Latha"/>
          <w:color w:val="000000"/>
          <w:sz w:val="24"/>
          <w:szCs w:val="24"/>
          <w:lang w:eastAsia="en-IN"/>
        </w:rPr>
      </w:pPr>
      <w:r>
        <w:rPr>
          <w:rFonts w:ascii="Times New Roman" w:eastAsia="Times New Roman" w:hAnsi="Times New Roman" w:cs="Latha"/>
          <w:color w:val="000000"/>
          <w:sz w:val="24"/>
          <w:szCs w:val="24"/>
          <w:lang w:eastAsia="en-IN"/>
        </w:rPr>
        <w:tab/>
      </w:r>
      <w:r w:rsidR="00127AF2" w:rsidRPr="00555928">
        <w:rPr>
          <w:rFonts w:ascii="Times New Roman" w:eastAsia="Times New Roman" w:hAnsi="Times New Roman" w:cs="Latha"/>
          <w:color w:val="000000"/>
          <w:sz w:val="24"/>
          <w:szCs w:val="24"/>
          <w:lang w:eastAsia="en-IN"/>
        </w:rPr>
        <w:t xml:space="preserve">The commonly used formwork made from impregnated plywood or steel are essentially impermeable to air and water. During the compaction process, </w:t>
      </w:r>
      <w:r w:rsidR="00556F96" w:rsidRPr="00555928">
        <w:rPr>
          <w:rFonts w:ascii="Times New Roman" w:eastAsia="Times New Roman" w:hAnsi="Times New Roman" w:cs="Latha"/>
          <w:color w:val="000000"/>
          <w:sz w:val="24"/>
          <w:szCs w:val="24"/>
          <w:lang w:eastAsia="en-IN"/>
        </w:rPr>
        <w:t xml:space="preserve">the surplus water and entrapped air is </w:t>
      </w:r>
      <w:r w:rsidR="00127AF2" w:rsidRPr="00555928">
        <w:rPr>
          <w:rFonts w:ascii="Times New Roman" w:eastAsia="Times New Roman" w:hAnsi="Times New Roman" w:cs="Latha"/>
          <w:color w:val="000000"/>
          <w:sz w:val="24"/>
          <w:szCs w:val="24"/>
          <w:lang w:eastAsia="en-IN"/>
        </w:rPr>
        <w:t>towards the formwork. As conventional wood or steel is an impermeable formwork (IMF), the migration within in the mix ceases as the concrete/formwork interface is reached. Visually, this may be observed on all concrete surfaces through the prese</w:t>
      </w:r>
      <w:r w:rsidR="00204C8D" w:rsidRPr="00555928">
        <w:rPr>
          <w:rFonts w:ascii="Times New Roman" w:eastAsia="Times New Roman" w:hAnsi="Times New Roman" w:cs="Latha"/>
          <w:color w:val="000000"/>
          <w:sz w:val="24"/>
          <w:szCs w:val="24"/>
          <w:lang w:eastAsia="en-IN"/>
        </w:rPr>
        <w:t>nce of blowholes and pinholes after removal of formwork [2]</w:t>
      </w:r>
      <w:r w:rsidR="00127AF2" w:rsidRPr="00555928">
        <w:rPr>
          <w:rFonts w:ascii="Times New Roman" w:eastAsia="Times New Roman" w:hAnsi="Times New Roman" w:cs="Latha"/>
          <w:color w:val="000000"/>
          <w:sz w:val="24"/>
          <w:szCs w:val="24"/>
          <w:lang w:eastAsia="en-IN"/>
        </w:rPr>
        <w:t>. The matrix within the core of any structural element is generally dense and of better quality compared to the surface as a direct result of the compaction. However, the concrete surface is more vulnerable to poor curing and compaction than the bulk of the concrete</w:t>
      </w:r>
      <w:r w:rsidR="00204C8D" w:rsidRPr="00555928">
        <w:rPr>
          <w:rFonts w:ascii="Times New Roman" w:eastAsia="Times New Roman" w:hAnsi="Times New Roman" w:cs="Latha"/>
          <w:color w:val="000000"/>
          <w:sz w:val="24"/>
          <w:szCs w:val="24"/>
          <w:lang w:eastAsia="en-IN"/>
        </w:rPr>
        <w:t xml:space="preserve"> [3]</w:t>
      </w:r>
      <w:r w:rsidR="00127AF2" w:rsidRPr="00555928">
        <w:rPr>
          <w:rFonts w:ascii="Times New Roman" w:eastAsia="Times New Roman" w:hAnsi="Times New Roman" w:cs="Latha"/>
          <w:color w:val="000000"/>
          <w:sz w:val="24"/>
          <w:szCs w:val="24"/>
          <w:lang w:eastAsia="en-IN"/>
        </w:rPr>
        <w:t xml:space="preserve">. </w:t>
      </w:r>
      <w:proofErr w:type="gramStart"/>
      <w:r w:rsidR="00127AF2" w:rsidRPr="00555928">
        <w:rPr>
          <w:rFonts w:ascii="Times New Roman" w:eastAsia="Times New Roman" w:hAnsi="Times New Roman" w:cs="Latha"/>
          <w:color w:val="000000"/>
          <w:sz w:val="24"/>
          <w:szCs w:val="24"/>
          <w:lang w:eastAsia="en-IN"/>
        </w:rPr>
        <w:t>Therefore</w:t>
      </w:r>
      <w:proofErr w:type="gramEnd"/>
      <w:r w:rsidR="00127AF2" w:rsidRPr="00555928">
        <w:rPr>
          <w:rFonts w:ascii="Times New Roman" w:eastAsia="Times New Roman" w:hAnsi="Times New Roman" w:cs="Latha"/>
          <w:color w:val="000000"/>
          <w:sz w:val="24"/>
          <w:szCs w:val="24"/>
          <w:lang w:eastAsia="en-IN"/>
        </w:rPr>
        <w:t xml:space="preserve"> for good durability a well compacted strong concrete surface zone is needed with low permeability, low diffusion and no surface porosity. </w:t>
      </w:r>
    </w:p>
    <w:p w14:paraId="129663FF" w14:textId="77777777" w:rsidR="00965B03" w:rsidRPr="00555928" w:rsidRDefault="00B9777C" w:rsidP="00555928">
      <w:pPr>
        <w:pStyle w:val="Default"/>
        <w:tabs>
          <w:tab w:val="left" w:pos="360"/>
        </w:tabs>
        <w:spacing w:after="240" w:line="360" w:lineRule="auto"/>
        <w:jc w:val="both"/>
        <w:rPr>
          <w:rFonts w:eastAsia="Times New Roman" w:cs="Latha"/>
        </w:rPr>
      </w:pPr>
      <w:r>
        <w:rPr>
          <w:rFonts w:eastAsia="Times New Roman" w:cs="Latha"/>
        </w:rPr>
        <w:lastRenderedPageBreak/>
        <w:tab/>
      </w:r>
      <w:r w:rsidR="00965B03" w:rsidRPr="00555928">
        <w:rPr>
          <w:rFonts w:eastAsia="Times New Roman" w:cs="Latha"/>
        </w:rPr>
        <w:t xml:space="preserve">Controlled permeable formwork (CPF) is the </w:t>
      </w:r>
      <w:r w:rsidR="00BA2E4C">
        <w:rPr>
          <w:rFonts w:eastAsia="Times New Roman" w:cs="Latha"/>
        </w:rPr>
        <w:t xml:space="preserve">active </w:t>
      </w:r>
      <w:r w:rsidR="00965B03" w:rsidRPr="00555928">
        <w:rPr>
          <w:rFonts w:eastAsia="Times New Roman" w:cs="Latha"/>
        </w:rPr>
        <w:t xml:space="preserve">technique used for improving the quality of the surface skin of concrete. CPF system consists of a textile liner affixed on usual formwork as shown in Fig. 1. The CPF liner allows the mix water and entrapped </w:t>
      </w:r>
      <w:r w:rsidR="00F65AF6" w:rsidRPr="00555928">
        <w:rPr>
          <w:rFonts w:eastAsia="Times New Roman" w:cs="Latha"/>
        </w:rPr>
        <w:t>air to drain out from the near</w:t>
      </w:r>
      <w:r w:rsidR="00965B03" w:rsidRPr="00555928">
        <w:rPr>
          <w:rFonts w:eastAsia="Times New Roman" w:cs="Latha"/>
        </w:rPr>
        <w:t xml:space="preserve"> surface </w:t>
      </w:r>
      <w:r w:rsidR="00F65AF6" w:rsidRPr="00555928">
        <w:rPr>
          <w:rFonts w:eastAsia="Times New Roman" w:cs="Latha"/>
        </w:rPr>
        <w:t>concrete whilst</w:t>
      </w:r>
      <w:r w:rsidR="00965B03" w:rsidRPr="00555928">
        <w:rPr>
          <w:rFonts w:eastAsia="Times New Roman" w:cs="Latha"/>
        </w:rPr>
        <w:t xml:space="preserve"> retaining c</w:t>
      </w:r>
      <w:r w:rsidR="00F65AF6" w:rsidRPr="00555928">
        <w:rPr>
          <w:rFonts w:eastAsia="Times New Roman" w:cs="Latha"/>
        </w:rPr>
        <w:t>ement and other f</w:t>
      </w:r>
      <w:r w:rsidR="00E629BA" w:rsidRPr="00555928">
        <w:rPr>
          <w:rFonts w:eastAsia="Times New Roman" w:cs="Latha"/>
        </w:rPr>
        <w:t>ine particles [5-16</w:t>
      </w:r>
      <w:r w:rsidR="00F65AF6" w:rsidRPr="00555928">
        <w:rPr>
          <w:rFonts w:eastAsia="Times New Roman" w:cs="Latha"/>
        </w:rPr>
        <w:t>]. This mechanism</w:t>
      </w:r>
      <w:r w:rsidR="00965B03" w:rsidRPr="00555928">
        <w:rPr>
          <w:rFonts w:eastAsia="Times New Roman" w:cs="Latha"/>
        </w:rPr>
        <w:t xml:space="preserve"> to lower the w-c ratio </w:t>
      </w:r>
      <w:r w:rsidR="00F65AF6" w:rsidRPr="00555928">
        <w:rPr>
          <w:rFonts w:eastAsia="Times New Roman" w:cs="Latha"/>
        </w:rPr>
        <w:t>and enrich</w:t>
      </w:r>
      <w:r w:rsidR="00965B03" w:rsidRPr="00555928">
        <w:rPr>
          <w:rFonts w:eastAsia="Times New Roman" w:cs="Latha"/>
        </w:rPr>
        <w:t xml:space="preserve"> of cement content </w:t>
      </w:r>
      <w:r w:rsidR="00F65AF6" w:rsidRPr="00555928">
        <w:rPr>
          <w:rFonts w:eastAsia="Times New Roman" w:cs="Latha"/>
        </w:rPr>
        <w:t xml:space="preserve">and decrease of surface porosity in the cover </w:t>
      </w:r>
      <w:r w:rsidR="00965B03" w:rsidRPr="00555928">
        <w:rPr>
          <w:rFonts w:eastAsia="Times New Roman" w:cs="Latha"/>
        </w:rPr>
        <w:t xml:space="preserve">zone of concrete. This action creates a uniform surface without blowholes, </w:t>
      </w:r>
      <w:proofErr w:type="gramStart"/>
      <w:r w:rsidR="00965B03" w:rsidRPr="00555928">
        <w:rPr>
          <w:rFonts w:eastAsia="Times New Roman" w:cs="Latha"/>
        </w:rPr>
        <w:t>pinholes</w:t>
      </w:r>
      <w:proofErr w:type="gramEnd"/>
      <w:r w:rsidR="00965B03" w:rsidRPr="00555928">
        <w:rPr>
          <w:rFonts w:eastAsia="Times New Roman" w:cs="Latha"/>
        </w:rPr>
        <w:t xml:space="preserve"> and surface blemishes. </w:t>
      </w:r>
    </w:p>
    <w:p w14:paraId="2E86F1E6" w14:textId="77777777" w:rsidR="008850F4" w:rsidRPr="007F4236" w:rsidRDefault="007F4236" w:rsidP="00367506">
      <w:pPr>
        <w:pStyle w:val="Default"/>
        <w:tabs>
          <w:tab w:val="left" w:pos="360"/>
        </w:tabs>
        <w:spacing w:after="240" w:line="276" w:lineRule="auto"/>
        <w:jc w:val="center"/>
        <w:rPr>
          <w:rFonts w:eastAsia="Times New Roman" w:cs="Latha"/>
          <w:sz w:val="18"/>
          <w:szCs w:val="18"/>
        </w:rPr>
      </w:pPr>
      <w:r w:rsidRPr="00C15F61">
        <w:rPr>
          <w:noProof/>
          <w:sz w:val="20"/>
          <w:szCs w:val="20"/>
          <w:lang w:val="en-US" w:eastAsia="en-US"/>
        </w:rPr>
        <w:drawing>
          <wp:inline distT="0" distB="0" distL="0" distR="0" wp14:anchorId="0A2B7CEF" wp14:editId="4164A102">
            <wp:extent cx="2488091" cy="2019300"/>
            <wp:effectExtent l="19050" t="19050" r="26670" b="19050"/>
            <wp:docPr id="5" name="Picture 1" descr="I:\ \CPF DRAWING NEW\kantha\02.png"/>
            <wp:cNvGraphicFramePr/>
            <a:graphic xmlns:a="http://schemas.openxmlformats.org/drawingml/2006/main">
              <a:graphicData uri="http://schemas.openxmlformats.org/drawingml/2006/picture">
                <pic:pic xmlns:pic="http://schemas.openxmlformats.org/drawingml/2006/picture">
                  <pic:nvPicPr>
                    <pic:cNvPr id="0" name="Picture 1" descr="I:\ \CPF DRAWING NEW\kantha\02.png"/>
                    <pic:cNvPicPr>
                      <a:picLocks noChangeAspect="1" noChangeArrowheads="1"/>
                    </pic:cNvPicPr>
                  </pic:nvPicPr>
                  <pic:blipFill>
                    <a:blip r:embed="rId9" cstate="print"/>
                    <a:srcRect/>
                    <a:stretch>
                      <a:fillRect/>
                    </a:stretch>
                  </pic:blipFill>
                  <pic:spPr bwMode="auto">
                    <a:xfrm>
                      <a:off x="0" y="0"/>
                      <a:ext cx="2488328" cy="2019492"/>
                    </a:xfrm>
                    <a:prstGeom prst="rect">
                      <a:avLst/>
                    </a:prstGeom>
                    <a:noFill/>
                    <a:ln w="9525">
                      <a:solidFill>
                        <a:srgbClr val="FF0000"/>
                      </a:solidFill>
                      <a:miter lim="800000"/>
                      <a:headEnd/>
                      <a:tailEnd/>
                    </a:ln>
                  </pic:spPr>
                </pic:pic>
              </a:graphicData>
            </a:graphic>
          </wp:inline>
        </w:drawing>
      </w:r>
    </w:p>
    <w:p w14:paraId="09FACA3E" w14:textId="77777777" w:rsidR="008850F4" w:rsidRPr="00555928" w:rsidRDefault="00BF70D0" w:rsidP="00367506">
      <w:pPr>
        <w:tabs>
          <w:tab w:val="left" w:pos="180"/>
        </w:tabs>
        <w:spacing w:after="0" w:line="480" w:lineRule="auto"/>
        <w:jc w:val="center"/>
        <w:rPr>
          <w:rFonts w:ascii="Times New Roman" w:hAnsi="Times New Roman"/>
          <w:b/>
          <w:color w:val="000000"/>
          <w:sz w:val="24"/>
          <w:szCs w:val="24"/>
        </w:rPr>
      </w:pPr>
      <w:r>
        <w:rPr>
          <w:rFonts w:ascii="Times New Roman" w:hAnsi="Times New Roman"/>
          <w:b/>
          <w:bCs/>
          <w:color w:val="000000"/>
          <w:sz w:val="24"/>
          <w:szCs w:val="24"/>
        </w:rPr>
        <w:t>Fig.</w:t>
      </w:r>
      <w:r w:rsidR="008850F4" w:rsidRPr="00555928">
        <w:rPr>
          <w:rFonts w:ascii="Times New Roman" w:hAnsi="Times New Roman"/>
          <w:b/>
          <w:bCs/>
          <w:color w:val="000000"/>
          <w:sz w:val="24"/>
          <w:szCs w:val="24"/>
        </w:rPr>
        <w:t xml:space="preserve"> 1</w:t>
      </w:r>
      <w:r w:rsidR="00CB400E" w:rsidRPr="00555928">
        <w:rPr>
          <w:rFonts w:ascii="Times New Roman" w:hAnsi="Times New Roman"/>
          <w:b/>
          <w:color w:val="000000"/>
          <w:sz w:val="24"/>
          <w:szCs w:val="24"/>
        </w:rPr>
        <w:t xml:space="preserve"> </w:t>
      </w:r>
      <w:r w:rsidR="007F4236" w:rsidRPr="00BF70D0">
        <w:rPr>
          <w:rFonts w:ascii="Times New Roman" w:hAnsi="Times New Roman"/>
          <w:color w:val="000000"/>
          <w:sz w:val="24"/>
          <w:szCs w:val="24"/>
        </w:rPr>
        <w:t>Function of CPF liner</w:t>
      </w:r>
      <w:r w:rsidRPr="00BF70D0">
        <w:rPr>
          <w:rFonts w:ascii="Times New Roman" w:hAnsi="Times New Roman"/>
          <w:color w:val="000000"/>
          <w:sz w:val="24"/>
          <w:szCs w:val="24"/>
        </w:rPr>
        <w:t xml:space="preserve"> [4]</w:t>
      </w:r>
    </w:p>
    <w:p w14:paraId="752D5D26" w14:textId="77777777" w:rsidR="004F031E" w:rsidRPr="00555928" w:rsidRDefault="00B9777C" w:rsidP="00555928">
      <w:pPr>
        <w:pStyle w:val="BodyText"/>
        <w:tabs>
          <w:tab w:val="clear" w:pos="234"/>
          <w:tab w:val="left" w:pos="360"/>
        </w:tabs>
        <w:spacing w:after="240" w:line="360" w:lineRule="auto"/>
        <w:rPr>
          <w:szCs w:val="24"/>
          <w:lang w:eastAsia="en-US"/>
        </w:rPr>
      </w:pPr>
      <w:r>
        <w:rPr>
          <w:rFonts w:cs="Latha"/>
          <w:color w:val="000000"/>
          <w:szCs w:val="24"/>
          <w:lang w:eastAsia="en-IN"/>
        </w:rPr>
        <w:tab/>
      </w:r>
      <w:r w:rsidR="00965B03" w:rsidRPr="00555928">
        <w:rPr>
          <w:rFonts w:cs="Latha"/>
          <w:color w:val="000000"/>
          <w:szCs w:val="24"/>
          <w:lang w:eastAsia="en-IN"/>
        </w:rPr>
        <w:t xml:space="preserve">All the researchers have uniquely reported that certain quantity of mix water and entrapped air are driven towards the formwork due to vibration caused by compaction process. </w:t>
      </w:r>
      <w:r w:rsidR="00965B03" w:rsidRPr="00555928">
        <w:rPr>
          <w:color w:val="000000"/>
          <w:szCs w:val="24"/>
        </w:rPr>
        <w:t>The performance and efficiency of CPF liner against self-compacting concrete (SCC) is very limited.</w:t>
      </w:r>
      <w:r w:rsidR="00F65AF6" w:rsidRPr="00555928">
        <w:rPr>
          <w:color w:val="000000"/>
          <w:szCs w:val="24"/>
        </w:rPr>
        <w:t xml:space="preserve"> In the present experimental study in order </w:t>
      </w:r>
      <w:r w:rsidR="00965B03" w:rsidRPr="00555928">
        <w:rPr>
          <w:rFonts w:cs="Latha"/>
          <w:color w:val="000000"/>
          <w:szCs w:val="24"/>
          <w:lang w:eastAsia="en-IN"/>
        </w:rPr>
        <w:t xml:space="preserve">to check the performance </w:t>
      </w:r>
      <w:r w:rsidR="00F65AF6" w:rsidRPr="00555928">
        <w:rPr>
          <w:rFonts w:cs="Latha"/>
          <w:color w:val="000000"/>
          <w:szCs w:val="24"/>
          <w:lang w:eastAsia="en-IN"/>
        </w:rPr>
        <w:t xml:space="preserve">of CPF liner on self-compacting concrete, </w:t>
      </w:r>
      <w:r w:rsidR="00965B03" w:rsidRPr="00555928">
        <w:rPr>
          <w:szCs w:val="24"/>
          <w:lang w:eastAsia="en-US"/>
        </w:rPr>
        <w:t>where no vibration is required for compaction.</w:t>
      </w:r>
    </w:p>
    <w:p w14:paraId="162CE261" w14:textId="77777777" w:rsidR="0070633C" w:rsidRPr="008D6498" w:rsidRDefault="00D74B20" w:rsidP="00EE70EB">
      <w:pPr>
        <w:spacing w:line="360" w:lineRule="auto"/>
        <w:jc w:val="both"/>
        <w:rPr>
          <w:rFonts w:ascii="Times New Roman" w:hAnsi="Times New Roman" w:cs="Times New Roman"/>
          <w:b/>
          <w:sz w:val="24"/>
          <w:szCs w:val="24"/>
        </w:rPr>
      </w:pPr>
      <w:r w:rsidRPr="008D6498">
        <w:rPr>
          <w:rFonts w:ascii="Times New Roman" w:hAnsi="Times New Roman" w:cs="Times New Roman"/>
          <w:b/>
          <w:sz w:val="24"/>
          <w:szCs w:val="24"/>
        </w:rPr>
        <w:t>EXPERIMENTAL WORK</w:t>
      </w:r>
    </w:p>
    <w:p w14:paraId="52F56254" w14:textId="77777777" w:rsidR="00D5090B" w:rsidRPr="008D6498" w:rsidRDefault="00D5090B" w:rsidP="00D149AE">
      <w:pPr>
        <w:spacing w:line="276" w:lineRule="auto"/>
        <w:jc w:val="both"/>
        <w:rPr>
          <w:rFonts w:ascii="Times New Roman" w:hAnsi="Times New Roman" w:cs="Times New Roman"/>
          <w:b/>
          <w:sz w:val="24"/>
          <w:szCs w:val="24"/>
        </w:rPr>
      </w:pPr>
      <w:r w:rsidRPr="008D6498">
        <w:rPr>
          <w:rFonts w:ascii="Times New Roman" w:hAnsi="Times New Roman" w:cs="Times New Roman"/>
          <w:b/>
          <w:sz w:val="24"/>
          <w:szCs w:val="24"/>
        </w:rPr>
        <w:t>Materials</w:t>
      </w:r>
    </w:p>
    <w:p w14:paraId="2ACA081C" w14:textId="77777777" w:rsidR="001A35B7" w:rsidRPr="008D6498" w:rsidRDefault="00D5090B" w:rsidP="008D6498">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 w:val="left" w:pos="360"/>
        </w:tabs>
        <w:spacing w:line="360" w:lineRule="auto"/>
        <w:rPr>
          <w:szCs w:val="24"/>
          <w:lang w:eastAsia="en-US"/>
        </w:rPr>
      </w:pPr>
      <w:r w:rsidRPr="008D6498">
        <w:rPr>
          <w:szCs w:val="24"/>
        </w:rPr>
        <w:t>Ordinary Portland Cement (OPC) of 4</w:t>
      </w:r>
      <w:r w:rsidR="007207AA" w:rsidRPr="008D6498">
        <w:rPr>
          <w:szCs w:val="24"/>
        </w:rPr>
        <w:t>3 grade conforming to IS: 8112-1989 [</w:t>
      </w:r>
      <w:r w:rsidR="00AB2C82" w:rsidRPr="008D6498">
        <w:rPr>
          <w:szCs w:val="24"/>
        </w:rPr>
        <w:t>17</w:t>
      </w:r>
      <w:r w:rsidR="007207AA" w:rsidRPr="008D6498">
        <w:rPr>
          <w:szCs w:val="24"/>
        </w:rPr>
        <w:t>]</w:t>
      </w:r>
      <w:r w:rsidRPr="008D6498">
        <w:rPr>
          <w:szCs w:val="24"/>
        </w:rPr>
        <w:t xml:space="preserve"> with specific gravity of </w:t>
      </w:r>
      <w:r w:rsidR="007207AA" w:rsidRPr="008D6498">
        <w:rPr>
          <w:szCs w:val="24"/>
        </w:rPr>
        <w:t>3.15</w:t>
      </w:r>
      <w:r w:rsidRPr="008D6498">
        <w:rPr>
          <w:szCs w:val="24"/>
        </w:rPr>
        <w:t xml:space="preserve"> was used throughout the investigation.</w:t>
      </w:r>
      <w:r w:rsidR="007207AA" w:rsidRPr="008D6498">
        <w:rPr>
          <w:szCs w:val="24"/>
        </w:rPr>
        <w:t xml:space="preserve"> </w:t>
      </w:r>
      <w:r w:rsidRPr="008D6498">
        <w:rPr>
          <w:szCs w:val="24"/>
        </w:rPr>
        <w:t xml:space="preserve">Locally available </w:t>
      </w:r>
      <w:r w:rsidR="007207AA" w:rsidRPr="008D6498">
        <w:rPr>
          <w:szCs w:val="24"/>
        </w:rPr>
        <w:t xml:space="preserve">natural </w:t>
      </w:r>
      <w:r w:rsidRPr="008D6498">
        <w:rPr>
          <w:szCs w:val="24"/>
        </w:rPr>
        <w:t xml:space="preserve">river sand conforming to zone II </w:t>
      </w:r>
      <w:r w:rsidR="007207AA" w:rsidRPr="008D6498">
        <w:rPr>
          <w:szCs w:val="24"/>
        </w:rPr>
        <w:t>as per IS: 383-1987 [</w:t>
      </w:r>
      <w:r w:rsidR="00AB2C82" w:rsidRPr="008D6498">
        <w:rPr>
          <w:szCs w:val="24"/>
        </w:rPr>
        <w:t>18</w:t>
      </w:r>
      <w:r w:rsidR="007207AA" w:rsidRPr="008D6498">
        <w:rPr>
          <w:szCs w:val="24"/>
        </w:rPr>
        <w:t>]</w:t>
      </w:r>
      <w:r w:rsidRPr="008D6498">
        <w:rPr>
          <w:szCs w:val="24"/>
        </w:rPr>
        <w:t xml:space="preserve"> with specific gravity of </w:t>
      </w:r>
      <w:r w:rsidR="007207AA" w:rsidRPr="008D6498">
        <w:rPr>
          <w:szCs w:val="24"/>
        </w:rPr>
        <w:t xml:space="preserve">2.6 </w:t>
      </w:r>
      <w:r w:rsidRPr="008D6498">
        <w:rPr>
          <w:szCs w:val="24"/>
        </w:rPr>
        <w:t xml:space="preserve">and fineness modulus of </w:t>
      </w:r>
      <w:r w:rsidR="007207AA" w:rsidRPr="008D6498">
        <w:rPr>
          <w:szCs w:val="24"/>
        </w:rPr>
        <w:t xml:space="preserve">2.54 was used. </w:t>
      </w:r>
      <w:r w:rsidRPr="008D6498">
        <w:rPr>
          <w:szCs w:val="24"/>
        </w:rPr>
        <w:t>Crushed natural rock stone a</w:t>
      </w:r>
      <w:r w:rsidR="007207AA" w:rsidRPr="008D6498">
        <w:rPr>
          <w:szCs w:val="24"/>
        </w:rPr>
        <w:t>ggregate conforming to IS: 383-1987 [</w:t>
      </w:r>
      <w:r w:rsidR="00AB2C82" w:rsidRPr="008D6498">
        <w:rPr>
          <w:szCs w:val="24"/>
        </w:rPr>
        <w:t>18</w:t>
      </w:r>
      <w:r w:rsidR="007207AA" w:rsidRPr="008D6498">
        <w:rPr>
          <w:szCs w:val="24"/>
        </w:rPr>
        <w:t>]</w:t>
      </w:r>
      <w:r w:rsidRPr="008D6498">
        <w:rPr>
          <w:szCs w:val="24"/>
        </w:rPr>
        <w:t xml:space="preserve"> with specific gravity of </w:t>
      </w:r>
      <w:r w:rsidR="007207AA" w:rsidRPr="008D6498">
        <w:rPr>
          <w:szCs w:val="24"/>
        </w:rPr>
        <w:t xml:space="preserve">2.79 </w:t>
      </w:r>
      <w:r w:rsidRPr="008D6498">
        <w:rPr>
          <w:szCs w:val="24"/>
        </w:rPr>
        <w:t>and fineness modulus of</w:t>
      </w:r>
      <w:r w:rsidR="007207AA" w:rsidRPr="008D6498">
        <w:rPr>
          <w:szCs w:val="24"/>
        </w:rPr>
        <w:t xml:space="preserve"> 7.8 was used. </w:t>
      </w:r>
      <w:r w:rsidRPr="008D6498">
        <w:rPr>
          <w:szCs w:val="24"/>
        </w:rPr>
        <w:t>Normal tap water available in t</w:t>
      </w:r>
      <w:r w:rsidR="007207AA" w:rsidRPr="008D6498">
        <w:rPr>
          <w:szCs w:val="24"/>
        </w:rPr>
        <w:t>he concrete laboratory confirming to the requirements as per IS: 456-2000 [</w:t>
      </w:r>
      <w:r w:rsidR="00AB2C82" w:rsidRPr="008D6498">
        <w:rPr>
          <w:szCs w:val="24"/>
        </w:rPr>
        <w:t>19</w:t>
      </w:r>
      <w:r w:rsidR="007207AA" w:rsidRPr="008D6498">
        <w:rPr>
          <w:szCs w:val="24"/>
        </w:rPr>
        <w:t>] was used.</w:t>
      </w:r>
      <w:r w:rsidR="001A35B7" w:rsidRPr="008D6498">
        <w:rPr>
          <w:szCs w:val="24"/>
        </w:rPr>
        <w:t xml:space="preserve"> </w:t>
      </w:r>
      <w:r w:rsidR="001A35B7" w:rsidRPr="008D6498">
        <w:rPr>
          <w:szCs w:val="24"/>
          <w:lang w:eastAsia="en-US"/>
        </w:rPr>
        <w:t xml:space="preserve">Fly ash procured from </w:t>
      </w:r>
      <w:proofErr w:type="spellStart"/>
      <w:r w:rsidR="001A35B7" w:rsidRPr="008D6498">
        <w:rPr>
          <w:szCs w:val="24"/>
          <w:lang w:eastAsia="en-US"/>
        </w:rPr>
        <w:t>Ennore</w:t>
      </w:r>
      <w:proofErr w:type="spellEnd"/>
      <w:r w:rsidR="001A35B7" w:rsidRPr="008D6498">
        <w:rPr>
          <w:szCs w:val="24"/>
          <w:lang w:eastAsia="en-US"/>
        </w:rPr>
        <w:t xml:space="preserve"> Thermal Power Station, Chennai, was used. In this study polycarboxylate ether polymer based super plasticizer (SP) conformed to IS: 9103-</w:t>
      </w:r>
      <w:r w:rsidR="001A35B7" w:rsidRPr="008D6498">
        <w:rPr>
          <w:szCs w:val="24"/>
          <w:lang w:eastAsia="en-US"/>
        </w:rPr>
        <w:lastRenderedPageBreak/>
        <w:t>1999 [</w:t>
      </w:r>
      <w:r w:rsidR="00AB2C82" w:rsidRPr="008D6498">
        <w:rPr>
          <w:szCs w:val="24"/>
          <w:lang w:eastAsia="en-US"/>
        </w:rPr>
        <w:t>20</w:t>
      </w:r>
      <w:r w:rsidR="001A35B7" w:rsidRPr="008D6498">
        <w:rPr>
          <w:szCs w:val="24"/>
          <w:lang w:eastAsia="en-US"/>
        </w:rPr>
        <w:t>] was used. The viscosity modifying admixture (VMA) was also added to avoid segregation.</w:t>
      </w:r>
    </w:p>
    <w:p w14:paraId="23A5DA9D" w14:textId="77777777" w:rsidR="00500D1F" w:rsidRPr="00500D1F" w:rsidRDefault="00500D1F" w:rsidP="00D149AE">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 w:val="left" w:pos="360"/>
        </w:tabs>
        <w:spacing w:line="276" w:lineRule="auto"/>
        <w:rPr>
          <w:sz w:val="18"/>
          <w:szCs w:val="18"/>
          <w:lang w:eastAsia="en-US"/>
        </w:rPr>
      </w:pPr>
    </w:p>
    <w:p w14:paraId="2CC0749B" w14:textId="77777777" w:rsidR="001578F4" w:rsidRPr="008D6498" w:rsidRDefault="008D6498" w:rsidP="008D6498">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 w:val="left" w:pos="360"/>
        </w:tabs>
        <w:spacing w:line="360" w:lineRule="auto"/>
        <w:rPr>
          <w:szCs w:val="24"/>
          <w:lang w:eastAsia="en-US"/>
        </w:rPr>
      </w:pPr>
      <w:r>
        <w:rPr>
          <w:szCs w:val="24"/>
          <w:lang w:eastAsia="en-US"/>
        </w:rPr>
        <w:tab/>
      </w:r>
      <w:r>
        <w:rPr>
          <w:szCs w:val="24"/>
          <w:lang w:eastAsia="en-US"/>
        </w:rPr>
        <w:tab/>
      </w:r>
      <w:r w:rsidR="00314E9D" w:rsidRPr="008D6498">
        <w:rPr>
          <w:szCs w:val="24"/>
          <w:lang w:eastAsia="en-US"/>
        </w:rPr>
        <w:t>In this study, the CPF liner used was type II. It is a single layer system. The inner face (concrete side) acts as filter and the outer face (formwork side) acts as drain as shown in Fig. 1. The specifications of CPF liner as furnished by the manufacturer is given in Table 1.</w:t>
      </w:r>
    </w:p>
    <w:p w14:paraId="6E46214B" w14:textId="77777777" w:rsidR="00FD3CF8" w:rsidRPr="00FD3CF8" w:rsidRDefault="00FD3CF8" w:rsidP="00FD3CF8">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s>
        <w:spacing w:line="276" w:lineRule="auto"/>
        <w:rPr>
          <w:sz w:val="18"/>
          <w:szCs w:val="18"/>
          <w:lang w:eastAsia="en-US"/>
        </w:rPr>
      </w:pPr>
    </w:p>
    <w:p w14:paraId="137822ED" w14:textId="77777777" w:rsidR="00314E9D" w:rsidRPr="008D6498" w:rsidRDefault="00BF70D0" w:rsidP="00167C0A">
      <w:pPr>
        <w:pStyle w:val="BodyText"/>
        <w:spacing w:after="200"/>
        <w:jc w:val="center"/>
        <w:rPr>
          <w:b/>
          <w:szCs w:val="24"/>
          <w:lang w:eastAsia="en-US"/>
        </w:rPr>
      </w:pPr>
      <w:r>
        <w:rPr>
          <w:b/>
          <w:szCs w:val="24"/>
          <w:lang w:eastAsia="en-US"/>
        </w:rPr>
        <w:t>Table 1</w:t>
      </w:r>
      <w:r w:rsidR="00314E9D" w:rsidRPr="008D6498">
        <w:rPr>
          <w:b/>
          <w:szCs w:val="24"/>
          <w:lang w:eastAsia="en-US"/>
        </w:rPr>
        <w:t xml:space="preserve"> </w:t>
      </w:r>
      <w:r w:rsidR="00314E9D" w:rsidRPr="00BF70D0">
        <w:rPr>
          <w:szCs w:val="24"/>
          <w:lang w:eastAsia="en-US"/>
        </w:rPr>
        <w:t>Specifications of CPF liner [</w:t>
      </w:r>
      <w:r w:rsidR="00AB2C82" w:rsidRPr="00BF70D0">
        <w:rPr>
          <w:szCs w:val="24"/>
          <w:lang w:eastAsia="en-US"/>
        </w:rPr>
        <w:t>21</w:t>
      </w:r>
      <w:r>
        <w:rPr>
          <w:szCs w:val="24"/>
          <w:lang w:eastAsia="en-US"/>
        </w:rPr>
        <w:t>]</w:t>
      </w:r>
    </w:p>
    <w:tbl>
      <w:tblPr>
        <w:tblW w:w="0" w:type="auto"/>
        <w:jc w:val="center"/>
        <w:tblLayout w:type="fixed"/>
        <w:tblCellMar>
          <w:left w:w="72" w:type="dxa"/>
          <w:right w:w="72" w:type="dxa"/>
        </w:tblCellMar>
        <w:tblLook w:val="0000" w:firstRow="0" w:lastRow="0" w:firstColumn="0" w:lastColumn="0" w:noHBand="0" w:noVBand="0"/>
      </w:tblPr>
      <w:tblGrid>
        <w:gridCol w:w="3066"/>
        <w:gridCol w:w="1074"/>
        <w:gridCol w:w="1082"/>
      </w:tblGrid>
      <w:tr w:rsidR="00314E9D" w:rsidRPr="00DA5110" w14:paraId="16E488EE" w14:textId="77777777" w:rsidTr="008D6498">
        <w:trPr>
          <w:jc w:val="center"/>
        </w:trPr>
        <w:tc>
          <w:tcPr>
            <w:tcW w:w="3066" w:type="dxa"/>
            <w:tcBorders>
              <w:top w:val="single" w:sz="4" w:space="0" w:color="auto"/>
              <w:left w:val="single" w:sz="4" w:space="0" w:color="auto"/>
              <w:bottom w:val="single" w:sz="4" w:space="0" w:color="auto"/>
              <w:right w:val="single" w:sz="4" w:space="0" w:color="auto"/>
            </w:tcBorders>
            <w:vAlign w:val="center"/>
          </w:tcPr>
          <w:p w14:paraId="02E08823" w14:textId="77777777" w:rsidR="00314E9D" w:rsidRPr="008D6498" w:rsidRDefault="00314E9D" w:rsidP="00167C0A">
            <w:pPr>
              <w:snapToGrid w:val="0"/>
              <w:spacing w:before="60" w:after="60" w:line="240" w:lineRule="auto"/>
              <w:rPr>
                <w:rFonts w:ascii="Times New Roman" w:hAnsi="Times New Roman"/>
                <w:b/>
                <w:sz w:val="24"/>
                <w:szCs w:val="24"/>
              </w:rPr>
            </w:pPr>
            <w:r w:rsidRPr="008D6498">
              <w:rPr>
                <w:rFonts w:ascii="Times New Roman" w:hAnsi="Times New Roman"/>
                <w:b/>
                <w:sz w:val="24"/>
                <w:szCs w:val="24"/>
              </w:rPr>
              <w:t>Specifications</w:t>
            </w:r>
          </w:p>
        </w:tc>
        <w:tc>
          <w:tcPr>
            <w:tcW w:w="1074" w:type="dxa"/>
            <w:tcBorders>
              <w:top w:val="single" w:sz="4" w:space="0" w:color="auto"/>
              <w:left w:val="single" w:sz="4" w:space="0" w:color="auto"/>
              <w:bottom w:val="single" w:sz="4" w:space="0" w:color="auto"/>
              <w:right w:val="single" w:sz="4" w:space="0" w:color="auto"/>
            </w:tcBorders>
            <w:vAlign w:val="center"/>
          </w:tcPr>
          <w:p w14:paraId="7AD3565E" w14:textId="77777777" w:rsidR="00314E9D" w:rsidRPr="008D6498" w:rsidRDefault="00314E9D" w:rsidP="00167C0A">
            <w:pPr>
              <w:snapToGrid w:val="0"/>
              <w:spacing w:before="60" w:after="60" w:line="240" w:lineRule="auto"/>
              <w:jc w:val="center"/>
              <w:rPr>
                <w:rFonts w:ascii="Times New Roman" w:hAnsi="Times New Roman"/>
                <w:b/>
                <w:sz w:val="24"/>
                <w:szCs w:val="24"/>
              </w:rPr>
            </w:pPr>
            <w:r w:rsidRPr="008D6498">
              <w:rPr>
                <w:rFonts w:ascii="Times New Roman" w:hAnsi="Times New Roman"/>
                <w:b/>
                <w:sz w:val="24"/>
                <w:szCs w:val="24"/>
              </w:rPr>
              <w:t>Unit</w:t>
            </w:r>
          </w:p>
        </w:tc>
        <w:tc>
          <w:tcPr>
            <w:tcW w:w="1082" w:type="dxa"/>
            <w:tcBorders>
              <w:top w:val="single" w:sz="4" w:space="0" w:color="auto"/>
              <w:left w:val="single" w:sz="4" w:space="0" w:color="auto"/>
              <w:bottom w:val="single" w:sz="4" w:space="0" w:color="auto"/>
              <w:right w:val="single" w:sz="4" w:space="0" w:color="auto"/>
            </w:tcBorders>
            <w:vAlign w:val="center"/>
          </w:tcPr>
          <w:p w14:paraId="18A54213" w14:textId="77777777" w:rsidR="00314E9D" w:rsidRPr="008D6498" w:rsidRDefault="00314E9D" w:rsidP="00167C0A">
            <w:pPr>
              <w:snapToGrid w:val="0"/>
              <w:spacing w:before="60" w:after="60" w:line="240" w:lineRule="auto"/>
              <w:jc w:val="center"/>
              <w:rPr>
                <w:rFonts w:ascii="Times New Roman" w:hAnsi="Times New Roman"/>
                <w:b/>
                <w:sz w:val="24"/>
                <w:szCs w:val="24"/>
              </w:rPr>
            </w:pPr>
            <w:r w:rsidRPr="008D6498">
              <w:rPr>
                <w:rFonts w:ascii="Times New Roman" w:hAnsi="Times New Roman"/>
                <w:b/>
                <w:sz w:val="24"/>
                <w:szCs w:val="24"/>
              </w:rPr>
              <w:t>Value</w:t>
            </w:r>
          </w:p>
        </w:tc>
      </w:tr>
      <w:tr w:rsidR="00314E9D" w:rsidRPr="00DA5110" w14:paraId="38F3A570" w14:textId="77777777" w:rsidTr="008D6498">
        <w:trPr>
          <w:jc w:val="center"/>
        </w:trPr>
        <w:tc>
          <w:tcPr>
            <w:tcW w:w="3066" w:type="dxa"/>
            <w:tcBorders>
              <w:top w:val="single" w:sz="4" w:space="0" w:color="auto"/>
              <w:left w:val="single" w:sz="4" w:space="0" w:color="auto"/>
              <w:bottom w:val="single" w:sz="4" w:space="0" w:color="auto"/>
              <w:right w:val="single" w:sz="4" w:space="0" w:color="auto"/>
            </w:tcBorders>
            <w:vAlign w:val="center"/>
          </w:tcPr>
          <w:p w14:paraId="5865C483" w14:textId="77777777" w:rsidR="00314E9D" w:rsidRPr="008D6498" w:rsidRDefault="00314E9D" w:rsidP="00167C0A">
            <w:pPr>
              <w:snapToGrid w:val="0"/>
              <w:spacing w:before="60" w:after="60" w:line="240" w:lineRule="auto"/>
              <w:rPr>
                <w:rFonts w:ascii="Times New Roman" w:hAnsi="Times New Roman"/>
                <w:sz w:val="24"/>
                <w:szCs w:val="24"/>
              </w:rPr>
            </w:pPr>
            <w:r w:rsidRPr="008D6498">
              <w:rPr>
                <w:rFonts w:ascii="Times New Roman" w:hAnsi="Times New Roman"/>
                <w:sz w:val="24"/>
                <w:szCs w:val="24"/>
              </w:rPr>
              <w:t>Mean pore size</w:t>
            </w:r>
          </w:p>
        </w:tc>
        <w:tc>
          <w:tcPr>
            <w:tcW w:w="1074" w:type="dxa"/>
            <w:tcBorders>
              <w:top w:val="single" w:sz="4" w:space="0" w:color="auto"/>
              <w:left w:val="single" w:sz="4" w:space="0" w:color="auto"/>
              <w:bottom w:val="single" w:sz="4" w:space="0" w:color="auto"/>
              <w:right w:val="single" w:sz="4" w:space="0" w:color="auto"/>
            </w:tcBorders>
            <w:vAlign w:val="center"/>
          </w:tcPr>
          <w:p w14:paraId="5330BC51" w14:textId="77777777" w:rsidR="00314E9D" w:rsidRPr="008D6498" w:rsidRDefault="00314E9D" w:rsidP="00167C0A">
            <w:pPr>
              <w:snapToGrid w:val="0"/>
              <w:spacing w:before="60" w:after="60" w:line="240" w:lineRule="auto"/>
              <w:jc w:val="center"/>
              <w:rPr>
                <w:rFonts w:ascii="Times New Roman" w:hAnsi="Times New Roman"/>
                <w:sz w:val="24"/>
                <w:szCs w:val="24"/>
              </w:rPr>
            </w:pPr>
            <w:r w:rsidRPr="008D6498">
              <w:rPr>
                <w:rFonts w:ascii="Times New Roman" w:hAnsi="Times New Roman"/>
                <w:sz w:val="24"/>
                <w:szCs w:val="24"/>
              </w:rPr>
              <w:t xml:space="preserve"> µm</w:t>
            </w:r>
          </w:p>
        </w:tc>
        <w:tc>
          <w:tcPr>
            <w:tcW w:w="1082" w:type="dxa"/>
            <w:tcBorders>
              <w:top w:val="single" w:sz="4" w:space="0" w:color="auto"/>
              <w:left w:val="single" w:sz="4" w:space="0" w:color="auto"/>
              <w:bottom w:val="single" w:sz="4" w:space="0" w:color="auto"/>
              <w:right w:val="single" w:sz="4" w:space="0" w:color="auto"/>
            </w:tcBorders>
            <w:vAlign w:val="center"/>
          </w:tcPr>
          <w:p w14:paraId="0FB54A64" w14:textId="77777777" w:rsidR="00314E9D" w:rsidRPr="008D6498" w:rsidRDefault="00314E9D" w:rsidP="00167C0A">
            <w:pPr>
              <w:snapToGrid w:val="0"/>
              <w:spacing w:before="60" w:after="60" w:line="240" w:lineRule="auto"/>
              <w:jc w:val="center"/>
              <w:rPr>
                <w:rFonts w:ascii="Times New Roman" w:hAnsi="Times New Roman"/>
                <w:sz w:val="24"/>
                <w:szCs w:val="24"/>
              </w:rPr>
            </w:pPr>
            <w:r w:rsidRPr="008D6498">
              <w:rPr>
                <w:rFonts w:ascii="Times New Roman" w:hAnsi="Times New Roman"/>
                <w:sz w:val="24"/>
                <w:szCs w:val="24"/>
              </w:rPr>
              <w:t>&lt;30</w:t>
            </w:r>
          </w:p>
        </w:tc>
      </w:tr>
      <w:tr w:rsidR="00314E9D" w:rsidRPr="00DA5110" w14:paraId="5837846D" w14:textId="77777777" w:rsidTr="008D6498">
        <w:trPr>
          <w:jc w:val="center"/>
        </w:trPr>
        <w:tc>
          <w:tcPr>
            <w:tcW w:w="3066" w:type="dxa"/>
            <w:tcBorders>
              <w:top w:val="single" w:sz="4" w:space="0" w:color="auto"/>
              <w:left w:val="single" w:sz="4" w:space="0" w:color="auto"/>
              <w:bottom w:val="single" w:sz="4" w:space="0" w:color="auto"/>
              <w:right w:val="single" w:sz="4" w:space="0" w:color="auto"/>
            </w:tcBorders>
            <w:vAlign w:val="center"/>
          </w:tcPr>
          <w:p w14:paraId="761E7B9F" w14:textId="77777777" w:rsidR="00314E9D" w:rsidRPr="008D6498" w:rsidRDefault="00314E9D" w:rsidP="005A411F">
            <w:pPr>
              <w:snapToGrid w:val="0"/>
              <w:spacing w:before="60" w:after="60"/>
              <w:rPr>
                <w:rFonts w:ascii="Times New Roman" w:hAnsi="Times New Roman"/>
                <w:sz w:val="24"/>
                <w:szCs w:val="24"/>
              </w:rPr>
            </w:pPr>
            <w:r w:rsidRPr="008D6498">
              <w:rPr>
                <w:rFonts w:ascii="Times New Roman" w:hAnsi="Times New Roman"/>
                <w:sz w:val="24"/>
                <w:szCs w:val="24"/>
              </w:rPr>
              <w:t>Unit weight</w:t>
            </w:r>
          </w:p>
        </w:tc>
        <w:tc>
          <w:tcPr>
            <w:tcW w:w="1074" w:type="dxa"/>
            <w:tcBorders>
              <w:top w:val="single" w:sz="4" w:space="0" w:color="auto"/>
              <w:left w:val="single" w:sz="4" w:space="0" w:color="auto"/>
              <w:bottom w:val="single" w:sz="4" w:space="0" w:color="auto"/>
              <w:right w:val="single" w:sz="4" w:space="0" w:color="auto"/>
            </w:tcBorders>
            <w:vAlign w:val="center"/>
          </w:tcPr>
          <w:p w14:paraId="0A797CF9" w14:textId="77777777" w:rsidR="00314E9D" w:rsidRPr="008D6498" w:rsidRDefault="00314E9D" w:rsidP="005A411F">
            <w:pPr>
              <w:snapToGrid w:val="0"/>
              <w:spacing w:before="60" w:after="60"/>
              <w:jc w:val="center"/>
              <w:rPr>
                <w:rFonts w:ascii="Times New Roman" w:hAnsi="Times New Roman"/>
                <w:sz w:val="24"/>
                <w:szCs w:val="24"/>
              </w:rPr>
            </w:pPr>
            <w:r w:rsidRPr="008D6498">
              <w:rPr>
                <w:rFonts w:ascii="Times New Roman" w:hAnsi="Times New Roman"/>
                <w:sz w:val="24"/>
                <w:szCs w:val="24"/>
              </w:rPr>
              <w:t>g/m</w:t>
            </w:r>
            <w:r w:rsidRPr="008D6498">
              <w:rPr>
                <w:rFonts w:ascii="Times New Roman" w:hAnsi="Times New Roman"/>
                <w:sz w:val="24"/>
                <w:szCs w:val="24"/>
                <w:vertAlign w:val="superscript"/>
              </w:rPr>
              <w:t>2</w:t>
            </w:r>
          </w:p>
        </w:tc>
        <w:tc>
          <w:tcPr>
            <w:tcW w:w="1082" w:type="dxa"/>
            <w:tcBorders>
              <w:top w:val="single" w:sz="4" w:space="0" w:color="auto"/>
              <w:left w:val="single" w:sz="4" w:space="0" w:color="auto"/>
              <w:bottom w:val="single" w:sz="4" w:space="0" w:color="auto"/>
              <w:right w:val="single" w:sz="4" w:space="0" w:color="auto"/>
            </w:tcBorders>
            <w:vAlign w:val="center"/>
          </w:tcPr>
          <w:p w14:paraId="71BC19D2" w14:textId="77777777" w:rsidR="00314E9D" w:rsidRPr="008D6498" w:rsidRDefault="00314E9D" w:rsidP="005A411F">
            <w:pPr>
              <w:snapToGrid w:val="0"/>
              <w:spacing w:before="60" w:after="60"/>
              <w:jc w:val="center"/>
              <w:rPr>
                <w:rFonts w:ascii="Times New Roman" w:hAnsi="Times New Roman"/>
                <w:sz w:val="24"/>
                <w:szCs w:val="24"/>
              </w:rPr>
            </w:pPr>
            <w:r w:rsidRPr="008D6498">
              <w:rPr>
                <w:rFonts w:ascii="Times New Roman" w:hAnsi="Times New Roman"/>
                <w:sz w:val="24"/>
                <w:szCs w:val="24"/>
              </w:rPr>
              <w:t>250</w:t>
            </w:r>
          </w:p>
        </w:tc>
      </w:tr>
      <w:tr w:rsidR="00314E9D" w:rsidRPr="00DA5110" w14:paraId="22EF5953" w14:textId="77777777" w:rsidTr="008D6498">
        <w:trPr>
          <w:jc w:val="center"/>
        </w:trPr>
        <w:tc>
          <w:tcPr>
            <w:tcW w:w="3066" w:type="dxa"/>
            <w:tcBorders>
              <w:top w:val="single" w:sz="4" w:space="0" w:color="auto"/>
              <w:left w:val="single" w:sz="4" w:space="0" w:color="auto"/>
              <w:bottom w:val="single" w:sz="4" w:space="0" w:color="auto"/>
              <w:right w:val="single" w:sz="4" w:space="0" w:color="auto"/>
            </w:tcBorders>
            <w:vAlign w:val="center"/>
          </w:tcPr>
          <w:p w14:paraId="64E01C3E" w14:textId="77777777" w:rsidR="00314E9D" w:rsidRPr="008D6498" w:rsidRDefault="00314E9D" w:rsidP="005A411F">
            <w:pPr>
              <w:snapToGrid w:val="0"/>
              <w:spacing w:before="60" w:after="60"/>
              <w:rPr>
                <w:rFonts w:ascii="Times New Roman" w:hAnsi="Times New Roman"/>
                <w:sz w:val="24"/>
                <w:szCs w:val="24"/>
              </w:rPr>
            </w:pPr>
            <w:r w:rsidRPr="008D6498">
              <w:rPr>
                <w:rFonts w:ascii="Times New Roman" w:hAnsi="Times New Roman"/>
                <w:sz w:val="24"/>
                <w:szCs w:val="24"/>
              </w:rPr>
              <w:t>Air permeability at 800 Pa</w:t>
            </w:r>
          </w:p>
        </w:tc>
        <w:tc>
          <w:tcPr>
            <w:tcW w:w="1074" w:type="dxa"/>
            <w:tcBorders>
              <w:top w:val="single" w:sz="4" w:space="0" w:color="auto"/>
              <w:left w:val="single" w:sz="4" w:space="0" w:color="auto"/>
              <w:bottom w:val="single" w:sz="4" w:space="0" w:color="auto"/>
              <w:right w:val="single" w:sz="4" w:space="0" w:color="auto"/>
            </w:tcBorders>
            <w:vAlign w:val="center"/>
          </w:tcPr>
          <w:p w14:paraId="04A85DC7" w14:textId="77777777" w:rsidR="00314E9D" w:rsidRPr="008D6498" w:rsidRDefault="00314E9D" w:rsidP="005A411F">
            <w:pPr>
              <w:snapToGrid w:val="0"/>
              <w:spacing w:before="60" w:after="60"/>
              <w:jc w:val="center"/>
              <w:rPr>
                <w:rFonts w:ascii="Times New Roman" w:hAnsi="Times New Roman"/>
                <w:sz w:val="24"/>
                <w:szCs w:val="24"/>
              </w:rPr>
            </w:pPr>
            <w:r w:rsidRPr="008D6498">
              <w:rPr>
                <w:rFonts w:ascii="Times New Roman" w:hAnsi="Times New Roman"/>
                <w:sz w:val="24"/>
                <w:szCs w:val="24"/>
              </w:rPr>
              <w:t>l/s/m</w:t>
            </w:r>
            <w:r w:rsidRPr="008D6498">
              <w:rPr>
                <w:rFonts w:ascii="Times New Roman" w:hAnsi="Times New Roman"/>
                <w:sz w:val="24"/>
                <w:szCs w:val="24"/>
                <w:vertAlign w:val="superscript"/>
              </w:rPr>
              <w:t>2</w:t>
            </w:r>
          </w:p>
        </w:tc>
        <w:tc>
          <w:tcPr>
            <w:tcW w:w="1082" w:type="dxa"/>
            <w:tcBorders>
              <w:top w:val="single" w:sz="4" w:space="0" w:color="auto"/>
              <w:left w:val="single" w:sz="4" w:space="0" w:color="auto"/>
              <w:bottom w:val="single" w:sz="4" w:space="0" w:color="auto"/>
              <w:right w:val="single" w:sz="4" w:space="0" w:color="auto"/>
            </w:tcBorders>
            <w:vAlign w:val="center"/>
          </w:tcPr>
          <w:p w14:paraId="4A225A4F" w14:textId="77777777" w:rsidR="00314E9D" w:rsidRPr="008D6498" w:rsidRDefault="00314E9D" w:rsidP="005A411F">
            <w:pPr>
              <w:snapToGrid w:val="0"/>
              <w:spacing w:before="60" w:after="60"/>
              <w:jc w:val="center"/>
              <w:rPr>
                <w:rFonts w:ascii="Times New Roman" w:hAnsi="Times New Roman"/>
                <w:sz w:val="24"/>
                <w:szCs w:val="24"/>
              </w:rPr>
            </w:pPr>
            <w:r w:rsidRPr="008D6498">
              <w:rPr>
                <w:rFonts w:ascii="Times New Roman" w:hAnsi="Times New Roman"/>
                <w:sz w:val="24"/>
                <w:szCs w:val="24"/>
              </w:rPr>
              <w:t>250</w:t>
            </w:r>
          </w:p>
        </w:tc>
      </w:tr>
      <w:tr w:rsidR="00314E9D" w:rsidRPr="00DA5110" w14:paraId="4D61CCFA" w14:textId="77777777" w:rsidTr="008D6498">
        <w:trPr>
          <w:jc w:val="center"/>
        </w:trPr>
        <w:tc>
          <w:tcPr>
            <w:tcW w:w="3066" w:type="dxa"/>
            <w:tcBorders>
              <w:top w:val="single" w:sz="4" w:space="0" w:color="auto"/>
              <w:left w:val="single" w:sz="4" w:space="0" w:color="auto"/>
              <w:bottom w:val="single" w:sz="4" w:space="0" w:color="auto"/>
              <w:right w:val="single" w:sz="4" w:space="0" w:color="auto"/>
            </w:tcBorders>
            <w:vAlign w:val="center"/>
          </w:tcPr>
          <w:p w14:paraId="534289B6" w14:textId="77777777" w:rsidR="00314E9D" w:rsidRPr="008D6498" w:rsidRDefault="00314E9D" w:rsidP="005A411F">
            <w:pPr>
              <w:snapToGrid w:val="0"/>
              <w:spacing w:before="60" w:after="60"/>
              <w:rPr>
                <w:rFonts w:ascii="Times New Roman" w:hAnsi="Times New Roman"/>
                <w:sz w:val="24"/>
                <w:szCs w:val="24"/>
              </w:rPr>
            </w:pPr>
            <w:r w:rsidRPr="008D6498">
              <w:rPr>
                <w:rFonts w:ascii="Times New Roman" w:hAnsi="Times New Roman"/>
                <w:sz w:val="24"/>
                <w:szCs w:val="24"/>
              </w:rPr>
              <w:t xml:space="preserve">Tear strength </w:t>
            </w:r>
            <w:proofErr w:type="gramStart"/>
            <w:r w:rsidRPr="008D6498">
              <w:rPr>
                <w:rFonts w:ascii="Times New Roman" w:hAnsi="Times New Roman"/>
                <w:sz w:val="24"/>
                <w:szCs w:val="24"/>
              </w:rPr>
              <w:t>in  longitudinal</w:t>
            </w:r>
            <w:proofErr w:type="gramEnd"/>
          </w:p>
        </w:tc>
        <w:tc>
          <w:tcPr>
            <w:tcW w:w="1074" w:type="dxa"/>
            <w:tcBorders>
              <w:top w:val="single" w:sz="4" w:space="0" w:color="auto"/>
              <w:left w:val="single" w:sz="4" w:space="0" w:color="auto"/>
              <w:bottom w:val="single" w:sz="4" w:space="0" w:color="auto"/>
              <w:right w:val="single" w:sz="4" w:space="0" w:color="auto"/>
            </w:tcBorders>
            <w:vAlign w:val="center"/>
          </w:tcPr>
          <w:p w14:paraId="3AA9ECAD" w14:textId="77777777" w:rsidR="00314E9D" w:rsidRPr="008D6498" w:rsidRDefault="00314E9D" w:rsidP="005A411F">
            <w:pPr>
              <w:snapToGrid w:val="0"/>
              <w:spacing w:before="60" w:after="60"/>
              <w:jc w:val="center"/>
              <w:rPr>
                <w:rFonts w:ascii="Times New Roman" w:hAnsi="Times New Roman"/>
                <w:sz w:val="24"/>
                <w:szCs w:val="24"/>
              </w:rPr>
            </w:pPr>
            <w:r w:rsidRPr="008D6498">
              <w:rPr>
                <w:rFonts w:ascii="Times New Roman" w:hAnsi="Times New Roman"/>
                <w:sz w:val="24"/>
                <w:szCs w:val="24"/>
              </w:rPr>
              <w:t>N</w:t>
            </w:r>
          </w:p>
        </w:tc>
        <w:tc>
          <w:tcPr>
            <w:tcW w:w="1082" w:type="dxa"/>
            <w:tcBorders>
              <w:top w:val="single" w:sz="4" w:space="0" w:color="auto"/>
              <w:left w:val="single" w:sz="4" w:space="0" w:color="auto"/>
              <w:bottom w:val="single" w:sz="4" w:space="0" w:color="auto"/>
              <w:right w:val="single" w:sz="4" w:space="0" w:color="auto"/>
            </w:tcBorders>
            <w:vAlign w:val="center"/>
          </w:tcPr>
          <w:p w14:paraId="23E96F5B" w14:textId="77777777" w:rsidR="00314E9D" w:rsidRPr="008D6498" w:rsidRDefault="00314E9D" w:rsidP="005A411F">
            <w:pPr>
              <w:snapToGrid w:val="0"/>
              <w:spacing w:before="60" w:after="60"/>
              <w:jc w:val="center"/>
              <w:rPr>
                <w:rFonts w:ascii="Times New Roman" w:hAnsi="Times New Roman"/>
                <w:sz w:val="24"/>
                <w:szCs w:val="24"/>
              </w:rPr>
            </w:pPr>
            <w:r w:rsidRPr="008D6498">
              <w:rPr>
                <w:rFonts w:ascii="Times New Roman" w:hAnsi="Times New Roman"/>
                <w:sz w:val="24"/>
                <w:szCs w:val="24"/>
              </w:rPr>
              <w:t>250</w:t>
            </w:r>
          </w:p>
        </w:tc>
      </w:tr>
      <w:tr w:rsidR="00314E9D" w:rsidRPr="00DA5110" w14:paraId="2513C415" w14:textId="77777777" w:rsidTr="008D6498">
        <w:trPr>
          <w:jc w:val="center"/>
        </w:trPr>
        <w:tc>
          <w:tcPr>
            <w:tcW w:w="3066" w:type="dxa"/>
            <w:tcBorders>
              <w:top w:val="single" w:sz="4" w:space="0" w:color="auto"/>
              <w:left w:val="single" w:sz="4" w:space="0" w:color="auto"/>
              <w:bottom w:val="single" w:sz="4" w:space="0" w:color="auto"/>
              <w:right w:val="single" w:sz="4" w:space="0" w:color="auto"/>
            </w:tcBorders>
            <w:vAlign w:val="center"/>
          </w:tcPr>
          <w:p w14:paraId="3C016145" w14:textId="77777777" w:rsidR="00314E9D" w:rsidRPr="008D6498" w:rsidRDefault="00314E9D" w:rsidP="005A411F">
            <w:pPr>
              <w:snapToGrid w:val="0"/>
              <w:spacing w:before="60" w:after="60"/>
              <w:rPr>
                <w:rFonts w:ascii="Times New Roman" w:hAnsi="Times New Roman"/>
                <w:sz w:val="24"/>
                <w:szCs w:val="24"/>
              </w:rPr>
            </w:pPr>
            <w:r w:rsidRPr="008D6498">
              <w:rPr>
                <w:rFonts w:ascii="Times New Roman" w:hAnsi="Times New Roman"/>
                <w:sz w:val="24"/>
                <w:szCs w:val="24"/>
              </w:rPr>
              <w:t xml:space="preserve">Tear strength </w:t>
            </w:r>
            <w:proofErr w:type="gramStart"/>
            <w:r w:rsidRPr="008D6498">
              <w:rPr>
                <w:rFonts w:ascii="Times New Roman" w:hAnsi="Times New Roman"/>
                <w:sz w:val="24"/>
                <w:szCs w:val="24"/>
              </w:rPr>
              <w:t>in  transverse</w:t>
            </w:r>
            <w:proofErr w:type="gramEnd"/>
          </w:p>
        </w:tc>
        <w:tc>
          <w:tcPr>
            <w:tcW w:w="1074" w:type="dxa"/>
            <w:tcBorders>
              <w:top w:val="single" w:sz="4" w:space="0" w:color="auto"/>
              <w:left w:val="single" w:sz="4" w:space="0" w:color="auto"/>
              <w:bottom w:val="single" w:sz="4" w:space="0" w:color="auto"/>
              <w:right w:val="single" w:sz="4" w:space="0" w:color="auto"/>
            </w:tcBorders>
            <w:vAlign w:val="center"/>
          </w:tcPr>
          <w:p w14:paraId="1BFD74BA" w14:textId="77777777" w:rsidR="00314E9D" w:rsidRPr="008D6498" w:rsidRDefault="00314E9D" w:rsidP="005A411F">
            <w:pPr>
              <w:snapToGrid w:val="0"/>
              <w:spacing w:before="60" w:after="60"/>
              <w:jc w:val="center"/>
              <w:rPr>
                <w:rFonts w:ascii="Times New Roman" w:hAnsi="Times New Roman"/>
                <w:sz w:val="24"/>
                <w:szCs w:val="24"/>
              </w:rPr>
            </w:pPr>
            <w:r w:rsidRPr="008D6498">
              <w:rPr>
                <w:rFonts w:ascii="Times New Roman" w:hAnsi="Times New Roman"/>
                <w:sz w:val="24"/>
                <w:szCs w:val="24"/>
              </w:rPr>
              <w:t>N</w:t>
            </w:r>
          </w:p>
        </w:tc>
        <w:tc>
          <w:tcPr>
            <w:tcW w:w="1082" w:type="dxa"/>
            <w:tcBorders>
              <w:top w:val="single" w:sz="4" w:space="0" w:color="auto"/>
              <w:left w:val="single" w:sz="4" w:space="0" w:color="auto"/>
              <w:bottom w:val="single" w:sz="4" w:space="0" w:color="auto"/>
              <w:right w:val="single" w:sz="4" w:space="0" w:color="auto"/>
            </w:tcBorders>
            <w:vAlign w:val="center"/>
          </w:tcPr>
          <w:p w14:paraId="6573C32F" w14:textId="77777777" w:rsidR="00314E9D" w:rsidRPr="008D6498" w:rsidRDefault="00314E9D" w:rsidP="005A411F">
            <w:pPr>
              <w:snapToGrid w:val="0"/>
              <w:spacing w:before="60" w:after="60"/>
              <w:jc w:val="center"/>
              <w:rPr>
                <w:rFonts w:ascii="Times New Roman" w:hAnsi="Times New Roman"/>
                <w:sz w:val="24"/>
                <w:szCs w:val="24"/>
              </w:rPr>
            </w:pPr>
            <w:r w:rsidRPr="008D6498">
              <w:rPr>
                <w:rFonts w:ascii="Times New Roman" w:hAnsi="Times New Roman"/>
                <w:sz w:val="24"/>
                <w:szCs w:val="24"/>
              </w:rPr>
              <w:t>200</w:t>
            </w:r>
          </w:p>
        </w:tc>
      </w:tr>
      <w:tr w:rsidR="00314E9D" w:rsidRPr="00DA5110" w14:paraId="0AC7A8F7" w14:textId="77777777" w:rsidTr="008D6498">
        <w:trPr>
          <w:jc w:val="center"/>
        </w:trPr>
        <w:tc>
          <w:tcPr>
            <w:tcW w:w="3066" w:type="dxa"/>
            <w:tcBorders>
              <w:top w:val="single" w:sz="4" w:space="0" w:color="auto"/>
              <w:left w:val="single" w:sz="4" w:space="0" w:color="auto"/>
              <w:bottom w:val="single" w:sz="4" w:space="0" w:color="auto"/>
              <w:right w:val="single" w:sz="4" w:space="0" w:color="auto"/>
            </w:tcBorders>
            <w:vAlign w:val="center"/>
          </w:tcPr>
          <w:p w14:paraId="02562396" w14:textId="77777777" w:rsidR="00314E9D" w:rsidRPr="008D6498" w:rsidRDefault="00314E9D" w:rsidP="005A411F">
            <w:pPr>
              <w:snapToGrid w:val="0"/>
              <w:spacing w:before="60" w:after="60"/>
              <w:rPr>
                <w:rFonts w:ascii="Times New Roman" w:hAnsi="Times New Roman"/>
                <w:sz w:val="24"/>
                <w:szCs w:val="24"/>
              </w:rPr>
            </w:pPr>
            <w:r w:rsidRPr="008D6498">
              <w:rPr>
                <w:rFonts w:ascii="Times New Roman" w:hAnsi="Times New Roman"/>
                <w:sz w:val="24"/>
                <w:szCs w:val="24"/>
              </w:rPr>
              <w:t>Thickness at 2 KPa</w:t>
            </w:r>
          </w:p>
        </w:tc>
        <w:tc>
          <w:tcPr>
            <w:tcW w:w="1074" w:type="dxa"/>
            <w:tcBorders>
              <w:top w:val="single" w:sz="4" w:space="0" w:color="auto"/>
              <w:left w:val="single" w:sz="4" w:space="0" w:color="auto"/>
              <w:bottom w:val="single" w:sz="4" w:space="0" w:color="auto"/>
              <w:right w:val="single" w:sz="4" w:space="0" w:color="auto"/>
            </w:tcBorders>
            <w:vAlign w:val="center"/>
          </w:tcPr>
          <w:p w14:paraId="3D9FEFAF" w14:textId="77777777" w:rsidR="00314E9D" w:rsidRPr="008D6498" w:rsidRDefault="00314E9D" w:rsidP="005A411F">
            <w:pPr>
              <w:snapToGrid w:val="0"/>
              <w:spacing w:before="60" w:after="60"/>
              <w:jc w:val="center"/>
              <w:rPr>
                <w:rFonts w:ascii="Times New Roman" w:hAnsi="Times New Roman"/>
                <w:sz w:val="24"/>
                <w:szCs w:val="24"/>
              </w:rPr>
            </w:pPr>
            <w:r w:rsidRPr="008D6498">
              <w:rPr>
                <w:rFonts w:ascii="Times New Roman" w:hAnsi="Times New Roman"/>
                <w:sz w:val="24"/>
                <w:szCs w:val="24"/>
              </w:rPr>
              <w:t>mm</w:t>
            </w:r>
          </w:p>
        </w:tc>
        <w:tc>
          <w:tcPr>
            <w:tcW w:w="1082" w:type="dxa"/>
            <w:tcBorders>
              <w:top w:val="single" w:sz="4" w:space="0" w:color="auto"/>
              <w:left w:val="single" w:sz="4" w:space="0" w:color="auto"/>
              <w:bottom w:val="single" w:sz="4" w:space="0" w:color="auto"/>
              <w:right w:val="single" w:sz="4" w:space="0" w:color="auto"/>
            </w:tcBorders>
            <w:vAlign w:val="center"/>
          </w:tcPr>
          <w:p w14:paraId="3BBADD46" w14:textId="77777777" w:rsidR="00314E9D" w:rsidRPr="008D6498" w:rsidRDefault="00314E9D" w:rsidP="005A411F">
            <w:pPr>
              <w:snapToGrid w:val="0"/>
              <w:spacing w:before="60" w:after="60"/>
              <w:jc w:val="center"/>
              <w:rPr>
                <w:rFonts w:ascii="Times New Roman" w:hAnsi="Times New Roman"/>
                <w:sz w:val="24"/>
                <w:szCs w:val="24"/>
              </w:rPr>
            </w:pPr>
            <w:r w:rsidRPr="008D6498">
              <w:rPr>
                <w:rFonts w:ascii="Times New Roman" w:hAnsi="Times New Roman"/>
                <w:sz w:val="24"/>
                <w:szCs w:val="24"/>
              </w:rPr>
              <w:t>1.2</w:t>
            </w:r>
          </w:p>
        </w:tc>
      </w:tr>
      <w:tr w:rsidR="00314E9D" w:rsidRPr="00DA5110" w14:paraId="54BC9C78" w14:textId="77777777" w:rsidTr="008D6498">
        <w:trPr>
          <w:jc w:val="center"/>
        </w:trPr>
        <w:tc>
          <w:tcPr>
            <w:tcW w:w="3066" w:type="dxa"/>
            <w:tcBorders>
              <w:top w:val="single" w:sz="4" w:space="0" w:color="auto"/>
              <w:left w:val="single" w:sz="4" w:space="0" w:color="auto"/>
              <w:bottom w:val="single" w:sz="4" w:space="0" w:color="auto"/>
              <w:right w:val="single" w:sz="4" w:space="0" w:color="auto"/>
            </w:tcBorders>
            <w:vAlign w:val="center"/>
          </w:tcPr>
          <w:p w14:paraId="28A9B9BD" w14:textId="77777777" w:rsidR="00314E9D" w:rsidRPr="008D6498" w:rsidRDefault="00314E9D" w:rsidP="005A411F">
            <w:pPr>
              <w:snapToGrid w:val="0"/>
              <w:spacing w:before="60" w:after="60"/>
              <w:rPr>
                <w:rFonts w:ascii="Times New Roman" w:hAnsi="Times New Roman"/>
                <w:sz w:val="24"/>
                <w:szCs w:val="24"/>
              </w:rPr>
            </w:pPr>
            <w:r w:rsidRPr="008D6498">
              <w:rPr>
                <w:rFonts w:ascii="Times New Roman" w:hAnsi="Times New Roman"/>
                <w:sz w:val="24"/>
                <w:szCs w:val="24"/>
              </w:rPr>
              <w:t xml:space="preserve">Composition </w:t>
            </w:r>
          </w:p>
        </w:tc>
        <w:tc>
          <w:tcPr>
            <w:tcW w:w="2156" w:type="dxa"/>
            <w:gridSpan w:val="2"/>
            <w:tcBorders>
              <w:top w:val="single" w:sz="4" w:space="0" w:color="auto"/>
              <w:left w:val="single" w:sz="4" w:space="0" w:color="auto"/>
              <w:bottom w:val="single" w:sz="4" w:space="0" w:color="auto"/>
              <w:right w:val="single" w:sz="4" w:space="0" w:color="auto"/>
            </w:tcBorders>
            <w:vAlign w:val="center"/>
          </w:tcPr>
          <w:p w14:paraId="12474F5F" w14:textId="77777777" w:rsidR="00314E9D" w:rsidRPr="008D6498" w:rsidRDefault="00314E9D" w:rsidP="005A411F">
            <w:pPr>
              <w:snapToGrid w:val="0"/>
              <w:spacing w:before="60" w:after="60"/>
              <w:jc w:val="center"/>
              <w:rPr>
                <w:rFonts w:ascii="Times New Roman" w:hAnsi="Times New Roman"/>
                <w:sz w:val="24"/>
                <w:szCs w:val="24"/>
              </w:rPr>
            </w:pPr>
            <w:r w:rsidRPr="008D6498">
              <w:rPr>
                <w:rFonts w:ascii="Times New Roman" w:hAnsi="Times New Roman"/>
                <w:sz w:val="24"/>
                <w:szCs w:val="24"/>
              </w:rPr>
              <w:t>100% polypropylene</w:t>
            </w:r>
          </w:p>
        </w:tc>
      </w:tr>
    </w:tbl>
    <w:p w14:paraId="62CB80D5" w14:textId="77777777" w:rsidR="00AE69ED" w:rsidRDefault="00AE69ED" w:rsidP="00AE69ED">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s>
        <w:spacing w:line="276" w:lineRule="auto"/>
        <w:rPr>
          <w:b/>
          <w:sz w:val="20"/>
          <w:lang w:eastAsia="en-US"/>
        </w:rPr>
      </w:pPr>
    </w:p>
    <w:p w14:paraId="341A5208" w14:textId="77777777" w:rsidR="00C54D0E" w:rsidRPr="00CE3632" w:rsidRDefault="00C54D0E" w:rsidP="00AE69ED">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s>
        <w:spacing w:line="276" w:lineRule="auto"/>
        <w:rPr>
          <w:b/>
          <w:bCs/>
          <w:szCs w:val="24"/>
          <w:lang w:eastAsia="en-US"/>
        </w:rPr>
      </w:pPr>
      <w:r w:rsidRPr="00CE3632">
        <w:rPr>
          <w:b/>
          <w:bCs/>
          <w:szCs w:val="24"/>
          <w:lang w:eastAsia="en-US"/>
        </w:rPr>
        <w:t>Concrete mixture proportions</w:t>
      </w:r>
    </w:p>
    <w:p w14:paraId="70C9D0E6" w14:textId="77777777" w:rsidR="00D149AE" w:rsidRPr="00CE3632" w:rsidRDefault="00D149AE" w:rsidP="00AE69ED">
      <w:pPr>
        <w:pStyle w:val="BodyText"/>
        <w:tabs>
          <w:tab w:val="left" w:pos="360"/>
        </w:tabs>
        <w:spacing w:line="276" w:lineRule="auto"/>
        <w:rPr>
          <w:szCs w:val="24"/>
          <w:lang w:eastAsia="en-US"/>
        </w:rPr>
      </w:pPr>
    </w:p>
    <w:p w14:paraId="095FF926" w14:textId="57EF0944" w:rsidR="00C54D0E" w:rsidRPr="00CE3632" w:rsidRDefault="00C54D0E" w:rsidP="00CE3632">
      <w:pPr>
        <w:pStyle w:val="BodyText"/>
        <w:tabs>
          <w:tab w:val="left" w:pos="360"/>
        </w:tabs>
        <w:spacing w:line="360" w:lineRule="auto"/>
        <w:rPr>
          <w:szCs w:val="24"/>
          <w:lang w:eastAsia="en-US"/>
        </w:rPr>
      </w:pPr>
      <w:r w:rsidRPr="00CE3632">
        <w:rPr>
          <w:szCs w:val="24"/>
          <w:lang w:eastAsia="en-US"/>
        </w:rPr>
        <w:t xml:space="preserve">The concrete mixture proportions </w:t>
      </w:r>
      <w:r w:rsidR="0014412B">
        <w:rPr>
          <w:szCs w:val="24"/>
          <w:lang w:eastAsia="en-US"/>
        </w:rPr>
        <w:t xml:space="preserve">and properties </w:t>
      </w:r>
      <w:r w:rsidRPr="00CE3632">
        <w:rPr>
          <w:szCs w:val="24"/>
          <w:lang w:eastAsia="en-US"/>
        </w:rPr>
        <w:t>of SCC are presented in Table 2.</w:t>
      </w:r>
    </w:p>
    <w:p w14:paraId="41E5E85E" w14:textId="77777777" w:rsidR="00F007AC" w:rsidRPr="00CE3632" w:rsidRDefault="00BF70D0" w:rsidP="00367506">
      <w:pPr>
        <w:pStyle w:val="Heading5"/>
        <w:tabs>
          <w:tab w:val="num" w:pos="0"/>
        </w:tabs>
        <w:jc w:val="center"/>
        <w:rPr>
          <w:rFonts w:ascii="Times New Roman" w:hAnsi="Times New Roman"/>
          <w:i w:val="0"/>
          <w:sz w:val="24"/>
          <w:szCs w:val="24"/>
        </w:rPr>
      </w:pPr>
      <w:r>
        <w:rPr>
          <w:rFonts w:ascii="Times New Roman" w:hAnsi="Times New Roman"/>
          <w:i w:val="0"/>
          <w:sz w:val="24"/>
          <w:szCs w:val="24"/>
        </w:rPr>
        <w:t>Table 2</w:t>
      </w:r>
      <w:r w:rsidR="00F007AC" w:rsidRPr="00CE3632">
        <w:rPr>
          <w:rFonts w:ascii="Times New Roman" w:hAnsi="Times New Roman"/>
          <w:i w:val="0"/>
          <w:sz w:val="24"/>
          <w:szCs w:val="24"/>
        </w:rPr>
        <w:t xml:space="preserve"> </w:t>
      </w:r>
      <w:r>
        <w:rPr>
          <w:rFonts w:ascii="Times New Roman" w:hAnsi="Times New Roman"/>
          <w:b w:val="0"/>
          <w:i w:val="0"/>
          <w:sz w:val="24"/>
          <w:szCs w:val="24"/>
        </w:rPr>
        <w:t xml:space="preserve">Mix proportions </w:t>
      </w:r>
      <w:r w:rsidR="0014412B">
        <w:rPr>
          <w:rFonts w:ascii="Times New Roman" w:hAnsi="Times New Roman"/>
          <w:b w:val="0"/>
          <w:i w:val="0"/>
          <w:sz w:val="24"/>
          <w:szCs w:val="24"/>
        </w:rPr>
        <w:t xml:space="preserve">and properties </w:t>
      </w:r>
      <w:r>
        <w:rPr>
          <w:rFonts w:ascii="Times New Roman" w:hAnsi="Times New Roman"/>
          <w:b w:val="0"/>
          <w:i w:val="0"/>
          <w:sz w:val="24"/>
          <w:szCs w:val="24"/>
        </w:rPr>
        <w:t>of SCC</w:t>
      </w:r>
    </w:p>
    <w:p w14:paraId="2C103584" w14:textId="77777777" w:rsidR="00456331" w:rsidRDefault="00456331" w:rsidP="00567981">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s>
        <w:spacing w:line="276" w:lineRule="auto"/>
        <w:rPr>
          <w:b/>
          <w:sz w:val="20"/>
          <w:lang w:eastAsia="en-US"/>
        </w:rPr>
      </w:pPr>
    </w:p>
    <w:tbl>
      <w:tblPr>
        <w:tblStyle w:val="TableGrid"/>
        <w:tblW w:w="8910" w:type="dxa"/>
        <w:tblInd w:w="108" w:type="dxa"/>
        <w:tblBorders>
          <w:top w:val="thinThickLargeGap" w:sz="24" w:space="0" w:color="auto"/>
          <w:left w:val="thinThickLargeGap" w:sz="24" w:space="0" w:color="auto"/>
          <w:bottom w:val="thickThinLargeGap" w:sz="24" w:space="0" w:color="auto"/>
          <w:right w:val="thickThinLargeGap" w:sz="24" w:space="0" w:color="auto"/>
          <w:insideH w:val="single" w:sz="6" w:space="0" w:color="auto"/>
          <w:insideV w:val="single" w:sz="6" w:space="0" w:color="auto"/>
        </w:tblBorders>
        <w:tblLayout w:type="fixed"/>
        <w:tblLook w:val="04A0" w:firstRow="1" w:lastRow="0" w:firstColumn="1" w:lastColumn="0" w:noHBand="0" w:noVBand="1"/>
      </w:tblPr>
      <w:tblGrid>
        <w:gridCol w:w="720"/>
        <w:gridCol w:w="540"/>
        <w:gridCol w:w="720"/>
        <w:gridCol w:w="810"/>
        <w:gridCol w:w="630"/>
        <w:gridCol w:w="810"/>
        <w:gridCol w:w="900"/>
        <w:gridCol w:w="540"/>
        <w:gridCol w:w="630"/>
        <w:gridCol w:w="630"/>
        <w:gridCol w:w="540"/>
        <w:gridCol w:w="810"/>
        <w:gridCol w:w="630"/>
      </w:tblGrid>
      <w:tr w:rsidR="0014412B" w:rsidRPr="00AC13EC" w14:paraId="7B7D0C12" w14:textId="77777777" w:rsidTr="00BC1937">
        <w:tc>
          <w:tcPr>
            <w:tcW w:w="5130" w:type="dxa"/>
            <w:gridSpan w:val="7"/>
            <w:tcBorders>
              <w:top w:val="single" w:sz="4" w:space="0" w:color="auto"/>
              <w:left w:val="single" w:sz="4" w:space="0" w:color="auto"/>
              <w:bottom w:val="single" w:sz="6" w:space="0" w:color="auto"/>
            </w:tcBorders>
          </w:tcPr>
          <w:p w14:paraId="04E1DADB" w14:textId="77777777" w:rsidR="0014412B" w:rsidRPr="00385DB8" w:rsidRDefault="0014412B" w:rsidP="00BC1937">
            <w:pPr>
              <w:pStyle w:val="BodyText"/>
              <w:tabs>
                <w:tab w:val="left" w:pos="180"/>
              </w:tabs>
              <w:jc w:val="center"/>
              <w:rPr>
                <w:b/>
                <w:bCs/>
                <w:sz w:val="18"/>
                <w:szCs w:val="18"/>
                <w:lang w:eastAsia="en-US"/>
              </w:rPr>
            </w:pPr>
            <w:r w:rsidRPr="00385DB8">
              <w:rPr>
                <w:b/>
                <w:bCs/>
                <w:sz w:val="18"/>
                <w:szCs w:val="18"/>
                <w:lang w:eastAsia="en-US"/>
              </w:rPr>
              <w:t>Constituent materials (kg/m</w:t>
            </w:r>
            <w:r w:rsidRPr="00385DB8">
              <w:rPr>
                <w:b/>
                <w:bCs/>
                <w:sz w:val="18"/>
                <w:szCs w:val="18"/>
                <w:vertAlign w:val="superscript"/>
                <w:lang w:eastAsia="en-US"/>
              </w:rPr>
              <w:t>3</w:t>
            </w:r>
            <w:r w:rsidRPr="00385DB8">
              <w:rPr>
                <w:b/>
                <w:bCs/>
                <w:sz w:val="18"/>
                <w:szCs w:val="18"/>
                <w:lang w:eastAsia="en-US"/>
              </w:rPr>
              <w:t>)</w:t>
            </w:r>
          </w:p>
        </w:tc>
        <w:tc>
          <w:tcPr>
            <w:tcW w:w="1800" w:type="dxa"/>
            <w:gridSpan w:val="3"/>
            <w:vMerge w:val="restart"/>
            <w:tcBorders>
              <w:top w:val="single" w:sz="4" w:space="0" w:color="auto"/>
              <w:bottom w:val="single" w:sz="6" w:space="0" w:color="auto"/>
            </w:tcBorders>
            <w:vAlign w:val="center"/>
          </w:tcPr>
          <w:p w14:paraId="6795A520" w14:textId="77777777" w:rsidR="0014412B" w:rsidRPr="00385DB8" w:rsidRDefault="0014412B" w:rsidP="00BC1937">
            <w:pPr>
              <w:pStyle w:val="BodyText"/>
              <w:tabs>
                <w:tab w:val="left" w:pos="180"/>
              </w:tabs>
              <w:jc w:val="center"/>
              <w:rPr>
                <w:b/>
                <w:bCs/>
                <w:sz w:val="18"/>
                <w:szCs w:val="18"/>
                <w:lang w:eastAsia="en-US"/>
              </w:rPr>
            </w:pPr>
            <w:r w:rsidRPr="00385DB8">
              <w:rPr>
                <w:b/>
                <w:bCs/>
                <w:sz w:val="18"/>
                <w:szCs w:val="18"/>
                <w:lang w:eastAsia="en-US"/>
              </w:rPr>
              <w:t>Constituent ratios</w:t>
            </w:r>
          </w:p>
        </w:tc>
        <w:tc>
          <w:tcPr>
            <w:tcW w:w="1980" w:type="dxa"/>
            <w:gridSpan w:val="3"/>
            <w:tcBorders>
              <w:top w:val="single" w:sz="4" w:space="0" w:color="auto"/>
              <w:bottom w:val="single" w:sz="6" w:space="0" w:color="auto"/>
              <w:right w:val="single" w:sz="4" w:space="0" w:color="auto"/>
            </w:tcBorders>
            <w:vAlign w:val="center"/>
            <w:hideMark/>
          </w:tcPr>
          <w:p w14:paraId="72ECA4D9" w14:textId="77777777" w:rsidR="0014412B" w:rsidRPr="00385DB8" w:rsidRDefault="0014412B" w:rsidP="00BC1937">
            <w:pPr>
              <w:pStyle w:val="BodyText"/>
              <w:tabs>
                <w:tab w:val="clear" w:pos="0"/>
                <w:tab w:val="left" w:pos="180"/>
              </w:tabs>
              <w:jc w:val="center"/>
              <w:rPr>
                <w:b/>
                <w:bCs/>
                <w:sz w:val="18"/>
                <w:szCs w:val="18"/>
                <w:lang w:eastAsia="en-US"/>
              </w:rPr>
            </w:pPr>
            <w:r w:rsidRPr="00385DB8">
              <w:rPr>
                <w:b/>
                <w:bCs/>
                <w:sz w:val="18"/>
                <w:szCs w:val="18"/>
                <w:lang w:eastAsia="en-US"/>
              </w:rPr>
              <w:t>Flow properties</w:t>
            </w:r>
          </w:p>
        </w:tc>
      </w:tr>
      <w:tr w:rsidR="0014412B" w:rsidRPr="00AC13EC" w14:paraId="20E56029" w14:textId="77777777" w:rsidTr="00BC1937">
        <w:trPr>
          <w:trHeight w:val="450"/>
        </w:trPr>
        <w:tc>
          <w:tcPr>
            <w:tcW w:w="720" w:type="dxa"/>
            <w:vMerge w:val="restart"/>
            <w:tcBorders>
              <w:top w:val="single" w:sz="6" w:space="0" w:color="auto"/>
              <w:left w:val="single" w:sz="4" w:space="0" w:color="auto"/>
              <w:bottom w:val="single" w:sz="6" w:space="0" w:color="auto"/>
            </w:tcBorders>
            <w:vAlign w:val="center"/>
            <w:hideMark/>
          </w:tcPr>
          <w:p w14:paraId="0744F678" w14:textId="77777777" w:rsidR="0014412B" w:rsidRPr="00AC13EC" w:rsidRDefault="0014412B" w:rsidP="00BC1937">
            <w:pPr>
              <w:pStyle w:val="BodyText"/>
              <w:tabs>
                <w:tab w:val="clear" w:pos="0"/>
                <w:tab w:val="clear" w:pos="234"/>
              </w:tabs>
              <w:ind w:left="-112" w:right="-104"/>
              <w:jc w:val="center"/>
              <w:rPr>
                <w:bCs/>
                <w:sz w:val="18"/>
                <w:szCs w:val="18"/>
                <w:lang w:eastAsia="en-US"/>
              </w:rPr>
            </w:pPr>
            <w:r w:rsidRPr="00AC13EC">
              <w:rPr>
                <w:bCs/>
                <w:sz w:val="18"/>
                <w:szCs w:val="18"/>
                <w:lang w:eastAsia="en-US"/>
              </w:rPr>
              <w:t>Cement</w:t>
            </w:r>
          </w:p>
        </w:tc>
        <w:tc>
          <w:tcPr>
            <w:tcW w:w="540" w:type="dxa"/>
            <w:vMerge w:val="restart"/>
            <w:tcBorders>
              <w:top w:val="single" w:sz="6" w:space="0" w:color="auto"/>
              <w:bottom w:val="single" w:sz="6" w:space="0" w:color="auto"/>
            </w:tcBorders>
            <w:vAlign w:val="center"/>
          </w:tcPr>
          <w:p w14:paraId="7BB00AAB" w14:textId="77777777" w:rsidR="0014412B" w:rsidRPr="00AC13EC" w:rsidRDefault="0014412B" w:rsidP="00BC1937">
            <w:pPr>
              <w:pStyle w:val="BodyText"/>
              <w:tabs>
                <w:tab w:val="clear" w:pos="0"/>
                <w:tab w:val="clear" w:pos="234"/>
              </w:tabs>
              <w:ind w:left="-112" w:right="-42"/>
              <w:jc w:val="center"/>
              <w:rPr>
                <w:bCs/>
                <w:sz w:val="18"/>
                <w:szCs w:val="18"/>
                <w:lang w:eastAsia="en-US"/>
              </w:rPr>
            </w:pPr>
            <w:r w:rsidRPr="00AC13EC">
              <w:rPr>
                <w:bCs/>
                <w:sz w:val="18"/>
                <w:szCs w:val="18"/>
                <w:lang w:eastAsia="en-US"/>
              </w:rPr>
              <w:t>Fly ash</w:t>
            </w:r>
          </w:p>
        </w:tc>
        <w:tc>
          <w:tcPr>
            <w:tcW w:w="720" w:type="dxa"/>
            <w:vMerge w:val="restart"/>
            <w:tcBorders>
              <w:top w:val="single" w:sz="6" w:space="0" w:color="auto"/>
              <w:bottom w:val="single" w:sz="6" w:space="0" w:color="auto"/>
            </w:tcBorders>
            <w:vAlign w:val="center"/>
            <w:hideMark/>
          </w:tcPr>
          <w:p w14:paraId="2B96415A" w14:textId="77777777" w:rsidR="0014412B" w:rsidRPr="00AC13EC" w:rsidRDefault="0014412B" w:rsidP="00BC1937">
            <w:pPr>
              <w:pStyle w:val="BodyText"/>
              <w:tabs>
                <w:tab w:val="clear" w:pos="0"/>
                <w:tab w:val="clear" w:pos="234"/>
                <w:tab w:val="clear" w:pos="720"/>
              </w:tabs>
              <w:ind w:left="-110" w:right="-104"/>
              <w:jc w:val="center"/>
              <w:rPr>
                <w:bCs/>
                <w:sz w:val="18"/>
                <w:szCs w:val="18"/>
                <w:lang w:eastAsia="en-US"/>
              </w:rPr>
            </w:pPr>
            <w:r w:rsidRPr="00AC13EC">
              <w:rPr>
                <w:bCs/>
                <w:sz w:val="18"/>
                <w:szCs w:val="18"/>
                <w:lang w:eastAsia="en-US"/>
              </w:rPr>
              <w:t>Coarse aggregate</w:t>
            </w:r>
          </w:p>
        </w:tc>
        <w:tc>
          <w:tcPr>
            <w:tcW w:w="810" w:type="dxa"/>
            <w:vMerge w:val="restart"/>
            <w:tcBorders>
              <w:top w:val="single" w:sz="6" w:space="0" w:color="auto"/>
              <w:bottom w:val="single" w:sz="6" w:space="0" w:color="auto"/>
            </w:tcBorders>
            <w:vAlign w:val="center"/>
            <w:hideMark/>
          </w:tcPr>
          <w:p w14:paraId="3E55DDA8" w14:textId="77777777" w:rsidR="0014412B" w:rsidRPr="00AC13EC" w:rsidRDefault="0014412B" w:rsidP="00BC1937">
            <w:pPr>
              <w:pStyle w:val="BodyText"/>
              <w:tabs>
                <w:tab w:val="clear" w:pos="0"/>
                <w:tab w:val="left" w:pos="180"/>
              </w:tabs>
              <w:ind w:left="-108" w:right="-110"/>
              <w:jc w:val="center"/>
              <w:rPr>
                <w:bCs/>
                <w:sz w:val="18"/>
                <w:szCs w:val="18"/>
                <w:lang w:eastAsia="en-US"/>
              </w:rPr>
            </w:pPr>
            <w:r w:rsidRPr="00AC13EC">
              <w:rPr>
                <w:bCs/>
                <w:sz w:val="18"/>
                <w:szCs w:val="18"/>
                <w:lang w:eastAsia="en-US"/>
              </w:rPr>
              <w:t>Fine aggregate</w:t>
            </w:r>
          </w:p>
        </w:tc>
        <w:tc>
          <w:tcPr>
            <w:tcW w:w="630" w:type="dxa"/>
            <w:vMerge w:val="restart"/>
            <w:tcBorders>
              <w:top w:val="single" w:sz="6" w:space="0" w:color="auto"/>
              <w:bottom w:val="single" w:sz="6" w:space="0" w:color="auto"/>
            </w:tcBorders>
            <w:vAlign w:val="center"/>
            <w:hideMark/>
          </w:tcPr>
          <w:p w14:paraId="7F254633" w14:textId="77777777" w:rsidR="0014412B" w:rsidRPr="00AC13EC" w:rsidRDefault="0014412B" w:rsidP="00BC1937">
            <w:pPr>
              <w:pStyle w:val="BodyText"/>
              <w:tabs>
                <w:tab w:val="clear" w:pos="0"/>
                <w:tab w:val="left" w:pos="180"/>
              </w:tabs>
              <w:ind w:left="-106" w:right="-168"/>
              <w:jc w:val="center"/>
              <w:rPr>
                <w:bCs/>
                <w:sz w:val="18"/>
                <w:szCs w:val="18"/>
                <w:lang w:eastAsia="en-US"/>
              </w:rPr>
            </w:pPr>
            <w:r w:rsidRPr="00AC13EC">
              <w:rPr>
                <w:bCs/>
                <w:sz w:val="18"/>
                <w:szCs w:val="18"/>
                <w:lang w:eastAsia="en-US"/>
              </w:rPr>
              <w:t>Water</w:t>
            </w:r>
          </w:p>
        </w:tc>
        <w:tc>
          <w:tcPr>
            <w:tcW w:w="810" w:type="dxa"/>
            <w:vMerge w:val="restart"/>
            <w:tcBorders>
              <w:top w:val="single" w:sz="6" w:space="0" w:color="auto"/>
              <w:bottom w:val="single" w:sz="6" w:space="0" w:color="auto"/>
            </w:tcBorders>
            <w:vAlign w:val="center"/>
            <w:hideMark/>
          </w:tcPr>
          <w:p w14:paraId="5403205E" w14:textId="77777777" w:rsidR="0014412B" w:rsidRPr="00AC13EC" w:rsidRDefault="0014412B" w:rsidP="00BC1937">
            <w:pPr>
              <w:pStyle w:val="BodyText"/>
              <w:tabs>
                <w:tab w:val="clear" w:pos="0"/>
                <w:tab w:val="left" w:pos="180"/>
              </w:tabs>
              <w:ind w:left="-110" w:right="-44"/>
              <w:jc w:val="center"/>
              <w:rPr>
                <w:bCs/>
                <w:sz w:val="18"/>
                <w:szCs w:val="18"/>
                <w:lang w:eastAsia="en-US"/>
              </w:rPr>
            </w:pPr>
            <w:r w:rsidRPr="00AC13EC">
              <w:rPr>
                <w:bCs/>
                <w:sz w:val="18"/>
                <w:szCs w:val="18"/>
                <w:lang w:eastAsia="en-US"/>
              </w:rPr>
              <w:t>Super plasticizer</w:t>
            </w:r>
          </w:p>
        </w:tc>
        <w:tc>
          <w:tcPr>
            <w:tcW w:w="900" w:type="dxa"/>
            <w:vMerge w:val="restart"/>
            <w:tcBorders>
              <w:top w:val="single" w:sz="6" w:space="0" w:color="auto"/>
              <w:bottom w:val="single" w:sz="6" w:space="0" w:color="auto"/>
            </w:tcBorders>
          </w:tcPr>
          <w:p w14:paraId="16FD8A25" w14:textId="77777777" w:rsidR="0014412B" w:rsidRPr="00AC13EC" w:rsidRDefault="0014412B" w:rsidP="00BC1937">
            <w:pPr>
              <w:pStyle w:val="BodyText"/>
              <w:tabs>
                <w:tab w:val="clear" w:pos="0"/>
                <w:tab w:val="clear" w:pos="1440"/>
                <w:tab w:val="left" w:pos="180"/>
              </w:tabs>
              <w:ind w:left="-112" w:right="-84"/>
              <w:jc w:val="center"/>
              <w:rPr>
                <w:bCs/>
                <w:sz w:val="18"/>
                <w:szCs w:val="18"/>
                <w:lang w:eastAsia="en-US"/>
              </w:rPr>
            </w:pPr>
            <w:r w:rsidRPr="00AC13EC">
              <w:rPr>
                <w:bCs/>
                <w:sz w:val="18"/>
                <w:szCs w:val="18"/>
                <w:lang w:eastAsia="en-US"/>
              </w:rPr>
              <w:t>Viscosity modifying admixture</w:t>
            </w:r>
          </w:p>
        </w:tc>
        <w:tc>
          <w:tcPr>
            <w:tcW w:w="1800" w:type="dxa"/>
            <w:gridSpan w:val="3"/>
            <w:vMerge/>
            <w:tcBorders>
              <w:top w:val="single" w:sz="6" w:space="0" w:color="auto"/>
              <w:bottom w:val="single" w:sz="6" w:space="0" w:color="auto"/>
            </w:tcBorders>
            <w:vAlign w:val="center"/>
            <w:hideMark/>
          </w:tcPr>
          <w:p w14:paraId="17A978AC" w14:textId="77777777" w:rsidR="0014412B" w:rsidRPr="00AC13EC" w:rsidRDefault="0014412B" w:rsidP="00BC1937">
            <w:pPr>
              <w:pStyle w:val="BodyText"/>
              <w:tabs>
                <w:tab w:val="clear" w:pos="0"/>
                <w:tab w:val="left" w:pos="180"/>
              </w:tabs>
              <w:jc w:val="center"/>
              <w:rPr>
                <w:bCs/>
                <w:sz w:val="18"/>
                <w:szCs w:val="18"/>
                <w:lang w:eastAsia="en-US"/>
              </w:rPr>
            </w:pPr>
          </w:p>
        </w:tc>
        <w:tc>
          <w:tcPr>
            <w:tcW w:w="540" w:type="dxa"/>
            <w:vMerge w:val="restart"/>
            <w:tcBorders>
              <w:top w:val="single" w:sz="6" w:space="0" w:color="auto"/>
              <w:bottom w:val="single" w:sz="6" w:space="0" w:color="auto"/>
            </w:tcBorders>
            <w:vAlign w:val="center"/>
            <w:hideMark/>
          </w:tcPr>
          <w:p w14:paraId="5B87200C" w14:textId="77777777" w:rsidR="0014412B" w:rsidRDefault="0014412B" w:rsidP="00BC1937">
            <w:pPr>
              <w:ind w:left="-110" w:right="-108"/>
              <w:jc w:val="center"/>
              <w:rPr>
                <w:bCs/>
                <w:sz w:val="18"/>
                <w:szCs w:val="18"/>
              </w:rPr>
            </w:pPr>
            <w:r>
              <w:rPr>
                <w:bCs/>
                <w:sz w:val="18"/>
                <w:szCs w:val="18"/>
              </w:rPr>
              <w:t>Slump Flow</w:t>
            </w:r>
          </w:p>
          <w:p w14:paraId="69E543B9" w14:textId="77777777" w:rsidR="0014412B" w:rsidRPr="00AC13EC" w:rsidRDefault="0014412B" w:rsidP="00BC1937">
            <w:pPr>
              <w:ind w:left="-110" w:right="-108"/>
              <w:jc w:val="center"/>
              <w:rPr>
                <w:bCs/>
                <w:sz w:val="18"/>
                <w:szCs w:val="18"/>
              </w:rPr>
            </w:pPr>
            <w:r>
              <w:rPr>
                <w:bCs/>
                <w:sz w:val="18"/>
                <w:szCs w:val="18"/>
              </w:rPr>
              <w:t>(mm)</w:t>
            </w:r>
          </w:p>
        </w:tc>
        <w:tc>
          <w:tcPr>
            <w:tcW w:w="810" w:type="dxa"/>
            <w:vMerge w:val="restart"/>
            <w:tcBorders>
              <w:top w:val="single" w:sz="6" w:space="0" w:color="auto"/>
              <w:bottom w:val="single" w:sz="6" w:space="0" w:color="auto"/>
            </w:tcBorders>
            <w:vAlign w:val="center"/>
          </w:tcPr>
          <w:p w14:paraId="1B640878" w14:textId="77777777" w:rsidR="0014412B" w:rsidRDefault="0014412B" w:rsidP="00BC1937">
            <w:pPr>
              <w:ind w:left="-106" w:right="-106"/>
              <w:jc w:val="center"/>
              <w:rPr>
                <w:bCs/>
                <w:sz w:val="18"/>
                <w:szCs w:val="18"/>
              </w:rPr>
            </w:pPr>
            <w:r>
              <w:rPr>
                <w:bCs/>
                <w:sz w:val="18"/>
                <w:szCs w:val="18"/>
              </w:rPr>
              <w:t>V-Funnel</w:t>
            </w:r>
          </w:p>
          <w:p w14:paraId="67A5AB86" w14:textId="77777777" w:rsidR="0014412B" w:rsidRPr="00AC13EC" w:rsidRDefault="0014412B" w:rsidP="00BC1937">
            <w:pPr>
              <w:ind w:left="-106" w:right="-106"/>
              <w:jc w:val="center"/>
              <w:rPr>
                <w:bCs/>
                <w:sz w:val="18"/>
                <w:szCs w:val="18"/>
              </w:rPr>
            </w:pPr>
            <w:r>
              <w:rPr>
                <w:bCs/>
                <w:sz w:val="18"/>
                <w:szCs w:val="18"/>
              </w:rPr>
              <w:t>(sec)</w:t>
            </w:r>
          </w:p>
        </w:tc>
        <w:tc>
          <w:tcPr>
            <w:tcW w:w="630" w:type="dxa"/>
            <w:vMerge w:val="restart"/>
            <w:tcBorders>
              <w:top w:val="single" w:sz="6" w:space="0" w:color="auto"/>
              <w:bottom w:val="single" w:sz="6" w:space="0" w:color="auto"/>
              <w:right w:val="single" w:sz="4" w:space="0" w:color="auto"/>
            </w:tcBorders>
            <w:vAlign w:val="center"/>
          </w:tcPr>
          <w:p w14:paraId="59B21BE7" w14:textId="77777777" w:rsidR="0014412B" w:rsidRPr="00AC13EC" w:rsidRDefault="0014412B" w:rsidP="00BC1937">
            <w:pPr>
              <w:ind w:left="-112" w:right="-110"/>
              <w:jc w:val="center"/>
              <w:rPr>
                <w:bCs/>
                <w:sz w:val="18"/>
                <w:szCs w:val="18"/>
              </w:rPr>
            </w:pPr>
            <w:r>
              <w:rPr>
                <w:bCs/>
                <w:sz w:val="18"/>
                <w:szCs w:val="18"/>
              </w:rPr>
              <w:t>L-Box</w:t>
            </w:r>
          </w:p>
        </w:tc>
      </w:tr>
      <w:tr w:rsidR="0014412B" w:rsidRPr="00AC13EC" w14:paraId="766D6720" w14:textId="77777777" w:rsidTr="00BC1937">
        <w:trPr>
          <w:trHeight w:val="450"/>
        </w:trPr>
        <w:tc>
          <w:tcPr>
            <w:tcW w:w="720" w:type="dxa"/>
            <w:vMerge/>
            <w:tcBorders>
              <w:top w:val="single" w:sz="6" w:space="0" w:color="auto"/>
              <w:left w:val="single" w:sz="4" w:space="0" w:color="auto"/>
              <w:bottom w:val="single" w:sz="6" w:space="0" w:color="auto"/>
            </w:tcBorders>
            <w:vAlign w:val="center"/>
            <w:hideMark/>
          </w:tcPr>
          <w:p w14:paraId="1AA6C64F" w14:textId="77777777" w:rsidR="0014412B" w:rsidRPr="00AC13EC" w:rsidRDefault="0014412B" w:rsidP="00BC1937">
            <w:pPr>
              <w:jc w:val="center"/>
              <w:rPr>
                <w:bCs/>
                <w:sz w:val="18"/>
                <w:szCs w:val="18"/>
              </w:rPr>
            </w:pPr>
          </w:p>
        </w:tc>
        <w:tc>
          <w:tcPr>
            <w:tcW w:w="540" w:type="dxa"/>
            <w:vMerge/>
            <w:tcBorders>
              <w:top w:val="single" w:sz="6" w:space="0" w:color="auto"/>
              <w:bottom w:val="single" w:sz="6" w:space="0" w:color="auto"/>
            </w:tcBorders>
          </w:tcPr>
          <w:p w14:paraId="0B128E22" w14:textId="77777777" w:rsidR="0014412B" w:rsidRPr="00AC13EC" w:rsidRDefault="0014412B" w:rsidP="00BC1937">
            <w:pPr>
              <w:jc w:val="center"/>
              <w:rPr>
                <w:bCs/>
                <w:sz w:val="18"/>
                <w:szCs w:val="18"/>
              </w:rPr>
            </w:pPr>
          </w:p>
        </w:tc>
        <w:tc>
          <w:tcPr>
            <w:tcW w:w="720" w:type="dxa"/>
            <w:vMerge/>
            <w:tcBorders>
              <w:top w:val="single" w:sz="6" w:space="0" w:color="auto"/>
              <w:bottom w:val="single" w:sz="6" w:space="0" w:color="auto"/>
            </w:tcBorders>
            <w:vAlign w:val="center"/>
            <w:hideMark/>
          </w:tcPr>
          <w:p w14:paraId="61E36220" w14:textId="77777777" w:rsidR="0014412B" w:rsidRPr="00AC13EC" w:rsidRDefault="0014412B" w:rsidP="00BC1937">
            <w:pPr>
              <w:jc w:val="center"/>
              <w:rPr>
                <w:bCs/>
                <w:sz w:val="18"/>
                <w:szCs w:val="18"/>
              </w:rPr>
            </w:pPr>
          </w:p>
        </w:tc>
        <w:tc>
          <w:tcPr>
            <w:tcW w:w="810" w:type="dxa"/>
            <w:vMerge/>
            <w:tcBorders>
              <w:top w:val="single" w:sz="6" w:space="0" w:color="auto"/>
              <w:bottom w:val="single" w:sz="6" w:space="0" w:color="auto"/>
            </w:tcBorders>
            <w:vAlign w:val="center"/>
            <w:hideMark/>
          </w:tcPr>
          <w:p w14:paraId="6B38532B" w14:textId="77777777" w:rsidR="0014412B" w:rsidRPr="00AC13EC" w:rsidRDefault="0014412B" w:rsidP="00BC1937">
            <w:pPr>
              <w:jc w:val="center"/>
              <w:rPr>
                <w:bCs/>
                <w:sz w:val="18"/>
                <w:szCs w:val="18"/>
              </w:rPr>
            </w:pPr>
          </w:p>
        </w:tc>
        <w:tc>
          <w:tcPr>
            <w:tcW w:w="630" w:type="dxa"/>
            <w:vMerge/>
            <w:tcBorders>
              <w:top w:val="single" w:sz="6" w:space="0" w:color="auto"/>
              <w:bottom w:val="single" w:sz="6" w:space="0" w:color="auto"/>
            </w:tcBorders>
            <w:vAlign w:val="center"/>
            <w:hideMark/>
          </w:tcPr>
          <w:p w14:paraId="6ADB87E3" w14:textId="77777777" w:rsidR="0014412B" w:rsidRPr="00AC13EC" w:rsidRDefault="0014412B" w:rsidP="00BC1937">
            <w:pPr>
              <w:jc w:val="center"/>
              <w:rPr>
                <w:bCs/>
                <w:sz w:val="18"/>
                <w:szCs w:val="18"/>
              </w:rPr>
            </w:pPr>
          </w:p>
        </w:tc>
        <w:tc>
          <w:tcPr>
            <w:tcW w:w="810" w:type="dxa"/>
            <w:vMerge/>
            <w:tcBorders>
              <w:top w:val="single" w:sz="6" w:space="0" w:color="auto"/>
              <w:bottom w:val="single" w:sz="6" w:space="0" w:color="auto"/>
            </w:tcBorders>
            <w:vAlign w:val="center"/>
            <w:hideMark/>
          </w:tcPr>
          <w:p w14:paraId="02F905A1" w14:textId="77777777" w:rsidR="0014412B" w:rsidRPr="00AC13EC" w:rsidRDefault="0014412B" w:rsidP="00BC1937">
            <w:pPr>
              <w:jc w:val="center"/>
              <w:rPr>
                <w:bCs/>
                <w:sz w:val="18"/>
                <w:szCs w:val="18"/>
              </w:rPr>
            </w:pPr>
          </w:p>
        </w:tc>
        <w:tc>
          <w:tcPr>
            <w:tcW w:w="900" w:type="dxa"/>
            <w:vMerge/>
            <w:tcBorders>
              <w:top w:val="single" w:sz="6" w:space="0" w:color="auto"/>
              <w:bottom w:val="single" w:sz="6" w:space="0" w:color="auto"/>
            </w:tcBorders>
          </w:tcPr>
          <w:p w14:paraId="2659B633" w14:textId="77777777" w:rsidR="0014412B" w:rsidRPr="00AC13EC" w:rsidRDefault="0014412B" w:rsidP="00BC1937">
            <w:pPr>
              <w:pStyle w:val="BodyText"/>
              <w:tabs>
                <w:tab w:val="clear" w:pos="0"/>
                <w:tab w:val="left" w:pos="180"/>
              </w:tabs>
              <w:jc w:val="center"/>
              <w:rPr>
                <w:bCs/>
                <w:sz w:val="18"/>
                <w:szCs w:val="18"/>
                <w:lang w:eastAsia="en-US"/>
              </w:rPr>
            </w:pPr>
          </w:p>
        </w:tc>
        <w:tc>
          <w:tcPr>
            <w:tcW w:w="540" w:type="dxa"/>
            <w:vMerge w:val="restart"/>
            <w:tcBorders>
              <w:top w:val="single" w:sz="6" w:space="0" w:color="auto"/>
              <w:bottom w:val="single" w:sz="6" w:space="0" w:color="auto"/>
            </w:tcBorders>
            <w:vAlign w:val="center"/>
            <w:hideMark/>
          </w:tcPr>
          <w:p w14:paraId="5AAF8BA9" w14:textId="77777777" w:rsidR="0014412B" w:rsidRPr="00A85716" w:rsidRDefault="00000000" w:rsidP="00BC1937">
            <w:pPr>
              <w:pStyle w:val="BodyText"/>
              <w:tabs>
                <w:tab w:val="clear" w:pos="0"/>
                <w:tab w:val="left" w:pos="180"/>
              </w:tabs>
              <w:ind w:left="-108" w:right="-122"/>
              <w:jc w:val="center"/>
              <w:rPr>
                <w:bCs/>
                <w:sz w:val="18"/>
                <w:szCs w:val="18"/>
                <w:lang w:eastAsia="en-US"/>
              </w:rPr>
            </w:pPr>
            <m:oMathPara>
              <m:oMath>
                <m:f>
                  <m:fPr>
                    <m:ctrlPr>
                      <w:rPr>
                        <w:rFonts w:ascii="Cambria Math" w:hAnsi="Cambria Math"/>
                        <w:bCs/>
                        <w:sz w:val="18"/>
                        <w:szCs w:val="18"/>
                        <w:lang w:eastAsia="en-US"/>
                      </w:rPr>
                    </m:ctrlPr>
                  </m:fPr>
                  <m:num>
                    <m:r>
                      <m:rPr>
                        <m:sty m:val="p"/>
                      </m:rPr>
                      <w:rPr>
                        <w:rFonts w:ascii="Cambria Math" w:hAnsi="Cambria Math"/>
                        <w:sz w:val="18"/>
                        <w:szCs w:val="18"/>
                        <w:lang w:eastAsia="en-US"/>
                      </w:rPr>
                      <m:t>W</m:t>
                    </m:r>
                  </m:num>
                  <m:den>
                    <m:r>
                      <m:rPr>
                        <m:sty m:val="p"/>
                      </m:rPr>
                      <w:rPr>
                        <w:rFonts w:ascii="Cambria Math" w:hAnsi="Cambria Math"/>
                        <w:sz w:val="18"/>
                        <w:szCs w:val="18"/>
                        <w:lang w:eastAsia="en-US"/>
                      </w:rPr>
                      <m:t>C</m:t>
                    </m:r>
                  </m:den>
                </m:f>
              </m:oMath>
            </m:oMathPara>
          </w:p>
        </w:tc>
        <w:tc>
          <w:tcPr>
            <w:tcW w:w="630" w:type="dxa"/>
            <w:vMerge w:val="restart"/>
            <w:tcBorders>
              <w:top w:val="single" w:sz="6" w:space="0" w:color="auto"/>
              <w:bottom w:val="single" w:sz="6" w:space="0" w:color="auto"/>
            </w:tcBorders>
            <w:vAlign w:val="center"/>
            <w:hideMark/>
          </w:tcPr>
          <w:p w14:paraId="1B8DA7AA" w14:textId="77777777" w:rsidR="0014412B" w:rsidRPr="00A85716" w:rsidRDefault="00000000" w:rsidP="00BC1937">
            <w:pPr>
              <w:pStyle w:val="BodyText"/>
              <w:tabs>
                <w:tab w:val="clear" w:pos="0"/>
                <w:tab w:val="left" w:pos="180"/>
              </w:tabs>
              <w:ind w:left="-112" w:right="-106"/>
              <w:jc w:val="center"/>
              <w:rPr>
                <w:bCs/>
                <w:sz w:val="18"/>
                <w:szCs w:val="18"/>
                <w:lang w:eastAsia="en-US"/>
              </w:rPr>
            </w:pPr>
            <m:oMathPara>
              <m:oMath>
                <m:f>
                  <m:fPr>
                    <m:ctrlPr>
                      <w:rPr>
                        <w:rFonts w:ascii="Cambria Math" w:hAnsi="Cambria Math"/>
                        <w:bCs/>
                        <w:sz w:val="18"/>
                        <w:szCs w:val="18"/>
                        <w:lang w:eastAsia="en-US"/>
                      </w:rPr>
                    </m:ctrlPr>
                  </m:fPr>
                  <m:num>
                    <m:r>
                      <m:rPr>
                        <m:sty m:val="p"/>
                      </m:rPr>
                      <w:rPr>
                        <w:rFonts w:ascii="Cambria Math" w:hAnsi="Cambria Math"/>
                        <w:sz w:val="18"/>
                        <w:szCs w:val="18"/>
                        <w:lang w:eastAsia="en-US"/>
                      </w:rPr>
                      <m:t>W</m:t>
                    </m:r>
                  </m:num>
                  <m:den>
                    <m:r>
                      <m:rPr>
                        <m:sty m:val="p"/>
                      </m:rPr>
                      <w:rPr>
                        <w:rFonts w:ascii="Cambria Math" w:hAnsi="Cambria Math"/>
                        <w:sz w:val="18"/>
                        <w:szCs w:val="18"/>
                        <w:lang w:eastAsia="en-US"/>
                      </w:rPr>
                      <m:t>(C+F)</m:t>
                    </m:r>
                  </m:den>
                </m:f>
              </m:oMath>
            </m:oMathPara>
          </w:p>
        </w:tc>
        <w:tc>
          <w:tcPr>
            <w:tcW w:w="630" w:type="dxa"/>
            <w:vMerge w:val="restart"/>
            <w:tcBorders>
              <w:top w:val="single" w:sz="6" w:space="0" w:color="auto"/>
              <w:bottom w:val="single" w:sz="6" w:space="0" w:color="auto"/>
            </w:tcBorders>
            <w:vAlign w:val="center"/>
            <w:hideMark/>
          </w:tcPr>
          <w:p w14:paraId="2465F35C" w14:textId="77777777" w:rsidR="0014412B" w:rsidRPr="00A85716" w:rsidRDefault="00000000" w:rsidP="00BC1937">
            <w:pPr>
              <w:ind w:left="-108" w:right="-106"/>
              <w:jc w:val="center"/>
              <w:rPr>
                <w:bCs/>
                <w:sz w:val="18"/>
                <w:szCs w:val="18"/>
              </w:rPr>
            </w:pPr>
            <m:oMathPara>
              <m:oMath>
                <m:f>
                  <m:fPr>
                    <m:ctrlPr>
                      <w:rPr>
                        <w:rFonts w:ascii="Cambria Math" w:hAnsi="Cambria Math"/>
                        <w:bCs/>
                        <w:sz w:val="18"/>
                        <w:szCs w:val="18"/>
                      </w:rPr>
                    </m:ctrlPr>
                  </m:fPr>
                  <m:num>
                    <m:r>
                      <m:rPr>
                        <m:sty m:val="p"/>
                      </m:rPr>
                      <w:rPr>
                        <w:rFonts w:ascii="Cambria Math" w:hAnsi="Cambria Math"/>
                        <w:sz w:val="18"/>
                        <w:szCs w:val="18"/>
                      </w:rPr>
                      <m:t>CA</m:t>
                    </m:r>
                  </m:num>
                  <m:den>
                    <m:r>
                      <m:rPr>
                        <m:sty m:val="p"/>
                      </m:rPr>
                      <w:rPr>
                        <w:rFonts w:ascii="Cambria Math" w:hAnsi="Cambria Math"/>
                        <w:sz w:val="18"/>
                        <w:szCs w:val="18"/>
                      </w:rPr>
                      <m:t>FA</m:t>
                    </m:r>
                  </m:den>
                </m:f>
              </m:oMath>
            </m:oMathPara>
          </w:p>
        </w:tc>
        <w:tc>
          <w:tcPr>
            <w:tcW w:w="540" w:type="dxa"/>
            <w:vMerge/>
            <w:tcBorders>
              <w:top w:val="single" w:sz="6" w:space="0" w:color="auto"/>
              <w:bottom w:val="single" w:sz="6" w:space="0" w:color="auto"/>
            </w:tcBorders>
            <w:vAlign w:val="center"/>
            <w:hideMark/>
          </w:tcPr>
          <w:p w14:paraId="7635D8A6" w14:textId="77777777" w:rsidR="0014412B" w:rsidRPr="00AC13EC" w:rsidRDefault="0014412B" w:rsidP="00BC1937">
            <w:pPr>
              <w:jc w:val="center"/>
              <w:rPr>
                <w:bCs/>
                <w:sz w:val="18"/>
                <w:szCs w:val="18"/>
              </w:rPr>
            </w:pPr>
          </w:p>
        </w:tc>
        <w:tc>
          <w:tcPr>
            <w:tcW w:w="810" w:type="dxa"/>
            <w:vMerge/>
            <w:tcBorders>
              <w:top w:val="single" w:sz="6" w:space="0" w:color="auto"/>
              <w:bottom w:val="single" w:sz="6" w:space="0" w:color="auto"/>
            </w:tcBorders>
          </w:tcPr>
          <w:p w14:paraId="0AC55C68" w14:textId="77777777" w:rsidR="0014412B" w:rsidRPr="00AC13EC" w:rsidRDefault="0014412B" w:rsidP="00BC1937">
            <w:pPr>
              <w:jc w:val="center"/>
              <w:rPr>
                <w:bCs/>
                <w:sz w:val="18"/>
                <w:szCs w:val="18"/>
              </w:rPr>
            </w:pPr>
          </w:p>
        </w:tc>
        <w:tc>
          <w:tcPr>
            <w:tcW w:w="630" w:type="dxa"/>
            <w:vMerge/>
            <w:tcBorders>
              <w:top w:val="single" w:sz="6" w:space="0" w:color="auto"/>
              <w:bottom w:val="single" w:sz="6" w:space="0" w:color="auto"/>
              <w:right w:val="single" w:sz="4" w:space="0" w:color="auto"/>
            </w:tcBorders>
          </w:tcPr>
          <w:p w14:paraId="5076BE3F" w14:textId="77777777" w:rsidR="0014412B" w:rsidRPr="00AC13EC" w:rsidRDefault="0014412B" w:rsidP="00BC1937">
            <w:pPr>
              <w:jc w:val="center"/>
              <w:rPr>
                <w:bCs/>
                <w:sz w:val="18"/>
                <w:szCs w:val="18"/>
              </w:rPr>
            </w:pPr>
          </w:p>
        </w:tc>
      </w:tr>
      <w:tr w:rsidR="0014412B" w:rsidRPr="00AC13EC" w14:paraId="656F6192" w14:textId="77777777" w:rsidTr="00BC1937">
        <w:trPr>
          <w:trHeight w:val="561"/>
        </w:trPr>
        <w:tc>
          <w:tcPr>
            <w:tcW w:w="720" w:type="dxa"/>
            <w:tcBorders>
              <w:top w:val="single" w:sz="6" w:space="0" w:color="auto"/>
              <w:left w:val="single" w:sz="4" w:space="0" w:color="auto"/>
              <w:bottom w:val="single" w:sz="4" w:space="0" w:color="auto"/>
            </w:tcBorders>
            <w:vAlign w:val="center"/>
            <w:hideMark/>
          </w:tcPr>
          <w:p w14:paraId="5E1A3A92" w14:textId="77777777" w:rsidR="0014412B" w:rsidRPr="00AC13EC" w:rsidRDefault="0014412B" w:rsidP="00BC1937">
            <w:pPr>
              <w:pStyle w:val="BodyText"/>
              <w:tabs>
                <w:tab w:val="clear" w:pos="0"/>
                <w:tab w:val="left" w:pos="180"/>
              </w:tabs>
              <w:jc w:val="center"/>
              <w:rPr>
                <w:bCs/>
                <w:sz w:val="18"/>
                <w:szCs w:val="18"/>
                <w:lang w:eastAsia="en-US"/>
              </w:rPr>
            </w:pPr>
            <w:r>
              <w:rPr>
                <w:bCs/>
                <w:sz w:val="18"/>
                <w:szCs w:val="18"/>
                <w:lang w:eastAsia="en-US"/>
              </w:rPr>
              <w:t>(</w:t>
            </w:r>
            <w:r w:rsidRPr="00AC13EC">
              <w:rPr>
                <w:bCs/>
                <w:sz w:val="18"/>
                <w:szCs w:val="18"/>
                <w:lang w:eastAsia="en-US"/>
              </w:rPr>
              <w:t>C</w:t>
            </w:r>
            <w:r>
              <w:rPr>
                <w:bCs/>
                <w:sz w:val="18"/>
                <w:szCs w:val="18"/>
                <w:lang w:eastAsia="en-US"/>
              </w:rPr>
              <w:t>)</w:t>
            </w:r>
          </w:p>
        </w:tc>
        <w:tc>
          <w:tcPr>
            <w:tcW w:w="540" w:type="dxa"/>
            <w:tcBorders>
              <w:top w:val="single" w:sz="6" w:space="0" w:color="auto"/>
              <w:bottom w:val="single" w:sz="4" w:space="0" w:color="auto"/>
            </w:tcBorders>
            <w:vAlign w:val="center"/>
          </w:tcPr>
          <w:p w14:paraId="2F45EE4C" w14:textId="77777777" w:rsidR="0014412B" w:rsidRPr="00AC13EC" w:rsidRDefault="0014412B" w:rsidP="00BC1937">
            <w:pPr>
              <w:pStyle w:val="BodyText"/>
              <w:tabs>
                <w:tab w:val="clear" w:pos="0"/>
                <w:tab w:val="left" w:pos="180"/>
              </w:tabs>
              <w:jc w:val="center"/>
              <w:rPr>
                <w:bCs/>
                <w:sz w:val="18"/>
                <w:szCs w:val="18"/>
                <w:lang w:eastAsia="en-US"/>
              </w:rPr>
            </w:pPr>
            <w:r>
              <w:rPr>
                <w:bCs/>
                <w:sz w:val="18"/>
                <w:szCs w:val="18"/>
                <w:lang w:eastAsia="en-US"/>
              </w:rPr>
              <w:t>(</w:t>
            </w:r>
            <w:r w:rsidRPr="00AC13EC">
              <w:rPr>
                <w:bCs/>
                <w:sz w:val="18"/>
                <w:szCs w:val="18"/>
                <w:lang w:eastAsia="en-US"/>
              </w:rPr>
              <w:t>F</w:t>
            </w:r>
            <w:r>
              <w:rPr>
                <w:bCs/>
                <w:sz w:val="18"/>
                <w:szCs w:val="18"/>
                <w:lang w:eastAsia="en-US"/>
              </w:rPr>
              <w:t>)</w:t>
            </w:r>
          </w:p>
        </w:tc>
        <w:tc>
          <w:tcPr>
            <w:tcW w:w="720" w:type="dxa"/>
            <w:tcBorders>
              <w:top w:val="single" w:sz="6" w:space="0" w:color="auto"/>
              <w:bottom w:val="single" w:sz="4" w:space="0" w:color="auto"/>
            </w:tcBorders>
            <w:vAlign w:val="center"/>
            <w:hideMark/>
          </w:tcPr>
          <w:p w14:paraId="28D3ABBC" w14:textId="77777777" w:rsidR="0014412B" w:rsidRPr="00AC13EC" w:rsidRDefault="0014412B" w:rsidP="00BC1937">
            <w:pPr>
              <w:pStyle w:val="BodyText"/>
              <w:tabs>
                <w:tab w:val="clear" w:pos="0"/>
                <w:tab w:val="left" w:pos="180"/>
              </w:tabs>
              <w:jc w:val="center"/>
              <w:rPr>
                <w:bCs/>
                <w:sz w:val="18"/>
                <w:szCs w:val="18"/>
                <w:lang w:eastAsia="en-US"/>
              </w:rPr>
            </w:pPr>
            <w:r>
              <w:rPr>
                <w:bCs/>
                <w:sz w:val="18"/>
                <w:szCs w:val="18"/>
                <w:lang w:eastAsia="en-US"/>
              </w:rPr>
              <w:t>(</w:t>
            </w:r>
            <w:r w:rsidRPr="00AC13EC">
              <w:rPr>
                <w:bCs/>
                <w:sz w:val="18"/>
                <w:szCs w:val="18"/>
                <w:lang w:eastAsia="en-US"/>
              </w:rPr>
              <w:t>CA</w:t>
            </w:r>
            <w:r>
              <w:rPr>
                <w:bCs/>
                <w:sz w:val="18"/>
                <w:szCs w:val="18"/>
                <w:lang w:eastAsia="en-US"/>
              </w:rPr>
              <w:t>)</w:t>
            </w:r>
          </w:p>
        </w:tc>
        <w:tc>
          <w:tcPr>
            <w:tcW w:w="810" w:type="dxa"/>
            <w:tcBorders>
              <w:top w:val="single" w:sz="6" w:space="0" w:color="auto"/>
              <w:bottom w:val="single" w:sz="4" w:space="0" w:color="auto"/>
            </w:tcBorders>
            <w:vAlign w:val="center"/>
            <w:hideMark/>
          </w:tcPr>
          <w:p w14:paraId="5B7001C5" w14:textId="77777777" w:rsidR="0014412B" w:rsidRPr="00AC13EC" w:rsidRDefault="0014412B" w:rsidP="00BC1937">
            <w:pPr>
              <w:pStyle w:val="BodyText"/>
              <w:tabs>
                <w:tab w:val="clear" w:pos="0"/>
                <w:tab w:val="left" w:pos="180"/>
              </w:tabs>
              <w:jc w:val="center"/>
              <w:rPr>
                <w:bCs/>
                <w:sz w:val="18"/>
                <w:szCs w:val="18"/>
                <w:lang w:eastAsia="en-US"/>
              </w:rPr>
            </w:pPr>
            <w:r>
              <w:rPr>
                <w:bCs/>
                <w:sz w:val="18"/>
                <w:szCs w:val="18"/>
                <w:lang w:eastAsia="en-US"/>
              </w:rPr>
              <w:t>(</w:t>
            </w:r>
            <w:r w:rsidRPr="00AC13EC">
              <w:rPr>
                <w:bCs/>
                <w:sz w:val="18"/>
                <w:szCs w:val="18"/>
                <w:lang w:eastAsia="en-US"/>
              </w:rPr>
              <w:t>FA</w:t>
            </w:r>
            <w:r>
              <w:rPr>
                <w:bCs/>
                <w:sz w:val="18"/>
                <w:szCs w:val="18"/>
                <w:lang w:eastAsia="en-US"/>
              </w:rPr>
              <w:t>)</w:t>
            </w:r>
          </w:p>
        </w:tc>
        <w:tc>
          <w:tcPr>
            <w:tcW w:w="630" w:type="dxa"/>
            <w:tcBorders>
              <w:top w:val="single" w:sz="6" w:space="0" w:color="auto"/>
              <w:bottom w:val="single" w:sz="4" w:space="0" w:color="auto"/>
            </w:tcBorders>
            <w:vAlign w:val="center"/>
            <w:hideMark/>
          </w:tcPr>
          <w:p w14:paraId="7300BE6D" w14:textId="77777777" w:rsidR="0014412B" w:rsidRPr="00AC13EC" w:rsidRDefault="0014412B" w:rsidP="00BC1937">
            <w:pPr>
              <w:pStyle w:val="BodyText"/>
              <w:tabs>
                <w:tab w:val="clear" w:pos="0"/>
                <w:tab w:val="left" w:pos="180"/>
              </w:tabs>
              <w:jc w:val="center"/>
              <w:rPr>
                <w:bCs/>
                <w:sz w:val="18"/>
                <w:szCs w:val="18"/>
                <w:lang w:eastAsia="en-US"/>
              </w:rPr>
            </w:pPr>
            <w:r>
              <w:rPr>
                <w:bCs/>
                <w:sz w:val="18"/>
                <w:szCs w:val="18"/>
                <w:lang w:eastAsia="en-US"/>
              </w:rPr>
              <w:t>(</w:t>
            </w:r>
            <w:r w:rsidRPr="00AC13EC">
              <w:rPr>
                <w:bCs/>
                <w:sz w:val="18"/>
                <w:szCs w:val="18"/>
                <w:lang w:eastAsia="en-US"/>
              </w:rPr>
              <w:t>W</w:t>
            </w:r>
            <w:r>
              <w:rPr>
                <w:bCs/>
                <w:sz w:val="18"/>
                <w:szCs w:val="18"/>
                <w:lang w:eastAsia="en-US"/>
              </w:rPr>
              <w:t>)</w:t>
            </w:r>
          </w:p>
        </w:tc>
        <w:tc>
          <w:tcPr>
            <w:tcW w:w="810" w:type="dxa"/>
            <w:tcBorders>
              <w:top w:val="single" w:sz="6" w:space="0" w:color="auto"/>
              <w:bottom w:val="single" w:sz="4" w:space="0" w:color="auto"/>
            </w:tcBorders>
            <w:vAlign w:val="center"/>
            <w:hideMark/>
          </w:tcPr>
          <w:p w14:paraId="7E964FF5" w14:textId="77777777" w:rsidR="0014412B" w:rsidRPr="00AC13EC" w:rsidRDefault="0014412B" w:rsidP="00BC1937">
            <w:pPr>
              <w:pStyle w:val="BodyText"/>
              <w:tabs>
                <w:tab w:val="clear" w:pos="0"/>
                <w:tab w:val="left" w:pos="180"/>
              </w:tabs>
              <w:jc w:val="center"/>
              <w:rPr>
                <w:bCs/>
                <w:sz w:val="18"/>
                <w:szCs w:val="18"/>
                <w:lang w:eastAsia="en-US"/>
              </w:rPr>
            </w:pPr>
            <w:r>
              <w:rPr>
                <w:bCs/>
                <w:sz w:val="18"/>
                <w:szCs w:val="18"/>
                <w:lang w:eastAsia="en-US"/>
              </w:rPr>
              <w:t>(</w:t>
            </w:r>
            <w:r w:rsidRPr="00AC13EC">
              <w:rPr>
                <w:bCs/>
                <w:sz w:val="18"/>
                <w:szCs w:val="18"/>
                <w:lang w:eastAsia="en-US"/>
              </w:rPr>
              <w:t>SP</w:t>
            </w:r>
            <w:r>
              <w:rPr>
                <w:bCs/>
                <w:sz w:val="18"/>
                <w:szCs w:val="18"/>
                <w:lang w:eastAsia="en-US"/>
              </w:rPr>
              <w:t>)</w:t>
            </w:r>
          </w:p>
        </w:tc>
        <w:tc>
          <w:tcPr>
            <w:tcW w:w="900" w:type="dxa"/>
            <w:tcBorders>
              <w:top w:val="single" w:sz="6" w:space="0" w:color="auto"/>
              <w:bottom w:val="single" w:sz="4" w:space="0" w:color="auto"/>
            </w:tcBorders>
            <w:vAlign w:val="center"/>
          </w:tcPr>
          <w:p w14:paraId="67866DA7" w14:textId="77777777" w:rsidR="0014412B" w:rsidRPr="00AC13EC" w:rsidRDefault="0014412B" w:rsidP="00BC1937">
            <w:pPr>
              <w:jc w:val="center"/>
              <w:rPr>
                <w:bCs/>
                <w:sz w:val="18"/>
                <w:szCs w:val="18"/>
              </w:rPr>
            </w:pPr>
            <w:r>
              <w:rPr>
                <w:bCs/>
                <w:sz w:val="18"/>
                <w:szCs w:val="18"/>
              </w:rPr>
              <w:t>(</w:t>
            </w:r>
            <w:r w:rsidRPr="00AC13EC">
              <w:rPr>
                <w:bCs/>
                <w:sz w:val="18"/>
                <w:szCs w:val="18"/>
              </w:rPr>
              <w:t>VMA</w:t>
            </w:r>
            <w:r>
              <w:rPr>
                <w:bCs/>
                <w:sz w:val="18"/>
                <w:szCs w:val="18"/>
              </w:rPr>
              <w:t>)</w:t>
            </w:r>
          </w:p>
        </w:tc>
        <w:tc>
          <w:tcPr>
            <w:tcW w:w="540" w:type="dxa"/>
            <w:vMerge/>
            <w:tcBorders>
              <w:top w:val="single" w:sz="6" w:space="0" w:color="auto"/>
              <w:bottom w:val="single" w:sz="4" w:space="0" w:color="auto"/>
            </w:tcBorders>
            <w:vAlign w:val="center"/>
            <w:hideMark/>
          </w:tcPr>
          <w:p w14:paraId="2B297F0E" w14:textId="77777777" w:rsidR="0014412B" w:rsidRPr="00AC13EC" w:rsidRDefault="0014412B" w:rsidP="00BC1937">
            <w:pPr>
              <w:jc w:val="center"/>
              <w:rPr>
                <w:bCs/>
                <w:sz w:val="18"/>
                <w:szCs w:val="18"/>
              </w:rPr>
            </w:pPr>
          </w:p>
        </w:tc>
        <w:tc>
          <w:tcPr>
            <w:tcW w:w="630" w:type="dxa"/>
            <w:vMerge/>
            <w:tcBorders>
              <w:top w:val="single" w:sz="6" w:space="0" w:color="auto"/>
              <w:bottom w:val="single" w:sz="4" w:space="0" w:color="auto"/>
            </w:tcBorders>
            <w:vAlign w:val="center"/>
            <w:hideMark/>
          </w:tcPr>
          <w:p w14:paraId="71FBF853" w14:textId="77777777" w:rsidR="0014412B" w:rsidRPr="00AC13EC" w:rsidRDefault="0014412B" w:rsidP="00BC1937">
            <w:pPr>
              <w:jc w:val="center"/>
              <w:rPr>
                <w:bCs/>
                <w:sz w:val="18"/>
                <w:szCs w:val="18"/>
              </w:rPr>
            </w:pPr>
          </w:p>
        </w:tc>
        <w:tc>
          <w:tcPr>
            <w:tcW w:w="630" w:type="dxa"/>
            <w:vMerge/>
            <w:tcBorders>
              <w:top w:val="single" w:sz="6" w:space="0" w:color="auto"/>
              <w:bottom w:val="single" w:sz="4" w:space="0" w:color="auto"/>
            </w:tcBorders>
            <w:vAlign w:val="center"/>
            <w:hideMark/>
          </w:tcPr>
          <w:p w14:paraId="6A7289DA" w14:textId="77777777" w:rsidR="0014412B" w:rsidRPr="00AC13EC" w:rsidRDefault="0014412B" w:rsidP="00BC1937">
            <w:pPr>
              <w:jc w:val="center"/>
              <w:rPr>
                <w:bCs/>
                <w:sz w:val="18"/>
                <w:szCs w:val="18"/>
              </w:rPr>
            </w:pPr>
          </w:p>
        </w:tc>
        <w:tc>
          <w:tcPr>
            <w:tcW w:w="540" w:type="dxa"/>
            <w:vMerge/>
            <w:tcBorders>
              <w:top w:val="single" w:sz="6" w:space="0" w:color="auto"/>
              <w:bottom w:val="single" w:sz="4" w:space="0" w:color="auto"/>
            </w:tcBorders>
            <w:vAlign w:val="center"/>
            <w:hideMark/>
          </w:tcPr>
          <w:p w14:paraId="471F5A38" w14:textId="77777777" w:rsidR="0014412B" w:rsidRPr="00AC13EC" w:rsidRDefault="0014412B" w:rsidP="00BC1937">
            <w:pPr>
              <w:jc w:val="center"/>
              <w:rPr>
                <w:bCs/>
                <w:sz w:val="18"/>
                <w:szCs w:val="18"/>
              </w:rPr>
            </w:pPr>
          </w:p>
        </w:tc>
        <w:tc>
          <w:tcPr>
            <w:tcW w:w="810" w:type="dxa"/>
            <w:vMerge/>
            <w:tcBorders>
              <w:top w:val="single" w:sz="6" w:space="0" w:color="auto"/>
              <w:bottom w:val="single" w:sz="4" w:space="0" w:color="auto"/>
            </w:tcBorders>
          </w:tcPr>
          <w:p w14:paraId="18D4F102" w14:textId="77777777" w:rsidR="0014412B" w:rsidRPr="00AC13EC" w:rsidRDefault="0014412B" w:rsidP="00BC1937">
            <w:pPr>
              <w:jc w:val="center"/>
              <w:rPr>
                <w:bCs/>
                <w:sz w:val="18"/>
                <w:szCs w:val="18"/>
              </w:rPr>
            </w:pPr>
          </w:p>
        </w:tc>
        <w:tc>
          <w:tcPr>
            <w:tcW w:w="630" w:type="dxa"/>
            <w:vMerge/>
            <w:tcBorders>
              <w:top w:val="single" w:sz="6" w:space="0" w:color="auto"/>
              <w:bottom w:val="single" w:sz="4" w:space="0" w:color="auto"/>
              <w:right w:val="single" w:sz="4" w:space="0" w:color="auto"/>
            </w:tcBorders>
          </w:tcPr>
          <w:p w14:paraId="3C2EAB53" w14:textId="77777777" w:rsidR="0014412B" w:rsidRPr="00AC13EC" w:rsidRDefault="0014412B" w:rsidP="00BC1937">
            <w:pPr>
              <w:jc w:val="center"/>
              <w:rPr>
                <w:bCs/>
                <w:sz w:val="18"/>
                <w:szCs w:val="18"/>
              </w:rPr>
            </w:pPr>
          </w:p>
        </w:tc>
      </w:tr>
      <w:tr w:rsidR="0014412B" w:rsidRPr="00AC13EC" w14:paraId="599050DE" w14:textId="77777777" w:rsidTr="00BC1937">
        <w:trPr>
          <w:trHeight w:val="510"/>
        </w:trPr>
        <w:tc>
          <w:tcPr>
            <w:tcW w:w="720" w:type="dxa"/>
            <w:tcBorders>
              <w:top w:val="single" w:sz="4" w:space="0" w:color="auto"/>
              <w:left w:val="single" w:sz="4" w:space="0" w:color="auto"/>
              <w:bottom w:val="single" w:sz="4" w:space="0" w:color="auto"/>
            </w:tcBorders>
            <w:vAlign w:val="center"/>
            <w:hideMark/>
          </w:tcPr>
          <w:p w14:paraId="7CFF16BF" w14:textId="77777777" w:rsidR="0014412B" w:rsidRPr="00AC13EC" w:rsidRDefault="0014412B" w:rsidP="00BC1937">
            <w:pPr>
              <w:pStyle w:val="BodyText"/>
              <w:tabs>
                <w:tab w:val="clear" w:pos="0"/>
                <w:tab w:val="left" w:pos="180"/>
              </w:tabs>
              <w:jc w:val="center"/>
              <w:rPr>
                <w:bCs/>
                <w:sz w:val="18"/>
                <w:szCs w:val="18"/>
                <w:lang w:eastAsia="en-US"/>
              </w:rPr>
            </w:pPr>
            <w:r w:rsidRPr="00AC13EC">
              <w:rPr>
                <w:bCs/>
                <w:sz w:val="18"/>
                <w:szCs w:val="18"/>
                <w:lang w:eastAsia="en-US"/>
              </w:rPr>
              <w:t>435</w:t>
            </w:r>
          </w:p>
        </w:tc>
        <w:tc>
          <w:tcPr>
            <w:tcW w:w="540" w:type="dxa"/>
            <w:tcBorders>
              <w:top w:val="single" w:sz="4" w:space="0" w:color="auto"/>
              <w:bottom w:val="single" w:sz="4" w:space="0" w:color="auto"/>
            </w:tcBorders>
            <w:vAlign w:val="center"/>
          </w:tcPr>
          <w:p w14:paraId="61188F20" w14:textId="77777777" w:rsidR="0014412B" w:rsidRPr="00AC13EC" w:rsidRDefault="0014412B" w:rsidP="00BC1937">
            <w:pPr>
              <w:pStyle w:val="BodyText"/>
              <w:tabs>
                <w:tab w:val="clear" w:pos="0"/>
                <w:tab w:val="left" w:pos="180"/>
              </w:tabs>
              <w:jc w:val="center"/>
              <w:rPr>
                <w:bCs/>
                <w:sz w:val="18"/>
                <w:szCs w:val="18"/>
                <w:lang w:eastAsia="en-US"/>
              </w:rPr>
            </w:pPr>
            <w:r w:rsidRPr="00AC13EC">
              <w:rPr>
                <w:bCs/>
                <w:sz w:val="18"/>
                <w:szCs w:val="18"/>
                <w:lang w:eastAsia="en-US"/>
              </w:rPr>
              <w:t>100</w:t>
            </w:r>
          </w:p>
        </w:tc>
        <w:tc>
          <w:tcPr>
            <w:tcW w:w="720" w:type="dxa"/>
            <w:tcBorders>
              <w:top w:val="single" w:sz="4" w:space="0" w:color="auto"/>
              <w:bottom w:val="single" w:sz="4" w:space="0" w:color="auto"/>
            </w:tcBorders>
            <w:vAlign w:val="center"/>
            <w:hideMark/>
          </w:tcPr>
          <w:p w14:paraId="0637B4A4" w14:textId="77777777" w:rsidR="0014412B" w:rsidRPr="00AC13EC" w:rsidRDefault="0014412B" w:rsidP="00BC1937">
            <w:pPr>
              <w:pStyle w:val="BodyText"/>
              <w:tabs>
                <w:tab w:val="clear" w:pos="0"/>
                <w:tab w:val="left" w:pos="180"/>
              </w:tabs>
              <w:jc w:val="center"/>
              <w:rPr>
                <w:bCs/>
                <w:sz w:val="18"/>
                <w:szCs w:val="18"/>
                <w:lang w:eastAsia="en-US"/>
              </w:rPr>
            </w:pPr>
            <w:r w:rsidRPr="00AC13EC">
              <w:rPr>
                <w:bCs/>
                <w:sz w:val="18"/>
                <w:szCs w:val="18"/>
                <w:lang w:eastAsia="en-US"/>
              </w:rPr>
              <w:t>860</w:t>
            </w:r>
          </w:p>
        </w:tc>
        <w:tc>
          <w:tcPr>
            <w:tcW w:w="810" w:type="dxa"/>
            <w:tcBorders>
              <w:top w:val="single" w:sz="4" w:space="0" w:color="auto"/>
              <w:bottom w:val="single" w:sz="4" w:space="0" w:color="auto"/>
            </w:tcBorders>
            <w:vAlign w:val="center"/>
            <w:hideMark/>
          </w:tcPr>
          <w:p w14:paraId="2219AE47" w14:textId="77777777" w:rsidR="0014412B" w:rsidRPr="00AC13EC" w:rsidRDefault="0014412B" w:rsidP="00BC1937">
            <w:pPr>
              <w:pStyle w:val="BodyText"/>
              <w:tabs>
                <w:tab w:val="clear" w:pos="0"/>
                <w:tab w:val="left" w:pos="180"/>
              </w:tabs>
              <w:jc w:val="center"/>
              <w:rPr>
                <w:bCs/>
                <w:sz w:val="18"/>
                <w:szCs w:val="18"/>
                <w:lang w:eastAsia="en-US"/>
              </w:rPr>
            </w:pPr>
            <w:r w:rsidRPr="00AC13EC">
              <w:rPr>
                <w:bCs/>
                <w:sz w:val="18"/>
                <w:szCs w:val="18"/>
                <w:lang w:eastAsia="en-US"/>
              </w:rPr>
              <w:t>875</w:t>
            </w:r>
          </w:p>
        </w:tc>
        <w:tc>
          <w:tcPr>
            <w:tcW w:w="630" w:type="dxa"/>
            <w:tcBorders>
              <w:top w:val="single" w:sz="4" w:space="0" w:color="auto"/>
              <w:bottom w:val="single" w:sz="4" w:space="0" w:color="auto"/>
            </w:tcBorders>
            <w:vAlign w:val="center"/>
            <w:hideMark/>
          </w:tcPr>
          <w:p w14:paraId="4E3FA432" w14:textId="77777777" w:rsidR="0014412B" w:rsidRPr="00AC13EC" w:rsidRDefault="0014412B" w:rsidP="00BC1937">
            <w:pPr>
              <w:pStyle w:val="BodyText"/>
              <w:tabs>
                <w:tab w:val="clear" w:pos="0"/>
                <w:tab w:val="left" w:pos="180"/>
              </w:tabs>
              <w:jc w:val="center"/>
              <w:rPr>
                <w:bCs/>
                <w:sz w:val="18"/>
                <w:szCs w:val="18"/>
                <w:lang w:eastAsia="en-US"/>
              </w:rPr>
            </w:pPr>
            <w:r w:rsidRPr="00AC13EC">
              <w:rPr>
                <w:bCs/>
                <w:sz w:val="18"/>
                <w:szCs w:val="18"/>
                <w:lang w:eastAsia="en-US"/>
              </w:rPr>
              <w:t>210</w:t>
            </w:r>
          </w:p>
        </w:tc>
        <w:tc>
          <w:tcPr>
            <w:tcW w:w="810" w:type="dxa"/>
            <w:tcBorders>
              <w:top w:val="single" w:sz="4" w:space="0" w:color="auto"/>
              <w:bottom w:val="single" w:sz="4" w:space="0" w:color="auto"/>
            </w:tcBorders>
            <w:vAlign w:val="center"/>
            <w:hideMark/>
          </w:tcPr>
          <w:p w14:paraId="7A8AFA29" w14:textId="77777777" w:rsidR="0014412B" w:rsidRPr="00AC13EC" w:rsidRDefault="0014412B" w:rsidP="00BC1937">
            <w:pPr>
              <w:pStyle w:val="BodyText"/>
              <w:tabs>
                <w:tab w:val="clear" w:pos="0"/>
                <w:tab w:val="left" w:pos="180"/>
              </w:tabs>
              <w:jc w:val="center"/>
              <w:rPr>
                <w:bCs/>
                <w:sz w:val="18"/>
                <w:szCs w:val="18"/>
                <w:lang w:eastAsia="en-US"/>
              </w:rPr>
            </w:pPr>
            <w:r w:rsidRPr="00AC13EC">
              <w:rPr>
                <w:bCs/>
                <w:sz w:val="18"/>
                <w:szCs w:val="18"/>
                <w:lang w:eastAsia="en-US"/>
              </w:rPr>
              <w:t>5.4</w:t>
            </w:r>
          </w:p>
        </w:tc>
        <w:tc>
          <w:tcPr>
            <w:tcW w:w="900" w:type="dxa"/>
            <w:tcBorders>
              <w:top w:val="single" w:sz="4" w:space="0" w:color="auto"/>
              <w:bottom w:val="single" w:sz="4" w:space="0" w:color="auto"/>
            </w:tcBorders>
            <w:vAlign w:val="center"/>
          </w:tcPr>
          <w:p w14:paraId="40ABFB98" w14:textId="77777777" w:rsidR="0014412B" w:rsidRPr="00AC13EC" w:rsidRDefault="0014412B" w:rsidP="00BC1937">
            <w:pPr>
              <w:pStyle w:val="BodyText"/>
              <w:tabs>
                <w:tab w:val="clear" w:pos="0"/>
                <w:tab w:val="left" w:pos="180"/>
              </w:tabs>
              <w:jc w:val="center"/>
              <w:rPr>
                <w:bCs/>
                <w:sz w:val="18"/>
                <w:szCs w:val="18"/>
                <w:lang w:eastAsia="en-US"/>
              </w:rPr>
            </w:pPr>
            <w:r w:rsidRPr="00AC13EC">
              <w:rPr>
                <w:bCs/>
                <w:sz w:val="18"/>
                <w:szCs w:val="18"/>
                <w:lang w:eastAsia="en-US"/>
              </w:rPr>
              <w:t>1.0</w:t>
            </w:r>
          </w:p>
        </w:tc>
        <w:tc>
          <w:tcPr>
            <w:tcW w:w="540" w:type="dxa"/>
            <w:tcBorders>
              <w:top w:val="single" w:sz="4" w:space="0" w:color="auto"/>
              <w:bottom w:val="single" w:sz="4" w:space="0" w:color="auto"/>
            </w:tcBorders>
            <w:vAlign w:val="center"/>
          </w:tcPr>
          <w:p w14:paraId="20DFC412" w14:textId="77777777" w:rsidR="0014412B" w:rsidRPr="00AC13EC" w:rsidRDefault="0014412B" w:rsidP="00BC1937">
            <w:pPr>
              <w:pStyle w:val="BodyText"/>
              <w:tabs>
                <w:tab w:val="clear" w:pos="0"/>
                <w:tab w:val="left" w:pos="180"/>
              </w:tabs>
              <w:jc w:val="center"/>
              <w:rPr>
                <w:bCs/>
                <w:sz w:val="18"/>
                <w:szCs w:val="18"/>
                <w:lang w:eastAsia="en-US"/>
              </w:rPr>
            </w:pPr>
            <w:r w:rsidRPr="00AC13EC">
              <w:rPr>
                <w:bCs/>
                <w:sz w:val="18"/>
                <w:szCs w:val="18"/>
                <w:lang w:eastAsia="en-US"/>
              </w:rPr>
              <w:t>0.48</w:t>
            </w:r>
          </w:p>
        </w:tc>
        <w:tc>
          <w:tcPr>
            <w:tcW w:w="630" w:type="dxa"/>
            <w:tcBorders>
              <w:top w:val="single" w:sz="4" w:space="0" w:color="auto"/>
              <w:bottom w:val="single" w:sz="4" w:space="0" w:color="auto"/>
            </w:tcBorders>
            <w:vAlign w:val="center"/>
          </w:tcPr>
          <w:p w14:paraId="4371B5D0" w14:textId="77777777" w:rsidR="0014412B" w:rsidRPr="00AC13EC" w:rsidRDefault="0014412B" w:rsidP="00BC1937">
            <w:pPr>
              <w:pStyle w:val="BodyText"/>
              <w:tabs>
                <w:tab w:val="clear" w:pos="0"/>
                <w:tab w:val="left" w:pos="180"/>
              </w:tabs>
              <w:jc w:val="center"/>
              <w:rPr>
                <w:bCs/>
                <w:sz w:val="18"/>
                <w:szCs w:val="18"/>
                <w:lang w:eastAsia="en-US"/>
              </w:rPr>
            </w:pPr>
            <w:r w:rsidRPr="00AC13EC">
              <w:rPr>
                <w:bCs/>
                <w:sz w:val="18"/>
                <w:szCs w:val="18"/>
                <w:lang w:eastAsia="en-US"/>
              </w:rPr>
              <w:t>0.39</w:t>
            </w:r>
          </w:p>
        </w:tc>
        <w:tc>
          <w:tcPr>
            <w:tcW w:w="630" w:type="dxa"/>
            <w:tcBorders>
              <w:top w:val="single" w:sz="4" w:space="0" w:color="auto"/>
              <w:bottom w:val="single" w:sz="4" w:space="0" w:color="auto"/>
            </w:tcBorders>
            <w:vAlign w:val="center"/>
          </w:tcPr>
          <w:p w14:paraId="7C58CD24" w14:textId="77777777" w:rsidR="0014412B" w:rsidRPr="00AC13EC" w:rsidRDefault="0014412B" w:rsidP="00BC1937">
            <w:pPr>
              <w:pStyle w:val="BodyText"/>
              <w:tabs>
                <w:tab w:val="clear" w:pos="0"/>
                <w:tab w:val="left" w:pos="180"/>
              </w:tabs>
              <w:jc w:val="center"/>
              <w:rPr>
                <w:bCs/>
                <w:sz w:val="18"/>
                <w:szCs w:val="18"/>
                <w:lang w:eastAsia="en-US"/>
              </w:rPr>
            </w:pPr>
            <w:r>
              <w:rPr>
                <w:bCs/>
                <w:sz w:val="18"/>
                <w:szCs w:val="18"/>
                <w:lang w:eastAsia="en-US"/>
              </w:rPr>
              <w:t>0.98</w:t>
            </w:r>
          </w:p>
        </w:tc>
        <w:tc>
          <w:tcPr>
            <w:tcW w:w="540" w:type="dxa"/>
            <w:tcBorders>
              <w:top w:val="single" w:sz="4" w:space="0" w:color="auto"/>
              <w:bottom w:val="single" w:sz="4" w:space="0" w:color="auto"/>
            </w:tcBorders>
            <w:vAlign w:val="center"/>
          </w:tcPr>
          <w:p w14:paraId="75C2E373" w14:textId="77777777" w:rsidR="0014412B" w:rsidRPr="00AC13EC" w:rsidRDefault="0014412B" w:rsidP="00BC1937">
            <w:pPr>
              <w:pStyle w:val="BodyText"/>
              <w:tabs>
                <w:tab w:val="clear" w:pos="0"/>
                <w:tab w:val="left" w:pos="180"/>
              </w:tabs>
              <w:jc w:val="center"/>
              <w:rPr>
                <w:bCs/>
                <w:sz w:val="18"/>
                <w:szCs w:val="18"/>
                <w:lang w:eastAsia="en-US"/>
              </w:rPr>
            </w:pPr>
            <w:r>
              <w:rPr>
                <w:bCs/>
                <w:sz w:val="18"/>
                <w:szCs w:val="18"/>
                <w:lang w:eastAsia="en-US"/>
              </w:rPr>
              <w:t>660</w:t>
            </w:r>
          </w:p>
        </w:tc>
        <w:tc>
          <w:tcPr>
            <w:tcW w:w="810" w:type="dxa"/>
            <w:tcBorders>
              <w:top w:val="single" w:sz="4" w:space="0" w:color="auto"/>
              <w:bottom w:val="single" w:sz="4" w:space="0" w:color="auto"/>
            </w:tcBorders>
            <w:vAlign w:val="center"/>
          </w:tcPr>
          <w:p w14:paraId="509C98E7" w14:textId="77777777" w:rsidR="0014412B" w:rsidRPr="00AC13EC" w:rsidRDefault="0014412B" w:rsidP="00BC1937">
            <w:pPr>
              <w:pStyle w:val="BodyText"/>
              <w:tabs>
                <w:tab w:val="clear" w:pos="0"/>
                <w:tab w:val="left" w:pos="180"/>
              </w:tabs>
              <w:jc w:val="center"/>
              <w:rPr>
                <w:bCs/>
                <w:sz w:val="18"/>
                <w:szCs w:val="18"/>
                <w:lang w:eastAsia="en-US"/>
              </w:rPr>
            </w:pPr>
            <w:r>
              <w:rPr>
                <w:bCs/>
                <w:sz w:val="18"/>
                <w:szCs w:val="18"/>
                <w:lang w:eastAsia="en-US"/>
              </w:rPr>
              <w:t>6.70</w:t>
            </w:r>
          </w:p>
        </w:tc>
        <w:tc>
          <w:tcPr>
            <w:tcW w:w="630" w:type="dxa"/>
            <w:tcBorders>
              <w:top w:val="single" w:sz="4" w:space="0" w:color="auto"/>
              <w:bottom w:val="single" w:sz="4" w:space="0" w:color="auto"/>
              <w:right w:val="single" w:sz="4" w:space="0" w:color="auto"/>
            </w:tcBorders>
            <w:vAlign w:val="center"/>
          </w:tcPr>
          <w:p w14:paraId="22A2C5F0" w14:textId="77777777" w:rsidR="0014412B" w:rsidRPr="00AC13EC" w:rsidRDefault="0014412B" w:rsidP="00BC1937">
            <w:pPr>
              <w:pStyle w:val="BodyText"/>
              <w:tabs>
                <w:tab w:val="clear" w:pos="0"/>
                <w:tab w:val="left" w:pos="180"/>
              </w:tabs>
              <w:jc w:val="center"/>
              <w:rPr>
                <w:bCs/>
                <w:sz w:val="18"/>
                <w:szCs w:val="18"/>
                <w:lang w:eastAsia="en-US"/>
              </w:rPr>
            </w:pPr>
            <w:r>
              <w:rPr>
                <w:bCs/>
                <w:sz w:val="18"/>
                <w:szCs w:val="18"/>
                <w:lang w:eastAsia="en-US"/>
              </w:rPr>
              <w:t>0.86</w:t>
            </w:r>
          </w:p>
        </w:tc>
      </w:tr>
    </w:tbl>
    <w:p w14:paraId="107B35D5" w14:textId="77777777" w:rsidR="0077429B" w:rsidRDefault="0077429B" w:rsidP="00567981">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s>
        <w:spacing w:line="276" w:lineRule="auto"/>
        <w:rPr>
          <w:b/>
          <w:bCs/>
          <w:szCs w:val="24"/>
          <w:lang w:eastAsia="en-US"/>
        </w:rPr>
      </w:pPr>
    </w:p>
    <w:p w14:paraId="61CCF668" w14:textId="77777777" w:rsidR="00C54D0E" w:rsidRPr="00CE3632" w:rsidRDefault="00C54D0E" w:rsidP="00567981">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s>
        <w:spacing w:line="276" w:lineRule="auto"/>
        <w:rPr>
          <w:b/>
          <w:bCs/>
          <w:szCs w:val="24"/>
          <w:lang w:eastAsia="en-US"/>
        </w:rPr>
      </w:pPr>
      <w:r w:rsidRPr="00CE3632">
        <w:rPr>
          <w:b/>
          <w:bCs/>
          <w:szCs w:val="24"/>
          <w:lang w:eastAsia="en-US"/>
        </w:rPr>
        <w:t>Preparation and curing of specimens</w:t>
      </w:r>
    </w:p>
    <w:p w14:paraId="0F15DF4F" w14:textId="77777777" w:rsidR="00567981" w:rsidRPr="007C484F" w:rsidRDefault="00567981" w:rsidP="00567981">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s>
        <w:spacing w:line="276" w:lineRule="auto"/>
        <w:rPr>
          <w:b/>
          <w:bCs/>
          <w:sz w:val="20"/>
          <w:lang w:eastAsia="en-US"/>
        </w:rPr>
      </w:pPr>
    </w:p>
    <w:p w14:paraId="55247FE9" w14:textId="77777777" w:rsidR="00C54D0E" w:rsidRPr="00CE3632" w:rsidRDefault="00C54D0E" w:rsidP="00CE3632">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 w:val="left" w:pos="360"/>
        </w:tabs>
        <w:spacing w:line="360" w:lineRule="auto"/>
        <w:rPr>
          <w:szCs w:val="24"/>
          <w:lang w:eastAsia="en-US"/>
        </w:rPr>
      </w:pPr>
      <w:r w:rsidRPr="00CE3632">
        <w:rPr>
          <w:szCs w:val="24"/>
          <w:lang w:eastAsia="en-US"/>
        </w:rPr>
        <w:t xml:space="preserve">Steel moulds were used to cast reference test specimens. CPF liner was affixed to the side plates of moulds and specimens were cast (Fig. 2). The concrete specimens cast using steel moulds were identified as “IMF” specimens and those made steel moulds affixed with CPF liner as “CPF” specimens. The concrete mixes were prepared in a drum mixer of capacity 55 </w:t>
      </w:r>
      <w:r w:rsidRPr="00CE3632">
        <w:rPr>
          <w:szCs w:val="24"/>
          <w:lang w:eastAsia="en-US"/>
        </w:rPr>
        <w:lastRenderedPageBreak/>
        <w:t xml:space="preserve">litre. The moulds were filled with concrete and demoulded after 24 hours. The cast specimens were water cured till the date of test. </w:t>
      </w:r>
    </w:p>
    <w:p w14:paraId="744BFFE8" w14:textId="77777777" w:rsidR="00C61DE8" w:rsidRDefault="007B4486" w:rsidP="00167C0A">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 w:val="left" w:pos="360"/>
        </w:tabs>
        <w:jc w:val="center"/>
        <w:rPr>
          <w:lang w:eastAsia="en-US"/>
        </w:rPr>
      </w:pPr>
      <w:r w:rsidRPr="003102CA">
        <w:rPr>
          <w:noProof/>
          <w:szCs w:val="24"/>
          <w:lang w:val="en-US" w:eastAsia="en-US"/>
        </w:rPr>
        <w:drawing>
          <wp:inline distT="0" distB="0" distL="0" distR="0" wp14:anchorId="4C81AECE" wp14:editId="261BEFF3">
            <wp:extent cx="2437130" cy="1401737"/>
            <wp:effectExtent l="0" t="0" r="127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2437130" cy="1401737"/>
                    </a:xfrm>
                    <a:prstGeom prst="rect">
                      <a:avLst/>
                    </a:prstGeom>
                    <a:noFill/>
                    <a:ln w="9525">
                      <a:noFill/>
                      <a:miter lim="800000"/>
                      <a:headEnd/>
                      <a:tailEnd/>
                    </a:ln>
                  </pic:spPr>
                </pic:pic>
              </a:graphicData>
            </a:graphic>
          </wp:inline>
        </w:drawing>
      </w:r>
    </w:p>
    <w:p w14:paraId="22A56790" w14:textId="4644BAE3" w:rsidR="00CC4BCA" w:rsidRPr="00BF70D0" w:rsidRDefault="007B4486" w:rsidP="00CE3632">
      <w:pPr>
        <w:pStyle w:val="BodyText"/>
        <w:jc w:val="center"/>
        <w:rPr>
          <w:szCs w:val="24"/>
          <w:lang w:eastAsia="en-US"/>
        </w:rPr>
      </w:pPr>
      <w:r w:rsidRPr="00CE3632">
        <w:rPr>
          <w:b/>
          <w:szCs w:val="24"/>
          <w:lang w:eastAsia="en-US"/>
        </w:rPr>
        <w:t>Fig</w:t>
      </w:r>
      <w:r w:rsidR="00BF70D0">
        <w:rPr>
          <w:b/>
          <w:szCs w:val="24"/>
          <w:lang w:eastAsia="en-US"/>
        </w:rPr>
        <w:t>. 2</w:t>
      </w:r>
      <w:r w:rsidR="00674785" w:rsidRPr="00CE3632">
        <w:rPr>
          <w:b/>
          <w:szCs w:val="24"/>
          <w:lang w:eastAsia="en-US"/>
        </w:rPr>
        <w:t xml:space="preserve"> </w:t>
      </w:r>
      <w:r w:rsidR="00674785" w:rsidRPr="00BF70D0">
        <w:rPr>
          <w:szCs w:val="24"/>
          <w:lang w:eastAsia="en-US"/>
        </w:rPr>
        <w:t>M</w:t>
      </w:r>
      <w:r w:rsidRPr="00BF70D0">
        <w:rPr>
          <w:szCs w:val="24"/>
          <w:lang w:eastAsia="en-US"/>
        </w:rPr>
        <w:t>ould pre</w:t>
      </w:r>
      <w:r w:rsidR="00BF70D0" w:rsidRPr="00BF70D0">
        <w:rPr>
          <w:szCs w:val="24"/>
          <w:lang w:eastAsia="en-US"/>
        </w:rPr>
        <w:t>paration to cast cube specimens</w:t>
      </w:r>
      <w:r w:rsidR="00622B14">
        <w:rPr>
          <w:szCs w:val="24"/>
          <w:lang w:eastAsia="en-US"/>
        </w:rPr>
        <w:t>.</w:t>
      </w:r>
    </w:p>
    <w:p w14:paraId="3E82B197" w14:textId="77777777" w:rsidR="00367506" w:rsidRPr="00367506" w:rsidRDefault="00367506" w:rsidP="00367506">
      <w:pPr>
        <w:pStyle w:val="BodyText"/>
        <w:spacing w:line="360" w:lineRule="auto"/>
        <w:jc w:val="left"/>
        <w:rPr>
          <w:b/>
          <w:sz w:val="18"/>
          <w:szCs w:val="18"/>
          <w:lang w:eastAsia="en-US"/>
        </w:rPr>
      </w:pPr>
    </w:p>
    <w:p w14:paraId="36E3C320" w14:textId="77777777" w:rsidR="00EB69D8" w:rsidRPr="00CE3632" w:rsidRDefault="00FB2447" w:rsidP="00567981">
      <w:pPr>
        <w:spacing w:line="276" w:lineRule="auto"/>
        <w:rPr>
          <w:rFonts w:ascii="Times New Roman" w:hAnsi="Times New Roman" w:cs="Times New Roman"/>
          <w:b/>
          <w:sz w:val="24"/>
          <w:szCs w:val="24"/>
        </w:rPr>
      </w:pPr>
      <w:r w:rsidRPr="00CE3632">
        <w:rPr>
          <w:rFonts w:ascii="Times New Roman" w:hAnsi="Times New Roman" w:cs="Times New Roman"/>
          <w:b/>
          <w:sz w:val="24"/>
          <w:szCs w:val="24"/>
        </w:rPr>
        <w:t>TEST PROGRAMME</w:t>
      </w:r>
    </w:p>
    <w:p w14:paraId="5AC17139" w14:textId="037DE00E" w:rsidR="00CC4BCA" w:rsidRPr="00CE3632" w:rsidRDefault="0099585E" w:rsidP="00567981">
      <w:pPr>
        <w:pStyle w:val="BodyText"/>
        <w:spacing w:after="240" w:line="276" w:lineRule="auto"/>
        <w:rPr>
          <w:b/>
          <w:szCs w:val="24"/>
        </w:rPr>
      </w:pPr>
      <w:r>
        <w:rPr>
          <w:b/>
          <w:szCs w:val="24"/>
        </w:rPr>
        <w:t>Water absorption</w:t>
      </w:r>
    </w:p>
    <w:p w14:paraId="55323DC5" w14:textId="28347998" w:rsidR="001D4E75" w:rsidRPr="001D4E75" w:rsidRDefault="001D4E75" w:rsidP="00E37106">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 w:val="left" w:pos="426"/>
        </w:tabs>
        <w:spacing w:after="200" w:line="360" w:lineRule="auto"/>
        <w:rPr>
          <w:szCs w:val="24"/>
          <w:lang w:eastAsia="en-US"/>
        </w:rPr>
      </w:pPr>
      <w:r w:rsidRPr="001D4E75">
        <w:rPr>
          <w:color w:val="000000" w:themeColor="text1"/>
          <w:szCs w:val="24"/>
        </w:rPr>
        <w:t>A cube-shaped specimen with 100 mm was utilised for the test. The test was performed at 7, 14, 28, 60 and 90 days, according to ASTM C 642 [</w:t>
      </w:r>
      <w:r w:rsidR="006D06F9">
        <w:rPr>
          <w:color w:val="000000" w:themeColor="text1"/>
          <w:szCs w:val="24"/>
        </w:rPr>
        <w:t>22</w:t>
      </w:r>
      <w:r w:rsidRPr="001D4E75">
        <w:rPr>
          <w:color w:val="000000" w:themeColor="text1"/>
          <w:szCs w:val="24"/>
        </w:rPr>
        <w:t xml:space="preserve">]. The specimens were dried for 24 hours in an oven at </w:t>
      </w:r>
      <w:r w:rsidRPr="001D4E75">
        <w:rPr>
          <w:szCs w:val="24"/>
          <w:lang w:eastAsia="en-US"/>
        </w:rPr>
        <w:t>105±5</w:t>
      </w:r>
      <w:r w:rsidRPr="001D4E75">
        <w:rPr>
          <w:szCs w:val="24"/>
          <w:vertAlign w:val="superscript"/>
          <w:lang w:eastAsia="en-US"/>
        </w:rPr>
        <w:t>◦</w:t>
      </w:r>
      <w:r w:rsidRPr="001D4E75">
        <w:rPr>
          <w:szCs w:val="24"/>
          <w:lang w:eastAsia="en-US"/>
        </w:rPr>
        <w:t xml:space="preserve">C </w:t>
      </w:r>
      <w:r w:rsidRPr="001D4E75">
        <w:rPr>
          <w:color w:val="000000" w:themeColor="text1"/>
          <w:szCs w:val="24"/>
        </w:rPr>
        <w:t xml:space="preserve">before being tested. </w:t>
      </w:r>
      <w:r w:rsidRPr="001D4E75">
        <w:rPr>
          <w:szCs w:val="24"/>
          <w:lang w:eastAsia="en-US"/>
        </w:rPr>
        <w:t>The samples were subjected to cool and weighed (W</w:t>
      </w:r>
      <w:r w:rsidRPr="001D4E75">
        <w:rPr>
          <w:szCs w:val="24"/>
          <w:vertAlign w:val="subscript"/>
          <w:lang w:eastAsia="en-US"/>
        </w:rPr>
        <w:t>1</w:t>
      </w:r>
      <w:r w:rsidRPr="001D4E75">
        <w:rPr>
          <w:szCs w:val="24"/>
          <w:lang w:eastAsia="en-US"/>
        </w:rPr>
        <w:t>). After that, the samples were submerged in water for 72 hours. The samples were dried on the surface and weighed (W</w:t>
      </w:r>
      <w:r w:rsidRPr="001D4E75">
        <w:rPr>
          <w:szCs w:val="24"/>
          <w:vertAlign w:val="subscript"/>
          <w:lang w:eastAsia="en-US"/>
        </w:rPr>
        <w:t>2</w:t>
      </w:r>
      <w:r w:rsidRPr="001D4E75">
        <w:rPr>
          <w:szCs w:val="24"/>
          <w:lang w:eastAsia="en-US"/>
        </w:rPr>
        <w:t>) after being removed from the water bath.</w:t>
      </w:r>
    </w:p>
    <w:p w14:paraId="032A15B6" w14:textId="3992A1A9" w:rsidR="00CC4BCA" w:rsidRPr="00CE3632" w:rsidRDefault="00CC4BCA" w:rsidP="00567981">
      <w:pPr>
        <w:tabs>
          <w:tab w:val="left" w:pos="-1440"/>
          <w:tab w:val="left" w:pos="-720"/>
          <w:tab w:val="left" w:pos="0"/>
          <w:tab w:val="left" w:pos="234"/>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76" w:lineRule="auto"/>
        <w:jc w:val="both"/>
        <w:rPr>
          <w:rFonts w:ascii="Times New Roman" w:hAnsi="Times New Roman" w:cs="Times New Roman"/>
          <w:b/>
          <w:sz w:val="24"/>
          <w:szCs w:val="24"/>
        </w:rPr>
      </w:pPr>
      <w:proofErr w:type="spellStart"/>
      <w:r w:rsidRPr="00CE3632">
        <w:rPr>
          <w:rFonts w:ascii="Times New Roman" w:hAnsi="Times New Roman" w:cs="Times New Roman"/>
          <w:b/>
          <w:sz w:val="24"/>
          <w:szCs w:val="24"/>
        </w:rPr>
        <w:t>S</w:t>
      </w:r>
      <w:r w:rsidR="0099585E">
        <w:rPr>
          <w:rFonts w:ascii="Times New Roman" w:hAnsi="Times New Roman" w:cs="Times New Roman"/>
          <w:b/>
          <w:sz w:val="24"/>
          <w:szCs w:val="24"/>
        </w:rPr>
        <w:t>orptivity</w:t>
      </w:r>
      <w:proofErr w:type="spellEnd"/>
    </w:p>
    <w:p w14:paraId="1DD2C69E" w14:textId="24C4030E" w:rsidR="001D4E75" w:rsidRDefault="001D4E75" w:rsidP="00E37106">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 w:val="left" w:pos="426"/>
        </w:tabs>
        <w:spacing w:after="200" w:line="360" w:lineRule="auto"/>
        <w:rPr>
          <w:szCs w:val="24"/>
          <w:lang w:eastAsia="en-US"/>
        </w:rPr>
      </w:pPr>
      <w:r w:rsidRPr="001D4E75">
        <w:rPr>
          <w:color w:val="000000" w:themeColor="text1"/>
          <w:szCs w:val="24"/>
        </w:rPr>
        <w:t>A cube-shaped specimen with 100 mm was utilised for the test. The test was performed at 7, 14, 28, 60 and 90 days, according to ASTM C 1585 [</w:t>
      </w:r>
      <w:r w:rsidR="00360425">
        <w:rPr>
          <w:color w:val="000000" w:themeColor="text1"/>
          <w:szCs w:val="24"/>
        </w:rPr>
        <w:t>23</w:t>
      </w:r>
      <w:r w:rsidRPr="001D4E75">
        <w:rPr>
          <w:color w:val="000000" w:themeColor="text1"/>
          <w:szCs w:val="24"/>
        </w:rPr>
        <w:t>].</w:t>
      </w:r>
      <w:r w:rsidRPr="001D4E75">
        <w:rPr>
          <w:szCs w:val="24"/>
          <w:lang w:eastAsia="en-US"/>
        </w:rPr>
        <w:t xml:space="preserve"> The samples were dried for three days at 50±2</w:t>
      </w:r>
      <w:r w:rsidRPr="001D4E75">
        <w:rPr>
          <w:szCs w:val="24"/>
          <w:vertAlign w:val="superscript"/>
          <w:lang w:eastAsia="en-US"/>
        </w:rPr>
        <w:t>◦</w:t>
      </w:r>
      <w:r w:rsidRPr="001D4E75">
        <w:rPr>
          <w:szCs w:val="24"/>
          <w:lang w:eastAsia="en-US"/>
        </w:rPr>
        <w:t>C in an oven, after taken out from the curing tank. Then the samples were subjected</w:t>
      </w:r>
      <w:r w:rsidRPr="001D4E75">
        <w:rPr>
          <w:szCs w:val="24"/>
        </w:rPr>
        <w:t xml:space="preserve"> </w:t>
      </w:r>
      <w:r w:rsidRPr="001D4E75">
        <w:rPr>
          <w:szCs w:val="24"/>
          <w:lang w:eastAsia="en-US"/>
        </w:rPr>
        <w:t>to room temperature to cool, except the suction face (contact face with water), the samples were coated with epoxy. The specimen's original weight was determined. As shown in Fig. 3, the samples were placed on a tray on a support and immersed in water around 3 mm depth. The sample was taken out and weighed after blotting out extra water</w:t>
      </w:r>
      <w:r w:rsidR="00E37106">
        <w:rPr>
          <w:szCs w:val="24"/>
          <w:lang w:eastAsia="en-US"/>
        </w:rPr>
        <w:t xml:space="preserve">. </w:t>
      </w:r>
    </w:p>
    <w:p w14:paraId="7C47EB75" w14:textId="77777777" w:rsidR="00622B14" w:rsidRDefault="00622B14" w:rsidP="001D4E75">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s>
        <w:spacing w:line="360" w:lineRule="auto"/>
        <w:rPr>
          <w:szCs w:val="24"/>
          <w:lang w:eastAsia="en-US"/>
        </w:rPr>
      </w:pPr>
    </w:p>
    <w:p w14:paraId="7EB68476" w14:textId="78AFC563" w:rsidR="00622B14" w:rsidRDefault="00E37106" w:rsidP="00E37106">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s>
        <w:spacing w:line="360" w:lineRule="auto"/>
        <w:jc w:val="center"/>
        <w:rPr>
          <w:szCs w:val="24"/>
          <w:lang w:eastAsia="en-US"/>
        </w:rPr>
      </w:pPr>
      <w:r w:rsidRPr="008C2B15">
        <w:rPr>
          <w:noProof/>
          <w:sz w:val="20"/>
          <w:lang w:eastAsia="en-US"/>
        </w:rPr>
        <w:drawing>
          <wp:inline distT="0" distB="0" distL="0" distR="0" wp14:anchorId="0A345B7B" wp14:editId="15A6428C">
            <wp:extent cx="2618679" cy="1352550"/>
            <wp:effectExtent l="19050" t="19050" r="0" b="0"/>
            <wp:docPr id="47735369" name="Picture 47735369" descr="C:\Users\ADMIN\Desktop\ddddddddddddd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ddddddddddddd.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1905" cy="1364546"/>
                    </a:xfrm>
                    <a:prstGeom prst="rect">
                      <a:avLst/>
                    </a:prstGeom>
                    <a:noFill/>
                    <a:ln>
                      <a:solidFill>
                        <a:schemeClr val="accent6">
                          <a:lumMod val="50000"/>
                        </a:schemeClr>
                      </a:solidFill>
                    </a:ln>
                  </pic:spPr>
                </pic:pic>
              </a:graphicData>
            </a:graphic>
          </wp:inline>
        </w:drawing>
      </w:r>
    </w:p>
    <w:p w14:paraId="7019E51F" w14:textId="3B715F76" w:rsidR="00622B14" w:rsidRPr="00BF70D0" w:rsidRDefault="00622B14" w:rsidP="00622B14">
      <w:pPr>
        <w:pStyle w:val="BodyText"/>
        <w:jc w:val="center"/>
        <w:rPr>
          <w:szCs w:val="24"/>
          <w:lang w:eastAsia="en-US"/>
        </w:rPr>
      </w:pPr>
      <w:r w:rsidRPr="00CE3632">
        <w:rPr>
          <w:b/>
          <w:szCs w:val="24"/>
          <w:lang w:eastAsia="en-US"/>
        </w:rPr>
        <w:t>Fig</w:t>
      </w:r>
      <w:r>
        <w:rPr>
          <w:b/>
          <w:szCs w:val="24"/>
          <w:lang w:eastAsia="en-US"/>
        </w:rPr>
        <w:t>. 3</w:t>
      </w:r>
      <w:r w:rsidRPr="00CE3632">
        <w:rPr>
          <w:b/>
          <w:szCs w:val="24"/>
          <w:lang w:eastAsia="en-US"/>
        </w:rPr>
        <w:t xml:space="preserve"> </w:t>
      </w:r>
      <w:r>
        <w:rPr>
          <w:szCs w:val="24"/>
          <w:lang w:eastAsia="en-US"/>
        </w:rPr>
        <w:t xml:space="preserve">Layout for </w:t>
      </w:r>
      <w:proofErr w:type="spellStart"/>
      <w:r>
        <w:rPr>
          <w:szCs w:val="24"/>
          <w:lang w:eastAsia="en-US"/>
        </w:rPr>
        <w:t>sorptivity</w:t>
      </w:r>
      <w:proofErr w:type="spellEnd"/>
      <w:r w:rsidR="00E37106">
        <w:rPr>
          <w:szCs w:val="24"/>
          <w:lang w:eastAsia="en-US"/>
        </w:rPr>
        <w:t xml:space="preserve"> test</w:t>
      </w:r>
      <w:r>
        <w:rPr>
          <w:szCs w:val="24"/>
          <w:lang w:eastAsia="en-US"/>
        </w:rPr>
        <w:t>.</w:t>
      </w:r>
    </w:p>
    <w:p w14:paraId="3B66C17E" w14:textId="77777777" w:rsidR="00622B14" w:rsidRDefault="00622B14" w:rsidP="001D4E75">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s>
        <w:spacing w:line="360" w:lineRule="auto"/>
        <w:rPr>
          <w:szCs w:val="24"/>
          <w:lang w:eastAsia="en-US"/>
        </w:rPr>
      </w:pPr>
    </w:p>
    <w:p w14:paraId="2CD36E8C" w14:textId="77777777" w:rsidR="00622B14" w:rsidRPr="001D4E75" w:rsidRDefault="00622B14" w:rsidP="001D4E75">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s>
        <w:spacing w:line="360" w:lineRule="auto"/>
        <w:rPr>
          <w:szCs w:val="24"/>
          <w:lang w:eastAsia="en-US"/>
        </w:rPr>
      </w:pPr>
    </w:p>
    <w:p w14:paraId="21809B81" w14:textId="2DFCD75B" w:rsidR="00CC4BCA" w:rsidRPr="00CE3632" w:rsidRDefault="0099585E" w:rsidP="00567981">
      <w:pPr>
        <w:tabs>
          <w:tab w:val="left" w:pos="-1440"/>
          <w:tab w:val="left" w:pos="-720"/>
          <w:tab w:val="left" w:pos="0"/>
          <w:tab w:val="left" w:pos="234"/>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76" w:lineRule="auto"/>
        <w:jc w:val="both"/>
        <w:rPr>
          <w:rFonts w:ascii="Times New Roman" w:hAnsi="Times New Roman" w:cs="Times New Roman"/>
          <w:b/>
          <w:sz w:val="24"/>
          <w:szCs w:val="24"/>
        </w:rPr>
      </w:pPr>
      <w:r>
        <w:rPr>
          <w:rFonts w:ascii="Times New Roman" w:hAnsi="Times New Roman" w:cs="Times New Roman"/>
          <w:b/>
          <w:sz w:val="24"/>
          <w:szCs w:val="24"/>
        </w:rPr>
        <w:t>Hydrochloric acid resistance</w:t>
      </w:r>
    </w:p>
    <w:p w14:paraId="5A42E7FD" w14:textId="050F28E6" w:rsidR="001D4E75" w:rsidRPr="001D4E75" w:rsidRDefault="001D4E75" w:rsidP="001D4E75">
      <w:pPr>
        <w:tabs>
          <w:tab w:val="left" w:pos="426"/>
        </w:tabs>
        <w:spacing w:after="240" w:line="360" w:lineRule="auto"/>
        <w:jc w:val="both"/>
        <w:rPr>
          <w:rFonts w:ascii="Times New Roman" w:hAnsi="Times New Roman" w:cs="Times New Roman"/>
          <w:sz w:val="24"/>
          <w:szCs w:val="24"/>
        </w:rPr>
      </w:pPr>
      <w:r w:rsidRPr="001D4E75">
        <w:rPr>
          <w:rFonts w:ascii="Times New Roman" w:hAnsi="Times New Roman" w:cs="Times New Roman"/>
          <w:sz w:val="24"/>
          <w:szCs w:val="24"/>
        </w:rPr>
        <w:t>A cube-shaped specimen with 100 mm was utilised for the test.</w:t>
      </w:r>
      <w:r w:rsidRPr="001D4E75">
        <w:rPr>
          <w:color w:val="000000" w:themeColor="text1"/>
          <w:sz w:val="24"/>
          <w:szCs w:val="24"/>
        </w:rPr>
        <w:t xml:space="preserve"> </w:t>
      </w:r>
      <w:r w:rsidRPr="001D4E75">
        <w:rPr>
          <w:rFonts w:ascii="Times New Roman" w:hAnsi="Times New Roman" w:cs="Times New Roman"/>
          <w:sz w:val="24"/>
          <w:szCs w:val="24"/>
        </w:rPr>
        <w:t>The specimens were withdrawn from the curing chamber after 28 days and left to dry for one day.</w:t>
      </w:r>
      <w:r w:rsidRPr="001D4E75">
        <w:rPr>
          <w:sz w:val="24"/>
          <w:szCs w:val="24"/>
        </w:rPr>
        <w:t xml:space="preserve"> </w:t>
      </w:r>
      <w:r w:rsidRPr="001D4E75">
        <w:rPr>
          <w:rFonts w:ascii="Times New Roman" w:hAnsi="Times New Roman" w:cs="Times New Roman"/>
          <w:sz w:val="24"/>
          <w:szCs w:val="24"/>
        </w:rPr>
        <w:t xml:space="preserve">The cube's original weights were determined. A solution prepared with 5% concentration of Hydrochloric acid (HCl). The specimens were submerged in the acid solution for 60, 90, 120, and 180 days, respectively. Throughout this time, the solution's concentration remained maintained. The specimens were removed from the acid solution after the specified time interval. The cube's surfaces were cleaned, the weights of the specimens were recorded, and they were then tested in a 3000 </w:t>
      </w:r>
      <w:proofErr w:type="spellStart"/>
      <w:r w:rsidRPr="001D4E75">
        <w:rPr>
          <w:rFonts w:ascii="Times New Roman" w:hAnsi="Times New Roman" w:cs="Times New Roman"/>
          <w:sz w:val="24"/>
          <w:szCs w:val="24"/>
        </w:rPr>
        <w:t>kN</w:t>
      </w:r>
      <w:proofErr w:type="spellEnd"/>
      <w:r w:rsidRPr="001D4E75">
        <w:rPr>
          <w:rFonts w:ascii="Times New Roman" w:hAnsi="Times New Roman" w:cs="Times New Roman"/>
          <w:sz w:val="24"/>
          <w:szCs w:val="24"/>
        </w:rPr>
        <w:t xml:space="preserve"> compression testing machine at a consistent rate of loading of 140 kg/cm</w:t>
      </w:r>
      <w:r w:rsidRPr="00E37106">
        <w:rPr>
          <w:rFonts w:ascii="Times New Roman" w:hAnsi="Times New Roman" w:cs="Times New Roman"/>
          <w:sz w:val="24"/>
          <w:szCs w:val="24"/>
          <w:vertAlign w:val="superscript"/>
        </w:rPr>
        <w:t>2</w:t>
      </w:r>
      <w:r w:rsidRPr="001D4E75">
        <w:rPr>
          <w:rFonts w:ascii="Times New Roman" w:hAnsi="Times New Roman" w:cs="Times New Roman"/>
          <w:sz w:val="24"/>
          <w:szCs w:val="24"/>
        </w:rPr>
        <w:t xml:space="preserve">/min. Three specimens were used for each period of test. The concrete specimen's weight loss and residual compressive strength were </w:t>
      </w:r>
      <w:proofErr w:type="spellStart"/>
      <w:r w:rsidRPr="001D4E75">
        <w:rPr>
          <w:rFonts w:ascii="Times New Roman" w:hAnsi="Times New Roman" w:cs="Times New Roman"/>
          <w:sz w:val="24"/>
          <w:szCs w:val="24"/>
        </w:rPr>
        <w:t>analyzed</w:t>
      </w:r>
      <w:proofErr w:type="spellEnd"/>
      <w:r w:rsidRPr="001D4E75">
        <w:rPr>
          <w:rFonts w:ascii="Times New Roman" w:hAnsi="Times New Roman" w:cs="Times New Roman"/>
          <w:sz w:val="24"/>
          <w:szCs w:val="24"/>
        </w:rPr>
        <w:t>.</w:t>
      </w:r>
    </w:p>
    <w:p w14:paraId="20F5877D" w14:textId="7CB4085A" w:rsidR="00CC4BCA" w:rsidRPr="00CE3632" w:rsidRDefault="0099585E" w:rsidP="00567981">
      <w:pPr>
        <w:tabs>
          <w:tab w:val="left" w:pos="-1440"/>
          <w:tab w:val="left" w:pos="-720"/>
          <w:tab w:val="left" w:pos="180"/>
        </w:tabs>
        <w:suppressAutoHyphens/>
        <w:spacing w:after="240"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Sulfate</w:t>
      </w:r>
      <w:proofErr w:type="spellEnd"/>
      <w:r>
        <w:rPr>
          <w:rFonts w:ascii="Times New Roman" w:hAnsi="Times New Roman" w:cs="Times New Roman"/>
          <w:b/>
          <w:sz w:val="24"/>
          <w:szCs w:val="24"/>
        </w:rPr>
        <w:t xml:space="preserve"> resistance</w:t>
      </w:r>
    </w:p>
    <w:p w14:paraId="46AF0B98" w14:textId="77777777" w:rsidR="001D4E75" w:rsidRPr="001D4E75" w:rsidRDefault="001D4E75" w:rsidP="001D4E75">
      <w:pPr>
        <w:tabs>
          <w:tab w:val="left" w:pos="426"/>
        </w:tabs>
        <w:spacing w:after="240" w:line="360" w:lineRule="auto"/>
        <w:jc w:val="both"/>
        <w:rPr>
          <w:rFonts w:ascii="Times New Roman" w:hAnsi="Times New Roman" w:cs="Times New Roman"/>
          <w:sz w:val="24"/>
          <w:szCs w:val="24"/>
        </w:rPr>
      </w:pPr>
      <w:r w:rsidRPr="001D4E75">
        <w:rPr>
          <w:rFonts w:ascii="Times New Roman" w:hAnsi="Times New Roman" w:cs="Times New Roman"/>
          <w:sz w:val="24"/>
          <w:szCs w:val="24"/>
        </w:rPr>
        <w:t>A cube-shaped specimen with 100 mm was utilised for the test.</w:t>
      </w:r>
      <w:r w:rsidRPr="001D4E75">
        <w:rPr>
          <w:color w:val="000000" w:themeColor="text1"/>
          <w:sz w:val="24"/>
          <w:szCs w:val="24"/>
        </w:rPr>
        <w:t xml:space="preserve"> </w:t>
      </w:r>
      <w:r w:rsidRPr="001D4E75">
        <w:rPr>
          <w:rFonts w:ascii="Times New Roman" w:hAnsi="Times New Roman" w:cs="Times New Roman"/>
          <w:sz w:val="24"/>
          <w:szCs w:val="24"/>
        </w:rPr>
        <w:t>The samples were withdrawn from the curing chamber after 28 days and original weights were determined.</w:t>
      </w:r>
      <w:r w:rsidRPr="001D4E75">
        <w:rPr>
          <w:color w:val="000000" w:themeColor="text1"/>
          <w:sz w:val="24"/>
          <w:szCs w:val="24"/>
        </w:rPr>
        <w:t xml:space="preserve"> </w:t>
      </w:r>
      <w:r w:rsidRPr="001D4E75">
        <w:rPr>
          <w:rFonts w:ascii="Times New Roman" w:hAnsi="Times New Roman" w:cs="Times New Roman"/>
          <w:sz w:val="24"/>
          <w:szCs w:val="24"/>
        </w:rPr>
        <w:t xml:space="preserve">The solution prepared with 5% concentration of sodium </w:t>
      </w:r>
      <w:proofErr w:type="spellStart"/>
      <w:r w:rsidRPr="001D4E75">
        <w:rPr>
          <w:rFonts w:ascii="Times New Roman" w:hAnsi="Times New Roman" w:cs="Times New Roman"/>
          <w:sz w:val="24"/>
          <w:szCs w:val="24"/>
        </w:rPr>
        <w:t>sulfate</w:t>
      </w:r>
      <w:proofErr w:type="spellEnd"/>
      <w:r w:rsidRPr="001D4E75">
        <w:rPr>
          <w:rFonts w:ascii="Times New Roman" w:hAnsi="Times New Roman" w:cs="Times New Roman"/>
          <w:sz w:val="24"/>
          <w:szCs w:val="24"/>
        </w:rPr>
        <w:t xml:space="preserve"> (Na</w:t>
      </w:r>
      <w:r w:rsidRPr="001D4E75">
        <w:rPr>
          <w:rFonts w:ascii="Times New Roman" w:hAnsi="Times New Roman" w:cs="Times New Roman"/>
          <w:sz w:val="24"/>
          <w:szCs w:val="24"/>
          <w:vertAlign w:val="subscript"/>
        </w:rPr>
        <w:t>2</w:t>
      </w:r>
      <w:r w:rsidRPr="001D4E75">
        <w:rPr>
          <w:rFonts w:ascii="Times New Roman" w:hAnsi="Times New Roman" w:cs="Times New Roman"/>
          <w:sz w:val="24"/>
          <w:szCs w:val="24"/>
        </w:rPr>
        <w:t>SO</w:t>
      </w:r>
      <w:r w:rsidRPr="001D4E75">
        <w:rPr>
          <w:rFonts w:ascii="Times New Roman" w:hAnsi="Times New Roman" w:cs="Times New Roman"/>
          <w:sz w:val="24"/>
          <w:szCs w:val="24"/>
          <w:vertAlign w:val="subscript"/>
        </w:rPr>
        <w:t>4</w:t>
      </w:r>
      <w:r w:rsidRPr="001D4E75">
        <w:rPr>
          <w:rFonts w:ascii="Times New Roman" w:hAnsi="Times New Roman" w:cs="Times New Roman"/>
          <w:sz w:val="24"/>
          <w:szCs w:val="24"/>
        </w:rPr>
        <w:t xml:space="preserve">) and magnesium </w:t>
      </w:r>
      <w:proofErr w:type="spellStart"/>
      <w:r w:rsidRPr="001D4E75">
        <w:rPr>
          <w:rFonts w:ascii="Times New Roman" w:hAnsi="Times New Roman" w:cs="Times New Roman"/>
          <w:sz w:val="24"/>
          <w:szCs w:val="24"/>
        </w:rPr>
        <w:t>sulfate</w:t>
      </w:r>
      <w:proofErr w:type="spellEnd"/>
      <w:r w:rsidRPr="001D4E75">
        <w:rPr>
          <w:rFonts w:ascii="Times New Roman" w:hAnsi="Times New Roman" w:cs="Times New Roman"/>
          <w:sz w:val="24"/>
          <w:szCs w:val="24"/>
        </w:rPr>
        <w:t xml:space="preserve"> (MgSO</w:t>
      </w:r>
      <w:r w:rsidRPr="001D4E75">
        <w:rPr>
          <w:rFonts w:ascii="Times New Roman" w:hAnsi="Times New Roman" w:cs="Times New Roman"/>
          <w:sz w:val="24"/>
          <w:szCs w:val="24"/>
          <w:vertAlign w:val="subscript"/>
        </w:rPr>
        <w:t>4</w:t>
      </w:r>
      <w:r w:rsidRPr="001D4E75">
        <w:rPr>
          <w:rFonts w:ascii="Times New Roman" w:hAnsi="Times New Roman" w:cs="Times New Roman"/>
          <w:sz w:val="24"/>
          <w:szCs w:val="24"/>
        </w:rPr>
        <w:t xml:space="preserve">) by the weight of water. The specimens were submerged in sodium </w:t>
      </w:r>
      <w:proofErr w:type="spellStart"/>
      <w:r w:rsidRPr="001D4E75">
        <w:rPr>
          <w:rFonts w:ascii="Times New Roman" w:hAnsi="Times New Roman" w:cs="Times New Roman"/>
          <w:sz w:val="24"/>
          <w:szCs w:val="24"/>
        </w:rPr>
        <w:t>sulfate</w:t>
      </w:r>
      <w:proofErr w:type="spellEnd"/>
      <w:r w:rsidRPr="001D4E75">
        <w:rPr>
          <w:rFonts w:ascii="Times New Roman" w:hAnsi="Times New Roman" w:cs="Times New Roman"/>
          <w:sz w:val="24"/>
          <w:szCs w:val="24"/>
        </w:rPr>
        <w:t xml:space="preserve"> and magnesium </w:t>
      </w:r>
      <w:proofErr w:type="spellStart"/>
      <w:r w:rsidRPr="001D4E75">
        <w:rPr>
          <w:rFonts w:ascii="Times New Roman" w:hAnsi="Times New Roman" w:cs="Times New Roman"/>
          <w:sz w:val="24"/>
          <w:szCs w:val="24"/>
        </w:rPr>
        <w:t>sulfate</w:t>
      </w:r>
      <w:proofErr w:type="spellEnd"/>
      <w:r w:rsidRPr="001D4E75">
        <w:rPr>
          <w:rFonts w:ascii="Times New Roman" w:hAnsi="Times New Roman" w:cs="Times New Roman"/>
          <w:sz w:val="24"/>
          <w:szCs w:val="24"/>
        </w:rPr>
        <w:t xml:space="preserve"> solution for 60, 90, 120 and 180 days, respectively. Throughout this time, the solution's concentration remained maintained. The samples were withdrawn from the </w:t>
      </w:r>
      <w:proofErr w:type="spellStart"/>
      <w:r w:rsidRPr="001D4E75">
        <w:rPr>
          <w:rFonts w:ascii="Times New Roman" w:hAnsi="Times New Roman" w:cs="Times New Roman"/>
          <w:sz w:val="24"/>
          <w:szCs w:val="24"/>
        </w:rPr>
        <w:t>sulfate</w:t>
      </w:r>
      <w:proofErr w:type="spellEnd"/>
      <w:r w:rsidRPr="001D4E75">
        <w:rPr>
          <w:rFonts w:ascii="Times New Roman" w:hAnsi="Times New Roman" w:cs="Times New Roman"/>
          <w:sz w:val="24"/>
          <w:szCs w:val="24"/>
        </w:rPr>
        <w:t xml:space="preserve"> solution after the specified time interval.  The cube's surfaces were cleaned, the weights of the specimens were recorded, and they were then tested in a 3000 </w:t>
      </w:r>
      <w:proofErr w:type="spellStart"/>
      <w:r w:rsidRPr="001D4E75">
        <w:rPr>
          <w:rFonts w:ascii="Times New Roman" w:hAnsi="Times New Roman" w:cs="Times New Roman"/>
          <w:sz w:val="24"/>
          <w:szCs w:val="24"/>
        </w:rPr>
        <w:t>kN</w:t>
      </w:r>
      <w:proofErr w:type="spellEnd"/>
      <w:r w:rsidRPr="001D4E75">
        <w:rPr>
          <w:rFonts w:ascii="Times New Roman" w:hAnsi="Times New Roman" w:cs="Times New Roman"/>
          <w:sz w:val="24"/>
          <w:szCs w:val="24"/>
        </w:rPr>
        <w:t xml:space="preserve"> compression testing machine at a consistent rate of loading of 140 kg/cm2/min. Three specimens were used for each category and each period of test. The concrete specimen's weight loss and residual compressive strength were </w:t>
      </w:r>
      <w:proofErr w:type="spellStart"/>
      <w:r w:rsidRPr="001D4E75">
        <w:rPr>
          <w:rFonts w:ascii="Times New Roman" w:hAnsi="Times New Roman" w:cs="Times New Roman"/>
          <w:sz w:val="24"/>
          <w:szCs w:val="24"/>
        </w:rPr>
        <w:t>analyzed</w:t>
      </w:r>
      <w:proofErr w:type="spellEnd"/>
      <w:r w:rsidRPr="001D4E75">
        <w:rPr>
          <w:rFonts w:ascii="Times New Roman" w:hAnsi="Times New Roman" w:cs="Times New Roman"/>
          <w:sz w:val="24"/>
          <w:szCs w:val="24"/>
        </w:rPr>
        <w:t>.</w:t>
      </w:r>
    </w:p>
    <w:p w14:paraId="7C770023" w14:textId="77777777" w:rsidR="00C96B72" w:rsidRPr="00C749C1" w:rsidRDefault="00095957" w:rsidP="00567981">
      <w:pPr>
        <w:spacing w:line="276" w:lineRule="auto"/>
        <w:rPr>
          <w:rFonts w:ascii="Times New Roman" w:hAnsi="Times New Roman" w:cs="Times New Roman"/>
          <w:b/>
          <w:sz w:val="24"/>
          <w:szCs w:val="24"/>
        </w:rPr>
      </w:pPr>
      <w:r w:rsidRPr="00C749C1">
        <w:rPr>
          <w:rFonts w:ascii="Times New Roman" w:hAnsi="Times New Roman" w:cs="Times New Roman"/>
          <w:b/>
          <w:sz w:val="24"/>
          <w:szCs w:val="24"/>
        </w:rPr>
        <w:t>RESULTS AND DISCUSSION</w:t>
      </w:r>
    </w:p>
    <w:p w14:paraId="42906577" w14:textId="748E359F" w:rsidR="00AF341F" w:rsidRPr="0026436A" w:rsidRDefault="0099585E" w:rsidP="00567981">
      <w:pPr>
        <w:pStyle w:val="BodyText"/>
        <w:spacing w:after="240" w:line="276" w:lineRule="auto"/>
        <w:rPr>
          <w:b/>
          <w:szCs w:val="24"/>
        </w:rPr>
      </w:pPr>
      <w:r>
        <w:rPr>
          <w:b/>
          <w:szCs w:val="24"/>
        </w:rPr>
        <w:t>Water absorption</w:t>
      </w:r>
    </w:p>
    <w:p w14:paraId="312C3F43" w14:textId="0F6B1801" w:rsidR="002035E1" w:rsidRPr="002035E1" w:rsidRDefault="002035E1" w:rsidP="002035E1">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 w:val="left" w:pos="426"/>
        </w:tabs>
        <w:spacing w:after="200" w:line="360" w:lineRule="auto"/>
        <w:rPr>
          <w:szCs w:val="24"/>
          <w:lang w:eastAsia="en-US"/>
        </w:rPr>
      </w:pPr>
      <w:r w:rsidRPr="002035E1">
        <w:rPr>
          <w:szCs w:val="24"/>
          <w:lang w:eastAsia="en-US"/>
        </w:rPr>
        <w:t xml:space="preserve">The water absorption results are displayed in Fig. </w:t>
      </w:r>
      <w:r w:rsidR="000A2036">
        <w:rPr>
          <w:szCs w:val="24"/>
          <w:lang w:eastAsia="en-US"/>
        </w:rPr>
        <w:t>4</w:t>
      </w:r>
      <w:r w:rsidRPr="002035E1">
        <w:rPr>
          <w:szCs w:val="24"/>
          <w:lang w:eastAsia="en-US"/>
        </w:rPr>
        <w:t xml:space="preserve">. The CPF concrete samples showed a water absorption reduction by </w:t>
      </w:r>
      <w:r w:rsidR="00B97275">
        <w:rPr>
          <w:szCs w:val="24"/>
          <w:lang w:eastAsia="en-US"/>
        </w:rPr>
        <w:t>22</w:t>
      </w:r>
      <w:r w:rsidRPr="002035E1">
        <w:rPr>
          <w:szCs w:val="24"/>
          <w:lang w:eastAsia="en-US"/>
        </w:rPr>
        <w:t xml:space="preserve">% to 30%, which was much less than the IMF specimens. </w:t>
      </w:r>
      <w:r w:rsidRPr="002035E1">
        <w:rPr>
          <w:szCs w:val="24"/>
        </w:rPr>
        <w:t xml:space="preserve">Also, </w:t>
      </w:r>
      <w:proofErr w:type="gramStart"/>
      <w:r w:rsidRPr="002035E1">
        <w:rPr>
          <w:szCs w:val="24"/>
        </w:rPr>
        <w:t>it’s</w:t>
      </w:r>
      <w:proofErr w:type="gramEnd"/>
      <w:r w:rsidRPr="002035E1">
        <w:rPr>
          <w:szCs w:val="24"/>
        </w:rPr>
        <w:t xml:space="preserve"> noticed that the CPF liner's construction (through a strong and solid cover) has effectively prevented the water content. Similar studies [8,11] found a 29 % to 50 % reduction in water absorption in CPF samples. </w:t>
      </w:r>
    </w:p>
    <w:p w14:paraId="3BE306ED" w14:textId="76DF0267" w:rsidR="00090B9A" w:rsidRDefault="00D52129" w:rsidP="00167C0A">
      <w:pPr>
        <w:tabs>
          <w:tab w:val="left" w:pos="-1440"/>
          <w:tab w:val="left" w:pos="-720"/>
          <w:tab w:val="left" w:pos="180"/>
        </w:tabs>
        <w:suppressAutoHyphens/>
        <w:spacing w:after="200" w:line="240" w:lineRule="auto"/>
        <w:jc w:val="center"/>
        <w:rPr>
          <w:rFonts w:ascii="Times New Roman" w:hAnsi="Times New Roman" w:cs="Times New Roman"/>
          <w:sz w:val="24"/>
          <w:szCs w:val="24"/>
        </w:rPr>
      </w:pPr>
      <w:r>
        <w:rPr>
          <w:noProof/>
        </w:rPr>
        <w:lastRenderedPageBreak/>
        <w:drawing>
          <wp:inline distT="0" distB="0" distL="0" distR="0" wp14:anchorId="646C17DC" wp14:editId="21DC493C">
            <wp:extent cx="3761154" cy="2674816"/>
            <wp:effectExtent l="0" t="0" r="10795" b="11430"/>
            <wp:docPr id="1519597902"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F8D954E" w14:textId="25CD9399" w:rsidR="00AF341F" w:rsidRPr="00BF70D0" w:rsidRDefault="00BF70D0" w:rsidP="00167C0A">
      <w:pPr>
        <w:tabs>
          <w:tab w:val="left" w:pos="180"/>
        </w:tab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Fig. 4 </w:t>
      </w:r>
      <w:r w:rsidR="00D52129">
        <w:rPr>
          <w:rFonts w:ascii="Times New Roman" w:eastAsia="Times New Roman" w:hAnsi="Times New Roman" w:cs="Times New Roman"/>
          <w:sz w:val="24"/>
          <w:szCs w:val="24"/>
          <w:lang w:eastAsia="ar-SA"/>
        </w:rPr>
        <w:t>Water absorption vs age.</w:t>
      </w:r>
    </w:p>
    <w:p w14:paraId="45A597B2" w14:textId="283BC439" w:rsidR="00AF341F" w:rsidRPr="0026436A" w:rsidRDefault="00AF341F" w:rsidP="00567981">
      <w:pPr>
        <w:tabs>
          <w:tab w:val="left" w:pos="-1440"/>
          <w:tab w:val="left" w:pos="-720"/>
          <w:tab w:val="left" w:pos="0"/>
          <w:tab w:val="left" w:pos="234"/>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76" w:lineRule="auto"/>
        <w:jc w:val="both"/>
        <w:rPr>
          <w:rFonts w:ascii="Times New Roman" w:hAnsi="Times New Roman" w:cs="Times New Roman"/>
          <w:b/>
          <w:sz w:val="24"/>
          <w:szCs w:val="24"/>
        </w:rPr>
      </w:pPr>
      <w:proofErr w:type="spellStart"/>
      <w:r w:rsidRPr="0026436A">
        <w:rPr>
          <w:rFonts w:ascii="Times New Roman" w:hAnsi="Times New Roman" w:cs="Times New Roman"/>
          <w:b/>
          <w:sz w:val="24"/>
          <w:szCs w:val="24"/>
        </w:rPr>
        <w:t>S</w:t>
      </w:r>
      <w:r w:rsidR="0099585E">
        <w:rPr>
          <w:rFonts w:ascii="Times New Roman" w:hAnsi="Times New Roman" w:cs="Times New Roman"/>
          <w:b/>
          <w:sz w:val="24"/>
          <w:szCs w:val="24"/>
        </w:rPr>
        <w:t>orptivity</w:t>
      </w:r>
      <w:proofErr w:type="spellEnd"/>
    </w:p>
    <w:p w14:paraId="4C8D3235" w14:textId="64D350A2" w:rsidR="002035E1" w:rsidRPr="002035E1" w:rsidRDefault="002035E1" w:rsidP="002035E1">
      <w:pPr>
        <w:pStyle w:val="BodyText"/>
        <w:tabs>
          <w:tab w:val="clear" w:pos="0"/>
          <w:tab w:val="clear" w:pos="234"/>
          <w:tab w:val="clear" w:pos="720"/>
          <w:tab w:val="clear" w:pos="1440"/>
          <w:tab w:val="clear" w:pos="2160"/>
          <w:tab w:val="clear" w:pos="2880"/>
          <w:tab w:val="clear" w:pos="3600"/>
          <w:tab w:val="clear" w:pos="4320"/>
          <w:tab w:val="clear" w:pos="5040"/>
          <w:tab w:val="clear" w:pos="5760"/>
          <w:tab w:val="clear" w:pos="6480"/>
          <w:tab w:val="clear" w:pos="7200"/>
          <w:tab w:val="clear" w:pos="7920"/>
          <w:tab w:val="left" w:pos="180"/>
          <w:tab w:val="left" w:pos="426"/>
        </w:tabs>
        <w:spacing w:after="240" w:line="360" w:lineRule="auto"/>
        <w:rPr>
          <w:szCs w:val="24"/>
          <w:lang w:eastAsia="en-US"/>
        </w:rPr>
      </w:pPr>
      <w:r w:rsidRPr="002035E1">
        <w:rPr>
          <w:szCs w:val="24"/>
        </w:rPr>
        <w:t xml:space="preserve">The findings of water </w:t>
      </w:r>
      <w:proofErr w:type="spellStart"/>
      <w:r w:rsidRPr="002035E1">
        <w:rPr>
          <w:szCs w:val="24"/>
        </w:rPr>
        <w:t>sorptivity</w:t>
      </w:r>
      <w:proofErr w:type="spellEnd"/>
      <w:r w:rsidRPr="002035E1">
        <w:rPr>
          <w:szCs w:val="24"/>
        </w:rPr>
        <w:t xml:space="preserve"> are shown in Fig. </w:t>
      </w:r>
      <w:r w:rsidR="00B97275">
        <w:rPr>
          <w:szCs w:val="24"/>
        </w:rPr>
        <w:t>5</w:t>
      </w:r>
      <w:r w:rsidRPr="002035E1">
        <w:rPr>
          <w:szCs w:val="24"/>
        </w:rPr>
        <w:t xml:space="preserve">. </w:t>
      </w:r>
      <w:r w:rsidRPr="002035E1">
        <w:rPr>
          <w:szCs w:val="24"/>
          <w:lang w:eastAsia="en-US"/>
        </w:rPr>
        <w:t xml:space="preserve">It shows that when comparing CPF specimens to IMF specimens in all ages, the decrease in water </w:t>
      </w:r>
      <w:proofErr w:type="spellStart"/>
      <w:r w:rsidRPr="002035E1">
        <w:rPr>
          <w:szCs w:val="24"/>
          <w:lang w:eastAsia="en-US"/>
        </w:rPr>
        <w:t>sorptivity</w:t>
      </w:r>
      <w:proofErr w:type="spellEnd"/>
      <w:r w:rsidRPr="002035E1">
        <w:rPr>
          <w:szCs w:val="24"/>
          <w:lang w:eastAsia="en-US"/>
        </w:rPr>
        <w:t xml:space="preserve"> of CPF specimens was considerable. The </w:t>
      </w:r>
      <w:r w:rsidR="00B97275">
        <w:rPr>
          <w:szCs w:val="24"/>
          <w:lang w:eastAsia="en-US"/>
        </w:rPr>
        <w:t>improvement</w:t>
      </w:r>
      <w:r w:rsidRPr="002035E1">
        <w:rPr>
          <w:szCs w:val="24"/>
          <w:lang w:eastAsia="en-US"/>
        </w:rPr>
        <w:t xml:space="preserve"> in water </w:t>
      </w:r>
      <w:proofErr w:type="spellStart"/>
      <w:r w:rsidRPr="002035E1">
        <w:rPr>
          <w:szCs w:val="24"/>
          <w:lang w:eastAsia="en-US"/>
        </w:rPr>
        <w:t>sorptivity</w:t>
      </w:r>
      <w:proofErr w:type="spellEnd"/>
      <w:r w:rsidRPr="002035E1">
        <w:rPr>
          <w:szCs w:val="24"/>
          <w:lang w:eastAsia="en-US"/>
        </w:rPr>
        <w:t xml:space="preserve"> of CPF </w:t>
      </w:r>
      <w:r w:rsidRPr="002035E1">
        <w:rPr>
          <w:color w:val="000000"/>
          <w:szCs w:val="24"/>
        </w:rPr>
        <w:t>liner</w:t>
      </w:r>
      <w:r w:rsidRPr="002035E1">
        <w:rPr>
          <w:szCs w:val="24"/>
          <w:lang w:eastAsia="en-US"/>
        </w:rPr>
        <w:t xml:space="preserve"> is 67% and </w:t>
      </w:r>
      <w:r w:rsidR="00AF1445">
        <w:rPr>
          <w:szCs w:val="24"/>
          <w:lang w:eastAsia="en-US"/>
        </w:rPr>
        <w:t>51</w:t>
      </w:r>
      <w:r w:rsidRPr="002035E1">
        <w:rPr>
          <w:szCs w:val="24"/>
          <w:lang w:eastAsia="en-US"/>
        </w:rPr>
        <w:t>% at 7 and 90 days respectively.</w:t>
      </w:r>
    </w:p>
    <w:p w14:paraId="6C57A0A2" w14:textId="57D0E5D6" w:rsidR="00AF341F" w:rsidRDefault="00D52129" w:rsidP="00167C0A">
      <w:pPr>
        <w:tabs>
          <w:tab w:val="left" w:pos="-1440"/>
          <w:tab w:val="left" w:pos="-720"/>
          <w:tab w:val="left" w:pos="0"/>
          <w:tab w:val="left" w:pos="234"/>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jc w:val="center"/>
        <w:rPr>
          <w:rFonts w:ascii="Times New Roman" w:hAnsi="Times New Roman" w:cs="Times New Roman"/>
          <w:sz w:val="24"/>
          <w:szCs w:val="24"/>
        </w:rPr>
      </w:pPr>
      <w:r>
        <w:rPr>
          <w:noProof/>
        </w:rPr>
        <w:drawing>
          <wp:inline distT="0" distB="0" distL="0" distR="0" wp14:anchorId="040E2487" wp14:editId="2D9C0418">
            <wp:extent cx="3677478" cy="2627244"/>
            <wp:effectExtent l="0" t="0" r="18415" b="1905"/>
            <wp:docPr id="840321318" name="Chart 1">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8BA46D5" w14:textId="6B30973F" w:rsidR="00090B9A" w:rsidRPr="00BF70D0" w:rsidRDefault="00BF70D0" w:rsidP="00167C0A">
      <w:pPr>
        <w:tabs>
          <w:tab w:val="left" w:pos="180"/>
        </w:tabs>
        <w:spacing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b/>
          <w:sz w:val="24"/>
          <w:szCs w:val="24"/>
          <w:lang w:eastAsia="ar-SA"/>
        </w:rPr>
        <w:t xml:space="preserve">Fig. 5 </w:t>
      </w:r>
      <w:proofErr w:type="spellStart"/>
      <w:r w:rsidRPr="00BF70D0">
        <w:rPr>
          <w:rFonts w:ascii="Times New Roman" w:eastAsia="Times New Roman" w:hAnsi="Times New Roman" w:cs="Times New Roman"/>
          <w:sz w:val="24"/>
          <w:szCs w:val="24"/>
          <w:lang w:eastAsia="ar-SA"/>
        </w:rPr>
        <w:t>S</w:t>
      </w:r>
      <w:r w:rsidR="00D52129">
        <w:rPr>
          <w:rFonts w:ascii="Times New Roman" w:eastAsia="Times New Roman" w:hAnsi="Times New Roman" w:cs="Times New Roman"/>
          <w:sz w:val="24"/>
          <w:szCs w:val="24"/>
          <w:lang w:eastAsia="ar-SA"/>
        </w:rPr>
        <w:t>orptivity</w:t>
      </w:r>
      <w:proofErr w:type="spellEnd"/>
      <w:r w:rsidR="00D52129">
        <w:rPr>
          <w:rFonts w:ascii="Times New Roman" w:eastAsia="Times New Roman" w:hAnsi="Times New Roman" w:cs="Times New Roman"/>
          <w:sz w:val="24"/>
          <w:szCs w:val="24"/>
          <w:lang w:eastAsia="ar-SA"/>
        </w:rPr>
        <w:t xml:space="preserve"> vs age.</w:t>
      </w:r>
    </w:p>
    <w:p w14:paraId="1D3C4D72" w14:textId="518C438C" w:rsidR="00AF341F" w:rsidRPr="0026436A" w:rsidRDefault="0099585E" w:rsidP="0026436A">
      <w:pPr>
        <w:tabs>
          <w:tab w:val="left" w:pos="-1440"/>
          <w:tab w:val="left" w:pos="-720"/>
          <w:tab w:val="left" w:pos="0"/>
          <w:tab w:val="left" w:pos="234"/>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360" w:lineRule="auto"/>
        <w:jc w:val="both"/>
        <w:rPr>
          <w:rFonts w:ascii="Times New Roman" w:hAnsi="Times New Roman" w:cs="Times New Roman"/>
          <w:b/>
          <w:sz w:val="24"/>
          <w:szCs w:val="24"/>
        </w:rPr>
      </w:pPr>
      <w:r>
        <w:rPr>
          <w:rFonts w:ascii="Times New Roman" w:hAnsi="Times New Roman" w:cs="Times New Roman"/>
          <w:b/>
          <w:sz w:val="24"/>
          <w:szCs w:val="24"/>
        </w:rPr>
        <w:t>Hydrochloric acid resistance</w:t>
      </w:r>
    </w:p>
    <w:p w14:paraId="0B619A52" w14:textId="77173CC7" w:rsidR="00AE14DD" w:rsidRPr="00AE14DD" w:rsidRDefault="00AE14DD" w:rsidP="00AE14DD">
      <w:pPr>
        <w:tabs>
          <w:tab w:val="left" w:pos="426"/>
        </w:tabs>
        <w:spacing w:after="240" w:line="360" w:lineRule="auto"/>
        <w:jc w:val="both"/>
        <w:rPr>
          <w:rFonts w:ascii="Times New Roman" w:hAnsi="Times New Roman" w:cs="Times New Roman"/>
          <w:b/>
          <w:noProof/>
          <w:sz w:val="24"/>
          <w:szCs w:val="24"/>
        </w:rPr>
      </w:pPr>
      <w:r w:rsidRPr="00AE14DD">
        <w:rPr>
          <w:rFonts w:ascii="Times New Roman" w:hAnsi="Times New Roman" w:cs="Times New Roman"/>
          <w:noProof/>
          <w:sz w:val="24"/>
          <w:szCs w:val="24"/>
        </w:rPr>
        <w:t xml:space="preserve">The weight loss of IMF and CPF concrete specimens under HCl solution are presented in Fig. </w:t>
      </w:r>
      <w:r w:rsidR="00B3771C">
        <w:rPr>
          <w:rFonts w:ascii="Times New Roman" w:hAnsi="Times New Roman" w:cs="Times New Roman"/>
          <w:noProof/>
          <w:sz w:val="24"/>
          <w:szCs w:val="24"/>
        </w:rPr>
        <w:t>6</w:t>
      </w:r>
      <w:r w:rsidRPr="00AE14DD">
        <w:rPr>
          <w:rFonts w:ascii="Times New Roman" w:hAnsi="Times New Roman" w:cs="Times New Roman"/>
          <w:noProof/>
          <w:sz w:val="24"/>
          <w:szCs w:val="24"/>
        </w:rPr>
        <w:t xml:space="preserve">. The results reveal that the IMF specimens had more weight loss compared to CPF </w:t>
      </w:r>
      <w:r w:rsidRPr="00AE14DD">
        <w:rPr>
          <w:rFonts w:ascii="Times New Roman" w:hAnsi="Times New Roman" w:cs="Times New Roman"/>
          <w:noProof/>
          <w:sz w:val="24"/>
          <w:szCs w:val="24"/>
        </w:rPr>
        <w:lastRenderedPageBreak/>
        <w:t xml:space="preserve">specimens in all the ages. The reduction in weight loss in CPF specimens was in the range of </w:t>
      </w:r>
      <w:r w:rsidR="003F222A">
        <w:rPr>
          <w:rFonts w:ascii="Times New Roman" w:hAnsi="Times New Roman" w:cs="Times New Roman"/>
          <w:noProof/>
          <w:sz w:val="24"/>
          <w:szCs w:val="24"/>
        </w:rPr>
        <w:t>42</w:t>
      </w:r>
      <w:r w:rsidRPr="00AE14DD">
        <w:rPr>
          <w:rFonts w:ascii="Times New Roman" w:hAnsi="Times New Roman" w:cs="Times New Roman"/>
          <w:noProof/>
          <w:sz w:val="24"/>
          <w:szCs w:val="24"/>
        </w:rPr>
        <w:t>% - 48%.</w:t>
      </w:r>
    </w:p>
    <w:p w14:paraId="3A69EEAB" w14:textId="769E774D" w:rsidR="00AE14DD" w:rsidRPr="00AE14DD" w:rsidRDefault="00AE14DD" w:rsidP="00AE14DD">
      <w:pPr>
        <w:tabs>
          <w:tab w:val="left" w:pos="426"/>
        </w:tabs>
        <w:spacing w:after="240" w:line="360" w:lineRule="auto"/>
        <w:jc w:val="both"/>
        <w:rPr>
          <w:rFonts w:ascii="Times New Roman" w:hAnsi="Times New Roman" w:cs="Times New Roman"/>
          <w:noProof/>
          <w:sz w:val="24"/>
          <w:szCs w:val="24"/>
        </w:rPr>
      </w:pPr>
      <w:r w:rsidRPr="00AE14DD">
        <w:rPr>
          <w:rFonts w:ascii="Times New Roman" w:hAnsi="Times New Roman" w:cs="Times New Roman"/>
          <w:noProof/>
          <w:sz w:val="24"/>
          <w:szCs w:val="24"/>
        </w:rPr>
        <w:tab/>
        <w:t xml:space="preserve">Fig. </w:t>
      </w:r>
      <w:r w:rsidR="003F222A">
        <w:rPr>
          <w:rFonts w:ascii="Times New Roman" w:hAnsi="Times New Roman" w:cs="Times New Roman"/>
          <w:noProof/>
          <w:sz w:val="24"/>
          <w:szCs w:val="24"/>
        </w:rPr>
        <w:t>7</w:t>
      </w:r>
      <w:r w:rsidRPr="00AE14DD">
        <w:rPr>
          <w:rFonts w:ascii="Times New Roman" w:hAnsi="Times New Roman" w:cs="Times New Roman"/>
          <w:noProof/>
          <w:sz w:val="24"/>
          <w:szCs w:val="24"/>
        </w:rPr>
        <w:t xml:space="preserve"> shows the residual compressive strength of IMF and CPF specimens under HCl solution. The results revealed that the IMF specimens had less residual compressive strength than CPF specimens in all the ages. The </w:t>
      </w:r>
      <w:r w:rsidR="00915702">
        <w:rPr>
          <w:rFonts w:ascii="Times New Roman" w:hAnsi="Times New Roman" w:cs="Times New Roman"/>
          <w:noProof/>
          <w:sz w:val="24"/>
          <w:szCs w:val="24"/>
        </w:rPr>
        <w:t>improvement</w:t>
      </w:r>
      <w:r w:rsidRPr="00AE14DD">
        <w:rPr>
          <w:rFonts w:ascii="Times New Roman" w:hAnsi="Times New Roman" w:cs="Times New Roman"/>
          <w:noProof/>
          <w:sz w:val="24"/>
          <w:szCs w:val="24"/>
        </w:rPr>
        <w:t xml:space="preserve"> of CPF </w:t>
      </w:r>
      <w:r w:rsidRPr="00AE14DD">
        <w:rPr>
          <w:rFonts w:ascii="Times New Roman" w:hAnsi="Times New Roman" w:cs="Times New Roman"/>
          <w:color w:val="000000"/>
          <w:sz w:val="24"/>
          <w:szCs w:val="24"/>
        </w:rPr>
        <w:t>liner</w:t>
      </w:r>
      <w:r w:rsidRPr="00AE14DD">
        <w:rPr>
          <w:rFonts w:ascii="Times New Roman" w:hAnsi="Times New Roman" w:cs="Times New Roman"/>
          <w:noProof/>
          <w:sz w:val="24"/>
          <w:szCs w:val="24"/>
        </w:rPr>
        <w:t xml:space="preserve"> was in the range of </w:t>
      </w:r>
      <w:r w:rsidR="003F222A">
        <w:rPr>
          <w:rFonts w:ascii="Times New Roman" w:hAnsi="Times New Roman" w:cs="Times New Roman"/>
          <w:noProof/>
          <w:sz w:val="24"/>
          <w:szCs w:val="24"/>
        </w:rPr>
        <w:t>14</w:t>
      </w:r>
      <w:r w:rsidRPr="00AE14DD">
        <w:rPr>
          <w:rFonts w:ascii="Times New Roman" w:hAnsi="Times New Roman" w:cs="Times New Roman"/>
          <w:noProof/>
          <w:sz w:val="24"/>
          <w:szCs w:val="24"/>
        </w:rPr>
        <w:t>% - 14</w:t>
      </w:r>
      <w:r w:rsidR="003F222A">
        <w:rPr>
          <w:rFonts w:ascii="Times New Roman" w:hAnsi="Times New Roman" w:cs="Times New Roman"/>
          <w:noProof/>
          <w:sz w:val="24"/>
          <w:szCs w:val="24"/>
        </w:rPr>
        <w:t>3</w:t>
      </w:r>
      <w:r w:rsidRPr="00AE14DD">
        <w:rPr>
          <w:rFonts w:ascii="Times New Roman" w:hAnsi="Times New Roman" w:cs="Times New Roman"/>
          <w:noProof/>
          <w:sz w:val="24"/>
          <w:szCs w:val="24"/>
        </w:rPr>
        <w:t>%. The weight loss of concrete specimens also reflect on residual compressive strength of concrete.</w:t>
      </w:r>
    </w:p>
    <w:p w14:paraId="588D7B7F" w14:textId="6BC6FC31" w:rsidR="00AE14DD" w:rsidRPr="0026436A" w:rsidRDefault="00051EE5" w:rsidP="00051EE5">
      <w:pPr>
        <w:tabs>
          <w:tab w:val="left" w:pos="-1440"/>
          <w:tab w:val="left" w:pos="-720"/>
          <w:tab w:val="left" w:pos="0"/>
          <w:tab w:val="left" w:pos="234"/>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360" w:lineRule="auto"/>
        <w:jc w:val="center"/>
        <w:rPr>
          <w:rFonts w:ascii="Times New Roman" w:hAnsi="Times New Roman" w:cs="Times New Roman"/>
          <w:sz w:val="24"/>
          <w:szCs w:val="24"/>
        </w:rPr>
      </w:pPr>
      <w:r>
        <w:rPr>
          <w:noProof/>
        </w:rPr>
        <w:drawing>
          <wp:inline distT="0" distB="0" distL="0" distR="0" wp14:anchorId="4BC5E101" wp14:editId="0155D14A">
            <wp:extent cx="3736731" cy="2674815"/>
            <wp:effectExtent l="0" t="0" r="16510" b="11430"/>
            <wp:docPr id="233243834"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46DEE39" w14:textId="627E18E7" w:rsidR="00DB4E46" w:rsidRDefault="00DB4E46" w:rsidP="00DB4E46">
      <w:pPr>
        <w:spacing w:line="480" w:lineRule="auto"/>
        <w:jc w:val="center"/>
        <w:rPr>
          <w:rFonts w:ascii="Times New Roman" w:hAnsi="Times New Roman" w:cs="Times New Roman"/>
          <w:sz w:val="24"/>
          <w:szCs w:val="24"/>
        </w:rPr>
      </w:pPr>
      <w:r w:rsidRPr="00DB4E46">
        <w:rPr>
          <w:rFonts w:ascii="Times New Roman" w:hAnsi="Times New Roman" w:cs="Times New Roman"/>
          <w:b/>
          <w:sz w:val="24"/>
          <w:szCs w:val="24"/>
        </w:rPr>
        <w:t xml:space="preserve">Fig. </w:t>
      </w:r>
      <w:r w:rsidR="00CC7935">
        <w:rPr>
          <w:rFonts w:ascii="Times New Roman" w:hAnsi="Times New Roman" w:cs="Times New Roman"/>
          <w:b/>
          <w:sz w:val="24"/>
          <w:szCs w:val="24"/>
        </w:rPr>
        <w:t>6</w:t>
      </w:r>
      <w:r w:rsidRPr="00DB4E46">
        <w:rPr>
          <w:rFonts w:ascii="Times New Roman" w:hAnsi="Times New Roman" w:cs="Times New Roman"/>
          <w:b/>
          <w:sz w:val="24"/>
          <w:szCs w:val="24"/>
        </w:rPr>
        <w:t xml:space="preserve">. </w:t>
      </w:r>
      <w:r w:rsidRPr="00DB4E46">
        <w:rPr>
          <w:rFonts w:ascii="Times New Roman" w:hAnsi="Times New Roman" w:cs="Times New Roman"/>
          <w:sz w:val="24"/>
          <w:szCs w:val="24"/>
        </w:rPr>
        <w:t>Weight loss vs duration of exposure.</w:t>
      </w:r>
    </w:p>
    <w:p w14:paraId="61F383B2" w14:textId="3EE71FF9" w:rsidR="00051EE5" w:rsidRPr="00DB4E46" w:rsidRDefault="00051EE5" w:rsidP="00DB4E46">
      <w:pPr>
        <w:spacing w:line="480" w:lineRule="auto"/>
        <w:jc w:val="center"/>
        <w:rPr>
          <w:rFonts w:ascii="Times New Roman" w:hAnsi="Times New Roman" w:cs="Times New Roman"/>
          <w:sz w:val="24"/>
          <w:szCs w:val="24"/>
        </w:rPr>
      </w:pPr>
      <w:r>
        <w:rPr>
          <w:noProof/>
        </w:rPr>
        <w:drawing>
          <wp:inline distT="0" distB="0" distL="0" distR="0" wp14:anchorId="43C25D69" wp14:editId="128669B4">
            <wp:extent cx="4197350" cy="2647950"/>
            <wp:effectExtent l="0" t="0" r="12700" b="0"/>
            <wp:docPr id="285499941"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6CD6205" w14:textId="139E7A73" w:rsidR="00DB4E46" w:rsidRPr="00DB4E46" w:rsidRDefault="00DB4E46" w:rsidP="00DB4E46">
      <w:pPr>
        <w:spacing w:line="360" w:lineRule="auto"/>
        <w:jc w:val="center"/>
        <w:rPr>
          <w:rFonts w:ascii="Times New Roman" w:hAnsi="Times New Roman" w:cs="Times New Roman"/>
          <w:sz w:val="24"/>
          <w:szCs w:val="24"/>
        </w:rPr>
      </w:pPr>
      <w:r w:rsidRPr="00DB4E46">
        <w:rPr>
          <w:rFonts w:ascii="Times New Roman" w:hAnsi="Times New Roman" w:cs="Times New Roman"/>
          <w:b/>
          <w:sz w:val="24"/>
          <w:szCs w:val="24"/>
        </w:rPr>
        <w:t xml:space="preserve">Fig. </w:t>
      </w:r>
      <w:r w:rsidR="00CC7935">
        <w:rPr>
          <w:rFonts w:ascii="Times New Roman" w:hAnsi="Times New Roman" w:cs="Times New Roman"/>
          <w:b/>
          <w:sz w:val="24"/>
          <w:szCs w:val="24"/>
        </w:rPr>
        <w:t>7</w:t>
      </w:r>
      <w:r w:rsidRPr="00DB4E46">
        <w:rPr>
          <w:rFonts w:ascii="Times New Roman" w:hAnsi="Times New Roman" w:cs="Times New Roman"/>
          <w:b/>
          <w:sz w:val="24"/>
          <w:szCs w:val="24"/>
        </w:rPr>
        <w:t xml:space="preserve">. </w:t>
      </w:r>
      <w:r w:rsidRPr="00DB4E46">
        <w:rPr>
          <w:rFonts w:ascii="Times New Roman" w:hAnsi="Times New Roman" w:cs="Times New Roman"/>
          <w:sz w:val="24"/>
          <w:szCs w:val="24"/>
        </w:rPr>
        <w:t>Residual compressive strength vs duration of exposure.</w:t>
      </w:r>
    </w:p>
    <w:p w14:paraId="4EF8C172" w14:textId="0B1BDDD2" w:rsidR="0022765C" w:rsidRPr="003918E7" w:rsidRDefault="0022765C" w:rsidP="00167C0A">
      <w:pPr>
        <w:tabs>
          <w:tab w:val="left" w:pos="-1440"/>
          <w:tab w:val="left" w:pos="-720"/>
          <w:tab w:val="left" w:pos="0"/>
          <w:tab w:val="left" w:pos="234"/>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240" w:line="240" w:lineRule="auto"/>
        <w:jc w:val="center"/>
        <w:rPr>
          <w:rFonts w:ascii="Times New Roman" w:hAnsi="Times New Roman" w:cs="Times New Roman"/>
          <w:sz w:val="24"/>
          <w:szCs w:val="24"/>
        </w:rPr>
      </w:pPr>
    </w:p>
    <w:p w14:paraId="0D486AC5" w14:textId="469D907B" w:rsidR="00AF341F" w:rsidRPr="0026436A" w:rsidRDefault="0099585E" w:rsidP="00567981">
      <w:pPr>
        <w:tabs>
          <w:tab w:val="left" w:pos="-1440"/>
          <w:tab w:val="left" w:pos="-720"/>
          <w:tab w:val="left" w:pos="180"/>
        </w:tabs>
        <w:suppressAutoHyphens/>
        <w:spacing w:after="240" w:line="276"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Sulfate</w:t>
      </w:r>
      <w:proofErr w:type="spellEnd"/>
      <w:r>
        <w:rPr>
          <w:rFonts w:ascii="Times New Roman" w:hAnsi="Times New Roman" w:cs="Times New Roman"/>
          <w:b/>
          <w:sz w:val="24"/>
          <w:szCs w:val="24"/>
        </w:rPr>
        <w:t xml:space="preserve"> resistance</w:t>
      </w:r>
    </w:p>
    <w:p w14:paraId="08B28B41" w14:textId="1C7FCF4C" w:rsidR="00AE14DD" w:rsidRPr="00915702" w:rsidRDefault="00AE14DD" w:rsidP="00AE14DD">
      <w:pPr>
        <w:tabs>
          <w:tab w:val="left" w:pos="426"/>
        </w:tabs>
        <w:spacing w:after="240" w:line="360" w:lineRule="auto"/>
        <w:jc w:val="both"/>
        <w:rPr>
          <w:rFonts w:ascii="Times New Roman" w:hAnsi="Times New Roman" w:cs="Times New Roman"/>
          <w:b/>
          <w:noProof/>
          <w:sz w:val="24"/>
          <w:szCs w:val="24"/>
        </w:rPr>
      </w:pPr>
      <w:r w:rsidRPr="00AE14DD">
        <w:rPr>
          <w:rFonts w:ascii="Times New Roman" w:hAnsi="Times New Roman" w:cs="Times New Roman"/>
          <w:noProof/>
          <w:sz w:val="24"/>
          <w:szCs w:val="24"/>
        </w:rPr>
        <w:t xml:space="preserve">The weight loss of IMF and CPF concrete specimens under sulfate solution are shown in Fig. </w:t>
      </w:r>
      <w:r w:rsidR="00915702">
        <w:rPr>
          <w:rFonts w:ascii="Times New Roman" w:hAnsi="Times New Roman" w:cs="Times New Roman"/>
          <w:noProof/>
          <w:sz w:val="24"/>
          <w:szCs w:val="24"/>
        </w:rPr>
        <w:t>8</w:t>
      </w:r>
      <w:r w:rsidRPr="00AE14DD">
        <w:rPr>
          <w:rFonts w:ascii="Times New Roman" w:hAnsi="Times New Roman" w:cs="Times New Roman"/>
          <w:noProof/>
          <w:sz w:val="24"/>
          <w:szCs w:val="24"/>
        </w:rPr>
        <w:t xml:space="preserve">. The test results revealed that the weight loss has been more in IMF specimens compared to CPF specimens. </w:t>
      </w:r>
      <w:r w:rsidR="00915702" w:rsidRPr="00AE14DD">
        <w:rPr>
          <w:rFonts w:ascii="Times New Roman" w:hAnsi="Times New Roman" w:cs="Times New Roman"/>
          <w:noProof/>
          <w:sz w:val="24"/>
          <w:szCs w:val="24"/>
        </w:rPr>
        <w:t xml:space="preserve">The reduction in weight loss in CPF specimens was in the range of </w:t>
      </w:r>
      <w:r w:rsidR="00915702">
        <w:rPr>
          <w:rFonts w:ascii="Times New Roman" w:hAnsi="Times New Roman" w:cs="Times New Roman"/>
          <w:noProof/>
          <w:sz w:val="24"/>
          <w:szCs w:val="24"/>
        </w:rPr>
        <w:t>37</w:t>
      </w:r>
      <w:r w:rsidR="00915702" w:rsidRPr="00AE14DD">
        <w:rPr>
          <w:rFonts w:ascii="Times New Roman" w:hAnsi="Times New Roman" w:cs="Times New Roman"/>
          <w:noProof/>
          <w:sz w:val="24"/>
          <w:szCs w:val="24"/>
        </w:rPr>
        <w:t>% - 4</w:t>
      </w:r>
      <w:r w:rsidR="00915702">
        <w:rPr>
          <w:rFonts w:ascii="Times New Roman" w:hAnsi="Times New Roman" w:cs="Times New Roman"/>
          <w:noProof/>
          <w:sz w:val="24"/>
          <w:szCs w:val="24"/>
        </w:rPr>
        <w:t>3</w:t>
      </w:r>
      <w:r w:rsidR="00915702" w:rsidRPr="00AE14DD">
        <w:rPr>
          <w:rFonts w:ascii="Times New Roman" w:hAnsi="Times New Roman" w:cs="Times New Roman"/>
          <w:noProof/>
          <w:sz w:val="24"/>
          <w:szCs w:val="24"/>
        </w:rPr>
        <w:t>%.</w:t>
      </w:r>
      <w:r w:rsidR="00915702">
        <w:rPr>
          <w:rFonts w:ascii="Times New Roman" w:hAnsi="Times New Roman" w:cs="Times New Roman"/>
          <w:b/>
          <w:noProof/>
          <w:sz w:val="24"/>
          <w:szCs w:val="24"/>
        </w:rPr>
        <w:t xml:space="preserve"> </w:t>
      </w:r>
      <w:r w:rsidRPr="00AE14DD">
        <w:rPr>
          <w:rFonts w:ascii="Times New Roman" w:hAnsi="Times New Roman" w:cs="Times New Roman"/>
          <w:noProof/>
          <w:sz w:val="24"/>
          <w:szCs w:val="24"/>
        </w:rPr>
        <w:t xml:space="preserve">However, the weight loss less when compared to HCl solution both in IMF and CPF specimens. </w:t>
      </w:r>
    </w:p>
    <w:p w14:paraId="4494E79F" w14:textId="428D43AC" w:rsidR="00AE14DD" w:rsidRPr="00AE14DD" w:rsidRDefault="00AE14DD" w:rsidP="00AE14DD">
      <w:pPr>
        <w:tabs>
          <w:tab w:val="left" w:pos="426"/>
        </w:tabs>
        <w:spacing w:after="240" w:line="360" w:lineRule="auto"/>
        <w:jc w:val="both"/>
        <w:rPr>
          <w:rFonts w:ascii="Times New Roman" w:hAnsi="Times New Roman" w:cs="Times New Roman"/>
          <w:noProof/>
          <w:sz w:val="24"/>
          <w:szCs w:val="24"/>
        </w:rPr>
      </w:pPr>
      <w:r w:rsidRPr="00AE14DD">
        <w:rPr>
          <w:rFonts w:ascii="Times New Roman" w:hAnsi="Times New Roman" w:cs="Times New Roman"/>
          <w:noProof/>
          <w:sz w:val="24"/>
          <w:szCs w:val="24"/>
        </w:rPr>
        <w:tab/>
        <w:t xml:space="preserve">Fig. </w:t>
      </w:r>
      <w:r w:rsidR="00915702">
        <w:rPr>
          <w:rFonts w:ascii="Times New Roman" w:hAnsi="Times New Roman" w:cs="Times New Roman"/>
          <w:noProof/>
          <w:sz w:val="24"/>
          <w:szCs w:val="24"/>
        </w:rPr>
        <w:t>9</w:t>
      </w:r>
      <w:r w:rsidRPr="00AE14DD">
        <w:rPr>
          <w:rFonts w:ascii="Times New Roman" w:hAnsi="Times New Roman" w:cs="Times New Roman"/>
          <w:noProof/>
          <w:sz w:val="24"/>
          <w:szCs w:val="24"/>
        </w:rPr>
        <w:t xml:space="preserve"> shows the residual compressive strength of IMF and CPF specimens under sulfate solution. From the results, the IMF concrete specimens had less residual compressive strength than that of CPF concrete specimens. However, the diffrence in residual compressive strength of IMF and CPF specimen was minimal.</w:t>
      </w:r>
      <w:r w:rsidRPr="00AE14DD">
        <w:rPr>
          <w:sz w:val="24"/>
          <w:szCs w:val="24"/>
        </w:rPr>
        <w:t xml:space="preserve"> </w:t>
      </w:r>
      <w:r w:rsidRPr="00AE14DD">
        <w:rPr>
          <w:rFonts w:ascii="Times New Roman" w:hAnsi="Times New Roman" w:cs="Times New Roman"/>
          <w:noProof/>
          <w:sz w:val="24"/>
          <w:szCs w:val="24"/>
        </w:rPr>
        <w:t xml:space="preserve">The </w:t>
      </w:r>
      <w:r w:rsidR="00915702">
        <w:rPr>
          <w:rFonts w:ascii="Times New Roman" w:hAnsi="Times New Roman" w:cs="Times New Roman"/>
          <w:noProof/>
          <w:sz w:val="24"/>
          <w:szCs w:val="24"/>
        </w:rPr>
        <w:t>improvement</w:t>
      </w:r>
      <w:r w:rsidRPr="00AE14DD">
        <w:rPr>
          <w:rFonts w:ascii="Times New Roman" w:hAnsi="Times New Roman" w:cs="Times New Roman"/>
          <w:noProof/>
          <w:sz w:val="24"/>
          <w:szCs w:val="24"/>
        </w:rPr>
        <w:t xml:space="preserve"> of CPF </w:t>
      </w:r>
      <w:r w:rsidRPr="00AE14DD">
        <w:rPr>
          <w:rFonts w:ascii="Times New Roman" w:hAnsi="Times New Roman" w:cs="Times New Roman"/>
          <w:color w:val="000000"/>
          <w:sz w:val="24"/>
          <w:szCs w:val="24"/>
        </w:rPr>
        <w:t>liner</w:t>
      </w:r>
      <w:r w:rsidRPr="00AE14DD">
        <w:rPr>
          <w:rFonts w:ascii="Times New Roman" w:hAnsi="Times New Roman" w:cs="Times New Roman"/>
          <w:noProof/>
          <w:sz w:val="24"/>
          <w:szCs w:val="24"/>
        </w:rPr>
        <w:t xml:space="preserve"> was in the range of </w:t>
      </w:r>
      <w:r w:rsidR="00915702">
        <w:rPr>
          <w:rFonts w:ascii="Times New Roman" w:hAnsi="Times New Roman" w:cs="Times New Roman"/>
          <w:noProof/>
          <w:sz w:val="24"/>
          <w:szCs w:val="24"/>
        </w:rPr>
        <w:t>8</w:t>
      </w:r>
      <w:r w:rsidRPr="00AE14DD">
        <w:rPr>
          <w:rFonts w:ascii="Times New Roman" w:hAnsi="Times New Roman" w:cs="Times New Roman"/>
          <w:noProof/>
          <w:sz w:val="24"/>
          <w:szCs w:val="24"/>
        </w:rPr>
        <w:t>% - 2</w:t>
      </w:r>
      <w:r w:rsidR="00915702">
        <w:rPr>
          <w:rFonts w:ascii="Times New Roman" w:hAnsi="Times New Roman" w:cs="Times New Roman"/>
          <w:noProof/>
          <w:sz w:val="24"/>
          <w:szCs w:val="24"/>
        </w:rPr>
        <w:t>8</w:t>
      </w:r>
      <w:r w:rsidRPr="00AE14DD">
        <w:rPr>
          <w:rFonts w:ascii="Times New Roman" w:hAnsi="Times New Roman" w:cs="Times New Roman"/>
          <w:noProof/>
          <w:sz w:val="24"/>
          <w:szCs w:val="24"/>
        </w:rPr>
        <w:t xml:space="preserve">%. </w:t>
      </w:r>
    </w:p>
    <w:p w14:paraId="3B2E81AE" w14:textId="6F832334" w:rsidR="00AF341F" w:rsidRDefault="00051EE5" w:rsidP="00DD3A2F">
      <w:pPr>
        <w:tabs>
          <w:tab w:val="left" w:pos="-1440"/>
          <w:tab w:val="left" w:pos="-720"/>
          <w:tab w:val="left" w:pos="180"/>
        </w:tabs>
        <w:suppressAutoHyphens/>
        <w:spacing w:after="240" w:line="276" w:lineRule="auto"/>
        <w:jc w:val="center"/>
        <w:rPr>
          <w:rFonts w:ascii="Times New Roman" w:hAnsi="Times New Roman" w:cs="Times New Roman"/>
          <w:sz w:val="24"/>
          <w:szCs w:val="24"/>
        </w:rPr>
      </w:pPr>
      <w:r>
        <w:rPr>
          <w:noProof/>
        </w:rPr>
        <w:drawing>
          <wp:inline distT="0" distB="0" distL="0" distR="0" wp14:anchorId="14EA804C" wp14:editId="0348A793">
            <wp:extent cx="3604847" cy="2674815"/>
            <wp:effectExtent l="0" t="0" r="15240" b="11430"/>
            <wp:docPr id="1429708618"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6BBFC8" w14:textId="43AD8E09" w:rsidR="00DB4E46" w:rsidRDefault="00DB4E46" w:rsidP="00DB4E46">
      <w:pPr>
        <w:spacing w:line="480" w:lineRule="auto"/>
        <w:jc w:val="center"/>
        <w:rPr>
          <w:rFonts w:ascii="Times New Roman" w:hAnsi="Times New Roman" w:cs="Times New Roman"/>
          <w:sz w:val="24"/>
          <w:szCs w:val="24"/>
        </w:rPr>
      </w:pPr>
      <w:r w:rsidRPr="00DB4E46">
        <w:rPr>
          <w:rFonts w:ascii="Times New Roman" w:hAnsi="Times New Roman" w:cs="Times New Roman"/>
          <w:b/>
          <w:sz w:val="24"/>
          <w:szCs w:val="24"/>
        </w:rPr>
        <w:t xml:space="preserve">Fig. </w:t>
      </w:r>
      <w:r w:rsidR="00CC7935">
        <w:rPr>
          <w:rFonts w:ascii="Times New Roman" w:hAnsi="Times New Roman" w:cs="Times New Roman"/>
          <w:b/>
          <w:sz w:val="24"/>
          <w:szCs w:val="24"/>
        </w:rPr>
        <w:t>8</w:t>
      </w:r>
      <w:r w:rsidRPr="00DB4E46">
        <w:rPr>
          <w:rFonts w:ascii="Times New Roman" w:hAnsi="Times New Roman" w:cs="Times New Roman"/>
          <w:b/>
          <w:sz w:val="24"/>
          <w:szCs w:val="24"/>
        </w:rPr>
        <w:t xml:space="preserve">. </w:t>
      </w:r>
      <w:r w:rsidRPr="00DB4E46">
        <w:rPr>
          <w:rFonts w:ascii="Times New Roman" w:hAnsi="Times New Roman" w:cs="Times New Roman"/>
          <w:sz w:val="24"/>
          <w:szCs w:val="24"/>
        </w:rPr>
        <w:t>Weight loss vs duration of exposure.</w:t>
      </w:r>
    </w:p>
    <w:p w14:paraId="541A2790" w14:textId="089CAD53" w:rsidR="00051EE5" w:rsidRPr="00DB4E46" w:rsidRDefault="00051EE5" w:rsidP="00DB4E46">
      <w:pPr>
        <w:spacing w:line="480" w:lineRule="auto"/>
        <w:jc w:val="center"/>
        <w:rPr>
          <w:rFonts w:ascii="Times New Roman" w:hAnsi="Times New Roman" w:cs="Times New Roman"/>
          <w:sz w:val="24"/>
          <w:szCs w:val="24"/>
        </w:rPr>
      </w:pPr>
      <w:r>
        <w:rPr>
          <w:noProof/>
        </w:rPr>
        <w:lastRenderedPageBreak/>
        <w:drawing>
          <wp:inline distT="0" distB="0" distL="0" distR="0" wp14:anchorId="7DB203AB" wp14:editId="3143B201">
            <wp:extent cx="3336193" cy="2669930"/>
            <wp:effectExtent l="0" t="0" r="17145" b="16510"/>
            <wp:docPr id="1447356827" name="Chart 1">
              <a:extLst xmlns:a="http://schemas.openxmlformats.org/drawingml/2006/main">
                <a:ext uri="{FF2B5EF4-FFF2-40B4-BE49-F238E27FC236}">
                  <a16:creationId xmlns:a16="http://schemas.microsoft.com/office/drawing/2014/main" id="{00000000-0008-0000-0000-000009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BA922C4" w14:textId="7F50EB84" w:rsidR="00DB4E46" w:rsidRPr="00DB4E46" w:rsidRDefault="00DB4E46" w:rsidP="00DB4E46">
      <w:pPr>
        <w:spacing w:line="360" w:lineRule="auto"/>
        <w:jc w:val="center"/>
        <w:rPr>
          <w:rFonts w:ascii="Times New Roman" w:hAnsi="Times New Roman" w:cs="Times New Roman"/>
          <w:sz w:val="24"/>
          <w:szCs w:val="24"/>
        </w:rPr>
      </w:pPr>
      <w:r w:rsidRPr="00DB4E46">
        <w:rPr>
          <w:rFonts w:ascii="Times New Roman" w:hAnsi="Times New Roman" w:cs="Times New Roman"/>
          <w:b/>
          <w:sz w:val="24"/>
          <w:szCs w:val="24"/>
        </w:rPr>
        <w:t xml:space="preserve">Fig. </w:t>
      </w:r>
      <w:r w:rsidR="00CC7935">
        <w:rPr>
          <w:rFonts w:ascii="Times New Roman" w:hAnsi="Times New Roman" w:cs="Times New Roman"/>
          <w:b/>
          <w:sz w:val="24"/>
          <w:szCs w:val="24"/>
        </w:rPr>
        <w:t>9</w:t>
      </w:r>
      <w:r w:rsidRPr="00DB4E46">
        <w:rPr>
          <w:rFonts w:ascii="Times New Roman" w:hAnsi="Times New Roman" w:cs="Times New Roman"/>
          <w:b/>
          <w:sz w:val="24"/>
          <w:szCs w:val="24"/>
        </w:rPr>
        <w:t xml:space="preserve">. </w:t>
      </w:r>
      <w:r w:rsidRPr="00DB4E46">
        <w:rPr>
          <w:rFonts w:ascii="Times New Roman" w:hAnsi="Times New Roman" w:cs="Times New Roman"/>
          <w:sz w:val="24"/>
          <w:szCs w:val="24"/>
        </w:rPr>
        <w:t>Residual compressive strength vs duration of exposure.</w:t>
      </w:r>
    </w:p>
    <w:p w14:paraId="510A6905" w14:textId="77777777" w:rsidR="00DB4E46" w:rsidRPr="0026436A" w:rsidRDefault="00DB4E46" w:rsidP="00DD3A2F">
      <w:pPr>
        <w:tabs>
          <w:tab w:val="left" w:pos="180"/>
        </w:tabs>
        <w:spacing w:line="276" w:lineRule="auto"/>
        <w:jc w:val="center"/>
        <w:rPr>
          <w:rFonts w:ascii="Times New Roman" w:eastAsia="Times New Roman" w:hAnsi="Times New Roman" w:cs="Times New Roman"/>
          <w:b/>
          <w:sz w:val="24"/>
          <w:szCs w:val="24"/>
          <w:lang w:eastAsia="ar-SA"/>
        </w:rPr>
      </w:pPr>
    </w:p>
    <w:p w14:paraId="17A82C4E" w14:textId="77777777" w:rsidR="002547CE" w:rsidRDefault="002547CE" w:rsidP="00570CE6">
      <w:pPr>
        <w:spacing w:before="30" w:after="30" w:line="480" w:lineRule="auto"/>
        <w:rPr>
          <w:rFonts w:ascii="Times New Roman" w:hAnsi="Times New Roman" w:cs="Times New Roman"/>
          <w:b/>
          <w:sz w:val="20"/>
          <w:szCs w:val="20"/>
        </w:rPr>
      </w:pPr>
    </w:p>
    <w:p w14:paraId="29B87910" w14:textId="77777777" w:rsidR="009E3C5D" w:rsidRPr="006113FE" w:rsidRDefault="00EE70EB" w:rsidP="00570CE6">
      <w:pPr>
        <w:spacing w:before="30" w:after="30" w:line="480" w:lineRule="auto"/>
        <w:rPr>
          <w:rFonts w:ascii="Times New Roman" w:hAnsi="Times New Roman" w:cs="Times New Roman"/>
          <w:b/>
          <w:sz w:val="24"/>
          <w:szCs w:val="24"/>
        </w:rPr>
      </w:pPr>
      <w:r w:rsidRPr="006113FE">
        <w:rPr>
          <w:rFonts w:ascii="Times New Roman" w:hAnsi="Times New Roman" w:cs="Times New Roman"/>
          <w:b/>
          <w:sz w:val="24"/>
          <w:szCs w:val="24"/>
        </w:rPr>
        <w:t>CONCLUSION</w:t>
      </w:r>
      <w:r w:rsidR="00404DCF" w:rsidRPr="006113FE">
        <w:rPr>
          <w:rFonts w:ascii="Times New Roman" w:hAnsi="Times New Roman" w:cs="Times New Roman"/>
          <w:b/>
          <w:sz w:val="24"/>
          <w:szCs w:val="24"/>
        </w:rPr>
        <w:t>S</w:t>
      </w:r>
    </w:p>
    <w:p w14:paraId="51BA93CF" w14:textId="77777777" w:rsidR="00C85863" w:rsidRPr="00C85863" w:rsidRDefault="00C85863" w:rsidP="00C85863">
      <w:pPr>
        <w:tabs>
          <w:tab w:val="left" w:pos="360"/>
        </w:tabs>
        <w:spacing w:after="0" w:line="360" w:lineRule="auto"/>
        <w:jc w:val="both"/>
        <w:rPr>
          <w:rFonts w:ascii="Times New Roman" w:hAnsi="Times New Roman"/>
          <w:sz w:val="24"/>
          <w:szCs w:val="24"/>
        </w:rPr>
      </w:pPr>
      <w:r w:rsidRPr="00C85863">
        <w:rPr>
          <w:rFonts w:ascii="Times New Roman" w:hAnsi="Times New Roman"/>
          <w:sz w:val="24"/>
          <w:szCs w:val="24"/>
        </w:rPr>
        <w:t>Based on the recent experimental inquiry, the following results were reached:</w:t>
      </w:r>
    </w:p>
    <w:p w14:paraId="1797D737" w14:textId="28C4E6D4" w:rsidR="00C85863" w:rsidRPr="00C85863" w:rsidRDefault="00C85863" w:rsidP="00C85863">
      <w:pPr>
        <w:pStyle w:val="ListParagraph"/>
        <w:numPr>
          <w:ilvl w:val="0"/>
          <w:numId w:val="10"/>
        </w:numPr>
        <w:tabs>
          <w:tab w:val="left" w:pos="360"/>
        </w:tabs>
        <w:spacing w:line="360" w:lineRule="auto"/>
        <w:jc w:val="both"/>
        <w:rPr>
          <w:rFonts w:ascii="Times New Roman" w:hAnsi="Times New Roman"/>
          <w:sz w:val="24"/>
          <w:szCs w:val="24"/>
        </w:rPr>
      </w:pPr>
      <w:r w:rsidRPr="00C85863">
        <w:rPr>
          <w:rFonts w:ascii="Times New Roman" w:hAnsi="Times New Roman"/>
          <w:sz w:val="24"/>
          <w:szCs w:val="24"/>
        </w:rPr>
        <w:t xml:space="preserve">CPF concrete specimens have a low value of water absorption than IMF concrete specimens. The range of improvement is around </w:t>
      </w:r>
      <w:r w:rsidR="00FF1341">
        <w:rPr>
          <w:rFonts w:ascii="Times New Roman" w:hAnsi="Times New Roman"/>
          <w:sz w:val="24"/>
          <w:szCs w:val="24"/>
        </w:rPr>
        <w:t>22</w:t>
      </w:r>
      <w:r w:rsidRPr="00C85863">
        <w:rPr>
          <w:rFonts w:ascii="Times New Roman" w:hAnsi="Times New Roman"/>
          <w:sz w:val="24"/>
          <w:szCs w:val="24"/>
        </w:rPr>
        <w:t xml:space="preserve">% to 30%. Similarly, the rate of </w:t>
      </w:r>
      <w:proofErr w:type="spellStart"/>
      <w:r w:rsidRPr="00C85863">
        <w:rPr>
          <w:rFonts w:ascii="Times New Roman" w:hAnsi="Times New Roman"/>
          <w:sz w:val="24"/>
          <w:szCs w:val="24"/>
        </w:rPr>
        <w:t>sorptivity</w:t>
      </w:r>
      <w:proofErr w:type="spellEnd"/>
      <w:r w:rsidRPr="00C85863">
        <w:rPr>
          <w:rFonts w:ascii="Times New Roman" w:hAnsi="Times New Roman"/>
          <w:sz w:val="24"/>
          <w:szCs w:val="24"/>
        </w:rPr>
        <w:t xml:space="preserve"> (absorption of water) of CPF samples is significantly reduced than the Impermeable Formwork samples. The improvement was in the range of </w:t>
      </w:r>
      <w:r w:rsidR="00FF1341">
        <w:rPr>
          <w:rFonts w:ascii="Times New Roman" w:hAnsi="Times New Roman"/>
          <w:sz w:val="24"/>
          <w:szCs w:val="24"/>
        </w:rPr>
        <w:t>51</w:t>
      </w:r>
      <w:r w:rsidRPr="00C85863">
        <w:rPr>
          <w:rFonts w:ascii="Times New Roman" w:hAnsi="Times New Roman"/>
          <w:sz w:val="24"/>
          <w:szCs w:val="24"/>
        </w:rPr>
        <w:t xml:space="preserve"> to 67%.</w:t>
      </w:r>
    </w:p>
    <w:p w14:paraId="372826D5" w14:textId="1351E9D7" w:rsidR="00C85863" w:rsidRPr="00C85863" w:rsidRDefault="00C85863" w:rsidP="00C85863">
      <w:pPr>
        <w:pStyle w:val="ListParagraph"/>
        <w:numPr>
          <w:ilvl w:val="0"/>
          <w:numId w:val="10"/>
        </w:numPr>
        <w:spacing w:line="360" w:lineRule="auto"/>
        <w:jc w:val="both"/>
        <w:rPr>
          <w:rFonts w:ascii="Times New Roman" w:hAnsi="Times New Roman"/>
          <w:sz w:val="24"/>
          <w:szCs w:val="24"/>
        </w:rPr>
      </w:pPr>
      <w:r w:rsidRPr="00C85863">
        <w:rPr>
          <w:rFonts w:ascii="Times New Roman" w:hAnsi="Times New Roman"/>
          <w:sz w:val="24"/>
          <w:szCs w:val="24"/>
        </w:rPr>
        <w:t xml:space="preserve">The CPF concrete samples have a lesser weight loss than the Impermeable formwork samples </w:t>
      </w:r>
      <w:r w:rsidRPr="00C85863">
        <w:rPr>
          <w:rFonts w:ascii="Times New Roman" w:hAnsi="Times New Roman" w:cs="Times New Roman"/>
          <w:sz w:val="24"/>
          <w:szCs w:val="24"/>
        </w:rPr>
        <w:t>under both hydrochloric acid and sulfate environment</w:t>
      </w:r>
      <w:r w:rsidRPr="00C85863">
        <w:rPr>
          <w:rFonts w:ascii="Times New Roman" w:hAnsi="Times New Roman"/>
          <w:sz w:val="24"/>
          <w:szCs w:val="24"/>
        </w:rPr>
        <w:t>. The percentage of improvement ranges from 3</w:t>
      </w:r>
      <w:r w:rsidR="00FF1341">
        <w:rPr>
          <w:rFonts w:ascii="Times New Roman" w:hAnsi="Times New Roman"/>
          <w:sz w:val="24"/>
          <w:szCs w:val="24"/>
        </w:rPr>
        <w:t>7</w:t>
      </w:r>
      <w:r w:rsidRPr="00C85863">
        <w:rPr>
          <w:rFonts w:ascii="Times New Roman" w:hAnsi="Times New Roman"/>
          <w:sz w:val="24"/>
          <w:szCs w:val="24"/>
        </w:rPr>
        <w:t xml:space="preserve"> to 48%.</w:t>
      </w:r>
    </w:p>
    <w:p w14:paraId="1A6688A8" w14:textId="4C770F28" w:rsidR="00C85863" w:rsidRDefault="00C85863" w:rsidP="00C85863">
      <w:pPr>
        <w:pStyle w:val="ListParagraph"/>
        <w:numPr>
          <w:ilvl w:val="0"/>
          <w:numId w:val="10"/>
        </w:numPr>
        <w:spacing w:after="240" w:line="360" w:lineRule="auto"/>
        <w:jc w:val="both"/>
        <w:rPr>
          <w:rFonts w:ascii="Times New Roman" w:hAnsi="Times New Roman" w:cs="Times New Roman"/>
          <w:sz w:val="24"/>
          <w:szCs w:val="24"/>
        </w:rPr>
      </w:pPr>
      <w:r w:rsidRPr="00C85863">
        <w:rPr>
          <w:rFonts w:ascii="Times New Roman" w:hAnsi="Times New Roman" w:cs="Times New Roman"/>
          <w:sz w:val="24"/>
          <w:szCs w:val="24"/>
        </w:rPr>
        <w:t xml:space="preserve">Under chemical environment, CPF concretes exhibited outstanding performance. The residual compressive strength of CPF concrete was more by </w:t>
      </w:r>
      <w:r w:rsidR="00FF1341">
        <w:rPr>
          <w:rFonts w:ascii="Times New Roman" w:hAnsi="Times New Roman" w:cs="Times New Roman"/>
          <w:sz w:val="24"/>
          <w:szCs w:val="24"/>
        </w:rPr>
        <w:t>14</w:t>
      </w:r>
      <w:r w:rsidRPr="00C85863">
        <w:rPr>
          <w:rFonts w:ascii="Times New Roman" w:hAnsi="Times New Roman" w:cs="Times New Roman"/>
          <w:sz w:val="24"/>
          <w:szCs w:val="24"/>
        </w:rPr>
        <w:t>% - 14</w:t>
      </w:r>
      <w:r w:rsidR="00FF1341">
        <w:rPr>
          <w:rFonts w:ascii="Times New Roman" w:hAnsi="Times New Roman" w:cs="Times New Roman"/>
          <w:sz w:val="24"/>
          <w:szCs w:val="24"/>
        </w:rPr>
        <w:t>3</w:t>
      </w:r>
      <w:r w:rsidRPr="00C85863">
        <w:rPr>
          <w:rFonts w:ascii="Times New Roman" w:hAnsi="Times New Roman" w:cs="Times New Roman"/>
          <w:sz w:val="24"/>
          <w:szCs w:val="24"/>
        </w:rPr>
        <w:t xml:space="preserve">% compared to IMF concretes under hydrochloric acid environment. In sulfate environment, this improvement was </w:t>
      </w:r>
      <w:r w:rsidR="00FF1341">
        <w:rPr>
          <w:rFonts w:ascii="Times New Roman" w:hAnsi="Times New Roman" w:cs="Times New Roman"/>
          <w:sz w:val="24"/>
          <w:szCs w:val="24"/>
        </w:rPr>
        <w:t>8</w:t>
      </w:r>
      <w:r w:rsidRPr="00C85863">
        <w:rPr>
          <w:rFonts w:ascii="Times New Roman" w:hAnsi="Times New Roman" w:cs="Times New Roman"/>
          <w:sz w:val="24"/>
          <w:szCs w:val="24"/>
        </w:rPr>
        <w:t>% - 2</w:t>
      </w:r>
      <w:r w:rsidR="00FF1341">
        <w:rPr>
          <w:rFonts w:ascii="Times New Roman" w:hAnsi="Times New Roman" w:cs="Times New Roman"/>
          <w:sz w:val="24"/>
          <w:szCs w:val="24"/>
        </w:rPr>
        <w:t>8</w:t>
      </w:r>
      <w:r w:rsidRPr="00C85863">
        <w:rPr>
          <w:rFonts w:ascii="Times New Roman" w:hAnsi="Times New Roman" w:cs="Times New Roman"/>
          <w:sz w:val="24"/>
          <w:szCs w:val="24"/>
        </w:rPr>
        <w:t>%.</w:t>
      </w:r>
    </w:p>
    <w:p w14:paraId="5DFA5C79" w14:textId="77777777" w:rsidR="004F09F8" w:rsidRDefault="004F09F8" w:rsidP="004F09F8">
      <w:pPr>
        <w:spacing w:after="240" w:line="360" w:lineRule="auto"/>
        <w:jc w:val="both"/>
        <w:rPr>
          <w:rFonts w:ascii="Times New Roman" w:hAnsi="Times New Roman" w:cs="Times New Roman"/>
          <w:sz w:val="24"/>
          <w:szCs w:val="24"/>
        </w:rPr>
      </w:pPr>
    </w:p>
    <w:p w14:paraId="13CC9969" w14:textId="77777777" w:rsidR="004F09F8" w:rsidRDefault="004F09F8" w:rsidP="004F09F8">
      <w:pPr>
        <w:spacing w:after="240" w:line="360" w:lineRule="auto"/>
        <w:jc w:val="both"/>
        <w:rPr>
          <w:rFonts w:ascii="Times New Roman" w:hAnsi="Times New Roman" w:cs="Times New Roman"/>
          <w:sz w:val="24"/>
          <w:szCs w:val="24"/>
        </w:rPr>
      </w:pPr>
    </w:p>
    <w:p w14:paraId="70888B85" w14:textId="77777777" w:rsidR="004F09F8" w:rsidRPr="004F09F8" w:rsidRDefault="004F09F8" w:rsidP="004F09F8">
      <w:pPr>
        <w:spacing w:after="240" w:line="360" w:lineRule="auto"/>
        <w:jc w:val="both"/>
        <w:rPr>
          <w:rFonts w:ascii="Times New Roman" w:hAnsi="Times New Roman" w:cs="Times New Roman"/>
          <w:sz w:val="24"/>
          <w:szCs w:val="24"/>
        </w:rPr>
      </w:pPr>
    </w:p>
    <w:p w14:paraId="5411DF79" w14:textId="77777777" w:rsidR="00501A3A" w:rsidRPr="00F0423A" w:rsidRDefault="00F0423A" w:rsidP="00501A3A">
      <w:pPr>
        <w:spacing w:line="360" w:lineRule="auto"/>
        <w:rPr>
          <w:rFonts w:ascii="Times New Roman" w:hAnsi="Times New Roman"/>
          <w:b/>
          <w:color w:val="000000"/>
          <w:sz w:val="20"/>
          <w:szCs w:val="20"/>
        </w:rPr>
      </w:pPr>
      <w:r w:rsidRPr="00F0423A">
        <w:rPr>
          <w:rFonts w:ascii="Times New Roman" w:hAnsi="Times New Roman"/>
          <w:b/>
          <w:color w:val="000000"/>
          <w:sz w:val="20"/>
          <w:szCs w:val="20"/>
        </w:rPr>
        <w:lastRenderedPageBreak/>
        <w:t>References</w:t>
      </w:r>
    </w:p>
    <w:p w14:paraId="4CB70C5C" w14:textId="2D8A5259" w:rsidR="00501A3A" w:rsidRPr="00F0423A" w:rsidRDefault="00286207" w:rsidP="001752E5">
      <w:pPr>
        <w:spacing w:after="0" w:line="276" w:lineRule="auto"/>
        <w:jc w:val="both"/>
        <w:rPr>
          <w:rFonts w:ascii="Times New Roman" w:hAnsi="Times New Roman"/>
          <w:sz w:val="18"/>
          <w:szCs w:val="18"/>
        </w:rPr>
      </w:pPr>
      <w:r>
        <w:rPr>
          <w:rFonts w:ascii="Times New Roman" w:hAnsi="Times New Roman"/>
          <w:sz w:val="18"/>
          <w:szCs w:val="18"/>
        </w:rPr>
        <w:t xml:space="preserve">[1] </w:t>
      </w:r>
      <w:r w:rsidR="001752E5">
        <w:rPr>
          <w:rFonts w:ascii="Times New Roman" w:hAnsi="Times New Roman"/>
          <w:sz w:val="18"/>
          <w:szCs w:val="18"/>
        </w:rPr>
        <w:t xml:space="preserve">A. </w:t>
      </w:r>
      <w:proofErr w:type="spellStart"/>
      <w:r w:rsidR="001752E5">
        <w:rPr>
          <w:rFonts w:ascii="Times New Roman" w:hAnsi="Times New Roman"/>
          <w:sz w:val="18"/>
          <w:szCs w:val="18"/>
        </w:rPr>
        <w:t>Ajdukiewicz</w:t>
      </w:r>
      <w:proofErr w:type="spellEnd"/>
      <w:r w:rsidR="00501A3A" w:rsidRPr="00F0423A">
        <w:rPr>
          <w:rFonts w:ascii="Times New Roman" w:hAnsi="Times New Roman"/>
          <w:sz w:val="18"/>
          <w:szCs w:val="18"/>
        </w:rPr>
        <w:t xml:space="preserve">, </w:t>
      </w:r>
      <w:r w:rsidR="00501A3A" w:rsidRPr="001752E5">
        <w:rPr>
          <w:rFonts w:ascii="Times New Roman" w:hAnsi="Times New Roman"/>
          <w:i/>
          <w:sz w:val="18"/>
          <w:szCs w:val="18"/>
        </w:rPr>
        <w:t>On durability aspects of concrete members formed against   permeable formwork,</w:t>
      </w:r>
      <w:r w:rsidR="00501A3A" w:rsidRPr="00F0423A">
        <w:rPr>
          <w:rFonts w:ascii="Times New Roman" w:hAnsi="Times New Roman"/>
          <w:sz w:val="18"/>
          <w:szCs w:val="18"/>
        </w:rPr>
        <w:t xml:space="preserve"> Foundation of Civil </w:t>
      </w:r>
      <w:r w:rsidR="002C0001">
        <w:rPr>
          <w:rFonts w:ascii="Times New Roman" w:hAnsi="Times New Roman"/>
          <w:sz w:val="18"/>
          <w:szCs w:val="18"/>
        </w:rPr>
        <w:t xml:space="preserve">  </w:t>
      </w:r>
      <w:r w:rsidR="00501A3A" w:rsidRPr="00F0423A">
        <w:rPr>
          <w:rFonts w:ascii="Times New Roman" w:hAnsi="Times New Roman"/>
          <w:sz w:val="18"/>
          <w:szCs w:val="18"/>
        </w:rPr>
        <w:t xml:space="preserve">and </w:t>
      </w:r>
      <w:r w:rsidR="001752E5">
        <w:rPr>
          <w:rFonts w:ascii="Times New Roman" w:hAnsi="Times New Roman"/>
          <w:sz w:val="18"/>
          <w:szCs w:val="18"/>
        </w:rPr>
        <w:t>Environmental Engineering 7</w:t>
      </w:r>
      <w:r w:rsidR="00501A3A" w:rsidRPr="00F0423A">
        <w:rPr>
          <w:rFonts w:ascii="Times New Roman" w:hAnsi="Times New Roman"/>
          <w:sz w:val="18"/>
          <w:szCs w:val="18"/>
        </w:rPr>
        <w:t xml:space="preserve"> </w:t>
      </w:r>
      <w:r w:rsidR="001752E5">
        <w:rPr>
          <w:rFonts w:ascii="Times New Roman" w:hAnsi="Times New Roman"/>
          <w:sz w:val="18"/>
          <w:szCs w:val="18"/>
        </w:rPr>
        <w:t>(</w:t>
      </w:r>
      <w:r w:rsidR="00501A3A" w:rsidRPr="00F0423A">
        <w:rPr>
          <w:rFonts w:ascii="Times New Roman" w:hAnsi="Times New Roman"/>
          <w:sz w:val="18"/>
          <w:szCs w:val="18"/>
        </w:rPr>
        <w:t>2006</w:t>
      </w:r>
      <w:r w:rsidR="001752E5">
        <w:rPr>
          <w:rFonts w:ascii="Times New Roman" w:hAnsi="Times New Roman"/>
          <w:sz w:val="18"/>
          <w:szCs w:val="18"/>
        </w:rPr>
        <w:t>)</w:t>
      </w:r>
      <w:r w:rsidR="00501A3A" w:rsidRPr="00F0423A">
        <w:rPr>
          <w:rFonts w:ascii="Times New Roman" w:hAnsi="Times New Roman"/>
          <w:sz w:val="18"/>
          <w:szCs w:val="18"/>
        </w:rPr>
        <w:t xml:space="preserve"> 007-016.</w:t>
      </w:r>
    </w:p>
    <w:p w14:paraId="2561F260" w14:textId="77777777" w:rsidR="00501A3A" w:rsidRPr="00F0423A" w:rsidRDefault="00286207" w:rsidP="001752E5">
      <w:pPr>
        <w:tabs>
          <w:tab w:val="left" w:pos="180"/>
          <w:tab w:val="left" w:pos="540"/>
        </w:tabs>
        <w:spacing w:after="0" w:line="276" w:lineRule="auto"/>
        <w:jc w:val="both"/>
        <w:rPr>
          <w:rFonts w:ascii="Times New Roman" w:hAnsi="Times New Roman"/>
          <w:sz w:val="18"/>
          <w:szCs w:val="18"/>
        </w:rPr>
      </w:pPr>
      <w:r>
        <w:rPr>
          <w:rFonts w:ascii="Times New Roman" w:hAnsi="Times New Roman"/>
          <w:sz w:val="18"/>
          <w:szCs w:val="18"/>
        </w:rPr>
        <w:t xml:space="preserve">[2] </w:t>
      </w:r>
      <w:r w:rsidR="00583426">
        <w:rPr>
          <w:rFonts w:ascii="Times New Roman" w:hAnsi="Times New Roman"/>
          <w:sz w:val="18"/>
          <w:szCs w:val="18"/>
        </w:rPr>
        <w:t xml:space="preserve">W.F. </w:t>
      </w:r>
      <w:r w:rsidR="00501A3A" w:rsidRPr="00F0423A">
        <w:rPr>
          <w:rFonts w:ascii="Times New Roman" w:hAnsi="Times New Roman"/>
          <w:sz w:val="18"/>
          <w:szCs w:val="18"/>
        </w:rPr>
        <w:t>Pri</w:t>
      </w:r>
      <w:r w:rsidR="00583426">
        <w:rPr>
          <w:rFonts w:ascii="Times New Roman" w:hAnsi="Times New Roman"/>
          <w:sz w:val="18"/>
          <w:szCs w:val="18"/>
        </w:rPr>
        <w:t>ce</w:t>
      </w:r>
      <w:r w:rsidR="00501A3A" w:rsidRPr="00F0423A">
        <w:rPr>
          <w:rFonts w:ascii="Times New Roman" w:hAnsi="Times New Roman"/>
          <w:sz w:val="18"/>
          <w:szCs w:val="18"/>
        </w:rPr>
        <w:t xml:space="preserve">, </w:t>
      </w:r>
      <w:r w:rsidR="00583426">
        <w:rPr>
          <w:rFonts w:ascii="Times New Roman" w:hAnsi="Times New Roman"/>
          <w:sz w:val="18"/>
          <w:szCs w:val="18"/>
        </w:rPr>
        <w:t>S.J. Widdows</w:t>
      </w:r>
      <w:r w:rsidR="00501A3A" w:rsidRPr="00F0423A">
        <w:rPr>
          <w:rFonts w:ascii="Times New Roman" w:hAnsi="Times New Roman"/>
          <w:sz w:val="18"/>
          <w:szCs w:val="18"/>
        </w:rPr>
        <w:t xml:space="preserve">, </w:t>
      </w:r>
      <w:r w:rsidR="00501A3A" w:rsidRPr="00583426">
        <w:rPr>
          <w:rFonts w:ascii="Times New Roman" w:hAnsi="Times New Roman"/>
          <w:i/>
          <w:sz w:val="18"/>
          <w:szCs w:val="18"/>
        </w:rPr>
        <w:t>The effect of permeable formwork on the surface properties of concrete</w:t>
      </w:r>
      <w:r w:rsidR="00583426">
        <w:rPr>
          <w:rFonts w:ascii="Times New Roman" w:hAnsi="Times New Roman"/>
          <w:sz w:val="18"/>
          <w:szCs w:val="18"/>
        </w:rPr>
        <w:t>, Magazine of Concrete Research</w:t>
      </w:r>
      <w:r w:rsidR="00501A3A" w:rsidRPr="00F0423A">
        <w:rPr>
          <w:rFonts w:ascii="Times New Roman" w:hAnsi="Times New Roman"/>
          <w:sz w:val="18"/>
          <w:szCs w:val="18"/>
        </w:rPr>
        <w:t xml:space="preserve"> 43 (1991</w:t>
      </w:r>
      <w:proofErr w:type="gramStart"/>
      <w:r w:rsidR="00501A3A" w:rsidRPr="00F0423A">
        <w:rPr>
          <w:rFonts w:ascii="Times New Roman" w:hAnsi="Times New Roman"/>
          <w:sz w:val="18"/>
          <w:szCs w:val="18"/>
        </w:rPr>
        <w:t>)  93</w:t>
      </w:r>
      <w:proofErr w:type="gramEnd"/>
      <w:r w:rsidR="00501A3A" w:rsidRPr="00F0423A">
        <w:rPr>
          <w:rFonts w:ascii="Times New Roman" w:hAnsi="Times New Roman"/>
          <w:sz w:val="18"/>
          <w:szCs w:val="18"/>
        </w:rPr>
        <w:t xml:space="preserve">-104. </w:t>
      </w:r>
    </w:p>
    <w:p w14:paraId="399C1542" w14:textId="77777777" w:rsidR="00501A3A" w:rsidRPr="00F0423A" w:rsidRDefault="00286207" w:rsidP="00EA1E58">
      <w:pPr>
        <w:spacing w:after="0" w:line="276" w:lineRule="auto"/>
        <w:jc w:val="both"/>
        <w:rPr>
          <w:rFonts w:ascii="Times New Roman" w:hAnsi="Times New Roman"/>
          <w:sz w:val="18"/>
          <w:szCs w:val="18"/>
        </w:rPr>
      </w:pPr>
      <w:r>
        <w:rPr>
          <w:rFonts w:ascii="Times New Roman" w:hAnsi="Times New Roman"/>
          <w:sz w:val="18"/>
          <w:szCs w:val="18"/>
        </w:rPr>
        <w:t xml:space="preserve">[3] </w:t>
      </w:r>
      <w:r w:rsidR="00EA1E58">
        <w:rPr>
          <w:rFonts w:ascii="Times New Roman" w:hAnsi="Times New Roman"/>
          <w:sz w:val="18"/>
          <w:szCs w:val="18"/>
        </w:rPr>
        <w:t>J. Cairns</w:t>
      </w:r>
      <w:r w:rsidR="00501A3A" w:rsidRPr="00F0423A">
        <w:rPr>
          <w:rFonts w:ascii="Times New Roman" w:hAnsi="Times New Roman"/>
          <w:sz w:val="18"/>
          <w:szCs w:val="18"/>
        </w:rPr>
        <w:t xml:space="preserve">, </w:t>
      </w:r>
      <w:r w:rsidR="00501A3A" w:rsidRPr="00EA1E58">
        <w:rPr>
          <w:rFonts w:ascii="Times New Roman" w:hAnsi="Times New Roman"/>
          <w:i/>
          <w:sz w:val="18"/>
          <w:szCs w:val="18"/>
        </w:rPr>
        <w:t>Enhancements in surface quality of concrete through use of controlled permeability formwork liners</w:t>
      </w:r>
      <w:r w:rsidR="00501A3A" w:rsidRPr="00F0423A">
        <w:rPr>
          <w:rFonts w:ascii="Times New Roman" w:hAnsi="Times New Roman"/>
          <w:sz w:val="18"/>
          <w:szCs w:val="18"/>
        </w:rPr>
        <w:t>, Mag</w:t>
      </w:r>
      <w:r w:rsidR="00583426">
        <w:rPr>
          <w:rFonts w:ascii="Times New Roman" w:hAnsi="Times New Roman"/>
          <w:sz w:val="18"/>
          <w:szCs w:val="18"/>
        </w:rPr>
        <w:t>azine of Concrete Research 51</w:t>
      </w:r>
      <w:r w:rsidR="00501A3A" w:rsidRPr="00F0423A">
        <w:rPr>
          <w:rFonts w:ascii="Times New Roman" w:hAnsi="Times New Roman"/>
          <w:sz w:val="18"/>
          <w:szCs w:val="18"/>
        </w:rPr>
        <w:t xml:space="preserve"> </w:t>
      </w:r>
      <w:r w:rsidR="00583426">
        <w:rPr>
          <w:rFonts w:ascii="Times New Roman" w:hAnsi="Times New Roman"/>
          <w:sz w:val="18"/>
          <w:szCs w:val="18"/>
        </w:rPr>
        <w:t>(</w:t>
      </w:r>
      <w:r w:rsidR="00501A3A" w:rsidRPr="00F0423A">
        <w:rPr>
          <w:rFonts w:ascii="Times New Roman" w:hAnsi="Times New Roman"/>
          <w:sz w:val="18"/>
          <w:szCs w:val="18"/>
        </w:rPr>
        <w:t>2</w:t>
      </w:r>
      <w:r w:rsidR="00583426">
        <w:rPr>
          <w:rFonts w:ascii="Times New Roman" w:hAnsi="Times New Roman"/>
          <w:sz w:val="18"/>
          <w:szCs w:val="18"/>
        </w:rPr>
        <w:t>)</w:t>
      </w:r>
      <w:r w:rsidR="00501A3A" w:rsidRPr="00F0423A">
        <w:rPr>
          <w:rFonts w:ascii="Times New Roman" w:hAnsi="Times New Roman"/>
          <w:sz w:val="18"/>
          <w:szCs w:val="18"/>
        </w:rPr>
        <w:t xml:space="preserve"> </w:t>
      </w:r>
      <w:r w:rsidR="00583426">
        <w:rPr>
          <w:rFonts w:ascii="Times New Roman" w:hAnsi="Times New Roman"/>
          <w:sz w:val="18"/>
          <w:szCs w:val="18"/>
        </w:rPr>
        <w:t>(</w:t>
      </w:r>
      <w:r w:rsidR="00501A3A" w:rsidRPr="00F0423A">
        <w:rPr>
          <w:rFonts w:ascii="Times New Roman" w:hAnsi="Times New Roman"/>
          <w:sz w:val="18"/>
          <w:szCs w:val="18"/>
        </w:rPr>
        <w:t>1999</w:t>
      </w:r>
      <w:r w:rsidR="00583426">
        <w:rPr>
          <w:rFonts w:ascii="Times New Roman" w:hAnsi="Times New Roman"/>
          <w:sz w:val="18"/>
          <w:szCs w:val="18"/>
        </w:rPr>
        <w:t>)</w:t>
      </w:r>
      <w:r w:rsidR="00501A3A" w:rsidRPr="00F0423A">
        <w:rPr>
          <w:rFonts w:ascii="Times New Roman" w:hAnsi="Times New Roman"/>
          <w:sz w:val="18"/>
          <w:szCs w:val="18"/>
        </w:rPr>
        <w:t xml:space="preserve"> 73-86. </w:t>
      </w:r>
    </w:p>
    <w:p w14:paraId="33E84A49"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[4] </w:t>
      </w:r>
      <w:r w:rsidR="00BA0CC7">
        <w:rPr>
          <w:rFonts w:ascii="Times New Roman" w:hAnsi="Times New Roman"/>
          <w:sz w:val="18"/>
          <w:szCs w:val="18"/>
        </w:rPr>
        <w:t>J.S. Coutinho</w:t>
      </w:r>
      <w:r w:rsidR="00501A3A" w:rsidRPr="00F0423A">
        <w:rPr>
          <w:rFonts w:ascii="Times New Roman" w:hAnsi="Times New Roman"/>
          <w:sz w:val="18"/>
          <w:szCs w:val="18"/>
        </w:rPr>
        <w:t xml:space="preserve">, </w:t>
      </w:r>
      <w:r w:rsidR="00501A3A" w:rsidRPr="00BA0CC7">
        <w:rPr>
          <w:rFonts w:ascii="Times New Roman" w:hAnsi="Times New Roman"/>
          <w:i/>
          <w:sz w:val="18"/>
          <w:szCs w:val="18"/>
        </w:rPr>
        <w:t>Effect of controlled permeability formwork (CPF) on white concrete</w:t>
      </w:r>
      <w:r w:rsidR="00BA0CC7">
        <w:rPr>
          <w:rFonts w:ascii="Times New Roman" w:hAnsi="Times New Roman"/>
          <w:sz w:val="18"/>
          <w:szCs w:val="18"/>
        </w:rPr>
        <w:t>, ACI Materials Journal 98</w:t>
      </w:r>
      <w:r w:rsidR="00501A3A" w:rsidRPr="00F0423A">
        <w:rPr>
          <w:rFonts w:ascii="Times New Roman" w:hAnsi="Times New Roman"/>
          <w:sz w:val="18"/>
          <w:szCs w:val="18"/>
        </w:rPr>
        <w:t xml:space="preserve"> </w:t>
      </w:r>
      <w:r w:rsidR="00BA0CC7">
        <w:rPr>
          <w:rFonts w:ascii="Times New Roman" w:hAnsi="Times New Roman"/>
          <w:sz w:val="18"/>
          <w:szCs w:val="18"/>
        </w:rPr>
        <w:t>(</w:t>
      </w:r>
      <w:r w:rsidR="00501A3A" w:rsidRPr="00F0423A">
        <w:rPr>
          <w:rFonts w:ascii="Times New Roman" w:hAnsi="Times New Roman"/>
          <w:sz w:val="18"/>
          <w:szCs w:val="18"/>
        </w:rPr>
        <w:t>2</w:t>
      </w:r>
      <w:r w:rsidR="00BA0CC7">
        <w:rPr>
          <w:rFonts w:ascii="Times New Roman" w:hAnsi="Times New Roman"/>
          <w:sz w:val="18"/>
          <w:szCs w:val="18"/>
        </w:rPr>
        <w:t>) 2001</w:t>
      </w:r>
      <w:r w:rsidR="00501A3A" w:rsidRPr="00F0423A">
        <w:rPr>
          <w:rFonts w:ascii="Times New Roman" w:hAnsi="Times New Roman"/>
          <w:sz w:val="18"/>
          <w:szCs w:val="18"/>
        </w:rPr>
        <w:t xml:space="preserve"> 148-169.</w:t>
      </w:r>
    </w:p>
    <w:p w14:paraId="7176AD08" w14:textId="77777777" w:rsidR="00501A3A" w:rsidRPr="00F0423A" w:rsidRDefault="00286207" w:rsidP="001752E5">
      <w:pPr>
        <w:tabs>
          <w:tab w:val="left" w:pos="180"/>
          <w:tab w:val="left" w:pos="540"/>
        </w:tabs>
        <w:spacing w:after="0" w:line="276" w:lineRule="auto"/>
        <w:jc w:val="both"/>
        <w:rPr>
          <w:rFonts w:ascii="Times New Roman" w:hAnsi="Times New Roman"/>
          <w:sz w:val="18"/>
          <w:szCs w:val="18"/>
        </w:rPr>
      </w:pPr>
      <w:r>
        <w:rPr>
          <w:rFonts w:ascii="Times New Roman" w:hAnsi="Times New Roman"/>
          <w:sz w:val="18"/>
          <w:szCs w:val="18"/>
        </w:rPr>
        <w:t xml:space="preserve">[5] </w:t>
      </w:r>
      <w:r w:rsidR="00BA0CC7">
        <w:rPr>
          <w:rFonts w:ascii="Times New Roman" w:hAnsi="Times New Roman"/>
          <w:sz w:val="18"/>
          <w:szCs w:val="18"/>
        </w:rPr>
        <w:t>W.F. Price,</w:t>
      </w:r>
      <w:r w:rsidR="00501A3A" w:rsidRPr="00F0423A">
        <w:rPr>
          <w:rFonts w:ascii="Times New Roman" w:hAnsi="Times New Roman"/>
          <w:sz w:val="18"/>
          <w:szCs w:val="18"/>
        </w:rPr>
        <w:t xml:space="preserve"> Controlled permeability formwork, CIRIA Report, C 511, 2000.</w:t>
      </w:r>
    </w:p>
    <w:p w14:paraId="70D8F5ED" w14:textId="77777777" w:rsidR="00501A3A" w:rsidRPr="00F0423A" w:rsidRDefault="00286207" w:rsidP="001752E5">
      <w:pPr>
        <w:tabs>
          <w:tab w:val="left" w:pos="180"/>
          <w:tab w:val="left" w:pos="540"/>
        </w:tabs>
        <w:spacing w:after="0" w:line="276" w:lineRule="auto"/>
        <w:jc w:val="both"/>
        <w:rPr>
          <w:rFonts w:ascii="Times New Roman" w:hAnsi="Times New Roman"/>
          <w:sz w:val="18"/>
          <w:szCs w:val="18"/>
        </w:rPr>
      </w:pPr>
      <w:r>
        <w:rPr>
          <w:rFonts w:ascii="Times New Roman" w:hAnsi="Times New Roman"/>
          <w:sz w:val="18"/>
          <w:szCs w:val="18"/>
        </w:rPr>
        <w:t xml:space="preserve">[6] </w:t>
      </w:r>
      <w:r w:rsidR="00BA0CC7">
        <w:rPr>
          <w:rFonts w:ascii="Times New Roman" w:hAnsi="Times New Roman"/>
          <w:sz w:val="18"/>
          <w:szCs w:val="18"/>
        </w:rPr>
        <w:t>J.S. Coutinho,</w:t>
      </w:r>
      <w:r w:rsidR="00501A3A" w:rsidRPr="00F0423A">
        <w:rPr>
          <w:rFonts w:ascii="Times New Roman" w:hAnsi="Times New Roman"/>
          <w:sz w:val="18"/>
          <w:szCs w:val="18"/>
        </w:rPr>
        <w:t xml:space="preserve"> </w:t>
      </w:r>
      <w:proofErr w:type="gramStart"/>
      <w:r w:rsidR="00501A3A" w:rsidRPr="00BA0CC7">
        <w:rPr>
          <w:rFonts w:ascii="Times New Roman" w:hAnsi="Times New Roman"/>
          <w:i/>
          <w:sz w:val="18"/>
          <w:szCs w:val="18"/>
        </w:rPr>
        <w:t>The</w:t>
      </w:r>
      <w:proofErr w:type="gramEnd"/>
      <w:r w:rsidR="00501A3A" w:rsidRPr="00BA0CC7">
        <w:rPr>
          <w:rFonts w:ascii="Times New Roman" w:hAnsi="Times New Roman"/>
          <w:i/>
          <w:sz w:val="18"/>
          <w:szCs w:val="18"/>
        </w:rPr>
        <w:t xml:space="preserve"> combined benefits of CPF and RHA in improving the durability of concrete structure</w:t>
      </w:r>
      <w:r w:rsidR="00BA0CC7">
        <w:rPr>
          <w:rFonts w:ascii="Times New Roman" w:hAnsi="Times New Roman"/>
          <w:sz w:val="18"/>
          <w:szCs w:val="18"/>
        </w:rPr>
        <w:t>, Cement&amp; Concrete Composites</w:t>
      </w:r>
      <w:r w:rsidR="00501A3A" w:rsidRPr="00F0423A">
        <w:rPr>
          <w:rFonts w:ascii="Times New Roman" w:hAnsi="Times New Roman"/>
          <w:sz w:val="18"/>
          <w:szCs w:val="18"/>
        </w:rPr>
        <w:t xml:space="preserve"> 25 (2003) 51-59.</w:t>
      </w:r>
    </w:p>
    <w:p w14:paraId="4E5F8633"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[7] </w:t>
      </w:r>
      <w:r w:rsidR="00902D53">
        <w:rPr>
          <w:rFonts w:ascii="Times New Roman" w:hAnsi="Times New Roman"/>
          <w:sz w:val="18"/>
          <w:szCs w:val="18"/>
        </w:rPr>
        <w:t>E. Nolan</w:t>
      </w:r>
      <w:r w:rsidR="00501A3A" w:rsidRPr="00F0423A">
        <w:rPr>
          <w:rFonts w:ascii="Times New Roman" w:hAnsi="Times New Roman"/>
          <w:sz w:val="18"/>
          <w:szCs w:val="18"/>
        </w:rPr>
        <w:t xml:space="preserve">, </w:t>
      </w:r>
      <w:r w:rsidR="00902D53">
        <w:rPr>
          <w:rFonts w:ascii="Times New Roman" w:hAnsi="Times New Roman"/>
          <w:sz w:val="18"/>
          <w:szCs w:val="18"/>
        </w:rPr>
        <w:t>P.A.M. Basheer</w:t>
      </w:r>
      <w:r w:rsidR="00501A3A" w:rsidRPr="00F0423A">
        <w:rPr>
          <w:rFonts w:ascii="Times New Roman" w:hAnsi="Times New Roman"/>
          <w:sz w:val="18"/>
          <w:szCs w:val="18"/>
        </w:rPr>
        <w:t xml:space="preserve"> and </w:t>
      </w:r>
      <w:r w:rsidR="00902D53">
        <w:rPr>
          <w:rFonts w:ascii="Times New Roman" w:hAnsi="Times New Roman"/>
          <w:sz w:val="18"/>
          <w:szCs w:val="18"/>
        </w:rPr>
        <w:t xml:space="preserve">A.E. </w:t>
      </w:r>
      <w:proofErr w:type="gramStart"/>
      <w:r w:rsidR="00902D53">
        <w:rPr>
          <w:rFonts w:ascii="Times New Roman" w:hAnsi="Times New Roman"/>
          <w:sz w:val="18"/>
          <w:szCs w:val="18"/>
        </w:rPr>
        <w:t xml:space="preserve">Long, </w:t>
      </w:r>
      <w:r w:rsidR="00501A3A" w:rsidRPr="00F0423A">
        <w:rPr>
          <w:rFonts w:ascii="Times New Roman" w:hAnsi="Times New Roman"/>
          <w:sz w:val="18"/>
          <w:szCs w:val="18"/>
        </w:rPr>
        <w:t xml:space="preserve"> </w:t>
      </w:r>
      <w:r w:rsidR="00501A3A" w:rsidRPr="00902D53">
        <w:rPr>
          <w:rFonts w:ascii="Times New Roman" w:hAnsi="Times New Roman"/>
          <w:i/>
          <w:sz w:val="18"/>
          <w:szCs w:val="18"/>
        </w:rPr>
        <w:t>Effects</w:t>
      </w:r>
      <w:proofErr w:type="gramEnd"/>
      <w:r w:rsidR="00501A3A" w:rsidRPr="00902D53">
        <w:rPr>
          <w:rFonts w:ascii="Times New Roman" w:hAnsi="Times New Roman"/>
          <w:i/>
          <w:sz w:val="18"/>
          <w:szCs w:val="18"/>
        </w:rPr>
        <w:t xml:space="preserve"> of three durability enhancing products on some physical properties of near surface concrete</w:t>
      </w:r>
      <w:r w:rsidR="00501A3A" w:rsidRPr="00F0423A">
        <w:rPr>
          <w:rFonts w:ascii="Times New Roman" w:hAnsi="Times New Roman"/>
          <w:sz w:val="18"/>
          <w:szCs w:val="18"/>
        </w:rPr>
        <w:t>, Construction and Building Materials, 9 (1995) 267-272.</w:t>
      </w:r>
    </w:p>
    <w:p w14:paraId="41AC2B2B"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[8] </w:t>
      </w:r>
      <w:r w:rsidR="00902D53">
        <w:rPr>
          <w:rFonts w:ascii="Times New Roman" w:hAnsi="Times New Roman"/>
          <w:sz w:val="18"/>
          <w:szCs w:val="18"/>
        </w:rPr>
        <w:t>F. Helena</w:t>
      </w:r>
      <w:r w:rsidR="00501A3A" w:rsidRPr="00F0423A">
        <w:rPr>
          <w:rFonts w:ascii="Times New Roman" w:hAnsi="Times New Roman"/>
          <w:sz w:val="18"/>
          <w:szCs w:val="18"/>
        </w:rPr>
        <w:t xml:space="preserve">, </w:t>
      </w:r>
      <w:r w:rsidR="00902D53">
        <w:rPr>
          <w:rFonts w:ascii="Times New Roman" w:hAnsi="Times New Roman"/>
          <w:sz w:val="18"/>
          <w:szCs w:val="18"/>
        </w:rPr>
        <w:t>N. Sandra</w:t>
      </w:r>
      <w:r w:rsidR="00501A3A" w:rsidRPr="00F0423A">
        <w:rPr>
          <w:rFonts w:ascii="Times New Roman" w:hAnsi="Times New Roman"/>
          <w:sz w:val="18"/>
          <w:szCs w:val="18"/>
        </w:rPr>
        <w:t xml:space="preserve">, </w:t>
      </w:r>
      <w:r w:rsidR="00902D53">
        <w:rPr>
          <w:rFonts w:ascii="Times New Roman" w:hAnsi="Times New Roman"/>
          <w:sz w:val="18"/>
          <w:szCs w:val="18"/>
        </w:rPr>
        <w:t>S. Joana</w:t>
      </w:r>
      <w:r w:rsidR="00501A3A" w:rsidRPr="00F0423A">
        <w:rPr>
          <w:rFonts w:ascii="Times New Roman" w:hAnsi="Times New Roman"/>
          <w:sz w:val="18"/>
          <w:szCs w:val="18"/>
        </w:rPr>
        <w:t xml:space="preserve"> and </w:t>
      </w:r>
      <w:r w:rsidR="00902D53">
        <w:rPr>
          <w:rFonts w:ascii="Times New Roman" w:hAnsi="Times New Roman"/>
          <w:sz w:val="18"/>
          <w:szCs w:val="18"/>
        </w:rPr>
        <w:t>F. Joaquim,</w:t>
      </w:r>
      <w:r w:rsidR="00501A3A" w:rsidRPr="00F0423A">
        <w:rPr>
          <w:rFonts w:ascii="Times New Roman" w:hAnsi="Times New Roman"/>
          <w:sz w:val="18"/>
          <w:szCs w:val="18"/>
        </w:rPr>
        <w:t xml:space="preserve"> </w:t>
      </w:r>
      <w:r w:rsidR="00501A3A" w:rsidRPr="00902D53">
        <w:rPr>
          <w:rFonts w:ascii="Times New Roman" w:hAnsi="Times New Roman"/>
          <w:i/>
          <w:sz w:val="18"/>
          <w:szCs w:val="18"/>
        </w:rPr>
        <w:t xml:space="preserve">Combined effect of two sustainable technologies: </w:t>
      </w:r>
      <w:proofErr w:type="spellStart"/>
      <w:r w:rsidR="00501A3A" w:rsidRPr="00902D53">
        <w:rPr>
          <w:rFonts w:ascii="Times New Roman" w:hAnsi="Times New Roman"/>
          <w:i/>
          <w:sz w:val="18"/>
          <w:szCs w:val="18"/>
        </w:rPr>
        <w:t>self compacting</w:t>
      </w:r>
      <w:proofErr w:type="spellEnd"/>
      <w:r w:rsidR="00501A3A" w:rsidRPr="00902D53">
        <w:rPr>
          <w:rFonts w:ascii="Times New Roman" w:hAnsi="Times New Roman"/>
          <w:i/>
          <w:sz w:val="18"/>
          <w:szCs w:val="18"/>
        </w:rPr>
        <w:t xml:space="preserve"> concrete and controlled permeability formwork</w:t>
      </w:r>
      <w:r w:rsidR="00501A3A" w:rsidRPr="00F0423A">
        <w:rPr>
          <w:rFonts w:ascii="Times New Roman" w:hAnsi="Times New Roman"/>
          <w:sz w:val="18"/>
          <w:szCs w:val="18"/>
        </w:rPr>
        <w:t>, Constructi</w:t>
      </w:r>
      <w:r w:rsidR="00902D53">
        <w:rPr>
          <w:rFonts w:ascii="Times New Roman" w:hAnsi="Times New Roman"/>
          <w:sz w:val="18"/>
          <w:szCs w:val="18"/>
        </w:rPr>
        <w:t>on and Building Materials 23</w:t>
      </w:r>
      <w:r w:rsidR="00501A3A" w:rsidRPr="00F0423A">
        <w:rPr>
          <w:rFonts w:ascii="Times New Roman" w:hAnsi="Times New Roman"/>
          <w:sz w:val="18"/>
          <w:szCs w:val="18"/>
        </w:rPr>
        <w:t xml:space="preserve"> </w:t>
      </w:r>
      <w:r w:rsidR="00902D53">
        <w:rPr>
          <w:rFonts w:ascii="Times New Roman" w:hAnsi="Times New Roman"/>
          <w:sz w:val="18"/>
          <w:szCs w:val="18"/>
        </w:rPr>
        <w:t>(</w:t>
      </w:r>
      <w:r w:rsidR="00501A3A" w:rsidRPr="00F0423A">
        <w:rPr>
          <w:rFonts w:ascii="Times New Roman" w:hAnsi="Times New Roman"/>
          <w:sz w:val="18"/>
          <w:szCs w:val="18"/>
        </w:rPr>
        <w:t>2009</w:t>
      </w:r>
      <w:r w:rsidR="00902D53">
        <w:rPr>
          <w:rFonts w:ascii="Times New Roman" w:hAnsi="Times New Roman"/>
          <w:sz w:val="18"/>
          <w:szCs w:val="18"/>
        </w:rPr>
        <w:t>)</w:t>
      </w:r>
      <w:r w:rsidR="00501A3A" w:rsidRPr="00F0423A">
        <w:rPr>
          <w:rFonts w:ascii="Times New Roman" w:hAnsi="Times New Roman"/>
          <w:sz w:val="18"/>
          <w:szCs w:val="18"/>
        </w:rPr>
        <w:t xml:space="preserve"> 2518-2526.</w:t>
      </w:r>
    </w:p>
    <w:p w14:paraId="0500E5E5"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[9] </w:t>
      </w:r>
      <w:r w:rsidR="00C70760">
        <w:rPr>
          <w:rFonts w:ascii="Times New Roman" w:hAnsi="Times New Roman"/>
          <w:sz w:val="18"/>
          <w:szCs w:val="18"/>
        </w:rPr>
        <w:t>A.A. Adam</w:t>
      </w:r>
      <w:r w:rsidR="00501A3A" w:rsidRPr="00F0423A">
        <w:rPr>
          <w:rFonts w:ascii="Times New Roman" w:hAnsi="Times New Roman"/>
          <w:sz w:val="18"/>
          <w:szCs w:val="18"/>
        </w:rPr>
        <w:t xml:space="preserve">, </w:t>
      </w:r>
      <w:r w:rsidR="00C70760">
        <w:rPr>
          <w:rFonts w:ascii="Times New Roman" w:hAnsi="Times New Roman"/>
          <w:sz w:val="18"/>
          <w:szCs w:val="18"/>
        </w:rPr>
        <w:t>D.W. Law</w:t>
      </w:r>
      <w:r w:rsidR="00501A3A" w:rsidRPr="00F0423A">
        <w:rPr>
          <w:rFonts w:ascii="Times New Roman" w:hAnsi="Times New Roman"/>
          <w:sz w:val="18"/>
          <w:szCs w:val="18"/>
        </w:rPr>
        <w:t xml:space="preserve">, </w:t>
      </w:r>
      <w:r w:rsidR="00C70760">
        <w:rPr>
          <w:rFonts w:ascii="Times New Roman" w:hAnsi="Times New Roman"/>
          <w:sz w:val="18"/>
          <w:szCs w:val="18"/>
        </w:rPr>
        <w:t>T. Molyneaux,</w:t>
      </w:r>
      <w:r w:rsidR="00501A3A" w:rsidRPr="00F0423A">
        <w:rPr>
          <w:rFonts w:ascii="Times New Roman" w:hAnsi="Times New Roman"/>
          <w:sz w:val="18"/>
          <w:szCs w:val="18"/>
        </w:rPr>
        <w:t xml:space="preserve"> </w:t>
      </w:r>
      <w:r w:rsidR="00C70760">
        <w:rPr>
          <w:rFonts w:ascii="Times New Roman" w:hAnsi="Times New Roman"/>
          <w:sz w:val="18"/>
          <w:szCs w:val="18"/>
        </w:rPr>
        <w:t xml:space="preserve">I. </w:t>
      </w:r>
      <w:proofErr w:type="spellStart"/>
      <w:r w:rsidR="00C70760">
        <w:rPr>
          <w:rFonts w:ascii="Times New Roman" w:hAnsi="Times New Roman"/>
          <w:sz w:val="18"/>
          <w:szCs w:val="18"/>
        </w:rPr>
        <w:t>Patnaikuni</w:t>
      </w:r>
      <w:proofErr w:type="spellEnd"/>
      <w:r w:rsidR="00501A3A" w:rsidRPr="00F0423A">
        <w:rPr>
          <w:rFonts w:ascii="Times New Roman" w:hAnsi="Times New Roman"/>
          <w:sz w:val="18"/>
          <w:szCs w:val="18"/>
        </w:rPr>
        <w:t xml:space="preserve"> and </w:t>
      </w:r>
      <w:r w:rsidR="00C70760">
        <w:rPr>
          <w:rFonts w:ascii="Times New Roman" w:hAnsi="Times New Roman"/>
          <w:sz w:val="18"/>
          <w:szCs w:val="18"/>
        </w:rPr>
        <w:t>T. Aly,</w:t>
      </w:r>
      <w:r w:rsidR="00501A3A" w:rsidRPr="00F0423A">
        <w:rPr>
          <w:rFonts w:ascii="Times New Roman" w:hAnsi="Times New Roman"/>
          <w:sz w:val="18"/>
          <w:szCs w:val="18"/>
        </w:rPr>
        <w:t xml:space="preserve"> </w:t>
      </w:r>
      <w:proofErr w:type="gramStart"/>
      <w:r w:rsidR="00501A3A" w:rsidRPr="00C70760">
        <w:rPr>
          <w:rFonts w:ascii="Times New Roman" w:hAnsi="Times New Roman"/>
          <w:i/>
          <w:sz w:val="18"/>
          <w:szCs w:val="18"/>
        </w:rPr>
        <w:t>The</w:t>
      </w:r>
      <w:proofErr w:type="gramEnd"/>
      <w:r w:rsidR="00501A3A" w:rsidRPr="00C70760">
        <w:rPr>
          <w:rFonts w:ascii="Times New Roman" w:hAnsi="Times New Roman"/>
          <w:i/>
          <w:sz w:val="18"/>
          <w:szCs w:val="18"/>
        </w:rPr>
        <w:t xml:space="preserve"> effect of using controlled permeability formwork on the durability of concrete containing OPC and PFA,</w:t>
      </w:r>
      <w:r w:rsidR="00501A3A" w:rsidRPr="00F0423A">
        <w:rPr>
          <w:rFonts w:ascii="Times New Roman" w:hAnsi="Times New Roman"/>
          <w:sz w:val="18"/>
          <w:szCs w:val="18"/>
        </w:rPr>
        <w:t xml:space="preserve"> Australian Jo</w:t>
      </w:r>
      <w:r w:rsidR="00C70760">
        <w:rPr>
          <w:rFonts w:ascii="Times New Roman" w:hAnsi="Times New Roman"/>
          <w:sz w:val="18"/>
          <w:szCs w:val="18"/>
        </w:rPr>
        <w:t>urnal of Civil Engineering 6 (</w:t>
      </w:r>
      <w:r w:rsidR="00501A3A" w:rsidRPr="00F0423A">
        <w:rPr>
          <w:rFonts w:ascii="Times New Roman" w:hAnsi="Times New Roman"/>
          <w:sz w:val="18"/>
          <w:szCs w:val="18"/>
        </w:rPr>
        <w:t>1</w:t>
      </w:r>
      <w:r w:rsidR="00C70760">
        <w:rPr>
          <w:rFonts w:ascii="Times New Roman" w:hAnsi="Times New Roman"/>
          <w:sz w:val="18"/>
          <w:szCs w:val="18"/>
        </w:rPr>
        <w:t>) 2010</w:t>
      </w:r>
      <w:r w:rsidR="00501A3A" w:rsidRPr="00F0423A">
        <w:rPr>
          <w:rFonts w:ascii="Times New Roman" w:hAnsi="Times New Roman"/>
          <w:sz w:val="18"/>
          <w:szCs w:val="18"/>
        </w:rPr>
        <w:t xml:space="preserve"> 1-12.</w:t>
      </w:r>
    </w:p>
    <w:p w14:paraId="0E802A6E"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[10] </w:t>
      </w:r>
      <w:r w:rsidR="00501A3A" w:rsidRPr="00F0423A">
        <w:rPr>
          <w:rFonts w:ascii="Times New Roman" w:hAnsi="Times New Roman"/>
          <w:sz w:val="18"/>
          <w:szCs w:val="18"/>
        </w:rPr>
        <w:t xml:space="preserve">McKenna, P., </w:t>
      </w:r>
      <w:r w:rsidR="00501A3A" w:rsidRPr="00FC510B">
        <w:rPr>
          <w:rFonts w:ascii="Times New Roman" w:hAnsi="Times New Roman"/>
          <w:i/>
          <w:sz w:val="18"/>
          <w:szCs w:val="18"/>
        </w:rPr>
        <w:t>The effect of controlled permeability formwork on carbonation-induced corrosion</w:t>
      </w:r>
      <w:r w:rsidR="00501A3A" w:rsidRPr="00F0423A">
        <w:rPr>
          <w:rFonts w:ascii="Times New Roman" w:hAnsi="Times New Roman"/>
          <w:sz w:val="18"/>
          <w:szCs w:val="18"/>
        </w:rPr>
        <w:t>, 3rd FIB International Congress, Scotland, 2010.</w:t>
      </w:r>
    </w:p>
    <w:p w14:paraId="65E88631"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[11] </w:t>
      </w:r>
      <w:r w:rsidR="00FC510B">
        <w:rPr>
          <w:rFonts w:ascii="Times New Roman" w:hAnsi="Times New Roman"/>
          <w:sz w:val="18"/>
          <w:szCs w:val="18"/>
        </w:rPr>
        <w:t>L. Basheer,</w:t>
      </w:r>
      <w:r w:rsidR="00501A3A" w:rsidRPr="00F0423A">
        <w:rPr>
          <w:rFonts w:ascii="Times New Roman" w:hAnsi="Times New Roman"/>
          <w:sz w:val="18"/>
          <w:szCs w:val="18"/>
        </w:rPr>
        <w:t xml:space="preserve"> </w:t>
      </w:r>
      <w:r w:rsidR="00FC510B">
        <w:rPr>
          <w:rFonts w:ascii="Times New Roman" w:hAnsi="Times New Roman"/>
          <w:sz w:val="18"/>
          <w:szCs w:val="18"/>
        </w:rPr>
        <w:t xml:space="preserve">S.V. </w:t>
      </w:r>
      <w:proofErr w:type="spellStart"/>
      <w:r w:rsidR="00501A3A" w:rsidRPr="00F0423A">
        <w:rPr>
          <w:rFonts w:ascii="Times New Roman" w:hAnsi="Times New Roman"/>
          <w:sz w:val="18"/>
          <w:szCs w:val="18"/>
        </w:rPr>
        <w:t>Nanuk</w:t>
      </w:r>
      <w:r w:rsidR="00FC510B">
        <w:rPr>
          <w:rFonts w:ascii="Times New Roman" w:hAnsi="Times New Roman"/>
          <w:sz w:val="18"/>
          <w:szCs w:val="18"/>
        </w:rPr>
        <w:t>uttan</w:t>
      </w:r>
      <w:proofErr w:type="spellEnd"/>
      <w:r w:rsidR="00501A3A" w:rsidRPr="00F0423A">
        <w:rPr>
          <w:rFonts w:ascii="Times New Roman" w:hAnsi="Times New Roman"/>
          <w:sz w:val="18"/>
          <w:szCs w:val="18"/>
        </w:rPr>
        <w:t xml:space="preserve"> and </w:t>
      </w:r>
      <w:r w:rsidR="00FC510B">
        <w:rPr>
          <w:rFonts w:ascii="Times New Roman" w:hAnsi="Times New Roman"/>
          <w:sz w:val="18"/>
          <w:szCs w:val="18"/>
        </w:rPr>
        <w:t>P.A.M. Basheer</w:t>
      </w:r>
      <w:r w:rsidR="00501A3A" w:rsidRPr="00F0423A">
        <w:rPr>
          <w:rFonts w:ascii="Times New Roman" w:hAnsi="Times New Roman"/>
          <w:sz w:val="18"/>
          <w:szCs w:val="18"/>
        </w:rPr>
        <w:t xml:space="preserve">, </w:t>
      </w:r>
      <w:r w:rsidR="00501A3A" w:rsidRPr="00FC510B">
        <w:rPr>
          <w:rFonts w:ascii="Times New Roman" w:hAnsi="Times New Roman"/>
          <w:i/>
          <w:sz w:val="18"/>
          <w:szCs w:val="18"/>
        </w:rPr>
        <w:t>The influence of reusing ‘</w:t>
      </w:r>
      <w:proofErr w:type="spellStart"/>
      <w:r w:rsidR="00501A3A" w:rsidRPr="00FC510B">
        <w:rPr>
          <w:rFonts w:ascii="Times New Roman" w:hAnsi="Times New Roman"/>
          <w:i/>
          <w:sz w:val="18"/>
          <w:szCs w:val="18"/>
        </w:rPr>
        <w:t>Formtex</w:t>
      </w:r>
      <w:proofErr w:type="spellEnd"/>
      <w:r w:rsidR="00501A3A" w:rsidRPr="00FC510B">
        <w:rPr>
          <w:rFonts w:ascii="Times New Roman" w:hAnsi="Times New Roman"/>
          <w:i/>
          <w:sz w:val="18"/>
          <w:szCs w:val="18"/>
        </w:rPr>
        <w:t xml:space="preserve">’ controlled permeability formwork on strength and durability of concrete, </w:t>
      </w:r>
      <w:r w:rsidR="00FC510B">
        <w:rPr>
          <w:rFonts w:ascii="Times New Roman" w:hAnsi="Times New Roman"/>
          <w:sz w:val="18"/>
          <w:szCs w:val="18"/>
        </w:rPr>
        <w:t>Materials and Structures 41</w:t>
      </w:r>
      <w:r w:rsidR="00501A3A" w:rsidRPr="00F0423A">
        <w:rPr>
          <w:rFonts w:ascii="Times New Roman" w:hAnsi="Times New Roman"/>
          <w:sz w:val="18"/>
          <w:szCs w:val="18"/>
        </w:rPr>
        <w:t xml:space="preserve"> </w:t>
      </w:r>
      <w:r w:rsidR="00FC510B">
        <w:rPr>
          <w:rFonts w:ascii="Times New Roman" w:hAnsi="Times New Roman"/>
          <w:sz w:val="18"/>
          <w:szCs w:val="18"/>
        </w:rPr>
        <w:t>(</w:t>
      </w:r>
      <w:r w:rsidR="00501A3A" w:rsidRPr="00F0423A">
        <w:rPr>
          <w:rFonts w:ascii="Times New Roman" w:hAnsi="Times New Roman"/>
          <w:sz w:val="18"/>
          <w:szCs w:val="18"/>
        </w:rPr>
        <w:t>2008</w:t>
      </w:r>
      <w:r w:rsidR="00FC510B">
        <w:rPr>
          <w:rFonts w:ascii="Times New Roman" w:hAnsi="Times New Roman"/>
          <w:sz w:val="18"/>
          <w:szCs w:val="18"/>
        </w:rPr>
        <w:t>)</w:t>
      </w:r>
      <w:r w:rsidR="00501A3A" w:rsidRPr="00F0423A">
        <w:rPr>
          <w:rFonts w:ascii="Times New Roman" w:hAnsi="Times New Roman"/>
          <w:sz w:val="18"/>
          <w:szCs w:val="18"/>
        </w:rPr>
        <w:t xml:space="preserve"> 1363-1375.</w:t>
      </w:r>
    </w:p>
    <w:p w14:paraId="2470E38A"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[12] </w:t>
      </w:r>
      <w:r w:rsidR="00152C21">
        <w:rPr>
          <w:rFonts w:ascii="Times New Roman" w:hAnsi="Times New Roman"/>
          <w:sz w:val="18"/>
          <w:szCs w:val="18"/>
        </w:rPr>
        <w:t>P.J. Schubel,</w:t>
      </w:r>
      <w:r w:rsidR="00501A3A" w:rsidRPr="00F0423A">
        <w:rPr>
          <w:rFonts w:ascii="Times New Roman" w:hAnsi="Times New Roman"/>
          <w:sz w:val="18"/>
          <w:szCs w:val="18"/>
        </w:rPr>
        <w:t xml:space="preserve"> </w:t>
      </w:r>
      <w:r w:rsidR="00152C21">
        <w:rPr>
          <w:rFonts w:ascii="Times New Roman" w:hAnsi="Times New Roman"/>
          <w:sz w:val="18"/>
          <w:szCs w:val="18"/>
        </w:rPr>
        <w:t>N.A. Warrior,</w:t>
      </w:r>
      <w:r w:rsidR="00501A3A" w:rsidRPr="00F0423A">
        <w:rPr>
          <w:rFonts w:ascii="Times New Roman" w:hAnsi="Times New Roman"/>
          <w:sz w:val="18"/>
          <w:szCs w:val="18"/>
        </w:rPr>
        <w:t xml:space="preserve"> </w:t>
      </w:r>
      <w:r w:rsidR="00152C21">
        <w:rPr>
          <w:rFonts w:ascii="Times New Roman" w:hAnsi="Times New Roman"/>
          <w:sz w:val="18"/>
          <w:szCs w:val="18"/>
        </w:rPr>
        <w:t>K.S. Elliott</w:t>
      </w:r>
      <w:r w:rsidR="00501A3A" w:rsidRPr="00F0423A">
        <w:rPr>
          <w:rFonts w:ascii="Times New Roman" w:hAnsi="Times New Roman"/>
          <w:sz w:val="18"/>
          <w:szCs w:val="18"/>
        </w:rPr>
        <w:t xml:space="preserve"> and </w:t>
      </w:r>
      <w:r w:rsidR="00152C21">
        <w:rPr>
          <w:rFonts w:ascii="Times New Roman" w:hAnsi="Times New Roman"/>
          <w:sz w:val="18"/>
          <w:szCs w:val="18"/>
        </w:rPr>
        <w:t>M. Jones,</w:t>
      </w:r>
      <w:r w:rsidR="00501A3A" w:rsidRPr="00F0423A">
        <w:rPr>
          <w:rFonts w:ascii="Times New Roman" w:hAnsi="Times New Roman"/>
          <w:sz w:val="18"/>
          <w:szCs w:val="18"/>
        </w:rPr>
        <w:t xml:space="preserve"> </w:t>
      </w:r>
      <w:r w:rsidR="00501A3A" w:rsidRPr="00152C21">
        <w:rPr>
          <w:rFonts w:ascii="Times New Roman" w:hAnsi="Times New Roman"/>
          <w:i/>
          <w:sz w:val="18"/>
          <w:szCs w:val="18"/>
        </w:rPr>
        <w:t>An Investigation into the critical factors affecting the performance of composite controlled permeability formwork liners</w:t>
      </w:r>
      <w:r w:rsidR="00501A3A" w:rsidRPr="00F0423A">
        <w:rPr>
          <w:rFonts w:ascii="Times New Roman" w:hAnsi="Times New Roman"/>
          <w:sz w:val="18"/>
          <w:szCs w:val="18"/>
        </w:rPr>
        <w:t>, Construct</w:t>
      </w:r>
      <w:r w:rsidR="00152C21">
        <w:rPr>
          <w:rFonts w:ascii="Times New Roman" w:hAnsi="Times New Roman"/>
          <w:sz w:val="18"/>
          <w:szCs w:val="18"/>
        </w:rPr>
        <w:t xml:space="preserve">ion and Building Materials </w:t>
      </w:r>
      <w:proofErr w:type="gramStart"/>
      <w:r w:rsidR="00152C21">
        <w:rPr>
          <w:rFonts w:ascii="Times New Roman" w:hAnsi="Times New Roman"/>
          <w:sz w:val="18"/>
          <w:szCs w:val="18"/>
        </w:rPr>
        <w:t xml:space="preserve">22 </w:t>
      </w:r>
      <w:r w:rsidR="00501A3A" w:rsidRPr="00F0423A">
        <w:rPr>
          <w:rFonts w:ascii="Times New Roman" w:hAnsi="Times New Roman"/>
          <w:sz w:val="18"/>
          <w:szCs w:val="18"/>
        </w:rPr>
        <w:t xml:space="preserve"> </w:t>
      </w:r>
      <w:r w:rsidR="00152C21">
        <w:rPr>
          <w:rFonts w:ascii="Times New Roman" w:hAnsi="Times New Roman"/>
          <w:sz w:val="18"/>
          <w:szCs w:val="18"/>
        </w:rPr>
        <w:t>(</w:t>
      </w:r>
      <w:proofErr w:type="gramEnd"/>
      <w:r w:rsidR="00501A3A" w:rsidRPr="00F0423A">
        <w:rPr>
          <w:rFonts w:ascii="Times New Roman" w:hAnsi="Times New Roman"/>
          <w:sz w:val="18"/>
          <w:szCs w:val="18"/>
        </w:rPr>
        <w:t>2008</w:t>
      </w:r>
      <w:r w:rsidR="00152C21">
        <w:rPr>
          <w:rFonts w:ascii="Times New Roman" w:hAnsi="Times New Roman"/>
          <w:sz w:val="18"/>
          <w:szCs w:val="18"/>
        </w:rPr>
        <w:t>)</w:t>
      </w:r>
      <w:r w:rsidR="00501A3A" w:rsidRPr="00F0423A">
        <w:rPr>
          <w:rFonts w:ascii="Times New Roman" w:hAnsi="Times New Roman"/>
          <w:sz w:val="18"/>
          <w:szCs w:val="18"/>
        </w:rPr>
        <w:t xml:space="preserve"> 1551-1559.</w:t>
      </w:r>
    </w:p>
    <w:p w14:paraId="19D5E187"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[13] </w:t>
      </w:r>
      <w:r w:rsidR="001A6256">
        <w:rPr>
          <w:rFonts w:ascii="Times New Roman" w:hAnsi="Times New Roman"/>
          <w:sz w:val="18"/>
          <w:szCs w:val="18"/>
        </w:rPr>
        <w:t>M.J. McCarthy,</w:t>
      </w:r>
      <w:r w:rsidR="00501A3A" w:rsidRPr="00F0423A">
        <w:rPr>
          <w:rFonts w:ascii="Times New Roman" w:hAnsi="Times New Roman"/>
          <w:sz w:val="18"/>
          <w:szCs w:val="18"/>
        </w:rPr>
        <w:t xml:space="preserve"> </w:t>
      </w:r>
      <w:r w:rsidR="001A6256">
        <w:rPr>
          <w:rFonts w:ascii="Times New Roman" w:hAnsi="Times New Roman"/>
          <w:sz w:val="18"/>
          <w:szCs w:val="18"/>
        </w:rPr>
        <w:t>A. Giannakou</w:t>
      </w:r>
      <w:r w:rsidR="00501A3A" w:rsidRPr="00F0423A">
        <w:rPr>
          <w:rFonts w:ascii="Times New Roman" w:hAnsi="Times New Roman"/>
          <w:sz w:val="18"/>
          <w:szCs w:val="18"/>
        </w:rPr>
        <w:t xml:space="preserve"> and </w:t>
      </w:r>
      <w:r w:rsidR="001A6256">
        <w:rPr>
          <w:rFonts w:ascii="Times New Roman" w:hAnsi="Times New Roman"/>
          <w:sz w:val="18"/>
          <w:szCs w:val="18"/>
        </w:rPr>
        <w:t>M.R. Jones,</w:t>
      </w:r>
      <w:r w:rsidR="00501A3A" w:rsidRPr="00F0423A">
        <w:rPr>
          <w:rFonts w:ascii="Times New Roman" w:hAnsi="Times New Roman"/>
          <w:sz w:val="18"/>
          <w:szCs w:val="18"/>
        </w:rPr>
        <w:t xml:space="preserve"> </w:t>
      </w:r>
      <w:proofErr w:type="gramStart"/>
      <w:r w:rsidR="00501A3A" w:rsidRPr="001A6256">
        <w:rPr>
          <w:rFonts w:ascii="Times New Roman" w:hAnsi="Times New Roman"/>
          <w:i/>
          <w:sz w:val="18"/>
          <w:szCs w:val="18"/>
        </w:rPr>
        <w:t>Specifying</w:t>
      </w:r>
      <w:proofErr w:type="gramEnd"/>
      <w:r w:rsidR="00501A3A" w:rsidRPr="001A6256">
        <w:rPr>
          <w:rFonts w:ascii="Times New Roman" w:hAnsi="Times New Roman"/>
          <w:i/>
          <w:sz w:val="18"/>
          <w:szCs w:val="18"/>
        </w:rPr>
        <w:t xml:space="preserve"> concrete for chloride environments using controlled permeability formwork</w:t>
      </w:r>
      <w:r w:rsidR="001A6256">
        <w:rPr>
          <w:rFonts w:ascii="Times New Roman" w:hAnsi="Times New Roman"/>
          <w:sz w:val="18"/>
          <w:szCs w:val="18"/>
        </w:rPr>
        <w:t>, Materials and Structures 34</w:t>
      </w:r>
      <w:r w:rsidR="00501A3A" w:rsidRPr="00F0423A">
        <w:rPr>
          <w:rFonts w:ascii="Times New Roman" w:hAnsi="Times New Roman"/>
          <w:sz w:val="18"/>
          <w:szCs w:val="18"/>
        </w:rPr>
        <w:t xml:space="preserve"> </w:t>
      </w:r>
      <w:r w:rsidR="001A6256">
        <w:rPr>
          <w:rFonts w:ascii="Times New Roman" w:hAnsi="Times New Roman"/>
          <w:sz w:val="18"/>
          <w:szCs w:val="18"/>
        </w:rPr>
        <w:t>(</w:t>
      </w:r>
      <w:r w:rsidR="00501A3A" w:rsidRPr="00F0423A">
        <w:rPr>
          <w:rFonts w:ascii="Times New Roman" w:hAnsi="Times New Roman"/>
          <w:sz w:val="18"/>
          <w:szCs w:val="18"/>
        </w:rPr>
        <w:t>2001</w:t>
      </w:r>
      <w:r w:rsidR="001A6256">
        <w:rPr>
          <w:rFonts w:ascii="Times New Roman" w:hAnsi="Times New Roman"/>
          <w:sz w:val="18"/>
          <w:szCs w:val="18"/>
        </w:rPr>
        <w:t>)</w:t>
      </w:r>
      <w:r w:rsidR="00501A3A" w:rsidRPr="00F0423A">
        <w:rPr>
          <w:rFonts w:ascii="Times New Roman" w:hAnsi="Times New Roman"/>
          <w:sz w:val="18"/>
          <w:szCs w:val="18"/>
        </w:rPr>
        <w:t xml:space="preserve"> 566-576.</w:t>
      </w:r>
    </w:p>
    <w:p w14:paraId="3D39BAF4"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[14] </w:t>
      </w:r>
      <w:r w:rsidR="00B85287">
        <w:rPr>
          <w:rFonts w:ascii="Times New Roman" w:hAnsi="Times New Roman"/>
          <w:sz w:val="18"/>
          <w:szCs w:val="18"/>
        </w:rPr>
        <w:t>M.J. McCarthy,</w:t>
      </w:r>
      <w:r w:rsidR="00501A3A" w:rsidRPr="00F0423A">
        <w:rPr>
          <w:rFonts w:ascii="Times New Roman" w:hAnsi="Times New Roman"/>
          <w:sz w:val="18"/>
          <w:szCs w:val="18"/>
        </w:rPr>
        <w:t xml:space="preserve"> </w:t>
      </w:r>
      <w:r w:rsidR="00B85287">
        <w:rPr>
          <w:rFonts w:ascii="Times New Roman" w:hAnsi="Times New Roman"/>
          <w:sz w:val="18"/>
          <w:szCs w:val="18"/>
        </w:rPr>
        <w:t xml:space="preserve">A. </w:t>
      </w:r>
      <w:proofErr w:type="gramStart"/>
      <w:r w:rsidR="00B85287">
        <w:rPr>
          <w:rFonts w:ascii="Times New Roman" w:hAnsi="Times New Roman"/>
          <w:sz w:val="18"/>
          <w:szCs w:val="18"/>
        </w:rPr>
        <w:t xml:space="preserve">Giannakou, </w:t>
      </w:r>
      <w:r w:rsidR="00501A3A" w:rsidRPr="00F0423A">
        <w:rPr>
          <w:rFonts w:ascii="Times New Roman" w:hAnsi="Times New Roman"/>
          <w:sz w:val="18"/>
          <w:szCs w:val="18"/>
        </w:rPr>
        <w:t xml:space="preserve"> </w:t>
      </w:r>
      <w:r w:rsidR="00501A3A" w:rsidRPr="00B85287">
        <w:rPr>
          <w:rFonts w:ascii="Times New Roman" w:hAnsi="Times New Roman"/>
          <w:i/>
          <w:sz w:val="18"/>
          <w:szCs w:val="18"/>
        </w:rPr>
        <w:t>In</w:t>
      </w:r>
      <w:proofErr w:type="gramEnd"/>
      <w:r w:rsidR="00501A3A" w:rsidRPr="00B85287">
        <w:rPr>
          <w:rFonts w:ascii="Times New Roman" w:hAnsi="Times New Roman"/>
          <w:i/>
          <w:sz w:val="18"/>
          <w:szCs w:val="18"/>
        </w:rPr>
        <w:t>-situ performance of CPF concrete in a coastal environment</w:t>
      </w:r>
      <w:r w:rsidR="00501A3A" w:rsidRPr="00F0423A">
        <w:rPr>
          <w:rFonts w:ascii="Times New Roman" w:hAnsi="Times New Roman"/>
          <w:sz w:val="18"/>
          <w:szCs w:val="18"/>
        </w:rPr>
        <w:t>, Cement and Concrete Resear</w:t>
      </w:r>
      <w:r w:rsidR="00B85287">
        <w:rPr>
          <w:rFonts w:ascii="Times New Roman" w:hAnsi="Times New Roman"/>
          <w:sz w:val="18"/>
          <w:szCs w:val="18"/>
        </w:rPr>
        <w:t>ch 32</w:t>
      </w:r>
      <w:r w:rsidR="00501A3A" w:rsidRPr="00F0423A">
        <w:rPr>
          <w:rFonts w:ascii="Times New Roman" w:hAnsi="Times New Roman"/>
          <w:sz w:val="18"/>
          <w:szCs w:val="18"/>
        </w:rPr>
        <w:t xml:space="preserve"> </w:t>
      </w:r>
      <w:r w:rsidR="00B85287">
        <w:rPr>
          <w:rFonts w:ascii="Times New Roman" w:hAnsi="Times New Roman"/>
          <w:sz w:val="18"/>
          <w:szCs w:val="18"/>
        </w:rPr>
        <w:t>(</w:t>
      </w:r>
      <w:r w:rsidR="00501A3A" w:rsidRPr="00F0423A">
        <w:rPr>
          <w:rFonts w:ascii="Times New Roman" w:hAnsi="Times New Roman"/>
          <w:sz w:val="18"/>
          <w:szCs w:val="18"/>
        </w:rPr>
        <w:t>2002</w:t>
      </w:r>
      <w:r w:rsidR="00B85287">
        <w:rPr>
          <w:rFonts w:ascii="Times New Roman" w:hAnsi="Times New Roman"/>
          <w:sz w:val="18"/>
          <w:szCs w:val="18"/>
        </w:rPr>
        <w:t>)</w:t>
      </w:r>
      <w:r w:rsidR="00501A3A" w:rsidRPr="00F0423A">
        <w:rPr>
          <w:rFonts w:ascii="Times New Roman" w:hAnsi="Times New Roman"/>
          <w:sz w:val="18"/>
          <w:szCs w:val="18"/>
        </w:rPr>
        <w:t xml:space="preserve"> 451-457.</w:t>
      </w:r>
    </w:p>
    <w:p w14:paraId="6AC60458"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[15] </w:t>
      </w:r>
      <w:r w:rsidR="00FF4B85">
        <w:rPr>
          <w:rFonts w:ascii="Times New Roman" w:hAnsi="Times New Roman"/>
          <w:sz w:val="18"/>
          <w:szCs w:val="18"/>
        </w:rPr>
        <w:t>A.K. Suryavanshi,</w:t>
      </w:r>
      <w:r w:rsidR="00501A3A" w:rsidRPr="00F0423A">
        <w:rPr>
          <w:rFonts w:ascii="Times New Roman" w:hAnsi="Times New Roman"/>
          <w:sz w:val="18"/>
          <w:szCs w:val="18"/>
        </w:rPr>
        <w:t xml:space="preserve"> </w:t>
      </w:r>
      <w:r w:rsidR="00FF4B85">
        <w:rPr>
          <w:rFonts w:ascii="Times New Roman" w:hAnsi="Times New Roman"/>
          <w:sz w:val="18"/>
          <w:szCs w:val="18"/>
        </w:rPr>
        <w:t>R.N. Swamy,</w:t>
      </w:r>
      <w:r w:rsidR="00501A3A" w:rsidRPr="00F0423A">
        <w:rPr>
          <w:rFonts w:ascii="Times New Roman" w:hAnsi="Times New Roman"/>
          <w:sz w:val="18"/>
          <w:szCs w:val="18"/>
        </w:rPr>
        <w:t xml:space="preserve"> </w:t>
      </w:r>
      <w:r w:rsidR="00501A3A" w:rsidRPr="00FF4B85">
        <w:rPr>
          <w:rFonts w:ascii="Times New Roman" w:hAnsi="Times New Roman"/>
          <w:i/>
          <w:sz w:val="18"/>
          <w:szCs w:val="18"/>
        </w:rPr>
        <w:t>An evaluation of controlled permeability formwork for long- term durability of structural concrete elements</w:t>
      </w:r>
      <w:r w:rsidR="00501A3A" w:rsidRPr="00F0423A">
        <w:rPr>
          <w:rFonts w:ascii="Times New Roman" w:hAnsi="Times New Roman"/>
          <w:sz w:val="18"/>
          <w:szCs w:val="18"/>
        </w:rPr>
        <w:t>, Cem</w:t>
      </w:r>
      <w:r w:rsidR="00FF4B85">
        <w:rPr>
          <w:rFonts w:ascii="Times New Roman" w:hAnsi="Times New Roman"/>
          <w:sz w:val="18"/>
          <w:szCs w:val="18"/>
        </w:rPr>
        <w:t>ent and Concrete Research 27</w:t>
      </w:r>
      <w:r w:rsidR="00501A3A" w:rsidRPr="00F0423A">
        <w:rPr>
          <w:rFonts w:ascii="Times New Roman" w:hAnsi="Times New Roman"/>
          <w:sz w:val="18"/>
          <w:szCs w:val="18"/>
        </w:rPr>
        <w:t xml:space="preserve"> </w:t>
      </w:r>
      <w:r w:rsidR="00FF4B85">
        <w:rPr>
          <w:rFonts w:ascii="Times New Roman" w:hAnsi="Times New Roman"/>
          <w:sz w:val="18"/>
          <w:szCs w:val="18"/>
        </w:rPr>
        <w:t>(</w:t>
      </w:r>
      <w:r w:rsidR="00501A3A" w:rsidRPr="00F0423A">
        <w:rPr>
          <w:rFonts w:ascii="Times New Roman" w:hAnsi="Times New Roman"/>
          <w:sz w:val="18"/>
          <w:szCs w:val="18"/>
        </w:rPr>
        <w:t>1997</w:t>
      </w:r>
      <w:r w:rsidR="00FF4B85">
        <w:rPr>
          <w:rFonts w:ascii="Times New Roman" w:hAnsi="Times New Roman"/>
          <w:sz w:val="18"/>
          <w:szCs w:val="18"/>
        </w:rPr>
        <w:t>)</w:t>
      </w:r>
      <w:r w:rsidR="00501A3A" w:rsidRPr="00F0423A">
        <w:rPr>
          <w:rFonts w:ascii="Times New Roman" w:hAnsi="Times New Roman"/>
          <w:sz w:val="18"/>
          <w:szCs w:val="18"/>
        </w:rPr>
        <w:t xml:space="preserve"> 1047-1060.</w:t>
      </w:r>
    </w:p>
    <w:p w14:paraId="49A19EC7"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[16] </w:t>
      </w:r>
      <w:r w:rsidR="003C6D88">
        <w:rPr>
          <w:rFonts w:ascii="Times New Roman" w:hAnsi="Times New Roman"/>
          <w:sz w:val="18"/>
          <w:szCs w:val="18"/>
        </w:rPr>
        <w:t>A Metin</w:t>
      </w:r>
      <w:r w:rsidR="00501A3A" w:rsidRPr="00F0423A">
        <w:rPr>
          <w:rFonts w:ascii="Times New Roman" w:hAnsi="Times New Roman"/>
          <w:sz w:val="18"/>
          <w:szCs w:val="18"/>
        </w:rPr>
        <w:t xml:space="preserve">, </w:t>
      </w:r>
      <w:r w:rsidR="00501A3A" w:rsidRPr="003C6D88">
        <w:rPr>
          <w:rFonts w:ascii="Times New Roman" w:hAnsi="Times New Roman"/>
          <w:i/>
          <w:sz w:val="18"/>
          <w:szCs w:val="18"/>
        </w:rPr>
        <w:t xml:space="preserve">The effects of permeable formworks with sucker liners on the </w:t>
      </w:r>
      <w:proofErr w:type="gramStart"/>
      <w:r w:rsidR="00501A3A" w:rsidRPr="003C6D88">
        <w:rPr>
          <w:rFonts w:ascii="Times New Roman" w:hAnsi="Times New Roman"/>
          <w:i/>
          <w:sz w:val="18"/>
          <w:szCs w:val="18"/>
        </w:rPr>
        <w:t>physical  properties</w:t>
      </w:r>
      <w:proofErr w:type="gramEnd"/>
      <w:r w:rsidR="00501A3A" w:rsidRPr="003C6D88">
        <w:rPr>
          <w:rFonts w:ascii="Times New Roman" w:hAnsi="Times New Roman"/>
          <w:i/>
          <w:sz w:val="18"/>
          <w:szCs w:val="18"/>
        </w:rPr>
        <w:t xml:space="preserve"> of concrete surfaces</w:t>
      </w:r>
      <w:r w:rsidR="00501A3A" w:rsidRPr="00F0423A">
        <w:rPr>
          <w:rFonts w:ascii="Times New Roman" w:hAnsi="Times New Roman"/>
          <w:sz w:val="18"/>
          <w:szCs w:val="18"/>
        </w:rPr>
        <w:t>, Constructi</w:t>
      </w:r>
      <w:r w:rsidR="003C6D88">
        <w:rPr>
          <w:rFonts w:ascii="Times New Roman" w:hAnsi="Times New Roman"/>
          <w:sz w:val="18"/>
          <w:szCs w:val="18"/>
        </w:rPr>
        <w:t>on and Building Materials 15</w:t>
      </w:r>
      <w:r w:rsidR="00501A3A" w:rsidRPr="00F0423A">
        <w:rPr>
          <w:rFonts w:ascii="Times New Roman" w:hAnsi="Times New Roman"/>
          <w:sz w:val="18"/>
          <w:szCs w:val="18"/>
        </w:rPr>
        <w:t xml:space="preserve"> </w:t>
      </w:r>
      <w:r w:rsidR="003C6D88">
        <w:rPr>
          <w:rFonts w:ascii="Times New Roman" w:hAnsi="Times New Roman"/>
          <w:sz w:val="18"/>
          <w:szCs w:val="18"/>
        </w:rPr>
        <w:t>(</w:t>
      </w:r>
      <w:r w:rsidR="00501A3A" w:rsidRPr="00F0423A">
        <w:rPr>
          <w:rFonts w:ascii="Times New Roman" w:hAnsi="Times New Roman"/>
          <w:sz w:val="18"/>
          <w:szCs w:val="18"/>
        </w:rPr>
        <w:t>2001</w:t>
      </w:r>
      <w:r w:rsidR="003C6D88">
        <w:rPr>
          <w:rFonts w:ascii="Times New Roman" w:hAnsi="Times New Roman"/>
          <w:sz w:val="18"/>
          <w:szCs w:val="18"/>
        </w:rPr>
        <w:t>)</w:t>
      </w:r>
      <w:r w:rsidR="00501A3A" w:rsidRPr="00F0423A">
        <w:rPr>
          <w:rFonts w:ascii="Times New Roman" w:hAnsi="Times New Roman"/>
          <w:sz w:val="18"/>
          <w:szCs w:val="18"/>
        </w:rPr>
        <w:t xml:space="preserve"> 149-156.</w:t>
      </w:r>
    </w:p>
    <w:p w14:paraId="5855070B" w14:textId="77777777" w:rsidR="00501A3A" w:rsidRPr="00F0423A" w:rsidRDefault="00286207" w:rsidP="00DD3A2F">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[17] </w:t>
      </w:r>
      <w:r w:rsidR="003B7A0C">
        <w:rPr>
          <w:rFonts w:ascii="Times New Roman" w:hAnsi="Times New Roman"/>
          <w:sz w:val="18"/>
          <w:szCs w:val="18"/>
        </w:rPr>
        <w:t>IS 8112-1989,</w:t>
      </w:r>
      <w:r w:rsidR="00501A3A" w:rsidRPr="00F0423A">
        <w:rPr>
          <w:rFonts w:ascii="Times New Roman" w:hAnsi="Times New Roman"/>
          <w:sz w:val="18"/>
          <w:szCs w:val="18"/>
        </w:rPr>
        <w:t xml:space="preserve"> </w:t>
      </w:r>
      <w:r w:rsidR="00501A3A" w:rsidRPr="003B7A0C">
        <w:rPr>
          <w:rFonts w:ascii="Times New Roman" w:hAnsi="Times New Roman"/>
          <w:i/>
          <w:sz w:val="18"/>
          <w:szCs w:val="18"/>
        </w:rPr>
        <w:t xml:space="preserve">Specification for 43 </w:t>
      </w:r>
      <w:proofErr w:type="gramStart"/>
      <w:r w:rsidR="00501A3A" w:rsidRPr="003B7A0C">
        <w:rPr>
          <w:rFonts w:ascii="Times New Roman" w:hAnsi="Times New Roman"/>
          <w:i/>
          <w:sz w:val="18"/>
          <w:szCs w:val="18"/>
        </w:rPr>
        <w:t>grade</w:t>
      </w:r>
      <w:proofErr w:type="gramEnd"/>
      <w:r w:rsidR="00501A3A" w:rsidRPr="003B7A0C">
        <w:rPr>
          <w:rFonts w:ascii="Times New Roman" w:hAnsi="Times New Roman"/>
          <w:i/>
          <w:sz w:val="18"/>
          <w:szCs w:val="18"/>
        </w:rPr>
        <w:t xml:space="preserve"> ordinary </w:t>
      </w:r>
      <w:proofErr w:type="spellStart"/>
      <w:r w:rsidR="00501A3A" w:rsidRPr="003B7A0C">
        <w:rPr>
          <w:rFonts w:ascii="Times New Roman" w:hAnsi="Times New Roman"/>
          <w:i/>
          <w:sz w:val="18"/>
          <w:szCs w:val="18"/>
        </w:rPr>
        <w:t>portland</w:t>
      </w:r>
      <w:proofErr w:type="spellEnd"/>
      <w:r w:rsidR="00501A3A" w:rsidRPr="003B7A0C">
        <w:rPr>
          <w:rFonts w:ascii="Times New Roman" w:hAnsi="Times New Roman"/>
          <w:i/>
          <w:sz w:val="18"/>
          <w:szCs w:val="18"/>
        </w:rPr>
        <w:t xml:space="preserve"> cement</w:t>
      </w:r>
      <w:r w:rsidR="00501A3A" w:rsidRPr="00F0423A">
        <w:rPr>
          <w:rFonts w:ascii="Times New Roman" w:hAnsi="Times New Roman"/>
          <w:sz w:val="18"/>
          <w:szCs w:val="18"/>
        </w:rPr>
        <w:t xml:space="preserve">, Bureau </w:t>
      </w:r>
      <w:r w:rsidR="003B7A0C">
        <w:rPr>
          <w:rFonts w:ascii="Times New Roman" w:hAnsi="Times New Roman"/>
          <w:sz w:val="18"/>
          <w:szCs w:val="18"/>
        </w:rPr>
        <w:t>of Indian Standards, New Delhi, 1989.</w:t>
      </w:r>
    </w:p>
    <w:p w14:paraId="50FC072A" w14:textId="77777777" w:rsidR="00501A3A" w:rsidRPr="00F0423A" w:rsidRDefault="00286207" w:rsidP="001752E5">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[18] </w:t>
      </w:r>
      <w:r w:rsidR="003B7A0C">
        <w:rPr>
          <w:rFonts w:ascii="Times New Roman" w:hAnsi="Times New Roman"/>
          <w:sz w:val="18"/>
          <w:szCs w:val="18"/>
        </w:rPr>
        <w:t>IS 383-1987,</w:t>
      </w:r>
      <w:r w:rsidR="00501A3A" w:rsidRPr="00F0423A">
        <w:rPr>
          <w:rFonts w:ascii="Times New Roman" w:hAnsi="Times New Roman"/>
          <w:sz w:val="18"/>
          <w:szCs w:val="18"/>
        </w:rPr>
        <w:t xml:space="preserve"> </w:t>
      </w:r>
      <w:r w:rsidR="00501A3A" w:rsidRPr="003B7A0C">
        <w:rPr>
          <w:rFonts w:ascii="Times New Roman" w:hAnsi="Times New Roman"/>
          <w:i/>
          <w:sz w:val="18"/>
          <w:szCs w:val="18"/>
        </w:rPr>
        <w:t>Specification for coarse and fine aggregates from natural source for concrete</w:t>
      </w:r>
      <w:r w:rsidR="00501A3A" w:rsidRPr="00F0423A">
        <w:rPr>
          <w:rFonts w:ascii="Times New Roman" w:hAnsi="Times New Roman"/>
          <w:sz w:val="18"/>
          <w:szCs w:val="18"/>
        </w:rPr>
        <w:t>, Bureau</w:t>
      </w:r>
      <w:r w:rsidR="003B7A0C">
        <w:rPr>
          <w:rFonts w:ascii="Times New Roman" w:hAnsi="Times New Roman"/>
          <w:sz w:val="18"/>
          <w:szCs w:val="18"/>
        </w:rPr>
        <w:t xml:space="preserve"> of Indian Standards, New Delhi, 1987.</w:t>
      </w:r>
    </w:p>
    <w:p w14:paraId="6FABABC0" w14:textId="77777777" w:rsidR="00501A3A" w:rsidRPr="00F0423A" w:rsidRDefault="00286207" w:rsidP="00DD3A2F">
      <w:pPr>
        <w:tabs>
          <w:tab w:val="left" w:pos="180"/>
        </w:tabs>
        <w:spacing w:after="0" w:line="276" w:lineRule="auto"/>
        <w:jc w:val="both"/>
        <w:rPr>
          <w:rFonts w:ascii="Times New Roman" w:hAnsi="Times New Roman"/>
          <w:sz w:val="18"/>
          <w:szCs w:val="18"/>
        </w:rPr>
      </w:pPr>
      <w:r>
        <w:rPr>
          <w:rFonts w:ascii="Times New Roman" w:hAnsi="Times New Roman"/>
          <w:sz w:val="18"/>
          <w:szCs w:val="18"/>
        </w:rPr>
        <w:t xml:space="preserve">[19] </w:t>
      </w:r>
      <w:r w:rsidR="003B7A0C">
        <w:rPr>
          <w:rFonts w:ascii="Times New Roman" w:hAnsi="Times New Roman"/>
          <w:sz w:val="18"/>
          <w:szCs w:val="18"/>
        </w:rPr>
        <w:t>IS 456-2000,</w:t>
      </w:r>
      <w:r w:rsidR="00501A3A" w:rsidRPr="00F0423A">
        <w:rPr>
          <w:rFonts w:ascii="Times New Roman" w:hAnsi="Times New Roman"/>
          <w:sz w:val="18"/>
          <w:szCs w:val="18"/>
        </w:rPr>
        <w:t xml:space="preserve"> </w:t>
      </w:r>
      <w:r w:rsidR="00501A3A" w:rsidRPr="003B7A0C">
        <w:rPr>
          <w:rFonts w:ascii="Times New Roman" w:hAnsi="Times New Roman"/>
          <w:i/>
          <w:sz w:val="18"/>
          <w:szCs w:val="18"/>
        </w:rPr>
        <w:t>Plain and reinforced concrete, Code of Practice</w:t>
      </w:r>
      <w:r w:rsidR="00501A3A" w:rsidRPr="00F0423A">
        <w:rPr>
          <w:rFonts w:ascii="Times New Roman" w:hAnsi="Times New Roman"/>
          <w:sz w:val="18"/>
          <w:szCs w:val="18"/>
        </w:rPr>
        <w:t xml:space="preserve">, Bureau of Indian </w:t>
      </w:r>
      <w:r w:rsidR="003B7A0C">
        <w:rPr>
          <w:rFonts w:ascii="Times New Roman" w:hAnsi="Times New Roman"/>
          <w:sz w:val="18"/>
          <w:szCs w:val="18"/>
        </w:rPr>
        <w:t>Standards, New Delhi, 2000.</w:t>
      </w:r>
    </w:p>
    <w:p w14:paraId="27E8C842" w14:textId="77777777" w:rsidR="00501A3A" w:rsidRPr="00F0423A" w:rsidRDefault="00CB1A71" w:rsidP="00DD3A2F">
      <w:pPr>
        <w:tabs>
          <w:tab w:val="left" w:pos="0"/>
          <w:tab w:val="left" w:pos="180"/>
        </w:tabs>
        <w:spacing w:after="0" w:line="276" w:lineRule="auto"/>
        <w:jc w:val="both"/>
        <w:rPr>
          <w:rFonts w:ascii="Times New Roman" w:hAnsi="Times New Roman"/>
          <w:sz w:val="18"/>
          <w:szCs w:val="18"/>
        </w:rPr>
      </w:pPr>
      <w:r w:rsidRPr="00F0423A">
        <w:rPr>
          <w:rFonts w:ascii="Times New Roman" w:hAnsi="Times New Roman"/>
          <w:sz w:val="18"/>
          <w:szCs w:val="18"/>
        </w:rPr>
        <w:t>[20</w:t>
      </w:r>
      <w:r w:rsidR="00CD25DE">
        <w:rPr>
          <w:rFonts w:ascii="Times New Roman" w:hAnsi="Times New Roman"/>
          <w:sz w:val="18"/>
          <w:szCs w:val="18"/>
        </w:rPr>
        <w:t xml:space="preserve">] </w:t>
      </w:r>
      <w:r w:rsidR="003B7A0C">
        <w:rPr>
          <w:rFonts w:ascii="Times New Roman" w:hAnsi="Times New Roman"/>
          <w:sz w:val="18"/>
          <w:szCs w:val="18"/>
        </w:rPr>
        <w:t>IS 9103-1999,</w:t>
      </w:r>
      <w:r w:rsidR="00501A3A" w:rsidRPr="00F0423A">
        <w:rPr>
          <w:rFonts w:ascii="Times New Roman" w:hAnsi="Times New Roman"/>
          <w:sz w:val="18"/>
          <w:szCs w:val="18"/>
        </w:rPr>
        <w:t xml:space="preserve"> </w:t>
      </w:r>
      <w:r w:rsidR="00501A3A" w:rsidRPr="003B7A0C">
        <w:rPr>
          <w:rFonts w:ascii="Times New Roman" w:hAnsi="Times New Roman"/>
          <w:i/>
          <w:sz w:val="18"/>
          <w:szCs w:val="18"/>
        </w:rPr>
        <w:t>Specification for concrete admixtures,</w:t>
      </w:r>
      <w:r w:rsidR="00501A3A" w:rsidRPr="00F0423A">
        <w:rPr>
          <w:rFonts w:ascii="Times New Roman" w:hAnsi="Times New Roman"/>
          <w:sz w:val="18"/>
          <w:szCs w:val="18"/>
        </w:rPr>
        <w:t xml:space="preserve"> Bureau</w:t>
      </w:r>
      <w:r w:rsidR="003B7A0C">
        <w:rPr>
          <w:rFonts w:ascii="Times New Roman" w:hAnsi="Times New Roman"/>
          <w:sz w:val="18"/>
          <w:szCs w:val="18"/>
        </w:rPr>
        <w:t xml:space="preserve"> of Indian Standards, New Delhi, 1999.</w:t>
      </w:r>
    </w:p>
    <w:p w14:paraId="285747D9" w14:textId="77777777" w:rsidR="00501A3A" w:rsidRPr="00F0423A" w:rsidRDefault="00CB1A71" w:rsidP="001752E5">
      <w:pPr>
        <w:tabs>
          <w:tab w:val="left" w:pos="180"/>
          <w:tab w:val="left" w:pos="540"/>
        </w:tabs>
        <w:spacing w:after="0" w:line="276" w:lineRule="auto"/>
        <w:jc w:val="both"/>
        <w:rPr>
          <w:rFonts w:ascii="Times New Roman" w:hAnsi="Times New Roman"/>
          <w:sz w:val="18"/>
          <w:szCs w:val="18"/>
        </w:rPr>
      </w:pPr>
      <w:r w:rsidRPr="00F0423A">
        <w:rPr>
          <w:rFonts w:ascii="Times New Roman" w:hAnsi="Times New Roman"/>
          <w:sz w:val="18"/>
          <w:szCs w:val="18"/>
        </w:rPr>
        <w:t>[21</w:t>
      </w:r>
      <w:r w:rsidR="00286207">
        <w:rPr>
          <w:rFonts w:ascii="Times New Roman" w:hAnsi="Times New Roman"/>
          <w:sz w:val="18"/>
          <w:szCs w:val="18"/>
        </w:rPr>
        <w:t xml:space="preserve">] </w:t>
      </w:r>
      <w:proofErr w:type="spellStart"/>
      <w:r w:rsidR="00501A3A" w:rsidRPr="00F0423A">
        <w:rPr>
          <w:rFonts w:ascii="Times New Roman" w:hAnsi="Times New Roman"/>
          <w:color w:val="000000"/>
          <w:sz w:val="18"/>
          <w:szCs w:val="18"/>
        </w:rPr>
        <w:t>Fib</w:t>
      </w:r>
      <w:r w:rsidR="00501A3A" w:rsidRPr="00F0423A">
        <w:rPr>
          <w:rFonts w:ascii="Times New Roman" w:hAnsi="Times New Roman"/>
          <w:sz w:val="18"/>
          <w:szCs w:val="18"/>
        </w:rPr>
        <w:t>ertex</w:t>
      </w:r>
      <w:proofErr w:type="spellEnd"/>
      <w:r w:rsidR="00501A3A" w:rsidRPr="00F0423A">
        <w:rPr>
          <w:rFonts w:ascii="Times New Roman" w:hAnsi="Times New Roman"/>
          <w:sz w:val="18"/>
          <w:szCs w:val="18"/>
        </w:rPr>
        <w:t xml:space="preserve"> A/S, Denmark, BBA Agre</w:t>
      </w:r>
      <w:r w:rsidR="00501A3A" w:rsidRPr="00F0423A">
        <w:rPr>
          <w:rFonts w:ascii="Times New Roman" w:hAnsi="Times New Roman" w:cs="Times New Roman"/>
          <w:sz w:val="18"/>
          <w:szCs w:val="18"/>
        </w:rPr>
        <w:t>e</w:t>
      </w:r>
      <w:r w:rsidR="00501A3A" w:rsidRPr="00F0423A">
        <w:rPr>
          <w:rFonts w:ascii="Times New Roman" w:hAnsi="Times New Roman"/>
          <w:sz w:val="18"/>
          <w:szCs w:val="18"/>
        </w:rPr>
        <w:t>ment Certificate 03/4038, 2009.</w:t>
      </w:r>
    </w:p>
    <w:p w14:paraId="6FD1ECDC" w14:textId="21DF263D" w:rsidR="00360425" w:rsidRPr="00360425" w:rsidRDefault="00CB1A71" w:rsidP="00360425">
      <w:pPr>
        <w:tabs>
          <w:tab w:val="left" w:pos="0"/>
          <w:tab w:val="left" w:pos="180"/>
        </w:tabs>
        <w:spacing w:after="0" w:line="276" w:lineRule="auto"/>
        <w:jc w:val="both"/>
        <w:rPr>
          <w:rFonts w:ascii="Times New Roman" w:hAnsi="Times New Roman"/>
          <w:color w:val="000000"/>
          <w:sz w:val="18"/>
          <w:szCs w:val="18"/>
        </w:rPr>
      </w:pPr>
      <w:r w:rsidRPr="00F0423A">
        <w:rPr>
          <w:rFonts w:ascii="Times New Roman" w:hAnsi="Times New Roman"/>
          <w:sz w:val="18"/>
          <w:szCs w:val="18"/>
        </w:rPr>
        <w:t>[22</w:t>
      </w:r>
      <w:r w:rsidR="00286207">
        <w:rPr>
          <w:rFonts w:ascii="Times New Roman" w:hAnsi="Times New Roman"/>
          <w:sz w:val="18"/>
          <w:szCs w:val="18"/>
        </w:rPr>
        <w:t xml:space="preserve">] </w:t>
      </w:r>
      <w:r w:rsidR="00360425" w:rsidRPr="00360425">
        <w:rPr>
          <w:rFonts w:ascii="Times New Roman" w:hAnsi="Times New Roman"/>
          <w:sz w:val="18"/>
          <w:szCs w:val="18"/>
        </w:rPr>
        <w:t xml:space="preserve">ASTM C 642: 1997. </w:t>
      </w:r>
      <w:r w:rsidR="00360425" w:rsidRPr="00360425">
        <w:rPr>
          <w:rFonts w:ascii="Times New Roman" w:hAnsi="Times New Roman"/>
          <w:i/>
          <w:iCs/>
          <w:sz w:val="18"/>
          <w:szCs w:val="18"/>
        </w:rPr>
        <w:t>Standard test method for density, absorption and voids in hardened concrete,</w:t>
      </w:r>
      <w:r w:rsidR="00360425" w:rsidRPr="00360425">
        <w:rPr>
          <w:rFonts w:ascii="Times New Roman" w:hAnsi="Times New Roman"/>
          <w:sz w:val="18"/>
          <w:szCs w:val="18"/>
        </w:rPr>
        <w:t xml:space="preserve"> American Society for Testing Materials, 1997.</w:t>
      </w:r>
    </w:p>
    <w:p w14:paraId="1D90FECB" w14:textId="23B7BD5F" w:rsidR="00360425" w:rsidRPr="00360425" w:rsidRDefault="00286207" w:rsidP="00360425">
      <w:pPr>
        <w:tabs>
          <w:tab w:val="left" w:pos="180"/>
        </w:tabs>
        <w:spacing w:after="0" w:line="276" w:lineRule="auto"/>
        <w:jc w:val="both"/>
        <w:rPr>
          <w:rFonts w:ascii="Times New Roman" w:hAnsi="Times New Roman"/>
          <w:color w:val="000000"/>
          <w:sz w:val="18"/>
          <w:szCs w:val="18"/>
        </w:rPr>
      </w:pPr>
      <w:r>
        <w:rPr>
          <w:rFonts w:ascii="Times New Roman" w:hAnsi="Times New Roman"/>
          <w:color w:val="000000"/>
          <w:sz w:val="18"/>
          <w:szCs w:val="18"/>
        </w:rPr>
        <w:t>[2</w:t>
      </w:r>
      <w:r w:rsidR="00360425">
        <w:rPr>
          <w:rFonts w:ascii="Times New Roman" w:hAnsi="Times New Roman"/>
          <w:color w:val="000000"/>
          <w:sz w:val="18"/>
          <w:szCs w:val="18"/>
        </w:rPr>
        <w:t>3</w:t>
      </w:r>
      <w:r>
        <w:rPr>
          <w:rFonts w:ascii="Times New Roman" w:hAnsi="Times New Roman"/>
          <w:color w:val="000000"/>
          <w:sz w:val="18"/>
          <w:szCs w:val="18"/>
        </w:rPr>
        <w:t xml:space="preserve">] </w:t>
      </w:r>
      <w:r w:rsidR="00360425" w:rsidRPr="00360425">
        <w:rPr>
          <w:rFonts w:ascii="Times New Roman" w:hAnsi="Times New Roman"/>
          <w:sz w:val="18"/>
          <w:szCs w:val="18"/>
        </w:rPr>
        <w:t xml:space="preserve">ASTM C 1585: 2004. </w:t>
      </w:r>
      <w:r w:rsidR="00360425" w:rsidRPr="00360425">
        <w:rPr>
          <w:rFonts w:ascii="Times New Roman" w:hAnsi="Times New Roman"/>
          <w:i/>
          <w:iCs/>
          <w:sz w:val="18"/>
          <w:szCs w:val="18"/>
        </w:rPr>
        <w:t>Standard test method for measurement of rate of absorption of water by hydraulic cement concrete,</w:t>
      </w:r>
      <w:r w:rsidR="00360425" w:rsidRPr="00360425">
        <w:rPr>
          <w:rFonts w:ascii="Times New Roman" w:hAnsi="Times New Roman"/>
          <w:sz w:val="18"/>
          <w:szCs w:val="18"/>
        </w:rPr>
        <w:t xml:space="preserve"> American Society for Testing Materials, 2004.</w:t>
      </w:r>
    </w:p>
    <w:p w14:paraId="656D10CD" w14:textId="77777777" w:rsidR="000C2043" w:rsidRDefault="000C2043" w:rsidP="00575E7E">
      <w:pPr>
        <w:tabs>
          <w:tab w:val="left" w:pos="180"/>
        </w:tabs>
        <w:spacing w:line="480" w:lineRule="auto"/>
        <w:ind w:left="547" w:hanging="547"/>
        <w:jc w:val="both"/>
        <w:rPr>
          <w:rFonts w:ascii="Times New Roman" w:hAnsi="Times New Roman"/>
          <w:color w:val="000000"/>
          <w:sz w:val="24"/>
          <w:szCs w:val="24"/>
        </w:rPr>
      </w:pPr>
    </w:p>
    <w:p w14:paraId="28CF3F34" w14:textId="77777777" w:rsidR="00360425" w:rsidRDefault="00360425" w:rsidP="00575E7E">
      <w:pPr>
        <w:tabs>
          <w:tab w:val="left" w:pos="180"/>
        </w:tabs>
        <w:spacing w:line="480" w:lineRule="auto"/>
        <w:ind w:left="547" w:hanging="547"/>
        <w:jc w:val="both"/>
        <w:rPr>
          <w:rFonts w:ascii="Times New Roman" w:hAnsi="Times New Roman"/>
          <w:color w:val="000000"/>
          <w:sz w:val="24"/>
          <w:szCs w:val="24"/>
        </w:rPr>
        <w:sectPr w:rsidR="00360425" w:rsidSect="00586F37">
          <w:type w:val="continuous"/>
          <w:pgSz w:w="11906" w:h="16838" w:code="9"/>
          <w:pgMar w:top="1440" w:right="1440" w:bottom="1440" w:left="1440" w:header="706" w:footer="706" w:gutter="0"/>
          <w:cols w:space="708"/>
          <w:docGrid w:linePitch="360"/>
        </w:sectPr>
      </w:pPr>
    </w:p>
    <w:p w14:paraId="31B865F0" w14:textId="77777777" w:rsidR="00465DF1" w:rsidRPr="00575E7E" w:rsidRDefault="00465DF1" w:rsidP="00575E7E">
      <w:pPr>
        <w:tabs>
          <w:tab w:val="left" w:pos="180"/>
        </w:tabs>
        <w:spacing w:line="480" w:lineRule="auto"/>
        <w:ind w:left="547" w:hanging="547"/>
        <w:jc w:val="both"/>
        <w:rPr>
          <w:rFonts w:ascii="Times New Roman" w:hAnsi="Times New Roman"/>
          <w:color w:val="000000"/>
          <w:sz w:val="24"/>
          <w:szCs w:val="24"/>
        </w:rPr>
      </w:pPr>
    </w:p>
    <w:sectPr w:rsidR="00465DF1" w:rsidRPr="00575E7E" w:rsidSect="00586F37">
      <w:type w:val="continuous"/>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08C6F" w14:textId="77777777" w:rsidR="004F0284" w:rsidRDefault="004F0284" w:rsidP="00575E7E">
      <w:pPr>
        <w:spacing w:after="0" w:line="240" w:lineRule="auto"/>
      </w:pPr>
      <w:r>
        <w:separator/>
      </w:r>
    </w:p>
  </w:endnote>
  <w:endnote w:type="continuationSeparator" w:id="0">
    <w:p w14:paraId="5312692A" w14:textId="77777777" w:rsidR="004F0284" w:rsidRDefault="004F0284" w:rsidP="00575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783713"/>
      <w:docPartObj>
        <w:docPartGallery w:val="Page Numbers (Bottom of Page)"/>
        <w:docPartUnique/>
      </w:docPartObj>
    </w:sdtPr>
    <w:sdtEndPr>
      <w:rPr>
        <w:rFonts w:ascii="Times New Roman" w:hAnsi="Times New Roman" w:cs="Times New Roman"/>
        <w:noProof/>
      </w:rPr>
    </w:sdtEndPr>
    <w:sdtContent>
      <w:p w14:paraId="3BD3843F" w14:textId="77777777" w:rsidR="00575E7E" w:rsidRPr="00575E7E" w:rsidRDefault="00575E7E">
        <w:pPr>
          <w:pStyle w:val="Footer"/>
          <w:jc w:val="center"/>
          <w:rPr>
            <w:rFonts w:ascii="Times New Roman" w:hAnsi="Times New Roman" w:cs="Times New Roman"/>
          </w:rPr>
        </w:pPr>
        <w:r w:rsidRPr="00575E7E">
          <w:rPr>
            <w:rFonts w:ascii="Times New Roman" w:hAnsi="Times New Roman" w:cs="Times New Roman"/>
          </w:rPr>
          <w:fldChar w:fldCharType="begin"/>
        </w:r>
        <w:r w:rsidRPr="00575E7E">
          <w:rPr>
            <w:rFonts w:ascii="Times New Roman" w:hAnsi="Times New Roman" w:cs="Times New Roman"/>
          </w:rPr>
          <w:instrText xml:space="preserve"> PAGE   \* MERGEFORMAT </w:instrText>
        </w:r>
        <w:r w:rsidRPr="00575E7E">
          <w:rPr>
            <w:rFonts w:ascii="Times New Roman" w:hAnsi="Times New Roman" w:cs="Times New Roman"/>
          </w:rPr>
          <w:fldChar w:fldCharType="separate"/>
        </w:r>
        <w:r w:rsidR="004978FD">
          <w:rPr>
            <w:rFonts w:ascii="Times New Roman" w:hAnsi="Times New Roman" w:cs="Times New Roman"/>
            <w:noProof/>
          </w:rPr>
          <w:t>12</w:t>
        </w:r>
        <w:r w:rsidRPr="00575E7E">
          <w:rPr>
            <w:rFonts w:ascii="Times New Roman" w:hAnsi="Times New Roman" w:cs="Times New Roman"/>
            <w:noProof/>
          </w:rPr>
          <w:fldChar w:fldCharType="end"/>
        </w:r>
      </w:p>
    </w:sdtContent>
  </w:sdt>
  <w:p w14:paraId="3C853895" w14:textId="77777777" w:rsidR="00575E7E" w:rsidRDefault="00575E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B079" w14:textId="77777777" w:rsidR="004F0284" w:rsidRDefault="004F0284" w:rsidP="00575E7E">
      <w:pPr>
        <w:spacing w:after="0" w:line="240" w:lineRule="auto"/>
      </w:pPr>
      <w:r>
        <w:separator/>
      </w:r>
    </w:p>
  </w:footnote>
  <w:footnote w:type="continuationSeparator" w:id="0">
    <w:p w14:paraId="6CCBB25B" w14:textId="77777777" w:rsidR="004F0284" w:rsidRDefault="004F0284" w:rsidP="00575E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DF25F1"/>
    <w:multiLevelType w:val="hybridMultilevel"/>
    <w:tmpl w:val="70222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A4C4D"/>
    <w:multiLevelType w:val="hybridMultilevel"/>
    <w:tmpl w:val="D5548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AF5532"/>
    <w:multiLevelType w:val="hybridMultilevel"/>
    <w:tmpl w:val="E5A4576A"/>
    <w:lvl w:ilvl="0" w:tplc="801651A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30265ED"/>
    <w:multiLevelType w:val="hybridMultilevel"/>
    <w:tmpl w:val="FE72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451C7"/>
    <w:multiLevelType w:val="hybridMultilevel"/>
    <w:tmpl w:val="07440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4469B"/>
    <w:multiLevelType w:val="hybridMultilevel"/>
    <w:tmpl w:val="C1C66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D7811"/>
    <w:multiLevelType w:val="hybridMultilevel"/>
    <w:tmpl w:val="F15E6710"/>
    <w:lvl w:ilvl="0" w:tplc="9B4AFEA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CE57A0"/>
    <w:multiLevelType w:val="hybridMultilevel"/>
    <w:tmpl w:val="3CBEB27A"/>
    <w:lvl w:ilvl="0" w:tplc="F2D8CF0A">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8" w15:restartNumberingAfterBreak="0">
    <w:nsid w:val="70AB1570"/>
    <w:multiLevelType w:val="hybridMultilevel"/>
    <w:tmpl w:val="603E9B70"/>
    <w:lvl w:ilvl="0" w:tplc="9B4AFEAA">
      <w:start w:val="1"/>
      <w:numFmt w:val="lowerRoman"/>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72E75234"/>
    <w:multiLevelType w:val="multilevel"/>
    <w:tmpl w:val="A36E47A6"/>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64944460">
    <w:abstractNumId w:val="0"/>
  </w:num>
  <w:num w:numId="2" w16cid:durableId="1208446732">
    <w:abstractNumId w:val="5"/>
  </w:num>
  <w:num w:numId="3" w16cid:durableId="922840225">
    <w:abstractNumId w:val="4"/>
  </w:num>
  <w:num w:numId="4" w16cid:durableId="1394429467">
    <w:abstractNumId w:val="3"/>
  </w:num>
  <w:num w:numId="5" w16cid:durableId="577138288">
    <w:abstractNumId w:val="1"/>
  </w:num>
  <w:num w:numId="6" w16cid:durableId="1841192297">
    <w:abstractNumId w:val="7"/>
  </w:num>
  <w:num w:numId="7" w16cid:durableId="1097092956">
    <w:abstractNumId w:val="9"/>
  </w:num>
  <w:num w:numId="8" w16cid:durableId="604654436">
    <w:abstractNumId w:val="8"/>
  </w:num>
  <w:num w:numId="9" w16cid:durableId="468517326">
    <w:abstractNumId w:val="6"/>
  </w:num>
  <w:num w:numId="10" w16cid:durableId="5573262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0E9B"/>
    <w:rsid w:val="00004964"/>
    <w:rsid w:val="00013810"/>
    <w:rsid w:val="000139ED"/>
    <w:rsid w:val="000267C2"/>
    <w:rsid w:val="00051EE5"/>
    <w:rsid w:val="00067071"/>
    <w:rsid w:val="00090B9A"/>
    <w:rsid w:val="0009374A"/>
    <w:rsid w:val="00095957"/>
    <w:rsid w:val="000A2036"/>
    <w:rsid w:val="000A6A14"/>
    <w:rsid w:val="000C2043"/>
    <w:rsid w:val="000C37D8"/>
    <w:rsid w:val="000D2F16"/>
    <w:rsid w:val="000E5176"/>
    <w:rsid w:val="00104887"/>
    <w:rsid w:val="00104FD8"/>
    <w:rsid w:val="00106DE0"/>
    <w:rsid w:val="00107022"/>
    <w:rsid w:val="001104BD"/>
    <w:rsid w:val="00127AF2"/>
    <w:rsid w:val="00137247"/>
    <w:rsid w:val="0014412B"/>
    <w:rsid w:val="00152C21"/>
    <w:rsid w:val="001578F4"/>
    <w:rsid w:val="00167C0A"/>
    <w:rsid w:val="00174DE5"/>
    <w:rsid w:val="001752E5"/>
    <w:rsid w:val="001811D0"/>
    <w:rsid w:val="00183B7D"/>
    <w:rsid w:val="001A0EFA"/>
    <w:rsid w:val="001A35B7"/>
    <w:rsid w:val="001A6256"/>
    <w:rsid w:val="001B4BB9"/>
    <w:rsid w:val="001D4E75"/>
    <w:rsid w:val="001E1B45"/>
    <w:rsid w:val="001E60AB"/>
    <w:rsid w:val="002035E1"/>
    <w:rsid w:val="00204C8D"/>
    <w:rsid w:val="002063EB"/>
    <w:rsid w:val="00206B52"/>
    <w:rsid w:val="00215FD8"/>
    <w:rsid w:val="002257A9"/>
    <w:rsid w:val="0022594A"/>
    <w:rsid w:val="0022595D"/>
    <w:rsid w:val="0022765C"/>
    <w:rsid w:val="0024375E"/>
    <w:rsid w:val="002547CE"/>
    <w:rsid w:val="0026436A"/>
    <w:rsid w:val="00273A9D"/>
    <w:rsid w:val="00286207"/>
    <w:rsid w:val="002A5BDB"/>
    <w:rsid w:val="002C0001"/>
    <w:rsid w:val="002C05CD"/>
    <w:rsid w:val="002D1720"/>
    <w:rsid w:val="002D3805"/>
    <w:rsid w:val="002D436B"/>
    <w:rsid w:val="002D4698"/>
    <w:rsid w:val="002F665E"/>
    <w:rsid w:val="0030494C"/>
    <w:rsid w:val="00313DC6"/>
    <w:rsid w:val="00314E9D"/>
    <w:rsid w:val="003207DE"/>
    <w:rsid w:val="00321048"/>
    <w:rsid w:val="0032235B"/>
    <w:rsid w:val="00332079"/>
    <w:rsid w:val="00347AED"/>
    <w:rsid w:val="00354EAC"/>
    <w:rsid w:val="00360425"/>
    <w:rsid w:val="003617D3"/>
    <w:rsid w:val="00367506"/>
    <w:rsid w:val="00374F24"/>
    <w:rsid w:val="003918E7"/>
    <w:rsid w:val="00392431"/>
    <w:rsid w:val="00395D7B"/>
    <w:rsid w:val="003A2026"/>
    <w:rsid w:val="003B3949"/>
    <w:rsid w:val="003B7A0C"/>
    <w:rsid w:val="003C6D88"/>
    <w:rsid w:val="003D3727"/>
    <w:rsid w:val="003D4154"/>
    <w:rsid w:val="003E4C7E"/>
    <w:rsid w:val="003F222A"/>
    <w:rsid w:val="00404DCF"/>
    <w:rsid w:val="00421CBA"/>
    <w:rsid w:val="004308CB"/>
    <w:rsid w:val="004443E1"/>
    <w:rsid w:val="00444D52"/>
    <w:rsid w:val="004464B9"/>
    <w:rsid w:val="00446610"/>
    <w:rsid w:val="0045037C"/>
    <w:rsid w:val="004522D4"/>
    <w:rsid w:val="00456331"/>
    <w:rsid w:val="00463D08"/>
    <w:rsid w:val="00465DF1"/>
    <w:rsid w:val="0046679C"/>
    <w:rsid w:val="00466A15"/>
    <w:rsid w:val="00493B3A"/>
    <w:rsid w:val="004978FD"/>
    <w:rsid w:val="004A029E"/>
    <w:rsid w:val="004A2B1D"/>
    <w:rsid w:val="004A5563"/>
    <w:rsid w:val="004A651B"/>
    <w:rsid w:val="004B3D6D"/>
    <w:rsid w:val="004B7635"/>
    <w:rsid w:val="004C1943"/>
    <w:rsid w:val="004C6C38"/>
    <w:rsid w:val="004D671E"/>
    <w:rsid w:val="004E3791"/>
    <w:rsid w:val="004F0284"/>
    <w:rsid w:val="004F031E"/>
    <w:rsid w:val="004F09F8"/>
    <w:rsid w:val="004F0ECF"/>
    <w:rsid w:val="004F4720"/>
    <w:rsid w:val="00500D1F"/>
    <w:rsid w:val="00501A3A"/>
    <w:rsid w:val="00551EE2"/>
    <w:rsid w:val="00555928"/>
    <w:rsid w:val="00556F96"/>
    <w:rsid w:val="005614DF"/>
    <w:rsid w:val="00567981"/>
    <w:rsid w:val="00570CE6"/>
    <w:rsid w:val="0057144E"/>
    <w:rsid w:val="00575E7E"/>
    <w:rsid w:val="00583426"/>
    <w:rsid w:val="00583D53"/>
    <w:rsid w:val="00586F37"/>
    <w:rsid w:val="0059271D"/>
    <w:rsid w:val="00593A54"/>
    <w:rsid w:val="005B3A2F"/>
    <w:rsid w:val="005B772B"/>
    <w:rsid w:val="005E1B59"/>
    <w:rsid w:val="006113FE"/>
    <w:rsid w:val="00614487"/>
    <w:rsid w:val="00622B14"/>
    <w:rsid w:val="0062487A"/>
    <w:rsid w:val="00626259"/>
    <w:rsid w:val="006304C4"/>
    <w:rsid w:val="00640DA2"/>
    <w:rsid w:val="00657C99"/>
    <w:rsid w:val="00674785"/>
    <w:rsid w:val="00674863"/>
    <w:rsid w:val="00690129"/>
    <w:rsid w:val="00693612"/>
    <w:rsid w:val="006936D2"/>
    <w:rsid w:val="00695999"/>
    <w:rsid w:val="006A1634"/>
    <w:rsid w:val="006B518D"/>
    <w:rsid w:val="006B73EA"/>
    <w:rsid w:val="006C2F81"/>
    <w:rsid w:val="006C5F3B"/>
    <w:rsid w:val="006D06F9"/>
    <w:rsid w:val="006E51C4"/>
    <w:rsid w:val="006F4900"/>
    <w:rsid w:val="006F4BCA"/>
    <w:rsid w:val="0070633C"/>
    <w:rsid w:val="007074A2"/>
    <w:rsid w:val="007207AA"/>
    <w:rsid w:val="00726D88"/>
    <w:rsid w:val="00743B38"/>
    <w:rsid w:val="007448E7"/>
    <w:rsid w:val="007536AD"/>
    <w:rsid w:val="00754C92"/>
    <w:rsid w:val="00765E91"/>
    <w:rsid w:val="00770986"/>
    <w:rsid w:val="0077429B"/>
    <w:rsid w:val="007A13DA"/>
    <w:rsid w:val="007A2F00"/>
    <w:rsid w:val="007A33D1"/>
    <w:rsid w:val="007A4C70"/>
    <w:rsid w:val="007B4486"/>
    <w:rsid w:val="007C2A67"/>
    <w:rsid w:val="007C4631"/>
    <w:rsid w:val="007C484F"/>
    <w:rsid w:val="007D04EC"/>
    <w:rsid w:val="007D05DD"/>
    <w:rsid w:val="007D501B"/>
    <w:rsid w:val="007E215E"/>
    <w:rsid w:val="007E56C6"/>
    <w:rsid w:val="007E642C"/>
    <w:rsid w:val="007F1528"/>
    <w:rsid w:val="007F4236"/>
    <w:rsid w:val="00823B65"/>
    <w:rsid w:val="00846131"/>
    <w:rsid w:val="008749F4"/>
    <w:rsid w:val="008850F4"/>
    <w:rsid w:val="008A15AB"/>
    <w:rsid w:val="008A353A"/>
    <w:rsid w:val="008A480C"/>
    <w:rsid w:val="008A6A81"/>
    <w:rsid w:val="008C24A5"/>
    <w:rsid w:val="008C52BC"/>
    <w:rsid w:val="008D6021"/>
    <w:rsid w:val="008D6498"/>
    <w:rsid w:val="008D64E5"/>
    <w:rsid w:val="008E29F7"/>
    <w:rsid w:val="008E4294"/>
    <w:rsid w:val="008F073B"/>
    <w:rsid w:val="008F2426"/>
    <w:rsid w:val="00902A08"/>
    <w:rsid w:val="00902D53"/>
    <w:rsid w:val="00905B99"/>
    <w:rsid w:val="00906B96"/>
    <w:rsid w:val="00915702"/>
    <w:rsid w:val="009276F9"/>
    <w:rsid w:val="00940EDF"/>
    <w:rsid w:val="00941A91"/>
    <w:rsid w:val="0096408E"/>
    <w:rsid w:val="00965B03"/>
    <w:rsid w:val="00967BCE"/>
    <w:rsid w:val="00970E9B"/>
    <w:rsid w:val="0099585E"/>
    <w:rsid w:val="009A56DD"/>
    <w:rsid w:val="009B2CBD"/>
    <w:rsid w:val="009C0254"/>
    <w:rsid w:val="009E185F"/>
    <w:rsid w:val="009E2D01"/>
    <w:rsid w:val="009E3C5D"/>
    <w:rsid w:val="009E6439"/>
    <w:rsid w:val="00A02AB9"/>
    <w:rsid w:val="00A10850"/>
    <w:rsid w:val="00A12348"/>
    <w:rsid w:val="00A2391C"/>
    <w:rsid w:val="00A354D3"/>
    <w:rsid w:val="00A513E8"/>
    <w:rsid w:val="00A64ACE"/>
    <w:rsid w:val="00A65A1E"/>
    <w:rsid w:val="00A67CF2"/>
    <w:rsid w:val="00A72AF5"/>
    <w:rsid w:val="00A7406A"/>
    <w:rsid w:val="00A76BD5"/>
    <w:rsid w:val="00A83454"/>
    <w:rsid w:val="00A840E8"/>
    <w:rsid w:val="00A847EC"/>
    <w:rsid w:val="00AA0679"/>
    <w:rsid w:val="00AB2C82"/>
    <w:rsid w:val="00AC1967"/>
    <w:rsid w:val="00AD0569"/>
    <w:rsid w:val="00AD7EA7"/>
    <w:rsid w:val="00AE14DD"/>
    <w:rsid w:val="00AE69ED"/>
    <w:rsid w:val="00AE7535"/>
    <w:rsid w:val="00AF1445"/>
    <w:rsid w:val="00AF341F"/>
    <w:rsid w:val="00B24D97"/>
    <w:rsid w:val="00B30801"/>
    <w:rsid w:val="00B330D6"/>
    <w:rsid w:val="00B37283"/>
    <w:rsid w:val="00B3771C"/>
    <w:rsid w:val="00B42786"/>
    <w:rsid w:val="00B4711A"/>
    <w:rsid w:val="00B51332"/>
    <w:rsid w:val="00B549F4"/>
    <w:rsid w:val="00B65133"/>
    <w:rsid w:val="00B666F4"/>
    <w:rsid w:val="00B7383D"/>
    <w:rsid w:val="00B85287"/>
    <w:rsid w:val="00B97275"/>
    <w:rsid w:val="00B9777C"/>
    <w:rsid w:val="00BA0CC7"/>
    <w:rsid w:val="00BA2E4C"/>
    <w:rsid w:val="00BA60DA"/>
    <w:rsid w:val="00BA7A24"/>
    <w:rsid w:val="00BB004D"/>
    <w:rsid w:val="00BC0849"/>
    <w:rsid w:val="00BC2E05"/>
    <w:rsid w:val="00BC4B43"/>
    <w:rsid w:val="00BC5D29"/>
    <w:rsid w:val="00BC6DDC"/>
    <w:rsid w:val="00BD4B90"/>
    <w:rsid w:val="00BE6E53"/>
    <w:rsid w:val="00BF1559"/>
    <w:rsid w:val="00BF70D0"/>
    <w:rsid w:val="00C02F8A"/>
    <w:rsid w:val="00C056EA"/>
    <w:rsid w:val="00C54D0E"/>
    <w:rsid w:val="00C61DE8"/>
    <w:rsid w:val="00C67F53"/>
    <w:rsid w:val="00C70760"/>
    <w:rsid w:val="00C70BC3"/>
    <w:rsid w:val="00C738F6"/>
    <w:rsid w:val="00C749C1"/>
    <w:rsid w:val="00C85863"/>
    <w:rsid w:val="00C94877"/>
    <w:rsid w:val="00C96B72"/>
    <w:rsid w:val="00C970DF"/>
    <w:rsid w:val="00CA3517"/>
    <w:rsid w:val="00CB1A71"/>
    <w:rsid w:val="00CB400E"/>
    <w:rsid w:val="00CB528C"/>
    <w:rsid w:val="00CC2B8E"/>
    <w:rsid w:val="00CC4BCA"/>
    <w:rsid w:val="00CC7935"/>
    <w:rsid w:val="00CD25DE"/>
    <w:rsid w:val="00CD4CFA"/>
    <w:rsid w:val="00CE3632"/>
    <w:rsid w:val="00CE6A86"/>
    <w:rsid w:val="00CF6784"/>
    <w:rsid w:val="00D02DD8"/>
    <w:rsid w:val="00D1097D"/>
    <w:rsid w:val="00D149AE"/>
    <w:rsid w:val="00D15A2D"/>
    <w:rsid w:val="00D16846"/>
    <w:rsid w:val="00D34929"/>
    <w:rsid w:val="00D5090B"/>
    <w:rsid w:val="00D52129"/>
    <w:rsid w:val="00D5324C"/>
    <w:rsid w:val="00D623EB"/>
    <w:rsid w:val="00D74B20"/>
    <w:rsid w:val="00D74BCA"/>
    <w:rsid w:val="00D7646B"/>
    <w:rsid w:val="00D95C3E"/>
    <w:rsid w:val="00DB1D52"/>
    <w:rsid w:val="00DB4B54"/>
    <w:rsid w:val="00DB4E46"/>
    <w:rsid w:val="00DC7DC9"/>
    <w:rsid w:val="00DD33EE"/>
    <w:rsid w:val="00DD3A2F"/>
    <w:rsid w:val="00DE72A8"/>
    <w:rsid w:val="00E05808"/>
    <w:rsid w:val="00E07C01"/>
    <w:rsid w:val="00E176A1"/>
    <w:rsid w:val="00E37106"/>
    <w:rsid w:val="00E42F52"/>
    <w:rsid w:val="00E4349E"/>
    <w:rsid w:val="00E47ED5"/>
    <w:rsid w:val="00E5638F"/>
    <w:rsid w:val="00E62841"/>
    <w:rsid w:val="00E629BA"/>
    <w:rsid w:val="00E7505F"/>
    <w:rsid w:val="00E767EF"/>
    <w:rsid w:val="00E775C8"/>
    <w:rsid w:val="00E77C8C"/>
    <w:rsid w:val="00EA1E58"/>
    <w:rsid w:val="00EB69D8"/>
    <w:rsid w:val="00EB7313"/>
    <w:rsid w:val="00ED4ED1"/>
    <w:rsid w:val="00ED798D"/>
    <w:rsid w:val="00EE1764"/>
    <w:rsid w:val="00EE70EB"/>
    <w:rsid w:val="00EF238F"/>
    <w:rsid w:val="00EF66E7"/>
    <w:rsid w:val="00EF6E88"/>
    <w:rsid w:val="00F007AC"/>
    <w:rsid w:val="00F013A3"/>
    <w:rsid w:val="00F0423A"/>
    <w:rsid w:val="00F367C6"/>
    <w:rsid w:val="00F41C3F"/>
    <w:rsid w:val="00F65AF6"/>
    <w:rsid w:val="00F676F2"/>
    <w:rsid w:val="00F927C3"/>
    <w:rsid w:val="00FB2447"/>
    <w:rsid w:val="00FB2BAC"/>
    <w:rsid w:val="00FC510B"/>
    <w:rsid w:val="00FD3CF8"/>
    <w:rsid w:val="00FE46B3"/>
    <w:rsid w:val="00FE603A"/>
    <w:rsid w:val="00FF1341"/>
    <w:rsid w:val="00FF496A"/>
    <w:rsid w:val="00FF4B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9530F"/>
  <w15:docId w15:val="{1886093A-A056-4EE9-81D1-B7E9D95A3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71D"/>
  </w:style>
  <w:style w:type="paragraph" w:styleId="Heading5">
    <w:name w:val="heading 5"/>
    <w:basedOn w:val="Normal"/>
    <w:next w:val="Normal"/>
    <w:link w:val="Heading5Char"/>
    <w:uiPriority w:val="9"/>
    <w:unhideWhenUsed/>
    <w:qFormat/>
    <w:rsid w:val="00F007AC"/>
    <w:pPr>
      <w:spacing w:before="240" w:after="60" w:line="276" w:lineRule="auto"/>
      <w:outlineLvl w:val="4"/>
    </w:pPr>
    <w:rPr>
      <w:rFonts w:ascii="Calibri" w:eastAsia="Times New Roman" w:hAnsi="Calibri" w:cs="Times New Roman"/>
      <w:b/>
      <w:bCs/>
      <w:i/>
      <w:iCs/>
      <w:sz w:val="26"/>
      <w:szCs w:val="2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7AF2"/>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BC5D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D29"/>
    <w:rPr>
      <w:rFonts w:ascii="Tahoma" w:hAnsi="Tahoma" w:cs="Tahoma"/>
      <w:sz w:val="16"/>
      <w:szCs w:val="16"/>
    </w:rPr>
  </w:style>
  <w:style w:type="paragraph" w:styleId="NormalWeb">
    <w:name w:val="Normal (Web)"/>
    <w:basedOn w:val="Normal"/>
    <w:uiPriority w:val="99"/>
    <w:unhideWhenUsed/>
    <w:rsid w:val="0070633C"/>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70633C"/>
    <w:pPr>
      <w:spacing w:after="0" w:line="240" w:lineRule="auto"/>
    </w:pPr>
    <w:rPr>
      <w:rFonts w:ascii="Times New Roman" w:eastAsia="Times New Roman" w:hAnsi="Times New Roman" w:cs="Times New Roman"/>
      <w:sz w:val="20"/>
      <w:szCs w:val="20"/>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B2BAC"/>
    <w:pPr>
      <w:spacing w:after="0" w:line="240" w:lineRule="auto"/>
    </w:pPr>
  </w:style>
  <w:style w:type="paragraph" w:customStyle="1" w:styleId="Body1">
    <w:name w:val="Body 1"/>
    <w:rsid w:val="00EB69D8"/>
    <w:pPr>
      <w:spacing w:after="0" w:line="240" w:lineRule="auto"/>
    </w:pPr>
    <w:rPr>
      <w:rFonts w:ascii="Helvetica" w:eastAsia="Arial Unicode MS" w:hAnsi="Helvetica" w:cs="Times New Roman"/>
      <w:color w:val="000000"/>
      <w:sz w:val="24"/>
      <w:szCs w:val="20"/>
      <w:lang w:val="en-US"/>
    </w:rPr>
  </w:style>
  <w:style w:type="character" w:styleId="Hyperlink">
    <w:name w:val="Hyperlink"/>
    <w:unhideWhenUsed/>
    <w:rsid w:val="00CF6784"/>
    <w:rPr>
      <w:color w:val="0000FF"/>
      <w:u w:val="single"/>
    </w:rPr>
  </w:style>
  <w:style w:type="paragraph" w:styleId="BodyText">
    <w:name w:val="Body Text"/>
    <w:basedOn w:val="Normal"/>
    <w:link w:val="BodyTextChar"/>
    <w:rsid w:val="00965B03"/>
    <w:pPr>
      <w:tabs>
        <w:tab w:val="left" w:pos="-1440"/>
        <w:tab w:val="left" w:pos="-720"/>
        <w:tab w:val="left" w:pos="0"/>
        <w:tab w:val="left" w:pos="234"/>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Char">
    <w:name w:val="Body Text Char"/>
    <w:basedOn w:val="DefaultParagraphFont"/>
    <w:link w:val="BodyText"/>
    <w:rsid w:val="00965B03"/>
    <w:rPr>
      <w:rFonts w:ascii="Times New Roman" w:eastAsia="Times New Roman" w:hAnsi="Times New Roman" w:cs="Times New Roman"/>
      <w:sz w:val="24"/>
      <w:szCs w:val="20"/>
      <w:lang w:eastAsia="ar-SA"/>
    </w:rPr>
  </w:style>
  <w:style w:type="paragraph" w:customStyle="1" w:styleId="Default">
    <w:name w:val="Default"/>
    <w:rsid w:val="00965B03"/>
    <w:pPr>
      <w:autoSpaceDE w:val="0"/>
      <w:autoSpaceDN w:val="0"/>
      <w:adjustRightInd w:val="0"/>
      <w:spacing w:after="0" w:line="240" w:lineRule="auto"/>
    </w:pPr>
    <w:rPr>
      <w:rFonts w:ascii="Times New Roman" w:eastAsia="Calibri" w:hAnsi="Times New Roman" w:cs="Times New Roman"/>
      <w:color w:val="000000"/>
      <w:sz w:val="24"/>
      <w:szCs w:val="24"/>
      <w:lang w:eastAsia="en-IN"/>
    </w:rPr>
  </w:style>
  <w:style w:type="character" w:customStyle="1" w:styleId="Heading5Char">
    <w:name w:val="Heading 5 Char"/>
    <w:basedOn w:val="DefaultParagraphFont"/>
    <w:link w:val="Heading5"/>
    <w:uiPriority w:val="9"/>
    <w:rsid w:val="00F007AC"/>
    <w:rPr>
      <w:rFonts w:ascii="Calibri" w:eastAsia="Times New Roman" w:hAnsi="Calibri" w:cs="Times New Roman"/>
      <w:b/>
      <w:bCs/>
      <w:i/>
      <w:iCs/>
      <w:sz w:val="26"/>
      <w:szCs w:val="26"/>
      <w:lang w:eastAsia="en-IN"/>
    </w:rPr>
  </w:style>
  <w:style w:type="paragraph" w:styleId="Header">
    <w:name w:val="header"/>
    <w:basedOn w:val="Normal"/>
    <w:link w:val="HeaderChar"/>
    <w:uiPriority w:val="99"/>
    <w:unhideWhenUsed/>
    <w:rsid w:val="00575E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E7E"/>
  </w:style>
  <w:style w:type="paragraph" w:styleId="Footer">
    <w:name w:val="footer"/>
    <w:basedOn w:val="Normal"/>
    <w:link w:val="FooterChar"/>
    <w:uiPriority w:val="99"/>
    <w:unhideWhenUsed/>
    <w:rsid w:val="00575E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D:\SK\BOOK%20CHAPTER\BC%203\GRAPH\WA-BAR%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SK\BOOK%20CHAPTER\BC%203\GRAPH\SORPTIVITY%20-%20BAR%20CHAR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SK\BOOK%20CHAPTER\BC%203\GRAPH\ACID-W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SK\BOOK%20CHAPTER\BC%203\GRAPH\ACID-C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SK\BOOK%20CHAPTER\BC%203\GRAPH\SULPHATE-W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SK\BOOK%20CHAPTER\BC%203\GRAPH\SULPHATE-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48916529341792"/>
          <c:y val="3.3078521434820644E-2"/>
          <c:w val="0.8237309612953897"/>
          <c:h val="0.80690653251676869"/>
        </c:manualLayout>
      </c:layout>
      <c:barChart>
        <c:barDir val="col"/>
        <c:grouping val="clustered"/>
        <c:varyColors val="0"/>
        <c:ser>
          <c:idx val="0"/>
          <c:order val="0"/>
          <c:tx>
            <c:v>IMF</c:v>
          </c:tx>
          <c:spPr>
            <a:pattFill prst="dkUpDiag">
              <a:fgClr>
                <a:srgbClr val="FF0000"/>
              </a:fgClr>
              <a:bgClr>
                <a:srgbClr val="FFFFFF"/>
              </a:bgClr>
            </a:pattFill>
            <a:ln w="12700">
              <a:solidFill>
                <a:srgbClr val="FF0000"/>
              </a:solidFill>
            </a:ln>
          </c:spPr>
          <c:invertIfNegative val="0"/>
          <c:dLbls>
            <c:delete val="1"/>
          </c:dLbls>
          <c:cat>
            <c:numRef>
              <c:f>Sheet1!$L$6:$L$10</c:f>
              <c:numCache>
                <c:formatCode>General</c:formatCode>
                <c:ptCount val="5"/>
                <c:pt idx="0">
                  <c:v>7</c:v>
                </c:pt>
                <c:pt idx="1">
                  <c:v>14</c:v>
                </c:pt>
                <c:pt idx="2">
                  <c:v>28</c:v>
                </c:pt>
                <c:pt idx="3">
                  <c:v>60</c:v>
                </c:pt>
                <c:pt idx="4">
                  <c:v>90</c:v>
                </c:pt>
              </c:numCache>
            </c:numRef>
          </c:cat>
          <c:val>
            <c:numRef>
              <c:f>Sheet1!$M$6:$M$10</c:f>
              <c:numCache>
                <c:formatCode>General</c:formatCode>
                <c:ptCount val="5"/>
                <c:pt idx="0">
                  <c:v>5.2</c:v>
                </c:pt>
                <c:pt idx="1">
                  <c:v>5</c:v>
                </c:pt>
                <c:pt idx="2">
                  <c:v>4.8</c:v>
                </c:pt>
                <c:pt idx="3">
                  <c:v>4.2</c:v>
                </c:pt>
                <c:pt idx="4">
                  <c:v>3.9</c:v>
                </c:pt>
              </c:numCache>
            </c:numRef>
          </c:val>
          <c:extLst>
            <c:ext xmlns:c16="http://schemas.microsoft.com/office/drawing/2014/chart" uri="{C3380CC4-5D6E-409C-BE32-E72D297353CC}">
              <c16:uniqueId val="{00000000-A9EA-45DF-A76C-9D29E3990730}"/>
            </c:ext>
          </c:extLst>
        </c:ser>
        <c:ser>
          <c:idx val="1"/>
          <c:order val="1"/>
          <c:tx>
            <c:v>CPF</c:v>
          </c:tx>
          <c:spPr>
            <a:pattFill prst="narHorz">
              <a:fgClr>
                <a:srgbClr val="4F81BD"/>
              </a:fgClr>
              <a:bgClr>
                <a:srgbClr val="FFFFFF"/>
              </a:bgClr>
            </a:pattFill>
            <a:ln w="12700">
              <a:solidFill>
                <a:schemeClr val="accent1"/>
              </a:solidFill>
            </a:ln>
          </c:spPr>
          <c:invertIfNegative val="0"/>
          <c:dLbls>
            <c:delete val="1"/>
          </c:dLbls>
          <c:errBars>
            <c:errBarType val="both"/>
            <c:errValType val="cust"/>
            <c:noEndCap val="0"/>
            <c:plus>
              <c:numRef>
                <c:f>Sheet1!$Q$16:$Q$20</c:f>
                <c:numCache>
                  <c:formatCode>General</c:formatCode>
                  <c:ptCount val="5"/>
                </c:numCache>
              </c:numRef>
            </c:plus>
            <c:minus>
              <c:numRef>
                <c:f>Sheet1!$Q$16:$Q$20</c:f>
                <c:numCache>
                  <c:formatCode>General</c:formatCode>
                  <c:ptCount val="5"/>
                </c:numCache>
              </c:numRef>
            </c:minus>
          </c:errBars>
          <c:cat>
            <c:numRef>
              <c:f>Sheet1!$L$6:$L$10</c:f>
              <c:numCache>
                <c:formatCode>General</c:formatCode>
                <c:ptCount val="5"/>
                <c:pt idx="0">
                  <c:v>7</c:v>
                </c:pt>
                <c:pt idx="1">
                  <c:v>14</c:v>
                </c:pt>
                <c:pt idx="2">
                  <c:v>28</c:v>
                </c:pt>
                <c:pt idx="3">
                  <c:v>60</c:v>
                </c:pt>
                <c:pt idx="4">
                  <c:v>90</c:v>
                </c:pt>
              </c:numCache>
            </c:numRef>
          </c:cat>
          <c:val>
            <c:numRef>
              <c:f>Sheet1!$N$6:$N$10</c:f>
              <c:numCache>
                <c:formatCode>General</c:formatCode>
                <c:ptCount val="5"/>
                <c:pt idx="0">
                  <c:v>4</c:v>
                </c:pt>
                <c:pt idx="1">
                  <c:v>3.9</c:v>
                </c:pt>
                <c:pt idx="2">
                  <c:v>3.8</c:v>
                </c:pt>
                <c:pt idx="3">
                  <c:v>3.4</c:v>
                </c:pt>
                <c:pt idx="4">
                  <c:v>3.2</c:v>
                </c:pt>
              </c:numCache>
            </c:numRef>
          </c:val>
          <c:extLst>
            <c:ext xmlns:c16="http://schemas.microsoft.com/office/drawing/2014/chart" uri="{C3380CC4-5D6E-409C-BE32-E72D297353CC}">
              <c16:uniqueId val="{00000001-A9EA-45DF-A76C-9D29E3990730}"/>
            </c:ext>
          </c:extLst>
        </c:ser>
        <c:dLbls>
          <c:dLblPos val="outEnd"/>
          <c:showLegendKey val="0"/>
          <c:showVal val="1"/>
          <c:showCatName val="0"/>
          <c:showSerName val="0"/>
          <c:showPercent val="0"/>
          <c:showBubbleSize val="0"/>
        </c:dLbls>
        <c:gapWidth val="150"/>
        <c:overlap val="-36"/>
        <c:axId val="78368128"/>
        <c:axId val="78390784"/>
      </c:barChart>
      <c:catAx>
        <c:axId val="78368128"/>
        <c:scaling>
          <c:orientation val="minMax"/>
        </c:scaling>
        <c:delete val="0"/>
        <c:axPos val="b"/>
        <c:title>
          <c:tx>
            <c:rich>
              <a:bodyPr/>
              <a:lstStyle/>
              <a:p>
                <a:pPr>
                  <a:defRPr/>
                </a:pPr>
                <a:r>
                  <a:rPr lang="en-US"/>
                  <a:t>Age (Days)</a:t>
                </a:r>
              </a:p>
            </c:rich>
          </c:tx>
          <c:overlay val="0"/>
        </c:title>
        <c:numFmt formatCode="General" sourceLinked="1"/>
        <c:majorTickMark val="out"/>
        <c:minorTickMark val="none"/>
        <c:tickLblPos val="nextTo"/>
        <c:spPr>
          <a:ln>
            <a:solidFill>
              <a:schemeClr val="tx1"/>
            </a:solidFill>
          </a:ln>
        </c:spPr>
        <c:crossAx val="78390784"/>
        <c:crosses val="autoZero"/>
        <c:auto val="1"/>
        <c:lblAlgn val="ctr"/>
        <c:lblOffset val="100"/>
        <c:noMultiLvlLbl val="0"/>
      </c:catAx>
      <c:valAx>
        <c:axId val="78390784"/>
        <c:scaling>
          <c:orientation val="minMax"/>
        </c:scaling>
        <c:delete val="0"/>
        <c:axPos val="l"/>
        <c:title>
          <c:tx>
            <c:rich>
              <a:bodyPr rot="-5400000" vert="horz"/>
              <a:lstStyle/>
              <a:p>
                <a:pPr>
                  <a:defRPr/>
                </a:pPr>
                <a:r>
                  <a:rPr lang="en-US"/>
                  <a:t>Water absorption (%)</a:t>
                </a:r>
              </a:p>
            </c:rich>
          </c:tx>
          <c:overlay val="0"/>
        </c:title>
        <c:numFmt formatCode="General" sourceLinked="1"/>
        <c:majorTickMark val="out"/>
        <c:minorTickMark val="none"/>
        <c:tickLblPos val="nextTo"/>
        <c:spPr>
          <a:ln>
            <a:solidFill>
              <a:schemeClr val="tx1"/>
            </a:solidFill>
          </a:ln>
        </c:spPr>
        <c:crossAx val="78368128"/>
        <c:crosses val="autoZero"/>
        <c:crossBetween val="between"/>
      </c:valAx>
      <c:spPr>
        <a:ln>
          <a:solidFill>
            <a:schemeClr val="tx1"/>
          </a:solidFill>
        </a:ln>
      </c:spPr>
    </c:plotArea>
    <c:legend>
      <c:legendPos val="r"/>
      <c:layout>
        <c:manualLayout>
          <c:xMode val="edge"/>
          <c:yMode val="edge"/>
          <c:x val="0.66380504494099413"/>
          <c:y val="6.8947546298511742E-2"/>
          <c:w val="0.25796480572652586"/>
          <c:h val="0.1096445512513758"/>
        </c:manualLayout>
      </c:layout>
      <c:overlay val="0"/>
      <c:spPr>
        <a:ln>
          <a:solidFill>
            <a:schemeClr val="tx2">
              <a:lumMod val="40000"/>
              <a:lumOff val="60000"/>
            </a:schemeClr>
          </a:solidFill>
        </a:ln>
      </c:spPr>
    </c:legend>
    <c:plotVisOnly val="1"/>
    <c:dispBlanksAs val="gap"/>
    <c:showDLblsOverMax val="0"/>
  </c:chart>
  <c:spPr>
    <a:ln>
      <a:solidFill>
        <a:schemeClr val="bg2">
          <a:lumMod val="50000"/>
        </a:schemeClr>
      </a:solid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893198922997345"/>
          <c:y val="3.3078389369240159E-2"/>
          <c:w val="0.83584048633329688"/>
          <c:h val="0.80227690288713915"/>
        </c:manualLayout>
      </c:layout>
      <c:barChart>
        <c:barDir val="col"/>
        <c:grouping val="clustered"/>
        <c:varyColors val="0"/>
        <c:ser>
          <c:idx val="0"/>
          <c:order val="0"/>
          <c:tx>
            <c:v>IMF</c:v>
          </c:tx>
          <c:spPr>
            <a:pattFill prst="dkUpDiag">
              <a:fgClr>
                <a:srgbClr val="FF0000"/>
              </a:fgClr>
              <a:bgClr>
                <a:srgbClr val="FFFFFF"/>
              </a:bgClr>
            </a:pattFill>
            <a:ln w="12700">
              <a:solidFill>
                <a:srgbClr val="FF0000"/>
              </a:solidFill>
            </a:ln>
          </c:spPr>
          <c:invertIfNegative val="0"/>
          <c:dLbls>
            <c:delete val="1"/>
          </c:dLbls>
          <c:cat>
            <c:numRef>
              <c:f>Sheet1!$L$6:$L$10</c:f>
              <c:numCache>
                <c:formatCode>General</c:formatCode>
                <c:ptCount val="5"/>
                <c:pt idx="0">
                  <c:v>7</c:v>
                </c:pt>
                <c:pt idx="1">
                  <c:v>14</c:v>
                </c:pt>
                <c:pt idx="2">
                  <c:v>28</c:v>
                </c:pt>
                <c:pt idx="3">
                  <c:v>60</c:v>
                </c:pt>
                <c:pt idx="4">
                  <c:v>90</c:v>
                </c:pt>
              </c:numCache>
            </c:numRef>
          </c:cat>
          <c:val>
            <c:numRef>
              <c:f>Sheet1!$M$6:$M$10</c:f>
              <c:numCache>
                <c:formatCode>General</c:formatCode>
                <c:ptCount val="5"/>
                <c:pt idx="0">
                  <c:v>9.1999999999999993</c:v>
                </c:pt>
                <c:pt idx="1">
                  <c:v>8.1999999999999993</c:v>
                </c:pt>
                <c:pt idx="2">
                  <c:v>7.6</c:v>
                </c:pt>
                <c:pt idx="3">
                  <c:v>6.8</c:v>
                </c:pt>
                <c:pt idx="4">
                  <c:v>5.3</c:v>
                </c:pt>
              </c:numCache>
            </c:numRef>
          </c:val>
          <c:extLst>
            <c:ext xmlns:c16="http://schemas.microsoft.com/office/drawing/2014/chart" uri="{C3380CC4-5D6E-409C-BE32-E72D297353CC}">
              <c16:uniqueId val="{00000000-BE14-4016-A53C-17EE9D9EC083}"/>
            </c:ext>
          </c:extLst>
        </c:ser>
        <c:ser>
          <c:idx val="1"/>
          <c:order val="1"/>
          <c:tx>
            <c:v>CPF</c:v>
          </c:tx>
          <c:spPr>
            <a:pattFill prst="narHorz">
              <a:fgClr>
                <a:srgbClr val="4F81BD"/>
              </a:fgClr>
              <a:bgClr>
                <a:srgbClr val="FFFFFF"/>
              </a:bgClr>
            </a:pattFill>
            <a:ln w="12700">
              <a:solidFill>
                <a:schemeClr val="accent1"/>
              </a:solidFill>
            </a:ln>
          </c:spPr>
          <c:invertIfNegative val="0"/>
          <c:dLbls>
            <c:delete val="1"/>
          </c:dLbls>
          <c:cat>
            <c:numRef>
              <c:f>Sheet1!$L$6:$L$10</c:f>
              <c:numCache>
                <c:formatCode>General</c:formatCode>
                <c:ptCount val="5"/>
                <c:pt idx="0">
                  <c:v>7</c:v>
                </c:pt>
                <c:pt idx="1">
                  <c:v>14</c:v>
                </c:pt>
                <c:pt idx="2">
                  <c:v>28</c:v>
                </c:pt>
                <c:pt idx="3">
                  <c:v>60</c:v>
                </c:pt>
                <c:pt idx="4">
                  <c:v>90</c:v>
                </c:pt>
              </c:numCache>
            </c:numRef>
          </c:cat>
          <c:val>
            <c:numRef>
              <c:f>Sheet1!$N$6:$N$10</c:f>
              <c:numCache>
                <c:formatCode>General</c:formatCode>
                <c:ptCount val="5"/>
                <c:pt idx="0">
                  <c:v>5.5</c:v>
                </c:pt>
                <c:pt idx="1">
                  <c:v>5.0999999999999996</c:v>
                </c:pt>
                <c:pt idx="2">
                  <c:v>4.8</c:v>
                </c:pt>
                <c:pt idx="3">
                  <c:v>4.4000000000000004</c:v>
                </c:pt>
                <c:pt idx="4">
                  <c:v>3.5</c:v>
                </c:pt>
              </c:numCache>
            </c:numRef>
          </c:val>
          <c:extLst>
            <c:ext xmlns:c16="http://schemas.microsoft.com/office/drawing/2014/chart" uri="{C3380CC4-5D6E-409C-BE32-E72D297353CC}">
              <c16:uniqueId val="{00000001-BE14-4016-A53C-17EE9D9EC083}"/>
            </c:ext>
          </c:extLst>
        </c:ser>
        <c:dLbls>
          <c:dLblPos val="outEnd"/>
          <c:showLegendKey val="0"/>
          <c:showVal val="1"/>
          <c:showCatName val="0"/>
          <c:showSerName val="0"/>
          <c:showPercent val="0"/>
          <c:showBubbleSize val="0"/>
        </c:dLbls>
        <c:gapWidth val="150"/>
        <c:overlap val="-36"/>
        <c:axId val="75554176"/>
        <c:axId val="75572736"/>
      </c:barChart>
      <c:catAx>
        <c:axId val="75554176"/>
        <c:scaling>
          <c:orientation val="minMax"/>
        </c:scaling>
        <c:delete val="0"/>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Age</a:t>
                </a:r>
                <a:r>
                  <a:rPr lang="en-US" baseline="0">
                    <a:latin typeface="Times New Roman" pitchFamily="18" charset="0"/>
                    <a:cs typeface="Times New Roman" pitchFamily="18" charset="0"/>
                  </a:rPr>
                  <a:t> (Days)</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spPr>
          <a:ln>
            <a:solidFill>
              <a:schemeClr val="tx1"/>
            </a:solidFill>
          </a:ln>
        </c:spPr>
        <c:crossAx val="75572736"/>
        <c:crosses val="autoZero"/>
        <c:auto val="1"/>
        <c:lblAlgn val="ctr"/>
        <c:lblOffset val="100"/>
        <c:noMultiLvlLbl val="0"/>
      </c:catAx>
      <c:valAx>
        <c:axId val="75572736"/>
        <c:scaling>
          <c:orientation val="minMax"/>
        </c:scaling>
        <c:delete val="0"/>
        <c:axPos val="l"/>
        <c:title>
          <c:tx>
            <c:rich>
              <a:bodyPr rot="-5400000" vert="horz"/>
              <a:lstStyle/>
              <a:p>
                <a:pPr>
                  <a:defRPr>
                    <a:latin typeface="Times New Roman" pitchFamily="18" charset="0"/>
                    <a:cs typeface="Times New Roman" pitchFamily="18" charset="0"/>
                  </a:defRPr>
                </a:pPr>
                <a:r>
                  <a:rPr lang="en-US" baseline="0">
                    <a:latin typeface="Times New Roman" pitchFamily="18" charset="0"/>
                    <a:cs typeface="Times New Roman" pitchFamily="18" charset="0"/>
                  </a:rPr>
                  <a:t>Sorptivity (mm)</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spPr>
          <a:ln>
            <a:solidFill>
              <a:schemeClr val="tx1"/>
            </a:solidFill>
          </a:ln>
        </c:spPr>
        <c:crossAx val="75554176"/>
        <c:crosses val="autoZero"/>
        <c:crossBetween val="between"/>
      </c:valAx>
      <c:spPr>
        <a:ln>
          <a:solidFill>
            <a:schemeClr val="tx1"/>
          </a:solidFill>
        </a:ln>
      </c:spPr>
    </c:plotArea>
    <c:legend>
      <c:legendPos val="r"/>
      <c:layout>
        <c:manualLayout>
          <c:xMode val="edge"/>
          <c:yMode val="edge"/>
          <c:x val="0.71659300205194976"/>
          <c:y val="7.7067832298789135E-2"/>
          <c:w val="0.22353417206030876"/>
          <c:h val="0.12659273367833368"/>
        </c:manualLayout>
      </c:layout>
      <c:overlay val="0"/>
      <c:spPr>
        <a:ln>
          <a:solidFill>
            <a:schemeClr val="tx2">
              <a:lumMod val="40000"/>
              <a:lumOff val="60000"/>
            </a:schemeClr>
          </a:solidFill>
        </a:ln>
      </c:spPr>
      <c:txPr>
        <a:bodyPr/>
        <a:lstStyle/>
        <a:p>
          <a:pPr>
            <a:defRPr>
              <a:latin typeface="Times New Roman" pitchFamily="18" charset="0"/>
              <a:cs typeface="Times New Roman" pitchFamily="18" charset="0"/>
            </a:defRPr>
          </a:pPr>
          <a:endParaRPr lang="en-US"/>
        </a:p>
      </c:txPr>
    </c:legend>
    <c:plotVisOnly val="1"/>
    <c:dispBlanksAs val="gap"/>
    <c:showDLblsOverMax val="0"/>
  </c:chart>
  <c:spPr>
    <a:ln>
      <a:solidFill>
        <a:schemeClr val="bg2">
          <a:lumMod val="50000"/>
        </a:schemeClr>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930341252822319"/>
          <c:y val="4.9344347179150705E-2"/>
          <c:w val="0.8200052398741039"/>
          <c:h val="0.79279235928842262"/>
        </c:manualLayout>
      </c:layout>
      <c:barChart>
        <c:barDir val="col"/>
        <c:grouping val="clustered"/>
        <c:varyColors val="0"/>
        <c:ser>
          <c:idx val="1"/>
          <c:order val="0"/>
          <c:tx>
            <c:v>IMF</c:v>
          </c:tx>
          <c:spPr>
            <a:pattFill prst="dkUpDiag">
              <a:fgClr>
                <a:srgbClr val="FF0000"/>
              </a:fgClr>
              <a:bgClr>
                <a:srgbClr val="FFFFFF"/>
              </a:bgClr>
            </a:pattFill>
            <a:ln>
              <a:solidFill>
                <a:srgbClr val="FF0000"/>
              </a:solidFill>
            </a:ln>
          </c:spPr>
          <c:invertIfNegative val="0"/>
          <c:dLbls>
            <c:delete val="1"/>
          </c:dLbls>
          <c:errBars>
            <c:errBarType val="both"/>
            <c:errValType val="cust"/>
            <c:noEndCap val="0"/>
            <c:plus>
              <c:numRef>
                <c:f>Sheet1!$C$17:$C$21</c:f>
                <c:numCache>
                  <c:formatCode>General</c:formatCode>
                  <c:ptCount val="5"/>
                </c:numCache>
              </c:numRef>
            </c:plus>
            <c:minus>
              <c:numRef>
                <c:f>Sheet1!$C$17:$C$21</c:f>
                <c:numCache>
                  <c:formatCode>General</c:formatCode>
                  <c:ptCount val="5"/>
                </c:numCache>
              </c:numRef>
            </c:minus>
          </c:errBars>
          <c:cat>
            <c:numRef>
              <c:f>Sheet1!$B$7:$B$10</c:f>
              <c:numCache>
                <c:formatCode>General</c:formatCode>
                <c:ptCount val="4"/>
                <c:pt idx="0">
                  <c:v>60</c:v>
                </c:pt>
                <c:pt idx="1">
                  <c:v>90</c:v>
                </c:pt>
                <c:pt idx="2">
                  <c:v>120</c:v>
                </c:pt>
                <c:pt idx="3">
                  <c:v>180</c:v>
                </c:pt>
              </c:numCache>
            </c:numRef>
          </c:cat>
          <c:val>
            <c:numRef>
              <c:f>Sheet1!$C$7:$C$10</c:f>
              <c:numCache>
                <c:formatCode>0.0</c:formatCode>
                <c:ptCount val="4"/>
                <c:pt idx="0">
                  <c:v>3.4</c:v>
                </c:pt>
                <c:pt idx="1">
                  <c:v>5.6</c:v>
                </c:pt>
                <c:pt idx="2">
                  <c:v>8.1999999999999993</c:v>
                </c:pt>
                <c:pt idx="3">
                  <c:v>11.4</c:v>
                </c:pt>
              </c:numCache>
            </c:numRef>
          </c:val>
          <c:extLst>
            <c:ext xmlns:c16="http://schemas.microsoft.com/office/drawing/2014/chart" uri="{C3380CC4-5D6E-409C-BE32-E72D297353CC}">
              <c16:uniqueId val="{00000000-1066-4480-9061-ACF6203C0AB3}"/>
            </c:ext>
          </c:extLst>
        </c:ser>
        <c:ser>
          <c:idx val="2"/>
          <c:order val="1"/>
          <c:tx>
            <c:v>CPF</c:v>
          </c:tx>
          <c:spPr>
            <a:pattFill prst="narHorz">
              <a:fgClr>
                <a:srgbClr val="4F81BD"/>
              </a:fgClr>
              <a:bgClr>
                <a:srgbClr val="FFFFFF"/>
              </a:bgClr>
            </a:pattFill>
            <a:ln>
              <a:solidFill>
                <a:schemeClr val="accent1"/>
              </a:solidFill>
            </a:ln>
          </c:spPr>
          <c:invertIfNegative val="0"/>
          <c:dLbls>
            <c:delete val="1"/>
          </c:dLbls>
          <c:errBars>
            <c:errBarType val="both"/>
            <c:errValType val="cust"/>
            <c:noEndCap val="0"/>
            <c:plus>
              <c:numRef>
                <c:f>Sheet1!$D$17:$D$20</c:f>
                <c:numCache>
                  <c:formatCode>General</c:formatCode>
                  <c:ptCount val="4"/>
                </c:numCache>
              </c:numRef>
            </c:plus>
            <c:minus>
              <c:numRef>
                <c:f>Sheet1!$D$17:$D$20</c:f>
                <c:numCache>
                  <c:formatCode>General</c:formatCode>
                  <c:ptCount val="4"/>
                </c:numCache>
              </c:numRef>
            </c:minus>
          </c:errBars>
          <c:cat>
            <c:numRef>
              <c:f>Sheet1!$B$7:$B$10</c:f>
              <c:numCache>
                <c:formatCode>General</c:formatCode>
                <c:ptCount val="4"/>
                <c:pt idx="0">
                  <c:v>60</c:v>
                </c:pt>
                <c:pt idx="1">
                  <c:v>90</c:v>
                </c:pt>
                <c:pt idx="2">
                  <c:v>120</c:v>
                </c:pt>
                <c:pt idx="3">
                  <c:v>180</c:v>
                </c:pt>
              </c:numCache>
            </c:numRef>
          </c:cat>
          <c:val>
            <c:numRef>
              <c:f>Sheet1!$D$7:$D$10</c:f>
              <c:numCache>
                <c:formatCode>0.0</c:formatCode>
                <c:ptCount val="4"/>
                <c:pt idx="0">
                  <c:v>1.8</c:v>
                </c:pt>
                <c:pt idx="1">
                  <c:v>3.5</c:v>
                </c:pt>
                <c:pt idx="2">
                  <c:v>4.8</c:v>
                </c:pt>
                <c:pt idx="3">
                  <c:v>6.4</c:v>
                </c:pt>
              </c:numCache>
            </c:numRef>
          </c:val>
          <c:extLst>
            <c:ext xmlns:c16="http://schemas.microsoft.com/office/drawing/2014/chart" uri="{C3380CC4-5D6E-409C-BE32-E72D297353CC}">
              <c16:uniqueId val="{00000001-1066-4480-9061-ACF6203C0AB3}"/>
            </c:ext>
          </c:extLst>
        </c:ser>
        <c:dLbls>
          <c:showLegendKey val="0"/>
          <c:showVal val="1"/>
          <c:showCatName val="0"/>
          <c:showSerName val="0"/>
          <c:showPercent val="0"/>
          <c:showBubbleSize val="0"/>
        </c:dLbls>
        <c:gapWidth val="150"/>
        <c:overlap val="-21"/>
        <c:axId val="71277952"/>
        <c:axId val="72623616"/>
      </c:barChart>
      <c:catAx>
        <c:axId val="71277952"/>
        <c:scaling>
          <c:orientation val="minMax"/>
        </c:scaling>
        <c:delete val="0"/>
        <c:axPos val="b"/>
        <c:title>
          <c:tx>
            <c:rich>
              <a:bodyPr/>
              <a:lstStyle/>
              <a:p>
                <a:pPr>
                  <a:defRPr/>
                </a:pPr>
                <a:r>
                  <a:rPr lang="en-US"/>
                  <a:t>Duration of exposure (Days)</a:t>
                </a:r>
              </a:p>
            </c:rich>
          </c:tx>
          <c:overlay val="0"/>
        </c:title>
        <c:numFmt formatCode="General" sourceLinked="1"/>
        <c:majorTickMark val="out"/>
        <c:minorTickMark val="none"/>
        <c:tickLblPos val="nextTo"/>
        <c:spPr>
          <a:ln>
            <a:solidFill>
              <a:schemeClr val="tx1"/>
            </a:solidFill>
          </a:ln>
        </c:spPr>
        <c:crossAx val="72623616"/>
        <c:crosses val="autoZero"/>
        <c:auto val="1"/>
        <c:lblAlgn val="ctr"/>
        <c:lblOffset val="100"/>
        <c:noMultiLvlLbl val="0"/>
      </c:catAx>
      <c:valAx>
        <c:axId val="72623616"/>
        <c:scaling>
          <c:orientation val="minMax"/>
        </c:scaling>
        <c:delete val="0"/>
        <c:axPos val="l"/>
        <c:title>
          <c:tx>
            <c:rich>
              <a:bodyPr rot="-5400000" vert="horz"/>
              <a:lstStyle/>
              <a:p>
                <a:pPr>
                  <a:defRPr/>
                </a:pPr>
                <a:r>
                  <a:rPr lang="en-US"/>
                  <a:t>Weight loss (%)</a:t>
                </a:r>
              </a:p>
            </c:rich>
          </c:tx>
          <c:overlay val="0"/>
        </c:title>
        <c:numFmt formatCode="0.0" sourceLinked="1"/>
        <c:majorTickMark val="out"/>
        <c:minorTickMark val="none"/>
        <c:tickLblPos val="nextTo"/>
        <c:spPr>
          <a:ln>
            <a:solidFill>
              <a:schemeClr val="tx1"/>
            </a:solidFill>
          </a:ln>
        </c:spPr>
        <c:crossAx val="71277952"/>
        <c:crosses val="autoZero"/>
        <c:crossBetween val="between"/>
      </c:valAx>
      <c:spPr>
        <a:ln>
          <a:solidFill>
            <a:schemeClr val="tx1"/>
          </a:solidFill>
        </a:ln>
      </c:spPr>
    </c:plotArea>
    <c:legend>
      <c:legendPos val="r"/>
      <c:layout>
        <c:manualLayout>
          <c:xMode val="edge"/>
          <c:yMode val="edge"/>
          <c:x val="0.17965917268328921"/>
          <c:y val="6.8724379069206643E-2"/>
          <c:w val="0.28576557341862324"/>
          <c:h val="9.9977381613307839E-2"/>
        </c:manualLayout>
      </c:layout>
      <c:overlay val="0"/>
      <c:spPr>
        <a:ln>
          <a:solidFill>
            <a:schemeClr val="tx2">
              <a:lumMod val="40000"/>
              <a:lumOff val="60000"/>
            </a:schemeClr>
          </a:solidFill>
        </a:ln>
      </c:spPr>
    </c:legend>
    <c:plotVisOnly val="1"/>
    <c:dispBlanksAs val="gap"/>
    <c:showDLblsOverMax val="0"/>
  </c:chart>
  <c:spPr>
    <a:ln>
      <a:solidFill>
        <a:schemeClr val="accent1">
          <a:lumMod val="60000"/>
          <a:lumOff val="40000"/>
        </a:schemeClr>
      </a:solid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321953137098407"/>
          <c:y val="5.0925925925925923E-2"/>
          <c:w val="0.8070444447091617"/>
          <c:h val="0.78254629629629635"/>
        </c:manualLayout>
      </c:layout>
      <c:barChart>
        <c:barDir val="col"/>
        <c:grouping val="clustered"/>
        <c:varyColors val="0"/>
        <c:ser>
          <c:idx val="1"/>
          <c:order val="0"/>
          <c:tx>
            <c:v>IMF</c:v>
          </c:tx>
          <c:spPr>
            <a:pattFill prst="dkUpDiag">
              <a:fgClr>
                <a:srgbClr val="FF0000"/>
              </a:fgClr>
              <a:bgClr>
                <a:srgbClr val="FFFFFF"/>
              </a:bgClr>
            </a:pattFill>
            <a:ln>
              <a:solidFill>
                <a:srgbClr val="FF0000"/>
              </a:solidFill>
            </a:ln>
          </c:spPr>
          <c:invertIfNegative val="0"/>
          <c:dLbls>
            <c:delete val="1"/>
          </c:dLbls>
          <c:cat>
            <c:numRef>
              <c:f>Sheet1!$B$7:$B$10</c:f>
              <c:numCache>
                <c:formatCode>General</c:formatCode>
                <c:ptCount val="4"/>
                <c:pt idx="0">
                  <c:v>60</c:v>
                </c:pt>
                <c:pt idx="1">
                  <c:v>90</c:v>
                </c:pt>
                <c:pt idx="2">
                  <c:v>120</c:v>
                </c:pt>
                <c:pt idx="3">
                  <c:v>180</c:v>
                </c:pt>
              </c:numCache>
            </c:numRef>
          </c:cat>
          <c:val>
            <c:numRef>
              <c:f>Sheet1!$C$7:$C$10</c:f>
              <c:numCache>
                <c:formatCode>0.0</c:formatCode>
                <c:ptCount val="4"/>
                <c:pt idx="0">
                  <c:v>27.8</c:v>
                </c:pt>
                <c:pt idx="1">
                  <c:v>21</c:v>
                </c:pt>
                <c:pt idx="2">
                  <c:v>11.9</c:v>
                </c:pt>
                <c:pt idx="3">
                  <c:v>7.2</c:v>
                </c:pt>
              </c:numCache>
            </c:numRef>
          </c:val>
          <c:extLst>
            <c:ext xmlns:c16="http://schemas.microsoft.com/office/drawing/2014/chart" uri="{C3380CC4-5D6E-409C-BE32-E72D297353CC}">
              <c16:uniqueId val="{00000000-CB44-457C-92EE-027AD85B7B8A}"/>
            </c:ext>
          </c:extLst>
        </c:ser>
        <c:ser>
          <c:idx val="2"/>
          <c:order val="1"/>
          <c:tx>
            <c:v>CPF</c:v>
          </c:tx>
          <c:spPr>
            <a:pattFill prst="narHorz">
              <a:fgClr>
                <a:srgbClr val="4F81BD"/>
              </a:fgClr>
              <a:bgClr>
                <a:srgbClr val="FFFFFF"/>
              </a:bgClr>
            </a:pattFill>
            <a:ln>
              <a:solidFill>
                <a:schemeClr val="accent1"/>
              </a:solidFill>
            </a:ln>
          </c:spPr>
          <c:invertIfNegative val="0"/>
          <c:dLbls>
            <c:delete val="1"/>
          </c:dLbls>
          <c:cat>
            <c:numRef>
              <c:f>Sheet1!$B$7:$B$10</c:f>
              <c:numCache>
                <c:formatCode>General</c:formatCode>
                <c:ptCount val="4"/>
                <c:pt idx="0">
                  <c:v>60</c:v>
                </c:pt>
                <c:pt idx="1">
                  <c:v>90</c:v>
                </c:pt>
                <c:pt idx="2">
                  <c:v>120</c:v>
                </c:pt>
                <c:pt idx="3">
                  <c:v>180</c:v>
                </c:pt>
              </c:numCache>
            </c:numRef>
          </c:cat>
          <c:val>
            <c:numRef>
              <c:f>Sheet1!$D$7:$D$10</c:f>
              <c:numCache>
                <c:formatCode>0.0</c:formatCode>
                <c:ptCount val="4"/>
                <c:pt idx="0">
                  <c:v>31.9</c:v>
                </c:pt>
                <c:pt idx="1">
                  <c:v>26.3</c:v>
                </c:pt>
                <c:pt idx="2">
                  <c:v>20.399999999999999</c:v>
                </c:pt>
                <c:pt idx="3">
                  <c:v>17.600000000000001</c:v>
                </c:pt>
              </c:numCache>
            </c:numRef>
          </c:val>
          <c:extLst>
            <c:ext xmlns:c16="http://schemas.microsoft.com/office/drawing/2014/chart" uri="{C3380CC4-5D6E-409C-BE32-E72D297353CC}">
              <c16:uniqueId val="{00000001-CB44-457C-92EE-027AD85B7B8A}"/>
            </c:ext>
          </c:extLst>
        </c:ser>
        <c:dLbls>
          <c:showLegendKey val="0"/>
          <c:showVal val="1"/>
          <c:showCatName val="0"/>
          <c:showSerName val="0"/>
          <c:showPercent val="0"/>
          <c:showBubbleSize val="0"/>
        </c:dLbls>
        <c:gapWidth val="150"/>
        <c:overlap val="-23"/>
        <c:axId val="77929472"/>
        <c:axId val="77960320"/>
      </c:barChart>
      <c:catAx>
        <c:axId val="77929472"/>
        <c:scaling>
          <c:orientation val="minMax"/>
        </c:scaling>
        <c:delete val="0"/>
        <c:axPos val="b"/>
        <c:title>
          <c:tx>
            <c:rich>
              <a:bodyPr/>
              <a:lstStyle/>
              <a:p>
                <a:pPr>
                  <a:defRPr/>
                </a:pPr>
                <a:r>
                  <a:rPr lang="en-US" baseline="0"/>
                  <a:t>Duration of exposure (Days)</a:t>
                </a:r>
                <a:endParaRPr lang="en-US"/>
              </a:p>
            </c:rich>
          </c:tx>
          <c:overlay val="0"/>
        </c:title>
        <c:numFmt formatCode="General" sourceLinked="1"/>
        <c:majorTickMark val="out"/>
        <c:minorTickMark val="none"/>
        <c:tickLblPos val="nextTo"/>
        <c:spPr>
          <a:ln>
            <a:solidFill>
              <a:schemeClr val="tx1"/>
            </a:solidFill>
          </a:ln>
        </c:spPr>
        <c:crossAx val="77960320"/>
        <c:crosses val="autoZero"/>
        <c:auto val="1"/>
        <c:lblAlgn val="ctr"/>
        <c:lblOffset val="100"/>
        <c:noMultiLvlLbl val="0"/>
      </c:catAx>
      <c:valAx>
        <c:axId val="77960320"/>
        <c:scaling>
          <c:orientation val="minMax"/>
        </c:scaling>
        <c:delete val="0"/>
        <c:axPos val="l"/>
        <c:title>
          <c:tx>
            <c:rich>
              <a:bodyPr rot="-5400000" vert="horz"/>
              <a:lstStyle/>
              <a:p>
                <a:pPr>
                  <a:defRPr/>
                </a:pPr>
                <a:r>
                  <a:rPr lang="en-US"/>
                  <a:t>Residual compressive</a:t>
                </a:r>
                <a:r>
                  <a:rPr lang="en-US" baseline="0"/>
                  <a:t> strength (MPa)</a:t>
                </a:r>
                <a:endParaRPr lang="en-US"/>
              </a:p>
            </c:rich>
          </c:tx>
          <c:overlay val="0"/>
        </c:title>
        <c:numFmt formatCode="0.0" sourceLinked="1"/>
        <c:majorTickMark val="out"/>
        <c:minorTickMark val="none"/>
        <c:tickLblPos val="nextTo"/>
        <c:spPr>
          <a:ln>
            <a:solidFill>
              <a:schemeClr val="tx1"/>
            </a:solidFill>
          </a:ln>
        </c:spPr>
        <c:crossAx val="77929472"/>
        <c:crosses val="autoZero"/>
        <c:crossBetween val="between"/>
      </c:valAx>
      <c:spPr>
        <a:ln>
          <a:solidFill>
            <a:schemeClr val="tx1"/>
          </a:solidFill>
        </a:ln>
      </c:spPr>
    </c:plotArea>
    <c:legend>
      <c:legendPos val="r"/>
      <c:layout>
        <c:manualLayout>
          <c:xMode val="edge"/>
          <c:yMode val="edge"/>
          <c:x val="0.72896470392033064"/>
          <c:y val="9.422270057969373E-2"/>
          <c:w val="0.20082750072907554"/>
          <c:h val="0.12590343473252896"/>
        </c:manualLayout>
      </c:layout>
      <c:overlay val="0"/>
      <c:spPr>
        <a:ln>
          <a:solidFill>
            <a:schemeClr val="tx2">
              <a:lumMod val="40000"/>
              <a:lumOff val="60000"/>
            </a:schemeClr>
          </a:solidFill>
        </a:ln>
      </c:sp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19417994716558"/>
          <c:y val="3.1566669096741266E-2"/>
          <c:w val="0.79465231117991975"/>
          <c:h val="0.81871811023622043"/>
        </c:manualLayout>
      </c:layout>
      <c:barChart>
        <c:barDir val="col"/>
        <c:grouping val="clustered"/>
        <c:varyColors val="0"/>
        <c:ser>
          <c:idx val="1"/>
          <c:order val="0"/>
          <c:tx>
            <c:v>IMF</c:v>
          </c:tx>
          <c:spPr>
            <a:pattFill prst="dkUpDiag">
              <a:fgClr>
                <a:srgbClr val="FF0000"/>
              </a:fgClr>
              <a:bgClr>
                <a:srgbClr val="FFFFFF"/>
              </a:bgClr>
            </a:pattFill>
            <a:ln>
              <a:solidFill>
                <a:srgbClr val="FF0000"/>
              </a:solidFill>
            </a:ln>
          </c:spPr>
          <c:invertIfNegative val="0"/>
          <c:dLbls>
            <c:delete val="1"/>
          </c:dLbls>
          <c:errBars>
            <c:errBarType val="both"/>
            <c:errValType val="cust"/>
            <c:noEndCap val="0"/>
            <c:plus>
              <c:numRef>
                <c:f>Sheet1!$C$18:$C$21</c:f>
                <c:numCache>
                  <c:formatCode>General</c:formatCode>
                  <c:ptCount val="4"/>
                </c:numCache>
              </c:numRef>
            </c:plus>
            <c:minus>
              <c:numRef>
                <c:f>Sheet1!$C$18:$C$21</c:f>
                <c:numCache>
                  <c:formatCode>General</c:formatCode>
                  <c:ptCount val="4"/>
                </c:numCache>
              </c:numRef>
            </c:minus>
          </c:errBars>
          <c:cat>
            <c:numRef>
              <c:f>Sheet1!$B$8:$B$11</c:f>
              <c:numCache>
                <c:formatCode>General</c:formatCode>
                <c:ptCount val="4"/>
                <c:pt idx="0">
                  <c:v>60</c:v>
                </c:pt>
                <c:pt idx="1">
                  <c:v>90</c:v>
                </c:pt>
                <c:pt idx="2">
                  <c:v>120</c:v>
                </c:pt>
                <c:pt idx="3">
                  <c:v>180</c:v>
                </c:pt>
              </c:numCache>
            </c:numRef>
          </c:cat>
          <c:val>
            <c:numRef>
              <c:f>Sheet1!$C$8:$C$11</c:f>
              <c:numCache>
                <c:formatCode>0.0</c:formatCode>
                <c:ptCount val="4"/>
                <c:pt idx="0">
                  <c:v>2.1</c:v>
                </c:pt>
                <c:pt idx="1">
                  <c:v>2.9</c:v>
                </c:pt>
                <c:pt idx="2">
                  <c:v>4.5</c:v>
                </c:pt>
                <c:pt idx="3">
                  <c:v>6</c:v>
                </c:pt>
              </c:numCache>
            </c:numRef>
          </c:val>
          <c:extLst>
            <c:ext xmlns:c16="http://schemas.microsoft.com/office/drawing/2014/chart" uri="{C3380CC4-5D6E-409C-BE32-E72D297353CC}">
              <c16:uniqueId val="{00000000-B335-4FE7-980B-6807D64B4405}"/>
            </c:ext>
          </c:extLst>
        </c:ser>
        <c:ser>
          <c:idx val="2"/>
          <c:order val="1"/>
          <c:tx>
            <c:v>CPF</c:v>
          </c:tx>
          <c:spPr>
            <a:pattFill prst="narHorz">
              <a:fgClr>
                <a:srgbClr val="0070C0"/>
              </a:fgClr>
              <a:bgClr>
                <a:srgbClr val="FFFFFF"/>
              </a:bgClr>
            </a:pattFill>
            <a:ln>
              <a:solidFill>
                <a:schemeClr val="accent1"/>
              </a:solidFill>
            </a:ln>
          </c:spPr>
          <c:invertIfNegative val="0"/>
          <c:dLbls>
            <c:delete val="1"/>
          </c:dLbls>
          <c:errBars>
            <c:errBarType val="both"/>
            <c:errValType val="cust"/>
            <c:noEndCap val="0"/>
            <c:plus>
              <c:numRef>
                <c:f>Sheet1!$D$18:$D$21</c:f>
                <c:numCache>
                  <c:formatCode>General</c:formatCode>
                  <c:ptCount val="4"/>
                </c:numCache>
              </c:numRef>
            </c:plus>
            <c:minus>
              <c:numRef>
                <c:f>Sheet1!$D$18:$D$21</c:f>
                <c:numCache>
                  <c:formatCode>General</c:formatCode>
                  <c:ptCount val="4"/>
                </c:numCache>
              </c:numRef>
            </c:minus>
          </c:errBars>
          <c:cat>
            <c:numRef>
              <c:f>Sheet1!$B$8:$B$11</c:f>
              <c:numCache>
                <c:formatCode>General</c:formatCode>
                <c:ptCount val="4"/>
                <c:pt idx="0">
                  <c:v>60</c:v>
                </c:pt>
                <c:pt idx="1">
                  <c:v>90</c:v>
                </c:pt>
                <c:pt idx="2">
                  <c:v>120</c:v>
                </c:pt>
                <c:pt idx="3">
                  <c:v>180</c:v>
                </c:pt>
              </c:numCache>
            </c:numRef>
          </c:cat>
          <c:val>
            <c:numRef>
              <c:f>Sheet1!$D$8:$D$11</c:f>
              <c:numCache>
                <c:formatCode>0.0</c:formatCode>
                <c:ptCount val="4"/>
                <c:pt idx="0">
                  <c:v>1.2</c:v>
                </c:pt>
                <c:pt idx="1">
                  <c:v>1.9</c:v>
                </c:pt>
                <c:pt idx="2">
                  <c:v>2.8</c:v>
                </c:pt>
                <c:pt idx="3">
                  <c:v>3.8</c:v>
                </c:pt>
              </c:numCache>
            </c:numRef>
          </c:val>
          <c:extLst>
            <c:ext xmlns:c16="http://schemas.microsoft.com/office/drawing/2014/chart" uri="{C3380CC4-5D6E-409C-BE32-E72D297353CC}">
              <c16:uniqueId val="{00000001-B335-4FE7-980B-6807D64B4405}"/>
            </c:ext>
          </c:extLst>
        </c:ser>
        <c:dLbls>
          <c:showLegendKey val="0"/>
          <c:showVal val="1"/>
          <c:showCatName val="0"/>
          <c:showSerName val="0"/>
          <c:showPercent val="0"/>
          <c:showBubbleSize val="0"/>
        </c:dLbls>
        <c:gapWidth val="150"/>
        <c:overlap val="-21"/>
        <c:axId val="77561216"/>
        <c:axId val="77600256"/>
      </c:barChart>
      <c:catAx>
        <c:axId val="77561216"/>
        <c:scaling>
          <c:orientation val="minMax"/>
        </c:scaling>
        <c:delete val="0"/>
        <c:axPos val="b"/>
        <c:title>
          <c:tx>
            <c:rich>
              <a:bodyPr/>
              <a:lstStyle/>
              <a:p>
                <a:pPr>
                  <a:defRPr/>
                </a:pPr>
                <a:r>
                  <a:rPr lang="en-US"/>
                  <a:t>Duration of exposure (Days)</a:t>
                </a:r>
              </a:p>
            </c:rich>
          </c:tx>
          <c:overlay val="0"/>
        </c:title>
        <c:numFmt formatCode="General" sourceLinked="1"/>
        <c:majorTickMark val="out"/>
        <c:minorTickMark val="none"/>
        <c:tickLblPos val="nextTo"/>
        <c:spPr>
          <a:ln>
            <a:solidFill>
              <a:schemeClr val="tx1"/>
            </a:solidFill>
          </a:ln>
        </c:spPr>
        <c:crossAx val="77600256"/>
        <c:crosses val="autoZero"/>
        <c:auto val="1"/>
        <c:lblAlgn val="ctr"/>
        <c:lblOffset val="100"/>
        <c:noMultiLvlLbl val="0"/>
      </c:catAx>
      <c:valAx>
        <c:axId val="77600256"/>
        <c:scaling>
          <c:orientation val="minMax"/>
        </c:scaling>
        <c:delete val="0"/>
        <c:axPos val="l"/>
        <c:title>
          <c:tx>
            <c:rich>
              <a:bodyPr rot="-5400000" vert="horz"/>
              <a:lstStyle/>
              <a:p>
                <a:pPr>
                  <a:defRPr/>
                </a:pPr>
                <a:r>
                  <a:rPr lang="en-US"/>
                  <a:t>Weight loss (%)</a:t>
                </a:r>
              </a:p>
            </c:rich>
          </c:tx>
          <c:overlay val="0"/>
        </c:title>
        <c:numFmt formatCode="0.0" sourceLinked="1"/>
        <c:majorTickMark val="out"/>
        <c:minorTickMark val="none"/>
        <c:tickLblPos val="nextTo"/>
        <c:spPr>
          <a:ln>
            <a:solidFill>
              <a:schemeClr val="tx1"/>
            </a:solidFill>
          </a:ln>
        </c:spPr>
        <c:crossAx val="77561216"/>
        <c:crosses val="autoZero"/>
        <c:crossBetween val="between"/>
      </c:valAx>
      <c:spPr>
        <a:ln>
          <a:solidFill>
            <a:schemeClr val="tx1"/>
          </a:solidFill>
        </a:ln>
      </c:spPr>
    </c:plotArea>
    <c:legend>
      <c:legendPos val="r"/>
      <c:layout>
        <c:manualLayout>
          <c:xMode val="edge"/>
          <c:yMode val="edge"/>
          <c:x val="0.13561242344706914"/>
          <c:y val="6.7783377077865331E-2"/>
          <c:w val="0.29772090988626454"/>
          <c:h val="0.10280673616680035"/>
        </c:manualLayout>
      </c:layout>
      <c:overlay val="0"/>
      <c:spPr>
        <a:ln>
          <a:solidFill>
            <a:schemeClr val="tx2">
              <a:lumMod val="40000"/>
              <a:lumOff val="60000"/>
            </a:schemeClr>
          </a:solidFill>
        </a:ln>
      </c:spPr>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033219301161532"/>
          <c:y val="2.7777881817126291E-2"/>
          <c:w val="0.78197424429581863"/>
          <c:h val="0.81032407407407459"/>
        </c:manualLayout>
      </c:layout>
      <c:barChart>
        <c:barDir val="col"/>
        <c:grouping val="clustered"/>
        <c:varyColors val="0"/>
        <c:ser>
          <c:idx val="1"/>
          <c:order val="0"/>
          <c:tx>
            <c:v>IMF</c:v>
          </c:tx>
          <c:spPr>
            <a:pattFill prst="dkUpDiag">
              <a:fgClr>
                <a:srgbClr val="FF0000"/>
              </a:fgClr>
              <a:bgClr>
                <a:srgbClr val="FFFFFF"/>
              </a:bgClr>
            </a:pattFill>
            <a:ln>
              <a:solidFill>
                <a:srgbClr val="FF0000"/>
              </a:solidFill>
            </a:ln>
          </c:spPr>
          <c:invertIfNegative val="0"/>
          <c:dLbls>
            <c:delete val="1"/>
          </c:dLbls>
          <c:cat>
            <c:numRef>
              <c:f>Sheet1!$B$25:$B$28</c:f>
              <c:numCache>
                <c:formatCode>General</c:formatCode>
                <c:ptCount val="4"/>
                <c:pt idx="0">
                  <c:v>60</c:v>
                </c:pt>
                <c:pt idx="1">
                  <c:v>90</c:v>
                </c:pt>
                <c:pt idx="2">
                  <c:v>120</c:v>
                </c:pt>
                <c:pt idx="3">
                  <c:v>180</c:v>
                </c:pt>
              </c:numCache>
            </c:numRef>
          </c:cat>
          <c:val>
            <c:numRef>
              <c:f>Sheet1!$C$25:$C$28</c:f>
              <c:numCache>
                <c:formatCode>0.0</c:formatCode>
                <c:ptCount val="4"/>
                <c:pt idx="0">
                  <c:v>30.8</c:v>
                </c:pt>
                <c:pt idx="1">
                  <c:v>28</c:v>
                </c:pt>
                <c:pt idx="2">
                  <c:v>25.1</c:v>
                </c:pt>
                <c:pt idx="3">
                  <c:v>20.3</c:v>
                </c:pt>
              </c:numCache>
            </c:numRef>
          </c:val>
          <c:extLst>
            <c:ext xmlns:c16="http://schemas.microsoft.com/office/drawing/2014/chart" uri="{C3380CC4-5D6E-409C-BE32-E72D297353CC}">
              <c16:uniqueId val="{00000000-1EDD-4C4D-B3F8-46C25DC9AB94}"/>
            </c:ext>
          </c:extLst>
        </c:ser>
        <c:ser>
          <c:idx val="2"/>
          <c:order val="1"/>
          <c:tx>
            <c:v>CPF</c:v>
          </c:tx>
          <c:spPr>
            <a:pattFill prst="narHorz">
              <a:fgClr>
                <a:srgbClr val="4F81BD"/>
              </a:fgClr>
              <a:bgClr>
                <a:srgbClr val="FFFFFF"/>
              </a:bgClr>
            </a:pattFill>
            <a:ln>
              <a:solidFill>
                <a:schemeClr val="accent1"/>
              </a:solidFill>
            </a:ln>
          </c:spPr>
          <c:invertIfNegative val="0"/>
          <c:dLbls>
            <c:delete val="1"/>
          </c:dLbls>
          <c:cat>
            <c:numRef>
              <c:f>Sheet1!$B$25:$B$28</c:f>
              <c:numCache>
                <c:formatCode>General</c:formatCode>
                <c:ptCount val="4"/>
                <c:pt idx="0">
                  <c:v>60</c:v>
                </c:pt>
                <c:pt idx="1">
                  <c:v>90</c:v>
                </c:pt>
                <c:pt idx="2">
                  <c:v>120</c:v>
                </c:pt>
                <c:pt idx="3">
                  <c:v>180</c:v>
                </c:pt>
              </c:numCache>
            </c:numRef>
          </c:cat>
          <c:val>
            <c:numRef>
              <c:f>Sheet1!$D$25:$D$28</c:f>
              <c:numCache>
                <c:formatCode>0.0</c:formatCode>
                <c:ptCount val="4"/>
                <c:pt idx="0">
                  <c:v>33.200000000000003</c:v>
                </c:pt>
                <c:pt idx="1">
                  <c:v>31.3</c:v>
                </c:pt>
                <c:pt idx="2">
                  <c:v>28.6</c:v>
                </c:pt>
                <c:pt idx="3">
                  <c:v>26.1</c:v>
                </c:pt>
              </c:numCache>
            </c:numRef>
          </c:val>
          <c:extLst>
            <c:ext xmlns:c16="http://schemas.microsoft.com/office/drawing/2014/chart" uri="{C3380CC4-5D6E-409C-BE32-E72D297353CC}">
              <c16:uniqueId val="{00000001-1EDD-4C4D-B3F8-46C25DC9AB94}"/>
            </c:ext>
          </c:extLst>
        </c:ser>
        <c:dLbls>
          <c:showLegendKey val="0"/>
          <c:showVal val="1"/>
          <c:showCatName val="0"/>
          <c:showSerName val="0"/>
          <c:showPercent val="0"/>
          <c:showBubbleSize val="0"/>
        </c:dLbls>
        <c:gapWidth val="150"/>
        <c:overlap val="-23"/>
        <c:axId val="77948032"/>
        <c:axId val="77949952"/>
      </c:barChart>
      <c:catAx>
        <c:axId val="77948032"/>
        <c:scaling>
          <c:orientation val="minMax"/>
        </c:scaling>
        <c:delete val="0"/>
        <c:axPos val="b"/>
        <c:title>
          <c:tx>
            <c:rich>
              <a:bodyPr/>
              <a:lstStyle/>
              <a:p>
                <a:pPr>
                  <a:defRPr/>
                </a:pPr>
                <a:r>
                  <a:rPr lang="en-US" baseline="0"/>
                  <a:t>Duration of exposure (Days)</a:t>
                </a:r>
                <a:endParaRPr lang="en-US"/>
              </a:p>
            </c:rich>
          </c:tx>
          <c:overlay val="0"/>
        </c:title>
        <c:numFmt formatCode="General" sourceLinked="1"/>
        <c:majorTickMark val="out"/>
        <c:minorTickMark val="none"/>
        <c:tickLblPos val="nextTo"/>
        <c:spPr>
          <a:ln>
            <a:solidFill>
              <a:schemeClr val="tx1"/>
            </a:solidFill>
          </a:ln>
        </c:spPr>
        <c:crossAx val="77949952"/>
        <c:crosses val="autoZero"/>
        <c:auto val="1"/>
        <c:lblAlgn val="ctr"/>
        <c:lblOffset val="100"/>
        <c:noMultiLvlLbl val="0"/>
      </c:catAx>
      <c:valAx>
        <c:axId val="77949952"/>
        <c:scaling>
          <c:orientation val="minMax"/>
        </c:scaling>
        <c:delete val="0"/>
        <c:axPos val="l"/>
        <c:title>
          <c:tx>
            <c:rich>
              <a:bodyPr rot="-5400000" vert="horz"/>
              <a:lstStyle/>
              <a:p>
                <a:pPr>
                  <a:defRPr/>
                </a:pPr>
                <a:r>
                  <a:rPr lang="en-US"/>
                  <a:t>Residual compressive</a:t>
                </a:r>
                <a:r>
                  <a:rPr lang="en-US" baseline="0"/>
                  <a:t> strength (MPa)</a:t>
                </a:r>
                <a:endParaRPr lang="en-US"/>
              </a:p>
            </c:rich>
          </c:tx>
          <c:overlay val="0"/>
        </c:title>
        <c:numFmt formatCode="0.0" sourceLinked="1"/>
        <c:majorTickMark val="out"/>
        <c:minorTickMark val="none"/>
        <c:tickLblPos val="nextTo"/>
        <c:spPr>
          <a:ln>
            <a:solidFill>
              <a:schemeClr val="tx1"/>
            </a:solidFill>
          </a:ln>
        </c:spPr>
        <c:crossAx val="77948032"/>
        <c:crosses val="autoZero"/>
        <c:crossBetween val="between"/>
      </c:valAx>
      <c:spPr>
        <a:ln>
          <a:solidFill>
            <a:schemeClr val="tx1"/>
          </a:solidFill>
        </a:ln>
      </c:spPr>
    </c:plotArea>
    <c:legend>
      <c:legendPos val="r"/>
      <c:layout>
        <c:manualLayout>
          <c:xMode val="edge"/>
          <c:yMode val="edge"/>
          <c:x val="0.60754044489429204"/>
          <c:y val="6.7401018004217342E-2"/>
          <c:w val="0.28471584227890895"/>
          <c:h val="7.5279127168128027E-2"/>
        </c:manualLayout>
      </c:layout>
      <c:overlay val="0"/>
      <c:spPr>
        <a:ln>
          <a:solidFill>
            <a:schemeClr val="tx2">
              <a:lumMod val="40000"/>
              <a:lumOff val="60000"/>
            </a:schemeClr>
          </a:solidFill>
        </a:ln>
      </c:spPr>
    </c:legend>
    <c:plotVisOnly val="1"/>
    <c:dispBlanksAs val="gap"/>
    <c:showDLblsOverMax val="0"/>
  </c:chart>
  <c:spPr>
    <a:ln>
      <a:solidFill>
        <a:schemeClr val="accent1">
          <a:lumMod val="60000"/>
          <a:lumOff val="40000"/>
        </a:schemeClr>
      </a:solid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F077C-40CA-45FC-A2AB-E1F641797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1127</TotalTime>
  <Pages>11</Pages>
  <Words>2707</Words>
  <Characters>15430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dc:creator>
  <cp:lastModifiedBy>Kandasamy S</cp:lastModifiedBy>
  <cp:revision>248</cp:revision>
  <cp:lastPrinted>2023-08-11T04:56:00Z</cp:lastPrinted>
  <dcterms:created xsi:type="dcterms:W3CDTF">2016-01-29T17:01:00Z</dcterms:created>
  <dcterms:modified xsi:type="dcterms:W3CDTF">2023-08-29T15:07:00Z</dcterms:modified>
</cp:coreProperties>
</file>