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6B60" w:rsidRPr="00AA28A4" w:rsidRDefault="009B4A12" w:rsidP="00AA28A4">
      <w:pPr>
        <w:spacing w:after="0" w:line="360" w:lineRule="auto"/>
        <w:jc w:val="center"/>
        <w:rPr>
          <w:rFonts w:ascii="Times New Roman" w:hAnsi="Times New Roman"/>
          <w:bCs/>
          <w:i/>
          <w:iCs/>
          <w:sz w:val="24"/>
          <w:szCs w:val="24"/>
        </w:rPr>
      </w:pPr>
      <w:r w:rsidRPr="00AA28A4">
        <w:rPr>
          <w:rFonts w:ascii="Times New Roman" w:hAnsi="Times New Roman"/>
          <w:b/>
          <w:bCs/>
          <w:sz w:val="24"/>
          <w:szCs w:val="24"/>
        </w:rPr>
        <w:t>AN EVALUATION OF THE BIOACTIVITIES OF SILVER NANOPARTICLES SYNTHESIZED FROM RED MARINE MACROALGAE</w:t>
      </w:r>
    </w:p>
    <w:p w:rsidR="00181936" w:rsidRPr="00AA28A4" w:rsidRDefault="009B4A12" w:rsidP="00AA28A4">
      <w:pPr>
        <w:spacing w:after="0" w:line="360" w:lineRule="auto"/>
        <w:jc w:val="both"/>
        <w:rPr>
          <w:rFonts w:ascii="Times New Roman" w:eastAsia="Times New Roman" w:hAnsi="Times New Roman"/>
          <w:iCs/>
          <w:color w:val="000000" w:themeColor="text1"/>
          <w:sz w:val="24"/>
          <w:szCs w:val="24"/>
          <w:vertAlign w:val="superscript"/>
        </w:rPr>
      </w:pPr>
      <w:r w:rsidRPr="00AA28A4">
        <w:rPr>
          <w:rFonts w:ascii="Times New Roman" w:eastAsia="Times New Roman" w:hAnsi="Times New Roman"/>
          <w:iCs/>
          <w:color w:val="000000" w:themeColor="text1"/>
          <w:sz w:val="24"/>
          <w:szCs w:val="24"/>
        </w:rPr>
        <w:t xml:space="preserve">Govindan </w:t>
      </w:r>
      <w:r w:rsidR="00932DC2" w:rsidRPr="00AA28A4">
        <w:rPr>
          <w:rFonts w:ascii="Times New Roman" w:eastAsia="Times New Roman" w:hAnsi="Times New Roman"/>
          <w:iCs/>
          <w:color w:val="000000" w:themeColor="text1"/>
          <w:sz w:val="24"/>
          <w:szCs w:val="24"/>
        </w:rPr>
        <w:t>Pothiaraj</w:t>
      </w:r>
      <w:r w:rsidR="007606FF" w:rsidRPr="00AA28A4">
        <w:rPr>
          <w:rFonts w:ascii="Times New Roman" w:eastAsia="Times New Roman" w:hAnsi="Times New Roman"/>
          <w:iCs/>
          <w:color w:val="000000" w:themeColor="text1"/>
          <w:sz w:val="24"/>
          <w:szCs w:val="24"/>
          <w:vertAlign w:val="superscript"/>
        </w:rPr>
        <w:t>1</w:t>
      </w:r>
      <w:r w:rsidR="00932DC2" w:rsidRPr="00AA28A4">
        <w:rPr>
          <w:rFonts w:ascii="Times New Roman" w:eastAsia="Times New Roman" w:hAnsi="Times New Roman"/>
          <w:iCs/>
          <w:color w:val="000000" w:themeColor="text1"/>
          <w:sz w:val="24"/>
          <w:szCs w:val="24"/>
        </w:rPr>
        <w:t>,</w:t>
      </w:r>
      <w:r w:rsidRPr="00AA28A4">
        <w:rPr>
          <w:rFonts w:ascii="Times New Roman" w:eastAsia="Times New Roman" w:hAnsi="Times New Roman"/>
          <w:iCs/>
          <w:color w:val="000000" w:themeColor="text1"/>
          <w:sz w:val="24"/>
          <w:szCs w:val="24"/>
        </w:rPr>
        <w:t xml:space="preserve"> </w:t>
      </w:r>
      <w:r w:rsidR="00A93ACA" w:rsidRPr="00AA28A4">
        <w:rPr>
          <w:rFonts w:ascii="Times New Roman" w:hAnsi="Times New Roman"/>
          <w:iCs/>
          <w:sz w:val="24"/>
          <w:szCs w:val="24"/>
        </w:rPr>
        <w:t>Murugan</w:t>
      </w:r>
      <w:r w:rsidRPr="00AA28A4">
        <w:rPr>
          <w:rFonts w:ascii="Times New Roman" w:hAnsi="Times New Roman"/>
          <w:iCs/>
          <w:sz w:val="24"/>
          <w:szCs w:val="24"/>
        </w:rPr>
        <w:t xml:space="preserve"> </w:t>
      </w:r>
      <w:r w:rsidR="00A93ACA" w:rsidRPr="00AA28A4">
        <w:rPr>
          <w:rFonts w:ascii="Times New Roman" w:hAnsi="Times New Roman"/>
          <w:iCs/>
          <w:sz w:val="24"/>
          <w:szCs w:val="24"/>
        </w:rPr>
        <w:t>Manoranjani</w:t>
      </w:r>
      <w:r w:rsidR="007606FF" w:rsidRPr="00AA28A4">
        <w:rPr>
          <w:rFonts w:ascii="Times New Roman" w:eastAsia="Times New Roman" w:hAnsi="Times New Roman"/>
          <w:iCs/>
          <w:color w:val="000000" w:themeColor="text1"/>
          <w:sz w:val="24"/>
          <w:szCs w:val="24"/>
          <w:vertAlign w:val="superscript"/>
        </w:rPr>
        <w:t>1</w:t>
      </w:r>
      <w:r w:rsidR="00A93ACA" w:rsidRPr="00AA28A4">
        <w:rPr>
          <w:rFonts w:ascii="Times New Roman" w:eastAsia="Times New Roman" w:hAnsi="Times New Roman"/>
          <w:iCs/>
          <w:color w:val="000000" w:themeColor="text1"/>
          <w:sz w:val="24"/>
          <w:szCs w:val="24"/>
        </w:rPr>
        <w:t>,</w:t>
      </w:r>
      <w:r w:rsidRPr="00AA28A4">
        <w:rPr>
          <w:rFonts w:ascii="Times New Roman" w:eastAsia="Times New Roman" w:hAnsi="Times New Roman"/>
          <w:iCs/>
          <w:color w:val="000000" w:themeColor="text1"/>
          <w:sz w:val="24"/>
          <w:szCs w:val="24"/>
        </w:rPr>
        <w:t xml:space="preserve"> </w:t>
      </w:r>
      <w:r w:rsidR="00A93ACA" w:rsidRPr="00AA28A4">
        <w:rPr>
          <w:rFonts w:ascii="Times New Roman" w:eastAsia="Times New Roman" w:hAnsi="Times New Roman"/>
          <w:color w:val="000000" w:themeColor="text1"/>
          <w:sz w:val="24"/>
          <w:szCs w:val="24"/>
          <w:lang w:val="en-IN"/>
        </w:rPr>
        <w:t>Sasikumar Pitchaikani</w:t>
      </w:r>
      <w:r w:rsidR="007606FF" w:rsidRPr="00AA28A4">
        <w:rPr>
          <w:rFonts w:ascii="Times New Roman" w:eastAsia="Times New Roman" w:hAnsi="Times New Roman"/>
          <w:color w:val="000000" w:themeColor="text1"/>
          <w:sz w:val="24"/>
          <w:szCs w:val="24"/>
          <w:vertAlign w:val="superscript"/>
          <w:lang w:val="en-IN"/>
        </w:rPr>
        <w:t>1</w:t>
      </w:r>
      <w:r w:rsidR="00A93ACA" w:rsidRPr="00AA28A4">
        <w:rPr>
          <w:rFonts w:ascii="Times New Roman" w:eastAsia="Times New Roman" w:hAnsi="Times New Roman"/>
          <w:iCs/>
          <w:color w:val="000000" w:themeColor="text1"/>
          <w:sz w:val="24"/>
          <w:szCs w:val="24"/>
        </w:rPr>
        <w:t>, Premavathi</w:t>
      </w:r>
      <w:r w:rsidRPr="00AA28A4">
        <w:rPr>
          <w:rFonts w:ascii="Times New Roman" w:eastAsia="Times New Roman" w:hAnsi="Times New Roman"/>
          <w:iCs/>
          <w:color w:val="000000" w:themeColor="text1"/>
          <w:sz w:val="24"/>
          <w:szCs w:val="24"/>
        </w:rPr>
        <w:t xml:space="preserve"> </w:t>
      </w:r>
      <w:r w:rsidR="007606FF" w:rsidRPr="00AA28A4">
        <w:rPr>
          <w:rFonts w:ascii="Times New Roman" w:eastAsia="Times New Roman" w:hAnsi="Times New Roman"/>
          <w:iCs/>
          <w:color w:val="000000" w:themeColor="text1"/>
          <w:sz w:val="24"/>
          <w:szCs w:val="24"/>
        </w:rPr>
        <w:t>V</w:t>
      </w:r>
      <w:r w:rsidR="00A93ACA" w:rsidRPr="00AA28A4">
        <w:rPr>
          <w:rFonts w:ascii="Times New Roman" w:eastAsia="Times New Roman" w:hAnsi="Times New Roman"/>
          <w:iCs/>
          <w:color w:val="000000" w:themeColor="text1"/>
          <w:sz w:val="24"/>
          <w:szCs w:val="24"/>
        </w:rPr>
        <w:t>enkatachalam</w:t>
      </w:r>
      <w:r w:rsidR="007606FF" w:rsidRPr="00AA28A4">
        <w:rPr>
          <w:rFonts w:ascii="Times New Roman" w:eastAsia="Times New Roman" w:hAnsi="Times New Roman"/>
          <w:iCs/>
          <w:color w:val="000000" w:themeColor="text1"/>
          <w:sz w:val="24"/>
          <w:szCs w:val="24"/>
          <w:vertAlign w:val="superscript"/>
        </w:rPr>
        <w:t>1</w:t>
      </w:r>
      <w:r w:rsidR="00A93ACA" w:rsidRPr="00AA28A4">
        <w:rPr>
          <w:rFonts w:ascii="Times New Roman" w:eastAsia="Times New Roman" w:hAnsi="Times New Roman"/>
          <w:iCs/>
          <w:color w:val="000000" w:themeColor="text1"/>
          <w:sz w:val="24"/>
          <w:szCs w:val="24"/>
        </w:rPr>
        <w:t xml:space="preserve">, </w:t>
      </w:r>
      <w:r w:rsidRPr="00AA28A4">
        <w:rPr>
          <w:rFonts w:ascii="Times New Roman" w:hAnsi="Times New Roman"/>
          <w:sz w:val="24"/>
          <w:szCs w:val="24"/>
        </w:rPr>
        <w:fldChar w:fldCharType="begin"/>
      </w:r>
      <w:r w:rsidRPr="00AA28A4">
        <w:rPr>
          <w:rFonts w:ascii="Times New Roman" w:hAnsi="Times New Roman"/>
          <w:sz w:val="24"/>
          <w:szCs w:val="24"/>
        </w:rPr>
        <w:instrText xml:space="preserve"> HYPERLINK "https://scholar.google.co.in/citations?user=phJdSckAAAAJ&amp;hl=en" </w:instrText>
      </w:r>
      <w:r w:rsidRPr="00AA28A4">
        <w:rPr>
          <w:rFonts w:ascii="Times New Roman" w:hAnsi="Times New Roman"/>
          <w:sz w:val="24"/>
          <w:szCs w:val="24"/>
        </w:rPr>
        <w:fldChar w:fldCharType="separate"/>
      </w:r>
      <w:r w:rsidRPr="00AA28A4">
        <w:rPr>
          <w:rFonts w:ascii="Times New Roman" w:hAnsi="Times New Roman"/>
          <w:bCs/>
          <w:iCs/>
          <w:color w:val="000000" w:themeColor="text1"/>
          <w:sz w:val="24"/>
          <w:szCs w:val="24"/>
        </w:rPr>
        <w:t>Konda Mani Saravanan</w:t>
      </w:r>
      <w:r w:rsidR="007606FF" w:rsidRPr="00AA28A4">
        <w:rPr>
          <w:rFonts w:ascii="Times New Roman" w:hAnsi="Times New Roman"/>
          <w:bCs/>
          <w:iCs/>
          <w:color w:val="000000" w:themeColor="text1"/>
          <w:sz w:val="24"/>
          <w:szCs w:val="24"/>
          <w:vertAlign w:val="superscript"/>
        </w:rPr>
        <w:t>2</w:t>
      </w:r>
      <w:r w:rsidR="00134C9D">
        <w:rPr>
          <w:rFonts w:ascii="Times New Roman" w:hAnsi="Times New Roman"/>
          <w:bCs/>
          <w:iCs/>
          <w:color w:val="000000" w:themeColor="text1"/>
          <w:sz w:val="24"/>
          <w:szCs w:val="24"/>
          <w:vertAlign w:val="superscript"/>
        </w:rPr>
        <w:t>*</w:t>
      </w:r>
      <w:r w:rsidRPr="00AA28A4">
        <w:rPr>
          <w:rFonts w:ascii="Times New Roman" w:hAnsi="Times New Roman"/>
          <w:bCs/>
          <w:iCs/>
          <w:color w:val="000000" w:themeColor="text1"/>
          <w:sz w:val="24"/>
          <w:szCs w:val="24"/>
        </w:rPr>
        <w:t xml:space="preserve">, </w:t>
      </w:r>
      <w:r w:rsidRPr="00AA28A4">
        <w:rPr>
          <w:rFonts w:ascii="Times New Roman" w:eastAsia="Times New Roman" w:hAnsi="Times New Roman"/>
          <w:iCs/>
          <w:color w:val="000000" w:themeColor="text1"/>
          <w:sz w:val="24"/>
          <w:szCs w:val="24"/>
        </w:rPr>
        <w:t>HarshavardhanShakila</w:t>
      </w:r>
      <w:r w:rsidR="007606FF" w:rsidRPr="00AA28A4">
        <w:rPr>
          <w:rFonts w:ascii="Times New Roman" w:eastAsia="Times New Roman" w:hAnsi="Times New Roman"/>
          <w:iCs/>
          <w:color w:val="000000" w:themeColor="text1"/>
          <w:sz w:val="24"/>
          <w:szCs w:val="24"/>
          <w:vertAlign w:val="superscript"/>
        </w:rPr>
        <w:t>1</w:t>
      </w:r>
      <w:r w:rsidRPr="00AA28A4">
        <w:rPr>
          <w:rFonts w:ascii="Times New Roman" w:eastAsia="Times New Roman" w:hAnsi="Times New Roman"/>
          <w:iCs/>
          <w:color w:val="000000" w:themeColor="text1"/>
          <w:sz w:val="24"/>
          <w:szCs w:val="24"/>
          <w:vertAlign w:val="superscript"/>
        </w:rPr>
        <w:t>*</w:t>
      </w:r>
    </w:p>
    <w:p w:rsidR="00181936" w:rsidRPr="00AA28A4" w:rsidRDefault="00181936" w:rsidP="00AA28A4">
      <w:pPr>
        <w:spacing w:after="0" w:line="360" w:lineRule="auto"/>
        <w:jc w:val="both"/>
        <w:rPr>
          <w:rFonts w:ascii="Times New Roman" w:hAnsi="Times New Roman"/>
          <w:color w:val="1A0DAB"/>
          <w:sz w:val="24"/>
          <w:szCs w:val="24"/>
          <w:shd w:val="clear" w:color="auto" w:fill="FFFFFF"/>
        </w:rPr>
      </w:pPr>
    </w:p>
    <w:p w:rsidR="00932DC2" w:rsidRPr="00AA28A4" w:rsidRDefault="009B4A12" w:rsidP="00AA28A4">
      <w:pPr>
        <w:spacing w:after="0" w:line="360" w:lineRule="auto"/>
        <w:jc w:val="both"/>
        <w:rPr>
          <w:rFonts w:ascii="Times New Roman" w:eastAsia="Times New Roman" w:hAnsi="Times New Roman"/>
          <w:b/>
          <w:iCs/>
          <w:color w:val="000000" w:themeColor="text1"/>
          <w:sz w:val="24"/>
          <w:szCs w:val="24"/>
          <w:vertAlign w:val="superscript"/>
        </w:rPr>
      </w:pPr>
      <w:r w:rsidRPr="00AA28A4">
        <w:rPr>
          <w:rFonts w:ascii="Times New Roman" w:hAnsi="Times New Roman"/>
          <w:sz w:val="24"/>
          <w:szCs w:val="24"/>
        </w:rPr>
        <w:fldChar w:fldCharType="end"/>
      </w:r>
    </w:p>
    <w:p w:rsidR="00932DC2" w:rsidRPr="00AA28A4" w:rsidRDefault="009B4A12" w:rsidP="00AA28A4">
      <w:pPr>
        <w:spacing w:after="0" w:line="360" w:lineRule="auto"/>
        <w:jc w:val="both"/>
        <w:rPr>
          <w:rFonts w:ascii="Times New Roman" w:eastAsia="Times New Roman" w:hAnsi="Times New Roman"/>
          <w:bCs/>
          <w:iCs/>
          <w:color w:val="000000" w:themeColor="text1"/>
          <w:sz w:val="24"/>
          <w:szCs w:val="24"/>
        </w:rPr>
      </w:pPr>
      <w:r w:rsidRPr="00AA28A4">
        <w:rPr>
          <w:rFonts w:ascii="Times New Roman" w:eastAsia="Times New Roman" w:hAnsi="Times New Roman"/>
          <w:bCs/>
          <w:iCs/>
          <w:color w:val="000000" w:themeColor="text1"/>
          <w:sz w:val="24"/>
          <w:szCs w:val="24"/>
          <w:vertAlign w:val="superscript"/>
        </w:rPr>
        <w:t>1</w:t>
      </w:r>
      <w:r w:rsidRPr="00AA28A4">
        <w:rPr>
          <w:rFonts w:ascii="Times New Roman" w:eastAsia="Times New Roman" w:hAnsi="Times New Roman"/>
          <w:bCs/>
          <w:iCs/>
          <w:color w:val="000000" w:themeColor="text1"/>
          <w:sz w:val="24"/>
          <w:szCs w:val="24"/>
        </w:rPr>
        <w:t>Department of Molecular Microbiology, School of Biotechnology, Madurai Kamaraj University, Madurai - 620021, Tamil Nadu, India.</w:t>
      </w:r>
    </w:p>
    <w:p w:rsidR="007606FF" w:rsidRPr="00AA28A4" w:rsidRDefault="00972E28" w:rsidP="00AA28A4">
      <w:pPr>
        <w:spacing w:after="0" w:line="360" w:lineRule="auto"/>
        <w:jc w:val="both"/>
        <w:rPr>
          <w:rFonts w:ascii="Times New Roman" w:eastAsia="Times New Roman" w:hAnsi="Times New Roman"/>
          <w:bCs/>
          <w:iCs/>
          <w:color w:val="000000" w:themeColor="text1"/>
          <w:sz w:val="24"/>
          <w:szCs w:val="24"/>
        </w:rPr>
      </w:pPr>
      <w:r w:rsidRPr="00972E28">
        <w:rPr>
          <w:rFonts w:ascii="Times New Roman" w:eastAsia="Times New Roman" w:hAnsi="Times New Roman"/>
          <w:bCs/>
          <w:iCs/>
          <w:color w:val="000000" w:themeColor="text1"/>
          <w:sz w:val="24"/>
          <w:szCs w:val="24"/>
          <w:vertAlign w:val="superscript"/>
        </w:rPr>
        <w:t>2</w:t>
      </w:r>
      <w:r w:rsidR="009B4A12" w:rsidRPr="00AA28A4">
        <w:rPr>
          <w:rFonts w:ascii="Times New Roman" w:eastAsia="Times New Roman" w:hAnsi="Times New Roman"/>
          <w:bCs/>
          <w:iCs/>
          <w:color w:val="000000" w:themeColor="text1"/>
          <w:sz w:val="24"/>
          <w:szCs w:val="24"/>
        </w:rPr>
        <w:t>Department of Biotechnology, Bharath Institute of Higher Education and Research, Chennai – 600073, Tamil Nadu, India.</w:t>
      </w:r>
    </w:p>
    <w:p w:rsidR="00FA4C8D" w:rsidRPr="00AA28A4" w:rsidRDefault="00FA4C8D" w:rsidP="00AA28A4">
      <w:pPr>
        <w:spacing w:after="0" w:line="360" w:lineRule="auto"/>
        <w:jc w:val="both"/>
        <w:rPr>
          <w:rFonts w:ascii="Times New Roman" w:hAnsi="Times New Roman"/>
          <w:b/>
          <w:sz w:val="24"/>
          <w:szCs w:val="24"/>
        </w:rPr>
      </w:pPr>
    </w:p>
    <w:p w:rsidR="006353AF" w:rsidRPr="00AA28A4" w:rsidRDefault="009B4A12" w:rsidP="00AA28A4">
      <w:pPr>
        <w:spacing w:after="0" w:line="360" w:lineRule="auto"/>
        <w:jc w:val="both"/>
        <w:rPr>
          <w:rFonts w:ascii="Times New Roman" w:hAnsi="Times New Roman"/>
          <w:sz w:val="24"/>
          <w:szCs w:val="24"/>
        </w:rPr>
      </w:pPr>
      <w:r w:rsidRPr="00AA28A4">
        <w:rPr>
          <w:rFonts w:ascii="Times New Roman" w:hAnsi="Times New Roman"/>
          <w:b/>
          <w:sz w:val="24"/>
          <w:szCs w:val="24"/>
        </w:rPr>
        <w:t>*Corresponding author</w:t>
      </w:r>
      <w:r w:rsidRPr="00AA28A4">
        <w:rPr>
          <w:rFonts w:ascii="Times New Roman" w:hAnsi="Times New Roman"/>
          <w:sz w:val="24"/>
          <w:szCs w:val="24"/>
        </w:rPr>
        <w:t xml:space="preserve">: </w:t>
      </w:r>
      <w:r w:rsidR="00134C9D" w:rsidRPr="00134C9D">
        <w:rPr>
          <w:rFonts w:ascii="Times New Roman" w:hAnsi="Times New Roman"/>
          <w:sz w:val="24"/>
          <w:szCs w:val="24"/>
        </w:rPr>
        <w:t>saravananbioinform@bharathuniv.ac.in</w:t>
      </w:r>
      <w:r w:rsidR="00134C9D">
        <w:rPr>
          <w:rFonts w:ascii="Times New Roman" w:hAnsi="Times New Roman"/>
          <w:sz w:val="24"/>
          <w:szCs w:val="24"/>
        </w:rPr>
        <w:t xml:space="preserve"> &amp; </w:t>
      </w:r>
      <w:hyperlink r:id="rId7" w:history="1">
        <w:r w:rsidR="00120D1C" w:rsidRPr="00AA28A4">
          <w:rPr>
            <w:rStyle w:val="Hyperlink"/>
            <w:rFonts w:ascii="Times New Roman" w:hAnsi="Times New Roman"/>
            <w:color w:val="000000" w:themeColor="text1"/>
            <w:sz w:val="24"/>
            <w:szCs w:val="24"/>
            <w:u w:val="none"/>
          </w:rPr>
          <w:t>mohanshakila@yahoo.co</w:t>
        </w:r>
        <w:bookmarkStart w:id="0" w:name="_GoBack"/>
        <w:bookmarkEnd w:id="0"/>
        <w:r w:rsidR="00120D1C" w:rsidRPr="00AA28A4">
          <w:rPr>
            <w:rStyle w:val="Hyperlink"/>
            <w:rFonts w:ascii="Times New Roman" w:hAnsi="Times New Roman"/>
            <w:color w:val="000000" w:themeColor="text1"/>
            <w:sz w:val="24"/>
            <w:szCs w:val="24"/>
            <w:u w:val="none"/>
          </w:rPr>
          <w:t>m</w:t>
        </w:r>
      </w:hyperlink>
    </w:p>
    <w:p w:rsidR="007606FF" w:rsidRPr="00AA28A4" w:rsidRDefault="007606FF" w:rsidP="00AA28A4">
      <w:pPr>
        <w:spacing w:after="0" w:line="360" w:lineRule="auto"/>
        <w:rPr>
          <w:rFonts w:ascii="Times New Roman" w:hAnsi="Times New Roman"/>
          <w:bCs/>
          <w:sz w:val="24"/>
          <w:szCs w:val="24"/>
        </w:rPr>
      </w:pPr>
    </w:p>
    <w:p w:rsidR="00004929" w:rsidRPr="00AA28A4" w:rsidRDefault="00004929" w:rsidP="00AA28A4">
      <w:pPr>
        <w:spacing w:after="0" w:line="360" w:lineRule="auto"/>
        <w:rPr>
          <w:rFonts w:ascii="Times New Roman" w:hAnsi="Times New Roman"/>
          <w:bCs/>
          <w:sz w:val="24"/>
          <w:szCs w:val="24"/>
        </w:rPr>
      </w:pPr>
    </w:p>
    <w:p w:rsidR="006353AF" w:rsidRPr="00AA28A4" w:rsidRDefault="009B4A12" w:rsidP="00AA28A4">
      <w:pPr>
        <w:spacing w:after="0" w:line="360" w:lineRule="auto"/>
        <w:rPr>
          <w:rFonts w:ascii="Times New Roman" w:hAnsi="Times New Roman"/>
          <w:b/>
          <w:bCs/>
          <w:sz w:val="24"/>
          <w:szCs w:val="24"/>
        </w:rPr>
      </w:pPr>
      <w:r w:rsidRPr="00AA28A4">
        <w:rPr>
          <w:rFonts w:ascii="Times New Roman" w:hAnsi="Times New Roman"/>
          <w:b/>
          <w:bCs/>
          <w:sz w:val="24"/>
          <w:szCs w:val="24"/>
        </w:rPr>
        <w:br w:type="page"/>
      </w:r>
    </w:p>
    <w:p w:rsidR="008A0355" w:rsidRPr="00AA28A4" w:rsidRDefault="009B4A12" w:rsidP="00AA28A4">
      <w:pPr>
        <w:spacing w:after="0" w:line="360" w:lineRule="auto"/>
        <w:jc w:val="both"/>
        <w:rPr>
          <w:rFonts w:ascii="Times New Roman" w:hAnsi="Times New Roman"/>
          <w:b/>
          <w:bCs/>
          <w:sz w:val="24"/>
          <w:szCs w:val="24"/>
        </w:rPr>
      </w:pPr>
      <w:r w:rsidRPr="00AA28A4">
        <w:rPr>
          <w:rFonts w:ascii="Times New Roman" w:hAnsi="Times New Roman"/>
          <w:b/>
          <w:bCs/>
          <w:sz w:val="24"/>
          <w:szCs w:val="24"/>
        </w:rPr>
        <w:lastRenderedPageBreak/>
        <w:t>ABSTRACT</w:t>
      </w:r>
    </w:p>
    <w:p w:rsidR="008A0355" w:rsidRDefault="009B4A12" w:rsidP="00AA28A4">
      <w:pPr>
        <w:spacing w:after="0" w:line="360" w:lineRule="auto"/>
        <w:ind w:firstLine="720"/>
        <w:jc w:val="both"/>
        <w:rPr>
          <w:rFonts w:ascii="Times New Roman" w:hAnsi="Times New Roman"/>
          <w:sz w:val="24"/>
          <w:szCs w:val="24"/>
        </w:rPr>
      </w:pPr>
      <w:r w:rsidRPr="00AA28A4">
        <w:rPr>
          <w:rFonts w:ascii="Times New Roman" w:hAnsi="Times New Roman"/>
          <w:sz w:val="24"/>
          <w:szCs w:val="24"/>
        </w:rPr>
        <w:t>Nanobiotechnology</w:t>
      </w:r>
      <w:r w:rsidR="005D19D0" w:rsidRPr="00AA28A4">
        <w:rPr>
          <w:rFonts w:ascii="Times New Roman" w:hAnsi="Times New Roman"/>
          <w:sz w:val="24"/>
          <w:szCs w:val="24"/>
        </w:rPr>
        <w:t xml:space="preserve"> is emerging as a swiftly expanding field, encompassing a range of scientific and technological applications to generate innovative materials at the nanoscale, typically ranging from 1 to 100 nanometers. In recent times, the </w:t>
      </w:r>
      <w:r w:rsidRPr="00AA28A4">
        <w:rPr>
          <w:rFonts w:ascii="Times New Roman" w:hAnsi="Times New Roman"/>
          <w:sz w:val="24"/>
          <w:szCs w:val="24"/>
        </w:rPr>
        <w:t>utilization</w:t>
      </w:r>
      <w:r w:rsidR="005D19D0" w:rsidRPr="00AA28A4">
        <w:rPr>
          <w:rFonts w:ascii="Times New Roman" w:hAnsi="Times New Roman"/>
          <w:sz w:val="24"/>
          <w:szCs w:val="24"/>
        </w:rPr>
        <w:t xml:space="preserve"> of seaweed extracts for producing silver nanoparticles has gained prominence. Additionally, these extracts possess a significant abundance of bioactive compounds. In this study, we present a comprehensive account of the synthesis of silver nanoparticles (</w:t>
      </w:r>
      <w:proofErr w:type="spellStart"/>
      <w:r w:rsidR="005D19D0" w:rsidRPr="00AA28A4">
        <w:rPr>
          <w:rFonts w:ascii="Times New Roman" w:hAnsi="Times New Roman"/>
          <w:sz w:val="24"/>
          <w:szCs w:val="24"/>
        </w:rPr>
        <w:t>AgNPs</w:t>
      </w:r>
      <w:proofErr w:type="spellEnd"/>
      <w:r w:rsidR="005D19D0" w:rsidRPr="00AA28A4">
        <w:rPr>
          <w:rFonts w:ascii="Times New Roman" w:hAnsi="Times New Roman"/>
          <w:sz w:val="24"/>
          <w:szCs w:val="24"/>
        </w:rPr>
        <w:t xml:space="preserve">) using an aqueous extract of </w:t>
      </w:r>
      <w:r w:rsidR="005D19D0" w:rsidRPr="00AA28A4">
        <w:rPr>
          <w:rFonts w:ascii="Times New Roman" w:hAnsi="Times New Roman"/>
          <w:i/>
          <w:sz w:val="24"/>
          <w:szCs w:val="24"/>
        </w:rPr>
        <w:t>Chondrococcus</w:t>
      </w:r>
      <w:r w:rsidRPr="00AA28A4">
        <w:rPr>
          <w:rFonts w:ascii="Times New Roman" w:hAnsi="Times New Roman"/>
          <w:i/>
          <w:sz w:val="24"/>
          <w:szCs w:val="24"/>
        </w:rPr>
        <w:t xml:space="preserve"> </w:t>
      </w:r>
      <w:r w:rsidR="005D19D0" w:rsidRPr="00AA28A4">
        <w:rPr>
          <w:rFonts w:ascii="Times New Roman" w:hAnsi="Times New Roman"/>
          <w:i/>
          <w:sz w:val="24"/>
          <w:szCs w:val="24"/>
        </w:rPr>
        <w:t>hornemannii</w:t>
      </w:r>
      <w:r w:rsidR="005D19D0" w:rsidRPr="00AA28A4">
        <w:rPr>
          <w:rFonts w:ascii="Times New Roman" w:hAnsi="Times New Roman"/>
          <w:sz w:val="24"/>
          <w:szCs w:val="24"/>
        </w:rPr>
        <w:t xml:space="preserve"> seaweed. The resulting nanoparticles were subjected to characterization using </w:t>
      </w:r>
      <w:r w:rsidR="00FA7AB5" w:rsidRPr="00AA28A4">
        <w:rPr>
          <w:rFonts w:ascii="Times New Roman" w:hAnsi="Times New Roman"/>
          <w:sz w:val="24"/>
          <w:szCs w:val="24"/>
        </w:rPr>
        <w:t>standard procedures</w:t>
      </w:r>
      <w:r w:rsidR="005D19D0" w:rsidRPr="00AA28A4">
        <w:rPr>
          <w:rFonts w:ascii="Times New Roman" w:hAnsi="Times New Roman"/>
          <w:sz w:val="24"/>
          <w:szCs w:val="24"/>
        </w:rPr>
        <w:t>.</w:t>
      </w:r>
      <w:r w:rsidR="004628D5" w:rsidRPr="00AA28A4">
        <w:rPr>
          <w:rFonts w:ascii="Times New Roman" w:hAnsi="Times New Roman"/>
          <w:sz w:val="24"/>
          <w:szCs w:val="24"/>
        </w:rPr>
        <w:t xml:space="preserve"> </w:t>
      </w:r>
      <w:r w:rsidR="005D19D0" w:rsidRPr="00AA28A4">
        <w:rPr>
          <w:rFonts w:ascii="Times New Roman" w:hAnsi="Times New Roman"/>
          <w:sz w:val="24"/>
          <w:szCs w:val="24"/>
        </w:rPr>
        <w:t xml:space="preserve">Additionally, the antibacterial properties of the </w:t>
      </w:r>
      <w:r w:rsidRPr="00AA28A4">
        <w:rPr>
          <w:rFonts w:ascii="Times New Roman" w:hAnsi="Times New Roman"/>
          <w:sz w:val="24"/>
          <w:szCs w:val="24"/>
        </w:rPr>
        <w:t>synthesized</w:t>
      </w:r>
      <w:r w:rsidR="005D19D0" w:rsidRPr="00AA28A4">
        <w:rPr>
          <w:rFonts w:ascii="Times New Roman" w:hAnsi="Times New Roman"/>
          <w:sz w:val="24"/>
          <w:szCs w:val="24"/>
        </w:rPr>
        <w:t xml:space="preserve"> nanoparticles were evaluated. The antimicrobial activity of an aqueous extract derived from </w:t>
      </w:r>
      <w:r w:rsidR="005D19D0" w:rsidRPr="00AA28A4">
        <w:rPr>
          <w:rFonts w:ascii="Times New Roman" w:hAnsi="Times New Roman"/>
          <w:i/>
          <w:sz w:val="24"/>
          <w:szCs w:val="24"/>
        </w:rPr>
        <w:t>C</w:t>
      </w:r>
      <w:r w:rsidR="00430D29" w:rsidRPr="00AA28A4">
        <w:rPr>
          <w:rFonts w:ascii="Times New Roman" w:hAnsi="Times New Roman"/>
          <w:i/>
          <w:sz w:val="24"/>
          <w:szCs w:val="24"/>
        </w:rPr>
        <w:t>.</w:t>
      </w:r>
      <w:r w:rsidRPr="00AA28A4">
        <w:rPr>
          <w:rFonts w:ascii="Times New Roman" w:hAnsi="Times New Roman"/>
          <w:i/>
          <w:sz w:val="24"/>
          <w:szCs w:val="24"/>
        </w:rPr>
        <w:t xml:space="preserve"> </w:t>
      </w:r>
      <w:proofErr w:type="spellStart"/>
      <w:r w:rsidR="005D19D0" w:rsidRPr="00AA28A4">
        <w:rPr>
          <w:rFonts w:ascii="Times New Roman" w:hAnsi="Times New Roman"/>
          <w:i/>
          <w:sz w:val="24"/>
          <w:szCs w:val="24"/>
        </w:rPr>
        <w:t>hornemannii</w:t>
      </w:r>
      <w:proofErr w:type="spellEnd"/>
      <w:r w:rsidR="005D19D0" w:rsidRPr="00AA28A4">
        <w:rPr>
          <w:rFonts w:ascii="Times New Roman" w:hAnsi="Times New Roman"/>
          <w:sz w:val="24"/>
          <w:szCs w:val="24"/>
        </w:rPr>
        <w:t xml:space="preserve"> seaweed was investigated. The AgNPs </w:t>
      </w:r>
      <w:r w:rsidR="004628D5" w:rsidRPr="00AA28A4">
        <w:rPr>
          <w:rFonts w:ascii="Times New Roman" w:hAnsi="Times New Roman"/>
          <w:sz w:val="24"/>
          <w:szCs w:val="24"/>
        </w:rPr>
        <w:t>synthesized</w:t>
      </w:r>
      <w:r w:rsidR="005D19D0" w:rsidRPr="00AA28A4">
        <w:rPr>
          <w:rFonts w:ascii="Times New Roman" w:hAnsi="Times New Roman"/>
          <w:sz w:val="24"/>
          <w:szCs w:val="24"/>
        </w:rPr>
        <w:t xml:space="preserve"> through biosynthesis demonstrated a significant antioxidant activity of 94% at a concentration of 100μg/mL. The antimicrobial efficacy of the AgNPs was evaluated against various bacterial pathogens, demonstrating significant activity.</w:t>
      </w:r>
      <w:r w:rsidR="004628D5" w:rsidRPr="00AA28A4">
        <w:rPr>
          <w:rFonts w:ascii="Times New Roman" w:hAnsi="Times New Roman"/>
          <w:sz w:val="24"/>
          <w:szCs w:val="24"/>
        </w:rPr>
        <w:t xml:space="preserve"> </w:t>
      </w:r>
      <w:r w:rsidR="005D19D0" w:rsidRPr="00AA28A4">
        <w:rPr>
          <w:rFonts w:ascii="Times New Roman" w:hAnsi="Times New Roman"/>
          <w:sz w:val="24"/>
          <w:szCs w:val="24"/>
        </w:rPr>
        <w:t xml:space="preserve">The </w:t>
      </w:r>
      <w:proofErr w:type="spellStart"/>
      <w:r w:rsidR="005D19D0" w:rsidRPr="00AA28A4">
        <w:rPr>
          <w:rFonts w:ascii="Times New Roman" w:hAnsi="Times New Roman"/>
          <w:sz w:val="24"/>
          <w:szCs w:val="24"/>
        </w:rPr>
        <w:t>AgNPs</w:t>
      </w:r>
      <w:proofErr w:type="spellEnd"/>
      <w:r w:rsidR="005D19D0" w:rsidRPr="00AA28A4">
        <w:rPr>
          <w:rFonts w:ascii="Times New Roman" w:hAnsi="Times New Roman"/>
          <w:sz w:val="24"/>
          <w:szCs w:val="24"/>
        </w:rPr>
        <w:t xml:space="preserve"> demonstrated noteworthy antibacterial</w:t>
      </w:r>
      <w:r w:rsidR="00FA7AB5" w:rsidRPr="00AA28A4">
        <w:rPr>
          <w:rFonts w:ascii="Times New Roman" w:hAnsi="Times New Roman"/>
          <w:sz w:val="24"/>
          <w:szCs w:val="24"/>
        </w:rPr>
        <w:t xml:space="preserve"> and</w:t>
      </w:r>
      <w:r w:rsidR="005D19D0" w:rsidRPr="00AA28A4">
        <w:rPr>
          <w:rFonts w:ascii="Times New Roman" w:hAnsi="Times New Roman"/>
          <w:sz w:val="24"/>
          <w:szCs w:val="24"/>
        </w:rPr>
        <w:t xml:space="preserve"> antioxidant</w:t>
      </w:r>
      <w:r w:rsidR="00FA7AB5" w:rsidRPr="00AA28A4">
        <w:rPr>
          <w:rFonts w:ascii="Times New Roman" w:hAnsi="Times New Roman"/>
          <w:sz w:val="24"/>
          <w:szCs w:val="24"/>
        </w:rPr>
        <w:t xml:space="preserve"> </w:t>
      </w:r>
      <w:r w:rsidR="005D19D0" w:rsidRPr="00AA28A4">
        <w:rPr>
          <w:rFonts w:ascii="Times New Roman" w:hAnsi="Times New Roman"/>
          <w:sz w:val="24"/>
          <w:szCs w:val="24"/>
        </w:rPr>
        <w:t xml:space="preserve">activities. </w:t>
      </w:r>
    </w:p>
    <w:p w:rsidR="00A01498" w:rsidRDefault="00A01498" w:rsidP="00A01498">
      <w:pPr>
        <w:spacing w:after="0" w:line="360" w:lineRule="auto"/>
        <w:jc w:val="both"/>
        <w:rPr>
          <w:rFonts w:ascii="Times New Roman" w:hAnsi="Times New Roman"/>
          <w:sz w:val="24"/>
          <w:szCs w:val="24"/>
        </w:rPr>
      </w:pPr>
    </w:p>
    <w:p w:rsidR="00A01498" w:rsidRPr="00E9799B" w:rsidRDefault="00A01498" w:rsidP="00A01498">
      <w:pPr>
        <w:spacing w:after="0" w:line="360" w:lineRule="auto"/>
        <w:jc w:val="both"/>
        <w:rPr>
          <w:rFonts w:ascii="Times New Roman" w:hAnsi="Times New Roman"/>
          <w:b/>
          <w:sz w:val="24"/>
          <w:szCs w:val="24"/>
        </w:rPr>
      </w:pPr>
      <w:r w:rsidRPr="00E9799B">
        <w:rPr>
          <w:rFonts w:ascii="Times New Roman" w:hAnsi="Times New Roman"/>
          <w:b/>
          <w:sz w:val="24"/>
          <w:szCs w:val="24"/>
        </w:rPr>
        <w:t>Keywords</w:t>
      </w:r>
    </w:p>
    <w:p w:rsidR="00A01498" w:rsidRPr="00AA28A4" w:rsidRDefault="00A01498" w:rsidP="00A01498">
      <w:pPr>
        <w:spacing w:after="0" w:line="360" w:lineRule="auto"/>
        <w:jc w:val="both"/>
        <w:rPr>
          <w:rFonts w:ascii="Times New Roman" w:hAnsi="Times New Roman"/>
          <w:sz w:val="24"/>
          <w:szCs w:val="24"/>
        </w:rPr>
      </w:pPr>
      <w:r>
        <w:rPr>
          <w:rFonts w:ascii="Times New Roman" w:hAnsi="Times New Roman"/>
          <w:sz w:val="24"/>
          <w:szCs w:val="24"/>
        </w:rPr>
        <w:t>Herbal medicine; Nanobiotechnology; Silver nanoparticles; Antimicrobial efficacy; Antioxidant</w:t>
      </w:r>
      <w:r w:rsidR="00CD6CB8">
        <w:rPr>
          <w:rFonts w:ascii="Times New Roman" w:hAnsi="Times New Roman"/>
          <w:sz w:val="24"/>
          <w:szCs w:val="24"/>
        </w:rPr>
        <w:t>.</w:t>
      </w:r>
    </w:p>
    <w:p w:rsidR="008A0355" w:rsidRPr="00AA28A4" w:rsidRDefault="008A0355" w:rsidP="00AA28A4">
      <w:pPr>
        <w:spacing w:after="0" w:line="360" w:lineRule="auto"/>
        <w:jc w:val="both"/>
        <w:rPr>
          <w:rFonts w:ascii="Times New Roman" w:hAnsi="Times New Roman"/>
          <w:sz w:val="24"/>
          <w:szCs w:val="24"/>
        </w:rPr>
      </w:pPr>
    </w:p>
    <w:p w:rsidR="002D0C28" w:rsidRPr="00AA28A4" w:rsidRDefault="009B4A12" w:rsidP="00AA28A4">
      <w:pPr>
        <w:spacing w:after="0" w:line="360" w:lineRule="auto"/>
        <w:rPr>
          <w:rFonts w:ascii="Times New Roman" w:hAnsi="Times New Roman"/>
          <w:b/>
          <w:sz w:val="24"/>
          <w:szCs w:val="24"/>
        </w:rPr>
      </w:pPr>
      <w:r w:rsidRPr="00AA28A4">
        <w:rPr>
          <w:rFonts w:ascii="Times New Roman" w:hAnsi="Times New Roman"/>
          <w:b/>
          <w:sz w:val="24"/>
          <w:szCs w:val="24"/>
        </w:rPr>
        <w:br w:type="page"/>
      </w:r>
    </w:p>
    <w:p w:rsidR="008A0355" w:rsidRPr="00AA28A4" w:rsidRDefault="009B4A12" w:rsidP="00AA28A4">
      <w:pPr>
        <w:spacing w:after="0" w:line="360" w:lineRule="auto"/>
        <w:jc w:val="both"/>
        <w:rPr>
          <w:rFonts w:ascii="Times New Roman" w:hAnsi="Times New Roman"/>
          <w:b/>
          <w:sz w:val="24"/>
          <w:szCs w:val="24"/>
        </w:rPr>
      </w:pPr>
      <w:r w:rsidRPr="00AA28A4">
        <w:rPr>
          <w:rFonts w:ascii="Times New Roman" w:hAnsi="Times New Roman"/>
          <w:b/>
          <w:sz w:val="24"/>
          <w:szCs w:val="24"/>
        </w:rPr>
        <w:lastRenderedPageBreak/>
        <w:t xml:space="preserve">1. </w:t>
      </w:r>
      <w:r w:rsidR="00385103" w:rsidRPr="00AA28A4">
        <w:rPr>
          <w:rFonts w:ascii="Times New Roman" w:hAnsi="Times New Roman"/>
          <w:b/>
          <w:sz w:val="24"/>
          <w:szCs w:val="24"/>
        </w:rPr>
        <w:t>BACKGROUND</w:t>
      </w:r>
    </w:p>
    <w:p w:rsidR="005D19D0" w:rsidRPr="00AA28A4" w:rsidRDefault="009B4A12" w:rsidP="00AA28A4">
      <w:pPr>
        <w:tabs>
          <w:tab w:val="left" w:pos="90"/>
        </w:tabs>
        <w:spacing w:after="0" w:line="360" w:lineRule="auto"/>
        <w:jc w:val="both"/>
        <w:rPr>
          <w:rFonts w:ascii="Times New Roman" w:hAnsi="Times New Roman"/>
          <w:sz w:val="24"/>
          <w:szCs w:val="24"/>
        </w:rPr>
      </w:pPr>
      <w:r w:rsidRPr="00AA28A4">
        <w:rPr>
          <w:rFonts w:ascii="Times New Roman" w:hAnsi="Times New Roman"/>
          <w:sz w:val="24"/>
          <w:szCs w:val="24"/>
        </w:rPr>
        <w:t>Seaweeds are a taxonomically distinct assemblage of macroalgae that inhabit various m</w:t>
      </w:r>
      <w:r w:rsidR="00CB475D" w:rsidRPr="00AA28A4">
        <w:rPr>
          <w:rFonts w:ascii="Times New Roman" w:hAnsi="Times New Roman"/>
          <w:sz w:val="24"/>
          <w:szCs w:val="24"/>
        </w:rPr>
        <w:t xml:space="preserve">arine and brackish ecosystems. </w:t>
      </w:r>
      <w:r w:rsidRPr="00AA28A4">
        <w:rPr>
          <w:rFonts w:ascii="Times New Roman" w:hAnsi="Times New Roman"/>
          <w:sz w:val="24"/>
          <w:szCs w:val="24"/>
        </w:rPr>
        <w:t xml:space="preserve">These organisms exhibit photosynthetic capabilities, cannot produce flowers, and typically adhere to a stable substrate </w:t>
      </w:r>
      <w:r w:rsidR="00FA4C8D" w:rsidRPr="00AA28A4">
        <w:rPr>
          <w:rFonts w:ascii="Times New Roman" w:hAnsi="Times New Roman"/>
          <w:sz w:val="24"/>
          <w:szCs w:val="24"/>
        </w:rPr>
        <w:t>characterized</w:t>
      </w:r>
      <w:r w:rsidRPr="00AA28A4">
        <w:rPr>
          <w:rFonts w:ascii="Times New Roman" w:hAnsi="Times New Roman"/>
          <w:sz w:val="24"/>
          <w:szCs w:val="24"/>
        </w:rPr>
        <w:t xml:space="preserve"> by low light availability of approximately 0.01%</w:t>
      </w:r>
      <w:r w:rsidR="00D80B21" w:rsidRPr="00AA28A4">
        <w:rPr>
          <w:rFonts w:ascii="Times New Roman" w:hAnsi="Times New Roman"/>
          <w:sz w:val="24"/>
          <w:szCs w:val="24"/>
        </w:rPr>
        <w:t xml:space="preserve"> </w:t>
      </w:r>
      <w:r w:rsidR="00D80B21" w:rsidRPr="00AA28A4">
        <w:rPr>
          <w:rFonts w:ascii="Times New Roman" w:hAnsi="Times New Roman"/>
          <w:sz w:val="24"/>
          <w:szCs w:val="24"/>
        </w:rPr>
        <w:fldChar w:fldCharType="begin" w:fldLock="1"/>
      </w:r>
      <w:r w:rsidR="00D80B21" w:rsidRPr="00AA28A4">
        <w:rPr>
          <w:rFonts w:ascii="Times New Roman" w:hAnsi="Times New Roman"/>
          <w:sz w:val="24"/>
          <w:szCs w:val="24"/>
        </w:rPr>
        <w:instrText>ADDIN CSL_CITATION {"citationItems":[{"id":"ITEM-1","itemData":{"DOI":"https://doi.org/10.1111/raq.12653","ISSN":"1753-5123","abstract":"Abstract Seaweeds are macroscopic forms of phylogenetically diverse assemblage of marine algae that grow in oceans, thriving among profoundly harsh environmental conditions. They are cultivated in many maritime nations primarily for edible applications; besides hydrocolloid extraction is the second largest domain of utility for this renewable biomass. The farming practices have been traditionally evolved in different Southeast Asian countries. Nevertheless, advancement in the knowledge about their life-history traits and control over reproduction has paved ways for commencement of large-scale commercial farming. Food and Agriculture Organisation of United Nations reported the availability of 35.8 million tons of seaweed biomass globally of which 97% accounted for farming. Although cultivation is on the rise due to relevant to social gains, epiphytic infestation, diseases and grazing have been identified as leading causes that result in substantially lower yield, deteriorated quality of product and skewed economics. Epiphytes may considerably impact the interaction of seaweed hosts with other beneficial communities also. Epidemiological studies in natural seaweed populations are scarce and this makes the understanding of the cross-talk involving host specificity, and their role obscure. An overview of the diversity of epiphytes, understanding of mechanism of action, factors responsible, chemistry behind their interaction will help in deciphering the solutions to overcome infestation. A comprehensive report of seaweed epiphytism, diseases and grazing from the aspects of host?epiphyte interaction and their resultant consequences is presented along with the studies on economic impacts. The role of multi-omics approaches in delineating seaweed epiphytic interactions is also included.","author":[{"dropping-particle":"","family":"Behera","given":"Durga Prasad","non-dropping-particle":"","parse-names":false,"suffix":""},{"dropping-particle":"","family":"Ingle","given":"Kapilkumar N","non-dropping-particle":"","parse-names":false,"suffix":""},{"dropping-particle":"","family":"Mathew","given":"Doniya Elze","non-dropping-particle":"","parse-names":false,"suffix":""},{"dropping-particle":"","family":"Dhimmar","given":"Asmita","non-dropping-particle":"","parse-names":false,"suffix":""},{"dropping-particle":"","family":"Sahastrabudhe","given":"Harshal","non-dropping-particle":"","parse-names":false,"suffix":""},{"dropping-particle":"","family":"Sahu","given":"Sunil Kumar","non-dropping-particle":"","parse-names":false,"suffix":""},{"dropping-particle":"","family":"Krishnan","given":"M Gobala","non-dropping-particle":"","parse-names":false,"suffix":""},{"dropping-particle":"","family":"Shinde","given":"Pramod. B","non-dropping-particle":"","parse-names":false,"suffix":""},{"dropping-particle":"","family":"Ganesan","given":"M","non-dropping-particle":"","parse-names":false,"suffix":""},{"dropping-particle":"","family":"Mantri","given":"Vaibhav. A","non-dropping-particle":"","parse-names":false,"suffix":""}],"container-title":"Reviews in Aquaculture","id":"ITEM-1","issue":"3","issued":{"date-parts":[["2022","6","1"]]},"note":"https://doi.org/10.1111/raq.12653","page":"1345-1370","publisher":"John Wiley &amp; Sons, Ltd","title":"Epiphytism, diseases and grazing in seaweed aquaculture: A comprehensive review","type":"article-journal","volume":"14"},"uris":["http://www.mendeley.com/documents/?uuid=bb917e60-5688-4a64-8d42-be6d5a455257"]}],"mendeley":{"formattedCitation":"(Behera et al., 2022)","plainTextFormattedCitation":"(Behera et al., 2022)","previouslyFormattedCitation":"(Behera et al., 2022)"},"properties":{"noteIndex":0},"schema":"https://github.com/citation-style-language/schema/raw/master/csl-citation.json"}</w:instrText>
      </w:r>
      <w:r w:rsidR="00D80B21" w:rsidRPr="00AA28A4">
        <w:rPr>
          <w:rFonts w:ascii="Times New Roman" w:hAnsi="Times New Roman"/>
          <w:sz w:val="24"/>
          <w:szCs w:val="24"/>
        </w:rPr>
        <w:fldChar w:fldCharType="separate"/>
      </w:r>
      <w:r w:rsidR="00D80B21" w:rsidRPr="00AA28A4">
        <w:rPr>
          <w:rFonts w:ascii="Times New Roman" w:hAnsi="Times New Roman"/>
          <w:noProof/>
          <w:sz w:val="24"/>
          <w:szCs w:val="24"/>
        </w:rPr>
        <w:t>(Behera et al., 2022)</w:t>
      </w:r>
      <w:r w:rsidR="00D80B21" w:rsidRPr="00AA28A4">
        <w:rPr>
          <w:rFonts w:ascii="Times New Roman" w:hAnsi="Times New Roman"/>
          <w:sz w:val="24"/>
          <w:szCs w:val="24"/>
        </w:rPr>
        <w:fldChar w:fldCharType="end"/>
      </w:r>
      <w:r w:rsidRPr="00AA28A4">
        <w:rPr>
          <w:rFonts w:ascii="Times New Roman" w:hAnsi="Times New Roman"/>
          <w:sz w:val="24"/>
          <w:szCs w:val="24"/>
        </w:rPr>
        <w:t xml:space="preserve">. Additionally, they demonstrate adaptability to challenging conditions such as the periphery of reefs, areas with turbulent waves, and intertidal zones. Seaweeds are </w:t>
      </w:r>
      <w:r w:rsidR="00FA4C8D" w:rsidRPr="00AA28A4">
        <w:rPr>
          <w:rFonts w:ascii="Times New Roman" w:hAnsi="Times New Roman"/>
          <w:sz w:val="24"/>
          <w:szCs w:val="24"/>
        </w:rPr>
        <w:t>categorized</w:t>
      </w:r>
      <w:r w:rsidRPr="00AA28A4">
        <w:rPr>
          <w:rFonts w:ascii="Times New Roman" w:hAnsi="Times New Roman"/>
          <w:sz w:val="24"/>
          <w:szCs w:val="24"/>
        </w:rPr>
        <w:t xml:space="preserve"> into three distinct groups, namely red (Rhodophyta), brown (Phaeophyta), and green (Chlorophyta), based on their biochemical and cellular characteristics</w:t>
      </w:r>
      <w:r w:rsidR="00D80B21" w:rsidRPr="00AA28A4">
        <w:rPr>
          <w:rFonts w:ascii="Times New Roman" w:hAnsi="Times New Roman"/>
          <w:sz w:val="24"/>
          <w:szCs w:val="24"/>
        </w:rPr>
        <w:t xml:space="preserve"> </w:t>
      </w:r>
      <w:r w:rsidR="00D80B21" w:rsidRPr="00AA28A4">
        <w:rPr>
          <w:rFonts w:ascii="Times New Roman" w:hAnsi="Times New Roman"/>
          <w:sz w:val="24"/>
          <w:szCs w:val="24"/>
        </w:rPr>
        <w:fldChar w:fldCharType="begin" w:fldLock="1"/>
      </w:r>
      <w:r w:rsidR="00D80B21" w:rsidRPr="00AA28A4">
        <w:rPr>
          <w:rFonts w:ascii="Times New Roman" w:hAnsi="Times New Roman"/>
          <w:sz w:val="24"/>
          <w:szCs w:val="24"/>
        </w:rPr>
        <w:instrText>ADDIN CSL_CITATION {"citationItems":[{"id":"ITEM-1","itemData":{"DOI":"https://doi.org/10.1890/0012-9623-95.3.250","ISSN":"0012-9623","author":[{"dropping-particle":"","family":"Watt","given":"Cortney A","non-dropping-particle":"","parse-names":false,"suffix":""},{"dropping-particle":"","family":"Scrosati","given":"Ricardo A","non-dropping-particle":"","parse-names":false,"suffix":""}],"container-title":"The Bulletin of the Ecological Society of America","id":"ITEM-1","issue":"3","issued":{"date-parts":[["2014","7","1"]]},"note":"https://doi.org/10.1890/0012-9623-95.3.250","page":"250-251","publisher":"John Wiley &amp; Sons, Ltd","title":"SEAWEEDS AS ECOSYSTEM ENGINEERS","type":"article-journal","volume":"95"},"uris":["http://www.mendeley.com/documents/?uuid=ccbf01e7-a102-4a55-9512-6c1a08d26057"]}],"mendeley":{"formattedCitation":"(Watt and Scrosati, 2014)","plainTextFormattedCitation":"(Watt and Scrosati, 2014)","previouslyFormattedCitation":"(Watt and Scrosati, 2014)"},"properties":{"noteIndex":0},"schema":"https://github.com/citation-style-language/schema/raw/master/csl-citation.json"}</w:instrText>
      </w:r>
      <w:r w:rsidR="00D80B21" w:rsidRPr="00AA28A4">
        <w:rPr>
          <w:rFonts w:ascii="Times New Roman" w:hAnsi="Times New Roman"/>
          <w:sz w:val="24"/>
          <w:szCs w:val="24"/>
        </w:rPr>
        <w:fldChar w:fldCharType="separate"/>
      </w:r>
      <w:r w:rsidR="00D80B21" w:rsidRPr="00AA28A4">
        <w:rPr>
          <w:rFonts w:ascii="Times New Roman" w:hAnsi="Times New Roman"/>
          <w:noProof/>
          <w:sz w:val="24"/>
          <w:szCs w:val="24"/>
        </w:rPr>
        <w:t>(Watt and Scrosati, 2014)</w:t>
      </w:r>
      <w:r w:rsidR="00D80B21" w:rsidRPr="00AA28A4">
        <w:rPr>
          <w:rFonts w:ascii="Times New Roman" w:hAnsi="Times New Roman"/>
          <w:sz w:val="24"/>
          <w:szCs w:val="24"/>
        </w:rPr>
        <w:fldChar w:fldCharType="end"/>
      </w:r>
      <w:r w:rsidRPr="00AA28A4">
        <w:rPr>
          <w:rFonts w:ascii="Times New Roman" w:hAnsi="Times New Roman"/>
          <w:sz w:val="24"/>
          <w:szCs w:val="24"/>
        </w:rPr>
        <w:t xml:space="preserve">. The larger seaweeds exhibit a sophisticated anatomical </w:t>
      </w:r>
      <w:r w:rsidR="00FA4C8D" w:rsidRPr="00AA28A4">
        <w:rPr>
          <w:rFonts w:ascii="Times New Roman" w:hAnsi="Times New Roman"/>
          <w:sz w:val="24"/>
          <w:szCs w:val="24"/>
        </w:rPr>
        <w:t>organization</w:t>
      </w:r>
      <w:r w:rsidRPr="00AA28A4">
        <w:rPr>
          <w:rFonts w:ascii="Times New Roman" w:hAnsi="Times New Roman"/>
          <w:sz w:val="24"/>
          <w:szCs w:val="24"/>
        </w:rPr>
        <w:t xml:space="preserve"> featuring </w:t>
      </w:r>
      <w:r w:rsidR="00596622" w:rsidRPr="00AA28A4">
        <w:rPr>
          <w:rFonts w:ascii="Times New Roman" w:hAnsi="Times New Roman"/>
          <w:sz w:val="24"/>
          <w:szCs w:val="24"/>
        </w:rPr>
        <w:t>specialized</w:t>
      </w:r>
      <w:r w:rsidRPr="00AA28A4">
        <w:rPr>
          <w:rFonts w:ascii="Times New Roman" w:hAnsi="Times New Roman"/>
          <w:sz w:val="24"/>
          <w:szCs w:val="24"/>
        </w:rPr>
        <w:t xml:space="preserve"> tissues that facilitate the transport of nutrients and photosynthetic products. In contrast, some </w:t>
      </w:r>
      <w:r w:rsidR="00596622" w:rsidRPr="00AA28A4">
        <w:rPr>
          <w:rFonts w:ascii="Times New Roman" w:hAnsi="Times New Roman"/>
          <w:sz w:val="24"/>
          <w:szCs w:val="24"/>
        </w:rPr>
        <w:t>seaweed</w:t>
      </w:r>
      <w:r w:rsidRPr="00AA28A4">
        <w:rPr>
          <w:rFonts w:ascii="Times New Roman" w:hAnsi="Times New Roman"/>
          <w:sz w:val="24"/>
          <w:szCs w:val="24"/>
        </w:rPr>
        <w:t xml:space="preserve"> </w:t>
      </w:r>
      <w:r w:rsidR="00596622" w:rsidRPr="00AA28A4">
        <w:rPr>
          <w:rFonts w:ascii="Times New Roman" w:hAnsi="Times New Roman"/>
          <w:sz w:val="24"/>
          <w:szCs w:val="24"/>
        </w:rPr>
        <w:t>possesses</w:t>
      </w:r>
      <w:r w:rsidRPr="00AA28A4">
        <w:rPr>
          <w:rFonts w:ascii="Times New Roman" w:hAnsi="Times New Roman"/>
          <w:sz w:val="24"/>
          <w:szCs w:val="24"/>
        </w:rPr>
        <w:t xml:space="preserve"> a nearly indistinguishable structure</w:t>
      </w:r>
      <w:r w:rsidR="00D80B21" w:rsidRPr="00AA28A4">
        <w:rPr>
          <w:rFonts w:ascii="Times New Roman" w:hAnsi="Times New Roman"/>
          <w:sz w:val="24"/>
          <w:szCs w:val="24"/>
        </w:rPr>
        <w:t xml:space="preserve"> </w:t>
      </w:r>
      <w:r w:rsidR="00D80B21" w:rsidRPr="00AA28A4">
        <w:rPr>
          <w:rFonts w:ascii="Times New Roman" w:hAnsi="Times New Roman"/>
          <w:sz w:val="24"/>
          <w:szCs w:val="24"/>
        </w:rPr>
        <w:fldChar w:fldCharType="begin" w:fldLock="1"/>
      </w:r>
      <w:r w:rsidR="00D80B21" w:rsidRPr="00AA28A4">
        <w:rPr>
          <w:rFonts w:ascii="Times New Roman" w:hAnsi="Times New Roman"/>
          <w:sz w:val="24"/>
          <w:szCs w:val="24"/>
        </w:rPr>
        <w:instrText>ADDIN CSL_CITATION {"citationItems":[{"id":"ITEM-1","itemData":{"DOI":"https://doi.org/10.1016/B978-0-12-802772-1.00003-8","ISBN":"978-0-12-802772-1","abstract":"Seaweeds or macroalgae are generally grouped into three taxa: green, brown, and red algae. (A more comprehensive review of seaweed systematics can be found in chapter: Macroalgae Systematics.) They are important bioresources of the oceans and play a major role in the maintenance of its ecosystem. These marine algae are utilized for food, fodder, polysaccharide extraction, biofertilizers, cosmetics, papermaking, and biobased fuels. In this chapter, numerous topics on seaweed biology are covered including: the role in maintenance of ocean ecology, herbivory and predation defense mechanisms, life history of important seaweeds, and their commercial applications.","author":[{"dropping-particle":"","family":"Baweja","given":"P","non-dropping-particle":"","parse-names":false,"suffix":""},{"dropping-particle":"","family":"Kumar","given":"S","non-dropping-particle":"","parse-names":false,"suffix":""},{"dropping-particle":"","family":"Sahoo","given":"D","non-dropping-particle":"","parse-names":false,"suffix":""},{"dropping-particle":"","family":"Levine","given":"I","non-dropping-particle":"","parse-names":false,"suffix":""}],"editor":[{"dropping-particle":"","family":"Fleurence","given":"Joël","non-dropping-particle":"","parse-names":false,"suffix":""},{"dropping-particle":"","family":"Levine","given":"Ira B T - Seaweed in Health and Disease Prevention","non-dropping-particle":"","parse-names":false,"suffix":""}],"id":"ITEM-1","issued":{"date-parts":[["2016"]]},"page":"41-106","publisher":"Academic Press","publisher-place":"San Diego","title":"Chapter 3 - Biology of Seaweeds","type":"chapter"},"uris":["http://www.mendeley.com/documents/?uuid=b0f48ab3-1e55-4c43-b98c-fc391e595b38"]}],"mendeley":{"formattedCitation":"(Baweja et al., 2016)","plainTextFormattedCitation":"(Baweja et al., 2016)","previouslyFormattedCitation":"(Baweja et al., 2016)"},"properties":{"noteIndex":0},"schema":"https://github.com/citation-style-language/schema/raw/master/csl-citation.json"}</w:instrText>
      </w:r>
      <w:r w:rsidR="00D80B21" w:rsidRPr="00AA28A4">
        <w:rPr>
          <w:rFonts w:ascii="Times New Roman" w:hAnsi="Times New Roman"/>
          <w:sz w:val="24"/>
          <w:szCs w:val="24"/>
        </w:rPr>
        <w:fldChar w:fldCharType="separate"/>
      </w:r>
      <w:r w:rsidR="00D80B21" w:rsidRPr="00AA28A4">
        <w:rPr>
          <w:rFonts w:ascii="Times New Roman" w:hAnsi="Times New Roman"/>
          <w:noProof/>
          <w:sz w:val="24"/>
          <w:szCs w:val="24"/>
        </w:rPr>
        <w:t>(Baweja et al., 2016)</w:t>
      </w:r>
      <w:r w:rsidR="00D80B21" w:rsidRPr="00AA28A4">
        <w:rPr>
          <w:rFonts w:ascii="Times New Roman" w:hAnsi="Times New Roman"/>
          <w:sz w:val="24"/>
          <w:szCs w:val="24"/>
        </w:rPr>
        <w:fldChar w:fldCharType="end"/>
      </w:r>
      <w:r w:rsidRPr="00AA28A4">
        <w:rPr>
          <w:rFonts w:ascii="Times New Roman" w:hAnsi="Times New Roman"/>
          <w:sz w:val="24"/>
          <w:szCs w:val="24"/>
        </w:rPr>
        <w:t>. The dimensions of seaweeds exhibit a range of sizes, spanning from smaller forms consisting of a single cell to larger forms composed of multiple cells. The smaller seaweeds exhibit a size range of a few millimeters, while the larger seaweed species can exceed lengths of 30 to 50 meters. Additionally, there is a discernible variation in cell size between these two categories. Certain cells exhibit more nuclei and organelles responsible for protein synthesis</w:t>
      </w:r>
      <w:r w:rsidR="00D80B21" w:rsidRPr="00AA28A4">
        <w:rPr>
          <w:rFonts w:ascii="Times New Roman" w:hAnsi="Times New Roman"/>
          <w:sz w:val="24"/>
          <w:szCs w:val="24"/>
        </w:rPr>
        <w:t xml:space="preserve"> </w:t>
      </w:r>
      <w:r w:rsidR="00D80B21" w:rsidRPr="00AA28A4">
        <w:rPr>
          <w:rFonts w:ascii="Times New Roman" w:hAnsi="Times New Roman"/>
          <w:sz w:val="24"/>
          <w:szCs w:val="24"/>
        </w:rPr>
        <w:fldChar w:fldCharType="begin" w:fldLock="1"/>
      </w:r>
      <w:r w:rsidR="00A56290" w:rsidRPr="00AA28A4">
        <w:rPr>
          <w:rFonts w:ascii="Times New Roman" w:hAnsi="Times New Roman"/>
          <w:sz w:val="24"/>
          <w:szCs w:val="24"/>
        </w:rPr>
        <w:instrText>ADDIN CSL_CITATION {"citationItems":[{"id":"ITEM-1","itemData":{"DOI":"10.3390/md21070384","ISBN":"1660-3397","abstract":"Seaweeds are abundant sources of diverse bioactive compounds with various properties and mechanisms of action. These compounds offer protective effects, high nutritional value, and numerous health benefits. Seaweeds are versatile natural sources of metabolites applicable in the production of healthy food, pharmaceuticals, cosmetics, and fertilizers. Their biological compounds make them promising sources for biotechnological applications. In nature, hydrocolloids are substances which form a gel in the presence of water. They are employed as gelling agents in food, coatings and dressings in pharmaceuticals, stabilizers in biotechnology, and ingredients in cosmetics. Seaweed hydrocolloids are identified in carrageenan, alginate, and agar. Carrageenan has gained significant attention in pharmaceutical formulations and exhibits diverse pharmaceutical properties. Incorporating carrageenan and natural polymers such as chitosan, starch, cellulose, chitin, and alginate. It holds promise for creating biodegradable materials with biomedical applications. Alginate, a natural polysaccharide, is highly valued for wound dressings due to its unique characteristics, including low toxicity, biodegradability, hydrogel formation, prevention of bacterial infections, and maintenance of a moist environment. Agar is widely used in the biomedical field. This review focuses on analysing the therapeutic applications of carrageenan, alginate, and agar based on research highlighting their potential in developing innovative drug delivery systems using seaweed phycocolloids.","author":[{"dropping-particle":"","family":"Lomartire","given":"Silvia","non-dropping-particle":"","parse-names":false,"suffix":""},{"dropping-particle":"","family":"Gonçalves","given":"Ana M M","non-dropping-particle":"","parse-names":false,"suffix":""}],"container-title":"Marine Drugs","id":"ITEM-1","issue":"7","issued":{"date-parts":[["2023"]]},"title":"Algal Phycocolloids: Bioactivities and Pharmaceutical Applications","type":"article","volume":"21"},"uris":["http://www.mendeley.com/documents/?uuid=c982ee52-372e-42de-b000-a7c4e08f6ce3"]}],"mendeley":{"formattedCitation":"(Lomartire and Gonçalves, 2023)","plainTextFormattedCitation":"(Lomartire and Gonçalves, 2023)","previouslyFormattedCitation":"(Lomartire and Gonçalves, 2023)"},"properties":{"noteIndex":0},"schema":"https://github.com/citation-style-language/schema/raw/master/csl-citation.json"}</w:instrText>
      </w:r>
      <w:r w:rsidR="00D80B21" w:rsidRPr="00AA28A4">
        <w:rPr>
          <w:rFonts w:ascii="Times New Roman" w:hAnsi="Times New Roman"/>
          <w:sz w:val="24"/>
          <w:szCs w:val="24"/>
        </w:rPr>
        <w:fldChar w:fldCharType="separate"/>
      </w:r>
      <w:r w:rsidR="00D80B21" w:rsidRPr="00AA28A4">
        <w:rPr>
          <w:rFonts w:ascii="Times New Roman" w:hAnsi="Times New Roman"/>
          <w:noProof/>
          <w:sz w:val="24"/>
          <w:szCs w:val="24"/>
        </w:rPr>
        <w:t>(Lomartire and Gonçalves, 2023)</w:t>
      </w:r>
      <w:r w:rsidR="00D80B21" w:rsidRPr="00AA28A4">
        <w:rPr>
          <w:rFonts w:ascii="Times New Roman" w:hAnsi="Times New Roman"/>
          <w:sz w:val="24"/>
          <w:szCs w:val="24"/>
        </w:rPr>
        <w:fldChar w:fldCharType="end"/>
      </w:r>
      <w:r w:rsidRPr="00AA28A4">
        <w:rPr>
          <w:rFonts w:ascii="Times New Roman" w:hAnsi="Times New Roman"/>
          <w:sz w:val="24"/>
          <w:szCs w:val="24"/>
        </w:rPr>
        <w:t xml:space="preserve">. According to </w:t>
      </w:r>
      <w:r w:rsidR="00A56290" w:rsidRPr="00AA28A4">
        <w:rPr>
          <w:rFonts w:ascii="Times New Roman" w:hAnsi="Times New Roman"/>
          <w:sz w:val="24"/>
          <w:szCs w:val="24"/>
        </w:rPr>
        <w:t>Rayapu</w:t>
      </w:r>
      <w:r w:rsidRPr="00AA28A4">
        <w:rPr>
          <w:rFonts w:ascii="Times New Roman" w:hAnsi="Times New Roman"/>
          <w:sz w:val="24"/>
          <w:szCs w:val="24"/>
        </w:rPr>
        <w:t xml:space="preserve"> et al</w:t>
      </w:r>
      <w:r w:rsidR="00A56290" w:rsidRPr="00AA28A4">
        <w:rPr>
          <w:rFonts w:ascii="Times New Roman" w:hAnsi="Times New Roman"/>
          <w:sz w:val="24"/>
          <w:szCs w:val="24"/>
        </w:rPr>
        <w:t>.</w:t>
      </w:r>
      <w:r w:rsidRPr="00AA28A4">
        <w:rPr>
          <w:rFonts w:ascii="Times New Roman" w:hAnsi="Times New Roman"/>
          <w:sz w:val="24"/>
          <w:szCs w:val="24"/>
        </w:rPr>
        <w:t>, the presence of proteins is expected to facilitate the accelerated growth of seaweeds</w:t>
      </w:r>
      <w:r w:rsidR="00A56290" w:rsidRPr="00AA28A4">
        <w:rPr>
          <w:rFonts w:ascii="Times New Roman" w:hAnsi="Times New Roman"/>
          <w:sz w:val="24"/>
          <w:szCs w:val="24"/>
        </w:rPr>
        <w:t xml:space="preserve"> </w:t>
      </w:r>
      <w:r w:rsidR="00A56290" w:rsidRPr="00AA28A4">
        <w:rPr>
          <w:rFonts w:ascii="Times New Roman" w:hAnsi="Times New Roman"/>
          <w:sz w:val="24"/>
          <w:szCs w:val="24"/>
        </w:rPr>
        <w:fldChar w:fldCharType="begin" w:fldLock="1"/>
      </w:r>
      <w:r w:rsidR="00A56290" w:rsidRPr="00AA28A4">
        <w:rPr>
          <w:rFonts w:ascii="Times New Roman" w:hAnsi="Times New Roman"/>
          <w:sz w:val="24"/>
          <w:szCs w:val="24"/>
        </w:rPr>
        <w:instrText>ADDIN CSL_CITATION {"citationItems":[{"id":"ITEM-1","itemData":{"DOI":"10.22159/ijcpr.2017v9i6.23426","author":[{"dropping-particle":"","family":"Rayapu","given":"Lavanya","non-dropping-particle":"","parse-names":false,"suffix":""},{"dropping-particle":"","family":"Makkar","given":"Fazina","non-dropping-particle":"","parse-names":false,"suffix":""},{"dropping-particle":"","family":"Chakraborty","given":"Kajal","non-dropping-particle":"","parse-names":false,"suffix":""},{"dropping-particle":"","family":"Valluru","given":"Lokanatha","non-dropping-particle":"","parse-names":false,"suffix":""}],"container-title":"International Journal of Current Pharmaceutical Research","id":"ITEM-1","issued":{"date-parts":[["2017","11","14"]]},"page":"37","title":"PHYTOCHEMICAL EVALUATION AND ANTIMICROBIAL ACTIVITY OF GRACILARIA OPUNTIA: AN IMPORTANT ANTI-DIABETIC RED MARINE MACROALGAE","type":"article-journal","volume":"9"},"uris":["http://www.mendeley.com/documents/?uuid=c83bbd7e-2442-49c0-b93d-a4dd96a3d1dd"]}],"mendeley":{"formattedCitation":"(Rayapu et al., 2017)","plainTextFormattedCitation":"(Rayapu et al., 2017)","previouslyFormattedCitation":"(Rayapu et al., 2017)"},"properties":{"noteIndex":0},"schema":"https://github.com/citation-style-language/schema/raw/master/csl-citation.json"}</w:instrText>
      </w:r>
      <w:r w:rsidR="00A56290" w:rsidRPr="00AA28A4">
        <w:rPr>
          <w:rFonts w:ascii="Times New Roman" w:hAnsi="Times New Roman"/>
          <w:sz w:val="24"/>
          <w:szCs w:val="24"/>
        </w:rPr>
        <w:fldChar w:fldCharType="separate"/>
      </w:r>
      <w:r w:rsidR="00A56290" w:rsidRPr="00AA28A4">
        <w:rPr>
          <w:rFonts w:ascii="Times New Roman" w:hAnsi="Times New Roman"/>
          <w:noProof/>
          <w:sz w:val="24"/>
          <w:szCs w:val="24"/>
        </w:rPr>
        <w:t>(Rayapu et al., 2017)</w:t>
      </w:r>
      <w:r w:rsidR="00A56290" w:rsidRPr="00AA28A4">
        <w:rPr>
          <w:rFonts w:ascii="Times New Roman" w:hAnsi="Times New Roman"/>
          <w:sz w:val="24"/>
          <w:szCs w:val="24"/>
        </w:rPr>
        <w:fldChar w:fldCharType="end"/>
      </w:r>
      <w:r w:rsidRPr="00AA28A4">
        <w:rPr>
          <w:rFonts w:ascii="Times New Roman" w:hAnsi="Times New Roman"/>
          <w:sz w:val="24"/>
          <w:szCs w:val="24"/>
        </w:rPr>
        <w:t>.</w:t>
      </w:r>
      <w:r w:rsidR="00596622" w:rsidRPr="00AA28A4">
        <w:rPr>
          <w:rFonts w:ascii="Times New Roman" w:hAnsi="Times New Roman"/>
          <w:sz w:val="24"/>
          <w:szCs w:val="24"/>
        </w:rPr>
        <w:t xml:space="preserve"> </w:t>
      </w:r>
      <w:r w:rsidRPr="00AA28A4">
        <w:rPr>
          <w:rFonts w:ascii="Times New Roman" w:hAnsi="Times New Roman"/>
          <w:sz w:val="24"/>
          <w:szCs w:val="24"/>
        </w:rPr>
        <w:t>The substances found in them include lipids, vitamins, minerals, polysaccharides, polyphenols, and proteins. There is a total of approximately 1,800 species of green seaweeds that inhabit marine environments. Red seaweeds exhibit comparatively lower levels of diversity when compared to the other two groups.</w:t>
      </w:r>
      <w:r w:rsidR="004139AE" w:rsidRPr="00AA28A4">
        <w:rPr>
          <w:rFonts w:ascii="Times New Roman" w:hAnsi="Times New Roman"/>
          <w:sz w:val="24"/>
          <w:szCs w:val="24"/>
        </w:rPr>
        <w:t xml:space="preserve"> </w:t>
      </w:r>
      <w:r w:rsidRPr="00AA28A4">
        <w:rPr>
          <w:rFonts w:ascii="Times New Roman" w:hAnsi="Times New Roman"/>
          <w:sz w:val="24"/>
          <w:szCs w:val="24"/>
        </w:rPr>
        <w:t>The seaweed is drying in a shaded environment to enhance its storage capabilities, thereby extending its shelf life</w:t>
      </w:r>
      <w:r w:rsidR="00A56290" w:rsidRPr="00AA28A4">
        <w:rPr>
          <w:rFonts w:ascii="Times New Roman" w:hAnsi="Times New Roman"/>
          <w:sz w:val="24"/>
          <w:szCs w:val="24"/>
        </w:rPr>
        <w:t xml:space="preserve"> </w:t>
      </w:r>
      <w:r w:rsidR="00A56290" w:rsidRPr="00AA28A4">
        <w:rPr>
          <w:rFonts w:ascii="Times New Roman" w:hAnsi="Times New Roman"/>
          <w:sz w:val="24"/>
          <w:szCs w:val="24"/>
        </w:rPr>
        <w:fldChar w:fldCharType="begin" w:fldLock="1"/>
      </w:r>
      <w:r w:rsidR="00A56290" w:rsidRPr="00AA28A4">
        <w:rPr>
          <w:rFonts w:ascii="Times New Roman" w:hAnsi="Times New Roman"/>
          <w:sz w:val="24"/>
          <w:szCs w:val="24"/>
        </w:rPr>
        <w:instrText>ADDIN CSL_CITATION {"citationItems":[{"id":"ITEM-1","itemData":{"DOI":"10.1560/IJPS.56.1-2.15","ISSN":"0792-9978","author":[{"dropping-particle":"","family":"Friedlander","given":"Michael","non-dropping-particle":"","parse-names":false,"suffix":""}],"container-title":"Israel Journal of Plant Sciences","id":"ITEM-1","issue":"1-2","issued":{"date-parts":[["2008","1","1"]]},"note":"doi: 10.1560/IJPS.56.1-2.15","page":"15-28","publisher":"Taylor &amp; Francis","title":"Israeli R &amp; D activities in seaweed cultivation","type":"article-journal","volume":"56"},"uris":["http://www.mendeley.com/documents/?uuid=63c81eee-caaa-440f-b33a-b514218acf97"]}],"mendeley":{"formattedCitation":"(Friedlander, 2008)","plainTextFormattedCitation":"(Friedlander, 2008)","previouslyFormattedCitation":"(Friedlander, 2008)"},"properties":{"noteIndex":0},"schema":"https://github.com/citation-style-language/schema/raw/master/csl-citation.json"}</w:instrText>
      </w:r>
      <w:r w:rsidR="00A56290" w:rsidRPr="00AA28A4">
        <w:rPr>
          <w:rFonts w:ascii="Times New Roman" w:hAnsi="Times New Roman"/>
          <w:sz w:val="24"/>
          <w:szCs w:val="24"/>
        </w:rPr>
        <w:fldChar w:fldCharType="separate"/>
      </w:r>
      <w:r w:rsidR="00A56290" w:rsidRPr="00AA28A4">
        <w:rPr>
          <w:rFonts w:ascii="Times New Roman" w:hAnsi="Times New Roman"/>
          <w:noProof/>
          <w:sz w:val="24"/>
          <w:szCs w:val="24"/>
        </w:rPr>
        <w:t>(Friedlander, 2008)</w:t>
      </w:r>
      <w:r w:rsidR="00A56290" w:rsidRPr="00AA28A4">
        <w:rPr>
          <w:rFonts w:ascii="Times New Roman" w:hAnsi="Times New Roman"/>
          <w:sz w:val="24"/>
          <w:szCs w:val="24"/>
        </w:rPr>
        <w:fldChar w:fldCharType="end"/>
      </w:r>
      <w:r w:rsidRPr="00AA28A4">
        <w:rPr>
          <w:rFonts w:ascii="Times New Roman" w:hAnsi="Times New Roman"/>
          <w:sz w:val="24"/>
          <w:szCs w:val="24"/>
        </w:rPr>
        <w:t xml:space="preserve">. In contemporary times, the </w:t>
      </w:r>
      <w:r w:rsidR="004139AE" w:rsidRPr="00AA28A4">
        <w:rPr>
          <w:rFonts w:ascii="Times New Roman" w:hAnsi="Times New Roman"/>
          <w:sz w:val="24"/>
          <w:szCs w:val="24"/>
        </w:rPr>
        <w:t>utilization</w:t>
      </w:r>
      <w:r w:rsidRPr="00AA28A4">
        <w:rPr>
          <w:rFonts w:ascii="Times New Roman" w:hAnsi="Times New Roman"/>
          <w:sz w:val="24"/>
          <w:szCs w:val="24"/>
        </w:rPr>
        <w:t xml:space="preserve"> of seaweeds is widely acknowledged as an environmentally sustainable approach within the field of nanotechnology</w:t>
      </w:r>
      <w:r w:rsidR="00A56290" w:rsidRPr="00AA28A4">
        <w:rPr>
          <w:rFonts w:ascii="Times New Roman" w:hAnsi="Times New Roman"/>
          <w:sz w:val="24"/>
          <w:szCs w:val="24"/>
        </w:rPr>
        <w:t xml:space="preserve"> </w:t>
      </w:r>
      <w:r w:rsidR="00A56290" w:rsidRPr="00AA28A4">
        <w:rPr>
          <w:rFonts w:ascii="Times New Roman" w:hAnsi="Times New Roman"/>
          <w:sz w:val="24"/>
          <w:szCs w:val="24"/>
        </w:rPr>
        <w:fldChar w:fldCharType="begin" w:fldLock="1"/>
      </w:r>
      <w:r w:rsidR="00994F62" w:rsidRPr="00AA28A4">
        <w:rPr>
          <w:rFonts w:ascii="Times New Roman" w:hAnsi="Times New Roman"/>
          <w:sz w:val="24"/>
          <w:szCs w:val="24"/>
        </w:rPr>
        <w:instrText>ADDIN CSL_CITATION {"citationItems":[{"id":"ITEM-1","itemData":{"DOI":"10.1039/D2MA01105K","abstract":"The advent of nanotechnology profoundly transformed the pharmaceutical sciences and greatly enhanced the diagnostics and treatment of various diseases that threaten human life. Several metallic nanoparticles are extensively used as nanomedicines due to their potential therapeutic applications. Among them, silver nanoparticles are remarkable due to their unique chemical and physical properties. This review discusses types of nanoparticles, and green synthesis methods along with their reduction mechanisms, involving economically viable reducing materials like algae, seaweeds and flowers. Apart from environment-friendly methods, several biological activities such as wound healing, antibacterial, antifungal, anti-tumour, anti-viral, etc., are described in detail. Consequently, we have focused on how silver nanoparticles enhance targeted drug delivery and the mechanism of drug release along with their toxic effects.","author":[{"dropping-particle":"","family":"Vidyasagar","given":"","non-dropping-particle":"","parse-names":false,"suffix":""},{"dropping-particle":"","family":"Patel","given":"Ritu Raj","non-dropping-particle":"","parse-names":false,"suffix":""},{"dropping-particle":"","family":"Singh","given":"Sudhir Kumar","non-dropping-particle":"","parse-names":false,"suffix":""},{"dropping-particle":"","family":"Singh","given":"Meenakshi","non-dropping-particle":"","parse-names":false,"suffix":""}],"container-title":"Materials Advances","id":"ITEM-1","issue":"8","issued":{"date-parts":[["2023"]]},"page":"1831-1849","publisher":"RSC","title":"Green synthesis of silver nanoparticles: methods, biological applications, delivery and toxicity","type":"article-journal","volume":"4"},"uris":["http://www.mendeley.com/documents/?uuid=7dda3e08-e045-4e13-9f42-6eba59e3c182"]}],"mendeley":{"formattedCitation":"(Vidyasagar et al., 2023)","plainTextFormattedCitation":"(Vidyasagar et al., 2023)","previouslyFormattedCitation":"(Vidyasagar et al., 2023)"},"properties":{"noteIndex":0},"schema":"https://github.com/citation-style-language/schema/raw/master/csl-citation.json"}</w:instrText>
      </w:r>
      <w:r w:rsidR="00A56290" w:rsidRPr="00AA28A4">
        <w:rPr>
          <w:rFonts w:ascii="Times New Roman" w:hAnsi="Times New Roman"/>
          <w:sz w:val="24"/>
          <w:szCs w:val="24"/>
        </w:rPr>
        <w:fldChar w:fldCharType="separate"/>
      </w:r>
      <w:r w:rsidR="00A56290" w:rsidRPr="00AA28A4">
        <w:rPr>
          <w:rFonts w:ascii="Times New Roman" w:hAnsi="Times New Roman"/>
          <w:noProof/>
          <w:sz w:val="24"/>
          <w:szCs w:val="24"/>
        </w:rPr>
        <w:t>(Vidyasagar et al., 2023)</w:t>
      </w:r>
      <w:r w:rsidR="00A56290" w:rsidRPr="00AA28A4">
        <w:rPr>
          <w:rFonts w:ascii="Times New Roman" w:hAnsi="Times New Roman"/>
          <w:sz w:val="24"/>
          <w:szCs w:val="24"/>
        </w:rPr>
        <w:fldChar w:fldCharType="end"/>
      </w:r>
      <w:r w:rsidRPr="00AA28A4">
        <w:rPr>
          <w:rFonts w:ascii="Times New Roman" w:hAnsi="Times New Roman"/>
          <w:sz w:val="24"/>
          <w:szCs w:val="24"/>
        </w:rPr>
        <w:t>.</w:t>
      </w:r>
    </w:p>
    <w:p w:rsidR="005D19D0" w:rsidRPr="00AA28A4" w:rsidRDefault="009B4A12" w:rsidP="00AA28A4">
      <w:pPr>
        <w:spacing w:after="0" w:line="360" w:lineRule="auto"/>
        <w:jc w:val="both"/>
        <w:rPr>
          <w:rFonts w:ascii="Times New Roman" w:hAnsi="Times New Roman"/>
          <w:sz w:val="24"/>
          <w:szCs w:val="24"/>
        </w:rPr>
      </w:pPr>
      <w:r w:rsidRPr="00AA28A4">
        <w:rPr>
          <w:rFonts w:ascii="Times New Roman" w:hAnsi="Times New Roman"/>
          <w:sz w:val="24"/>
          <w:szCs w:val="24"/>
        </w:rPr>
        <w:tab/>
        <w:t>Many individuals have turned to biological approaches to address toxicity due to their inherent safety and environmentally friendly nature</w:t>
      </w:r>
      <w:r w:rsidR="00994F62" w:rsidRPr="00AA28A4">
        <w:rPr>
          <w:rFonts w:ascii="Times New Roman" w:hAnsi="Times New Roman"/>
          <w:sz w:val="24"/>
          <w:szCs w:val="24"/>
        </w:rPr>
        <w:t xml:space="preserve"> </w:t>
      </w:r>
      <w:r w:rsidR="00994F62" w:rsidRPr="00AA28A4">
        <w:rPr>
          <w:rFonts w:ascii="Times New Roman" w:hAnsi="Times New Roman"/>
          <w:sz w:val="24"/>
          <w:szCs w:val="24"/>
        </w:rPr>
        <w:fldChar w:fldCharType="begin" w:fldLock="1"/>
      </w:r>
      <w:r w:rsidR="006549D2">
        <w:rPr>
          <w:rFonts w:ascii="Times New Roman" w:hAnsi="Times New Roman"/>
          <w:sz w:val="24"/>
          <w:szCs w:val="24"/>
        </w:rPr>
        <w:instrText>ADDIN CSL_CITATION {"citationItems":[{"id":"ITEM-1","itemData":{"DOI":"https://doi.org/10.1016/j.chnaes.2023.02.002","ISSN":"1872-2032","abstract":"Bacterial nanocellulose (BNC), an exo-polysaccharide yielded by aerobic bacteria has gained ample recognition during the last several years. Owing to its eccentric physical and chemical properties in contrast to plant cellulose, it has prompted researchers to explore the resources derived from bacteria, which are imperishable and eco-friendly. BNC can adsorb many classes of pollutants as well as soluble organic pollutants, oil, dyes, heavy metals, and unbidden contaminants from sewage. Ex-situ modification of BNC with certain composites has emanated as an advanced grade of improved bio-based adsorbent with propitious application in environmental remediation and treatment of wastewater. This chapter presents an overview of the available details on BNC as a new class of bio-adsorbent with special prominence on its yield and environmental applications. Additionally, the review also highlights the mechanism of BNC-based adsorbents for wastewater treatment, specifically as dye and heavy metal adsorbents.","author":[{"dropping-particle":"","family":"Walling","given":"Bendangtula","non-dropping-particle":"","parse-names":false,"suffix":""},{"dropping-particle":"","family":"Bharali","given":"Pranjal","non-dropping-particle":"","parse-names":false,"suffix":""},{"dropping-particle":"","family":"Giridharan","given":"Bupesh","non-dropping-particle":"","parse-names":false,"suffix":""},{"dropping-particle":"","family":"Gogoi","given":"Bhagyudoy","non-dropping-particle":"","parse-names":false,"suffix":""},{"dropping-particle":"","family":"Sorhie","given":"Viphrezolie","non-dropping-particle":"","parse-names":false,"suffix":""},{"dropping-particle":"","family":"Alemtoshi","given":"","non-dropping-particle":"","parse-names":false,"suffix":""},{"dropping-particle":"","family":"Mani","given":"Saravanan Konda","non-dropping-particle":"","parse-names":false,"suffix":""}],"container-title":"Acta Ecologica Sinica","id":"ITEM-1","issued":{"date-parts":[["2023"]]},"title":"Bacterial nanocellulose: A novel nanostructured bio-adsorbent for green remediation technology","type":"article-journal"},"uris":["http://www.mendeley.com/documents/?uuid=2b5bcc11-0005-476b-a3d5-bda05a4464df"]},{"id":"ITEM-2","itemData":{"DOI":"10.22207/JPAM.16.2.35","author":[{"dropping-particle":"","family":"APB","given":"Balaji","non-dropping-particle":"","parse-names":false,"suffix":""},{"dropping-particle":"","family":"Bhuvaneswari","given":"Srinivasan","non-dropping-particle":"","parse-names":false,"suffix":""},{"dropping-particle":"","family":"Raj","given":"Leon","non-dropping-particle":"","parse-names":false,"suffix":""},{"dropping-particle":"","family":"Bupesh","given":"Giridharan","non-dropping-particle":"","parse-names":false,"suffix":""},{"dropping-particle":"","family":"Meenakshisundaram","given":"Kishore","non-dropping-particle":"","parse-names":false,"suffix":""},{"dropping-particle":"","family":"KM","given":"Saravanan","non-dropping-particle":"","parse-names":false,"suffix":""}],"container-title":"Journal of Pure and Applied Microbiology","id":"ITEM-2","issued":{"date-parts":[["2022","5"]]},"page":"796-813","title":"A Review on the Potential Species of the Zingiberaceae Family with Anti-viral Efficacy Towards Enveloped Viruses","type":"article-journal","volume":"16"},"uris":["http://www.mendeley.com/documents/?uuid=20e1c79d-04c5-4a59-8c2f-9ed4730492a2"]}],"mendeley":{"formattedCitation":"(APB et al., 2022; Walling et al., 2023)","plainTextFormattedCitation":"(APB et al., 2022; Walling et al., 2023)","previouslyFormattedCitation":"(APB et al., 2022; Walling et al., 2023)"},"properties":{"noteIndex":0},"schema":"https://github.com/citation-style-language/schema/raw/master/csl-citation.json"}</w:instrText>
      </w:r>
      <w:r w:rsidR="00994F62" w:rsidRPr="00AA28A4">
        <w:rPr>
          <w:rFonts w:ascii="Times New Roman" w:hAnsi="Times New Roman"/>
          <w:sz w:val="24"/>
          <w:szCs w:val="24"/>
        </w:rPr>
        <w:fldChar w:fldCharType="separate"/>
      </w:r>
      <w:r w:rsidR="004E452B" w:rsidRPr="004E452B">
        <w:rPr>
          <w:rFonts w:ascii="Times New Roman" w:hAnsi="Times New Roman"/>
          <w:noProof/>
          <w:sz w:val="24"/>
          <w:szCs w:val="24"/>
        </w:rPr>
        <w:t>(APB et al., 2022; Walling et al., 2023)</w:t>
      </w:r>
      <w:r w:rsidR="00994F62" w:rsidRPr="00AA28A4">
        <w:rPr>
          <w:rFonts w:ascii="Times New Roman" w:hAnsi="Times New Roman"/>
          <w:sz w:val="24"/>
          <w:szCs w:val="24"/>
        </w:rPr>
        <w:fldChar w:fldCharType="end"/>
      </w:r>
      <w:r w:rsidRPr="00AA28A4">
        <w:rPr>
          <w:rFonts w:ascii="Times New Roman" w:hAnsi="Times New Roman"/>
          <w:sz w:val="24"/>
          <w:szCs w:val="24"/>
        </w:rPr>
        <w:t xml:space="preserve">. These methods also serve as functionalizing ligands, enabling nanoparticle </w:t>
      </w:r>
      <w:r w:rsidR="00FA4C8D" w:rsidRPr="00AA28A4">
        <w:rPr>
          <w:rFonts w:ascii="Times New Roman" w:hAnsi="Times New Roman"/>
          <w:sz w:val="24"/>
          <w:szCs w:val="24"/>
        </w:rPr>
        <w:t>utilization</w:t>
      </w:r>
      <w:r w:rsidRPr="00AA28A4">
        <w:rPr>
          <w:rFonts w:ascii="Times New Roman" w:hAnsi="Times New Roman"/>
          <w:sz w:val="24"/>
          <w:szCs w:val="24"/>
        </w:rPr>
        <w:t xml:space="preserve"> in biomedical therapies and enhancing their capacity for metal binding. Numerous techniques are currently accessible for the environmentally friendly production of nanoparticles, </w:t>
      </w:r>
      <w:r w:rsidR="00FA4C8D" w:rsidRPr="00AA28A4">
        <w:rPr>
          <w:rFonts w:ascii="Times New Roman" w:hAnsi="Times New Roman"/>
          <w:sz w:val="24"/>
          <w:szCs w:val="24"/>
        </w:rPr>
        <w:t>utilizing</w:t>
      </w:r>
      <w:r w:rsidRPr="00AA28A4">
        <w:rPr>
          <w:rFonts w:ascii="Times New Roman" w:hAnsi="Times New Roman"/>
          <w:sz w:val="24"/>
          <w:szCs w:val="24"/>
        </w:rPr>
        <w:t xml:space="preserve"> diverse biological resources such as marine organisms, plant extracts, microorganisms, and </w:t>
      </w:r>
      <w:r w:rsidRPr="00AA28A4">
        <w:rPr>
          <w:rFonts w:ascii="Times New Roman" w:hAnsi="Times New Roman"/>
          <w:sz w:val="24"/>
          <w:szCs w:val="24"/>
        </w:rPr>
        <w:lastRenderedPageBreak/>
        <w:t>microfluidics</w:t>
      </w:r>
      <w:r w:rsidR="00A02D91" w:rsidRPr="00AA28A4">
        <w:rPr>
          <w:rFonts w:ascii="Times New Roman" w:hAnsi="Times New Roman"/>
          <w:sz w:val="24"/>
          <w:szCs w:val="24"/>
        </w:rPr>
        <w:t xml:space="preserve"> </w:t>
      </w:r>
      <w:r w:rsidR="00A02D91" w:rsidRPr="00AA28A4">
        <w:rPr>
          <w:rFonts w:ascii="Times New Roman" w:hAnsi="Times New Roman"/>
          <w:sz w:val="24"/>
          <w:szCs w:val="24"/>
        </w:rPr>
        <w:fldChar w:fldCharType="begin" w:fldLock="1"/>
      </w:r>
      <w:r w:rsidR="00A02D91" w:rsidRPr="00AA28A4">
        <w:rPr>
          <w:rFonts w:ascii="Times New Roman" w:hAnsi="Times New Roman"/>
          <w:sz w:val="24"/>
          <w:szCs w:val="24"/>
        </w:rPr>
        <w:instrText>ADDIN CSL_CITATION {"citationItems":[{"id":"ITEM-1","itemData":{"DOI":"10.1039/C1CS15215G","ISSN":"0306-0012","abstract":"This tutorial review presents an overview of the main metrics that have been used to test and compare the ‘greenness’ of processes and products, primarily in the pharmaceutical industry. The green metrics cover areas of resources, materials, processing, cleaning, life cycle assessment, renewability, amongst others. Application examples of these metrics are also presented to illustrate key points and concepts.","author":[{"dropping-particle":"","family":"Jiménez-González","given":"Concepción","non-dropping-particle":"","parse-names":false,"suffix":""},{"dropping-particle":"","family":"Constable","given":"David J C","non-dropping-particle":"","parse-names":false,"suffix":""},{"dropping-particle":"","family":"Ponder","given":"Celia S","non-dropping-particle":"","parse-names":false,"suffix":""}],"container-title":"Chemical Society Reviews","id":"ITEM-1","issue":"4","issued":{"date-parts":[["2012"]]},"page":"1485-1498","publisher":"The Royal Society of Chemistry","title":"Evaluating the “Greenness” of chemical processes and products in the pharmaceutical industry—a green metrics primer","type":"article-journal","volume":"41"},"uris":["http://www.mendeley.com/documents/?uuid=4510d4d9-01fd-4e29-ab72-184d84e7c825"]}],"mendeley":{"formattedCitation":"(Jiménez-González et al., 2012)","plainTextFormattedCitation":"(Jiménez-González et al., 2012)","previouslyFormattedCitation":"(Jiménez-González et al., 2012)"},"properties":{"noteIndex":0},"schema":"https://github.com/citation-style-language/schema/raw/master/csl-citation.json"}</w:instrText>
      </w:r>
      <w:r w:rsidR="00A02D91" w:rsidRPr="00AA28A4">
        <w:rPr>
          <w:rFonts w:ascii="Times New Roman" w:hAnsi="Times New Roman"/>
          <w:sz w:val="24"/>
          <w:szCs w:val="24"/>
        </w:rPr>
        <w:fldChar w:fldCharType="separate"/>
      </w:r>
      <w:r w:rsidR="00A02D91" w:rsidRPr="00AA28A4">
        <w:rPr>
          <w:rFonts w:ascii="Times New Roman" w:hAnsi="Times New Roman"/>
          <w:noProof/>
          <w:sz w:val="24"/>
          <w:szCs w:val="24"/>
        </w:rPr>
        <w:t>(Jiménez-González et al., 2012)</w:t>
      </w:r>
      <w:r w:rsidR="00A02D91" w:rsidRPr="00AA28A4">
        <w:rPr>
          <w:rFonts w:ascii="Times New Roman" w:hAnsi="Times New Roman"/>
          <w:sz w:val="24"/>
          <w:szCs w:val="24"/>
        </w:rPr>
        <w:fldChar w:fldCharType="end"/>
      </w:r>
      <w:r w:rsidRPr="00AA28A4">
        <w:rPr>
          <w:rFonts w:ascii="Times New Roman" w:hAnsi="Times New Roman"/>
          <w:sz w:val="24"/>
          <w:szCs w:val="24"/>
        </w:rPr>
        <w:t>. Among these, plant extracts and bio-reductants have emerged as particularly significant for the green synthesis of nanoparticles due to their advantageous characteristics, including ease of handling, cost-effectiveness, and widespread availability.</w:t>
      </w:r>
      <w:r w:rsidR="00FA4C8D" w:rsidRPr="00AA28A4">
        <w:rPr>
          <w:rFonts w:ascii="Times New Roman" w:hAnsi="Times New Roman"/>
          <w:sz w:val="24"/>
          <w:szCs w:val="24"/>
        </w:rPr>
        <w:t xml:space="preserve"> </w:t>
      </w:r>
      <w:r w:rsidRPr="00AA28A4">
        <w:rPr>
          <w:rFonts w:ascii="Times New Roman" w:hAnsi="Times New Roman"/>
          <w:sz w:val="24"/>
          <w:szCs w:val="24"/>
        </w:rPr>
        <w:t>Silver nanoparticles have garnered significant attention in nanotechnology due to their unique properties</w:t>
      </w:r>
      <w:r w:rsidR="0013538B">
        <w:rPr>
          <w:rFonts w:ascii="Times New Roman" w:hAnsi="Times New Roman"/>
          <w:sz w:val="24"/>
          <w:szCs w:val="24"/>
        </w:rPr>
        <w:t xml:space="preserve"> </w:t>
      </w:r>
      <w:r w:rsidR="00A02D91" w:rsidRPr="00AA28A4">
        <w:rPr>
          <w:rFonts w:ascii="Times New Roman" w:hAnsi="Times New Roman"/>
          <w:sz w:val="24"/>
          <w:szCs w:val="24"/>
        </w:rPr>
        <w:fldChar w:fldCharType="begin" w:fldLock="1"/>
      </w:r>
      <w:r w:rsidR="006549D2">
        <w:rPr>
          <w:rFonts w:ascii="Times New Roman" w:hAnsi="Times New Roman"/>
          <w:sz w:val="24"/>
          <w:szCs w:val="24"/>
        </w:rPr>
        <w:instrText>ADDIN CSL_CITATION {"citationItems":[{"id":"ITEM-1","itemData":{"DOI":"10.3390/ijms20051003","ISBN":"1422-0067","abstract":"Nanotechnology was well developed during past decades and implemented in a broad range of industrial applications, which led to an inevitable release of nanomaterials into the environment and ecosystem. Silver nanoparticles (AgNPs) are one of the most commonly used nanomaterials in various fields, especially in the agricultural sector. Plants are the basic component of the ecosystem and the most important source of food for mankind; therefore, understanding the impacts of AgNPs on plant growth and development is crucial for the evaluation of potential environmental risks on food safety and human health imposed by AgNPs. The present review summarizes uptake, translocation, and accumulation of AgNPs in plants, and exemplifies the phytotoxicity of AgNPs on plants at morphological, physiological, cellular, and molecular levels. It also focuses on the current understanding of phytotoxicity mechanisms via which AgNPs exert their toxicity on plants. In addition, the tolerance mechanisms underlying survival strategy that plants adopt to cope with adverse effects of AgNPs are discussed.","author":[{"dropping-particle":"","family":"Yan","given":"An","non-dropping-particle":"","parse-names":false,"suffix":""},{"dropping-particle":"","family":"Chen","given":"Zhong","non-dropping-particle":"","parse-names":false,"suffix":""}],"container-title":"International Journal of Molecular Sciences","id":"ITEM-1","issue":"5","issued":{"date-parts":[["2019"]]},"title":"Impacts of Silver Nanoparticles on Plants: A Focus on the Phytotoxicity and Underlying Mechanism","type":"article","volume":"20"},"uris":["http://www.mendeley.com/documents/?uuid=ac4873bb-c58e-4310-a243-67ef28471a00"]},{"id":"ITEM-2","itemData":{"DOI":"10.33263/LIANBS124.102","author":[{"dropping-particle":"","family":"Joicy","given":"Adaikalasamy","non-dropping-particle":"","parse-names":false,"suffix":""},{"dropping-particle":"","family":"Selvamani","given":"Ramasamy","non-dropping-particle":"","parse-names":false,"suffix":""},{"dropping-particle":"","family":"Janani","given":"C","non-dropping-particle":"","parse-names":false,"suffix":""},{"dropping-particle":"","family":"Balasubramanian","given":"Chitra","non-dropping-particle":"","parse-names":false,"suffix":""},{"dropping-particle":"","family":"Prabhu","given":"Kamaraj","non-dropping-particle":"","parse-names":false,"suffix":""},{"dropping-particle":"","family":"Marimuthu","given":"Koperuncholan","non-dropping-particle":"","parse-names":false,"suffix":""},{"dropping-particle":"","family":"Giridharan","given":"Bupesh","non-dropping-particle":"","parse-names":false,"suffix":""},{"dropping-particle":"","family":"Vijayakumar","given":"Tharumasivam","non-dropping-particle":"","parse-names":false,"suffix":""},{"dropping-particle":"","family":"Saravanan","given":"Konda Mani","non-dropping-particle":"","parse-names":false,"suffix":""}],"container-title":"Letters in Applied NanoBioScience","id":"ITEM-2","issued":{"date-parts":[["2023","1","1"]]},"page":"102","title":"Photocatalytic Degradation of Textile Dye Using Green Synthesized Nanoparticles","type":"article-journal","volume":"12"},"uris":["http://www.mendeley.com/documents/?uuid=6d6b30db-5965-4eb4-be98-ee8846d66cbf"]}],"mendeley":{"formattedCitation":"(Joicy et al., 2023; Yan and Chen, 2019)","plainTextFormattedCitation":"(Joicy et al., 2023; Yan and Chen, 2019)","previouslyFormattedCitation":"(Yan and Chen, 2019)"},"properties":{"noteIndex":0},"schema":"https://github.com/citation-style-language/schema/raw/master/csl-citation.json"}</w:instrText>
      </w:r>
      <w:r w:rsidR="00A02D91" w:rsidRPr="00AA28A4">
        <w:rPr>
          <w:rFonts w:ascii="Times New Roman" w:hAnsi="Times New Roman"/>
          <w:sz w:val="24"/>
          <w:szCs w:val="24"/>
        </w:rPr>
        <w:fldChar w:fldCharType="separate"/>
      </w:r>
      <w:r w:rsidR="006549D2" w:rsidRPr="006549D2">
        <w:rPr>
          <w:rFonts w:ascii="Times New Roman" w:hAnsi="Times New Roman"/>
          <w:noProof/>
          <w:sz w:val="24"/>
          <w:szCs w:val="24"/>
        </w:rPr>
        <w:t>(Joicy et al., 2023; Yan and Chen, 2019)</w:t>
      </w:r>
      <w:r w:rsidR="00A02D91" w:rsidRPr="00AA28A4">
        <w:rPr>
          <w:rFonts w:ascii="Times New Roman" w:hAnsi="Times New Roman"/>
          <w:sz w:val="24"/>
          <w:szCs w:val="24"/>
        </w:rPr>
        <w:fldChar w:fldCharType="end"/>
      </w:r>
      <w:r w:rsidRPr="00AA28A4">
        <w:rPr>
          <w:rFonts w:ascii="Times New Roman" w:hAnsi="Times New Roman"/>
          <w:sz w:val="24"/>
          <w:szCs w:val="24"/>
        </w:rPr>
        <w:t xml:space="preserve">. Silver has been widely </w:t>
      </w:r>
      <w:r w:rsidR="00FA4C8D" w:rsidRPr="00AA28A4">
        <w:rPr>
          <w:rFonts w:ascii="Times New Roman" w:hAnsi="Times New Roman"/>
          <w:sz w:val="24"/>
          <w:szCs w:val="24"/>
        </w:rPr>
        <w:t>recognized</w:t>
      </w:r>
      <w:r w:rsidRPr="00AA28A4">
        <w:rPr>
          <w:rFonts w:ascii="Times New Roman" w:hAnsi="Times New Roman"/>
          <w:sz w:val="24"/>
          <w:szCs w:val="24"/>
        </w:rPr>
        <w:t xml:space="preserve"> as an antimicrobial agent within the medical domain for an extended period </w:t>
      </w:r>
      <w:r w:rsidR="009F2A91" w:rsidRPr="00AA28A4">
        <w:rPr>
          <w:rFonts w:ascii="Times New Roman" w:hAnsi="Times New Roman"/>
          <w:sz w:val="24"/>
          <w:szCs w:val="24"/>
        </w:rPr>
        <w:fldChar w:fldCharType="begin" w:fldLock="1"/>
      </w:r>
      <w:r w:rsidR="009F2A91" w:rsidRPr="00AA28A4">
        <w:rPr>
          <w:rFonts w:ascii="Times New Roman" w:hAnsi="Times New Roman"/>
          <w:sz w:val="24"/>
          <w:szCs w:val="24"/>
        </w:rPr>
        <w:instrText>ADDIN CSL_CITATION {"citationItems":[{"id":"ITEM-1","itemData":{"DOI":"https://doi.org/10.1016/j.jff.2014.02.003","ISSN":"1756-4646","abstract":"The phenolic and terpene profiles, as well as antioxidant, anti-inflammatory and antimicrobial activities of extracts and essential oils of Juniperus macrocarpa species were studied. The content of 45 phenolics was determined using LC–MS/MS. Accordingly, significantly different compositions were found between leaves and seed cones extracts, while the dominant compounds were rutin, catechin, quercitrin, epicatechin and amentoflavone. GC–MS showed simple terpene composition, with monoterpenes being dominant and α-pinene as the most abundant compound. Extracts and essential oils of J. macrocarpa showed moderate antioxidant activity comparable to that of butylated hydroxyanisole (BHA). Seed cones showed significant anti-inflammatory activity, with high pro-inflammatory activity of extract towards production of PGE2. Essential oils demonstrated considerable antimicrobial activity against Gram positive bacteria, especially leaves against Clostridium perfringens. J. macrocarpa showed noteworthy biopotential and its usage in food and beverage manufacturing and as a source of potent herbal drugs should be considered.","author":[{"dropping-particle":"","family":"Lesjak","given":"Marija M","non-dropping-particle":"","parse-names":false,"suffix":""},{"dropping-particle":"","family":"Beara","given":"Ivana N","non-dropping-particle":"","parse-names":false,"suffix":""},{"dropping-particle":"","family":"Orčić","given":"Dejan Z","non-dropping-particle":"","parse-names":false,"suffix":""},{"dropping-particle":"","family":"Petar","given":"Knežević N","non-dropping-particle":"","parse-names":false,"suffix":""},{"dropping-particle":"","family":"Simin","given":"Nataša Đ","non-dropping-particle":"","parse-names":false,"suffix":""},{"dropping-particle":"","family":"Emilija","given":"Svirčev Đ","non-dropping-particle":"","parse-names":false,"suffix":""},{"dropping-particle":"","family":"Mimica-Dukić","given":"Neda M","non-dropping-particle":"","parse-names":false,"suffix":""}],"container-title":"Journal of Functional Foods","id":"ITEM-1","issued":{"date-parts":[["2014"]]},"page":"257-268","title":"Phytochemical composition and antioxidant, anti-inflammatory and antimicrobial activities of Juniperus macrocarpa Sibth. et Sm.","type":"article-journal","volume":"7"},"uris":["http://www.mendeley.com/documents/?uuid=286606e2-9664-4d74-8614-07c0a7420622"]}],"mendeley":{"formattedCitation":"(Lesjak et al., 2014)","plainTextFormattedCitation":"(Lesjak et al., 2014)","previouslyFormattedCitation":"(Lesjak et al., 2014)"},"properties":{"noteIndex":0},"schema":"https://github.com/citation-style-language/schema/raw/master/csl-citation.json"}</w:instrText>
      </w:r>
      <w:r w:rsidR="009F2A91" w:rsidRPr="00AA28A4">
        <w:rPr>
          <w:rFonts w:ascii="Times New Roman" w:hAnsi="Times New Roman"/>
          <w:sz w:val="24"/>
          <w:szCs w:val="24"/>
        </w:rPr>
        <w:fldChar w:fldCharType="separate"/>
      </w:r>
      <w:r w:rsidR="009F2A91" w:rsidRPr="00AA28A4">
        <w:rPr>
          <w:rFonts w:ascii="Times New Roman" w:hAnsi="Times New Roman"/>
          <w:noProof/>
          <w:sz w:val="24"/>
          <w:szCs w:val="24"/>
        </w:rPr>
        <w:t>(Lesjak et al., 2014)</w:t>
      </w:r>
      <w:r w:rsidR="009F2A91" w:rsidRPr="00AA28A4">
        <w:rPr>
          <w:rFonts w:ascii="Times New Roman" w:hAnsi="Times New Roman"/>
          <w:sz w:val="24"/>
          <w:szCs w:val="24"/>
        </w:rPr>
        <w:fldChar w:fldCharType="end"/>
      </w:r>
      <w:r w:rsidRPr="00AA28A4">
        <w:rPr>
          <w:rFonts w:ascii="Times New Roman" w:hAnsi="Times New Roman"/>
          <w:sz w:val="24"/>
          <w:szCs w:val="24"/>
        </w:rPr>
        <w:t xml:space="preserve">. According to Martínez-Gutierrez et al., antimicrobial properties in AgNPs can facilitate the development of a broader range of </w:t>
      </w:r>
      <w:proofErr w:type="spellStart"/>
      <w:r w:rsidRPr="00AA28A4">
        <w:rPr>
          <w:rFonts w:ascii="Times New Roman" w:hAnsi="Times New Roman"/>
          <w:sz w:val="24"/>
          <w:szCs w:val="24"/>
        </w:rPr>
        <w:t>nanosilver</w:t>
      </w:r>
      <w:proofErr w:type="spellEnd"/>
      <w:r w:rsidRPr="00AA28A4">
        <w:rPr>
          <w:rFonts w:ascii="Times New Roman" w:hAnsi="Times New Roman"/>
          <w:sz w:val="24"/>
          <w:szCs w:val="24"/>
        </w:rPr>
        <w:t xml:space="preserve"> products</w:t>
      </w:r>
      <w:r w:rsidR="009F2A91" w:rsidRPr="00AA28A4">
        <w:rPr>
          <w:rFonts w:ascii="Times New Roman" w:hAnsi="Times New Roman"/>
          <w:sz w:val="24"/>
          <w:szCs w:val="24"/>
        </w:rPr>
        <w:t xml:space="preserve"> </w:t>
      </w:r>
      <w:r w:rsidR="009F2A91" w:rsidRPr="00AA28A4">
        <w:rPr>
          <w:rFonts w:ascii="Times New Roman" w:hAnsi="Times New Roman"/>
          <w:sz w:val="24"/>
          <w:szCs w:val="24"/>
        </w:rPr>
        <w:fldChar w:fldCharType="begin" w:fldLock="1"/>
      </w:r>
      <w:r w:rsidR="002E469E" w:rsidRPr="00AA28A4">
        <w:rPr>
          <w:rFonts w:ascii="Times New Roman" w:hAnsi="Times New Roman"/>
          <w:sz w:val="24"/>
          <w:szCs w:val="24"/>
        </w:rPr>
        <w:instrText>ADDIN CSL_CITATION {"citationItems":[{"id":"ITEM-1","itemData":{"DOI":"10.1016/j.nano.2011.06.014","ISSN":"1549-9634","abstract":"The incorporation of nanoparticles (NPs) in industrial and biomedical applications has increased significantly in recent years, yet their hazardous and toxic effects have not been studied extensively. Here, we studied the effects of 24 nm silver NPs (AgNPs) on a panel of bacteria isolated from medical devices used in a hospital intensive care unit. The cytotoxic effects were evaluated in macrophages and the expression of the inflammatory cytokines IL-6, IL-10 and TNF-α were quantified. The effects of NPs on coagulation were tested in vitro in plasma-based assays. We demonstrated that 24 nm AgNPs were effective in suppressing the growth of clinically relevant bacteria with moderate to high levels of antibiotic resistance. The NPs had a moderate inhibitory effect when coagulation was initiated through the intrinsic pathway. However, these NPs are cytotoxic to macrophages and are able to elicit an inflammatory response. Thus, beneficial and potential harmful effects of 24 nm AgNPs on biomedical devices must be weighed in further studies in vivo. From the Clinical Editor: The authors of this study demonstrate that gallic acid reduced 24 nm Ag NPs are effective in suppressing growth of clinically relevant antibiotic resistant bacteria. However, these NPs also exhibit cytotoxic properties to macrophages and may trigger an inflammatory response. Thus, the balance of beneficial and potential harmful effects must be weighed carefully in further studies.","author":[{"dropping-particle":"","family":"Martínez-Gutierrez","given":"Fidel","non-dropping-particle":"","parse-names":false,"suffix":""},{"dropping-particle":"","family":"Thi","given":"Emily P","non-dropping-particle":"","parse-names":false,"suffix":""},{"dropping-particle":"","family":"Silverman","given":"Judith M","non-dropping-particle":"","parse-names":false,"suffix":""},{"dropping-particle":"","family":"Oliveira","given":"Carolina Camargo","non-dropping-particle":"de","parse-names":false,"suffix":""},{"dropping-particle":"","family":"Svensson","given":"Sarah L","non-dropping-particle":"","parse-names":false,"suffix":""},{"dropping-particle":"","family":"Hoek","given":"Amanda","non-dropping-particle":"Vanden","parse-names":false,"suffix":""},{"dropping-particle":"","family":"Sánchez","given":"Elpidio Morales","non-dropping-particle":"","parse-names":false,"suffix":""},{"dropping-particle":"","family":"Reiner","given":"Neil E","non-dropping-particle":"","parse-names":false,"suffix":""},{"dropping-particle":"","family":"Gaynor","given":"Erin C","non-dropping-particle":"","parse-names":false,"suffix":""},{"dropping-particle":"","family":"Pryzdial","given":"Edward L G","non-dropping-particle":"","parse-names":false,"suffix":""},{"dropping-particle":"","family":"Conway","given":"Edward M","non-dropping-particle":"","parse-names":false,"suffix":""},{"dropping-particle":"","family":"Orrantia","given":"Erasmo","non-dropping-particle":"","parse-names":false,"suffix":""},{"dropping-particle":"","family":"Ruiz","given":"Facundo","non-dropping-particle":"","parse-names":false,"suffix":""},{"dropping-particle":"","family":"Av-Gay","given":"Yossef","non-dropping-particle":"","parse-names":false,"suffix":""},{"dropping-particle":"","family":"Bach","given":"Horacio","non-dropping-particle":"","parse-names":false,"suffix":""}],"container-title":"Nanomedicine : nanotechnology, biology, and medicine","id":"ITEM-1","issue":"3","issued":{"date-parts":[["2012"]]},"language":"eng","page":"328-336","publisher-place":"Department of Medicine, Division of Infectious Diseases, University of British Columbia, Vancouver, BC, Canada; Facultad de Ciencias Químicas, UASLP, Álvaro Obregón 64, San Luis Potosí, México; Centro de Investigaciones de Materiales Avanzados, Chihuahua,","title":"Antibacterial activity, inflammatory response, coagulation and cytotoxicity effects of silver nanoparticles","type":"article-journal","volume":"8"},"uris":["http://www.mendeley.com/documents/?uuid=7efcce47-ea4c-498b-9527-6f4994c15fbd"]}],"mendeley":{"formattedCitation":"(Martínez-Gutierrez et al., 2012)","plainTextFormattedCitation":"(Martínez-Gutierrez et al., 2012)","previouslyFormattedCitation":"(Martínez-Gutierrez et al., 2012)"},"properties":{"noteIndex":0},"schema":"https://github.com/citation-style-language/schema/raw/master/csl-citation.json"}</w:instrText>
      </w:r>
      <w:r w:rsidR="009F2A91" w:rsidRPr="00AA28A4">
        <w:rPr>
          <w:rFonts w:ascii="Times New Roman" w:hAnsi="Times New Roman"/>
          <w:sz w:val="24"/>
          <w:szCs w:val="24"/>
        </w:rPr>
        <w:fldChar w:fldCharType="separate"/>
      </w:r>
      <w:r w:rsidR="009F2A91" w:rsidRPr="00AA28A4">
        <w:rPr>
          <w:rFonts w:ascii="Times New Roman" w:hAnsi="Times New Roman"/>
          <w:noProof/>
          <w:sz w:val="24"/>
          <w:szCs w:val="24"/>
        </w:rPr>
        <w:t>(Martínez-Gutierrez et al., 2012)</w:t>
      </w:r>
      <w:r w:rsidR="009F2A91" w:rsidRPr="00AA28A4">
        <w:rPr>
          <w:rFonts w:ascii="Times New Roman" w:hAnsi="Times New Roman"/>
          <w:sz w:val="24"/>
          <w:szCs w:val="24"/>
        </w:rPr>
        <w:fldChar w:fldCharType="end"/>
      </w:r>
      <w:r w:rsidRPr="00AA28A4">
        <w:rPr>
          <w:rFonts w:ascii="Times New Roman" w:hAnsi="Times New Roman"/>
          <w:sz w:val="24"/>
          <w:szCs w:val="24"/>
        </w:rPr>
        <w:t>. These may include contraceptive devices, wound dressings coated with nanosilver, and surgical implements. In addition to these attributes. Recently, there have been reports of using silver nanoparticles in various applications, such as detergents, paint formulations, and the textile industry.</w:t>
      </w:r>
    </w:p>
    <w:p w:rsidR="005D19D0" w:rsidRPr="00AA28A4" w:rsidRDefault="009B4A12" w:rsidP="00AA28A4">
      <w:pPr>
        <w:tabs>
          <w:tab w:val="left" w:pos="90"/>
        </w:tabs>
        <w:spacing w:after="0" w:line="360" w:lineRule="auto"/>
        <w:jc w:val="both"/>
        <w:rPr>
          <w:rFonts w:ascii="Times New Roman" w:hAnsi="Times New Roman"/>
          <w:sz w:val="24"/>
          <w:szCs w:val="24"/>
        </w:rPr>
      </w:pPr>
      <w:r w:rsidRPr="00AA28A4">
        <w:rPr>
          <w:rFonts w:ascii="Times New Roman" w:hAnsi="Times New Roman"/>
          <w:sz w:val="24"/>
          <w:szCs w:val="24"/>
        </w:rPr>
        <w:tab/>
      </w:r>
      <w:r w:rsidRPr="00AA28A4">
        <w:rPr>
          <w:rFonts w:ascii="Times New Roman" w:hAnsi="Times New Roman"/>
          <w:sz w:val="24"/>
          <w:szCs w:val="24"/>
        </w:rPr>
        <w:tab/>
        <w:t xml:space="preserve">The </w:t>
      </w:r>
      <w:r w:rsidR="00FA4C8D" w:rsidRPr="00AA28A4">
        <w:rPr>
          <w:rFonts w:ascii="Times New Roman" w:hAnsi="Times New Roman"/>
          <w:sz w:val="24"/>
          <w:szCs w:val="24"/>
        </w:rPr>
        <w:t>utilization</w:t>
      </w:r>
      <w:r w:rsidRPr="00AA28A4">
        <w:rPr>
          <w:rFonts w:ascii="Times New Roman" w:hAnsi="Times New Roman"/>
          <w:sz w:val="24"/>
          <w:szCs w:val="24"/>
        </w:rPr>
        <w:t xml:space="preserve"> of silver nanoparticles (AgNPs) has garnered significant attention in various fields. This is primarily due to the remarkable physicochemical properties of AgNPs </w:t>
      </w:r>
      <w:r w:rsidR="009F2A91" w:rsidRPr="00AA28A4">
        <w:rPr>
          <w:rFonts w:ascii="Times New Roman" w:hAnsi="Times New Roman"/>
          <w:sz w:val="24"/>
          <w:szCs w:val="24"/>
        </w:rPr>
        <w:fldChar w:fldCharType="begin" w:fldLock="1"/>
      </w:r>
      <w:r w:rsidR="009F2A91" w:rsidRPr="00AA28A4">
        <w:rPr>
          <w:rFonts w:ascii="Times New Roman" w:hAnsi="Times New Roman"/>
          <w:sz w:val="24"/>
          <w:szCs w:val="24"/>
        </w:rPr>
        <w:instrText>ADDIN CSL_CITATION {"citationItems":[{"id":"ITEM-1","itemData":{"DOI":"https://doi.org/10.1016/j.matlet.2017.01.076","ISSN":"0167-577X","abstract":"Green synthesis of silver nanoparticles (AgNPs) has gained widespread interest as the alternative method to use natural, non-toxic substances to facilitate the formation of AgNPs. This work reported on the alternative source of reducing and stabilizing agents from tissue extract of weaver ant (Oecophylla smaragdina) larvae. The formation of AgNPs in the reaction containing silver nitrate, the tissue extract, and glucose at 60°C was indicated by the surface plasmon resonance at 428nm. Transmission electron microscopy images revealed spherical AgNPs with the average diameter of 67.4nm. The synthesized AgNPs exhibited potent antibacterial activity against both Staphylococcus aureus and Escherichia coli with the minimum bactericidal concentrations equally at 16μg/mL.","author":[{"dropping-particle":"","family":"Khamhaengpol","given":"Arunrat","non-dropping-particle":"","parse-names":false,"suffix":""},{"dropping-particle":"","family":"Siri","given":"Sineenat","non-dropping-particle":"","parse-names":false,"suffix":""}],"container-title":"Materials Letters","id":"ITEM-1","issued":{"date-parts":[["2017"]]},"page":"72-75","title":"Green synthesis of silver nanoparticles using tissue extract of weaver ant larvae","type":"article-journal","volume":"192"},"uris":["http://www.mendeley.com/documents/?uuid=1abad6c1-c628-4f40-ae40-71915c889c40"]}],"mendeley":{"formattedCitation":"(Khamhaengpol and Siri, 2017)","plainTextFormattedCitation":"(Khamhaengpol and Siri, 2017)","previouslyFormattedCitation":"(Khamhaengpol and Siri, 2017)"},"properties":{"noteIndex":0},"schema":"https://github.com/citation-style-language/schema/raw/master/csl-citation.json"}</w:instrText>
      </w:r>
      <w:r w:rsidR="009F2A91" w:rsidRPr="00AA28A4">
        <w:rPr>
          <w:rFonts w:ascii="Times New Roman" w:hAnsi="Times New Roman"/>
          <w:sz w:val="24"/>
          <w:szCs w:val="24"/>
        </w:rPr>
        <w:fldChar w:fldCharType="separate"/>
      </w:r>
      <w:r w:rsidR="009F2A91" w:rsidRPr="00AA28A4">
        <w:rPr>
          <w:rFonts w:ascii="Times New Roman" w:hAnsi="Times New Roman"/>
          <w:noProof/>
          <w:sz w:val="24"/>
          <w:szCs w:val="24"/>
        </w:rPr>
        <w:t>(Khamhaengpol and Siri, 2017)</w:t>
      </w:r>
      <w:r w:rsidR="009F2A91" w:rsidRPr="00AA28A4">
        <w:rPr>
          <w:rFonts w:ascii="Times New Roman" w:hAnsi="Times New Roman"/>
          <w:sz w:val="24"/>
          <w:szCs w:val="24"/>
        </w:rPr>
        <w:fldChar w:fldCharType="end"/>
      </w:r>
      <w:r w:rsidR="009F2A91" w:rsidRPr="00AA28A4">
        <w:rPr>
          <w:rFonts w:ascii="Times New Roman" w:hAnsi="Times New Roman"/>
          <w:sz w:val="24"/>
          <w:szCs w:val="24"/>
        </w:rPr>
        <w:t xml:space="preserve"> </w:t>
      </w:r>
      <w:r w:rsidRPr="00AA28A4">
        <w:rPr>
          <w:rFonts w:ascii="Times New Roman" w:hAnsi="Times New Roman"/>
          <w:sz w:val="24"/>
          <w:szCs w:val="24"/>
        </w:rPr>
        <w:t xml:space="preserve">and their subsequent potential for application </w:t>
      </w:r>
      <w:r w:rsidR="009F2A91" w:rsidRPr="00AA28A4">
        <w:rPr>
          <w:rFonts w:ascii="Times New Roman" w:hAnsi="Times New Roman"/>
          <w:sz w:val="24"/>
          <w:szCs w:val="24"/>
        </w:rPr>
        <w:fldChar w:fldCharType="begin" w:fldLock="1"/>
      </w:r>
      <w:r w:rsidR="009F2A91" w:rsidRPr="00AA28A4">
        <w:rPr>
          <w:rFonts w:ascii="Times New Roman" w:hAnsi="Times New Roman"/>
          <w:sz w:val="24"/>
          <w:szCs w:val="24"/>
        </w:rPr>
        <w:instrText>ADDIN CSL_CITATION {"citationItems":[{"id":"ITEM-1","itemData":{"DOI":"10.1016/j.procs.2015.12.287","author":[{"dropping-particle":"","family":"Jamil","given":"Nursuriati","non-dropping-particle":"","parse-names":false,"suffix":""},{"dropping-particle":"","family":"Che Hussin","given":"Nuril","non-dropping-particle":"","parse-names":false,"suffix":""},{"dropping-particle":"","family":"Nordin","given":"Sharifalillah","non-dropping-particle":"","parse-names":false,"suffix":""},{"dropping-particle":"","family":"Awang","given":"Khalil","non-dropping-particle":"","parse-names":false,"suffix":""}],"container-title":"Procedia Computer Science","id":"ITEM-1","issued":{"date-parts":[["2015","12","31"]]},"page":"436-442","title":"Automatic Plant Identification: Is Shape the Key Feature?","type":"article-journal","volume":"76"},"uris":["http://www.mendeley.com/documents/?uuid=575aa8b3-cf2e-4e9d-819b-75fa352494e5"]}],"mendeley":{"formattedCitation":"(Jamil et al., 2015)","plainTextFormattedCitation":"(Jamil et al., 2015)","previouslyFormattedCitation":"(Jamil et al., 2015)"},"properties":{"noteIndex":0},"schema":"https://github.com/citation-style-language/schema/raw/master/csl-citation.json"}</w:instrText>
      </w:r>
      <w:r w:rsidR="009F2A91" w:rsidRPr="00AA28A4">
        <w:rPr>
          <w:rFonts w:ascii="Times New Roman" w:hAnsi="Times New Roman"/>
          <w:sz w:val="24"/>
          <w:szCs w:val="24"/>
        </w:rPr>
        <w:fldChar w:fldCharType="separate"/>
      </w:r>
      <w:r w:rsidR="009F2A91" w:rsidRPr="00AA28A4">
        <w:rPr>
          <w:rFonts w:ascii="Times New Roman" w:hAnsi="Times New Roman"/>
          <w:noProof/>
          <w:sz w:val="24"/>
          <w:szCs w:val="24"/>
        </w:rPr>
        <w:t>(Jamil et al., 2015)</w:t>
      </w:r>
      <w:r w:rsidR="009F2A91" w:rsidRPr="00AA28A4">
        <w:rPr>
          <w:rFonts w:ascii="Times New Roman" w:hAnsi="Times New Roman"/>
          <w:sz w:val="24"/>
          <w:szCs w:val="24"/>
        </w:rPr>
        <w:fldChar w:fldCharType="end"/>
      </w:r>
      <w:r w:rsidRPr="00AA28A4">
        <w:rPr>
          <w:rFonts w:ascii="Times New Roman" w:hAnsi="Times New Roman"/>
          <w:sz w:val="24"/>
          <w:szCs w:val="24"/>
        </w:rPr>
        <w:t xml:space="preserve">. The material demonstrates catalytic activity, notable chemical stability, and antibacterial properties, rendering it highly promising for various biological applications </w:t>
      </w:r>
      <w:r w:rsidR="009F2A91" w:rsidRPr="00AA28A4">
        <w:rPr>
          <w:rFonts w:ascii="Times New Roman" w:hAnsi="Times New Roman"/>
          <w:sz w:val="24"/>
          <w:szCs w:val="24"/>
        </w:rPr>
        <w:fldChar w:fldCharType="begin" w:fldLock="1"/>
      </w:r>
      <w:r w:rsidR="00FF065D" w:rsidRPr="00AA28A4">
        <w:rPr>
          <w:rFonts w:ascii="Times New Roman" w:hAnsi="Times New Roman"/>
          <w:sz w:val="24"/>
          <w:szCs w:val="24"/>
        </w:rPr>
        <w:instrText>ADDIN CSL_CITATION {"citationItems":[{"id":"ITEM-1","itemData":{"DOI":"https://doi.org/10.1016/j.drup.2016.04.002","ISSN":"1368-7646","abstract":"Cationic antimicrobial peptides (AMPs) are an intrinsic part of the human innate immune system. Over 100 different human AMPs are known to exhibit broad-spectrum antibacterial activity. Because of the increased frequency of resistance to conventional antibiotics there is an interest in developing AMPs as an alternative antibacterial therapy. Several cationic peptides that are derivatives of AMPs from the human innate immune system are currently in clinical development. There are also ongoing clinical studies aimed at modulating the expression of AMPs to boost the human innate immune response. In this review we discuss the potential problems associated with these therapeutic approaches. There is considerable experimental data describing mechanisms by which bacteria can develop resistance to AMPs. As for any type of drug resistance, the rate by which AMP resistance would emerge and spread in a population of bacteria in a natural setting will be determined by a complex interplay of several different factors, including the mutation supply rate, the fitness of the resistant mutant at different AMP concentrations, and the strength of the selective pressure. Several studies have already shown that AMP-resistant bacterial mutants display broad cross-resistance to a variety of AMPs with different structures and modes of action. Therefore, routine clinical administration of AMPs to treat bacterial infections may select for resistant bacterial pathogens capable of better evading the innate immune system. The ramifications of therapeutic levels of exposure on the development of AMP resistance and bacterial pathogenesis are not yet understood. This is something that needs to be carefully studied and monitored if AMPs are used in clinical settings.","author":[{"dropping-particle":"","family":"Andersson","given":"D I","non-dropping-particle":"","parse-names":false,"suffix":""},{"dropping-particle":"","family":"Hughes","given":"D","non-dropping-particle":"","parse-names":false,"suffix":""},{"dropping-particle":"","family":"Kubicek-Sutherland","given":"J Z","non-dropping-particle":"","parse-names":false,"suffix":""}],"container-title":"Drug Resistance Updates","id":"ITEM-1","issued":{"date-parts":[["2016"]]},"page":"43-57","title":"Mechanisms and consequences of bacterial resistance to antimicrobial peptides","type":"article-journal","volume":"26"},"uris":["http://www.mendeley.com/documents/?uuid=014e47d8-a1c7-4b7b-96ac-5c3398dc8a41"]},{"id":"ITEM-2","itemData":{"DOI":"10.1177/1559325819869502","ISSN":"1559-3258","abstract":"Nanoparticles of metals can be toxic to bacteria, showing biocidal activities at low concentrations. Metal, oxide, or compounds based on copper are applied like antimicrobial agents. The capacity of integration of metallic nanoparticles in polymer matrices has improved the antimicrobial behavior, resulting in the search for composites with increased bactericidal properties. A polycaprolactone (PCL) film polymer with copper oxide nanoparticles (CuONPs) was prepared. Dynamic light scattering analysis showed the sizes from 88 to 97 nm of CuONPs. Scanning electron microscopy (SEM) revealed CuONPs with semispherical shapes with diameter 35 nm. The prepared PCL-CuONPs exhibited a nanoporous structure by SEM. The antibacterial applicability of the composite was evaluated to determine the minimum inhibitory concentration in 6 different bacteria and the experimental tests were carried by disk diffusion and spectrophotometric methods. The PCL-CuONPs exhibit a considerable antibacterial effect in gram-positive bacteria in contrast to gram-negative bacteria. The preparation of PCL-CuONPs was simple, fast, and low cost for practical application as wound dressings.","author":[{"dropping-particle":"","family":"Muñoz-Escobar","given":"Antonio","non-dropping-particle":"","parse-names":false,"suffix":""},{"dropping-particle":"","family":"Ruíz-Baltazar","given":"Álvaro de Jesús","non-dropping-particle":"","parse-names":false,"suffix":""},{"dropping-particle":"","family":"Reyes-López","given":"Simón Yobanny","non-dropping-particle":"","parse-names":false,"suffix":""}],"container-title":"Dose-Response","id":"ITEM-2","issue":"3","issued":{"date-parts":[["2019","7","1"]]},"note":"doi: 10.1177/1559325819869502","page":"1559325819869502","publisher":"SAGE Publications Inc","title":"Novel Route of Synthesis of PCL-CuONPs Composites With Antimicrobial Properties","type":"article-journal","volume":"17"},"uris":["http://www.mendeley.com/documents/?uuid=f28877a9-fbe9-4e09-a160-6b44bc4fafeb"]}],"mendeley":{"formattedCitation":"(Andersson et al., 2016; Muñoz-Escobar et al., 2019)","plainTextFormattedCitation":"(Andersson et al., 2016; Muñoz-Escobar et al., 2019)","previouslyFormattedCitation":"(Andersson et al., 2016; Muñoz-Escobar et al., 2019)"},"properties":{"noteIndex":0},"schema":"https://github.com/citation-style-language/schema/raw/master/csl-citation.json"}</w:instrText>
      </w:r>
      <w:r w:rsidR="009F2A91" w:rsidRPr="00AA28A4">
        <w:rPr>
          <w:rFonts w:ascii="Times New Roman" w:hAnsi="Times New Roman"/>
          <w:sz w:val="24"/>
          <w:szCs w:val="24"/>
        </w:rPr>
        <w:fldChar w:fldCharType="separate"/>
      </w:r>
      <w:r w:rsidR="009F2A91" w:rsidRPr="00AA28A4">
        <w:rPr>
          <w:rFonts w:ascii="Times New Roman" w:hAnsi="Times New Roman"/>
          <w:noProof/>
          <w:sz w:val="24"/>
          <w:szCs w:val="24"/>
        </w:rPr>
        <w:t>(Andersson et al., 2016; Muñoz-Escobar et al., 2019)</w:t>
      </w:r>
      <w:r w:rsidR="009F2A91" w:rsidRPr="00AA28A4">
        <w:rPr>
          <w:rFonts w:ascii="Times New Roman" w:hAnsi="Times New Roman"/>
          <w:sz w:val="24"/>
          <w:szCs w:val="24"/>
        </w:rPr>
        <w:fldChar w:fldCharType="end"/>
      </w:r>
      <w:r w:rsidRPr="00AA28A4">
        <w:rPr>
          <w:rFonts w:ascii="Times New Roman" w:hAnsi="Times New Roman"/>
          <w:sz w:val="24"/>
          <w:szCs w:val="24"/>
        </w:rPr>
        <w:t xml:space="preserve">. Nevertheless, silver nanoparticles (AgNPs) have a crucial function in exhibiting a high level of reactivity, which effectively hinders the processes of oxidation and aggregation among particles. The demand for environmentally friendly methods of metal-nanoparticle synthesis, which do not involve toxic chemicals, has been steadily increasing. This has led to a subsequent rise in the development of green nanoparticle preparation techniques </w:t>
      </w:r>
      <w:r w:rsidR="00FF065D" w:rsidRPr="00AA28A4">
        <w:rPr>
          <w:rFonts w:ascii="Times New Roman" w:hAnsi="Times New Roman"/>
          <w:sz w:val="24"/>
          <w:szCs w:val="24"/>
        </w:rPr>
        <w:fldChar w:fldCharType="begin" w:fldLock="1"/>
      </w:r>
      <w:r w:rsidR="00FF065D" w:rsidRPr="00AA28A4">
        <w:rPr>
          <w:rFonts w:ascii="Times New Roman" w:hAnsi="Times New Roman"/>
          <w:sz w:val="24"/>
          <w:szCs w:val="24"/>
        </w:rPr>
        <w:instrText>ADDIN CSL_CITATION {"citationItems":[{"id":"ITEM-1","itemData":{"DOI":"https://doi.org/10.1016/j.matchemphys.2007.10.019","ISSN":"0254-0584","abstract":"In the present work, silver nanoparticles are prepared by a simple green method. Carboxymethyl cellulose sodium (CMS) is employed to work as both a reducing and a stabilizing reagent in the reaction. Although the hydrolysis of CMS in aqueous solution without the help of catalyst is nearly impossible using conventional heating method, our experimental results show that it can be achieved when the reactive system is radiated by microwave. Consequently, silver ion can be reduced by the hydrolyzate of CMS to form silver nanoparticles. Further studies reveal that CMS with a high concentration will lead to high reactive speed and big particles, however, the inborn silver nanoparticles will be smaller when the CMS concentration is higher than 0.04% for 0.1mM AgNO3. Experimental results have also shown that the concentration of CMS has very small effect on the size distribution, whereas the impact of AgNO3 concentration is obvious. AgNO3 with high concentration will result in big particle and broad size distribution in this reaction. The silver nanoparticles prepared in this way are uniform and stable, which can be stored at room temperature for 2 months without any visible change.","author":[{"dropping-particle":"","family":"Chen","given":"Jing","non-dropping-particle":"","parse-names":false,"suffix":""},{"dropping-particle":"","family":"Wang","given":"Jing","non-dropping-particle":"","parse-names":false,"suffix":""},{"dropping-particle":"","family":"Zhang","given":"Xin","non-dropping-particle":"","parse-names":false,"suffix":""},{"dropping-particle":"","family":"Jin","given":"Yeling","non-dropping-particle":"","parse-names":false,"suffix":""}],"container-title":"Materials Chemistry and Physics","id":"ITEM-1","issue":"2","issued":{"date-parts":[["2008"]]},"page":"421-424","title":"Microwave-assisted green synthesis of silver nanoparticles by carboxymethyl cellulose sodium and silver nitrate","type":"article-journal","volume":"108"},"uris":["http://www.mendeley.com/documents/?uuid=e33f5c97-2805-406b-9e6b-b9bcc67185b3"]}],"mendeley":{"formattedCitation":"(Chen et al., 2008)","plainTextFormattedCitation":"(Chen et al., 2008)","previouslyFormattedCitation":"(Chen et al., 2008)"},"properties":{"noteIndex":0},"schema":"https://github.com/citation-style-language/schema/raw/master/csl-citation.json"}</w:instrText>
      </w:r>
      <w:r w:rsidR="00FF065D" w:rsidRPr="00AA28A4">
        <w:rPr>
          <w:rFonts w:ascii="Times New Roman" w:hAnsi="Times New Roman"/>
          <w:sz w:val="24"/>
          <w:szCs w:val="24"/>
        </w:rPr>
        <w:fldChar w:fldCharType="separate"/>
      </w:r>
      <w:r w:rsidR="00FF065D" w:rsidRPr="00AA28A4">
        <w:rPr>
          <w:rFonts w:ascii="Times New Roman" w:hAnsi="Times New Roman"/>
          <w:noProof/>
          <w:sz w:val="24"/>
          <w:szCs w:val="24"/>
        </w:rPr>
        <w:t>(Chen et al., 2008)</w:t>
      </w:r>
      <w:r w:rsidR="00FF065D" w:rsidRPr="00AA28A4">
        <w:rPr>
          <w:rFonts w:ascii="Times New Roman" w:hAnsi="Times New Roman"/>
          <w:sz w:val="24"/>
          <w:szCs w:val="24"/>
        </w:rPr>
        <w:fldChar w:fldCharType="end"/>
      </w:r>
      <w:r w:rsidRPr="00AA28A4">
        <w:rPr>
          <w:rFonts w:ascii="Times New Roman" w:hAnsi="Times New Roman"/>
          <w:sz w:val="24"/>
          <w:szCs w:val="24"/>
        </w:rPr>
        <w:t>.</w:t>
      </w:r>
    </w:p>
    <w:p w:rsidR="008A0355" w:rsidRPr="00AA28A4" w:rsidRDefault="009B4A12" w:rsidP="00AA28A4">
      <w:pPr>
        <w:tabs>
          <w:tab w:val="left" w:pos="90"/>
        </w:tabs>
        <w:spacing w:after="0" w:line="360" w:lineRule="auto"/>
        <w:jc w:val="both"/>
        <w:rPr>
          <w:rFonts w:ascii="Times New Roman" w:hAnsi="Times New Roman"/>
          <w:sz w:val="24"/>
          <w:szCs w:val="24"/>
        </w:rPr>
      </w:pPr>
      <w:r w:rsidRPr="00AA28A4">
        <w:rPr>
          <w:rFonts w:ascii="Times New Roman" w:hAnsi="Times New Roman"/>
          <w:sz w:val="24"/>
          <w:szCs w:val="24"/>
        </w:rPr>
        <w:tab/>
      </w:r>
      <w:r w:rsidRPr="00AA28A4">
        <w:rPr>
          <w:rFonts w:ascii="Times New Roman" w:hAnsi="Times New Roman"/>
          <w:sz w:val="24"/>
          <w:szCs w:val="24"/>
        </w:rPr>
        <w:tab/>
      </w:r>
      <w:r w:rsidR="005D19D0" w:rsidRPr="00AA28A4">
        <w:rPr>
          <w:rFonts w:ascii="Times New Roman" w:hAnsi="Times New Roman"/>
          <w:sz w:val="24"/>
          <w:szCs w:val="24"/>
        </w:rPr>
        <w:t xml:space="preserve">Nevertheless, numerous conventional methodologies for </w:t>
      </w:r>
      <w:r w:rsidR="00FA4C8D" w:rsidRPr="00AA28A4">
        <w:rPr>
          <w:rFonts w:ascii="Times New Roman" w:hAnsi="Times New Roman"/>
          <w:sz w:val="24"/>
          <w:szCs w:val="24"/>
        </w:rPr>
        <w:t>synthesizing</w:t>
      </w:r>
      <w:r w:rsidR="005D19D0" w:rsidRPr="00AA28A4">
        <w:rPr>
          <w:rFonts w:ascii="Times New Roman" w:hAnsi="Times New Roman"/>
          <w:sz w:val="24"/>
          <w:szCs w:val="24"/>
        </w:rPr>
        <w:t xml:space="preserve"> nanoparticles with precise size and composition exist. Nanoparticles composed of high metal content have been </w:t>
      </w:r>
      <w:r w:rsidR="00FA4C8D" w:rsidRPr="00AA28A4">
        <w:rPr>
          <w:rFonts w:ascii="Times New Roman" w:hAnsi="Times New Roman"/>
          <w:sz w:val="24"/>
          <w:szCs w:val="24"/>
        </w:rPr>
        <w:t>synthesized</w:t>
      </w:r>
      <w:r w:rsidR="005D19D0" w:rsidRPr="00AA28A4">
        <w:rPr>
          <w:rFonts w:ascii="Times New Roman" w:hAnsi="Times New Roman"/>
          <w:sz w:val="24"/>
          <w:szCs w:val="24"/>
        </w:rPr>
        <w:t xml:space="preserve"> using environmentally friendly methods, employing compounds such as CdO, ZnO, Sm2O3, and other metals. These synthesis techniques avoid the use of toxic chemicals and aim to achieve the smallest possible particle size </w:t>
      </w:r>
      <w:r w:rsidR="00FF065D" w:rsidRPr="00AA28A4">
        <w:rPr>
          <w:rFonts w:ascii="Times New Roman" w:hAnsi="Times New Roman"/>
          <w:sz w:val="24"/>
          <w:szCs w:val="24"/>
        </w:rPr>
        <w:fldChar w:fldCharType="begin" w:fldLock="1"/>
      </w:r>
      <w:r w:rsidR="00FF065D" w:rsidRPr="00AA28A4">
        <w:rPr>
          <w:rFonts w:ascii="Times New Roman" w:hAnsi="Times New Roman"/>
          <w:sz w:val="24"/>
          <w:szCs w:val="24"/>
        </w:rPr>
        <w:instrText>ADDIN CSL_CITATION {"citationItems":[{"id":"ITEM-1","itemData":{"DOI":"https://doi.org/10.1016/j.nano.2009.07.002","ISSN":"1549-9634","abstract":"The synthesis of metallic nanoparticles is an active area of academic and, more importantly, “application research” in nanotechnology. A variety of chemical and physical procedures could be used for synthesis of metallic nanoparticles. However, these methods are fraught with many problems including use of toxic solvents, generation of hazardous by-products, and high energy consumption. Accordingly, there is an essential need to develop environmentally benign procedures for synthesis of metallic nanoparticles. A promising approach to achieve this objective is to exploit the array of biological resources in nature. Indeed, over the past several years, plants, algae, fungi, bacteria, and viruses have been used for production of low-cost, energy-efficient, and nontoxic metallic nanoparticles. In this review, we provide an overview of various reports of synthesis of metallic nanoparticles by biological means. From the Clinical Editor This review provides an overview of various methods of synthesis of metallic nanoparticles by biological means. Many chemical and physical procedures used for synthesis of metallic nanoparticles are fraught with major problems: toxic solvents, hazardous by-products, high energy consumption. Over the past several years, plants, algae, fungi, bacteria, and viruses have been used for production of low-cost, energy-efficient, and nontoxic metallic nanoparticles.","author":[{"dropping-particle":"","family":"Thakkar","given":"Kaushik N","non-dropping-particle":"","parse-names":false,"suffix":""},{"dropping-particle":"","family":"Mhatre","given":"Snehit S","non-dropping-particle":"","parse-names":false,"suffix":""},{"dropping-particle":"","family":"Parikh","given":"Rasesh Y","non-dropping-particle":"","parse-names":false,"suffix":""}],"container-title":"Nanomedicine: Nanotechnology, Biology and Medicine","id":"ITEM-1","issue":"2","issued":{"date-parts":[["2010"]]},"page":"257-262","title":"Biological synthesis of metallic nanoparticles","type":"article-journal","volume":"6"},"uris":["http://www.mendeley.com/documents/?uuid=e5e265e8-29a9-44ec-8982-d00a7a5728a1"]},{"id":"ITEM-2","itemData":{"DOI":"10.1016/j.jallcom.2015.06.076","author":[{"dropping-particle":"","family":"Thovhogi","given":"Ntevhe","non-dropping-particle":"","parse-names":false,"suffix":""},{"dropping-particle":"","family":"Diallo","given":"Abdoulaye","non-dropping-particle":"","parse-names":false,"suffix":""},{"dropping-particle":"","family":"Gurib-Fakim","given":"Ameenah","non-dropping-particle":"","parse-names":false,"suffix":""},{"dropping-particle":"","family":"Maaza","given":"Malik","non-dropping-particle":"","parse-names":false,"suffix":""}],"container-title":"Journal of Alloys and Compounds","id":"ITEM-2","issued":{"date-parts":[["2015","4","1"]]},"title":"Nanoparticles green synthesis by Hibiscus Sabdariffa flower extract: Main physical properties","type":"article-journal","volume":"647"},"uris":["http://www.mendeley.com/documents/?uuid=5c6d49a7-ac60-401e-8247-86587209438f"]},{"id":"ITEM-3","itemData":{"DOI":"https://doi.org/10.1016/j.matlet.2015.08.052","ISSN":"0167-577X","abstract":"This contribution reports on the synthesis and the main physical properties of ZnO nanoparticles synthesized for the first time by a completely green process using Agathosma betulina plant extract as an effective chelating agent. The surface/interface and volume room temperature properties of these quasi-spherical 15.8nm in size ZnO nanoparticle by transmission electron microscopy, energy dispersive X-Ray Spectroscopy, X-rays diffraction, attenuated total reflection IR and Raman spectroscopy are reported. Likewise, a spark sintered pellet made of such nanoparticles exhibited a significant nonlinear current–voltage exponential response characteristic of a varistor.","author":[{"dropping-particle":"","family":"Thema","given":"F T","non-dropping-particle":"","parse-names":false,"suffix":""},{"dropping-particle":"","family":"Manikandan","given":"E","non-dropping-particle":"","parse-names":false,"suffix":""},{"dropping-particle":"","family":"Dhlamini","given":"M S","non-dropping-particle":"","parse-names":false,"suffix":""},{"dropping-particle":"","family":"Maaza","given":"M","non-dropping-particle":"","parse-names":false,"suffix":""}],"container-title":"Materials Letters","id":"ITEM-3","issued":{"date-parts":[["2015"]]},"page":"124-127","title":"Green synthesis of ZnO nanoparticles via Agathosma betulina natural extract","type":"article-journal","volume":"161"},"uris":["http://www.mendeley.com/documents/?uuid=7e478113-de7f-467a-b6d2-db233d3415dd"]}],"mendeley":{"formattedCitation":"(Thakkar et al., 2010; Thema et al., 2015; Thovhogi et al., 2015)","plainTextFormattedCitation":"(Thakkar et al., 2010; Thema et al., 2015; Thovhogi et al., 2015)","previouslyFormattedCitation":"(Thakkar et al., 2010; Thema et al., 2015; Thovhogi et al., 2015)"},"properties":{"noteIndex":0},"schema":"https://github.com/citation-style-language/schema/raw/master/csl-citation.json"}</w:instrText>
      </w:r>
      <w:r w:rsidR="00FF065D" w:rsidRPr="00AA28A4">
        <w:rPr>
          <w:rFonts w:ascii="Times New Roman" w:hAnsi="Times New Roman"/>
          <w:sz w:val="24"/>
          <w:szCs w:val="24"/>
        </w:rPr>
        <w:fldChar w:fldCharType="separate"/>
      </w:r>
      <w:r w:rsidR="00FF065D" w:rsidRPr="00AA28A4">
        <w:rPr>
          <w:rFonts w:ascii="Times New Roman" w:hAnsi="Times New Roman"/>
          <w:noProof/>
          <w:sz w:val="24"/>
          <w:szCs w:val="24"/>
        </w:rPr>
        <w:t>(Thakkar et al., 2010; Thema et al., 2015; Thovhogi et al., 2015)</w:t>
      </w:r>
      <w:r w:rsidR="00FF065D" w:rsidRPr="00AA28A4">
        <w:rPr>
          <w:rFonts w:ascii="Times New Roman" w:hAnsi="Times New Roman"/>
          <w:sz w:val="24"/>
          <w:szCs w:val="24"/>
        </w:rPr>
        <w:fldChar w:fldCharType="end"/>
      </w:r>
      <w:r w:rsidR="005D19D0" w:rsidRPr="00AA28A4">
        <w:rPr>
          <w:rFonts w:ascii="Times New Roman" w:hAnsi="Times New Roman"/>
          <w:sz w:val="24"/>
          <w:szCs w:val="24"/>
        </w:rPr>
        <w:t xml:space="preserve">. The synthesis of novel nanoparticles exhibiting diverse sizes and shapes significantly influences their inherently dynamic properties. Nanoparticles (NPs) exhibit significant influence due to their morphology, size, and structure, with the characteristic feature </w:t>
      </w:r>
      <w:r w:rsidR="005D19D0" w:rsidRPr="00AA28A4">
        <w:rPr>
          <w:rFonts w:ascii="Times New Roman" w:hAnsi="Times New Roman"/>
          <w:sz w:val="24"/>
          <w:szCs w:val="24"/>
        </w:rPr>
        <w:lastRenderedPageBreak/>
        <w:t xml:space="preserve">of having smaller diameters ranging from 1 to 100 nanometers. However, it possesses a substantial surface area and finds numerous applications in medicine and industry, including but not limited to biological engineering, electron devices, and catalysts. Various techniques for </w:t>
      </w:r>
      <w:r w:rsidR="00FA4C8D" w:rsidRPr="00AA28A4">
        <w:rPr>
          <w:rFonts w:ascii="Times New Roman" w:hAnsi="Times New Roman"/>
          <w:sz w:val="24"/>
          <w:szCs w:val="24"/>
        </w:rPr>
        <w:t>synthesizing</w:t>
      </w:r>
      <w:r w:rsidR="005D19D0" w:rsidRPr="00AA28A4">
        <w:rPr>
          <w:rFonts w:ascii="Times New Roman" w:hAnsi="Times New Roman"/>
          <w:sz w:val="24"/>
          <w:szCs w:val="24"/>
        </w:rPr>
        <w:t xml:space="preserve"> nanoparticles exist, including extractions and gum-based approaches. The control of nanoparticle (NP) size </w:t>
      </w:r>
      <w:r w:rsidR="00FA4C8D" w:rsidRPr="00AA28A4">
        <w:rPr>
          <w:rFonts w:ascii="Times New Roman" w:hAnsi="Times New Roman"/>
          <w:sz w:val="24"/>
          <w:szCs w:val="24"/>
        </w:rPr>
        <w:t>stabilization</w:t>
      </w:r>
      <w:r w:rsidR="005D19D0" w:rsidRPr="00AA28A4">
        <w:rPr>
          <w:rFonts w:ascii="Times New Roman" w:hAnsi="Times New Roman"/>
          <w:sz w:val="24"/>
          <w:szCs w:val="24"/>
        </w:rPr>
        <w:t xml:space="preserve"> and monitoring was achieved through the use of polysaccharides, as demonstr</w:t>
      </w:r>
      <w:r w:rsidR="00D7438F" w:rsidRPr="00AA28A4">
        <w:rPr>
          <w:rFonts w:ascii="Times New Roman" w:hAnsi="Times New Roman"/>
          <w:sz w:val="24"/>
          <w:szCs w:val="24"/>
        </w:rPr>
        <w:t xml:space="preserve">ated by Andersson et al. </w:t>
      </w:r>
      <w:r w:rsidR="00D7438F" w:rsidRPr="00AA28A4">
        <w:rPr>
          <w:rFonts w:ascii="Times New Roman" w:hAnsi="Times New Roman"/>
          <w:sz w:val="24"/>
          <w:szCs w:val="24"/>
        </w:rPr>
        <w:fldChar w:fldCharType="begin" w:fldLock="1"/>
      </w:r>
      <w:r w:rsidR="00841EA9" w:rsidRPr="00AA28A4">
        <w:rPr>
          <w:rFonts w:ascii="Times New Roman" w:hAnsi="Times New Roman"/>
          <w:sz w:val="24"/>
          <w:szCs w:val="24"/>
        </w:rPr>
        <w:instrText>ADDIN CSL_CITATION {"citationItems":[{"id":"ITEM-1","itemData":{"DOI":"https://doi.org/10.1016/j.drup.2016.04.002","ISSN":"1368-7646","abstract":"Cationic antimicrobial peptides (AMPs) are an intrinsic part of the human innate immune system. Over 100 different human AMPs are known to exhibit broad-spectrum antibacterial activity. Because of the increased frequency of resistance to conventional antibiotics there is an interest in developing AMPs as an alternative antibacterial therapy. Several cationic peptides that are derivatives of AMPs from the human innate immune system are currently in clinical development. There are also ongoing clinical studies aimed at modulating the expression of AMPs to boost the human innate immune response. In this review we discuss the potential problems associated with these therapeutic approaches. There is considerable experimental data describing mechanisms by which bacteria can develop resistance to AMPs. As for any type of drug resistance, the rate by which AMP resistance would emerge and spread in a population of bacteria in a natural setting will be determined by a complex interplay of several different factors, including the mutation supply rate, the fitness of the resistant mutant at different AMP concentrations, and the strength of the selective pressure. Several studies have already shown that AMP-resistant bacterial mutants display broad cross-resistance to a variety of AMPs with different structures and modes of action. Therefore, routine clinical administration of AMPs to treat bacterial infections may select for resistant bacterial pathogens capable of better evading the innate immune system. The ramifications of therapeutic levels of exposure on the development of AMP resistance and bacterial pathogenesis are not yet understood. This is something that needs to be carefully studied and monitored if AMPs are used in clinical settings.","author":[{"dropping-particle":"","family":"Andersson","given":"D I","non-dropping-particle":"","parse-names":false,"suffix":""},{"dropping-particle":"","family":"Hughes","given":"D","non-dropping-particle":"","parse-names":false,"suffix":""},{"dropping-particle":"","family":"Kubicek-Sutherland","given":"J Z","non-dropping-particle":"","parse-names":false,"suffix":""}],"container-title":"Drug Resistance Updates","id":"ITEM-1","issued":{"date-parts":[["2016"]]},"page":"43-57","title":"Mechanisms and consequences of bacterial resistance to antimicrobial peptides","type":"article-journal","volume":"26"},"uris":["http://www.mendeley.com/documents/?uuid=014e47d8-a1c7-4b7b-96ac-5c3398dc8a41"]}],"mendeley":{"formattedCitation":"(Andersson et al., 2016)","plainTextFormattedCitation":"(Andersson et al., 2016)","previouslyFormattedCitation":"(Andersson et al., 2016)"},"properties":{"noteIndex":0},"schema":"https://github.com/citation-style-language/schema/raw/master/csl-citation.json"}</w:instrText>
      </w:r>
      <w:r w:rsidR="00D7438F" w:rsidRPr="00AA28A4">
        <w:rPr>
          <w:rFonts w:ascii="Times New Roman" w:hAnsi="Times New Roman"/>
          <w:sz w:val="24"/>
          <w:szCs w:val="24"/>
        </w:rPr>
        <w:fldChar w:fldCharType="separate"/>
      </w:r>
      <w:r w:rsidR="00D7438F" w:rsidRPr="00AA28A4">
        <w:rPr>
          <w:rFonts w:ascii="Times New Roman" w:hAnsi="Times New Roman"/>
          <w:noProof/>
          <w:sz w:val="24"/>
          <w:szCs w:val="24"/>
        </w:rPr>
        <w:t>(Andersson et al., 2016)</w:t>
      </w:r>
      <w:r w:rsidR="00D7438F" w:rsidRPr="00AA28A4">
        <w:rPr>
          <w:rFonts w:ascii="Times New Roman" w:hAnsi="Times New Roman"/>
          <w:sz w:val="24"/>
          <w:szCs w:val="24"/>
        </w:rPr>
        <w:fldChar w:fldCharType="end"/>
      </w:r>
      <w:r w:rsidR="005D19D0" w:rsidRPr="00AA28A4">
        <w:rPr>
          <w:rFonts w:ascii="Times New Roman" w:hAnsi="Times New Roman"/>
          <w:sz w:val="24"/>
          <w:szCs w:val="24"/>
        </w:rPr>
        <w:t xml:space="preserve">. The primary aim of this investigation is to propose an efficient and effective method for the green synthesis of AgNP's, which have demonstrated notable </w:t>
      </w:r>
      <w:r w:rsidR="00B00A03" w:rsidRPr="00AA28A4">
        <w:rPr>
          <w:rFonts w:ascii="Times New Roman" w:hAnsi="Times New Roman"/>
          <w:sz w:val="24"/>
          <w:szCs w:val="24"/>
        </w:rPr>
        <w:t>biologica</w:t>
      </w:r>
      <w:r w:rsidR="00F4229D" w:rsidRPr="00AA28A4">
        <w:rPr>
          <w:rFonts w:ascii="Times New Roman" w:hAnsi="Times New Roman"/>
          <w:sz w:val="24"/>
          <w:szCs w:val="24"/>
        </w:rPr>
        <w:t>l</w:t>
      </w:r>
      <w:r w:rsidR="005D19D0" w:rsidRPr="00AA28A4">
        <w:rPr>
          <w:rFonts w:ascii="Times New Roman" w:hAnsi="Times New Roman"/>
          <w:sz w:val="24"/>
          <w:szCs w:val="24"/>
        </w:rPr>
        <w:t xml:space="preserve"> characteristics.</w:t>
      </w:r>
    </w:p>
    <w:p w:rsidR="00207272" w:rsidRPr="00AA28A4" w:rsidRDefault="00207272" w:rsidP="00AA28A4">
      <w:pPr>
        <w:tabs>
          <w:tab w:val="left" w:pos="90"/>
        </w:tabs>
        <w:spacing w:after="0" w:line="360" w:lineRule="auto"/>
        <w:jc w:val="both"/>
        <w:rPr>
          <w:rFonts w:ascii="Times New Roman" w:hAnsi="Times New Roman"/>
          <w:sz w:val="24"/>
          <w:szCs w:val="24"/>
        </w:rPr>
      </w:pPr>
    </w:p>
    <w:p w:rsidR="008A0355" w:rsidRPr="00AA28A4" w:rsidRDefault="009B4A12" w:rsidP="00AA28A4">
      <w:pPr>
        <w:tabs>
          <w:tab w:val="left" w:pos="90"/>
        </w:tabs>
        <w:spacing w:after="0" w:line="360" w:lineRule="auto"/>
        <w:jc w:val="both"/>
        <w:rPr>
          <w:rFonts w:ascii="Times New Roman" w:hAnsi="Times New Roman"/>
          <w:b/>
          <w:bCs/>
          <w:sz w:val="24"/>
          <w:szCs w:val="24"/>
        </w:rPr>
      </w:pPr>
      <w:r w:rsidRPr="00AA28A4">
        <w:rPr>
          <w:rFonts w:ascii="Times New Roman" w:hAnsi="Times New Roman"/>
          <w:b/>
          <w:bCs/>
          <w:sz w:val="24"/>
          <w:szCs w:val="24"/>
        </w:rPr>
        <w:t>2. METHODS</w:t>
      </w:r>
    </w:p>
    <w:p w:rsidR="008A0355" w:rsidRPr="00AA28A4" w:rsidRDefault="009B4A12" w:rsidP="00AA28A4">
      <w:pPr>
        <w:spacing w:after="0" w:line="360" w:lineRule="auto"/>
        <w:jc w:val="both"/>
        <w:rPr>
          <w:rFonts w:ascii="Times New Roman" w:hAnsi="Times New Roman"/>
          <w:b/>
          <w:bCs/>
          <w:sz w:val="24"/>
          <w:szCs w:val="24"/>
        </w:rPr>
      </w:pPr>
      <w:r w:rsidRPr="00AA28A4">
        <w:rPr>
          <w:rFonts w:ascii="Times New Roman" w:hAnsi="Times New Roman"/>
          <w:b/>
          <w:bCs/>
          <w:sz w:val="24"/>
          <w:szCs w:val="24"/>
        </w:rPr>
        <w:t xml:space="preserve">2.1. </w:t>
      </w:r>
      <w:r w:rsidR="00F4229D" w:rsidRPr="00AA28A4">
        <w:rPr>
          <w:rFonts w:ascii="Times New Roman" w:hAnsi="Times New Roman"/>
          <w:b/>
          <w:bCs/>
          <w:sz w:val="24"/>
          <w:szCs w:val="24"/>
        </w:rPr>
        <w:t>S</w:t>
      </w:r>
      <w:r w:rsidRPr="00AA28A4">
        <w:rPr>
          <w:rFonts w:ascii="Times New Roman" w:hAnsi="Times New Roman"/>
          <w:b/>
          <w:bCs/>
          <w:sz w:val="24"/>
          <w:szCs w:val="24"/>
        </w:rPr>
        <w:t>eaweed</w:t>
      </w:r>
      <w:r w:rsidR="00F4229D" w:rsidRPr="00AA28A4">
        <w:rPr>
          <w:rFonts w:ascii="Times New Roman" w:hAnsi="Times New Roman"/>
          <w:b/>
          <w:bCs/>
          <w:sz w:val="24"/>
          <w:szCs w:val="24"/>
        </w:rPr>
        <w:t xml:space="preserve"> Collection</w:t>
      </w:r>
    </w:p>
    <w:p w:rsidR="0030195E" w:rsidRPr="00AA28A4" w:rsidRDefault="009B4A12" w:rsidP="00AA28A4">
      <w:pPr>
        <w:spacing w:after="0" w:line="360" w:lineRule="auto"/>
        <w:ind w:firstLine="720"/>
        <w:jc w:val="both"/>
        <w:rPr>
          <w:rFonts w:ascii="Times New Roman" w:hAnsi="Times New Roman"/>
          <w:sz w:val="24"/>
          <w:szCs w:val="24"/>
        </w:rPr>
      </w:pPr>
      <w:r w:rsidRPr="00483EE7">
        <w:rPr>
          <w:rFonts w:ascii="Times New Roman" w:hAnsi="Times New Roman"/>
          <w:i/>
          <w:sz w:val="24"/>
          <w:szCs w:val="24"/>
        </w:rPr>
        <w:t>Chondrococcus hornemannii</w:t>
      </w:r>
      <w:r w:rsidRPr="00AA28A4">
        <w:rPr>
          <w:rFonts w:ascii="Times New Roman" w:hAnsi="Times New Roman"/>
          <w:sz w:val="24"/>
          <w:szCs w:val="24"/>
        </w:rPr>
        <w:t xml:space="preserve"> (Lyngbye), a species of red seaweed, was obtained from the coastal region of Villoondi Theertham. This particular location was situated in the region between Rameswaram and Pamban, which are both located in the state of Tamil Nadu, India. The identification of the seaweed was conducted through the </w:t>
      </w:r>
      <w:r w:rsidR="00FA4C8D" w:rsidRPr="00AA28A4">
        <w:rPr>
          <w:rFonts w:ascii="Times New Roman" w:hAnsi="Times New Roman"/>
          <w:sz w:val="24"/>
          <w:szCs w:val="24"/>
        </w:rPr>
        <w:t>utilization</w:t>
      </w:r>
      <w:r w:rsidRPr="00AA28A4">
        <w:rPr>
          <w:rFonts w:ascii="Times New Roman" w:hAnsi="Times New Roman"/>
          <w:sz w:val="24"/>
          <w:szCs w:val="24"/>
        </w:rPr>
        <w:t xml:space="preserve"> of morphological characterization. The seaweed was thoroughly washed using running tap water and two subsequent washes with a 10% SDS solution. The washed seaweeds were subjected to a drying process for one week at a temperature of 37ºC. The concentrated aqueous liquid extracts were prepared using hot extraction with water as the solvent. The powder was combined with a volume of water twice as large and subsequently subjected to boiling. Subsequently, the samples that had undergone boiling were filtrated. The filtered samples were then further filtered. The resulting filtrate was stored at 4ºC for subsequent experimental procedures.</w:t>
      </w:r>
    </w:p>
    <w:p w:rsidR="008A0355" w:rsidRPr="00AA28A4" w:rsidRDefault="009B4A12" w:rsidP="00AA28A4">
      <w:pPr>
        <w:spacing w:after="0" w:line="360" w:lineRule="auto"/>
        <w:jc w:val="both"/>
        <w:rPr>
          <w:rFonts w:ascii="Times New Roman" w:hAnsi="Times New Roman"/>
          <w:b/>
          <w:bCs/>
          <w:sz w:val="24"/>
          <w:szCs w:val="24"/>
        </w:rPr>
      </w:pPr>
      <w:r w:rsidRPr="00AA28A4">
        <w:rPr>
          <w:rFonts w:ascii="Times New Roman" w:hAnsi="Times New Roman"/>
          <w:b/>
          <w:bCs/>
          <w:sz w:val="24"/>
          <w:szCs w:val="24"/>
        </w:rPr>
        <w:t>2.2 Synthesis of nanoparticle</w:t>
      </w:r>
      <w:r w:rsidR="00292360" w:rsidRPr="00AA28A4">
        <w:rPr>
          <w:rFonts w:ascii="Times New Roman" w:hAnsi="Times New Roman"/>
          <w:b/>
          <w:bCs/>
          <w:sz w:val="24"/>
          <w:szCs w:val="24"/>
        </w:rPr>
        <w:t>s</w:t>
      </w:r>
    </w:p>
    <w:p w:rsidR="0030195E" w:rsidRPr="00AA28A4" w:rsidRDefault="009B4A12" w:rsidP="00AA28A4">
      <w:pPr>
        <w:spacing w:after="0" w:line="360" w:lineRule="auto"/>
        <w:ind w:firstLine="720"/>
        <w:jc w:val="both"/>
        <w:rPr>
          <w:rFonts w:ascii="Times New Roman" w:hAnsi="Times New Roman"/>
          <w:b/>
          <w:bCs/>
          <w:sz w:val="24"/>
          <w:szCs w:val="24"/>
        </w:rPr>
      </w:pPr>
      <w:r w:rsidRPr="00AA28A4">
        <w:rPr>
          <w:rFonts w:ascii="Times New Roman" w:hAnsi="Times New Roman"/>
          <w:sz w:val="24"/>
          <w:szCs w:val="24"/>
        </w:rPr>
        <w:t xml:space="preserve">A 1 millimolar (mM) silver nitrate (AgNO3) solution from Sigma-Aldrich served as a source of silver ions. Subsequently, the aqueous liquid extract of </w:t>
      </w:r>
      <w:r w:rsidRPr="00AA28A4">
        <w:rPr>
          <w:rFonts w:ascii="Times New Roman" w:hAnsi="Times New Roman"/>
          <w:i/>
          <w:sz w:val="24"/>
          <w:szCs w:val="24"/>
        </w:rPr>
        <w:t>Chondrococcus</w:t>
      </w:r>
      <w:r w:rsidR="00FA4C8D" w:rsidRPr="00AA28A4">
        <w:rPr>
          <w:rFonts w:ascii="Times New Roman" w:hAnsi="Times New Roman"/>
          <w:i/>
          <w:sz w:val="24"/>
          <w:szCs w:val="24"/>
        </w:rPr>
        <w:t xml:space="preserve"> </w:t>
      </w:r>
      <w:r w:rsidRPr="00AA28A4">
        <w:rPr>
          <w:rFonts w:ascii="Times New Roman" w:hAnsi="Times New Roman"/>
          <w:i/>
          <w:sz w:val="24"/>
          <w:szCs w:val="24"/>
        </w:rPr>
        <w:t>hornemannii</w:t>
      </w:r>
      <w:r w:rsidRPr="00AA28A4">
        <w:rPr>
          <w:rFonts w:ascii="Times New Roman" w:hAnsi="Times New Roman"/>
          <w:sz w:val="24"/>
          <w:szCs w:val="24"/>
        </w:rPr>
        <w:t xml:space="preserve">, measuring 1 mL, was solubilized in a solution containing 50 mL of silver nitrate with a concentration of 1 millimolar. The colorless solution (AgNO3 solution) was transformed into a dark brown color through direct visual observation, and the samples were subsequently verified using Ultraviolet-visible spectroscopy. The </w:t>
      </w:r>
      <w:r w:rsidR="00470AA6" w:rsidRPr="00AA28A4">
        <w:rPr>
          <w:rFonts w:ascii="Times New Roman" w:hAnsi="Times New Roman"/>
          <w:sz w:val="24"/>
          <w:szCs w:val="24"/>
        </w:rPr>
        <w:t>utilization</w:t>
      </w:r>
      <w:r w:rsidRPr="00AA28A4">
        <w:rPr>
          <w:rFonts w:ascii="Times New Roman" w:hAnsi="Times New Roman"/>
          <w:sz w:val="24"/>
          <w:szCs w:val="24"/>
        </w:rPr>
        <w:t xml:space="preserve"> of an aqueous extract derived from seaweeds as a negative control was implemented in the study. All experimental procedures were replicated twice and conducted in </w:t>
      </w:r>
      <w:r w:rsidR="00470AA6" w:rsidRPr="00AA28A4">
        <w:rPr>
          <w:rFonts w:ascii="Times New Roman" w:hAnsi="Times New Roman"/>
          <w:sz w:val="24"/>
          <w:szCs w:val="24"/>
        </w:rPr>
        <w:t xml:space="preserve">triplicate. </w:t>
      </w:r>
      <w:r w:rsidRPr="00AA28A4">
        <w:rPr>
          <w:rFonts w:ascii="Times New Roman" w:hAnsi="Times New Roman"/>
          <w:sz w:val="24"/>
          <w:szCs w:val="24"/>
        </w:rPr>
        <w:t xml:space="preserve">Following centrifugation, the liquid portion above </w:t>
      </w:r>
      <w:r w:rsidRPr="00AA28A4">
        <w:rPr>
          <w:rFonts w:ascii="Times New Roman" w:hAnsi="Times New Roman"/>
          <w:sz w:val="24"/>
          <w:szCs w:val="24"/>
        </w:rPr>
        <w:lastRenderedPageBreak/>
        <w:t xml:space="preserve">the sediment, known as the supernatant, was meticulously extracted. The concluding </w:t>
      </w:r>
      <w:r w:rsidR="00F275AC" w:rsidRPr="00AA28A4">
        <w:rPr>
          <w:rFonts w:ascii="Times New Roman" w:hAnsi="Times New Roman"/>
          <w:sz w:val="24"/>
          <w:szCs w:val="24"/>
        </w:rPr>
        <w:t>residue</w:t>
      </w:r>
      <w:r w:rsidRPr="00AA28A4">
        <w:rPr>
          <w:rFonts w:ascii="Times New Roman" w:hAnsi="Times New Roman"/>
          <w:sz w:val="24"/>
          <w:szCs w:val="24"/>
        </w:rPr>
        <w:t xml:space="preserve"> was retained for future </w:t>
      </w:r>
      <w:r w:rsidR="00470AA6" w:rsidRPr="00AA28A4">
        <w:rPr>
          <w:rFonts w:ascii="Times New Roman" w:hAnsi="Times New Roman"/>
          <w:sz w:val="24"/>
          <w:szCs w:val="24"/>
        </w:rPr>
        <w:t>utilization</w:t>
      </w:r>
      <w:r w:rsidRPr="00AA28A4">
        <w:rPr>
          <w:rFonts w:ascii="Times New Roman" w:hAnsi="Times New Roman"/>
          <w:sz w:val="24"/>
          <w:szCs w:val="24"/>
        </w:rPr>
        <w:t>.</w:t>
      </w:r>
    </w:p>
    <w:p w:rsidR="008A0355" w:rsidRPr="00AA28A4" w:rsidRDefault="009B4A12" w:rsidP="00AA28A4">
      <w:pPr>
        <w:spacing w:after="0" w:line="360" w:lineRule="auto"/>
        <w:jc w:val="both"/>
        <w:rPr>
          <w:rFonts w:ascii="Times New Roman" w:hAnsi="Times New Roman"/>
          <w:b/>
          <w:bCs/>
          <w:sz w:val="24"/>
          <w:szCs w:val="24"/>
        </w:rPr>
      </w:pPr>
      <w:r w:rsidRPr="00AA28A4">
        <w:rPr>
          <w:rFonts w:ascii="Times New Roman" w:hAnsi="Times New Roman"/>
          <w:b/>
          <w:bCs/>
          <w:sz w:val="24"/>
          <w:szCs w:val="24"/>
        </w:rPr>
        <w:t xml:space="preserve">2.3. </w:t>
      </w:r>
      <w:r w:rsidR="00292360" w:rsidRPr="00AA28A4">
        <w:rPr>
          <w:rFonts w:ascii="Times New Roman" w:hAnsi="Times New Roman"/>
          <w:b/>
          <w:bCs/>
          <w:sz w:val="24"/>
          <w:szCs w:val="24"/>
        </w:rPr>
        <w:t>S</w:t>
      </w:r>
      <w:r w:rsidRPr="00AA28A4">
        <w:rPr>
          <w:rFonts w:ascii="Times New Roman" w:hAnsi="Times New Roman"/>
          <w:b/>
          <w:bCs/>
          <w:sz w:val="24"/>
          <w:szCs w:val="24"/>
        </w:rPr>
        <w:t xml:space="preserve">creening of </w:t>
      </w:r>
      <w:proofErr w:type="spellStart"/>
      <w:r w:rsidRPr="00AA28A4">
        <w:rPr>
          <w:rFonts w:ascii="Times New Roman" w:hAnsi="Times New Roman"/>
          <w:b/>
          <w:bCs/>
          <w:sz w:val="24"/>
          <w:szCs w:val="24"/>
        </w:rPr>
        <w:t>AgNPs</w:t>
      </w:r>
      <w:proofErr w:type="spellEnd"/>
    </w:p>
    <w:p w:rsidR="005D19D0" w:rsidRPr="00AA28A4" w:rsidRDefault="009B4A12" w:rsidP="00AA28A4">
      <w:pPr>
        <w:spacing w:after="0" w:line="360" w:lineRule="auto"/>
        <w:jc w:val="both"/>
        <w:rPr>
          <w:rFonts w:ascii="Times New Roman" w:hAnsi="Times New Roman"/>
          <w:sz w:val="24"/>
          <w:szCs w:val="24"/>
        </w:rPr>
      </w:pPr>
      <w:r w:rsidRPr="00AA28A4">
        <w:rPr>
          <w:rFonts w:ascii="Times New Roman" w:hAnsi="Times New Roman"/>
          <w:sz w:val="24"/>
          <w:szCs w:val="24"/>
        </w:rPr>
        <w:t>The investigation focused on examining th</w:t>
      </w:r>
      <w:r w:rsidR="00F275AC" w:rsidRPr="00AA28A4">
        <w:rPr>
          <w:rFonts w:ascii="Times New Roman" w:hAnsi="Times New Roman"/>
          <w:sz w:val="24"/>
          <w:szCs w:val="24"/>
        </w:rPr>
        <w:t>e composition of phytochemicals</w:t>
      </w:r>
      <w:r w:rsidRPr="00AA28A4">
        <w:rPr>
          <w:rFonts w:ascii="Times New Roman" w:hAnsi="Times New Roman"/>
          <w:sz w:val="24"/>
          <w:szCs w:val="24"/>
        </w:rPr>
        <w:t xml:space="preserve"> in the aqueous extract</w:t>
      </w:r>
      <w:r w:rsidR="00F24F0F" w:rsidRPr="00AA28A4">
        <w:rPr>
          <w:rFonts w:ascii="Times New Roman" w:hAnsi="Times New Roman"/>
          <w:sz w:val="24"/>
          <w:szCs w:val="24"/>
        </w:rPr>
        <w:t xml:space="preserve">. </w:t>
      </w:r>
      <w:r w:rsidRPr="00AA28A4">
        <w:rPr>
          <w:rFonts w:ascii="Times New Roman" w:hAnsi="Times New Roman"/>
          <w:sz w:val="24"/>
          <w:szCs w:val="24"/>
        </w:rPr>
        <w:t>The research methodology followed the protocol established by Farnsworth in 1966</w:t>
      </w:r>
      <w:r w:rsidR="00841EA9" w:rsidRPr="00AA28A4">
        <w:rPr>
          <w:rFonts w:ascii="Times New Roman" w:hAnsi="Times New Roman"/>
          <w:sz w:val="24"/>
          <w:szCs w:val="24"/>
        </w:rPr>
        <w:t xml:space="preserve"> </w:t>
      </w:r>
      <w:r w:rsidR="00841EA9" w:rsidRPr="00AA28A4">
        <w:rPr>
          <w:rFonts w:ascii="Times New Roman" w:hAnsi="Times New Roman"/>
          <w:sz w:val="24"/>
          <w:szCs w:val="24"/>
        </w:rPr>
        <w:fldChar w:fldCharType="begin" w:fldLock="1"/>
      </w:r>
      <w:r w:rsidR="00841EA9" w:rsidRPr="00AA28A4">
        <w:rPr>
          <w:rFonts w:ascii="Times New Roman" w:hAnsi="Times New Roman"/>
          <w:sz w:val="24"/>
          <w:szCs w:val="24"/>
        </w:rPr>
        <w:instrText>ADDIN CSL_CITATION {"citationItems":[{"id":"ITEM-1","itemData":{"ISSN":"0042-9686","abstract":"One of the prerequisites for the success of primary health care is the availability and use of suitable drugs. Plants have always been a common source of medicaments, either in the form of traditional preparations or as pure active principles. It is thus reasonable for decision-makers to identify locally available plants or plant extracts that could usefully be added to the national list of drugs, or that could even replace some pharmaceutical preparations that need to be purchased and imported. This update article presents a list of plant-derived drugs, with the names of the plant sources, and their actions or uses in therapy.","author":[{"dropping-particle":"","family":"Farnsworth","given":"N R","non-dropping-particle":"","parse-names":false,"suffix":""},{"dropping-particle":"","family":"Akerele","given":"O","non-dropping-particle":"","parse-names":false,"suffix":""},{"dropping-particle":"","family":"Bingel","given":"A S","non-dropping-particle":"","parse-names":false,"suffix":""},{"dropping-particle":"","family":"Soejarto","given":"D D","non-dropping-particle":"","parse-names":false,"suffix":""},{"dropping-particle":"","family":"Guo","given":"Z","non-dropping-particle":"","parse-names":false,"suffix":""}],"container-title":"Bulletin of the World Health Organization","id":"ITEM-1","issue":"6","issued":{"date-parts":[["1985"]]},"language":"eng","page":"965-981","title":"Medicinal plants in therapy","type":"article-journal","volume":"63"},"uris":["http://www.mendeley.com/documents/?uuid=f9c16a09-850d-4232-8818-fac06d0f208c"]}],"mendeley":{"formattedCitation":"(Farnsworth et al., 1985)","plainTextFormattedCitation":"(Farnsworth et al., 1985)","previouslyFormattedCitation":"(Farnsworth et al., 1985)"},"properties":{"noteIndex":0},"schema":"https://github.com/citation-style-language/schema/raw/master/csl-citation.json"}</w:instrText>
      </w:r>
      <w:r w:rsidR="00841EA9" w:rsidRPr="00AA28A4">
        <w:rPr>
          <w:rFonts w:ascii="Times New Roman" w:hAnsi="Times New Roman"/>
          <w:sz w:val="24"/>
          <w:szCs w:val="24"/>
        </w:rPr>
        <w:fldChar w:fldCharType="separate"/>
      </w:r>
      <w:r w:rsidR="00841EA9" w:rsidRPr="00AA28A4">
        <w:rPr>
          <w:rFonts w:ascii="Times New Roman" w:hAnsi="Times New Roman"/>
          <w:noProof/>
          <w:sz w:val="24"/>
          <w:szCs w:val="24"/>
        </w:rPr>
        <w:t>(Farnsworth et al., 1985)</w:t>
      </w:r>
      <w:r w:rsidR="00841EA9" w:rsidRPr="00AA28A4">
        <w:rPr>
          <w:rFonts w:ascii="Times New Roman" w:hAnsi="Times New Roman"/>
          <w:sz w:val="24"/>
          <w:szCs w:val="24"/>
        </w:rPr>
        <w:fldChar w:fldCharType="end"/>
      </w:r>
      <w:r w:rsidRPr="00AA28A4">
        <w:rPr>
          <w:rFonts w:ascii="Times New Roman" w:hAnsi="Times New Roman"/>
          <w:sz w:val="24"/>
          <w:szCs w:val="24"/>
        </w:rPr>
        <w:t>.</w:t>
      </w:r>
    </w:p>
    <w:p w:rsidR="008A0355" w:rsidRPr="00AA28A4" w:rsidRDefault="009B4A12" w:rsidP="00AA28A4">
      <w:pPr>
        <w:spacing w:after="0" w:line="360" w:lineRule="auto"/>
        <w:jc w:val="both"/>
        <w:rPr>
          <w:rFonts w:ascii="Times New Roman" w:hAnsi="Times New Roman"/>
          <w:b/>
          <w:bCs/>
          <w:sz w:val="24"/>
          <w:szCs w:val="24"/>
        </w:rPr>
      </w:pPr>
      <w:r w:rsidRPr="00AA28A4">
        <w:rPr>
          <w:rFonts w:ascii="Times New Roman" w:hAnsi="Times New Roman"/>
          <w:b/>
          <w:bCs/>
          <w:sz w:val="24"/>
          <w:szCs w:val="24"/>
        </w:rPr>
        <w:t xml:space="preserve">2.4. Characterization of </w:t>
      </w:r>
      <w:proofErr w:type="spellStart"/>
      <w:r w:rsidR="004930A9" w:rsidRPr="00AA28A4">
        <w:rPr>
          <w:rFonts w:ascii="Times New Roman" w:hAnsi="Times New Roman"/>
          <w:b/>
          <w:bCs/>
          <w:sz w:val="24"/>
          <w:szCs w:val="24"/>
        </w:rPr>
        <w:t>AgNP</w:t>
      </w:r>
      <w:r w:rsidRPr="00AA28A4">
        <w:rPr>
          <w:rFonts w:ascii="Times New Roman" w:hAnsi="Times New Roman"/>
          <w:b/>
          <w:bCs/>
          <w:sz w:val="24"/>
          <w:szCs w:val="24"/>
        </w:rPr>
        <w:t>s</w:t>
      </w:r>
      <w:proofErr w:type="spellEnd"/>
    </w:p>
    <w:p w:rsidR="0030195E" w:rsidRPr="00AA28A4" w:rsidRDefault="009B4A12" w:rsidP="00AA28A4">
      <w:pPr>
        <w:spacing w:after="0" w:line="360" w:lineRule="auto"/>
        <w:ind w:firstLine="720"/>
        <w:jc w:val="both"/>
        <w:rPr>
          <w:rFonts w:ascii="Times New Roman" w:hAnsi="Times New Roman"/>
          <w:sz w:val="24"/>
          <w:szCs w:val="24"/>
        </w:rPr>
      </w:pPr>
      <w:r w:rsidRPr="00AA28A4">
        <w:rPr>
          <w:rFonts w:ascii="Times New Roman" w:hAnsi="Times New Roman"/>
          <w:sz w:val="24"/>
          <w:szCs w:val="24"/>
        </w:rPr>
        <w:t xml:space="preserve">A volume of 1 mL of the prepared sample was analyzed using UV spectroscopy at various wavelengths, employing a spectrophotometer. The absorbance spectra were recorded using a UV spectrophotometer (UV-1800m, Shimadzu) within the 300-700 nm wavelength range. Following a 48-hour reaction, the mixture containing synthetic silver nanoparticles (AgNPs) underwent centrifugation at 13,000 revolutions per minute (rpm) for 15 minutes at a temperature of 4ºC. Subsequently, the supernatant was meticulously extracted. The pellets were dissolved in sterile MilliQ water and filtered through a Millipore filter (0.45µm) to remove impurities. The FTIR spectrum of the dried reaction mixture was obtained using Bruker Optik GmbH, Germany (Model: TENSOR 27). </w:t>
      </w:r>
    </w:p>
    <w:p w:rsidR="008A0355" w:rsidRPr="00AA28A4" w:rsidRDefault="009B4A12" w:rsidP="00AA28A4">
      <w:pPr>
        <w:spacing w:after="0" w:line="360" w:lineRule="auto"/>
        <w:jc w:val="both"/>
        <w:rPr>
          <w:rFonts w:ascii="Times New Roman" w:hAnsi="Times New Roman"/>
          <w:b/>
          <w:bCs/>
          <w:sz w:val="24"/>
          <w:szCs w:val="24"/>
        </w:rPr>
      </w:pPr>
      <w:r w:rsidRPr="00AA28A4">
        <w:rPr>
          <w:rFonts w:ascii="Times New Roman" w:hAnsi="Times New Roman"/>
          <w:b/>
          <w:bCs/>
          <w:sz w:val="24"/>
          <w:szCs w:val="24"/>
        </w:rPr>
        <w:t xml:space="preserve">2.5. Zeta potential </w:t>
      </w:r>
    </w:p>
    <w:p w:rsidR="0030195E" w:rsidRPr="00AA28A4" w:rsidRDefault="009B4A12" w:rsidP="00AA28A4">
      <w:pPr>
        <w:spacing w:after="0" w:line="360" w:lineRule="auto"/>
        <w:ind w:firstLine="720"/>
        <w:jc w:val="both"/>
        <w:rPr>
          <w:rFonts w:ascii="Times New Roman" w:hAnsi="Times New Roman"/>
          <w:sz w:val="24"/>
          <w:szCs w:val="24"/>
        </w:rPr>
      </w:pPr>
      <w:r w:rsidRPr="00AA28A4">
        <w:rPr>
          <w:rFonts w:ascii="Times New Roman" w:hAnsi="Times New Roman"/>
          <w:sz w:val="24"/>
          <w:szCs w:val="24"/>
        </w:rPr>
        <w:t>Silver nanoparticles (</w:t>
      </w:r>
      <w:proofErr w:type="spellStart"/>
      <w:r w:rsidRPr="00AA28A4">
        <w:rPr>
          <w:rFonts w:ascii="Times New Roman" w:hAnsi="Times New Roman"/>
          <w:sz w:val="24"/>
          <w:szCs w:val="24"/>
        </w:rPr>
        <w:t>AgNPs</w:t>
      </w:r>
      <w:proofErr w:type="spellEnd"/>
      <w:r w:rsidRPr="00AA28A4">
        <w:rPr>
          <w:rFonts w:ascii="Times New Roman" w:hAnsi="Times New Roman"/>
          <w:sz w:val="24"/>
          <w:szCs w:val="24"/>
        </w:rPr>
        <w:t xml:space="preserve">) exhibit a </w:t>
      </w:r>
      <w:r w:rsidR="007C7998">
        <w:rPr>
          <w:rFonts w:ascii="Times New Roman" w:hAnsi="Times New Roman"/>
          <w:sz w:val="24"/>
          <w:szCs w:val="24"/>
        </w:rPr>
        <w:t>+</w:t>
      </w:r>
      <w:proofErr w:type="spellStart"/>
      <w:r w:rsidR="007C7998" w:rsidRPr="007C7998">
        <w:rPr>
          <w:rFonts w:ascii="Times New Roman" w:hAnsi="Times New Roman"/>
          <w:sz w:val="24"/>
          <w:szCs w:val="24"/>
          <w:vertAlign w:val="superscript"/>
        </w:rPr>
        <w:t>ve</w:t>
      </w:r>
      <w:proofErr w:type="spellEnd"/>
      <w:r w:rsidRPr="00AA28A4">
        <w:rPr>
          <w:rFonts w:ascii="Times New Roman" w:hAnsi="Times New Roman"/>
          <w:sz w:val="24"/>
          <w:szCs w:val="24"/>
        </w:rPr>
        <w:t xml:space="preserve"> charge and have been observed to possess a </w:t>
      </w:r>
      <w:r w:rsidR="007C7998">
        <w:rPr>
          <w:rFonts w:ascii="Times New Roman" w:hAnsi="Times New Roman"/>
          <w:sz w:val="24"/>
          <w:szCs w:val="24"/>
        </w:rPr>
        <w:t>-</w:t>
      </w:r>
      <w:proofErr w:type="spellStart"/>
      <w:r w:rsidR="007C7998" w:rsidRPr="007C7998">
        <w:rPr>
          <w:rFonts w:ascii="Times New Roman" w:hAnsi="Times New Roman"/>
          <w:sz w:val="24"/>
          <w:szCs w:val="24"/>
          <w:vertAlign w:val="superscript"/>
        </w:rPr>
        <w:t>ve</w:t>
      </w:r>
      <w:proofErr w:type="spellEnd"/>
      <w:r w:rsidRPr="00AA28A4">
        <w:rPr>
          <w:rFonts w:ascii="Times New Roman" w:hAnsi="Times New Roman"/>
          <w:sz w:val="24"/>
          <w:szCs w:val="24"/>
        </w:rPr>
        <w:t xml:space="preserve"> charge on their surfaces. In this study, the </w:t>
      </w:r>
      <w:r w:rsidR="00470AA6" w:rsidRPr="00AA28A4">
        <w:rPr>
          <w:rFonts w:ascii="Times New Roman" w:hAnsi="Times New Roman"/>
          <w:sz w:val="24"/>
          <w:szCs w:val="24"/>
        </w:rPr>
        <w:t>synthesized</w:t>
      </w:r>
      <w:r w:rsidRPr="00AA28A4">
        <w:rPr>
          <w:rFonts w:ascii="Times New Roman" w:hAnsi="Times New Roman"/>
          <w:sz w:val="24"/>
          <w:szCs w:val="24"/>
        </w:rPr>
        <w:t xml:space="preserve"> </w:t>
      </w:r>
      <w:proofErr w:type="spellStart"/>
      <w:r w:rsidR="007C7998">
        <w:rPr>
          <w:rFonts w:ascii="Times New Roman" w:hAnsi="Times New Roman"/>
          <w:sz w:val="24"/>
          <w:szCs w:val="24"/>
        </w:rPr>
        <w:t>AgNPs</w:t>
      </w:r>
      <w:proofErr w:type="spellEnd"/>
      <w:r w:rsidRPr="00AA28A4">
        <w:rPr>
          <w:rFonts w:ascii="Times New Roman" w:hAnsi="Times New Roman"/>
          <w:sz w:val="24"/>
          <w:szCs w:val="24"/>
        </w:rPr>
        <w:t xml:space="preserve">, weighing 1mg, were dissolved in sterile deionized water measuring 1 mL. </w:t>
      </w:r>
    </w:p>
    <w:p w:rsidR="008A0355" w:rsidRPr="00AA28A4" w:rsidRDefault="009B4A12" w:rsidP="00AA28A4">
      <w:pPr>
        <w:spacing w:after="0" w:line="360" w:lineRule="auto"/>
        <w:jc w:val="both"/>
        <w:rPr>
          <w:rFonts w:ascii="Times New Roman" w:hAnsi="Times New Roman"/>
          <w:b/>
          <w:bCs/>
          <w:color w:val="000000"/>
          <w:sz w:val="24"/>
          <w:szCs w:val="24"/>
          <w:shd w:val="clear" w:color="auto" w:fill="FFFFFF"/>
        </w:rPr>
      </w:pPr>
      <w:r w:rsidRPr="00AA28A4">
        <w:rPr>
          <w:rFonts w:ascii="Times New Roman" w:hAnsi="Times New Roman"/>
          <w:b/>
          <w:bCs/>
          <w:color w:val="000000"/>
          <w:sz w:val="24"/>
          <w:szCs w:val="24"/>
          <w:shd w:val="clear" w:color="auto" w:fill="FFFFFF"/>
        </w:rPr>
        <w:t xml:space="preserve">2.6. </w:t>
      </w:r>
      <w:r w:rsidR="00177EA8">
        <w:rPr>
          <w:rFonts w:ascii="Times New Roman" w:hAnsi="Times New Roman"/>
          <w:b/>
          <w:bCs/>
          <w:color w:val="000000"/>
          <w:sz w:val="24"/>
          <w:szCs w:val="24"/>
          <w:shd w:val="clear" w:color="auto" w:fill="FFFFFF"/>
        </w:rPr>
        <w:t>Antimicrobial activity</w:t>
      </w:r>
    </w:p>
    <w:p w:rsidR="008A0355" w:rsidRPr="00AA28A4" w:rsidRDefault="002C2677" w:rsidP="00AA28A4">
      <w:pPr>
        <w:spacing w:after="0" w:line="360" w:lineRule="auto"/>
        <w:ind w:firstLine="720"/>
        <w:jc w:val="both"/>
        <w:rPr>
          <w:rFonts w:ascii="Times New Roman" w:hAnsi="Times New Roman"/>
          <w:color w:val="000000"/>
          <w:sz w:val="24"/>
          <w:szCs w:val="24"/>
          <w:shd w:val="clear" w:color="auto" w:fill="FFFFFF"/>
        </w:rPr>
      </w:pPr>
      <w:r w:rsidRPr="00AA28A4">
        <w:rPr>
          <w:rFonts w:ascii="Times New Roman" w:hAnsi="Times New Roman"/>
          <w:sz w:val="24"/>
          <w:szCs w:val="24"/>
        </w:rPr>
        <w:t>T</w:t>
      </w:r>
      <w:r w:rsidR="009B4A12" w:rsidRPr="00AA28A4">
        <w:rPr>
          <w:rFonts w:ascii="Times New Roman" w:hAnsi="Times New Roman"/>
          <w:sz w:val="24"/>
          <w:szCs w:val="24"/>
        </w:rPr>
        <w:t xml:space="preserve">he antimicrobial efficacy of various concentrations (1, 3, 5 mM) of fabricated </w:t>
      </w:r>
      <w:proofErr w:type="spellStart"/>
      <w:r w:rsidR="009B4A12" w:rsidRPr="00AA28A4">
        <w:rPr>
          <w:rFonts w:ascii="Times New Roman" w:hAnsi="Times New Roman"/>
          <w:sz w:val="24"/>
          <w:szCs w:val="24"/>
        </w:rPr>
        <w:t>AgNPs</w:t>
      </w:r>
      <w:proofErr w:type="spellEnd"/>
      <w:r w:rsidR="009B4A12" w:rsidRPr="00AA28A4">
        <w:rPr>
          <w:rFonts w:ascii="Times New Roman" w:hAnsi="Times New Roman"/>
          <w:sz w:val="24"/>
          <w:szCs w:val="24"/>
        </w:rPr>
        <w:t xml:space="preserve"> was assessed against Gram</w:t>
      </w:r>
      <w:r w:rsidR="00177EA8">
        <w:rPr>
          <w:rFonts w:ascii="Times New Roman" w:hAnsi="Times New Roman"/>
          <w:sz w:val="24"/>
          <w:szCs w:val="24"/>
        </w:rPr>
        <w:t xml:space="preserve"> </w:t>
      </w:r>
      <w:r w:rsidR="009B4A12" w:rsidRPr="00AA28A4">
        <w:rPr>
          <w:rFonts w:ascii="Times New Roman" w:hAnsi="Times New Roman"/>
          <w:sz w:val="24"/>
          <w:szCs w:val="24"/>
        </w:rPr>
        <w:t xml:space="preserve">positive and negative bacterial strains. Notably, the lowest concentration (5 mM) of AgNPs exhibited superior inhibitory activity against the bacterial pathogen. Subsequently, the LB Agar medium plate, which consisted of 1% of the suitable bacterial culture at a concentration of 1×104 Colony Forming Units per milliliter, was evenly distributed onto the surface of the Petri </w:t>
      </w:r>
      <w:r w:rsidR="00470AA6" w:rsidRPr="00AA28A4">
        <w:rPr>
          <w:rFonts w:ascii="Times New Roman" w:hAnsi="Times New Roman"/>
          <w:sz w:val="24"/>
          <w:szCs w:val="24"/>
        </w:rPr>
        <w:t>plate. The</w:t>
      </w:r>
      <w:r w:rsidR="009B4A12" w:rsidRPr="00AA28A4">
        <w:rPr>
          <w:rFonts w:ascii="Times New Roman" w:hAnsi="Times New Roman"/>
          <w:sz w:val="24"/>
          <w:szCs w:val="24"/>
        </w:rPr>
        <w:t xml:space="preserve"> solution should be allowed to cool for approximately 5 to 10 minutes. Following this, three distinct concentrations (1, 3, and 5 mM) of AgNPs were introduced into each well. Subsequently, the Petri plates were subjected to incubation at a temperature of 37ºC for one night. The diffusion of AgNPs into the agar plate is employed to inhibit bacterial growth.</w:t>
      </w:r>
    </w:p>
    <w:p w:rsidR="008A0355" w:rsidRPr="00AA28A4" w:rsidRDefault="009B4A12" w:rsidP="00AA28A4">
      <w:pPr>
        <w:spacing w:after="0" w:line="360" w:lineRule="auto"/>
        <w:jc w:val="both"/>
        <w:rPr>
          <w:rFonts w:ascii="Times New Roman" w:hAnsi="Times New Roman"/>
          <w:sz w:val="24"/>
          <w:szCs w:val="24"/>
        </w:rPr>
      </w:pPr>
      <w:r w:rsidRPr="00AA28A4">
        <w:rPr>
          <w:rFonts w:ascii="Times New Roman" w:hAnsi="Times New Roman"/>
          <w:b/>
          <w:bCs/>
          <w:sz w:val="24"/>
          <w:szCs w:val="24"/>
        </w:rPr>
        <w:lastRenderedPageBreak/>
        <w:t xml:space="preserve">2.7. Antioxidant </w:t>
      </w:r>
      <w:r w:rsidR="00177EA8">
        <w:rPr>
          <w:rFonts w:ascii="Times New Roman" w:hAnsi="Times New Roman"/>
          <w:b/>
          <w:bCs/>
          <w:sz w:val="24"/>
          <w:szCs w:val="24"/>
        </w:rPr>
        <w:t>efficacy</w:t>
      </w:r>
    </w:p>
    <w:p w:rsidR="0030195E" w:rsidRPr="00AA28A4" w:rsidRDefault="009B4A12" w:rsidP="00AA28A4">
      <w:pPr>
        <w:spacing w:after="0" w:line="360" w:lineRule="auto"/>
        <w:ind w:firstLine="720"/>
        <w:jc w:val="both"/>
        <w:rPr>
          <w:rFonts w:ascii="Times New Roman" w:hAnsi="Times New Roman"/>
          <w:sz w:val="24"/>
          <w:szCs w:val="24"/>
        </w:rPr>
      </w:pPr>
      <w:r w:rsidRPr="00AA28A4">
        <w:rPr>
          <w:rFonts w:ascii="Times New Roman" w:hAnsi="Times New Roman"/>
          <w:sz w:val="24"/>
          <w:szCs w:val="24"/>
        </w:rPr>
        <w:t xml:space="preserve">A solution containing 100 microliters of 0.2 millimolar DPPH was prepared by dissolving it in methanol suitable for high-performance liquid chromatography (HPLC). Subsequently, this solution was combined with different concentrations of silver nanoparticles (25, 50, 75, and 100 micrograms per milliliter). Subsequently, the reaction mixtures were meticulously blended and subjected to a 30-minute incubation period under conditions of </w:t>
      </w:r>
      <w:r w:rsidR="00470AA6" w:rsidRPr="00AA28A4">
        <w:rPr>
          <w:rFonts w:ascii="Times New Roman" w:hAnsi="Times New Roman"/>
          <w:sz w:val="24"/>
          <w:szCs w:val="24"/>
        </w:rPr>
        <w:t xml:space="preserve">darkness. </w:t>
      </w:r>
      <w:r w:rsidRPr="00AA28A4">
        <w:rPr>
          <w:rFonts w:ascii="Times New Roman" w:hAnsi="Times New Roman"/>
          <w:sz w:val="24"/>
          <w:szCs w:val="24"/>
        </w:rPr>
        <w:t xml:space="preserve">Methanol was </w:t>
      </w:r>
      <w:r w:rsidR="00470AA6" w:rsidRPr="00AA28A4">
        <w:rPr>
          <w:rFonts w:ascii="Times New Roman" w:hAnsi="Times New Roman"/>
          <w:sz w:val="24"/>
          <w:szCs w:val="24"/>
        </w:rPr>
        <w:t>utilized</w:t>
      </w:r>
      <w:r w:rsidRPr="00AA28A4">
        <w:rPr>
          <w:rFonts w:ascii="Times New Roman" w:hAnsi="Times New Roman"/>
          <w:sz w:val="24"/>
          <w:szCs w:val="24"/>
        </w:rPr>
        <w:t xml:space="preserve"> as a blank, while ascorbic acid served as the standard</w:t>
      </w:r>
      <w:r w:rsidR="00177EA8">
        <w:rPr>
          <w:rFonts w:ascii="Times New Roman" w:hAnsi="Times New Roman"/>
          <w:sz w:val="24"/>
          <w:szCs w:val="24"/>
        </w:rPr>
        <w:t xml:space="preserve"> </w:t>
      </w:r>
      <w:r w:rsidR="00177EA8" w:rsidRPr="00AA28A4">
        <w:rPr>
          <w:rFonts w:ascii="Times New Roman" w:hAnsi="Times New Roman"/>
          <w:sz w:val="24"/>
          <w:szCs w:val="24"/>
        </w:rPr>
        <w:fldChar w:fldCharType="begin" w:fldLock="1"/>
      </w:r>
      <w:r w:rsidR="00177EA8" w:rsidRPr="00AA28A4">
        <w:rPr>
          <w:rFonts w:ascii="Times New Roman" w:hAnsi="Times New Roman"/>
          <w:sz w:val="24"/>
          <w:szCs w:val="24"/>
        </w:rPr>
        <w:instrText>ADDIN CSL_CITATION {"citationItems":[{"id":"ITEM-1","itemData":{"DOI":"10.1021/jf0100907","ISSN":"0021-8561","author":[{"dropping-particle":"","family":"Chang","given":"Shang-Tzen","non-dropping-particle":"","parse-names":false,"suffix":""},{"dropping-particle":"","family":"Wu","given":"Jyh-Horng","non-dropping-particle":"","parse-names":false,"suffix":""},{"dropping-particle":"","family":"Wang","given":"Sheng-Yang","non-dropping-particle":"","parse-names":false,"suffix":""},{"dropping-particle":"","family":"Kang","given":"Pei-Ling","non-dropping-particle":"","parse-names":false,"suffix":""},{"dropping-particle":"","family":"Yang","given":"Ning-Sun","non-dropping-particle":"","parse-names":false,"suffix":""},{"dropping-particle":"","family":"Shyur","given":"Lie-Fen","non-dropping-particle":"","parse-names":false,"suffix":""}],"container-title":"Journal of Agricultural and Food Chemistry","id":"ITEM-1","issue":"7","issued":{"date-parts":[["2001","7","1"]]},"note":"doi: 10.1021/jf0100907","page":"3420-3424","publisher":"American Chemical Society","title":"Antioxidant Activity of Extracts from Acacia confusa Bark and Heartwood","type":"article-journal","volume":"49"},"uris":["http://www.mendeley.com/documents/?uuid=e5dc1125-7020-488c-adf9-6a6c782066d9"]}],"mendeley":{"formattedCitation":"(Chang et al., 2001)","plainTextFormattedCitation":"(Chang et al., 2001)","previouslyFormattedCitation":"(Chang et al., 2001)"},"properties":{"noteIndex":0},"schema":"https://github.com/citation-style-language/schema/raw/master/csl-citation.json"}</w:instrText>
      </w:r>
      <w:r w:rsidR="00177EA8" w:rsidRPr="00AA28A4">
        <w:rPr>
          <w:rFonts w:ascii="Times New Roman" w:hAnsi="Times New Roman"/>
          <w:sz w:val="24"/>
          <w:szCs w:val="24"/>
        </w:rPr>
        <w:fldChar w:fldCharType="separate"/>
      </w:r>
      <w:r w:rsidR="00177EA8" w:rsidRPr="00AA28A4">
        <w:rPr>
          <w:rFonts w:ascii="Times New Roman" w:hAnsi="Times New Roman"/>
          <w:noProof/>
          <w:sz w:val="24"/>
          <w:szCs w:val="24"/>
        </w:rPr>
        <w:t>(Chang et al., 2001)</w:t>
      </w:r>
      <w:r w:rsidR="00177EA8" w:rsidRPr="00AA28A4">
        <w:rPr>
          <w:rFonts w:ascii="Times New Roman" w:hAnsi="Times New Roman"/>
          <w:sz w:val="24"/>
          <w:szCs w:val="24"/>
        </w:rPr>
        <w:fldChar w:fldCharType="end"/>
      </w:r>
      <w:r w:rsidRPr="00AA28A4">
        <w:rPr>
          <w:rFonts w:ascii="Times New Roman" w:hAnsi="Times New Roman"/>
          <w:sz w:val="24"/>
          <w:szCs w:val="24"/>
        </w:rPr>
        <w:t>. The quantification of the scavenging activity of free radicals was determined</w:t>
      </w:r>
      <w:r w:rsidR="00177EA8">
        <w:rPr>
          <w:rFonts w:ascii="Times New Roman" w:hAnsi="Times New Roman"/>
          <w:sz w:val="24"/>
          <w:szCs w:val="24"/>
        </w:rPr>
        <w:t>.</w:t>
      </w:r>
    </w:p>
    <w:p w:rsidR="0098503D" w:rsidRPr="00AA28A4" w:rsidRDefault="0098503D" w:rsidP="00AA28A4">
      <w:pPr>
        <w:spacing w:after="0" w:line="360" w:lineRule="auto"/>
        <w:jc w:val="both"/>
        <w:rPr>
          <w:rFonts w:ascii="Times New Roman" w:hAnsi="Times New Roman"/>
          <w:b/>
          <w:bCs/>
          <w:sz w:val="24"/>
          <w:szCs w:val="24"/>
        </w:rPr>
      </w:pPr>
    </w:p>
    <w:p w:rsidR="008A0355" w:rsidRPr="00AA28A4" w:rsidRDefault="009B4A12" w:rsidP="00AA28A4">
      <w:pPr>
        <w:spacing w:after="0" w:line="360" w:lineRule="auto"/>
        <w:jc w:val="both"/>
        <w:rPr>
          <w:rFonts w:ascii="Times New Roman" w:hAnsi="Times New Roman"/>
          <w:b/>
          <w:bCs/>
          <w:sz w:val="24"/>
          <w:szCs w:val="24"/>
        </w:rPr>
      </w:pPr>
      <w:r w:rsidRPr="00AA28A4">
        <w:rPr>
          <w:rFonts w:ascii="Times New Roman" w:hAnsi="Times New Roman"/>
          <w:b/>
          <w:bCs/>
          <w:sz w:val="24"/>
          <w:szCs w:val="24"/>
        </w:rPr>
        <w:t>3. RESULTS</w:t>
      </w:r>
    </w:p>
    <w:p w:rsidR="008A0355" w:rsidRPr="00AA28A4" w:rsidRDefault="009B4A12" w:rsidP="00AA28A4">
      <w:pPr>
        <w:spacing w:after="0" w:line="360" w:lineRule="auto"/>
        <w:ind w:left="1440" w:hanging="1440"/>
        <w:jc w:val="both"/>
        <w:rPr>
          <w:rFonts w:ascii="Times New Roman" w:hAnsi="Times New Roman"/>
          <w:b/>
          <w:sz w:val="24"/>
          <w:szCs w:val="24"/>
        </w:rPr>
      </w:pPr>
      <w:r w:rsidRPr="00AA28A4">
        <w:rPr>
          <w:rFonts w:ascii="Times New Roman" w:hAnsi="Times New Roman"/>
          <w:b/>
          <w:sz w:val="24"/>
          <w:szCs w:val="24"/>
        </w:rPr>
        <w:t xml:space="preserve">3.1. Synthesis </w:t>
      </w:r>
      <w:r w:rsidR="00177EA8">
        <w:rPr>
          <w:rFonts w:ascii="Times New Roman" w:hAnsi="Times New Roman"/>
          <w:b/>
          <w:sz w:val="24"/>
          <w:szCs w:val="24"/>
        </w:rPr>
        <w:t xml:space="preserve">of </w:t>
      </w:r>
      <w:proofErr w:type="spellStart"/>
      <w:r w:rsidR="00177EA8">
        <w:rPr>
          <w:rFonts w:ascii="Times New Roman" w:hAnsi="Times New Roman"/>
          <w:b/>
          <w:sz w:val="24"/>
          <w:szCs w:val="24"/>
        </w:rPr>
        <w:t>AgNPs</w:t>
      </w:r>
      <w:proofErr w:type="spellEnd"/>
    </w:p>
    <w:p w:rsidR="008A0355" w:rsidRPr="00AA28A4" w:rsidRDefault="009B4A12" w:rsidP="00AA28A4">
      <w:pPr>
        <w:spacing w:after="0" w:line="360" w:lineRule="auto"/>
        <w:jc w:val="both"/>
        <w:rPr>
          <w:rFonts w:ascii="Times New Roman" w:hAnsi="Times New Roman"/>
          <w:sz w:val="24"/>
          <w:szCs w:val="24"/>
        </w:rPr>
      </w:pPr>
      <w:r w:rsidRPr="00AA28A4">
        <w:rPr>
          <w:rFonts w:ascii="Times New Roman" w:hAnsi="Times New Roman"/>
          <w:sz w:val="24"/>
          <w:szCs w:val="24"/>
        </w:rPr>
        <w:t xml:space="preserve">The process of </w:t>
      </w:r>
      <w:r w:rsidR="00470AA6" w:rsidRPr="00AA28A4">
        <w:rPr>
          <w:rFonts w:ascii="Times New Roman" w:hAnsi="Times New Roman"/>
          <w:sz w:val="24"/>
          <w:szCs w:val="24"/>
        </w:rPr>
        <w:t>synthesizing</w:t>
      </w:r>
      <w:r w:rsidRPr="00AA28A4">
        <w:rPr>
          <w:rFonts w:ascii="Times New Roman" w:hAnsi="Times New Roman"/>
          <w:sz w:val="24"/>
          <w:szCs w:val="24"/>
        </w:rPr>
        <w:t xml:space="preserve"> </w:t>
      </w:r>
      <w:proofErr w:type="spellStart"/>
      <w:r w:rsidR="00177EA8">
        <w:rPr>
          <w:rFonts w:ascii="Times New Roman" w:hAnsi="Times New Roman"/>
          <w:sz w:val="24"/>
          <w:szCs w:val="24"/>
        </w:rPr>
        <w:t>AgNPs</w:t>
      </w:r>
      <w:proofErr w:type="spellEnd"/>
      <w:r w:rsidRPr="00AA28A4">
        <w:rPr>
          <w:rFonts w:ascii="Times New Roman" w:hAnsi="Times New Roman"/>
          <w:sz w:val="24"/>
          <w:szCs w:val="24"/>
        </w:rPr>
        <w:t xml:space="preserve"> involved the combination of a 5 mL extract obtained from seaweed with a solution of AgNO3 (50 mL). This mixture was then incubated at a temperature of 28ºC for 24 hours. The bioremediation process involving the conversion of AgNO3 into AgNPs was confirmed through visual observation of color changes. Figure 1 shows that the color solution undergoes a transition from its initial state, </w:t>
      </w:r>
      <w:r w:rsidR="00470AA6" w:rsidRPr="00AA28A4">
        <w:rPr>
          <w:rFonts w:ascii="Times New Roman" w:hAnsi="Times New Roman"/>
          <w:sz w:val="24"/>
          <w:szCs w:val="24"/>
        </w:rPr>
        <w:t>characterized</w:t>
      </w:r>
      <w:r w:rsidRPr="00AA28A4">
        <w:rPr>
          <w:rFonts w:ascii="Times New Roman" w:hAnsi="Times New Roman"/>
          <w:sz w:val="24"/>
          <w:szCs w:val="24"/>
        </w:rPr>
        <w:t xml:space="preserve"> by coloration, to a colorless state (AgNO3). Eventually, the solution progresses further to attain a reddish-brown hue (AgNPs).</w:t>
      </w:r>
    </w:p>
    <w:p w:rsidR="008A0355" w:rsidRPr="00AA28A4" w:rsidRDefault="009B4A12" w:rsidP="00AA28A4">
      <w:pPr>
        <w:spacing w:after="0" w:line="360" w:lineRule="auto"/>
        <w:jc w:val="both"/>
        <w:rPr>
          <w:rFonts w:ascii="Times New Roman" w:hAnsi="Times New Roman"/>
          <w:b/>
          <w:bCs/>
          <w:sz w:val="24"/>
          <w:szCs w:val="24"/>
        </w:rPr>
      </w:pPr>
      <w:r w:rsidRPr="00AA28A4">
        <w:rPr>
          <w:rFonts w:ascii="Times New Roman" w:hAnsi="Times New Roman"/>
          <w:b/>
          <w:sz w:val="24"/>
          <w:szCs w:val="24"/>
        </w:rPr>
        <w:t>3.2. UV-Vis Spectroscopy</w:t>
      </w:r>
    </w:p>
    <w:p w:rsidR="008A0355" w:rsidRPr="00AA28A4" w:rsidRDefault="009B4A12" w:rsidP="00AA28A4">
      <w:pPr>
        <w:spacing w:after="0" w:line="360" w:lineRule="auto"/>
        <w:jc w:val="both"/>
        <w:rPr>
          <w:rFonts w:ascii="Times New Roman" w:hAnsi="Times New Roman"/>
          <w:sz w:val="24"/>
          <w:szCs w:val="24"/>
          <w:highlight w:val="yellow"/>
        </w:rPr>
      </w:pPr>
      <w:r w:rsidRPr="00AA28A4">
        <w:rPr>
          <w:rFonts w:ascii="Times New Roman" w:hAnsi="Times New Roman"/>
          <w:sz w:val="24"/>
          <w:szCs w:val="24"/>
        </w:rPr>
        <w:t xml:space="preserve">UV-Vis spectroscopy, specifically </w:t>
      </w:r>
      <w:r w:rsidR="00470AA6" w:rsidRPr="00AA28A4">
        <w:rPr>
          <w:rFonts w:ascii="Times New Roman" w:hAnsi="Times New Roman"/>
          <w:sz w:val="24"/>
          <w:szCs w:val="24"/>
        </w:rPr>
        <w:t>utilizing</w:t>
      </w:r>
      <w:r w:rsidRPr="00AA28A4">
        <w:rPr>
          <w:rFonts w:ascii="Times New Roman" w:hAnsi="Times New Roman"/>
          <w:sz w:val="24"/>
          <w:szCs w:val="24"/>
        </w:rPr>
        <w:t xml:space="preserve"> the UV-1800m instrument manufactured by Shimadzu, was employed to confirm the formation of AgNPs. The spectroscopic analysis was conducted within the 200 to 800nm wavelength range. The presence of AgNPs was </w:t>
      </w:r>
      <w:r w:rsidR="00177EA8">
        <w:rPr>
          <w:rFonts w:ascii="Times New Roman" w:hAnsi="Times New Roman"/>
          <w:sz w:val="24"/>
          <w:szCs w:val="24"/>
        </w:rPr>
        <w:t>confirmed</w:t>
      </w:r>
      <w:r w:rsidRPr="00AA28A4">
        <w:rPr>
          <w:rFonts w:ascii="Times New Roman" w:hAnsi="Times New Roman"/>
          <w:sz w:val="24"/>
          <w:szCs w:val="24"/>
        </w:rPr>
        <w:t xml:space="preserve"> by </w:t>
      </w:r>
      <w:r w:rsidR="00177EA8">
        <w:rPr>
          <w:rFonts w:ascii="Times New Roman" w:hAnsi="Times New Roman"/>
          <w:sz w:val="24"/>
          <w:szCs w:val="24"/>
        </w:rPr>
        <w:t>the presence of</w:t>
      </w:r>
      <w:r w:rsidRPr="00AA28A4">
        <w:rPr>
          <w:rFonts w:ascii="Times New Roman" w:hAnsi="Times New Roman"/>
          <w:sz w:val="24"/>
          <w:szCs w:val="24"/>
        </w:rPr>
        <w:t xml:space="preserve"> surface plasmon resonance band, </w:t>
      </w:r>
      <w:r w:rsidR="00177EA8">
        <w:rPr>
          <w:rFonts w:ascii="Times New Roman" w:hAnsi="Times New Roman"/>
          <w:sz w:val="24"/>
          <w:szCs w:val="24"/>
        </w:rPr>
        <w:t>with</w:t>
      </w:r>
      <w:r w:rsidRPr="00AA28A4">
        <w:rPr>
          <w:rFonts w:ascii="Times New Roman" w:hAnsi="Times New Roman"/>
          <w:sz w:val="24"/>
          <w:szCs w:val="24"/>
        </w:rPr>
        <w:t xml:space="preserve"> peaks at 300 and 400nm. The spectra obtained from the newly prepared AgNPs were </w:t>
      </w:r>
      <w:r w:rsidR="00470AA6" w:rsidRPr="00AA28A4">
        <w:rPr>
          <w:rFonts w:ascii="Times New Roman" w:hAnsi="Times New Roman"/>
          <w:sz w:val="24"/>
          <w:szCs w:val="24"/>
        </w:rPr>
        <w:t>utilized</w:t>
      </w:r>
      <w:r w:rsidRPr="00AA28A4">
        <w:rPr>
          <w:rFonts w:ascii="Times New Roman" w:hAnsi="Times New Roman"/>
          <w:sz w:val="24"/>
          <w:szCs w:val="24"/>
        </w:rPr>
        <w:t xml:space="preserve"> to assess the photostability of the samples and were subsequently compared to the spectra obtained from silver samples. The sample's ampule consisted of a quartz cell, while a blank was prepared using Molecular grade water (Fig</w:t>
      </w:r>
      <w:r w:rsidR="00795430" w:rsidRPr="00AA28A4">
        <w:rPr>
          <w:rFonts w:ascii="Times New Roman" w:hAnsi="Times New Roman"/>
          <w:sz w:val="24"/>
          <w:szCs w:val="24"/>
        </w:rPr>
        <w:t>ure</w:t>
      </w:r>
      <w:r w:rsidRPr="00AA28A4">
        <w:rPr>
          <w:rFonts w:ascii="Times New Roman" w:hAnsi="Times New Roman"/>
          <w:sz w:val="24"/>
          <w:szCs w:val="24"/>
        </w:rPr>
        <w:t xml:space="preserve"> 2).</w:t>
      </w:r>
    </w:p>
    <w:p w:rsidR="008A0355" w:rsidRPr="00AA28A4" w:rsidRDefault="009B4A12" w:rsidP="00AA28A4">
      <w:pPr>
        <w:spacing w:after="0" w:line="360" w:lineRule="auto"/>
        <w:jc w:val="both"/>
        <w:rPr>
          <w:rFonts w:ascii="Times New Roman" w:hAnsi="Times New Roman"/>
          <w:b/>
          <w:bCs/>
          <w:sz w:val="24"/>
          <w:szCs w:val="24"/>
        </w:rPr>
      </w:pPr>
      <w:r w:rsidRPr="00AA28A4">
        <w:rPr>
          <w:rFonts w:ascii="Times New Roman" w:hAnsi="Times New Roman"/>
          <w:b/>
          <w:bCs/>
          <w:sz w:val="24"/>
          <w:szCs w:val="24"/>
        </w:rPr>
        <w:t>3.3. FTIR spectroscopy</w:t>
      </w:r>
    </w:p>
    <w:p w:rsidR="008A0355" w:rsidRPr="00AA28A4" w:rsidRDefault="009B4A12" w:rsidP="00AA28A4">
      <w:pPr>
        <w:spacing w:after="0" w:line="360" w:lineRule="auto"/>
        <w:jc w:val="both"/>
        <w:rPr>
          <w:rFonts w:ascii="Times New Roman" w:hAnsi="Times New Roman"/>
          <w:sz w:val="24"/>
          <w:szCs w:val="24"/>
          <w:highlight w:val="yellow"/>
        </w:rPr>
      </w:pPr>
      <w:r w:rsidRPr="00AA28A4">
        <w:rPr>
          <w:rFonts w:ascii="Times New Roman" w:hAnsi="Times New Roman"/>
          <w:sz w:val="24"/>
          <w:szCs w:val="24"/>
        </w:rPr>
        <w:t xml:space="preserve">The </w:t>
      </w:r>
      <w:r w:rsidR="00470AA6" w:rsidRPr="00AA28A4">
        <w:rPr>
          <w:rFonts w:ascii="Times New Roman" w:hAnsi="Times New Roman"/>
          <w:sz w:val="24"/>
          <w:szCs w:val="24"/>
        </w:rPr>
        <w:t>utilization</w:t>
      </w:r>
      <w:r w:rsidRPr="00AA28A4">
        <w:rPr>
          <w:rFonts w:ascii="Times New Roman" w:hAnsi="Times New Roman"/>
          <w:sz w:val="24"/>
          <w:szCs w:val="24"/>
        </w:rPr>
        <w:t xml:space="preserve"> of this instrument has proven to be highly advantageous in identifying functional groups close to the interaction between metal particles and biomolecules. These functional groups play a crucial role in the bioreduction of Ag+ and also serve as primary agents for </w:t>
      </w:r>
      <w:r w:rsidRPr="00AA28A4">
        <w:rPr>
          <w:rFonts w:ascii="Times New Roman" w:hAnsi="Times New Roman"/>
          <w:sz w:val="24"/>
          <w:szCs w:val="24"/>
        </w:rPr>
        <w:lastRenderedPageBreak/>
        <w:t xml:space="preserve">capping and </w:t>
      </w:r>
      <w:r w:rsidR="00470AA6" w:rsidRPr="00AA28A4">
        <w:rPr>
          <w:rFonts w:ascii="Times New Roman" w:hAnsi="Times New Roman"/>
          <w:sz w:val="24"/>
          <w:szCs w:val="24"/>
        </w:rPr>
        <w:t>stabilizing</w:t>
      </w:r>
      <w:r w:rsidRPr="00AA28A4">
        <w:rPr>
          <w:rFonts w:ascii="Times New Roman" w:hAnsi="Times New Roman"/>
          <w:sz w:val="24"/>
          <w:szCs w:val="24"/>
        </w:rPr>
        <w:t xml:space="preserve"> </w:t>
      </w:r>
      <w:r w:rsidR="00795430" w:rsidRPr="00AA28A4">
        <w:rPr>
          <w:rFonts w:ascii="Times New Roman" w:hAnsi="Times New Roman"/>
          <w:sz w:val="24"/>
          <w:szCs w:val="24"/>
        </w:rPr>
        <w:fldChar w:fldCharType="begin" w:fldLock="1"/>
      </w:r>
      <w:r w:rsidR="008C4A68" w:rsidRPr="00AA28A4">
        <w:rPr>
          <w:rFonts w:ascii="Times New Roman" w:hAnsi="Times New Roman"/>
          <w:sz w:val="24"/>
          <w:szCs w:val="24"/>
        </w:rPr>
        <w:instrText>ADDIN CSL_CITATION {"citationItems":[{"id":"ITEM-1","itemData":{"DOI":"10.4314/jasem.v20i2.24","author":[{"dropping-particle":"","family":"Dada","given":"Adewumi Oluwasogo","non-dropping-particle":"","parse-names":false,"suffix":""},{"dropping-particle":"","family":"Latona","given":"Dayo","non-dropping-particle":"","parse-names":false,"suffix":""},{"dropping-particle":"","family":"Ojediran","given":"Olusegun","non-dropping-particle":"","parse-names":false,"suffix":""},{"dropping-particle":"","family":"Nath","given":"Osazuwa","non-dropping-particle":"","parse-names":false,"suffix":""}],"container-title":"Journal of Applied Sciences and Environmental Management","id":"ITEM-1","issued":{"date-parts":[["2016","7","25"]]},"page":"409-422","title":"Adsorption of Cu (II) onto bamboo supported manganese (BS-Mn) nanocomposite: effect of operational parameters, kinetic, isotherms, and thermodynamic studies","type":"article-journal","volume":"20"},"uris":["http://www.mendeley.com/documents/?uuid=8a5024e4-b188-47f1-9d2d-90d35fa4d182"]}],"mendeley":{"formattedCitation":"(Dada et al., 2016)","plainTextFormattedCitation":"(Dada et al., 2016)","previouslyFormattedCitation":"(Dada et al., 2016)"},"properties":{"noteIndex":0},"schema":"https://github.com/citation-style-language/schema/raw/master/csl-citation.json"}</w:instrText>
      </w:r>
      <w:r w:rsidR="00795430" w:rsidRPr="00AA28A4">
        <w:rPr>
          <w:rFonts w:ascii="Times New Roman" w:hAnsi="Times New Roman"/>
          <w:sz w:val="24"/>
          <w:szCs w:val="24"/>
        </w:rPr>
        <w:fldChar w:fldCharType="separate"/>
      </w:r>
      <w:r w:rsidR="00795430" w:rsidRPr="00AA28A4">
        <w:rPr>
          <w:rFonts w:ascii="Times New Roman" w:hAnsi="Times New Roman"/>
          <w:noProof/>
          <w:sz w:val="24"/>
          <w:szCs w:val="24"/>
        </w:rPr>
        <w:t>(Dada et al., 2016)</w:t>
      </w:r>
      <w:r w:rsidR="00795430" w:rsidRPr="00AA28A4">
        <w:rPr>
          <w:rFonts w:ascii="Times New Roman" w:hAnsi="Times New Roman"/>
          <w:sz w:val="24"/>
          <w:szCs w:val="24"/>
        </w:rPr>
        <w:fldChar w:fldCharType="end"/>
      </w:r>
      <w:r w:rsidRPr="00AA28A4">
        <w:rPr>
          <w:rFonts w:ascii="Times New Roman" w:hAnsi="Times New Roman"/>
          <w:sz w:val="24"/>
          <w:szCs w:val="24"/>
        </w:rPr>
        <w:t>. The seaweed extract has been found to contain carbohydrates, flavonoids, and glycosides, which have demonstrated a significant capacity for reducing Ag+ ions.</w:t>
      </w:r>
      <w:r w:rsidR="00470AA6" w:rsidRPr="00AA28A4">
        <w:rPr>
          <w:rFonts w:ascii="Times New Roman" w:hAnsi="Times New Roman"/>
          <w:sz w:val="24"/>
          <w:szCs w:val="24"/>
        </w:rPr>
        <w:t xml:space="preserve"> </w:t>
      </w:r>
      <w:r w:rsidRPr="00AA28A4">
        <w:rPr>
          <w:rFonts w:ascii="Times New Roman" w:hAnsi="Times New Roman"/>
          <w:sz w:val="24"/>
          <w:szCs w:val="24"/>
        </w:rPr>
        <w:t xml:space="preserve">The technique was employed to </w:t>
      </w:r>
      <w:r w:rsidR="00470AA6" w:rsidRPr="00AA28A4">
        <w:rPr>
          <w:rFonts w:ascii="Times New Roman" w:hAnsi="Times New Roman"/>
          <w:sz w:val="24"/>
          <w:szCs w:val="24"/>
        </w:rPr>
        <w:t>characteriz</w:t>
      </w:r>
      <w:r w:rsidRPr="00AA28A4">
        <w:rPr>
          <w:rFonts w:ascii="Times New Roman" w:hAnsi="Times New Roman"/>
          <w:sz w:val="24"/>
          <w:szCs w:val="24"/>
        </w:rPr>
        <w:t>e and identify the chemical constituents on the surfaces of the AgNPs, as depicted in Figure 3.</w:t>
      </w:r>
    </w:p>
    <w:p w:rsidR="008A0355" w:rsidRPr="00AA28A4" w:rsidRDefault="009B4A12" w:rsidP="00AA28A4">
      <w:pPr>
        <w:spacing w:after="0" w:line="360" w:lineRule="auto"/>
        <w:jc w:val="both"/>
        <w:rPr>
          <w:rFonts w:ascii="Times New Roman" w:hAnsi="Times New Roman"/>
          <w:b/>
          <w:bCs/>
          <w:sz w:val="24"/>
          <w:szCs w:val="24"/>
        </w:rPr>
      </w:pPr>
      <w:r w:rsidRPr="00AA28A4">
        <w:rPr>
          <w:rFonts w:ascii="Times New Roman" w:hAnsi="Times New Roman"/>
          <w:b/>
          <w:bCs/>
          <w:sz w:val="24"/>
          <w:szCs w:val="24"/>
        </w:rPr>
        <w:t>3.4. XRD</w:t>
      </w:r>
    </w:p>
    <w:p w:rsidR="0000285F" w:rsidRPr="00AA28A4" w:rsidRDefault="009B4A12" w:rsidP="00AA28A4">
      <w:pPr>
        <w:spacing w:after="0" w:line="360" w:lineRule="auto"/>
        <w:ind w:firstLine="720"/>
        <w:jc w:val="both"/>
        <w:rPr>
          <w:rFonts w:ascii="Times New Roman" w:hAnsi="Times New Roman"/>
          <w:sz w:val="24"/>
          <w:szCs w:val="24"/>
        </w:rPr>
      </w:pPr>
      <w:r w:rsidRPr="00AA28A4">
        <w:rPr>
          <w:rFonts w:ascii="Times New Roman" w:hAnsi="Times New Roman"/>
          <w:sz w:val="24"/>
          <w:szCs w:val="24"/>
        </w:rPr>
        <w:t xml:space="preserve">The XRD patterns of the </w:t>
      </w:r>
      <w:proofErr w:type="spellStart"/>
      <w:r w:rsidRPr="00AA28A4">
        <w:rPr>
          <w:rFonts w:ascii="Times New Roman" w:hAnsi="Times New Roman"/>
          <w:sz w:val="24"/>
          <w:szCs w:val="24"/>
        </w:rPr>
        <w:t>AgNPs</w:t>
      </w:r>
      <w:proofErr w:type="spellEnd"/>
      <w:r w:rsidRPr="00AA28A4">
        <w:rPr>
          <w:rFonts w:ascii="Times New Roman" w:hAnsi="Times New Roman"/>
          <w:sz w:val="24"/>
          <w:szCs w:val="24"/>
        </w:rPr>
        <w:t xml:space="preserve"> exhibited distinct and well-defined peaks, indicating their crystalline structure. This observation was further supported by </w:t>
      </w:r>
      <w:r w:rsidR="00177EA8">
        <w:rPr>
          <w:rFonts w:ascii="Times New Roman" w:hAnsi="Times New Roman"/>
          <w:sz w:val="24"/>
          <w:szCs w:val="24"/>
        </w:rPr>
        <w:t>XRD</w:t>
      </w:r>
      <w:r w:rsidRPr="00AA28A4">
        <w:rPr>
          <w:rFonts w:ascii="Times New Roman" w:hAnsi="Times New Roman"/>
          <w:sz w:val="24"/>
          <w:szCs w:val="24"/>
        </w:rPr>
        <w:t xml:space="preserve"> analysis, and the corresponding image is presented in Figure 4.</w:t>
      </w:r>
    </w:p>
    <w:p w:rsidR="008A0355" w:rsidRPr="00AA28A4" w:rsidRDefault="009B4A12" w:rsidP="00AA28A4">
      <w:pPr>
        <w:spacing w:after="0" w:line="360" w:lineRule="auto"/>
        <w:jc w:val="both"/>
        <w:rPr>
          <w:rFonts w:ascii="Times New Roman" w:hAnsi="Times New Roman"/>
          <w:b/>
          <w:bCs/>
          <w:sz w:val="24"/>
          <w:szCs w:val="24"/>
        </w:rPr>
      </w:pPr>
      <w:r w:rsidRPr="00AA28A4">
        <w:rPr>
          <w:rFonts w:ascii="Times New Roman" w:hAnsi="Times New Roman"/>
          <w:b/>
          <w:bCs/>
          <w:sz w:val="24"/>
          <w:szCs w:val="24"/>
        </w:rPr>
        <w:t>3.5. Zeta Potential Measurement</w:t>
      </w:r>
    </w:p>
    <w:p w:rsidR="008A0355" w:rsidRPr="00AA28A4" w:rsidRDefault="009B4A12" w:rsidP="00AA28A4">
      <w:pPr>
        <w:spacing w:after="0" w:line="360" w:lineRule="auto"/>
        <w:jc w:val="both"/>
        <w:rPr>
          <w:rFonts w:ascii="Times New Roman" w:hAnsi="Times New Roman"/>
          <w:sz w:val="24"/>
          <w:szCs w:val="24"/>
        </w:rPr>
      </w:pPr>
      <w:r w:rsidRPr="00AA28A4">
        <w:rPr>
          <w:rFonts w:ascii="Times New Roman" w:hAnsi="Times New Roman"/>
          <w:bCs/>
          <w:sz w:val="24"/>
          <w:szCs w:val="24"/>
        </w:rPr>
        <w:t>Zeta potential measurement is a method used to indirectly assess the net positive and negative charges present on the surface of nanoparticles when they are in a liquid state. The electrophoretic mobility of nanoparticles in the U-type tube at a temperature of 25°C was determined by using a zeta sizer instrument manufactured by Beckman Coulter.</w:t>
      </w:r>
      <w:r w:rsidR="00470AA6" w:rsidRPr="00AA28A4">
        <w:rPr>
          <w:rFonts w:ascii="Times New Roman" w:hAnsi="Times New Roman"/>
          <w:bCs/>
          <w:sz w:val="24"/>
          <w:szCs w:val="24"/>
        </w:rPr>
        <w:t xml:space="preserve"> </w:t>
      </w:r>
      <w:r w:rsidRPr="00AA28A4">
        <w:rPr>
          <w:rFonts w:ascii="Times New Roman" w:hAnsi="Times New Roman"/>
          <w:bCs/>
          <w:sz w:val="24"/>
          <w:szCs w:val="24"/>
        </w:rPr>
        <w:t xml:space="preserve">The impact of the Zeta potential on the AgNPs nanoparticles, which were produced using an aqueous liquid extract of </w:t>
      </w:r>
      <w:r w:rsidRPr="00AA28A4">
        <w:rPr>
          <w:rFonts w:ascii="Times New Roman" w:hAnsi="Times New Roman"/>
          <w:bCs/>
          <w:i/>
          <w:sz w:val="24"/>
          <w:szCs w:val="24"/>
        </w:rPr>
        <w:t>Chondrococcus</w:t>
      </w:r>
      <w:r w:rsidR="00470AA6" w:rsidRPr="00AA28A4">
        <w:rPr>
          <w:rFonts w:ascii="Times New Roman" w:hAnsi="Times New Roman"/>
          <w:bCs/>
          <w:i/>
          <w:sz w:val="24"/>
          <w:szCs w:val="24"/>
        </w:rPr>
        <w:t xml:space="preserve"> </w:t>
      </w:r>
      <w:r w:rsidRPr="00AA28A4">
        <w:rPr>
          <w:rFonts w:ascii="Times New Roman" w:hAnsi="Times New Roman"/>
          <w:bCs/>
          <w:i/>
          <w:sz w:val="24"/>
          <w:szCs w:val="24"/>
        </w:rPr>
        <w:t>hornemannii</w:t>
      </w:r>
      <w:r w:rsidRPr="00AA28A4">
        <w:rPr>
          <w:rFonts w:ascii="Times New Roman" w:hAnsi="Times New Roman"/>
          <w:bCs/>
          <w:sz w:val="24"/>
          <w:szCs w:val="24"/>
        </w:rPr>
        <w:t>, is depicted in Figure 5.</w:t>
      </w:r>
    </w:p>
    <w:p w:rsidR="008A0355" w:rsidRPr="00AA28A4" w:rsidRDefault="009B4A12" w:rsidP="00AA28A4">
      <w:pPr>
        <w:spacing w:after="0" w:line="360" w:lineRule="auto"/>
        <w:jc w:val="both"/>
        <w:rPr>
          <w:rFonts w:ascii="Times New Roman" w:hAnsi="Times New Roman"/>
          <w:b/>
          <w:sz w:val="24"/>
          <w:szCs w:val="24"/>
        </w:rPr>
      </w:pPr>
      <w:r w:rsidRPr="00AA28A4">
        <w:rPr>
          <w:rFonts w:ascii="Times New Roman" w:hAnsi="Times New Roman"/>
          <w:b/>
          <w:bCs/>
          <w:sz w:val="24"/>
          <w:szCs w:val="24"/>
        </w:rPr>
        <w:t xml:space="preserve">3.6. </w:t>
      </w:r>
      <w:r w:rsidR="00177EA8">
        <w:rPr>
          <w:rFonts w:ascii="Times New Roman" w:hAnsi="Times New Roman"/>
          <w:b/>
          <w:bCs/>
          <w:sz w:val="24"/>
          <w:szCs w:val="24"/>
        </w:rPr>
        <w:t>Antimicrobial efficacy</w:t>
      </w:r>
    </w:p>
    <w:p w:rsidR="005D19D0" w:rsidRPr="00AA28A4" w:rsidRDefault="009B4A12" w:rsidP="00AA28A4">
      <w:pPr>
        <w:spacing w:after="0" w:line="360" w:lineRule="auto"/>
        <w:ind w:firstLine="720"/>
        <w:jc w:val="both"/>
        <w:rPr>
          <w:rFonts w:ascii="Times New Roman" w:hAnsi="Times New Roman"/>
          <w:sz w:val="24"/>
          <w:szCs w:val="24"/>
        </w:rPr>
      </w:pPr>
      <w:r w:rsidRPr="00AA28A4">
        <w:rPr>
          <w:rFonts w:ascii="Times New Roman" w:hAnsi="Times New Roman"/>
          <w:sz w:val="24"/>
          <w:szCs w:val="24"/>
        </w:rPr>
        <w:t xml:space="preserve">The antibacterial </w:t>
      </w:r>
      <w:r w:rsidR="00177EA8">
        <w:rPr>
          <w:rFonts w:ascii="Times New Roman" w:hAnsi="Times New Roman"/>
          <w:sz w:val="24"/>
          <w:szCs w:val="24"/>
        </w:rPr>
        <w:t>efficacy</w:t>
      </w:r>
      <w:r w:rsidRPr="00AA28A4">
        <w:rPr>
          <w:rFonts w:ascii="Times New Roman" w:hAnsi="Times New Roman"/>
          <w:sz w:val="24"/>
          <w:szCs w:val="24"/>
        </w:rPr>
        <w:t xml:space="preserve"> was initially verified through the determination of the minimal inhibitory concentration (MIC), although the specific data is not presented in this context. The present study investigated silver nanoparticles' antimicrobial properties using aqueous extracts derived from </w:t>
      </w:r>
      <w:r w:rsidRPr="00AA28A4">
        <w:rPr>
          <w:rFonts w:ascii="Times New Roman" w:hAnsi="Times New Roman"/>
          <w:i/>
          <w:sz w:val="24"/>
          <w:szCs w:val="24"/>
        </w:rPr>
        <w:t>Chondrococcus</w:t>
      </w:r>
      <w:r w:rsidR="00470AA6" w:rsidRPr="00AA28A4">
        <w:rPr>
          <w:rFonts w:ascii="Times New Roman" w:hAnsi="Times New Roman"/>
          <w:i/>
          <w:sz w:val="24"/>
          <w:szCs w:val="24"/>
        </w:rPr>
        <w:t xml:space="preserve"> </w:t>
      </w:r>
      <w:r w:rsidRPr="00AA28A4">
        <w:rPr>
          <w:rFonts w:ascii="Times New Roman" w:hAnsi="Times New Roman"/>
          <w:i/>
          <w:sz w:val="24"/>
          <w:szCs w:val="24"/>
        </w:rPr>
        <w:t>hornemannii</w:t>
      </w:r>
      <w:r w:rsidRPr="00AA28A4">
        <w:rPr>
          <w:rFonts w:ascii="Times New Roman" w:hAnsi="Times New Roman"/>
          <w:sz w:val="24"/>
          <w:szCs w:val="24"/>
        </w:rPr>
        <w:t xml:space="preserve">. The disc diffusion method was employed to assess the antimicrobial activity of these nanoparticles at varying concentrations of 3 and 5 mM. The gram-positive bacterium </w:t>
      </w:r>
      <w:r w:rsidRPr="00AA28A4">
        <w:rPr>
          <w:rFonts w:ascii="Times New Roman" w:hAnsi="Times New Roman"/>
          <w:i/>
          <w:sz w:val="24"/>
          <w:szCs w:val="24"/>
        </w:rPr>
        <w:t>Streptococcus</w:t>
      </w:r>
      <w:r w:rsidR="00470AA6" w:rsidRPr="00AA28A4">
        <w:rPr>
          <w:rFonts w:ascii="Times New Roman" w:hAnsi="Times New Roman"/>
          <w:i/>
          <w:sz w:val="24"/>
          <w:szCs w:val="24"/>
        </w:rPr>
        <w:t xml:space="preserve"> </w:t>
      </w:r>
      <w:r w:rsidRPr="00AA28A4">
        <w:rPr>
          <w:rFonts w:ascii="Times New Roman" w:hAnsi="Times New Roman"/>
          <w:i/>
          <w:sz w:val="24"/>
          <w:szCs w:val="24"/>
        </w:rPr>
        <w:t>aureus</w:t>
      </w:r>
      <w:r w:rsidRPr="00AA28A4">
        <w:rPr>
          <w:rFonts w:ascii="Times New Roman" w:hAnsi="Times New Roman"/>
          <w:sz w:val="24"/>
          <w:szCs w:val="24"/>
        </w:rPr>
        <w:t xml:space="preserve"> (Fig</w:t>
      </w:r>
      <w:r w:rsidR="00795430" w:rsidRPr="00AA28A4">
        <w:rPr>
          <w:rFonts w:ascii="Times New Roman" w:hAnsi="Times New Roman"/>
          <w:sz w:val="24"/>
          <w:szCs w:val="24"/>
        </w:rPr>
        <w:t>ure</w:t>
      </w:r>
      <w:r w:rsidRPr="00AA28A4">
        <w:rPr>
          <w:rFonts w:ascii="Times New Roman" w:hAnsi="Times New Roman"/>
          <w:sz w:val="24"/>
          <w:szCs w:val="24"/>
        </w:rPr>
        <w:t xml:space="preserve"> 6A) and the gram-negative bacteria Escherichia coli and </w:t>
      </w:r>
      <w:r w:rsidRPr="00AA28A4">
        <w:rPr>
          <w:rFonts w:ascii="Times New Roman" w:hAnsi="Times New Roman"/>
          <w:i/>
          <w:sz w:val="24"/>
          <w:szCs w:val="24"/>
        </w:rPr>
        <w:t>Pseudomonas aeruginosa</w:t>
      </w:r>
      <w:r w:rsidRPr="00AA28A4">
        <w:rPr>
          <w:rFonts w:ascii="Times New Roman" w:hAnsi="Times New Roman"/>
          <w:sz w:val="24"/>
          <w:szCs w:val="24"/>
        </w:rPr>
        <w:t xml:space="preserve"> (Fig</w:t>
      </w:r>
      <w:r w:rsidR="00795430" w:rsidRPr="00AA28A4">
        <w:rPr>
          <w:rFonts w:ascii="Times New Roman" w:hAnsi="Times New Roman"/>
          <w:sz w:val="24"/>
          <w:szCs w:val="24"/>
        </w:rPr>
        <w:t>ure</w:t>
      </w:r>
      <w:r w:rsidRPr="00AA28A4">
        <w:rPr>
          <w:rFonts w:ascii="Times New Roman" w:hAnsi="Times New Roman"/>
          <w:sz w:val="24"/>
          <w:szCs w:val="24"/>
        </w:rPr>
        <w:t xml:space="preserve">s 6B and C) were </w:t>
      </w:r>
      <w:r w:rsidR="00470AA6" w:rsidRPr="00AA28A4">
        <w:rPr>
          <w:rFonts w:ascii="Times New Roman" w:hAnsi="Times New Roman"/>
          <w:sz w:val="24"/>
          <w:szCs w:val="24"/>
        </w:rPr>
        <w:t>utilized</w:t>
      </w:r>
      <w:r w:rsidRPr="00AA28A4">
        <w:rPr>
          <w:rFonts w:ascii="Times New Roman" w:hAnsi="Times New Roman"/>
          <w:sz w:val="24"/>
          <w:szCs w:val="24"/>
        </w:rPr>
        <w:t>.</w:t>
      </w:r>
      <w:r w:rsidR="00470AA6" w:rsidRPr="00AA28A4">
        <w:rPr>
          <w:rFonts w:ascii="Times New Roman" w:hAnsi="Times New Roman"/>
          <w:sz w:val="24"/>
          <w:szCs w:val="24"/>
        </w:rPr>
        <w:t xml:space="preserve"> </w:t>
      </w:r>
      <w:r w:rsidRPr="00AA28A4">
        <w:rPr>
          <w:rFonts w:ascii="Times New Roman" w:hAnsi="Times New Roman"/>
          <w:sz w:val="24"/>
          <w:szCs w:val="24"/>
        </w:rPr>
        <w:t xml:space="preserve">At the same time, the antibiotic streptomycin can be employed as a positive control, as recommended for evaluating the antibacterial efficacy of the </w:t>
      </w:r>
      <w:r w:rsidR="00470AA6" w:rsidRPr="00AA28A4">
        <w:rPr>
          <w:rFonts w:ascii="Times New Roman" w:hAnsi="Times New Roman"/>
          <w:sz w:val="24"/>
          <w:szCs w:val="24"/>
        </w:rPr>
        <w:t>synthesized</w:t>
      </w:r>
      <w:r w:rsidRPr="00AA28A4">
        <w:rPr>
          <w:rFonts w:ascii="Times New Roman" w:hAnsi="Times New Roman"/>
          <w:sz w:val="24"/>
          <w:szCs w:val="24"/>
        </w:rPr>
        <w:t xml:space="preserve"> silver nanoparticles.</w:t>
      </w:r>
      <w:r w:rsidR="00470AA6" w:rsidRPr="00AA28A4">
        <w:rPr>
          <w:rFonts w:ascii="Times New Roman" w:hAnsi="Times New Roman"/>
          <w:sz w:val="24"/>
          <w:szCs w:val="24"/>
        </w:rPr>
        <w:t xml:space="preserve"> </w:t>
      </w:r>
      <w:r w:rsidRPr="00AA28A4">
        <w:rPr>
          <w:rFonts w:ascii="Times New Roman" w:hAnsi="Times New Roman"/>
          <w:sz w:val="24"/>
          <w:szCs w:val="24"/>
        </w:rPr>
        <w:t>The antibiotic disc results are presented in Table 1.</w:t>
      </w:r>
    </w:p>
    <w:p w:rsidR="008A0355" w:rsidRPr="00AA28A4" w:rsidRDefault="009B4A12" w:rsidP="00AA28A4">
      <w:pPr>
        <w:spacing w:after="0" w:line="360" w:lineRule="auto"/>
        <w:ind w:firstLine="720"/>
        <w:jc w:val="both"/>
        <w:rPr>
          <w:rFonts w:ascii="Times New Roman" w:hAnsi="Times New Roman"/>
          <w:sz w:val="24"/>
          <w:szCs w:val="24"/>
        </w:rPr>
      </w:pPr>
      <w:r w:rsidRPr="00AA28A4">
        <w:rPr>
          <w:rFonts w:ascii="Times New Roman" w:hAnsi="Times New Roman"/>
          <w:sz w:val="24"/>
          <w:szCs w:val="24"/>
        </w:rPr>
        <w:t xml:space="preserve"> Three filter paper discs with a diameter of 2.5 mm were impregnated with a solution of AgNPs at different concentrations, namely 1, 3, and 5 mM, with each disc soaked in 2.5 mL of the respective solution. Subsequently, the aseptic discs were positioned onto the agar plate harboring </w:t>
      </w:r>
      <w:r w:rsidRPr="00AA28A4">
        <w:rPr>
          <w:rFonts w:ascii="Times New Roman" w:hAnsi="Times New Roman"/>
          <w:i/>
          <w:sz w:val="24"/>
          <w:szCs w:val="24"/>
        </w:rPr>
        <w:t>Escherichia coli</w:t>
      </w:r>
      <w:r w:rsidRPr="00AA28A4">
        <w:rPr>
          <w:rFonts w:ascii="Times New Roman" w:hAnsi="Times New Roman"/>
          <w:sz w:val="24"/>
          <w:szCs w:val="24"/>
        </w:rPr>
        <w:t>, and the Petri dishes were incubated at 37º C for 16 hours. Following the incubation period, the zone of inhibition was measured.</w:t>
      </w:r>
      <w:r w:rsidRPr="00AA28A4">
        <w:rPr>
          <w:rFonts w:ascii="Times New Roman" w:hAnsi="Times New Roman"/>
          <w:sz w:val="24"/>
          <w:szCs w:val="24"/>
        </w:rPr>
        <w:tab/>
      </w:r>
    </w:p>
    <w:p w:rsidR="008A0355" w:rsidRPr="00AA28A4" w:rsidRDefault="009B4A12" w:rsidP="00AA28A4">
      <w:pPr>
        <w:spacing w:after="0" w:line="360" w:lineRule="auto"/>
        <w:jc w:val="both"/>
        <w:rPr>
          <w:rFonts w:ascii="Times New Roman" w:hAnsi="Times New Roman"/>
          <w:b/>
          <w:sz w:val="24"/>
          <w:szCs w:val="24"/>
        </w:rPr>
      </w:pPr>
      <w:r w:rsidRPr="00AA28A4">
        <w:rPr>
          <w:rFonts w:ascii="Times New Roman" w:eastAsia="Times New Roman" w:hAnsi="Times New Roman"/>
          <w:b/>
          <w:bCs/>
          <w:color w:val="111111"/>
          <w:kern w:val="36"/>
          <w:sz w:val="24"/>
          <w:szCs w:val="24"/>
        </w:rPr>
        <w:lastRenderedPageBreak/>
        <w:t xml:space="preserve">3.7. Antioxidant </w:t>
      </w:r>
      <w:r w:rsidR="00177EA8">
        <w:rPr>
          <w:rFonts w:ascii="Times New Roman" w:eastAsia="Times New Roman" w:hAnsi="Times New Roman"/>
          <w:b/>
          <w:bCs/>
          <w:color w:val="111111"/>
          <w:kern w:val="36"/>
          <w:sz w:val="24"/>
          <w:szCs w:val="24"/>
        </w:rPr>
        <w:t>efficacy</w:t>
      </w:r>
    </w:p>
    <w:p w:rsidR="008A0355" w:rsidRPr="00AA28A4" w:rsidRDefault="009B4A12" w:rsidP="00AA28A4">
      <w:pPr>
        <w:spacing w:after="0" w:line="360" w:lineRule="auto"/>
        <w:jc w:val="both"/>
        <w:rPr>
          <w:rFonts w:ascii="Times New Roman" w:hAnsi="Times New Roman"/>
          <w:sz w:val="24"/>
          <w:szCs w:val="24"/>
        </w:rPr>
      </w:pPr>
      <w:r w:rsidRPr="00AA28A4">
        <w:rPr>
          <w:rFonts w:ascii="Times New Roman" w:hAnsi="Times New Roman"/>
          <w:sz w:val="24"/>
          <w:szCs w:val="24"/>
          <w:lang w:bidi="ta-IN"/>
        </w:rPr>
        <w:t>The DPPH free radical scavenging activity and corresponding outcomes are illustrated in Figure 7. In this study, a range of concentrations of synthesis AgNPs and ascorbic acid (standard) were utilized, specifically 25, 50, 75, and 100 µg/mL. The graph presented herein demonstrates the robust antioxidant property of AgNPs. Notably, it is observed that as the concentration of AgNPs is elevated, there is a corresponding increase in the scavenging activity. The AgNPs exhibit a significantly higher antioxidant activity of 96% at a concentration of 100μg/mL.</w:t>
      </w:r>
      <w:r w:rsidR="00470AA6" w:rsidRPr="00AA28A4">
        <w:rPr>
          <w:rFonts w:ascii="Times New Roman" w:hAnsi="Times New Roman"/>
          <w:sz w:val="24"/>
          <w:szCs w:val="24"/>
          <w:lang w:bidi="ta-IN"/>
        </w:rPr>
        <w:t xml:space="preserve"> </w:t>
      </w:r>
      <w:r w:rsidRPr="00AA28A4">
        <w:rPr>
          <w:rFonts w:ascii="Times New Roman" w:hAnsi="Times New Roman"/>
          <w:sz w:val="24"/>
          <w:szCs w:val="24"/>
          <w:lang w:bidi="ta-IN"/>
        </w:rPr>
        <w:t>The standard ascorbic acid demonstrates a 92% inhibition rate when comparing equal concentrations.</w:t>
      </w:r>
    </w:p>
    <w:p w:rsidR="00470AA6" w:rsidRPr="00AA28A4" w:rsidRDefault="00470AA6" w:rsidP="00AA28A4">
      <w:pPr>
        <w:spacing w:after="0" w:line="360" w:lineRule="auto"/>
        <w:jc w:val="both"/>
        <w:rPr>
          <w:rFonts w:ascii="Times New Roman" w:eastAsiaTheme="minorHAnsi" w:hAnsi="Times New Roman"/>
          <w:sz w:val="24"/>
          <w:szCs w:val="24"/>
        </w:rPr>
      </w:pPr>
    </w:p>
    <w:p w:rsidR="008A0355" w:rsidRPr="00AA28A4" w:rsidRDefault="00FE12DE" w:rsidP="00AA28A4">
      <w:pPr>
        <w:spacing w:after="0" w:line="360" w:lineRule="auto"/>
        <w:jc w:val="both"/>
        <w:rPr>
          <w:rFonts w:ascii="Times New Roman" w:hAnsi="Times New Roman"/>
          <w:b/>
          <w:bCs/>
          <w:sz w:val="24"/>
          <w:szCs w:val="24"/>
        </w:rPr>
      </w:pPr>
      <w:r w:rsidRPr="00AA28A4">
        <w:rPr>
          <w:rFonts w:ascii="Times New Roman" w:hAnsi="Times New Roman"/>
          <w:b/>
          <w:bCs/>
          <w:sz w:val="24"/>
          <w:szCs w:val="24"/>
        </w:rPr>
        <w:t>4</w:t>
      </w:r>
      <w:r w:rsidR="009B4A12" w:rsidRPr="00AA28A4">
        <w:rPr>
          <w:rFonts w:ascii="Times New Roman" w:hAnsi="Times New Roman"/>
          <w:b/>
          <w:bCs/>
          <w:sz w:val="24"/>
          <w:szCs w:val="24"/>
        </w:rPr>
        <w:t>. CONCLUSION</w:t>
      </w:r>
    </w:p>
    <w:p w:rsidR="00376AEA" w:rsidRPr="00AA28A4" w:rsidRDefault="009B4A12" w:rsidP="00AA28A4">
      <w:pPr>
        <w:spacing w:after="0" w:line="360" w:lineRule="auto"/>
        <w:jc w:val="both"/>
        <w:rPr>
          <w:rFonts w:ascii="Times New Roman" w:hAnsi="Times New Roman"/>
          <w:sz w:val="24"/>
          <w:szCs w:val="24"/>
        </w:rPr>
      </w:pPr>
      <w:r w:rsidRPr="00AA28A4">
        <w:rPr>
          <w:rFonts w:ascii="Times New Roman" w:hAnsi="Times New Roman"/>
          <w:sz w:val="24"/>
          <w:szCs w:val="24"/>
        </w:rPr>
        <w:t xml:space="preserve">The present study describes the green synthesis of </w:t>
      </w:r>
      <w:proofErr w:type="spellStart"/>
      <w:r w:rsidR="00177EA8">
        <w:rPr>
          <w:rFonts w:ascii="Times New Roman" w:hAnsi="Times New Roman"/>
          <w:sz w:val="24"/>
          <w:szCs w:val="24"/>
        </w:rPr>
        <w:t>AgNPs</w:t>
      </w:r>
      <w:proofErr w:type="spellEnd"/>
      <w:r w:rsidRPr="00AA28A4">
        <w:rPr>
          <w:rFonts w:ascii="Times New Roman" w:hAnsi="Times New Roman"/>
          <w:sz w:val="24"/>
          <w:szCs w:val="24"/>
        </w:rPr>
        <w:t xml:space="preserve"> from </w:t>
      </w:r>
      <w:proofErr w:type="spellStart"/>
      <w:r w:rsidRPr="00AA28A4">
        <w:rPr>
          <w:rFonts w:ascii="Times New Roman" w:hAnsi="Times New Roman"/>
          <w:i/>
          <w:sz w:val="24"/>
          <w:szCs w:val="24"/>
        </w:rPr>
        <w:t>Chondrococcus</w:t>
      </w:r>
      <w:proofErr w:type="spellEnd"/>
      <w:r w:rsidR="00470AA6" w:rsidRPr="00AA28A4">
        <w:rPr>
          <w:rFonts w:ascii="Times New Roman" w:hAnsi="Times New Roman"/>
          <w:i/>
          <w:sz w:val="24"/>
          <w:szCs w:val="24"/>
        </w:rPr>
        <w:t xml:space="preserve"> </w:t>
      </w:r>
      <w:proofErr w:type="spellStart"/>
      <w:r w:rsidRPr="00AA28A4">
        <w:rPr>
          <w:rFonts w:ascii="Times New Roman" w:hAnsi="Times New Roman"/>
          <w:i/>
          <w:sz w:val="24"/>
          <w:szCs w:val="24"/>
        </w:rPr>
        <w:t>hornemannii</w:t>
      </w:r>
      <w:proofErr w:type="spellEnd"/>
      <w:r w:rsidRPr="00AA28A4">
        <w:rPr>
          <w:rFonts w:ascii="Times New Roman" w:hAnsi="Times New Roman"/>
          <w:sz w:val="24"/>
          <w:szCs w:val="24"/>
        </w:rPr>
        <w:t xml:space="preserve">. This research represents the first report on the synthesis of silver nanoparticles using this particular organism. The </w:t>
      </w:r>
      <w:r w:rsidR="00470AA6" w:rsidRPr="00AA28A4">
        <w:rPr>
          <w:rFonts w:ascii="Times New Roman" w:hAnsi="Times New Roman"/>
          <w:sz w:val="24"/>
          <w:szCs w:val="24"/>
        </w:rPr>
        <w:t>synthesized</w:t>
      </w:r>
      <w:r w:rsidRPr="00AA28A4">
        <w:rPr>
          <w:rFonts w:ascii="Times New Roman" w:hAnsi="Times New Roman"/>
          <w:sz w:val="24"/>
          <w:szCs w:val="24"/>
        </w:rPr>
        <w:t xml:space="preserve"> silver nanoparticles were subjected to characterization using various techniques. The observed antibacterial </w:t>
      </w:r>
      <w:r w:rsidR="00177EA8">
        <w:rPr>
          <w:rFonts w:ascii="Times New Roman" w:hAnsi="Times New Roman"/>
          <w:sz w:val="24"/>
          <w:szCs w:val="24"/>
        </w:rPr>
        <w:t>efficacy</w:t>
      </w:r>
      <w:r w:rsidRPr="00AA28A4">
        <w:rPr>
          <w:rFonts w:ascii="Times New Roman" w:hAnsi="Times New Roman"/>
          <w:sz w:val="24"/>
          <w:szCs w:val="24"/>
        </w:rPr>
        <w:t xml:space="preserve"> of the </w:t>
      </w:r>
      <w:proofErr w:type="spellStart"/>
      <w:r w:rsidRPr="00AA28A4">
        <w:rPr>
          <w:rFonts w:ascii="Times New Roman" w:hAnsi="Times New Roman"/>
          <w:sz w:val="24"/>
          <w:szCs w:val="24"/>
        </w:rPr>
        <w:t>AgNPs</w:t>
      </w:r>
      <w:proofErr w:type="spellEnd"/>
      <w:r w:rsidRPr="00AA28A4">
        <w:rPr>
          <w:rFonts w:ascii="Times New Roman" w:hAnsi="Times New Roman"/>
          <w:sz w:val="24"/>
          <w:szCs w:val="24"/>
        </w:rPr>
        <w:t xml:space="preserve"> against both gram-positive and gram-negative bacteria has been confirmed. The </w:t>
      </w:r>
      <w:proofErr w:type="spellStart"/>
      <w:r w:rsidR="00177EA8">
        <w:rPr>
          <w:rFonts w:ascii="Times New Roman" w:hAnsi="Times New Roman"/>
          <w:sz w:val="24"/>
          <w:szCs w:val="24"/>
        </w:rPr>
        <w:t>AgNPs</w:t>
      </w:r>
      <w:proofErr w:type="spellEnd"/>
      <w:r w:rsidRPr="00AA28A4">
        <w:rPr>
          <w:rFonts w:ascii="Times New Roman" w:hAnsi="Times New Roman"/>
          <w:sz w:val="24"/>
          <w:szCs w:val="24"/>
        </w:rPr>
        <w:t xml:space="preserve"> </w:t>
      </w:r>
      <w:r w:rsidR="00470AA6" w:rsidRPr="00AA28A4">
        <w:rPr>
          <w:rFonts w:ascii="Times New Roman" w:hAnsi="Times New Roman"/>
          <w:sz w:val="24"/>
          <w:szCs w:val="24"/>
        </w:rPr>
        <w:t>synthesized</w:t>
      </w:r>
      <w:r w:rsidRPr="00AA28A4">
        <w:rPr>
          <w:rFonts w:ascii="Times New Roman" w:hAnsi="Times New Roman"/>
          <w:sz w:val="24"/>
          <w:szCs w:val="24"/>
        </w:rPr>
        <w:t xml:space="preserve"> through biological means have demonstrated significant </w:t>
      </w:r>
      <w:r w:rsidR="00177EA8">
        <w:rPr>
          <w:rFonts w:ascii="Times New Roman" w:hAnsi="Times New Roman"/>
          <w:sz w:val="24"/>
          <w:szCs w:val="24"/>
        </w:rPr>
        <w:t xml:space="preserve">therapeutic </w:t>
      </w:r>
      <w:r w:rsidRPr="00AA28A4">
        <w:rPr>
          <w:rFonts w:ascii="Times New Roman" w:hAnsi="Times New Roman"/>
          <w:sz w:val="24"/>
          <w:szCs w:val="24"/>
        </w:rPr>
        <w:t>potential. In the future, nanotechnology holds potential for advancements in medicine, particularly in the development of nanomedicine and the manufacturing of various pharmaceutical products.</w:t>
      </w:r>
    </w:p>
    <w:p w:rsidR="005D19D0" w:rsidRPr="00AA28A4" w:rsidRDefault="005D19D0" w:rsidP="00AA28A4">
      <w:pPr>
        <w:spacing w:after="0" w:line="360" w:lineRule="auto"/>
        <w:jc w:val="both"/>
        <w:rPr>
          <w:rFonts w:ascii="Times New Roman" w:hAnsi="Times New Roman"/>
          <w:b/>
          <w:bCs/>
          <w:sz w:val="24"/>
          <w:szCs w:val="24"/>
        </w:rPr>
      </w:pPr>
    </w:p>
    <w:p w:rsidR="00376AEA" w:rsidRPr="00AA28A4" w:rsidRDefault="009B4A12" w:rsidP="00AA28A4">
      <w:pPr>
        <w:spacing w:after="0" w:line="360" w:lineRule="auto"/>
        <w:jc w:val="both"/>
        <w:rPr>
          <w:rFonts w:ascii="Times New Roman" w:hAnsi="Times New Roman"/>
          <w:sz w:val="24"/>
          <w:szCs w:val="24"/>
        </w:rPr>
      </w:pPr>
      <w:r w:rsidRPr="00AA28A4">
        <w:rPr>
          <w:rFonts w:ascii="Times New Roman" w:hAnsi="Times New Roman"/>
          <w:b/>
          <w:bCs/>
          <w:sz w:val="24"/>
          <w:szCs w:val="24"/>
        </w:rPr>
        <w:t>REFERENCES</w:t>
      </w:r>
    </w:p>
    <w:p w:rsidR="006549D2" w:rsidRPr="006549D2" w:rsidRDefault="009B4A12" w:rsidP="006549D2">
      <w:pPr>
        <w:widowControl w:val="0"/>
        <w:autoSpaceDE w:val="0"/>
        <w:autoSpaceDN w:val="0"/>
        <w:adjustRightInd w:val="0"/>
        <w:spacing w:after="0" w:line="360" w:lineRule="auto"/>
        <w:ind w:left="480" w:hanging="480"/>
        <w:rPr>
          <w:rFonts w:ascii="Times New Roman" w:hAnsi="Times New Roman"/>
          <w:noProof/>
          <w:sz w:val="24"/>
          <w:szCs w:val="24"/>
        </w:rPr>
      </w:pPr>
      <w:r w:rsidRPr="00AA28A4">
        <w:rPr>
          <w:rFonts w:ascii="Times New Roman" w:hAnsi="Times New Roman"/>
          <w:bCs/>
          <w:sz w:val="24"/>
          <w:szCs w:val="24"/>
        </w:rPr>
        <w:fldChar w:fldCharType="begin" w:fldLock="1"/>
      </w:r>
      <w:r w:rsidRPr="00AA28A4">
        <w:rPr>
          <w:rFonts w:ascii="Times New Roman" w:hAnsi="Times New Roman"/>
          <w:bCs/>
          <w:sz w:val="24"/>
          <w:szCs w:val="24"/>
        </w:rPr>
        <w:instrText xml:space="preserve">ADDIN Mendeley Bibliography CSL_BIBLIOGRAPHY </w:instrText>
      </w:r>
      <w:r w:rsidRPr="00AA28A4">
        <w:rPr>
          <w:rFonts w:ascii="Times New Roman" w:hAnsi="Times New Roman"/>
          <w:bCs/>
          <w:sz w:val="24"/>
          <w:szCs w:val="24"/>
        </w:rPr>
        <w:fldChar w:fldCharType="separate"/>
      </w:r>
      <w:r w:rsidR="006549D2" w:rsidRPr="006549D2">
        <w:rPr>
          <w:rFonts w:ascii="Times New Roman" w:hAnsi="Times New Roman"/>
          <w:noProof/>
          <w:sz w:val="24"/>
          <w:szCs w:val="24"/>
        </w:rPr>
        <w:t>Andersson, D.I., Hughes, D., Kubicek-Sutherland, J.Z., 2016. Mechanisms and consequences of bacterial resistance to antimicrobial peptides. Drug Resist. Updat. 26, 43–57. https://doi.org/https://doi.org/10.1016/j.drup.2016.04.002</w:t>
      </w:r>
    </w:p>
    <w:p w:rsidR="006549D2" w:rsidRPr="006549D2" w:rsidRDefault="006549D2" w:rsidP="006549D2">
      <w:pPr>
        <w:widowControl w:val="0"/>
        <w:autoSpaceDE w:val="0"/>
        <w:autoSpaceDN w:val="0"/>
        <w:adjustRightInd w:val="0"/>
        <w:spacing w:after="0" w:line="360" w:lineRule="auto"/>
        <w:ind w:left="480" w:hanging="480"/>
        <w:rPr>
          <w:rFonts w:ascii="Times New Roman" w:hAnsi="Times New Roman"/>
          <w:noProof/>
          <w:sz w:val="24"/>
          <w:szCs w:val="24"/>
        </w:rPr>
      </w:pPr>
      <w:r w:rsidRPr="006549D2">
        <w:rPr>
          <w:rFonts w:ascii="Times New Roman" w:hAnsi="Times New Roman"/>
          <w:noProof/>
          <w:sz w:val="24"/>
          <w:szCs w:val="24"/>
        </w:rPr>
        <w:t>APB, B., Bhuvaneswari, S., Raj, L., Bupesh, G., Meenakshisundaram, K., KM, S., 2022. A Review on the Potential Species of the Zingiberaceae Family with Anti-viral Efficacy Towards Enveloped Viruses. J. Pure Appl. Microbiol. 16, 796–813. https://doi.org/10.22207/JPAM.16.2.35</w:t>
      </w:r>
    </w:p>
    <w:p w:rsidR="006549D2" w:rsidRPr="006549D2" w:rsidRDefault="006549D2" w:rsidP="006549D2">
      <w:pPr>
        <w:widowControl w:val="0"/>
        <w:autoSpaceDE w:val="0"/>
        <w:autoSpaceDN w:val="0"/>
        <w:adjustRightInd w:val="0"/>
        <w:spacing w:after="0" w:line="360" w:lineRule="auto"/>
        <w:ind w:left="480" w:hanging="480"/>
        <w:rPr>
          <w:rFonts w:ascii="Times New Roman" w:hAnsi="Times New Roman"/>
          <w:noProof/>
          <w:sz w:val="24"/>
          <w:szCs w:val="24"/>
        </w:rPr>
      </w:pPr>
      <w:r w:rsidRPr="006549D2">
        <w:rPr>
          <w:rFonts w:ascii="Times New Roman" w:hAnsi="Times New Roman"/>
          <w:noProof/>
          <w:sz w:val="24"/>
          <w:szCs w:val="24"/>
        </w:rPr>
        <w:t>Baweja, P., Kumar, S., Sahoo, D., Levine, I., 2016. Chapter 3 - Biology of Seaweeds, in: Fleurence, J., Levine, I.B.T.-S. in H. and D.P. (Eds.), . Academic Press, San Diego, pp. 41–106. https://doi.org/https://doi.org/10.1016/B978-0-12-802772-1.00003-8</w:t>
      </w:r>
    </w:p>
    <w:p w:rsidR="006549D2" w:rsidRPr="006549D2" w:rsidRDefault="006549D2" w:rsidP="006549D2">
      <w:pPr>
        <w:widowControl w:val="0"/>
        <w:autoSpaceDE w:val="0"/>
        <w:autoSpaceDN w:val="0"/>
        <w:adjustRightInd w:val="0"/>
        <w:spacing w:after="0" w:line="360" w:lineRule="auto"/>
        <w:ind w:left="480" w:hanging="480"/>
        <w:rPr>
          <w:rFonts w:ascii="Times New Roman" w:hAnsi="Times New Roman"/>
          <w:noProof/>
          <w:sz w:val="24"/>
          <w:szCs w:val="24"/>
        </w:rPr>
      </w:pPr>
      <w:r w:rsidRPr="006549D2">
        <w:rPr>
          <w:rFonts w:ascii="Times New Roman" w:hAnsi="Times New Roman"/>
          <w:noProof/>
          <w:sz w:val="24"/>
          <w:szCs w:val="24"/>
        </w:rPr>
        <w:t xml:space="preserve">Behera, D.P., Ingle, K.N., Mathew, D.E., Dhimmar, A., Sahastrabudhe, H., Sahu, S.K., </w:t>
      </w:r>
      <w:r w:rsidRPr="006549D2">
        <w:rPr>
          <w:rFonts w:ascii="Times New Roman" w:hAnsi="Times New Roman"/>
          <w:noProof/>
          <w:sz w:val="24"/>
          <w:szCs w:val="24"/>
        </w:rPr>
        <w:lastRenderedPageBreak/>
        <w:t>Krishnan, M.G., Shinde, P.B., Ganesan, M., Mantri, V.A., 2022. Epiphytism, diseases and grazing in seaweed aquaculture: A comprehensive review. Rev. Aquac. 14, 1345–1370. https://doi.org/https://doi.org/10.1111/raq.12653</w:t>
      </w:r>
    </w:p>
    <w:p w:rsidR="006549D2" w:rsidRPr="006549D2" w:rsidRDefault="006549D2" w:rsidP="006549D2">
      <w:pPr>
        <w:widowControl w:val="0"/>
        <w:autoSpaceDE w:val="0"/>
        <w:autoSpaceDN w:val="0"/>
        <w:adjustRightInd w:val="0"/>
        <w:spacing w:after="0" w:line="360" w:lineRule="auto"/>
        <w:ind w:left="480" w:hanging="480"/>
        <w:rPr>
          <w:rFonts w:ascii="Times New Roman" w:hAnsi="Times New Roman"/>
          <w:noProof/>
          <w:sz w:val="24"/>
          <w:szCs w:val="24"/>
        </w:rPr>
      </w:pPr>
      <w:r w:rsidRPr="006549D2">
        <w:rPr>
          <w:rFonts w:ascii="Times New Roman" w:hAnsi="Times New Roman"/>
          <w:noProof/>
          <w:sz w:val="24"/>
          <w:szCs w:val="24"/>
        </w:rPr>
        <w:t>Chang, S.-T., Wu, J.-H., Wang, S.-Y., Kang, P.-L., Yang, N.-S., Shyur, L.-F., 2001. Antioxidant Activity of Extracts from Acacia confusa Bark and Heartwood. J. Agric. Food Chem. 49, 3420–3424. https://doi.org/10.1021/jf0100907</w:t>
      </w:r>
    </w:p>
    <w:p w:rsidR="006549D2" w:rsidRPr="006549D2" w:rsidRDefault="006549D2" w:rsidP="006549D2">
      <w:pPr>
        <w:widowControl w:val="0"/>
        <w:autoSpaceDE w:val="0"/>
        <w:autoSpaceDN w:val="0"/>
        <w:adjustRightInd w:val="0"/>
        <w:spacing w:after="0" w:line="360" w:lineRule="auto"/>
        <w:ind w:left="480" w:hanging="480"/>
        <w:rPr>
          <w:rFonts w:ascii="Times New Roman" w:hAnsi="Times New Roman"/>
          <w:noProof/>
          <w:sz w:val="24"/>
          <w:szCs w:val="24"/>
        </w:rPr>
      </w:pPr>
      <w:r w:rsidRPr="006549D2">
        <w:rPr>
          <w:rFonts w:ascii="Times New Roman" w:hAnsi="Times New Roman"/>
          <w:noProof/>
          <w:sz w:val="24"/>
          <w:szCs w:val="24"/>
        </w:rPr>
        <w:t>Chen, J., Wang, J., Zhang, X., Jin, Y., 2008. Microwave-assisted green synthesis of silver nanoparticles by carboxymethyl cellulose sodium and silver nitrate. Mater. Chem. Phys. 108, 421–424. https://doi.org/https://doi.org/10.1016/j.matchemphys.2007.10.019</w:t>
      </w:r>
    </w:p>
    <w:p w:rsidR="006549D2" w:rsidRPr="006549D2" w:rsidRDefault="006549D2" w:rsidP="006549D2">
      <w:pPr>
        <w:widowControl w:val="0"/>
        <w:autoSpaceDE w:val="0"/>
        <w:autoSpaceDN w:val="0"/>
        <w:adjustRightInd w:val="0"/>
        <w:spacing w:after="0" w:line="360" w:lineRule="auto"/>
        <w:ind w:left="480" w:hanging="480"/>
        <w:rPr>
          <w:rFonts w:ascii="Times New Roman" w:hAnsi="Times New Roman"/>
          <w:noProof/>
          <w:sz w:val="24"/>
          <w:szCs w:val="24"/>
        </w:rPr>
      </w:pPr>
      <w:r w:rsidRPr="006549D2">
        <w:rPr>
          <w:rFonts w:ascii="Times New Roman" w:hAnsi="Times New Roman"/>
          <w:noProof/>
          <w:sz w:val="24"/>
          <w:szCs w:val="24"/>
        </w:rPr>
        <w:t>Dada, A.O., Latona, D., Ojediran, O., Nath, O., 2016. Adsorption of Cu (II) onto bamboo supported manganese (BS-Mn) nanocomposite: effect of operational parameters, kinetic, isotherms, and thermodynamic studies. J. Appl. Sci. Environ. Manag. 20, 409–422. https://doi.org/10.4314/jasem.v20i2.24</w:t>
      </w:r>
    </w:p>
    <w:p w:rsidR="006549D2" w:rsidRPr="006549D2" w:rsidRDefault="006549D2" w:rsidP="006549D2">
      <w:pPr>
        <w:widowControl w:val="0"/>
        <w:autoSpaceDE w:val="0"/>
        <w:autoSpaceDN w:val="0"/>
        <w:adjustRightInd w:val="0"/>
        <w:spacing w:after="0" w:line="360" w:lineRule="auto"/>
        <w:ind w:left="480" w:hanging="480"/>
        <w:rPr>
          <w:rFonts w:ascii="Times New Roman" w:hAnsi="Times New Roman"/>
          <w:noProof/>
          <w:sz w:val="24"/>
          <w:szCs w:val="24"/>
        </w:rPr>
      </w:pPr>
      <w:r w:rsidRPr="006549D2">
        <w:rPr>
          <w:rFonts w:ascii="Times New Roman" w:hAnsi="Times New Roman"/>
          <w:noProof/>
          <w:sz w:val="24"/>
          <w:szCs w:val="24"/>
        </w:rPr>
        <w:t>Farnsworth, N.R., Akerele, O., Bingel, A.S., Soejarto, D.D., Guo, Z., 1985. Medicinal plants in therapy. Bull. World Health Organ. 63, 965–981.</w:t>
      </w:r>
    </w:p>
    <w:p w:rsidR="006549D2" w:rsidRPr="006549D2" w:rsidRDefault="006549D2" w:rsidP="006549D2">
      <w:pPr>
        <w:widowControl w:val="0"/>
        <w:autoSpaceDE w:val="0"/>
        <w:autoSpaceDN w:val="0"/>
        <w:adjustRightInd w:val="0"/>
        <w:spacing w:after="0" w:line="360" w:lineRule="auto"/>
        <w:ind w:left="480" w:hanging="480"/>
        <w:rPr>
          <w:rFonts w:ascii="Times New Roman" w:hAnsi="Times New Roman"/>
          <w:noProof/>
          <w:sz w:val="24"/>
          <w:szCs w:val="24"/>
        </w:rPr>
      </w:pPr>
      <w:r w:rsidRPr="006549D2">
        <w:rPr>
          <w:rFonts w:ascii="Times New Roman" w:hAnsi="Times New Roman"/>
          <w:noProof/>
          <w:sz w:val="24"/>
          <w:szCs w:val="24"/>
        </w:rPr>
        <w:t>Friedlander, M., 2008. Israeli R &amp; D activities in seaweed cultivation. Isr. J. Plant Sci. 56, 15–28. https://doi.org/10.1560/IJPS.56.1-2.15</w:t>
      </w:r>
    </w:p>
    <w:p w:rsidR="006549D2" w:rsidRPr="006549D2" w:rsidRDefault="006549D2" w:rsidP="006549D2">
      <w:pPr>
        <w:widowControl w:val="0"/>
        <w:autoSpaceDE w:val="0"/>
        <w:autoSpaceDN w:val="0"/>
        <w:adjustRightInd w:val="0"/>
        <w:spacing w:after="0" w:line="360" w:lineRule="auto"/>
        <w:ind w:left="480" w:hanging="480"/>
        <w:rPr>
          <w:rFonts w:ascii="Times New Roman" w:hAnsi="Times New Roman"/>
          <w:noProof/>
          <w:sz w:val="24"/>
          <w:szCs w:val="24"/>
        </w:rPr>
      </w:pPr>
      <w:r w:rsidRPr="006549D2">
        <w:rPr>
          <w:rFonts w:ascii="Times New Roman" w:hAnsi="Times New Roman"/>
          <w:noProof/>
          <w:sz w:val="24"/>
          <w:szCs w:val="24"/>
        </w:rPr>
        <w:t>Jamil, N., Che Hussin, N., Nordin, S., Awang, K., 2015. Automatic Plant Identification: Is Shape the Key Feature? Procedia Comput. Sci. 76, 436–442. https://doi.org/10.1016/j.procs.2015.12.287</w:t>
      </w:r>
    </w:p>
    <w:p w:rsidR="006549D2" w:rsidRPr="006549D2" w:rsidRDefault="006549D2" w:rsidP="006549D2">
      <w:pPr>
        <w:widowControl w:val="0"/>
        <w:autoSpaceDE w:val="0"/>
        <w:autoSpaceDN w:val="0"/>
        <w:adjustRightInd w:val="0"/>
        <w:spacing w:after="0" w:line="360" w:lineRule="auto"/>
        <w:ind w:left="480" w:hanging="480"/>
        <w:rPr>
          <w:rFonts w:ascii="Times New Roman" w:hAnsi="Times New Roman"/>
          <w:noProof/>
          <w:sz w:val="24"/>
          <w:szCs w:val="24"/>
        </w:rPr>
      </w:pPr>
      <w:r w:rsidRPr="006549D2">
        <w:rPr>
          <w:rFonts w:ascii="Times New Roman" w:hAnsi="Times New Roman"/>
          <w:noProof/>
          <w:sz w:val="24"/>
          <w:szCs w:val="24"/>
        </w:rPr>
        <w:t>Jiménez-González, C., Constable, D.J.C., Ponder, C.S., 2012. Evaluating the “Greenness” of chemical processes and products in the pharmaceutical industry—a green metrics primer. Chem. Soc. Rev. 41, 1485–1498. https://doi.org/10.1039/C1CS15215G</w:t>
      </w:r>
    </w:p>
    <w:p w:rsidR="006549D2" w:rsidRPr="006549D2" w:rsidRDefault="006549D2" w:rsidP="006549D2">
      <w:pPr>
        <w:widowControl w:val="0"/>
        <w:autoSpaceDE w:val="0"/>
        <w:autoSpaceDN w:val="0"/>
        <w:adjustRightInd w:val="0"/>
        <w:spacing w:after="0" w:line="360" w:lineRule="auto"/>
        <w:ind w:left="480" w:hanging="480"/>
        <w:rPr>
          <w:rFonts w:ascii="Times New Roman" w:hAnsi="Times New Roman"/>
          <w:noProof/>
          <w:sz w:val="24"/>
          <w:szCs w:val="24"/>
        </w:rPr>
      </w:pPr>
      <w:r w:rsidRPr="006549D2">
        <w:rPr>
          <w:rFonts w:ascii="Times New Roman" w:hAnsi="Times New Roman"/>
          <w:noProof/>
          <w:sz w:val="24"/>
          <w:szCs w:val="24"/>
        </w:rPr>
        <w:t>Joicy, A., Selvamani, R., Janani, C., Balasubramanian, C., Prabhu, K., Marimuthu, K., Giridharan, B., Vijayakumar, T., Saravanan, K.M., 2023. Photocatalytic Degradation of Textile Dye Using Green Synthesized Nanoparticles. Lett. Appl. NanoBioScience 12, 102. https://doi.org/10.33263/LIANBS124.102</w:t>
      </w:r>
    </w:p>
    <w:p w:rsidR="006549D2" w:rsidRPr="006549D2" w:rsidRDefault="006549D2" w:rsidP="006549D2">
      <w:pPr>
        <w:widowControl w:val="0"/>
        <w:autoSpaceDE w:val="0"/>
        <w:autoSpaceDN w:val="0"/>
        <w:adjustRightInd w:val="0"/>
        <w:spacing w:after="0" w:line="360" w:lineRule="auto"/>
        <w:ind w:left="480" w:hanging="480"/>
        <w:rPr>
          <w:rFonts w:ascii="Times New Roman" w:hAnsi="Times New Roman"/>
          <w:noProof/>
          <w:sz w:val="24"/>
          <w:szCs w:val="24"/>
        </w:rPr>
      </w:pPr>
      <w:r w:rsidRPr="006549D2">
        <w:rPr>
          <w:rFonts w:ascii="Times New Roman" w:hAnsi="Times New Roman"/>
          <w:noProof/>
          <w:sz w:val="24"/>
          <w:szCs w:val="24"/>
        </w:rPr>
        <w:t>Khamhaengpol, A., Siri, S., 2017. Green synthesis of silver nanoparticles using tissue extract of weaver ant larvae. Mater. Lett. 192, 72–75. https://doi.org/https://doi.org/10.1016/j.matlet.2017.01.076</w:t>
      </w:r>
    </w:p>
    <w:p w:rsidR="006549D2" w:rsidRPr="006549D2" w:rsidRDefault="006549D2" w:rsidP="006549D2">
      <w:pPr>
        <w:widowControl w:val="0"/>
        <w:autoSpaceDE w:val="0"/>
        <w:autoSpaceDN w:val="0"/>
        <w:adjustRightInd w:val="0"/>
        <w:spacing w:after="0" w:line="360" w:lineRule="auto"/>
        <w:ind w:left="480" w:hanging="480"/>
        <w:rPr>
          <w:rFonts w:ascii="Times New Roman" w:hAnsi="Times New Roman"/>
          <w:noProof/>
          <w:sz w:val="24"/>
          <w:szCs w:val="24"/>
        </w:rPr>
      </w:pPr>
      <w:r w:rsidRPr="006549D2">
        <w:rPr>
          <w:rFonts w:ascii="Times New Roman" w:hAnsi="Times New Roman"/>
          <w:noProof/>
          <w:sz w:val="24"/>
          <w:szCs w:val="24"/>
        </w:rPr>
        <w:t xml:space="preserve">Lesjak, M.M., Beara, I.N., Orčić, D.Z., Petar, K.N., Simin, N.Đ., Emilija, S.Đ., Mimica-Dukić, </w:t>
      </w:r>
      <w:r w:rsidRPr="006549D2">
        <w:rPr>
          <w:rFonts w:ascii="Times New Roman" w:hAnsi="Times New Roman"/>
          <w:noProof/>
          <w:sz w:val="24"/>
          <w:szCs w:val="24"/>
        </w:rPr>
        <w:lastRenderedPageBreak/>
        <w:t>N.M., 2014. Phytochemical composition and antioxidant, anti-inflammatory and antimicrobial activities of Juniperus macrocarpa Sibth. et Sm. J. Funct. Foods 7, 257–268. https://doi.org/https://doi.org/10.1016/j.jff.2014.02.003</w:t>
      </w:r>
    </w:p>
    <w:p w:rsidR="006549D2" w:rsidRPr="006549D2" w:rsidRDefault="006549D2" w:rsidP="006549D2">
      <w:pPr>
        <w:widowControl w:val="0"/>
        <w:autoSpaceDE w:val="0"/>
        <w:autoSpaceDN w:val="0"/>
        <w:adjustRightInd w:val="0"/>
        <w:spacing w:after="0" w:line="360" w:lineRule="auto"/>
        <w:ind w:left="480" w:hanging="480"/>
        <w:rPr>
          <w:rFonts w:ascii="Times New Roman" w:hAnsi="Times New Roman"/>
          <w:noProof/>
          <w:sz w:val="24"/>
          <w:szCs w:val="24"/>
        </w:rPr>
      </w:pPr>
      <w:r w:rsidRPr="006549D2">
        <w:rPr>
          <w:rFonts w:ascii="Times New Roman" w:hAnsi="Times New Roman"/>
          <w:noProof/>
          <w:sz w:val="24"/>
          <w:szCs w:val="24"/>
        </w:rPr>
        <w:t>Lomartire, S., Gonçalves, A.M.M., 2023. Algal Phycocolloids: Bioactivities and Pharmaceutical Applications. Mar. Drugs. https://doi.org/10.3390/md21070384</w:t>
      </w:r>
    </w:p>
    <w:p w:rsidR="006549D2" w:rsidRPr="006549D2" w:rsidRDefault="006549D2" w:rsidP="006549D2">
      <w:pPr>
        <w:widowControl w:val="0"/>
        <w:autoSpaceDE w:val="0"/>
        <w:autoSpaceDN w:val="0"/>
        <w:adjustRightInd w:val="0"/>
        <w:spacing w:after="0" w:line="360" w:lineRule="auto"/>
        <w:ind w:left="480" w:hanging="480"/>
        <w:rPr>
          <w:rFonts w:ascii="Times New Roman" w:hAnsi="Times New Roman"/>
          <w:noProof/>
          <w:sz w:val="24"/>
          <w:szCs w:val="24"/>
        </w:rPr>
      </w:pPr>
      <w:r w:rsidRPr="006549D2">
        <w:rPr>
          <w:rFonts w:ascii="Times New Roman" w:hAnsi="Times New Roman"/>
          <w:noProof/>
          <w:sz w:val="24"/>
          <w:szCs w:val="24"/>
        </w:rPr>
        <w:t>Martínez-Gutierrez, F., Thi, E.P., Silverman, J.M., de Oliveira, C.C., Svensson, S.L., Vanden Hoek, A., Sánchez, E.M., Reiner, N.E., Gaynor, E.C., Pryzdial, E.L.G., Conway, E.M., Orrantia, E., Ruiz, F., Av-Gay, Y., Bach, H., 2012. Antibacterial activity, inflammatory response, coagulation and cytotoxicity effects of silver nanoparticles. Nanomedicine 8, 328–336. https://doi.org/10.1016/j.nano.2011.06.014</w:t>
      </w:r>
    </w:p>
    <w:p w:rsidR="006549D2" w:rsidRPr="006549D2" w:rsidRDefault="006549D2" w:rsidP="006549D2">
      <w:pPr>
        <w:widowControl w:val="0"/>
        <w:autoSpaceDE w:val="0"/>
        <w:autoSpaceDN w:val="0"/>
        <w:adjustRightInd w:val="0"/>
        <w:spacing w:after="0" w:line="360" w:lineRule="auto"/>
        <w:ind w:left="480" w:hanging="480"/>
        <w:rPr>
          <w:rFonts w:ascii="Times New Roman" w:hAnsi="Times New Roman"/>
          <w:noProof/>
          <w:sz w:val="24"/>
          <w:szCs w:val="24"/>
        </w:rPr>
      </w:pPr>
      <w:r w:rsidRPr="006549D2">
        <w:rPr>
          <w:rFonts w:ascii="Times New Roman" w:hAnsi="Times New Roman"/>
          <w:noProof/>
          <w:sz w:val="24"/>
          <w:szCs w:val="24"/>
        </w:rPr>
        <w:t>Muñoz-Escobar, A., Ruíz-Baltazar, Á. de J., Reyes-López, S.Y., 2019. Novel Route of Synthesis of PCL-CuONPs Composites With Antimicrobial Properties. Dose-Response 17, 1559325819869502. https://doi.org/10.1177/1559325819869502</w:t>
      </w:r>
    </w:p>
    <w:p w:rsidR="006549D2" w:rsidRPr="006549D2" w:rsidRDefault="006549D2" w:rsidP="006549D2">
      <w:pPr>
        <w:widowControl w:val="0"/>
        <w:autoSpaceDE w:val="0"/>
        <w:autoSpaceDN w:val="0"/>
        <w:adjustRightInd w:val="0"/>
        <w:spacing w:after="0" w:line="360" w:lineRule="auto"/>
        <w:ind w:left="480" w:hanging="480"/>
        <w:rPr>
          <w:rFonts w:ascii="Times New Roman" w:hAnsi="Times New Roman"/>
          <w:noProof/>
          <w:sz w:val="24"/>
          <w:szCs w:val="24"/>
        </w:rPr>
      </w:pPr>
      <w:r w:rsidRPr="006549D2">
        <w:rPr>
          <w:rFonts w:ascii="Times New Roman" w:hAnsi="Times New Roman"/>
          <w:noProof/>
          <w:sz w:val="24"/>
          <w:szCs w:val="24"/>
        </w:rPr>
        <w:t>Rayapu, L., Makkar, F., Chakraborty, K., Valluru, L., 2017. PHYTOCHEMICAL EVALUATION AND ANTIMICROBIAL ACTIVITY OF GRACILARIA OPUNTIA: AN IMPORTANT ANTI-DIABETIC RED MARINE MACROALGAE. Int. J. Curr. Pharm. Res. 9, 37. https://doi.org/10.22159/ijcpr.2017v9i6.23426</w:t>
      </w:r>
    </w:p>
    <w:p w:rsidR="006549D2" w:rsidRPr="006549D2" w:rsidRDefault="006549D2" w:rsidP="006549D2">
      <w:pPr>
        <w:widowControl w:val="0"/>
        <w:autoSpaceDE w:val="0"/>
        <w:autoSpaceDN w:val="0"/>
        <w:adjustRightInd w:val="0"/>
        <w:spacing w:after="0" w:line="360" w:lineRule="auto"/>
        <w:ind w:left="480" w:hanging="480"/>
        <w:rPr>
          <w:rFonts w:ascii="Times New Roman" w:hAnsi="Times New Roman"/>
          <w:noProof/>
          <w:sz w:val="24"/>
          <w:szCs w:val="24"/>
        </w:rPr>
      </w:pPr>
      <w:r w:rsidRPr="006549D2">
        <w:rPr>
          <w:rFonts w:ascii="Times New Roman" w:hAnsi="Times New Roman"/>
          <w:noProof/>
          <w:sz w:val="24"/>
          <w:szCs w:val="24"/>
        </w:rPr>
        <w:t>Thakkar, K.N., Mhatre, S.S., Parikh, R.Y., 2010. Biological synthesis of metallic nanoparticles. Nanomedicine Nanotechnology, Biol. Med. 6, 257–262. https://doi.org/https://doi.org/10.1016/j.nano.2009.07.002</w:t>
      </w:r>
    </w:p>
    <w:p w:rsidR="006549D2" w:rsidRPr="006549D2" w:rsidRDefault="006549D2" w:rsidP="006549D2">
      <w:pPr>
        <w:widowControl w:val="0"/>
        <w:autoSpaceDE w:val="0"/>
        <w:autoSpaceDN w:val="0"/>
        <w:adjustRightInd w:val="0"/>
        <w:spacing w:after="0" w:line="360" w:lineRule="auto"/>
        <w:ind w:left="480" w:hanging="480"/>
        <w:rPr>
          <w:rFonts w:ascii="Times New Roman" w:hAnsi="Times New Roman"/>
          <w:noProof/>
          <w:sz w:val="24"/>
          <w:szCs w:val="24"/>
        </w:rPr>
      </w:pPr>
      <w:r w:rsidRPr="006549D2">
        <w:rPr>
          <w:rFonts w:ascii="Times New Roman" w:hAnsi="Times New Roman"/>
          <w:noProof/>
          <w:sz w:val="24"/>
          <w:szCs w:val="24"/>
        </w:rPr>
        <w:t>Thema, F.T., Manikandan, E., Dhlamini, M.S., Maaza, M., 2015. Green synthesis of ZnO nanoparticles via Agathosma betulina natural extract. Mater. Lett. 161, 124–127. https://doi.org/https://doi.org/10.1016/j.matlet.2015.08.052</w:t>
      </w:r>
    </w:p>
    <w:p w:rsidR="006549D2" w:rsidRPr="006549D2" w:rsidRDefault="006549D2" w:rsidP="006549D2">
      <w:pPr>
        <w:widowControl w:val="0"/>
        <w:autoSpaceDE w:val="0"/>
        <w:autoSpaceDN w:val="0"/>
        <w:adjustRightInd w:val="0"/>
        <w:spacing w:after="0" w:line="360" w:lineRule="auto"/>
        <w:ind w:left="480" w:hanging="480"/>
        <w:rPr>
          <w:rFonts w:ascii="Times New Roman" w:hAnsi="Times New Roman"/>
          <w:noProof/>
          <w:sz w:val="24"/>
          <w:szCs w:val="24"/>
        </w:rPr>
      </w:pPr>
      <w:r w:rsidRPr="006549D2">
        <w:rPr>
          <w:rFonts w:ascii="Times New Roman" w:hAnsi="Times New Roman"/>
          <w:noProof/>
          <w:sz w:val="24"/>
          <w:szCs w:val="24"/>
        </w:rPr>
        <w:t>Thovhogi, N., Diallo, A., Gurib-Fakim, A., Maaza, M., 2015. Nanoparticles green synthesis by Hibiscus Sabdariffa flower extract: Main physical properties. J. Alloys Compd. 647. https://doi.org/10.1016/j.jallcom.2015.06.076</w:t>
      </w:r>
    </w:p>
    <w:p w:rsidR="006549D2" w:rsidRPr="006549D2" w:rsidRDefault="006549D2" w:rsidP="006549D2">
      <w:pPr>
        <w:widowControl w:val="0"/>
        <w:autoSpaceDE w:val="0"/>
        <w:autoSpaceDN w:val="0"/>
        <w:adjustRightInd w:val="0"/>
        <w:spacing w:after="0" w:line="360" w:lineRule="auto"/>
        <w:ind w:left="480" w:hanging="480"/>
        <w:rPr>
          <w:rFonts w:ascii="Times New Roman" w:hAnsi="Times New Roman"/>
          <w:noProof/>
          <w:sz w:val="24"/>
          <w:szCs w:val="24"/>
        </w:rPr>
      </w:pPr>
      <w:r w:rsidRPr="006549D2">
        <w:rPr>
          <w:rFonts w:ascii="Times New Roman" w:hAnsi="Times New Roman"/>
          <w:noProof/>
          <w:sz w:val="24"/>
          <w:szCs w:val="24"/>
        </w:rPr>
        <w:t>Vidyasagar, Patel, R.R., Singh, S.K., Singh, M., 2023. Green synthesis of silver nanoparticles: methods, biological applications, delivery and toxicity. Mater. Adv. 4, 1831–1849. https://doi.org/10.1039/D2MA01105K</w:t>
      </w:r>
    </w:p>
    <w:p w:rsidR="006549D2" w:rsidRPr="006549D2" w:rsidRDefault="006549D2" w:rsidP="006549D2">
      <w:pPr>
        <w:widowControl w:val="0"/>
        <w:autoSpaceDE w:val="0"/>
        <w:autoSpaceDN w:val="0"/>
        <w:adjustRightInd w:val="0"/>
        <w:spacing w:after="0" w:line="360" w:lineRule="auto"/>
        <w:ind w:left="480" w:hanging="480"/>
        <w:rPr>
          <w:rFonts w:ascii="Times New Roman" w:hAnsi="Times New Roman"/>
          <w:noProof/>
          <w:sz w:val="24"/>
          <w:szCs w:val="24"/>
        </w:rPr>
      </w:pPr>
      <w:r w:rsidRPr="006549D2">
        <w:rPr>
          <w:rFonts w:ascii="Times New Roman" w:hAnsi="Times New Roman"/>
          <w:noProof/>
          <w:sz w:val="24"/>
          <w:szCs w:val="24"/>
        </w:rPr>
        <w:t xml:space="preserve">Walling, B., Bharali, P., Giridharan, B., Gogoi, B., Sorhie, V., Alemtoshi, Mani, S.K., 2023. Bacterial nanocellulose: A novel nanostructured bio-adsorbent for green remediation </w:t>
      </w:r>
      <w:r w:rsidRPr="006549D2">
        <w:rPr>
          <w:rFonts w:ascii="Times New Roman" w:hAnsi="Times New Roman"/>
          <w:noProof/>
          <w:sz w:val="24"/>
          <w:szCs w:val="24"/>
        </w:rPr>
        <w:lastRenderedPageBreak/>
        <w:t>technology. Acta Ecol. Sin. https://doi.org/https://doi.org/10.1016/j.chnaes.2023.02.002</w:t>
      </w:r>
    </w:p>
    <w:p w:rsidR="006549D2" w:rsidRPr="006549D2" w:rsidRDefault="006549D2" w:rsidP="006549D2">
      <w:pPr>
        <w:widowControl w:val="0"/>
        <w:autoSpaceDE w:val="0"/>
        <w:autoSpaceDN w:val="0"/>
        <w:adjustRightInd w:val="0"/>
        <w:spacing w:after="0" w:line="360" w:lineRule="auto"/>
        <w:ind w:left="480" w:hanging="480"/>
        <w:rPr>
          <w:rFonts w:ascii="Times New Roman" w:hAnsi="Times New Roman"/>
          <w:noProof/>
          <w:sz w:val="24"/>
          <w:szCs w:val="24"/>
        </w:rPr>
      </w:pPr>
      <w:r w:rsidRPr="006549D2">
        <w:rPr>
          <w:rFonts w:ascii="Times New Roman" w:hAnsi="Times New Roman"/>
          <w:noProof/>
          <w:sz w:val="24"/>
          <w:szCs w:val="24"/>
        </w:rPr>
        <w:t>Watt, C.A., Scrosati, R.A., 2014. SEAWEEDS AS ECOSYSTEM ENGINEERS. Bull. Ecol. Soc. Am. 95, 250–251. https://doi.org/https://doi.org/10.1890/0012-9623-95.3.250</w:t>
      </w:r>
    </w:p>
    <w:p w:rsidR="006549D2" w:rsidRPr="006549D2" w:rsidRDefault="006549D2" w:rsidP="006549D2">
      <w:pPr>
        <w:widowControl w:val="0"/>
        <w:autoSpaceDE w:val="0"/>
        <w:autoSpaceDN w:val="0"/>
        <w:adjustRightInd w:val="0"/>
        <w:spacing w:after="0" w:line="360" w:lineRule="auto"/>
        <w:ind w:left="480" w:hanging="480"/>
        <w:rPr>
          <w:rFonts w:ascii="Times New Roman" w:hAnsi="Times New Roman"/>
          <w:noProof/>
          <w:sz w:val="24"/>
        </w:rPr>
      </w:pPr>
      <w:r w:rsidRPr="006549D2">
        <w:rPr>
          <w:rFonts w:ascii="Times New Roman" w:hAnsi="Times New Roman"/>
          <w:noProof/>
          <w:sz w:val="24"/>
          <w:szCs w:val="24"/>
        </w:rPr>
        <w:t>Yan, A., Chen, Z., 2019. Impacts of Silver Nanoparticles on Plants: A Focus on the Phytotoxicity and Underlying Mechanism. Int. J. Mol. Sci. https://doi.org/10.3390/ijms20051003</w:t>
      </w:r>
    </w:p>
    <w:p w:rsidR="008A0355" w:rsidRPr="00AA28A4" w:rsidRDefault="009B4A12" w:rsidP="00AA28A4">
      <w:pPr>
        <w:pStyle w:val="ListParagraph"/>
        <w:spacing w:after="0" w:line="360" w:lineRule="auto"/>
        <w:ind w:left="0"/>
        <w:jc w:val="both"/>
        <w:rPr>
          <w:rFonts w:ascii="Times New Roman" w:hAnsi="Times New Roman"/>
          <w:bCs/>
          <w:sz w:val="24"/>
          <w:szCs w:val="24"/>
        </w:rPr>
      </w:pPr>
      <w:r w:rsidRPr="00AA28A4">
        <w:rPr>
          <w:rFonts w:ascii="Times New Roman" w:hAnsi="Times New Roman"/>
          <w:bCs/>
          <w:sz w:val="24"/>
          <w:szCs w:val="24"/>
        </w:rPr>
        <w:fldChar w:fldCharType="end"/>
      </w:r>
    </w:p>
    <w:p w:rsidR="00E5053F" w:rsidRPr="00AA28A4" w:rsidRDefault="00E5053F" w:rsidP="00AA28A4">
      <w:pPr>
        <w:spacing w:after="0" w:line="360" w:lineRule="auto"/>
        <w:rPr>
          <w:rFonts w:ascii="Times New Roman" w:hAnsi="Times New Roman"/>
          <w:sz w:val="24"/>
          <w:szCs w:val="24"/>
        </w:rPr>
      </w:pPr>
    </w:p>
    <w:p w:rsidR="00D942D3" w:rsidRDefault="00D942D3">
      <w:pPr>
        <w:rPr>
          <w:rFonts w:ascii="Times New Roman" w:hAnsi="Times New Roman"/>
          <w:b/>
          <w:bCs/>
          <w:sz w:val="24"/>
          <w:szCs w:val="24"/>
        </w:rPr>
      </w:pPr>
      <w:r>
        <w:rPr>
          <w:rFonts w:ascii="Times New Roman" w:hAnsi="Times New Roman"/>
          <w:b/>
          <w:bCs/>
          <w:sz w:val="24"/>
          <w:szCs w:val="24"/>
        </w:rPr>
        <w:br w:type="page"/>
      </w:r>
    </w:p>
    <w:p w:rsidR="00D942D3" w:rsidRPr="00E96715" w:rsidRDefault="00D942D3" w:rsidP="00D942D3">
      <w:pPr>
        <w:spacing w:line="480" w:lineRule="auto"/>
        <w:jc w:val="both"/>
        <w:rPr>
          <w:rFonts w:ascii="Times New Roman" w:hAnsi="Times New Roman"/>
          <w:b/>
          <w:bCs/>
          <w:sz w:val="24"/>
          <w:szCs w:val="24"/>
        </w:rPr>
      </w:pPr>
      <w:r w:rsidRPr="00E96715">
        <w:rPr>
          <w:rFonts w:ascii="Times New Roman" w:hAnsi="Times New Roman"/>
          <w:b/>
          <w:bCs/>
          <w:sz w:val="24"/>
          <w:szCs w:val="24"/>
        </w:rPr>
        <w:lastRenderedPageBreak/>
        <w:t xml:space="preserve">Table: </w:t>
      </w:r>
      <w:r>
        <w:rPr>
          <w:rFonts w:ascii="Times New Roman" w:hAnsi="Times New Roman"/>
          <w:b/>
          <w:bCs/>
          <w:sz w:val="24"/>
          <w:szCs w:val="24"/>
        </w:rPr>
        <w:t>1</w:t>
      </w:r>
      <w:r w:rsidRPr="00E96715">
        <w:rPr>
          <w:rFonts w:ascii="Times New Roman" w:hAnsi="Times New Roman"/>
          <w:b/>
          <w:bCs/>
          <w:sz w:val="24"/>
          <w:szCs w:val="24"/>
        </w:rPr>
        <w:t xml:space="preserve"> Antibacterial activity of synthesis of </w:t>
      </w:r>
      <w:proofErr w:type="spellStart"/>
      <w:r w:rsidRPr="00E96715">
        <w:rPr>
          <w:rFonts w:ascii="Times New Roman" w:hAnsi="Times New Roman"/>
          <w:b/>
          <w:bCs/>
          <w:sz w:val="24"/>
          <w:szCs w:val="24"/>
        </w:rPr>
        <w:t>AgNPs</w:t>
      </w:r>
      <w:proofErr w:type="spellEnd"/>
      <w:r w:rsidRPr="00E96715">
        <w:rPr>
          <w:rFonts w:ascii="Times New Roman" w:hAnsi="Times New Roman"/>
          <w:b/>
          <w:bCs/>
          <w:sz w:val="24"/>
          <w:szCs w:val="24"/>
        </w:rPr>
        <w:t xml:space="preserve"> by Zone of inhibition</w:t>
      </w:r>
      <w:r>
        <w:rPr>
          <w:rFonts w:ascii="Times New Roman" w:hAnsi="Times New Roman"/>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803"/>
        <w:gridCol w:w="1803"/>
        <w:gridCol w:w="1803"/>
        <w:gridCol w:w="1804"/>
      </w:tblGrid>
      <w:tr w:rsidR="00D942D3" w:rsidTr="001D488D">
        <w:tc>
          <w:tcPr>
            <w:tcW w:w="9016" w:type="dxa"/>
            <w:gridSpan w:val="5"/>
          </w:tcPr>
          <w:p w:rsidR="00D942D3" w:rsidRPr="001B7B25" w:rsidRDefault="00D942D3" w:rsidP="001D488D">
            <w:pPr>
              <w:spacing w:line="480" w:lineRule="auto"/>
              <w:jc w:val="center"/>
              <w:rPr>
                <w:rFonts w:ascii="Times New Roman" w:hAnsi="Times New Roman"/>
                <w:sz w:val="24"/>
                <w:szCs w:val="24"/>
              </w:rPr>
            </w:pPr>
            <w:r>
              <w:rPr>
                <w:rFonts w:ascii="Times New Roman" w:hAnsi="Times New Roman"/>
                <w:sz w:val="24"/>
                <w:szCs w:val="24"/>
              </w:rPr>
              <w:t>Zone of inhibition mM</w:t>
            </w:r>
          </w:p>
        </w:tc>
      </w:tr>
      <w:tr w:rsidR="00D942D3" w:rsidTr="001D488D">
        <w:trPr>
          <w:trHeight w:val="890"/>
        </w:trPr>
        <w:tc>
          <w:tcPr>
            <w:tcW w:w="1803" w:type="dxa"/>
          </w:tcPr>
          <w:p w:rsidR="00D942D3" w:rsidRPr="001B7B25" w:rsidRDefault="00D942D3" w:rsidP="001D488D">
            <w:pPr>
              <w:spacing w:after="0" w:line="480" w:lineRule="auto"/>
              <w:jc w:val="both"/>
              <w:rPr>
                <w:rFonts w:ascii="Times New Roman" w:hAnsi="Times New Roman"/>
                <w:sz w:val="24"/>
                <w:szCs w:val="24"/>
              </w:rPr>
            </w:pPr>
            <w:r w:rsidRPr="001B7B25">
              <w:rPr>
                <w:rFonts w:ascii="Times New Roman" w:hAnsi="Times New Roman"/>
                <w:sz w:val="24"/>
                <w:szCs w:val="24"/>
              </w:rPr>
              <w:t>Test pathogen</w:t>
            </w:r>
          </w:p>
        </w:tc>
        <w:tc>
          <w:tcPr>
            <w:tcW w:w="1803" w:type="dxa"/>
          </w:tcPr>
          <w:p w:rsidR="00D942D3" w:rsidRDefault="00D942D3" w:rsidP="001D488D">
            <w:pPr>
              <w:spacing w:after="0" w:line="480" w:lineRule="auto"/>
              <w:jc w:val="center"/>
              <w:rPr>
                <w:rFonts w:ascii="Times New Roman" w:hAnsi="Times New Roman"/>
                <w:sz w:val="24"/>
                <w:szCs w:val="24"/>
              </w:rPr>
            </w:pPr>
            <w:r w:rsidRPr="001B7B25">
              <w:rPr>
                <w:rFonts w:ascii="Times New Roman" w:hAnsi="Times New Roman"/>
                <w:sz w:val="24"/>
                <w:szCs w:val="24"/>
              </w:rPr>
              <w:t>Seaweed</w:t>
            </w:r>
          </w:p>
          <w:p w:rsidR="00D942D3" w:rsidRPr="001B7B25" w:rsidRDefault="00D942D3" w:rsidP="001D488D">
            <w:pPr>
              <w:spacing w:after="0" w:line="480" w:lineRule="auto"/>
              <w:jc w:val="center"/>
              <w:rPr>
                <w:rFonts w:ascii="Times New Roman" w:hAnsi="Times New Roman"/>
                <w:sz w:val="24"/>
                <w:szCs w:val="24"/>
              </w:rPr>
            </w:pPr>
            <w:r w:rsidRPr="001B7B25">
              <w:rPr>
                <w:rFonts w:ascii="Times New Roman" w:hAnsi="Times New Roman"/>
                <w:sz w:val="24"/>
                <w:szCs w:val="24"/>
              </w:rPr>
              <w:t>Extract</w:t>
            </w:r>
          </w:p>
        </w:tc>
        <w:tc>
          <w:tcPr>
            <w:tcW w:w="1803" w:type="dxa"/>
          </w:tcPr>
          <w:p w:rsidR="00D942D3" w:rsidRPr="001B7B25" w:rsidRDefault="00D942D3" w:rsidP="001D488D">
            <w:pPr>
              <w:spacing w:after="0" w:line="480" w:lineRule="auto"/>
              <w:jc w:val="center"/>
              <w:rPr>
                <w:rFonts w:ascii="Times New Roman" w:hAnsi="Times New Roman"/>
                <w:sz w:val="24"/>
                <w:szCs w:val="24"/>
              </w:rPr>
            </w:pPr>
            <w:proofErr w:type="spellStart"/>
            <w:r w:rsidRPr="001B7B25">
              <w:rPr>
                <w:rFonts w:ascii="Times New Roman" w:hAnsi="Times New Roman"/>
                <w:sz w:val="24"/>
                <w:szCs w:val="24"/>
              </w:rPr>
              <w:t>AgNPs</w:t>
            </w:r>
            <w:proofErr w:type="spellEnd"/>
          </w:p>
          <w:p w:rsidR="00D942D3" w:rsidRPr="001B7B25" w:rsidRDefault="00D942D3" w:rsidP="001D488D">
            <w:pPr>
              <w:spacing w:after="0" w:line="480" w:lineRule="auto"/>
              <w:jc w:val="center"/>
              <w:rPr>
                <w:rFonts w:ascii="Times New Roman" w:hAnsi="Times New Roman"/>
                <w:sz w:val="24"/>
                <w:szCs w:val="24"/>
              </w:rPr>
            </w:pPr>
            <w:r w:rsidRPr="001B7B25">
              <w:rPr>
                <w:rFonts w:ascii="Times New Roman" w:hAnsi="Times New Roman"/>
                <w:sz w:val="24"/>
                <w:szCs w:val="24"/>
              </w:rPr>
              <w:t>3 mM</w:t>
            </w:r>
          </w:p>
        </w:tc>
        <w:tc>
          <w:tcPr>
            <w:tcW w:w="1803" w:type="dxa"/>
          </w:tcPr>
          <w:p w:rsidR="00D942D3" w:rsidRPr="001B7B25" w:rsidRDefault="00D942D3" w:rsidP="001D488D">
            <w:pPr>
              <w:spacing w:after="0" w:line="480" w:lineRule="auto"/>
              <w:jc w:val="center"/>
              <w:rPr>
                <w:rFonts w:ascii="Times New Roman" w:hAnsi="Times New Roman"/>
                <w:sz w:val="24"/>
                <w:szCs w:val="24"/>
              </w:rPr>
            </w:pPr>
            <w:proofErr w:type="spellStart"/>
            <w:r w:rsidRPr="001B7B25">
              <w:rPr>
                <w:rFonts w:ascii="Times New Roman" w:hAnsi="Times New Roman"/>
                <w:sz w:val="24"/>
                <w:szCs w:val="24"/>
              </w:rPr>
              <w:t>AgNPs</w:t>
            </w:r>
            <w:proofErr w:type="spellEnd"/>
          </w:p>
          <w:p w:rsidR="00D942D3" w:rsidRPr="001B7B25" w:rsidRDefault="00D942D3" w:rsidP="001D488D">
            <w:pPr>
              <w:spacing w:after="0" w:line="480" w:lineRule="auto"/>
              <w:jc w:val="center"/>
              <w:rPr>
                <w:rFonts w:ascii="Times New Roman" w:hAnsi="Times New Roman"/>
                <w:sz w:val="24"/>
                <w:szCs w:val="24"/>
              </w:rPr>
            </w:pPr>
            <w:r w:rsidRPr="001B7B25">
              <w:rPr>
                <w:rFonts w:ascii="Times New Roman" w:hAnsi="Times New Roman"/>
                <w:sz w:val="24"/>
                <w:szCs w:val="24"/>
              </w:rPr>
              <w:t>5 mM</w:t>
            </w:r>
          </w:p>
        </w:tc>
        <w:tc>
          <w:tcPr>
            <w:tcW w:w="1804" w:type="dxa"/>
          </w:tcPr>
          <w:p w:rsidR="00D942D3" w:rsidRPr="001B7B25" w:rsidRDefault="00D942D3" w:rsidP="001D488D">
            <w:pPr>
              <w:spacing w:after="0" w:line="480" w:lineRule="auto"/>
              <w:jc w:val="center"/>
              <w:rPr>
                <w:rFonts w:ascii="Times New Roman" w:hAnsi="Times New Roman"/>
                <w:sz w:val="24"/>
                <w:szCs w:val="24"/>
              </w:rPr>
            </w:pPr>
            <w:r w:rsidRPr="001B7B25">
              <w:rPr>
                <w:rFonts w:ascii="Times New Roman" w:hAnsi="Times New Roman"/>
                <w:sz w:val="24"/>
                <w:szCs w:val="24"/>
              </w:rPr>
              <w:t>Streptomycin</w:t>
            </w:r>
          </w:p>
          <w:p w:rsidR="00D942D3" w:rsidRPr="001B7B25" w:rsidRDefault="00D942D3" w:rsidP="001D488D">
            <w:pPr>
              <w:spacing w:after="0" w:line="480" w:lineRule="auto"/>
              <w:jc w:val="center"/>
              <w:rPr>
                <w:rFonts w:ascii="Times New Roman" w:hAnsi="Times New Roman"/>
                <w:sz w:val="24"/>
                <w:szCs w:val="24"/>
              </w:rPr>
            </w:pPr>
          </w:p>
        </w:tc>
      </w:tr>
      <w:tr w:rsidR="00D942D3" w:rsidTr="001D488D">
        <w:tc>
          <w:tcPr>
            <w:tcW w:w="1803" w:type="dxa"/>
          </w:tcPr>
          <w:p w:rsidR="00D942D3" w:rsidRPr="001B7B25" w:rsidRDefault="00D942D3" w:rsidP="001D488D">
            <w:pPr>
              <w:spacing w:line="480" w:lineRule="auto"/>
              <w:jc w:val="both"/>
              <w:rPr>
                <w:rFonts w:ascii="Times New Roman" w:hAnsi="Times New Roman"/>
                <w:i/>
                <w:sz w:val="24"/>
                <w:szCs w:val="24"/>
              </w:rPr>
            </w:pPr>
            <w:r w:rsidRPr="001B7B25">
              <w:rPr>
                <w:rFonts w:ascii="Times New Roman" w:hAnsi="Times New Roman"/>
                <w:i/>
                <w:sz w:val="24"/>
                <w:szCs w:val="24"/>
              </w:rPr>
              <w:t>S. aureus</w:t>
            </w:r>
          </w:p>
        </w:tc>
        <w:tc>
          <w:tcPr>
            <w:tcW w:w="1803" w:type="dxa"/>
          </w:tcPr>
          <w:p w:rsidR="00D942D3" w:rsidRPr="00AE2DC4" w:rsidRDefault="00D942D3" w:rsidP="001D488D">
            <w:pPr>
              <w:spacing w:line="480" w:lineRule="auto"/>
              <w:jc w:val="both"/>
              <w:rPr>
                <w:rFonts w:ascii="Times New Roman" w:hAnsi="Times New Roman"/>
                <w:iCs/>
                <w:sz w:val="24"/>
                <w:szCs w:val="24"/>
              </w:rPr>
            </w:pPr>
            <w:r w:rsidRPr="00AE2DC4">
              <w:rPr>
                <w:rFonts w:ascii="Times New Roman" w:hAnsi="Times New Roman"/>
                <w:iCs/>
                <w:sz w:val="24"/>
                <w:szCs w:val="24"/>
              </w:rPr>
              <w:t>7.3</w:t>
            </w:r>
          </w:p>
        </w:tc>
        <w:tc>
          <w:tcPr>
            <w:tcW w:w="1803" w:type="dxa"/>
          </w:tcPr>
          <w:p w:rsidR="00D942D3" w:rsidRPr="00AE2DC4" w:rsidRDefault="00D942D3" w:rsidP="001D488D">
            <w:pPr>
              <w:spacing w:line="480" w:lineRule="auto"/>
              <w:jc w:val="both"/>
              <w:rPr>
                <w:rFonts w:ascii="Times New Roman" w:hAnsi="Times New Roman"/>
                <w:iCs/>
                <w:sz w:val="24"/>
                <w:szCs w:val="24"/>
              </w:rPr>
            </w:pPr>
            <w:r w:rsidRPr="00AE2DC4">
              <w:rPr>
                <w:rFonts w:ascii="Times New Roman" w:hAnsi="Times New Roman"/>
                <w:iCs/>
                <w:sz w:val="24"/>
                <w:szCs w:val="24"/>
              </w:rPr>
              <w:t>7.3</w:t>
            </w:r>
          </w:p>
        </w:tc>
        <w:tc>
          <w:tcPr>
            <w:tcW w:w="1803" w:type="dxa"/>
          </w:tcPr>
          <w:p w:rsidR="00D942D3" w:rsidRPr="00AE2DC4" w:rsidRDefault="00D942D3" w:rsidP="001D488D">
            <w:pPr>
              <w:spacing w:line="480" w:lineRule="auto"/>
              <w:jc w:val="both"/>
              <w:rPr>
                <w:rFonts w:ascii="Times New Roman" w:hAnsi="Times New Roman"/>
                <w:iCs/>
                <w:sz w:val="24"/>
                <w:szCs w:val="24"/>
              </w:rPr>
            </w:pPr>
            <w:r w:rsidRPr="00AE2DC4">
              <w:rPr>
                <w:rFonts w:ascii="Times New Roman" w:hAnsi="Times New Roman"/>
                <w:iCs/>
                <w:sz w:val="24"/>
                <w:szCs w:val="24"/>
              </w:rPr>
              <w:t>8.2</w:t>
            </w:r>
          </w:p>
        </w:tc>
        <w:tc>
          <w:tcPr>
            <w:tcW w:w="1804" w:type="dxa"/>
          </w:tcPr>
          <w:p w:rsidR="00D942D3" w:rsidRPr="00AE2DC4" w:rsidRDefault="00D942D3" w:rsidP="001D488D">
            <w:pPr>
              <w:spacing w:line="480" w:lineRule="auto"/>
              <w:jc w:val="both"/>
              <w:rPr>
                <w:rFonts w:ascii="Times New Roman" w:hAnsi="Times New Roman"/>
                <w:iCs/>
                <w:sz w:val="24"/>
                <w:szCs w:val="24"/>
              </w:rPr>
            </w:pPr>
            <w:r w:rsidRPr="00AE2DC4">
              <w:rPr>
                <w:rFonts w:ascii="Times New Roman" w:hAnsi="Times New Roman"/>
                <w:iCs/>
                <w:sz w:val="24"/>
                <w:szCs w:val="24"/>
              </w:rPr>
              <w:t>6.3</w:t>
            </w:r>
          </w:p>
        </w:tc>
      </w:tr>
      <w:tr w:rsidR="00D942D3" w:rsidTr="001D488D">
        <w:tc>
          <w:tcPr>
            <w:tcW w:w="1803" w:type="dxa"/>
          </w:tcPr>
          <w:p w:rsidR="00D942D3" w:rsidRPr="001B7B25" w:rsidRDefault="00D942D3" w:rsidP="001D488D">
            <w:pPr>
              <w:spacing w:line="480" w:lineRule="auto"/>
              <w:jc w:val="both"/>
              <w:rPr>
                <w:rFonts w:ascii="Times New Roman" w:hAnsi="Times New Roman"/>
                <w:i/>
                <w:sz w:val="24"/>
                <w:szCs w:val="24"/>
              </w:rPr>
            </w:pPr>
            <w:r w:rsidRPr="001B7B25">
              <w:rPr>
                <w:rFonts w:ascii="Times New Roman" w:hAnsi="Times New Roman"/>
                <w:i/>
                <w:sz w:val="24"/>
                <w:szCs w:val="24"/>
              </w:rPr>
              <w:t>E. coli</w:t>
            </w:r>
          </w:p>
        </w:tc>
        <w:tc>
          <w:tcPr>
            <w:tcW w:w="1803" w:type="dxa"/>
          </w:tcPr>
          <w:p w:rsidR="00D942D3" w:rsidRPr="00AE2DC4" w:rsidRDefault="00D942D3" w:rsidP="001D488D">
            <w:pPr>
              <w:spacing w:line="480" w:lineRule="auto"/>
              <w:jc w:val="both"/>
              <w:rPr>
                <w:rFonts w:ascii="Times New Roman" w:hAnsi="Times New Roman"/>
                <w:iCs/>
                <w:sz w:val="24"/>
                <w:szCs w:val="24"/>
              </w:rPr>
            </w:pPr>
            <w:r w:rsidRPr="00AE2DC4">
              <w:rPr>
                <w:rFonts w:ascii="Times New Roman" w:hAnsi="Times New Roman"/>
                <w:iCs/>
                <w:sz w:val="24"/>
                <w:szCs w:val="24"/>
              </w:rPr>
              <w:t>6.2</w:t>
            </w:r>
          </w:p>
        </w:tc>
        <w:tc>
          <w:tcPr>
            <w:tcW w:w="1803" w:type="dxa"/>
          </w:tcPr>
          <w:p w:rsidR="00D942D3" w:rsidRPr="00AE2DC4" w:rsidRDefault="00D942D3" w:rsidP="001D488D">
            <w:pPr>
              <w:spacing w:line="480" w:lineRule="auto"/>
              <w:jc w:val="both"/>
              <w:rPr>
                <w:rFonts w:ascii="Times New Roman" w:hAnsi="Times New Roman"/>
                <w:iCs/>
                <w:sz w:val="24"/>
                <w:szCs w:val="24"/>
              </w:rPr>
            </w:pPr>
            <w:r w:rsidRPr="00AE2DC4">
              <w:rPr>
                <w:rFonts w:ascii="Times New Roman" w:hAnsi="Times New Roman"/>
                <w:iCs/>
                <w:sz w:val="24"/>
                <w:szCs w:val="24"/>
              </w:rPr>
              <w:t>7.0</w:t>
            </w:r>
          </w:p>
        </w:tc>
        <w:tc>
          <w:tcPr>
            <w:tcW w:w="1803" w:type="dxa"/>
          </w:tcPr>
          <w:p w:rsidR="00D942D3" w:rsidRPr="00AE2DC4" w:rsidRDefault="00D942D3" w:rsidP="001D488D">
            <w:pPr>
              <w:spacing w:line="480" w:lineRule="auto"/>
              <w:jc w:val="both"/>
              <w:rPr>
                <w:rFonts w:ascii="Times New Roman" w:hAnsi="Times New Roman"/>
                <w:iCs/>
                <w:sz w:val="24"/>
                <w:szCs w:val="24"/>
              </w:rPr>
            </w:pPr>
            <w:r w:rsidRPr="00AE2DC4">
              <w:rPr>
                <w:rFonts w:ascii="Times New Roman" w:hAnsi="Times New Roman"/>
                <w:iCs/>
                <w:sz w:val="24"/>
                <w:szCs w:val="24"/>
              </w:rPr>
              <w:t>9.0</w:t>
            </w:r>
          </w:p>
        </w:tc>
        <w:tc>
          <w:tcPr>
            <w:tcW w:w="1804" w:type="dxa"/>
          </w:tcPr>
          <w:p w:rsidR="00D942D3" w:rsidRPr="00AE2DC4" w:rsidRDefault="00D942D3" w:rsidP="001D488D">
            <w:pPr>
              <w:spacing w:line="480" w:lineRule="auto"/>
              <w:jc w:val="both"/>
              <w:rPr>
                <w:rFonts w:ascii="Times New Roman" w:hAnsi="Times New Roman"/>
                <w:iCs/>
                <w:sz w:val="24"/>
                <w:szCs w:val="24"/>
              </w:rPr>
            </w:pPr>
            <w:r w:rsidRPr="00AE2DC4">
              <w:rPr>
                <w:rFonts w:ascii="Times New Roman" w:hAnsi="Times New Roman"/>
                <w:iCs/>
                <w:sz w:val="24"/>
                <w:szCs w:val="24"/>
              </w:rPr>
              <w:t>6.2</w:t>
            </w:r>
          </w:p>
        </w:tc>
      </w:tr>
      <w:tr w:rsidR="00D942D3" w:rsidTr="001D488D">
        <w:tc>
          <w:tcPr>
            <w:tcW w:w="1803" w:type="dxa"/>
          </w:tcPr>
          <w:p w:rsidR="00D942D3" w:rsidRPr="001B7B25" w:rsidRDefault="00D942D3" w:rsidP="001D488D">
            <w:pPr>
              <w:spacing w:line="480" w:lineRule="auto"/>
              <w:jc w:val="both"/>
              <w:rPr>
                <w:rFonts w:ascii="Times New Roman" w:hAnsi="Times New Roman"/>
                <w:i/>
                <w:sz w:val="24"/>
                <w:szCs w:val="24"/>
              </w:rPr>
            </w:pPr>
            <w:r w:rsidRPr="001B7B25">
              <w:rPr>
                <w:rFonts w:ascii="Times New Roman" w:hAnsi="Times New Roman"/>
                <w:i/>
                <w:sz w:val="24"/>
                <w:szCs w:val="24"/>
              </w:rPr>
              <w:t>P. aeruginosa</w:t>
            </w:r>
          </w:p>
        </w:tc>
        <w:tc>
          <w:tcPr>
            <w:tcW w:w="1803" w:type="dxa"/>
          </w:tcPr>
          <w:p w:rsidR="00D942D3" w:rsidRPr="00AE2DC4" w:rsidRDefault="00D942D3" w:rsidP="001D488D">
            <w:pPr>
              <w:spacing w:line="480" w:lineRule="auto"/>
              <w:jc w:val="both"/>
              <w:rPr>
                <w:rFonts w:ascii="Times New Roman" w:hAnsi="Times New Roman"/>
                <w:iCs/>
                <w:sz w:val="24"/>
                <w:szCs w:val="24"/>
              </w:rPr>
            </w:pPr>
            <w:r w:rsidRPr="00AE2DC4">
              <w:rPr>
                <w:rFonts w:ascii="Times New Roman" w:hAnsi="Times New Roman"/>
                <w:iCs/>
                <w:sz w:val="24"/>
                <w:szCs w:val="24"/>
              </w:rPr>
              <w:t>7.0</w:t>
            </w:r>
          </w:p>
        </w:tc>
        <w:tc>
          <w:tcPr>
            <w:tcW w:w="1803" w:type="dxa"/>
          </w:tcPr>
          <w:p w:rsidR="00D942D3" w:rsidRPr="00AE2DC4" w:rsidRDefault="00D942D3" w:rsidP="001D488D">
            <w:pPr>
              <w:spacing w:line="480" w:lineRule="auto"/>
              <w:jc w:val="both"/>
              <w:rPr>
                <w:rFonts w:ascii="Times New Roman" w:hAnsi="Times New Roman"/>
                <w:iCs/>
                <w:sz w:val="24"/>
                <w:szCs w:val="24"/>
              </w:rPr>
            </w:pPr>
            <w:r w:rsidRPr="00AE2DC4">
              <w:rPr>
                <w:rFonts w:ascii="Times New Roman" w:hAnsi="Times New Roman"/>
                <w:iCs/>
                <w:sz w:val="24"/>
                <w:szCs w:val="24"/>
              </w:rPr>
              <w:t>7.2</w:t>
            </w:r>
          </w:p>
        </w:tc>
        <w:tc>
          <w:tcPr>
            <w:tcW w:w="1803" w:type="dxa"/>
          </w:tcPr>
          <w:p w:rsidR="00D942D3" w:rsidRPr="00AE2DC4" w:rsidRDefault="00D942D3" w:rsidP="001D488D">
            <w:pPr>
              <w:spacing w:line="480" w:lineRule="auto"/>
              <w:jc w:val="both"/>
              <w:rPr>
                <w:rFonts w:ascii="Times New Roman" w:hAnsi="Times New Roman"/>
                <w:iCs/>
                <w:sz w:val="24"/>
                <w:szCs w:val="24"/>
              </w:rPr>
            </w:pPr>
            <w:r w:rsidRPr="00AE2DC4">
              <w:rPr>
                <w:rFonts w:ascii="Times New Roman" w:hAnsi="Times New Roman"/>
                <w:iCs/>
                <w:sz w:val="24"/>
                <w:szCs w:val="24"/>
              </w:rPr>
              <w:t>9.2</w:t>
            </w:r>
          </w:p>
        </w:tc>
        <w:tc>
          <w:tcPr>
            <w:tcW w:w="1804" w:type="dxa"/>
          </w:tcPr>
          <w:p w:rsidR="00D942D3" w:rsidRPr="00AE2DC4" w:rsidRDefault="00D942D3" w:rsidP="001D488D">
            <w:pPr>
              <w:spacing w:line="480" w:lineRule="auto"/>
              <w:jc w:val="both"/>
              <w:rPr>
                <w:rFonts w:ascii="Times New Roman" w:hAnsi="Times New Roman"/>
                <w:iCs/>
                <w:sz w:val="24"/>
                <w:szCs w:val="24"/>
              </w:rPr>
            </w:pPr>
            <w:r w:rsidRPr="00AE2DC4">
              <w:rPr>
                <w:rFonts w:ascii="Times New Roman" w:hAnsi="Times New Roman"/>
                <w:iCs/>
                <w:sz w:val="24"/>
                <w:szCs w:val="24"/>
              </w:rPr>
              <w:t>7.0</w:t>
            </w:r>
          </w:p>
        </w:tc>
      </w:tr>
    </w:tbl>
    <w:p w:rsidR="00D942D3" w:rsidRDefault="00D942D3" w:rsidP="00AA28A4">
      <w:pPr>
        <w:spacing w:after="0" w:line="360" w:lineRule="auto"/>
        <w:rPr>
          <w:rFonts w:ascii="Times New Roman" w:hAnsi="Times New Roman"/>
          <w:b/>
          <w:bCs/>
          <w:sz w:val="24"/>
          <w:szCs w:val="24"/>
        </w:rPr>
      </w:pPr>
    </w:p>
    <w:p w:rsidR="00D942D3" w:rsidRDefault="00D942D3">
      <w:pPr>
        <w:rPr>
          <w:rFonts w:ascii="Times New Roman" w:hAnsi="Times New Roman"/>
          <w:b/>
          <w:bCs/>
          <w:sz w:val="24"/>
          <w:szCs w:val="24"/>
        </w:rPr>
      </w:pPr>
      <w:r>
        <w:rPr>
          <w:rFonts w:ascii="Times New Roman" w:hAnsi="Times New Roman"/>
          <w:b/>
          <w:bCs/>
          <w:sz w:val="24"/>
          <w:szCs w:val="24"/>
        </w:rPr>
        <w:br w:type="page"/>
      </w:r>
    </w:p>
    <w:p w:rsidR="00D942D3" w:rsidRPr="00ED05D5" w:rsidRDefault="00D942D3" w:rsidP="00D942D3">
      <w:pPr>
        <w:rPr>
          <w:rFonts w:ascii="Times New Roman" w:hAnsi="Times New Roman"/>
          <w:b/>
          <w:bCs/>
          <w:sz w:val="24"/>
          <w:szCs w:val="24"/>
        </w:rPr>
      </w:pPr>
      <w:r w:rsidRPr="00ED05D5">
        <w:rPr>
          <w:rFonts w:ascii="Times New Roman" w:hAnsi="Times New Roman"/>
          <w:bCs/>
          <w:sz w:val="24"/>
          <w:szCs w:val="24"/>
        </w:rPr>
        <w:lastRenderedPageBreak/>
        <w:t>Fig</w:t>
      </w:r>
      <w:r>
        <w:rPr>
          <w:rFonts w:ascii="Times New Roman" w:hAnsi="Times New Roman"/>
          <w:bCs/>
          <w:sz w:val="24"/>
          <w:szCs w:val="24"/>
        </w:rPr>
        <w:t>ure</w:t>
      </w:r>
      <w:r w:rsidRPr="00ED05D5">
        <w:rPr>
          <w:rFonts w:ascii="Times New Roman" w:hAnsi="Times New Roman"/>
          <w:bCs/>
          <w:sz w:val="24"/>
          <w:szCs w:val="24"/>
        </w:rPr>
        <w:t xml:space="preserve">1. Investigating the effect of silver nitrate salt on the synthesis of silver nanoparticles (A) Aqueous seaweed extract (B) </w:t>
      </w:r>
      <w:proofErr w:type="spellStart"/>
      <w:r w:rsidRPr="00ED05D5">
        <w:rPr>
          <w:rFonts w:ascii="Times New Roman" w:hAnsi="Times New Roman"/>
          <w:bCs/>
          <w:sz w:val="24"/>
          <w:szCs w:val="24"/>
        </w:rPr>
        <w:t>Ag</w:t>
      </w:r>
      <w:r w:rsidRPr="00ED05D5">
        <w:rPr>
          <w:rFonts w:ascii="Times New Roman" w:hAnsi="Times New Roman"/>
          <w:bCs/>
          <w:sz w:val="24"/>
          <w:szCs w:val="24"/>
          <w:vertAlign w:val="superscript"/>
        </w:rPr>
        <w:t>+</w:t>
      </w:r>
      <w:r w:rsidRPr="00ED05D5">
        <w:rPr>
          <w:rFonts w:ascii="Times New Roman" w:hAnsi="Times New Roman"/>
          <w:bCs/>
          <w:sz w:val="24"/>
          <w:szCs w:val="24"/>
        </w:rPr>
        <w:t>solution</w:t>
      </w:r>
      <w:proofErr w:type="spellEnd"/>
      <w:r w:rsidRPr="00ED05D5">
        <w:rPr>
          <w:rFonts w:ascii="Times New Roman" w:hAnsi="Times New Roman"/>
          <w:bCs/>
          <w:sz w:val="24"/>
          <w:szCs w:val="24"/>
        </w:rPr>
        <w:t xml:space="preserve"> (C) </w:t>
      </w:r>
      <w:proofErr w:type="spellStart"/>
      <w:r w:rsidRPr="00ED05D5">
        <w:rPr>
          <w:rFonts w:ascii="Times New Roman" w:hAnsi="Times New Roman"/>
          <w:bCs/>
          <w:i/>
          <w:iCs/>
          <w:sz w:val="24"/>
          <w:szCs w:val="24"/>
        </w:rPr>
        <w:t>Chondrococcus</w:t>
      </w:r>
      <w:proofErr w:type="spellEnd"/>
      <w:r w:rsidR="009371E6">
        <w:rPr>
          <w:rFonts w:ascii="Times New Roman" w:hAnsi="Times New Roman"/>
          <w:bCs/>
          <w:i/>
          <w:iCs/>
          <w:sz w:val="24"/>
          <w:szCs w:val="24"/>
        </w:rPr>
        <w:t xml:space="preserve"> </w:t>
      </w:r>
      <w:proofErr w:type="spellStart"/>
      <w:r w:rsidRPr="00ED05D5">
        <w:rPr>
          <w:rFonts w:ascii="Times New Roman" w:hAnsi="Times New Roman"/>
          <w:i/>
          <w:iCs/>
          <w:sz w:val="24"/>
          <w:szCs w:val="24"/>
        </w:rPr>
        <w:t>hornemannii</w:t>
      </w:r>
      <w:proofErr w:type="spellEnd"/>
      <w:r w:rsidRPr="00ED05D5">
        <w:rPr>
          <w:rFonts w:ascii="Times New Roman" w:hAnsi="Times New Roman"/>
          <w:sz w:val="24"/>
          <w:szCs w:val="24"/>
        </w:rPr>
        <w:t> </w:t>
      </w:r>
      <w:proofErr w:type="spellStart"/>
      <w:r w:rsidRPr="00ED05D5">
        <w:rPr>
          <w:rFonts w:ascii="Times New Roman" w:hAnsi="Times New Roman"/>
          <w:bCs/>
          <w:sz w:val="24"/>
          <w:szCs w:val="24"/>
        </w:rPr>
        <w:t>AgNPs</w:t>
      </w:r>
      <w:proofErr w:type="spellEnd"/>
      <w:r w:rsidRPr="00ED05D5">
        <w:rPr>
          <w:rFonts w:ascii="Times New Roman" w:hAnsi="Times New Roman"/>
          <w:bCs/>
          <w:sz w:val="24"/>
          <w:szCs w:val="24"/>
        </w:rPr>
        <w:t>.</w:t>
      </w:r>
    </w:p>
    <w:p w:rsidR="00D942D3" w:rsidRDefault="00D942D3" w:rsidP="00D942D3">
      <w:r w:rsidRPr="001B7B25">
        <w:rPr>
          <w:rFonts w:ascii="Times New Roman" w:hAnsi="Times New Roman"/>
          <w:noProof/>
          <w:sz w:val="24"/>
          <w:szCs w:val="24"/>
          <w:lang w:bidi="ta-IN"/>
        </w:rPr>
        <w:drawing>
          <wp:inline distT="0" distB="0" distL="0" distR="0" wp14:anchorId="3D07353A" wp14:editId="5891D0EE">
            <wp:extent cx="5855058" cy="3646968"/>
            <wp:effectExtent l="38100" t="38100" r="31750" b="298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04384"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51344" cy="3644655"/>
                    </a:xfrm>
                    <a:prstGeom prst="rect">
                      <a:avLst/>
                    </a:prstGeom>
                    <a:noFill/>
                    <a:ln w="28575">
                      <a:solidFill>
                        <a:srgbClr val="0070C0"/>
                      </a:solidFill>
                    </a:ln>
                  </pic:spPr>
                </pic:pic>
              </a:graphicData>
            </a:graphic>
          </wp:inline>
        </w:drawing>
      </w:r>
    </w:p>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Default="00D942D3" w:rsidP="00D942D3">
      <w:pPr>
        <w:rPr>
          <w:rFonts w:ascii="Times New Roman" w:hAnsi="Times New Roman"/>
          <w:b/>
          <w:bCs/>
          <w:sz w:val="24"/>
          <w:szCs w:val="24"/>
        </w:rPr>
      </w:pPr>
    </w:p>
    <w:p w:rsidR="00D942D3" w:rsidRDefault="00D942D3" w:rsidP="00D942D3">
      <w:pPr>
        <w:rPr>
          <w:rFonts w:ascii="Times New Roman" w:hAnsi="Times New Roman"/>
          <w:b/>
          <w:bCs/>
          <w:sz w:val="24"/>
          <w:szCs w:val="24"/>
        </w:rPr>
      </w:pPr>
    </w:p>
    <w:p w:rsidR="00D942D3" w:rsidRPr="00483EE7" w:rsidRDefault="00D942D3" w:rsidP="00D942D3">
      <w:r w:rsidRPr="00483EE7">
        <w:rPr>
          <w:rFonts w:ascii="Times New Roman" w:hAnsi="Times New Roman"/>
          <w:bCs/>
          <w:sz w:val="24"/>
          <w:szCs w:val="24"/>
        </w:rPr>
        <w:lastRenderedPageBreak/>
        <w:t xml:space="preserve">Figure 2. UV-Visible absorbance spectrum of </w:t>
      </w:r>
      <w:proofErr w:type="spellStart"/>
      <w:r w:rsidRPr="00483EE7">
        <w:rPr>
          <w:rFonts w:ascii="Times New Roman" w:hAnsi="Times New Roman"/>
          <w:bCs/>
          <w:sz w:val="24"/>
          <w:szCs w:val="24"/>
        </w:rPr>
        <w:t>Ag</w:t>
      </w:r>
      <w:r w:rsidR="00483EE7">
        <w:rPr>
          <w:rFonts w:ascii="Times New Roman" w:hAnsi="Times New Roman"/>
          <w:bCs/>
          <w:sz w:val="24"/>
          <w:szCs w:val="24"/>
        </w:rPr>
        <w:t>NPs</w:t>
      </w:r>
      <w:proofErr w:type="spellEnd"/>
      <w:r w:rsidRPr="00483EE7">
        <w:rPr>
          <w:rFonts w:ascii="Times New Roman" w:hAnsi="Times New Roman"/>
          <w:bCs/>
          <w:sz w:val="24"/>
          <w:szCs w:val="24"/>
        </w:rPr>
        <w:t xml:space="preserve"> as a function of silver nitrate concentration in aqueous extracts of </w:t>
      </w:r>
      <w:proofErr w:type="spellStart"/>
      <w:r w:rsidRPr="00483EE7">
        <w:rPr>
          <w:rFonts w:ascii="Times New Roman" w:hAnsi="Times New Roman"/>
          <w:bCs/>
          <w:i/>
          <w:sz w:val="24"/>
          <w:szCs w:val="24"/>
        </w:rPr>
        <w:t>Chondrococcus</w:t>
      </w:r>
      <w:proofErr w:type="spellEnd"/>
      <w:r w:rsidRPr="00483EE7">
        <w:rPr>
          <w:rFonts w:ascii="Times New Roman" w:hAnsi="Times New Roman"/>
          <w:bCs/>
          <w:i/>
          <w:sz w:val="24"/>
          <w:szCs w:val="24"/>
        </w:rPr>
        <w:t xml:space="preserve"> </w:t>
      </w:r>
      <w:proofErr w:type="spellStart"/>
      <w:r w:rsidRPr="00483EE7">
        <w:rPr>
          <w:rFonts w:ascii="Times New Roman" w:hAnsi="Times New Roman"/>
          <w:bCs/>
          <w:i/>
          <w:sz w:val="24"/>
          <w:szCs w:val="24"/>
        </w:rPr>
        <w:t>hornemannii</w:t>
      </w:r>
      <w:proofErr w:type="spellEnd"/>
      <w:r w:rsidRPr="00483EE7">
        <w:rPr>
          <w:rFonts w:ascii="Times New Roman" w:hAnsi="Times New Roman"/>
          <w:bCs/>
          <w:sz w:val="24"/>
          <w:szCs w:val="24"/>
        </w:rPr>
        <w:t>.</w:t>
      </w:r>
    </w:p>
    <w:p w:rsidR="00D942D3" w:rsidRDefault="00D942D3" w:rsidP="00D942D3">
      <w:r w:rsidRPr="00517207">
        <w:rPr>
          <w:rFonts w:ascii="Times New Roman" w:hAnsi="Times New Roman"/>
          <w:noProof/>
          <w:sz w:val="24"/>
          <w:szCs w:val="24"/>
          <w:highlight w:val="yellow"/>
          <w:lang w:bidi="ta-IN"/>
        </w:rPr>
        <w:drawing>
          <wp:inline distT="0" distB="0" distL="0" distR="0" wp14:anchorId="6D0912A6" wp14:editId="101D627E">
            <wp:extent cx="5101836" cy="3819525"/>
            <wp:effectExtent l="38100" t="38100" r="4191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07248"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835"/>
                    <a:stretch/>
                  </pic:blipFill>
                  <pic:spPr bwMode="auto">
                    <a:xfrm>
                      <a:off x="0" y="0"/>
                      <a:ext cx="5105400" cy="3822193"/>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Pr="00483EE7" w:rsidRDefault="00D942D3" w:rsidP="00D942D3">
      <w:pPr>
        <w:rPr>
          <w:rFonts w:ascii="Times New Roman" w:hAnsi="Times New Roman"/>
          <w:sz w:val="24"/>
          <w:szCs w:val="24"/>
        </w:rPr>
      </w:pPr>
      <w:r w:rsidRPr="00483EE7">
        <w:rPr>
          <w:rFonts w:ascii="Times New Roman" w:hAnsi="Times New Roman"/>
          <w:sz w:val="24"/>
          <w:szCs w:val="24"/>
        </w:rPr>
        <w:lastRenderedPageBreak/>
        <w:t xml:space="preserve">Figure 3. FTIR studies of the silver nanoparticles synthesized using an aqueous liquid extract of </w:t>
      </w:r>
      <w:proofErr w:type="spellStart"/>
      <w:r w:rsidRPr="00483EE7">
        <w:rPr>
          <w:rFonts w:ascii="Times New Roman" w:hAnsi="Times New Roman"/>
          <w:i/>
          <w:sz w:val="24"/>
          <w:szCs w:val="24"/>
        </w:rPr>
        <w:t>Chondrococcus</w:t>
      </w:r>
      <w:proofErr w:type="spellEnd"/>
      <w:r w:rsidRPr="00483EE7">
        <w:rPr>
          <w:rFonts w:ascii="Times New Roman" w:hAnsi="Times New Roman"/>
          <w:i/>
          <w:sz w:val="24"/>
          <w:szCs w:val="24"/>
        </w:rPr>
        <w:t xml:space="preserve"> </w:t>
      </w:r>
      <w:proofErr w:type="spellStart"/>
      <w:r w:rsidRPr="00483EE7">
        <w:rPr>
          <w:rFonts w:ascii="Times New Roman" w:hAnsi="Times New Roman"/>
          <w:i/>
          <w:sz w:val="24"/>
          <w:szCs w:val="24"/>
        </w:rPr>
        <w:t>hornemannii</w:t>
      </w:r>
      <w:proofErr w:type="spellEnd"/>
      <w:r w:rsidRPr="00483EE7">
        <w:rPr>
          <w:rFonts w:ascii="Times New Roman" w:hAnsi="Times New Roman"/>
          <w:i/>
          <w:sz w:val="24"/>
          <w:szCs w:val="24"/>
        </w:rPr>
        <w:t>.</w:t>
      </w:r>
    </w:p>
    <w:p w:rsidR="00D942D3" w:rsidRDefault="00D942D3" w:rsidP="00D942D3">
      <w:r w:rsidRPr="00517207">
        <w:rPr>
          <w:rFonts w:ascii="Times New Roman" w:hAnsi="Times New Roman"/>
          <w:noProof/>
          <w:sz w:val="24"/>
          <w:szCs w:val="24"/>
          <w:highlight w:val="yellow"/>
          <w:lang w:bidi="ta-IN"/>
        </w:rPr>
        <w:drawing>
          <wp:inline distT="0" distB="0" distL="0" distR="0" wp14:anchorId="52583CBC" wp14:editId="1E1EE4A5">
            <wp:extent cx="5509260" cy="3436620"/>
            <wp:effectExtent l="38100" t="38100" r="34290" b="304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23527"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509260" cy="3436620"/>
                    </a:xfrm>
                    <a:prstGeom prst="rect">
                      <a:avLst/>
                    </a:prstGeom>
                    <a:noFill/>
                    <a:ln w="28575">
                      <a:solidFill>
                        <a:srgbClr val="0070C0"/>
                      </a:solidFill>
                    </a:ln>
                  </pic:spPr>
                </pic:pic>
              </a:graphicData>
            </a:graphic>
          </wp:inline>
        </w:drawing>
      </w:r>
    </w:p>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Default="00D942D3" w:rsidP="00D942D3"/>
    <w:p w:rsidR="00D942D3" w:rsidRDefault="00D942D3" w:rsidP="00D942D3">
      <w:pPr>
        <w:rPr>
          <w:rFonts w:ascii="Times New Roman" w:hAnsi="Times New Roman"/>
          <w:b/>
          <w:bCs/>
          <w:sz w:val="24"/>
          <w:szCs w:val="24"/>
        </w:rPr>
      </w:pPr>
    </w:p>
    <w:p w:rsidR="00D942D3" w:rsidRDefault="00D942D3" w:rsidP="00D942D3">
      <w:pPr>
        <w:rPr>
          <w:rFonts w:ascii="Times New Roman" w:hAnsi="Times New Roman"/>
          <w:b/>
          <w:bCs/>
          <w:sz w:val="24"/>
          <w:szCs w:val="24"/>
        </w:rPr>
      </w:pPr>
    </w:p>
    <w:p w:rsidR="00D942D3" w:rsidRDefault="00D942D3" w:rsidP="00D942D3">
      <w:pPr>
        <w:rPr>
          <w:rFonts w:ascii="Times New Roman" w:hAnsi="Times New Roman"/>
          <w:bCs/>
          <w:sz w:val="24"/>
          <w:szCs w:val="24"/>
          <w:lang w:val="en-IN"/>
        </w:rPr>
      </w:pPr>
      <w:r w:rsidRPr="00483EE7">
        <w:rPr>
          <w:rFonts w:ascii="Times New Roman" w:hAnsi="Times New Roman"/>
          <w:bCs/>
          <w:sz w:val="24"/>
          <w:szCs w:val="24"/>
        </w:rPr>
        <w:lastRenderedPageBreak/>
        <w:t xml:space="preserve">Figure 4. XRD studies of the silver nanoparticles synthesized using an aqueous extract of </w:t>
      </w:r>
      <w:proofErr w:type="spellStart"/>
      <w:r w:rsidRPr="00483EE7">
        <w:rPr>
          <w:rFonts w:ascii="Times New Roman" w:hAnsi="Times New Roman"/>
          <w:bCs/>
          <w:i/>
          <w:sz w:val="24"/>
          <w:szCs w:val="24"/>
        </w:rPr>
        <w:t>Chondrococcus</w:t>
      </w:r>
      <w:proofErr w:type="spellEnd"/>
      <w:r w:rsidRPr="00483EE7">
        <w:rPr>
          <w:rFonts w:ascii="Times New Roman" w:hAnsi="Times New Roman"/>
          <w:bCs/>
          <w:i/>
          <w:sz w:val="24"/>
          <w:szCs w:val="24"/>
        </w:rPr>
        <w:t xml:space="preserve"> </w:t>
      </w:r>
      <w:proofErr w:type="spellStart"/>
      <w:r w:rsidRPr="00483EE7">
        <w:rPr>
          <w:rFonts w:ascii="Times New Roman" w:hAnsi="Times New Roman"/>
          <w:bCs/>
          <w:i/>
          <w:sz w:val="24"/>
          <w:szCs w:val="24"/>
        </w:rPr>
        <w:t>hornemannii</w:t>
      </w:r>
      <w:proofErr w:type="spellEnd"/>
      <w:r w:rsidR="00483EE7">
        <w:rPr>
          <w:rFonts w:ascii="Times New Roman" w:hAnsi="Times New Roman"/>
          <w:bCs/>
          <w:i/>
          <w:sz w:val="24"/>
          <w:szCs w:val="24"/>
        </w:rPr>
        <w:t>.</w:t>
      </w:r>
      <w:r w:rsidRPr="00ED05D5">
        <w:rPr>
          <w:rFonts w:ascii="Times New Roman" w:hAnsi="Times New Roman"/>
          <w:b/>
          <w:bCs/>
          <w:sz w:val="24"/>
          <w:szCs w:val="24"/>
        </w:rPr>
        <w:t xml:space="preserve"> </w:t>
      </w:r>
      <w:r>
        <w:rPr>
          <w:rFonts w:ascii="Times New Roman" w:hAnsi="Times New Roman"/>
          <w:bCs/>
          <w:noProof/>
          <w:sz w:val="24"/>
          <w:szCs w:val="24"/>
          <w:lang w:bidi="ta-IN"/>
        </w:rPr>
        <w:drawing>
          <wp:inline distT="0" distB="0" distL="0" distR="0" wp14:anchorId="22365A72" wp14:editId="1A388C5A">
            <wp:extent cx="5932805" cy="3763645"/>
            <wp:effectExtent l="38100" t="38100" r="29845" b="46355"/>
            <wp:docPr id="24" name="Picture 24" descr="E:\xrd sn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rd sn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2805" cy="3763645"/>
                    </a:xfrm>
                    <a:prstGeom prst="rect">
                      <a:avLst/>
                    </a:prstGeom>
                    <a:noFill/>
                    <a:ln w="28575">
                      <a:solidFill>
                        <a:srgbClr val="0070C0"/>
                      </a:solidFill>
                    </a:ln>
                  </pic:spPr>
                </pic:pic>
              </a:graphicData>
            </a:graphic>
          </wp:inline>
        </w:drawing>
      </w:r>
    </w:p>
    <w:p w:rsidR="00D942D3" w:rsidRDefault="00D942D3" w:rsidP="00D942D3">
      <w:pPr>
        <w:rPr>
          <w:rFonts w:ascii="Times New Roman" w:hAnsi="Times New Roman"/>
          <w:bCs/>
          <w:sz w:val="24"/>
          <w:szCs w:val="24"/>
          <w:lang w:val="en-IN"/>
        </w:rPr>
      </w:pPr>
    </w:p>
    <w:p w:rsidR="00D942D3" w:rsidRDefault="00D942D3" w:rsidP="00D942D3">
      <w:pPr>
        <w:rPr>
          <w:rFonts w:ascii="Times New Roman" w:hAnsi="Times New Roman"/>
          <w:bCs/>
          <w:sz w:val="24"/>
          <w:szCs w:val="24"/>
          <w:lang w:val="en-IN"/>
        </w:rPr>
      </w:pPr>
    </w:p>
    <w:p w:rsidR="00D942D3" w:rsidRDefault="00D942D3" w:rsidP="00D942D3">
      <w:pPr>
        <w:rPr>
          <w:rFonts w:ascii="Times New Roman" w:hAnsi="Times New Roman"/>
          <w:bCs/>
          <w:sz w:val="24"/>
          <w:szCs w:val="24"/>
          <w:lang w:val="en-IN"/>
        </w:rPr>
      </w:pPr>
    </w:p>
    <w:p w:rsidR="00D942D3" w:rsidRDefault="00D942D3" w:rsidP="00D942D3">
      <w:pPr>
        <w:rPr>
          <w:rFonts w:ascii="Times New Roman" w:hAnsi="Times New Roman"/>
          <w:bCs/>
          <w:sz w:val="24"/>
          <w:szCs w:val="24"/>
          <w:lang w:val="en-IN"/>
        </w:rPr>
      </w:pPr>
    </w:p>
    <w:p w:rsidR="00D942D3" w:rsidRDefault="00D942D3" w:rsidP="00D942D3">
      <w:pPr>
        <w:rPr>
          <w:rFonts w:ascii="Times New Roman" w:hAnsi="Times New Roman"/>
          <w:bCs/>
          <w:sz w:val="24"/>
          <w:szCs w:val="24"/>
          <w:lang w:val="en-IN"/>
        </w:rPr>
      </w:pPr>
    </w:p>
    <w:p w:rsidR="00D942D3" w:rsidRDefault="00D942D3" w:rsidP="00D942D3">
      <w:pPr>
        <w:rPr>
          <w:rFonts w:ascii="Times New Roman" w:hAnsi="Times New Roman"/>
          <w:bCs/>
          <w:sz w:val="24"/>
          <w:szCs w:val="24"/>
          <w:lang w:val="en-IN"/>
        </w:rPr>
      </w:pPr>
    </w:p>
    <w:p w:rsidR="00D942D3" w:rsidRDefault="00D942D3" w:rsidP="00D942D3">
      <w:pPr>
        <w:rPr>
          <w:rFonts w:ascii="Times New Roman" w:hAnsi="Times New Roman"/>
          <w:bCs/>
          <w:sz w:val="24"/>
          <w:szCs w:val="24"/>
          <w:lang w:val="en-IN"/>
        </w:rPr>
      </w:pPr>
    </w:p>
    <w:p w:rsidR="00D942D3" w:rsidRDefault="00D942D3" w:rsidP="00D942D3">
      <w:pPr>
        <w:rPr>
          <w:rFonts w:ascii="Times New Roman" w:hAnsi="Times New Roman"/>
          <w:bCs/>
          <w:sz w:val="24"/>
          <w:szCs w:val="24"/>
          <w:lang w:val="en-IN"/>
        </w:rPr>
      </w:pPr>
    </w:p>
    <w:p w:rsidR="00D942D3" w:rsidRDefault="00D942D3" w:rsidP="00D942D3">
      <w:pPr>
        <w:rPr>
          <w:rFonts w:ascii="Times New Roman" w:hAnsi="Times New Roman"/>
          <w:bCs/>
          <w:sz w:val="24"/>
          <w:szCs w:val="24"/>
          <w:lang w:val="en-IN"/>
        </w:rPr>
      </w:pPr>
    </w:p>
    <w:p w:rsidR="00D942D3" w:rsidRDefault="00D942D3" w:rsidP="00D942D3">
      <w:pPr>
        <w:rPr>
          <w:rFonts w:ascii="Times New Roman" w:hAnsi="Times New Roman"/>
          <w:bCs/>
          <w:sz w:val="24"/>
          <w:szCs w:val="24"/>
          <w:lang w:val="en-IN"/>
        </w:rPr>
      </w:pPr>
    </w:p>
    <w:p w:rsidR="00D942D3" w:rsidRDefault="00D942D3" w:rsidP="00D942D3">
      <w:pPr>
        <w:rPr>
          <w:rFonts w:ascii="Times New Roman" w:hAnsi="Times New Roman"/>
          <w:b/>
          <w:bCs/>
          <w:sz w:val="24"/>
          <w:szCs w:val="24"/>
        </w:rPr>
      </w:pPr>
      <w:r>
        <w:rPr>
          <w:rFonts w:ascii="Times New Roman" w:hAnsi="Times New Roman"/>
          <w:b/>
          <w:bCs/>
          <w:sz w:val="24"/>
          <w:szCs w:val="24"/>
        </w:rPr>
        <w:br w:type="page"/>
      </w:r>
    </w:p>
    <w:p w:rsidR="00D942D3" w:rsidRPr="00483EE7" w:rsidRDefault="00D942D3" w:rsidP="00483EE7">
      <w:pPr>
        <w:jc w:val="both"/>
        <w:rPr>
          <w:rFonts w:ascii="Times New Roman" w:hAnsi="Times New Roman"/>
          <w:bCs/>
          <w:sz w:val="24"/>
          <w:szCs w:val="24"/>
          <w:lang w:val="en-IN"/>
        </w:rPr>
      </w:pPr>
      <w:r w:rsidRPr="00483EE7">
        <w:rPr>
          <w:rFonts w:ascii="Times New Roman" w:hAnsi="Times New Roman"/>
          <w:bCs/>
          <w:sz w:val="24"/>
          <w:szCs w:val="24"/>
        </w:rPr>
        <w:lastRenderedPageBreak/>
        <w:t xml:space="preserve">Figure 5. Zeta potential effect of the </w:t>
      </w:r>
      <w:proofErr w:type="spellStart"/>
      <w:r w:rsidRPr="00483EE7">
        <w:rPr>
          <w:rFonts w:ascii="Times New Roman" w:hAnsi="Times New Roman"/>
          <w:bCs/>
          <w:sz w:val="24"/>
          <w:szCs w:val="24"/>
        </w:rPr>
        <w:t>AgNPs</w:t>
      </w:r>
      <w:proofErr w:type="spellEnd"/>
      <w:r w:rsidRPr="00483EE7">
        <w:rPr>
          <w:rFonts w:ascii="Times New Roman" w:hAnsi="Times New Roman"/>
          <w:bCs/>
          <w:sz w:val="24"/>
          <w:szCs w:val="24"/>
        </w:rPr>
        <w:t xml:space="preserve"> synthesized using an aqueous liquid extract of </w:t>
      </w:r>
      <w:proofErr w:type="spellStart"/>
      <w:r w:rsidRPr="00483EE7">
        <w:rPr>
          <w:rFonts w:ascii="Times New Roman" w:hAnsi="Times New Roman"/>
          <w:bCs/>
          <w:i/>
          <w:sz w:val="24"/>
          <w:szCs w:val="24"/>
        </w:rPr>
        <w:t>Chondrococcus</w:t>
      </w:r>
      <w:proofErr w:type="spellEnd"/>
      <w:r w:rsidRPr="00483EE7">
        <w:rPr>
          <w:rFonts w:ascii="Times New Roman" w:hAnsi="Times New Roman"/>
          <w:bCs/>
          <w:i/>
          <w:sz w:val="24"/>
          <w:szCs w:val="24"/>
        </w:rPr>
        <w:t xml:space="preserve"> </w:t>
      </w:r>
      <w:proofErr w:type="spellStart"/>
      <w:r w:rsidRPr="00483EE7">
        <w:rPr>
          <w:rFonts w:ascii="Times New Roman" w:hAnsi="Times New Roman"/>
          <w:bCs/>
          <w:i/>
          <w:sz w:val="24"/>
          <w:szCs w:val="24"/>
        </w:rPr>
        <w:t>hornemannii</w:t>
      </w:r>
      <w:proofErr w:type="spellEnd"/>
      <w:r w:rsidR="00483EE7">
        <w:rPr>
          <w:rFonts w:ascii="Times New Roman" w:hAnsi="Times New Roman"/>
          <w:bCs/>
          <w:i/>
          <w:sz w:val="24"/>
          <w:szCs w:val="24"/>
        </w:rPr>
        <w:t>.</w:t>
      </w:r>
    </w:p>
    <w:p w:rsidR="00D942D3" w:rsidRDefault="00D942D3" w:rsidP="00D942D3">
      <w:pPr>
        <w:rPr>
          <w:rFonts w:ascii="Times New Roman" w:hAnsi="Times New Roman"/>
          <w:bCs/>
          <w:sz w:val="24"/>
          <w:szCs w:val="24"/>
          <w:lang w:val="en-IN"/>
        </w:rPr>
      </w:pPr>
      <w:r w:rsidRPr="001B7B25">
        <w:rPr>
          <w:rFonts w:ascii="Times New Roman" w:hAnsi="Times New Roman"/>
          <w:noProof/>
          <w:sz w:val="24"/>
          <w:szCs w:val="24"/>
          <w:lang w:bidi="ta-IN"/>
        </w:rPr>
        <w:drawing>
          <wp:inline distT="0" distB="0" distL="0" distR="0" wp14:anchorId="066D105F" wp14:editId="2119BE6B">
            <wp:extent cx="6385393" cy="3253563"/>
            <wp:effectExtent l="38100" t="38100" r="34925" b="425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4778"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12631" t="47165" r="10751" b="25918"/>
                    <a:stretch>
                      <a:fillRect/>
                    </a:stretch>
                  </pic:blipFill>
                  <pic:spPr bwMode="auto">
                    <a:xfrm>
                      <a:off x="0" y="0"/>
                      <a:ext cx="6406059" cy="3264093"/>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rsidR="00D942D3" w:rsidRDefault="00D942D3" w:rsidP="00D942D3">
      <w:pPr>
        <w:rPr>
          <w:rFonts w:ascii="Times New Roman" w:hAnsi="Times New Roman"/>
          <w:bCs/>
          <w:sz w:val="24"/>
          <w:szCs w:val="24"/>
          <w:lang w:val="en-IN"/>
        </w:rPr>
      </w:pPr>
    </w:p>
    <w:p w:rsidR="00D942D3" w:rsidRDefault="00D942D3" w:rsidP="00D942D3">
      <w:pPr>
        <w:rPr>
          <w:rFonts w:ascii="Times New Roman" w:hAnsi="Times New Roman"/>
          <w:bCs/>
          <w:sz w:val="24"/>
          <w:szCs w:val="24"/>
          <w:lang w:val="en-IN"/>
        </w:rPr>
      </w:pPr>
    </w:p>
    <w:p w:rsidR="00D942D3" w:rsidRDefault="00D942D3" w:rsidP="00D942D3">
      <w:pPr>
        <w:rPr>
          <w:rFonts w:ascii="Times New Roman" w:hAnsi="Times New Roman"/>
          <w:bCs/>
          <w:sz w:val="24"/>
          <w:szCs w:val="24"/>
          <w:lang w:val="en-IN"/>
        </w:rPr>
      </w:pPr>
    </w:p>
    <w:p w:rsidR="00D942D3" w:rsidRDefault="00D942D3" w:rsidP="00D942D3">
      <w:pPr>
        <w:rPr>
          <w:rFonts w:ascii="Times New Roman" w:hAnsi="Times New Roman"/>
          <w:bCs/>
          <w:sz w:val="24"/>
          <w:szCs w:val="24"/>
          <w:lang w:val="en-IN"/>
        </w:rPr>
      </w:pPr>
    </w:p>
    <w:p w:rsidR="00D942D3" w:rsidRDefault="00D942D3" w:rsidP="00D942D3">
      <w:pPr>
        <w:rPr>
          <w:rFonts w:ascii="Times New Roman" w:hAnsi="Times New Roman"/>
          <w:bCs/>
          <w:sz w:val="24"/>
          <w:szCs w:val="24"/>
          <w:lang w:val="en-IN"/>
        </w:rPr>
      </w:pPr>
    </w:p>
    <w:p w:rsidR="00D942D3" w:rsidRDefault="00D942D3" w:rsidP="00D942D3">
      <w:pPr>
        <w:rPr>
          <w:b/>
          <w:bCs/>
          <w:color w:val="000000" w:themeColor="text1"/>
          <w:kern w:val="24"/>
        </w:rPr>
      </w:pPr>
    </w:p>
    <w:p w:rsidR="00D942D3" w:rsidRDefault="00D942D3" w:rsidP="00D942D3">
      <w:pPr>
        <w:rPr>
          <w:b/>
          <w:bCs/>
          <w:color w:val="000000" w:themeColor="text1"/>
          <w:kern w:val="24"/>
        </w:rPr>
      </w:pPr>
    </w:p>
    <w:p w:rsidR="00D942D3" w:rsidRDefault="00D942D3" w:rsidP="00D942D3">
      <w:pPr>
        <w:rPr>
          <w:b/>
          <w:bCs/>
          <w:color w:val="000000" w:themeColor="text1"/>
          <w:kern w:val="24"/>
        </w:rPr>
      </w:pPr>
    </w:p>
    <w:p w:rsidR="00D942D3" w:rsidRDefault="00D942D3" w:rsidP="00D942D3">
      <w:pPr>
        <w:rPr>
          <w:b/>
          <w:bCs/>
          <w:color w:val="000000" w:themeColor="text1"/>
          <w:kern w:val="24"/>
        </w:rPr>
      </w:pPr>
    </w:p>
    <w:p w:rsidR="00D942D3" w:rsidRDefault="00D942D3" w:rsidP="00D942D3">
      <w:pPr>
        <w:rPr>
          <w:b/>
          <w:bCs/>
          <w:color w:val="000000" w:themeColor="text1"/>
          <w:kern w:val="24"/>
        </w:rPr>
      </w:pPr>
    </w:p>
    <w:p w:rsidR="00D942D3" w:rsidRDefault="00D942D3" w:rsidP="00D942D3">
      <w:pPr>
        <w:rPr>
          <w:b/>
          <w:bCs/>
          <w:color w:val="000000" w:themeColor="text1"/>
          <w:kern w:val="24"/>
        </w:rPr>
      </w:pPr>
    </w:p>
    <w:p w:rsidR="00D942D3" w:rsidRDefault="00D942D3" w:rsidP="00D942D3">
      <w:pPr>
        <w:rPr>
          <w:b/>
          <w:bCs/>
          <w:color w:val="000000" w:themeColor="text1"/>
          <w:kern w:val="24"/>
        </w:rPr>
      </w:pPr>
    </w:p>
    <w:p w:rsidR="00D942D3" w:rsidRDefault="00D942D3" w:rsidP="00D942D3">
      <w:pPr>
        <w:rPr>
          <w:b/>
          <w:bCs/>
          <w:color w:val="000000" w:themeColor="text1"/>
          <w:kern w:val="24"/>
        </w:rPr>
      </w:pPr>
    </w:p>
    <w:p w:rsidR="00D942D3" w:rsidRDefault="00D942D3" w:rsidP="00D942D3">
      <w:pPr>
        <w:rPr>
          <w:b/>
          <w:bCs/>
          <w:color w:val="000000" w:themeColor="text1"/>
          <w:kern w:val="24"/>
        </w:rPr>
      </w:pPr>
    </w:p>
    <w:p w:rsidR="00D942D3" w:rsidRDefault="00D942D3" w:rsidP="00D942D3">
      <w:pPr>
        <w:rPr>
          <w:b/>
          <w:bCs/>
          <w:color w:val="000000" w:themeColor="text1"/>
          <w:kern w:val="24"/>
        </w:rPr>
      </w:pPr>
    </w:p>
    <w:p w:rsidR="00D942D3" w:rsidRPr="00483EE7" w:rsidRDefault="00D942D3" w:rsidP="00483EE7">
      <w:pPr>
        <w:jc w:val="both"/>
        <w:rPr>
          <w:rFonts w:ascii="Times New Roman" w:hAnsi="Times New Roman"/>
          <w:bCs/>
          <w:color w:val="000000" w:themeColor="text1"/>
          <w:kern w:val="24"/>
          <w:sz w:val="24"/>
          <w:szCs w:val="24"/>
        </w:rPr>
      </w:pPr>
      <w:r w:rsidRPr="00483EE7">
        <w:rPr>
          <w:rFonts w:ascii="Times New Roman" w:hAnsi="Times New Roman"/>
          <w:bCs/>
          <w:color w:val="000000" w:themeColor="text1"/>
          <w:kern w:val="24"/>
          <w:sz w:val="24"/>
          <w:szCs w:val="24"/>
        </w:rPr>
        <w:lastRenderedPageBreak/>
        <w:t>Figure 6. Plates indicating the antimicrobial activities of synthesized</w:t>
      </w:r>
      <w:r w:rsidR="009371E6" w:rsidRPr="00483EE7">
        <w:rPr>
          <w:rFonts w:ascii="Times New Roman" w:hAnsi="Times New Roman"/>
          <w:bCs/>
          <w:color w:val="000000" w:themeColor="text1"/>
          <w:kern w:val="24"/>
          <w:sz w:val="24"/>
          <w:szCs w:val="24"/>
        </w:rPr>
        <w:t xml:space="preserve"> </w:t>
      </w:r>
      <w:proofErr w:type="spellStart"/>
      <w:r w:rsidRPr="00483EE7">
        <w:rPr>
          <w:rFonts w:ascii="Times New Roman" w:hAnsi="Times New Roman"/>
          <w:bCs/>
          <w:color w:val="000000" w:themeColor="text1"/>
          <w:kern w:val="24"/>
          <w:sz w:val="24"/>
          <w:szCs w:val="24"/>
        </w:rPr>
        <w:t>AgNPs</w:t>
      </w:r>
      <w:proofErr w:type="spellEnd"/>
      <w:r w:rsidRPr="00483EE7">
        <w:rPr>
          <w:rFonts w:ascii="Times New Roman" w:hAnsi="Times New Roman"/>
          <w:bCs/>
          <w:color w:val="000000" w:themeColor="text1"/>
          <w:kern w:val="24"/>
          <w:sz w:val="24"/>
          <w:szCs w:val="24"/>
        </w:rPr>
        <w:t xml:space="preserve"> from</w:t>
      </w:r>
      <w:r w:rsidR="009371E6" w:rsidRPr="00483EE7">
        <w:rPr>
          <w:rFonts w:ascii="Times New Roman" w:hAnsi="Times New Roman"/>
          <w:bCs/>
          <w:color w:val="000000" w:themeColor="text1"/>
          <w:kern w:val="24"/>
          <w:sz w:val="24"/>
          <w:szCs w:val="24"/>
        </w:rPr>
        <w:t xml:space="preserve"> </w:t>
      </w:r>
      <w:proofErr w:type="spellStart"/>
      <w:r w:rsidRPr="00483EE7">
        <w:rPr>
          <w:rFonts w:ascii="Times New Roman" w:hAnsi="Times New Roman"/>
          <w:bCs/>
          <w:i/>
          <w:color w:val="000000" w:themeColor="text1"/>
          <w:kern w:val="24"/>
          <w:sz w:val="24"/>
          <w:szCs w:val="24"/>
        </w:rPr>
        <w:t>Chondrococcus</w:t>
      </w:r>
      <w:proofErr w:type="spellEnd"/>
      <w:r w:rsidR="009371E6" w:rsidRPr="00483EE7">
        <w:rPr>
          <w:rFonts w:ascii="Times New Roman" w:hAnsi="Times New Roman"/>
          <w:bCs/>
          <w:i/>
          <w:color w:val="000000" w:themeColor="text1"/>
          <w:kern w:val="24"/>
          <w:sz w:val="24"/>
          <w:szCs w:val="24"/>
        </w:rPr>
        <w:t xml:space="preserve"> </w:t>
      </w:r>
      <w:proofErr w:type="spellStart"/>
      <w:r w:rsidRPr="00483EE7">
        <w:rPr>
          <w:rFonts w:ascii="Times New Roman" w:hAnsi="Times New Roman"/>
          <w:bCs/>
          <w:i/>
          <w:color w:val="000000" w:themeColor="text1"/>
          <w:kern w:val="24"/>
          <w:sz w:val="24"/>
          <w:szCs w:val="24"/>
        </w:rPr>
        <w:t>hornemannii</w:t>
      </w:r>
      <w:proofErr w:type="spellEnd"/>
      <w:r w:rsidRPr="00483EE7">
        <w:rPr>
          <w:rFonts w:ascii="Times New Roman" w:hAnsi="Times New Roman"/>
          <w:bCs/>
          <w:color w:val="000000" w:themeColor="text1"/>
          <w:kern w:val="24"/>
          <w:sz w:val="24"/>
          <w:szCs w:val="24"/>
        </w:rPr>
        <w:t xml:space="preserve"> in the following method (A) Well diffusion (B) Filter paper discs (C) Antibiotic discs.</w:t>
      </w:r>
    </w:p>
    <w:p w:rsidR="00D942D3" w:rsidRDefault="00D942D3" w:rsidP="00D942D3">
      <w:pPr>
        <w:rPr>
          <w:b/>
          <w:bCs/>
          <w:color w:val="000000" w:themeColor="text1"/>
          <w:kern w:val="24"/>
        </w:rPr>
      </w:pPr>
      <w:r>
        <w:rPr>
          <w:b/>
          <w:bCs/>
          <w:noProof/>
          <w:color w:val="000000" w:themeColor="text1"/>
          <w:kern w:val="24"/>
          <w:lang w:bidi="ta-IN"/>
        </w:rPr>
        <w:drawing>
          <wp:inline distT="0" distB="0" distL="0" distR="0" wp14:anchorId="73AAC14C" wp14:editId="78C663D0">
            <wp:extent cx="6092456" cy="2434856"/>
            <wp:effectExtent l="38100" t="38100" r="41910" b="41910"/>
            <wp:docPr id="15" name="Picture 15" descr="E:\antibacteril sn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ntibacteril snp.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4530" t="-14286" r="-3602" b="-6878"/>
                    <a:stretch/>
                  </pic:blipFill>
                  <pic:spPr bwMode="auto">
                    <a:xfrm>
                      <a:off x="0" y="0"/>
                      <a:ext cx="6093127" cy="2435124"/>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rsidR="00D942D3" w:rsidRDefault="00D942D3" w:rsidP="00D942D3">
      <w:pPr>
        <w:rPr>
          <w:b/>
          <w:bCs/>
          <w:color w:val="000000" w:themeColor="text1"/>
          <w:kern w:val="24"/>
        </w:rPr>
      </w:pPr>
    </w:p>
    <w:p w:rsidR="00D942D3" w:rsidRDefault="00D942D3" w:rsidP="00D942D3">
      <w:pPr>
        <w:rPr>
          <w:b/>
          <w:bCs/>
          <w:color w:val="000000" w:themeColor="text1"/>
          <w:kern w:val="24"/>
        </w:rPr>
      </w:pPr>
    </w:p>
    <w:p w:rsidR="00D942D3" w:rsidRDefault="00D942D3" w:rsidP="00D942D3">
      <w:pPr>
        <w:rPr>
          <w:b/>
          <w:bCs/>
          <w:color w:val="000000" w:themeColor="text1"/>
          <w:kern w:val="24"/>
        </w:rPr>
      </w:pPr>
    </w:p>
    <w:p w:rsidR="00D942D3" w:rsidRDefault="00D942D3" w:rsidP="00D942D3">
      <w:pPr>
        <w:rPr>
          <w:b/>
          <w:bCs/>
          <w:color w:val="000000" w:themeColor="text1"/>
          <w:kern w:val="24"/>
        </w:rPr>
      </w:pPr>
    </w:p>
    <w:p w:rsidR="00D942D3" w:rsidRDefault="00D942D3" w:rsidP="00D942D3">
      <w:pPr>
        <w:rPr>
          <w:b/>
          <w:bCs/>
          <w:color w:val="000000" w:themeColor="text1"/>
          <w:kern w:val="24"/>
        </w:rPr>
      </w:pPr>
    </w:p>
    <w:p w:rsidR="00D942D3" w:rsidRDefault="00D942D3" w:rsidP="00D942D3">
      <w:pPr>
        <w:rPr>
          <w:b/>
          <w:bCs/>
          <w:color w:val="000000" w:themeColor="text1"/>
          <w:kern w:val="24"/>
        </w:rPr>
      </w:pPr>
    </w:p>
    <w:p w:rsidR="00D942D3" w:rsidRDefault="00D942D3" w:rsidP="00D942D3">
      <w:pPr>
        <w:rPr>
          <w:b/>
          <w:bCs/>
          <w:color w:val="000000" w:themeColor="text1"/>
          <w:kern w:val="24"/>
        </w:rPr>
      </w:pPr>
    </w:p>
    <w:p w:rsidR="00D942D3" w:rsidRDefault="00D942D3" w:rsidP="00D942D3">
      <w:pPr>
        <w:rPr>
          <w:b/>
          <w:bCs/>
          <w:color w:val="000000" w:themeColor="text1"/>
          <w:kern w:val="24"/>
        </w:rPr>
      </w:pPr>
    </w:p>
    <w:p w:rsidR="00D942D3" w:rsidRDefault="00D942D3" w:rsidP="00D942D3">
      <w:pPr>
        <w:rPr>
          <w:b/>
          <w:bCs/>
          <w:color w:val="000000" w:themeColor="text1"/>
          <w:kern w:val="24"/>
        </w:rPr>
      </w:pPr>
    </w:p>
    <w:p w:rsidR="00D942D3" w:rsidRDefault="00D942D3" w:rsidP="00D942D3">
      <w:pPr>
        <w:rPr>
          <w:b/>
          <w:bCs/>
          <w:color w:val="000000" w:themeColor="text1"/>
          <w:kern w:val="24"/>
        </w:rPr>
      </w:pPr>
    </w:p>
    <w:p w:rsidR="00D942D3" w:rsidRDefault="00D942D3" w:rsidP="00D942D3">
      <w:pPr>
        <w:rPr>
          <w:b/>
          <w:bCs/>
          <w:color w:val="000000" w:themeColor="text1"/>
          <w:kern w:val="24"/>
        </w:rPr>
      </w:pPr>
    </w:p>
    <w:p w:rsidR="00D942D3" w:rsidRDefault="00D942D3" w:rsidP="00D942D3">
      <w:pPr>
        <w:rPr>
          <w:b/>
          <w:bCs/>
          <w:color w:val="000000" w:themeColor="text1"/>
          <w:kern w:val="24"/>
        </w:rPr>
      </w:pPr>
    </w:p>
    <w:p w:rsidR="00D942D3" w:rsidRDefault="00D942D3" w:rsidP="00D942D3">
      <w:pPr>
        <w:rPr>
          <w:b/>
          <w:bCs/>
          <w:color w:val="000000" w:themeColor="text1"/>
          <w:kern w:val="24"/>
        </w:rPr>
      </w:pPr>
    </w:p>
    <w:p w:rsidR="00D942D3" w:rsidRDefault="00D942D3" w:rsidP="00D942D3">
      <w:pPr>
        <w:rPr>
          <w:rFonts w:ascii="Times New Roman" w:hAnsi="Times New Roman"/>
          <w:b/>
          <w:bCs/>
          <w:sz w:val="24"/>
          <w:szCs w:val="24"/>
        </w:rPr>
      </w:pPr>
      <w:r>
        <w:rPr>
          <w:rFonts w:ascii="Times New Roman" w:hAnsi="Times New Roman"/>
          <w:b/>
          <w:bCs/>
          <w:sz w:val="24"/>
          <w:szCs w:val="24"/>
        </w:rPr>
        <w:br w:type="page"/>
      </w:r>
    </w:p>
    <w:p w:rsidR="00D942D3" w:rsidRPr="00483EE7" w:rsidRDefault="00D942D3" w:rsidP="00D942D3">
      <w:pPr>
        <w:rPr>
          <w:bCs/>
          <w:color w:val="000000" w:themeColor="text1"/>
          <w:kern w:val="24"/>
        </w:rPr>
      </w:pPr>
      <w:r w:rsidRPr="00483EE7">
        <w:rPr>
          <w:rFonts w:ascii="Times New Roman" w:hAnsi="Times New Roman"/>
          <w:bCs/>
          <w:sz w:val="24"/>
          <w:szCs w:val="24"/>
        </w:rPr>
        <w:lastRenderedPageBreak/>
        <w:t>Figure 7.</w:t>
      </w:r>
      <w:r w:rsidR="00483EE7" w:rsidRPr="00483EE7">
        <w:rPr>
          <w:rFonts w:ascii="Times New Roman" w:hAnsi="Times New Roman"/>
          <w:bCs/>
          <w:sz w:val="24"/>
          <w:szCs w:val="24"/>
        </w:rPr>
        <w:t xml:space="preserve"> T</w:t>
      </w:r>
      <w:r w:rsidRPr="00483EE7">
        <w:rPr>
          <w:rFonts w:ascii="Times New Roman" w:hAnsi="Times New Roman"/>
          <w:bCs/>
          <w:sz w:val="24"/>
          <w:szCs w:val="24"/>
        </w:rPr>
        <w:t xml:space="preserve">he antioxidant activity of biosynthesized </w:t>
      </w:r>
      <w:proofErr w:type="spellStart"/>
      <w:r w:rsidRPr="00483EE7">
        <w:rPr>
          <w:rFonts w:ascii="Times New Roman" w:hAnsi="Times New Roman"/>
          <w:bCs/>
          <w:i/>
          <w:sz w:val="24"/>
          <w:szCs w:val="24"/>
        </w:rPr>
        <w:t>Chondrococcus</w:t>
      </w:r>
      <w:proofErr w:type="spellEnd"/>
      <w:r w:rsidR="00483EE7" w:rsidRPr="00483EE7">
        <w:rPr>
          <w:rFonts w:ascii="Times New Roman" w:hAnsi="Times New Roman"/>
          <w:bCs/>
          <w:i/>
          <w:sz w:val="24"/>
          <w:szCs w:val="24"/>
        </w:rPr>
        <w:t xml:space="preserve"> </w:t>
      </w:r>
      <w:proofErr w:type="spellStart"/>
      <w:r w:rsidRPr="00483EE7">
        <w:rPr>
          <w:rFonts w:ascii="Times New Roman" w:hAnsi="Times New Roman"/>
          <w:bCs/>
          <w:i/>
          <w:sz w:val="24"/>
          <w:szCs w:val="24"/>
        </w:rPr>
        <w:t>hornemannii</w:t>
      </w:r>
      <w:proofErr w:type="spellEnd"/>
      <w:r w:rsidRPr="00483EE7">
        <w:rPr>
          <w:rFonts w:ascii="Times New Roman" w:hAnsi="Times New Roman"/>
          <w:bCs/>
          <w:sz w:val="24"/>
          <w:szCs w:val="24"/>
        </w:rPr>
        <w:t xml:space="preserve"> </w:t>
      </w:r>
      <w:proofErr w:type="spellStart"/>
      <w:r w:rsidRPr="00483EE7">
        <w:rPr>
          <w:rFonts w:ascii="Times New Roman" w:hAnsi="Times New Roman"/>
          <w:bCs/>
          <w:sz w:val="24"/>
          <w:szCs w:val="24"/>
        </w:rPr>
        <w:t>AgNPs</w:t>
      </w:r>
      <w:proofErr w:type="spellEnd"/>
      <w:r w:rsidR="00483EE7">
        <w:rPr>
          <w:rFonts w:ascii="Times New Roman" w:hAnsi="Times New Roman"/>
          <w:bCs/>
          <w:sz w:val="24"/>
          <w:szCs w:val="24"/>
        </w:rPr>
        <w:t>.</w:t>
      </w:r>
    </w:p>
    <w:p w:rsidR="00D942D3" w:rsidRDefault="00D942D3" w:rsidP="00D942D3">
      <w:pPr>
        <w:rPr>
          <w:b/>
          <w:bCs/>
          <w:color w:val="000000" w:themeColor="text1"/>
          <w:kern w:val="24"/>
        </w:rPr>
      </w:pPr>
      <w:r>
        <w:rPr>
          <w:noProof/>
          <w:lang w:bidi="ta-IN"/>
        </w:rPr>
        <w:drawing>
          <wp:inline distT="0" distB="0" distL="0" distR="0" wp14:anchorId="6DF00F48" wp14:editId="2D872C93">
            <wp:extent cx="5752214" cy="3285461"/>
            <wp:effectExtent l="19050" t="19050" r="20320" b="10795"/>
            <wp:docPr id="8" name="Chart 8">
              <a:extLst xmlns:a="http://schemas.openxmlformats.org/drawingml/2006/main">
                <a:ext uri="{FF2B5EF4-FFF2-40B4-BE49-F238E27FC236}">
                  <a16:creationId xmlns:a16="http://schemas.microsoft.com/office/drawing/2014/main" id="{670B255D-E9D8-414F-AD43-51AB01D8FE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7361A" w:rsidRPr="00AA28A4" w:rsidRDefault="0057361A" w:rsidP="00AA28A4">
      <w:pPr>
        <w:spacing w:after="0" w:line="360" w:lineRule="auto"/>
        <w:rPr>
          <w:rFonts w:ascii="Times New Roman" w:hAnsi="Times New Roman"/>
          <w:b/>
          <w:bCs/>
          <w:sz w:val="24"/>
          <w:szCs w:val="24"/>
        </w:rPr>
      </w:pPr>
    </w:p>
    <w:sectPr w:rsidR="0057361A" w:rsidRPr="00AA28A4" w:rsidSect="005D19D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31E6" w:rsidRDefault="003B31E6" w:rsidP="004C1566">
      <w:pPr>
        <w:spacing w:after="0" w:line="240" w:lineRule="auto"/>
      </w:pPr>
      <w:r>
        <w:separator/>
      </w:r>
    </w:p>
  </w:endnote>
  <w:endnote w:type="continuationSeparator" w:id="0">
    <w:p w:rsidR="003B31E6" w:rsidRDefault="003B31E6" w:rsidP="004C1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566" w:rsidRDefault="004C15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193518"/>
      <w:docPartObj>
        <w:docPartGallery w:val="Page Numbers (Bottom of Page)"/>
        <w:docPartUnique/>
      </w:docPartObj>
    </w:sdtPr>
    <w:sdtEndPr>
      <w:rPr>
        <w:noProof/>
      </w:rPr>
    </w:sdtEndPr>
    <w:sdtContent>
      <w:p w:rsidR="004C1566" w:rsidRDefault="004C156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C1566" w:rsidRDefault="004C15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566" w:rsidRDefault="004C15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31E6" w:rsidRDefault="003B31E6" w:rsidP="004C1566">
      <w:pPr>
        <w:spacing w:after="0" w:line="240" w:lineRule="auto"/>
      </w:pPr>
      <w:r>
        <w:separator/>
      </w:r>
    </w:p>
  </w:footnote>
  <w:footnote w:type="continuationSeparator" w:id="0">
    <w:p w:rsidR="003B31E6" w:rsidRDefault="003B31E6" w:rsidP="004C15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566" w:rsidRDefault="004C15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566" w:rsidRDefault="004C1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1566" w:rsidRDefault="004C156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I0tzQ1sjQ0NTc2MjZW0lEKTi0uzszPAykwrAUAFz2rTywAAAA="/>
  </w:docVars>
  <w:rsids>
    <w:rsidRoot w:val="00020A1B"/>
    <w:rsid w:val="00001254"/>
    <w:rsid w:val="0000285F"/>
    <w:rsid w:val="00004929"/>
    <w:rsid w:val="00012EC4"/>
    <w:rsid w:val="00016388"/>
    <w:rsid w:val="0001688F"/>
    <w:rsid w:val="00020A1B"/>
    <w:rsid w:val="00020B2E"/>
    <w:rsid w:val="00026A43"/>
    <w:rsid w:val="0003055A"/>
    <w:rsid w:val="00082321"/>
    <w:rsid w:val="000A2652"/>
    <w:rsid w:val="000C47A6"/>
    <w:rsid w:val="00120D1C"/>
    <w:rsid w:val="00134C9D"/>
    <w:rsid w:val="0013538B"/>
    <w:rsid w:val="0015531E"/>
    <w:rsid w:val="00173DBA"/>
    <w:rsid w:val="00177EA8"/>
    <w:rsid w:val="00181936"/>
    <w:rsid w:val="001A4C15"/>
    <w:rsid w:val="001A6727"/>
    <w:rsid w:val="001F7AF8"/>
    <w:rsid w:val="00207272"/>
    <w:rsid w:val="0023045C"/>
    <w:rsid w:val="00231DDE"/>
    <w:rsid w:val="002903A0"/>
    <w:rsid w:val="00292360"/>
    <w:rsid w:val="002B1933"/>
    <w:rsid w:val="002C2677"/>
    <w:rsid w:val="002D0C28"/>
    <w:rsid w:val="002E469E"/>
    <w:rsid w:val="002E6136"/>
    <w:rsid w:val="0030195E"/>
    <w:rsid w:val="0031577D"/>
    <w:rsid w:val="003505A4"/>
    <w:rsid w:val="00376AEA"/>
    <w:rsid w:val="00385103"/>
    <w:rsid w:val="0038663A"/>
    <w:rsid w:val="003B1CE1"/>
    <w:rsid w:val="003B31E6"/>
    <w:rsid w:val="003B4969"/>
    <w:rsid w:val="003C4368"/>
    <w:rsid w:val="003D5215"/>
    <w:rsid w:val="004007F0"/>
    <w:rsid w:val="004038A8"/>
    <w:rsid w:val="00404D6B"/>
    <w:rsid w:val="004139AE"/>
    <w:rsid w:val="0041637F"/>
    <w:rsid w:val="00430D29"/>
    <w:rsid w:val="00434D3D"/>
    <w:rsid w:val="0045423C"/>
    <w:rsid w:val="00456977"/>
    <w:rsid w:val="004628D5"/>
    <w:rsid w:val="00462BFF"/>
    <w:rsid w:val="00470AA6"/>
    <w:rsid w:val="00483EE7"/>
    <w:rsid w:val="004846C4"/>
    <w:rsid w:val="004930A9"/>
    <w:rsid w:val="004B61CD"/>
    <w:rsid w:val="004C0464"/>
    <w:rsid w:val="004C1566"/>
    <w:rsid w:val="004D33BB"/>
    <w:rsid w:val="004E452B"/>
    <w:rsid w:val="005630D3"/>
    <w:rsid w:val="0057361A"/>
    <w:rsid w:val="00584745"/>
    <w:rsid w:val="00585193"/>
    <w:rsid w:val="00586B60"/>
    <w:rsid w:val="00596622"/>
    <w:rsid w:val="005966A6"/>
    <w:rsid w:val="005D19D0"/>
    <w:rsid w:val="005D25D6"/>
    <w:rsid w:val="00601971"/>
    <w:rsid w:val="00631260"/>
    <w:rsid w:val="0063456E"/>
    <w:rsid w:val="006353AF"/>
    <w:rsid w:val="006513CA"/>
    <w:rsid w:val="006549D2"/>
    <w:rsid w:val="0069205C"/>
    <w:rsid w:val="006D0353"/>
    <w:rsid w:val="006D4FFF"/>
    <w:rsid w:val="007024FA"/>
    <w:rsid w:val="00746A85"/>
    <w:rsid w:val="007606FF"/>
    <w:rsid w:val="00764903"/>
    <w:rsid w:val="0077571C"/>
    <w:rsid w:val="00795430"/>
    <w:rsid w:val="007A62BF"/>
    <w:rsid w:val="007C03A0"/>
    <w:rsid w:val="007C7998"/>
    <w:rsid w:val="007D594C"/>
    <w:rsid w:val="007D5E32"/>
    <w:rsid w:val="007E18D1"/>
    <w:rsid w:val="008326E5"/>
    <w:rsid w:val="00833CB2"/>
    <w:rsid w:val="00835770"/>
    <w:rsid w:val="00841EA9"/>
    <w:rsid w:val="00874942"/>
    <w:rsid w:val="00880A3A"/>
    <w:rsid w:val="008A0355"/>
    <w:rsid w:val="008C4A68"/>
    <w:rsid w:val="008D7BEE"/>
    <w:rsid w:val="009001AF"/>
    <w:rsid w:val="00924488"/>
    <w:rsid w:val="00924781"/>
    <w:rsid w:val="00932DC2"/>
    <w:rsid w:val="009371E6"/>
    <w:rsid w:val="00944273"/>
    <w:rsid w:val="00965637"/>
    <w:rsid w:val="00972E28"/>
    <w:rsid w:val="00976768"/>
    <w:rsid w:val="0098503D"/>
    <w:rsid w:val="00994F62"/>
    <w:rsid w:val="009A1781"/>
    <w:rsid w:val="009B41CB"/>
    <w:rsid w:val="009B4A12"/>
    <w:rsid w:val="009C26ED"/>
    <w:rsid w:val="009D4DF9"/>
    <w:rsid w:val="009D5303"/>
    <w:rsid w:val="009F0637"/>
    <w:rsid w:val="009F2A91"/>
    <w:rsid w:val="00A01498"/>
    <w:rsid w:val="00A02D91"/>
    <w:rsid w:val="00A05777"/>
    <w:rsid w:val="00A07950"/>
    <w:rsid w:val="00A14A40"/>
    <w:rsid w:val="00A15619"/>
    <w:rsid w:val="00A22A25"/>
    <w:rsid w:val="00A56290"/>
    <w:rsid w:val="00A664EA"/>
    <w:rsid w:val="00A87872"/>
    <w:rsid w:val="00A9322A"/>
    <w:rsid w:val="00A93ACA"/>
    <w:rsid w:val="00AA0321"/>
    <w:rsid w:val="00AA28A4"/>
    <w:rsid w:val="00AB3B75"/>
    <w:rsid w:val="00AB53EE"/>
    <w:rsid w:val="00AD6CAF"/>
    <w:rsid w:val="00AE2F5B"/>
    <w:rsid w:val="00AE7BE4"/>
    <w:rsid w:val="00AF511A"/>
    <w:rsid w:val="00B00A03"/>
    <w:rsid w:val="00B16D51"/>
    <w:rsid w:val="00B3705B"/>
    <w:rsid w:val="00B81BC7"/>
    <w:rsid w:val="00BA3555"/>
    <w:rsid w:val="00BA6143"/>
    <w:rsid w:val="00BB0948"/>
    <w:rsid w:val="00BD2596"/>
    <w:rsid w:val="00C16D52"/>
    <w:rsid w:val="00C27871"/>
    <w:rsid w:val="00C72A91"/>
    <w:rsid w:val="00C73FCE"/>
    <w:rsid w:val="00C912B3"/>
    <w:rsid w:val="00CB087E"/>
    <w:rsid w:val="00CB475D"/>
    <w:rsid w:val="00CC0920"/>
    <w:rsid w:val="00CD6CB8"/>
    <w:rsid w:val="00CF023E"/>
    <w:rsid w:val="00CF401D"/>
    <w:rsid w:val="00D01527"/>
    <w:rsid w:val="00D04251"/>
    <w:rsid w:val="00D43BBD"/>
    <w:rsid w:val="00D7438F"/>
    <w:rsid w:val="00D74C48"/>
    <w:rsid w:val="00D80B21"/>
    <w:rsid w:val="00D92AA1"/>
    <w:rsid w:val="00D942D3"/>
    <w:rsid w:val="00E17214"/>
    <w:rsid w:val="00E46859"/>
    <w:rsid w:val="00E5053F"/>
    <w:rsid w:val="00E9799B"/>
    <w:rsid w:val="00EA14D2"/>
    <w:rsid w:val="00EC727F"/>
    <w:rsid w:val="00ED5DAA"/>
    <w:rsid w:val="00ED5FE7"/>
    <w:rsid w:val="00EE05B7"/>
    <w:rsid w:val="00F015AC"/>
    <w:rsid w:val="00F14B8B"/>
    <w:rsid w:val="00F24F0F"/>
    <w:rsid w:val="00F275AC"/>
    <w:rsid w:val="00F4028C"/>
    <w:rsid w:val="00F4229D"/>
    <w:rsid w:val="00F63861"/>
    <w:rsid w:val="00F75697"/>
    <w:rsid w:val="00FA303B"/>
    <w:rsid w:val="00FA4C8D"/>
    <w:rsid w:val="00FA7AB5"/>
    <w:rsid w:val="00FC3CCD"/>
    <w:rsid w:val="00FD3604"/>
    <w:rsid w:val="00FE12DE"/>
    <w:rsid w:val="00FF065D"/>
    <w:rsid w:val="00FF0F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D224D"/>
  <w15:docId w15:val="{C415598D-275D-4713-945B-7D504A3CB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0355"/>
    <w:rPr>
      <w:rFonts w:ascii="Calibri" w:eastAsia="Calibri" w:hAnsi="Calibri" w:cs="Times New Roman"/>
      <w:lang w:val="en-US"/>
    </w:rPr>
  </w:style>
  <w:style w:type="paragraph" w:styleId="Heading3">
    <w:name w:val="heading 3"/>
    <w:basedOn w:val="Normal"/>
    <w:link w:val="Heading3Char"/>
    <w:uiPriority w:val="9"/>
    <w:qFormat/>
    <w:rsid w:val="00181936"/>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8A0355"/>
    <w:rPr>
      <w:rFonts w:ascii="Tahoma" w:eastAsia="Calibri" w:hAnsi="Tahoma" w:cs="Tahoma"/>
      <w:sz w:val="16"/>
      <w:szCs w:val="16"/>
    </w:rPr>
  </w:style>
  <w:style w:type="paragraph" w:styleId="BalloonText">
    <w:name w:val="Balloon Text"/>
    <w:basedOn w:val="Normal"/>
    <w:link w:val="BalloonTextChar"/>
    <w:uiPriority w:val="99"/>
    <w:semiHidden/>
    <w:unhideWhenUsed/>
    <w:rsid w:val="008A0355"/>
    <w:pPr>
      <w:spacing w:after="0" w:line="240" w:lineRule="auto"/>
    </w:pPr>
    <w:rPr>
      <w:rFonts w:ascii="Tahoma" w:hAnsi="Tahoma" w:cs="Tahoma"/>
      <w:sz w:val="16"/>
      <w:szCs w:val="16"/>
      <w:lang w:val="en-IN"/>
    </w:rPr>
  </w:style>
  <w:style w:type="character" w:customStyle="1" w:styleId="BalloonTextChar1">
    <w:name w:val="Balloon Text Char1"/>
    <w:basedOn w:val="DefaultParagraphFont"/>
    <w:uiPriority w:val="99"/>
    <w:semiHidden/>
    <w:rsid w:val="008A0355"/>
    <w:rPr>
      <w:rFonts w:ascii="Segoe UI" w:eastAsia="Calibri" w:hAnsi="Segoe UI" w:cs="Segoe UI"/>
      <w:sz w:val="18"/>
      <w:szCs w:val="18"/>
      <w:lang w:val="en-US"/>
    </w:rPr>
  </w:style>
  <w:style w:type="character" w:customStyle="1" w:styleId="HeaderChar">
    <w:name w:val="Header Char"/>
    <w:basedOn w:val="DefaultParagraphFont"/>
    <w:link w:val="Header"/>
    <w:uiPriority w:val="99"/>
    <w:rsid w:val="008A0355"/>
    <w:rPr>
      <w:rFonts w:ascii="Calibri" w:eastAsia="Calibri" w:hAnsi="Calibri" w:cs="Times New Roman"/>
    </w:rPr>
  </w:style>
  <w:style w:type="paragraph" w:styleId="Header">
    <w:name w:val="header"/>
    <w:basedOn w:val="Normal"/>
    <w:link w:val="HeaderChar"/>
    <w:uiPriority w:val="99"/>
    <w:unhideWhenUsed/>
    <w:rsid w:val="008A0355"/>
    <w:pPr>
      <w:tabs>
        <w:tab w:val="center" w:pos="4513"/>
        <w:tab w:val="right" w:pos="9026"/>
      </w:tabs>
      <w:spacing w:after="0" w:line="240" w:lineRule="auto"/>
    </w:pPr>
    <w:rPr>
      <w:lang w:val="en-IN"/>
    </w:rPr>
  </w:style>
  <w:style w:type="character" w:customStyle="1" w:styleId="HeaderChar1">
    <w:name w:val="Header Char1"/>
    <w:basedOn w:val="DefaultParagraphFont"/>
    <w:uiPriority w:val="99"/>
    <w:semiHidden/>
    <w:rsid w:val="008A0355"/>
    <w:rPr>
      <w:rFonts w:ascii="Calibri" w:eastAsia="Calibri" w:hAnsi="Calibri" w:cs="Times New Roman"/>
      <w:lang w:val="en-US"/>
    </w:rPr>
  </w:style>
  <w:style w:type="character" w:customStyle="1" w:styleId="FooterChar">
    <w:name w:val="Footer Char"/>
    <w:basedOn w:val="DefaultParagraphFont"/>
    <w:link w:val="Footer"/>
    <w:uiPriority w:val="99"/>
    <w:rsid w:val="008A0355"/>
    <w:rPr>
      <w:rFonts w:ascii="Calibri" w:eastAsia="Calibri" w:hAnsi="Calibri" w:cs="Times New Roman"/>
    </w:rPr>
  </w:style>
  <w:style w:type="paragraph" w:styleId="Footer">
    <w:name w:val="footer"/>
    <w:basedOn w:val="Normal"/>
    <w:link w:val="FooterChar"/>
    <w:uiPriority w:val="99"/>
    <w:unhideWhenUsed/>
    <w:rsid w:val="008A0355"/>
    <w:pPr>
      <w:tabs>
        <w:tab w:val="center" w:pos="4513"/>
        <w:tab w:val="right" w:pos="9026"/>
      </w:tabs>
      <w:spacing w:after="0" w:line="240" w:lineRule="auto"/>
    </w:pPr>
    <w:rPr>
      <w:lang w:val="en-IN"/>
    </w:rPr>
  </w:style>
  <w:style w:type="character" w:customStyle="1" w:styleId="FooterChar1">
    <w:name w:val="Footer Char1"/>
    <w:basedOn w:val="DefaultParagraphFont"/>
    <w:uiPriority w:val="99"/>
    <w:semiHidden/>
    <w:rsid w:val="008A0355"/>
    <w:rPr>
      <w:rFonts w:ascii="Calibri" w:eastAsia="Calibri" w:hAnsi="Calibri" w:cs="Times New Roman"/>
      <w:lang w:val="en-US"/>
    </w:rPr>
  </w:style>
  <w:style w:type="character" w:customStyle="1" w:styleId="A11">
    <w:name w:val="A11"/>
    <w:uiPriority w:val="99"/>
    <w:rsid w:val="008A0355"/>
    <w:rPr>
      <w:rFonts w:ascii="TimesNewRomanPS" w:hAnsi="TimesNewRomanPS" w:cs="TimesNewRomanPS"/>
      <w:color w:val="000000"/>
      <w:sz w:val="11"/>
      <w:szCs w:val="11"/>
    </w:rPr>
  </w:style>
  <w:style w:type="paragraph" w:customStyle="1" w:styleId="Pa14">
    <w:name w:val="Pa14"/>
    <w:basedOn w:val="Normal"/>
    <w:next w:val="Normal"/>
    <w:uiPriority w:val="99"/>
    <w:rsid w:val="008A0355"/>
    <w:pPr>
      <w:autoSpaceDE w:val="0"/>
      <w:autoSpaceDN w:val="0"/>
      <w:adjustRightInd w:val="0"/>
      <w:spacing w:after="0" w:line="201" w:lineRule="atLeast"/>
    </w:pPr>
    <w:rPr>
      <w:rFonts w:ascii="Gill Sans MT" w:hAnsi="Gill Sans MT"/>
      <w:sz w:val="24"/>
      <w:szCs w:val="24"/>
    </w:rPr>
  </w:style>
  <w:style w:type="paragraph" w:styleId="ListParagraph">
    <w:name w:val="List Paragraph"/>
    <w:basedOn w:val="Normal"/>
    <w:uiPriority w:val="34"/>
    <w:qFormat/>
    <w:rsid w:val="008A0355"/>
    <w:pPr>
      <w:spacing w:after="200" w:line="276" w:lineRule="auto"/>
      <w:ind w:left="720"/>
      <w:contextualSpacing/>
    </w:pPr>
    <w:rPr>
      <w:lang w:val="en-IN"/>
    </w:rPr>
  </w:style>
  <w:style w:type="paragraph" w:customStyle="1" w:styleId="Entry">
    <w:name w:val="Entry"/>
    <w:rsid w:val="008A0355"/>
    <w:pPr>
      <w:spacing w:after="240" w:line="480" w:lineRule="auto"/>
      <w:ind w:left="720" w:hanging="720"/>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8A0355"/>
    <w:pPr>
      <w:spacing w:before="100" w:beforeAutospacing="1" w:after="100" w:afterAutospacing="1" w:line="240" w:lineRule="auto"/>
    </w:pPr>
    <w:rPr>
      <w:rFonts w:ascii="Times New Roman" w:eastAsia="Times New Roman" w:hAnsi="Times New Roman"/>
      <w:sz w:val="24"/>
      <w:szCs w:val="24"/>
      <w:lang w:bidi="ta-IN"/>
    </w:rPr>
  </w:style>
  <w:style w:type="character" w:styleId="LineNumber">
    <w:name w:val="line number"/>
    <w:basedOn w:val="DefaultParagraphFont"/>
    <w:uiPriority w:val="99"/>
    <w:semiHidden/>
    <w:unhideWhenUsed/>
    <w:rsid w:val="008A0355"/>
  </w:style>
  <w:style w:type="character" w:styleId="Hyperlink">
    <w:name w:val="Hyperlink"/>
    <w:uiPriority w:val="99"/>
    <w:unhideWhenUsed/>
    <w:rsid w:val="00932DC2"/>
    <w:rPr>
      <w:color w:val="0563C1"/>
      <w:u w:val="single"/>
    </w:rPr>
  </w:style>
  <w:style w:type="character" w:customStyle="1" w:styleId="Heading3Char">
    <w:name w:val="Heading 3 Char"/>
    <w:basedOn w:val="DefaultParagraphFont"/>
    <w:link w:val="Heading3"/>
    <w:uiPriority w:val="9"/>
    <w:rsid w:val="00181936"/>
    <w:rPr>
      <w:rFonts w:ascii="Times New Roman" w:eastAsia="Times New Roman" w:hAnsi="Times New Roman" w:cs="Times New Roman"/>
      <w:b/>
      <w:bCs/>
      <w:sz w:val="27"/>
      <w:szCs w:val="27"/>
      <w:lang w:val="en-US"/>
    </w:rPr>
  </w:style>
  <w:style w:type="character" w:styleId="UnresolvedMention">
    <w:name w:val="Unresolved Mention"/>
    <w:basedOn w:val="DefaultParagraphFont"/>
    <w:uiPriority w:val="99"/>
    <w:semiHidden/>
    <w:unhideWhenUsed/>
    <w:rsid w:val="00134C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mohanshakila@yahoo.com"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esuscalls\Downloads\SNP%20RT%20and%20Antioxida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Sheet1!$G$9</c:f>
              <c:strCache>
                <c:ptCount val="1"/>
                <c:pt idx="0">
                  <c:v>Ascorbic acid</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errBars>
            <c:errDir val="y"/>
            <c:errBarType val="both"/>
            <c:errValType val="cust"/>
            <c:noEndCap val="0"/>
            <c:plus>
              <c:numRef>
                <c:f>Sheet1!$F$18:$F$21</c:f>
                <c:numCache>
                  <c:formatCode>General</c:formatCode>
                  <c:ptCount val="4"/>
                  <c:pt idx="0">
                    <c:v>3.17043050167534</c:v>
                  </c:pt>
                  <c:pt idx="1">
                    <c:v>2.6607309730334698</c:v>
                  </c:pt>
                  <c:pt idx="2">
                    <c:v>4.8927371232140304</c:v>
                  </c:pt>
                  <c:pt idx="3">
                    <c:v>5.5545917496258603</c:v>
                  </c:pt>
                </c:numCache>
              </c:numRef>
            </c:plus>
            <c:minus>
              <c:numRef>
                <c:f>Sheet1!$F$18:$F$21</c:f>
                <c:numCache>
                  <c:formatCode>General</c:formatCode>
                  <c:ptCount val="4"/>
                  <c:pt idx="0">
                    <c:v>3.17043050167534</c:v>
                  </c:pt>
                  <c:pt idx="1">
                    <c:v>2.6607309730334698</c:v>
                  </c:pt>
                  <c:pt idx="2">
                    <c:v>4.8927371232140304</c:v>
                  </c:pt>
                  <c:pt idx="3">
                    <c:v>5.5545917496258603</c:v>
                  </c:pt>
                </c:numCache>
              </c:numRef>
            </c:minus>
            <c:spPr>
              <a:noFill/>
              <a:ln w="9525">
                <a:solidFill>
                  <a:schemeClr val="tx1">
                    <a:lumMod val="65000"/>
                    <a:lumOff val="35000"/>
                  </a:schemeClr>
                </a:solidFill>
                <a:round/>
              </a:ln>
              <a:effectLst/>
            </c:spPr>
          </c:errBars>
          <c:cat>
            <c:numRef>
              <c:f>Sheet1!$F$10:$F$13</c:f>
              <c:numCache>
                <c:formatCode>General</c:formatCode>
                <c:ptCount val="4"/>
                <c:pt idx="0">
                  <c:v>25</c:v>
                </c:pt>
                <c:pt idx="1">
                  <c:v>50</c:v>
                </c:pt>
                <c:pt idx="2">
                  <c:v>75</c:v>
                </c:pt>
                <c:pt idx="3">
                  <c:v>100</c:v>
                </c:pt>
              </c:numCache>
            </c:numRef>
          </c:cat>
          <c:val>
            <c:numRef>
              <c:f>Sheet1!$G$10:$G$13</c:f>
              <c:numCache>
                <c:formatCode>General</c:formatCode>
                <c:ptCount val="4"/>
                <c:pt idx="0">
                  <c:v>37.187051947378748</c:v>
                </c:pt>
                <c:pt idx="1">
                  <c:v>57.410317146141495</c:v>
                </c:pt>
                <c:pt idx="2">
                  <c:v>78.296543964225293</c:v>
                </c:pt>
                <c:pt idx="3">
                  <c:v>89.120800076568756</c:v>
                </c:pt>
              </c:numCache>
            </c:numRef>
          </c:val>
          <c:smooth val="0"/>
          <c:extLst>
            <c:ext xmlns:c16="http://schemas.microsoft.com/office/drawing/2014/chart" uri="{C3380CC4-5D6E-409C-BE32-E72D297353CC}">
              <c16:uniqueId val="{00000000-1607-42CB-BEF8-365A8C4E9C6C}"/>
            </c:ext>
          </c:extLst>
        </c:ser>
        <c:ser>
          <c:idx val="1"/>
          <c:order val="1"/>
          <c:tx>
            <c:strRef>
              <c:f>Sheet1!$H$9</c:f>
              <c:strCache>
                <c:ptCount val="1"/>
                <c:pt idx="0">
                  <c:v>SNP</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errBars>
            <c:errDir val="y"/>
            <c:errBarType val="both"/>
            <c:errValType val="cust"/>
            <c:noEndCap val="0"/>
            <c:plus>
              <c:numRef>
                <c:f>Sheet1!$G$18:$G$21</c:f>
                <c:numCache>
                  <c:formatCode>General</c:formatCode>
                  <c:ptCount val="4"/>
                  <c:pt idx="0">
                    <c:v>4.0883525976884698</c:v>
                  </c:pt>
                  <c:pt idx="1">
                    <c:v>5.2050103743582401</c:v>
                  </c:pt>
                  <c:pt idx="2">
                    <c:v>4.2281642703216198</c:v>
                  </c:pt>
                  <c:pt idx="3">
                    <c:v>4.7053972339702597</c:v>
                  </c:pt>
                </c:numCache>
              </c:numRef>
            </c:plus>
            <c:minus>
              <c:numRef>
                <c:f>Sheet1!$G$18:$G$21</c:f>
                <c:numCache>
                  <c:formatCode>General</c:formatCode>
                  <c:ptCount val="4"/>
                  <c:pt idx="0">
                    <c:v>4.0883525976884698</c:v>
                  </c:pt>
                  <c:pt idx="1">
                    <c:v>5.2050103743582401</c:v>
                  </c:pt>
                  <c:pt idx="2">
                    <c:v>4.2281642703216198</c:v>
                  </c:pt>
                  <c:pt idx="3">
                    <c:v>4.7053972339702597</c:v>
                  </c:pt>
                </c:numCache>
              </c:numRef>
            </c:minus>
            <c:spPr>
              <a:noFill/>
              <a:ln w="9525">
                <a:solidFill>
                  <a:schemeClr val="tx1">
                    <a:lumMod val="65000"/>
                    <a:lumOff val="35000"/>
                  </a:schemeClr>
                </a:solidFill>
                <a:round/>
              </a:ln>
              <a:effectLst/>
            </c:spPr>
          </c:errBars>
          <c:cat>
            <c:numRef>
              <c:f>Sheet1!$F$10:$F$13</c:f>
              <c:numCache>
                <c:formatCode>General</c:formatCode>
                <c:ptCount val="4"/>
                <c:pt idx="0">
                  <c:v>25</c:v>
                </c:pt>
                <c:pt idx="1">
                  <c:v>50</c:v>
                </c:pt>
                <c:pt idx="2">
                  <c:v>75</c:v>
                </c:pt>
                <c:pt idx="3">
                  <c:v>100</c:v>
                </c:pt>
              </c:numCache>
            </c:numRef>
          </c:cat>
          <c:val>
            <c:numRef>
              <c:f>Sheet1!$H$10:$H$13</c:f>
              <c:numCache>
                <c:formatCode>General</c:formatCode>
                <c:ptCount val="4"/>
                <c:pt idx="0">
                  <c:v>31.093525973689374</c:v>
                </c:pt>
                <c:pt idx="1">
                  <c:v>53.705158573070747</c:v>
                </c:pt>
                <c:pt idx="2">
                  <c:v>76.648271982112647</c:v>
                </c:pt>
                <c:pt idx="3">
                  <c:v>94.560400038284371</c:v>
                </c:pt>
              </c:numCache>
            </c:numRef>
          </c:val>
          <c:smooth val="0"/>
          <c:extLst>
            <c:ext xmlns:c16="http://schemas.microsoft.com/office/drawing/2014/chart" uri="{C3380CC4-5D6E-409C-BE32-E72D297353CC}">
              <c16:uniqueId val="{00000001-1607-42CB-BEF8-365A8C4E9C6C}"/>
            </c:ext>
          </c:extLst>
        </c:ser>
        <c:dLbls>
          <c:showLegendKey val="0"/>
          <c:showVal val="0"/>
          <c:showCatName val="0"/>
          <c:showSerName val="0"/>
          <c:showPercent val="0"/>
          <c:showBubbleSize val="0"/>
        </c:dLbls>
        <c:marker val="1"/>
        <c:smooth val="0"/>
        <c:axId val="217208320"/>
        <c:axId val="217210240"/>
      </c:lineChart>
      <c:catAx>
        <c:axId val="21720832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N" sz="1000" b="1" cap="none">
                    <a:latin typeface="Times New Roman" panose="02020603050405020304" pitchFamily="18" charset="0"/>
                    <a:cs typeface="Times New Roman" panose="02020603050405020304" pitchFamily="18" charset="0"/>
                  </a:rPr>
                  <a:t>Concentration of AgNPs (</a:t>
                </a:r>
                <a:r>
                  <a:rPr lang="en-IN" sz="1000" b="1" cap="none">
                    <a:latin typeface="Times New Roman"/>
                    <a:cs typeface="Times New Roman"/>
                  </a:rPr>
                  <a:t>µg/mL</a:t>
                </a:r>
                <a:r>
                  <a:rPr lang="en-IN" sz="1000" b="1" cap="none">
                    <a:latin typeface="Times New Roman" panose="02020603050405020304" pitchFamily="18" charset="0"/>
                    <a:cs typeface="Times New Roman" panose="02020603050405020304" pitchFamily="18" charset="0"/>
                  </a:rPr>
                  <a:t>)</a:t>
                </a:r>
                <a:r>
                  <a:rPr lang="en-IN" sz="1000" b="1">
                    <a:latin typeface="Times New Roman" panose="02020603050405020304" pitchFamily="18" charset="0"/>
                    <a:cs typeface="Times New Roman" panose="02020603050405020304" pitchFamily="18" charset="0"/>
                  </a:rPr>
                  <a:t>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217210240"/>
        <c:crosses val="autoZero"/>
        <c:auto val="1"/>
        <c:lblAlgn val="ctr"/>
        <c:lblOffset val="100"/>
        <c:noMultiLvlLbl val="0"/>
      </c:catAx>
      <c:valAx>
        <c:axId val="217210240"/>
        <c:scaling>
          <c:orientation val="minMax"/>
        </c:scaling>
        <c:delete val="0"/>
        <c:axPos val="l"/>
        <c:title>
          <c:tx>
            <c:rich>
              <a:bodyPr rot="-5400000" spcFirstLastPara="1" vertOverflow="ellipsis" vert="horz" wrap="square" anchor="ctr" anchorCtr="1"/>
              <a:lstStyle/>
              <a:p>
                <a:pPr>
                  <a:defRPr sz="10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b="1" cap="none">
                    <a:latin typeface="Times New Roman" panose="02020603050405020304" pitchFamily="18" charset="0"/>
                    <a:cs typeface="Times New Roman" panose="02020603050405020304" pitchFamily="18" charset="0"/>
                  </a:rPr>
                  <a:t>%</a:t>
                </a:r>
                <a:r>
                  <a:rPr lang="en-IN" sz="1000" b="1" cap="none" baseline="0">
                    <a:latin typeface="Times New Roman" panose="02020603050405020304" pitchFamily="18" charset="0"/>
                    <a:cs typeface="Times New Roman" panose="02020603050405020304" pitchFamily="18" charset="0"/>
                  </a:rPr>
                  <a:t>  of  Inhibition</a:t>
                </a:r>
                <a:endParaRPr lang="en-IN" sz="1000" b="1" cap="none">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2083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8575" cap="flat" cmpd="sng" algn="ctr">
      <a:solidFill>
        <a:srgbClr val="0070C0"/>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00970-EBA7-485A-A56E-23E14C776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20</Pages>
  <Words>11902</Words>
  <Characters>67845</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jesuscalls</dc:creator>
  <cp:lastModifiedBy>Saravanan</cp:lastModifiedBy>
  <cp:revision>102</cp:revision>
  <dcterms:created xsi:type="dcterms:W3CDTF">2023-07-12T07:27:00Z</dcterms:created>
  <dcterms:modified xsi:type="dcterms:W3CDTF">2023-08-23T10:22:00Z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http://www.zotero.org/styles/south-african-journal-of-botany</vt:lpwstr>
  </property>
  <property fmtid="{D5CDD505-2E9C-101B-9397-08002B2CF9AE}" pid="3" name="Mendeley Document_1">
    <vt:lpwstr>True</vt:lpwstr>
  </property>
  <property fmtid="{D5CDD505-2E9C-101B-9397-08002B2CF9AE}" pid="4" name="Mendeley Recent Style Id 0_1">
    <vt:lpwstr>http://www.zotero.org/styles/asian-pacific-journal-of-tropical-medicine</vt:lpwstr>
  </property>
  <property fmtid="{D5CDD505-2E9C-101B-9397-08002B2CF9AE}" pid="5" name="Mendeley Recent Style Id 1_1">
    <vt:lpwstr>http://www.zotero.org/styles/biomolecules</vt:lpwstr>
  </property>
  <property fmtid="{D5CDD505-2E9C-101B-9397-08002B2CF9AE}" pid="6" name="Mendeley Recent Style Id 2_1">
    <vt:lpwstr>http://www.zotero.org/styles/frontiers-in-bioengineering-and-biotechnology</vt:lpwstr>
  </property>
  <property fmtid="{D5CDD505-2E9C-101B-9397-08002B2CF9AE}" pid="7" name="Mendeley Recent Style Id 3_1">
    <vt:lpwstr>http://www.zotero.org/styles/membranes</vt:lpwstr>
  </property>
  <property fmtid="{D5CDD505-2E9C-101B-9397-08002B2CF9AE}" pid="8" name="Mendeley Recent Style Id 4_1">
    <vt:lpwstr>http://www.zotero.org/styles/molecular-biotechnology</vt:lpwstr>
  </property>
  <property fmtid="{D5CDD505-2E9C-101B-9397-08002B2CF9AE}" pid="9" name="Mendeley Recent Style Id 5_1">
    <vt:lpwstr>http://www.zotero.org/styles/south-african-journal-of-botany</vt:lpwstr>
  </property>
  <property fmtid="{D5CDD505-2E9C-101B-9397-08002B2CF9AE}" pid="10" name="Mendeley Recent Style Id 6_1">
    <vt:lpwstr>http://www.zotero.org/styles/springer-vancouver</vt:lpwstr>
  </property>
  <property fmtid="{D5CDD505-2E9C-101B-9397-08002B2CF9AE}" pid="11" name="Mendeley Recent Style Id 7_1">
    <vt:lpwstr>http://www.zotero.org/styles/structural-chemistry</vt:lpwstr>
  </property>
  <property fmtid="{D5CDD505-2E9C-101B-9397-08002B2CF9AE}" pid="12" name="Mendeley Recent Style Id 8_1">
    <vt:lpwstr>http://www.zotero.org/styles/taylor-and-francis-vancouver-national-library-of-medicine</vt:lpwstr>
  </property>
  <property fmtid="{D5CDD505-2E9C-101B-9397-08002B2CF9AE}" pid="13" name="Mendeley Recent Style Id 9_1">
    <vt:lpwstr>http://www.zotero.org/styles/world-journal-of-hematology</vt:lpwstr>
  </property>
  <property fmtid="{D5CDD505-2E9C-101B-9397-08002B2CF9AE}" pid="14" name="Mendeley Recent Style Name 0_1">
    <vt:lpwstr>Asian Pacific Journal of Tropical Medicine</vt:lpwstr>
  </property>
  <property fmtid="{D5CDD505-2E9C-101B-9397-08002B2CF9AE}" pid="15" name="Mendeley Recent Style Name 1_1">
    <vt:lpwstr>Biomolecules</vt:lpwstr>
  </property>
  <property fmtid="{D5CDD505-2E9C-101B-9397-08002B2CF9AE}" pid="16" name="Mendeley Recent Style Name 2_1">
    <vt:lpwstr>Frontiers in Bioengineering and Biotechnology</vt:lpwstr>
  </property>
  <property fmtid="{D5CDD505-2E9C-101B-9397-08002B2CF9AE}" pid="17" name="Mendeley Recent Style Name 3_1">
    <vt:lpwstr>Membranes</vt:lpwstr>
  </property>
  <property fmtid="{D5CDD505-2E9C-101B-9397-08002B2CF9AE}" pid="18" name="Mendeley Recent Style Name 4_1">
    <vt:lpwstr>Molecular Biotechnology</vt:lpwstr>
  </property>
  <property fmtid="{D5CDD505-2E9C-101B-9397-08002B2CF9AE}" pid="19" name="Mendeley Recent Style Name 5_1">
    <vt:lpwstr>South African Journal of Botany</vt:lpwstr>
  </property>
  <property fmtid="{D5CDD505-2E9C-101B-9397-08002B2CF9AE}" pid="20" name="Mendeley Recent Style Name 6_1">
    <vt:lpwstr>Springer - Vancouver</vt:lpwstr>
  </property>
  <property fmtid="{D5CDD505-2E9C-101B-9397-08002B2CF9AE}" pid="21" name="Mendeley Recent Style Name 7_1">
    <vt:lpwstr>Structural Chemistry</vt:lpwstr>
  </property>
  <property fmtid="{D5CDD505-2E9C-101B-9397-08002B2CF9AE}" pid="22" name="Mendeley Recent Style Name 8_1">
    <vt:lpwstr>Taylor &amp; Francis - Vancouver/National Library of Medicine</vt:lpwstr>
  </property>
  <property fmtid="{D5CDD505-2E9C-101B-9397-08002B2CF9AE}" pid="23" name="Mendeley Recent Style Name 9_1">
    <vt:lpwstr>World Journal of Hematology</vt:lpwstr>
  </property>
  <property fmtid="{D5CDD505-2E9C-101B-9397-08002B2CF9AE}" pid="24" name="Mendeley Unique User Id_1">
    <vt:lpwstr>7720de72-52fb-3909-a92d-3bef291fea63</vt:lpwstr>
  </property>
</Properties>
</file>