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1801" w:rsidRPr="00C9300D" w:rsidRDefault="00651801" w:rsidP="0065180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51801" w:rsidRPr="00C9300D" w:rsidRDefault="00651801" w:rsidP="008065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6792E" w:rsidRDefault="002C6F36" w:rsidP="00440AD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0ADD">
        <w:rPr>
          <w:rFonts w:ascii="Times New Roman" w:hAnsi="Times New Roman" w:cs="Times New Roman"/>
          <w:sz w:val="28"/>
          <w:szCs w:val="28"/>
          <w:lang w:val="en-US"/>
        </w:rPr>
        <w:t xml:space="preserve">Sustainable </w:t>
      </w:r>
      <w:r w:rsidR="00AE7879" w:rsidRPr="00440ADD">
        <w:rPr>
          <w:rFonts w:ascii="Times New Roman" w:hAnsi="Times New Roman" w:cs="Times New Roman"/>
          <w:sz w:val="28"/>
          <w:szCs w:val="28"/>
          <w:lang w:val="en-US"/>
        </w:rPr>
        <w:t>Finance –Perspective</w:t>
      </w:r>
      <w:r w:rsidR="00901451">
        <w:rPr>
          <w:rFonts w:ascii="Times New Roman" w:hAnsi="Times New Roman" w:cs="Times New Roman"/>
          <w:sz w:val="28"/>
          <w:szCs w:val="28"/>
          <w:lang w:val="en-US"/>
        </w:rPr>
        <w:t xml:space="preserve"> from </w:t>
      </w:r>
      <w:r w:rsidR="00901451" w:rsidRPr="00440ADD">
        <w:rPr>
          <w:rFonts w:ascii="Times New Roman" w:hAnsi="Times New Roman" w:cs="Times New Roman"/>
          <w:sz w:val="28"/>
          <w:szCs w:val="28"/>
          <w:lang w:val="en-US"/>
        </w:rPr>
        <w:t>India</w:t>
      </w:r>
    </w:p>
    <w:p w:rsidR="00440ADD" w:rsidRDefault="00440ADD" w:rsidP="008065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40ADD" w:rsidRDefault="00440ADD" w:rsidP="008065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Sushanta Joydeep Lahiri</w:t>
      </w:r>
    </w:p>
    <w:p w:rsidR="00440ADD" w:rsidRPr="00440ADD" w:rsidRDefault="00440ADD" w:rsidP="00440ADD">
      <w:pPr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440ADD">
        <w:rPr>
          <w:rFonts w:ascii="Times New Roman" w:hAnsi="Times New Roman" w:cs="Times New Roman"/>
          <w:sz w:val="22"/>
          <w:szCs w:val="22"/>
          <w:lang w:val="en-US"/>
        </w:rPr>
        <w:t>Asst. Prof. J.K. College of Science and Commerce, Ghansoli</w:t>
      </w:r>
    </w:p>
    <w:p w:rsidR="00440ADD" w:rsidRPr="00440ADD" w:rsidRDefault="00440ADD" w:rsidP="00440ADD">
      <w:pPr>
        <w:ind w:left="2880" w:firstLine="720"/>
        <w:rPr>
          <w:rFonts w:ascii="Times New Roman" w:hAnsi="Times New Roman" w:cs="Times New Roman"/>
          <w:sz w:val="22"/>
          <w:szCs w:val="22"/>
          <w:lang w:val="en-US"/>
        </w:rPr>
      </w:pPr>
      <w:r w:rsidRPr="00440ADD">
        <w:rPr>
          <w:rFonts w:ascii="Times New Roman" w:hAnsi="Times New Roman" w:cs="Times New Roman"/>
          <w:sz w:val="22"/>
          <w:szCs w:val="22"/>
          <w:lang w:val="en-US"/>
        </w:rPr>
        <w:t>PhD Scholar</w:t>
      </w:r>
    </w:p>
    <w:p w:rsidR="00440ADD" w:rsidRDefault="00440ADD" w:rsidP="00440ADD">
      <w:pPr>
        <w:ind w:left="288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    </w:t>
      </w:r>
      <w:r w:rsidRPr="00440ADD">
        <w:rPr>
          <w:rFonts w:ascii="Times New Roman" w:hAnsi="Times New Roman" w:cs="Times New Roman"/>
          <w:sz w:val="22"/>
          <w:szCs w:val="22"/>
          <w:lang w:val="en-US"/>
        </w:rPr>
        <w:t>Symbiosis International</w:t>
      </w:r>
    </w:p>
    <w:p w:rsidR="00440ADD" w:rsidRPr="00440ADD" w:rsidRDefault="00440ADD" w:rsidP="00440ADD">
      <w:pPr>
        <w:ind w:left="288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sushbhattacharyya@gmai.com</w:t>
      </w:r>
    </w:p>
    <w:p w:rsidR="00AE7879" w:rsidRPr="00440ADD" w:rsidRDefault="00AE7879" w:rsidP="008065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3E19" w:rsidRPr="00C9300D" w:rsidRDefault="00753122" w:rsidP="008065B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>1.</w:t>
      </w:r>
      <w:r w:rsidR="002C6F36"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>Introduction</w:t>
      </w:r>
      <w:r w:rsidR="007A4844"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: </w:t>
      </w:r>
    </w:p>
    <w:p w:rsidR="002D3E19" w:rsidRPr="00C9300D" w:rsidRDefault="002D3E19" w:rsidP="008065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D3E19" w:rsidRPr="00C9300D" w:rsidRDefault="007A4844" w:rsidP="008065B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The rapid degradation of environment and the abrupt changes in the </w:t>
      </w:r>
      <w:r w:rsidR="00E132B0" w:rsidRPr="00C9300D">
        <w:rPr>
          <w:rFonts w:ascii="Times New Roman" w:hAnsi="Times New Roman" w:cs="Times New Roman"/>
          <w:sz w:val="22"/>
          <w:szCs w:val="22"/>
          <w:lang w:val="en-US"/>
        </w:rPr>
        <w:t>atmosphere</w:t>
      </w:r>
      <w:r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are signa</w:t>
      </w:r>
      <w:r w:rsidR="00E132B0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l that </w:t>
      </w:r>
      <w:r w:rsidR="005358FE" w:rsidRPr="00C9300D">
        <w:rPr>
          <w:rFonts w:ascii="Times New Roman" w:hAnsi="Times New Roman" w:cs="Times New Roman"/>
          <w:sz w:val="22"/>
          <w:szCs w:val="22"/>
          <w:lang w:val="en-US"/>
        </w:rPr>
        <w:t>the social cost of environment loss is way more dreadful than initially thought</w:t>
      </w:r>
      <w:r w:rsidR="00651801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. The devastating floods in Pakistan in 2022 and the flood in Himachal Pradesh in 2023 should serve as a warning. All macro and micro level stakeholders must work towards holistic sustainable development as a matter of urgency. </w:t>
      </w:r>
      <w:r w:rsidR="00BF684E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UN has designed the sustainable </w:t>
      </w:r>
      <w:r w:rsidR="00B33570">
        <w:rPr>
          <w:rFonts w:ascii="Times New Roman" w:hAnsi="Times New Roman" w:cs="Times New Roman"/>
          <w:sz w:val="22"/>
          <w:szCs w:val="22"/>
          <w:lang w:val="en-US"/>
        </w:rPr>
        <w:t xml:space="preserve">development </w:t>
      </w:r>
      <w:r w:rsidR="00BF684E" w:rsidRPr="00C9300D">
        <w:rPr>
          <w:rFonts w:ascii="Times New Roman" w:hAnsi="Times New Roman" w:cs="Times New Roman"/>
          <w:sz w:val="22"/>
          <w:szCs w:val="22"/>
          <w:lang w:val="en-US"/>
        </w:rPr>
        <w:t>goals</w:t>
      </w:r>
      <w:r w:rsidR="00651801" w:rsidRPr="00C9300D">
        <w:rPr>
          <w:rFonts w:ascii="Times New Roman" w:hAnsi="Times New Roman" w:cs="Times New Roman"/>
          <w:sz w:val="22"/>
          <w:szCs w:val="22"/>
          <w:lang w:val="en-US"/>
        </w:rPr>
        <w:t>.</w:t>
      </w:r>
      <w:r w:rsidR="00403FDB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D3E19" w:rsidRPr="00C9300D">
        <w:rPr>
          <w:rFonts w:ascii="Times New Roman" w:hAnsi="Times New Roman" w:cs="Times New Roman"/>
          <w:color w:val="000000"/>
          <w:sz w:val="22"/>
          <w:szCs w:val="22"/>
        </w:rPr>
        <w:t>The Sustainable Development Goals (SDGs), also known as the Global Goals, were adopted by the United Nations in 2015 as a universal call to action to end poverty, protect the planet, and ensure that by 2030 all people enjoy peace and prosperity.</w:t>
      </w:r>
      <w:r w:rsidR="00403FDB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Eradication of poverty is critical to creating a safer environment. As,</w:t>
      </w:r>
      <w:r w:rsidR="00403FDB" w:rsidRPr="00C9300D">
        <w:rPr>
          <w:rFonts w:ascii="Times New Roman" w:hAnsi="Times New Roman" w:cs="Times New Roman"/>
          <w:sz w:val="22"/>
          <w:szCs w:val="22"/>
        </w:rPr>
        <w:t xml:space="preserve"> </w:t>
      </w:r>
      <w:r w:rsidR="00403FDB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People choose to live when given the option between </w:t>
      </w:r>
      <w:r w:rsidR="00A92DE1">
        <w:rPr>
          <w:rFonts w:ascii="Times New Roman" w:hAnsi="Times New Roman" w:cs="Times New Roman"/>
          <w:sz w:val="22"/>
          <w:szCs w:val="22"/>
          <w:lang w:val="en-US"/>
        </w:rPr>
        <w:t>protecting</w:t>
      </w:r>
      <w:r w:rsidR="00403FDB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the environment and </w:t>
      </w:r>
      <w:r w:rsidR="00C97B9B" w:rsidRPr="00C9300D">
        <w:rPr>
          <w:rFonts w:ascii="Times New Roman" w:hAnsi="Times New Roman" w:cs="Times New Roman"/>
          <w:sz w:val="22"/>
          <w:szCs w:val="22"/>
          <w:lang w:val="en-US"/>
        </w:rPr>
        <w:t>earning a livelihood</w:t>
      </w:r>
      <w:r w:rsidR="00403FDB" w:rsidRPr="00C9300D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136B20" w:rsidRPr="00AF7704" w:rsidRDefault="004C617E" w:rsidP="008065B2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9300D">
        <w:rPr>
          <w:rFonts w:ascii="Times New Roman" w:hAnsi="Times New Roman" w:cs="Times New Roman"/>
          <w:color w:val="000000"/>
          <w:sz w:val="22"/>
          <w:szCs w:val="22"/>
        </w:rPr>
        <w:t>Hence its utmost important to create a green infrastructure and green ecosystem , where any means of livelihood will not cause a serious damage to the environment.</w:t>
      </w:r>
      <w:r w:rsidR="009D7EC3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The SDG goals </w:t>
      </w:r>
      <w:r w:rsidR="00D667A6" w:rsidRPr="00C9300D">
        <w:rPr>
          <w:rFonts w:ascii="Times New Roman" w:hAnsi="Times New Roman" w:cs="Times New Roman"/>
          <w:sz w:val="22"/>
          <w:szCs w:val="22"/>
          <w:lang w:val="en-US"/>
        </w:rPr>
        <w:t>can only be achieved by</w:t>
      </w:r>
      <w:r w:rsidR="00136B20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integrating</w:t>
      </w:r>
      <w:r w:rsidR="00D667A6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36B20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firm </w:t>
      </w:r>
      <w:r w:rsidR="009D7EC3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level governance </w:t>
      </w:r>
      <w:r w:rsidR="00136B20" w:rsidRPr="00C9300D">
        <w:rPr>
          <w:rFonts w:ascii="Times New Roman" w:hAnsi="Times New Roman" w:cs="Times New Roman"/>
          <w:sz w:val="22"/>
          <w:szCs w:val="22"/>
          <w:lang w:val="en-US"/>
        </w:rPr>
        <w:t>with</w:t>
      </w:r>
      <w:r w:rsidR="009D7EC3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136B20" w:rsidRPr="00C9300D">
        <w:rPr>
          <w:rFonts w:ascii="Times New Roman" w:hAnsi="Times New Roman" w:cs="Times New Roman"/>
          <w:sz w:val="22"/>
          <w:szCs w:val="22"/>
          <w:lang w:val="en-US"/>
        </w:rPr>
        <w:t>country</w:t>
      </w:r>
      <w:r w:rsidR="009D7EC3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level governance </w:t>
      </w:r>
      <w:r w:rsidR="00136B20" w:rsidRPr="00C9300D">
        <w:rPr>
          <w:rFonts w:ascii="Times New Roman" w:hAnsi="Times New Roman" w:cs="Times New Roman"/>
          <w:sz w:val="22"/>
          <w:szCs w:val="22"/>
          <w:lang w:val="en-US"/>
        </w:rPr>
        <w:t>and implementation them in the firm’s strategy &amp; operations.</w:t>
      </w:r>
    </w:p>
    <w:p w:rsidR="00136B20" w:rsidRPr="00C9300D" w:rsidRDefault="00136B20" w:rsidP="008065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E07E8" w:rsidRPr="00C9300D" w:rsidRDefault="00136B20" w:rsidP="008065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9D7EC3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he concept of sustainable development is </w:t>
      </w:r>
      <w:r w:rsidR="002E07E8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not only limited to operational aspect but is </w:t>
      </w:r>
      <w:r w:rsidR="009D7EC3" w:rsidRPr="00C9300D">
        <w:rPr>
          <w:rFonts w:ascii="Times New Roman" w:hAnsi="Times New Roman" w:cs="Times New Roman"/>
          <w:sz w:val="22"/>
          <w:szCs w:val="22"/>
          <w:lang w:val="en-US"/>
        </w:rPr>
        <w:t>sp</w:t>
      </w:r>
      <w:r w:rsidR="00913178" w:rsidRPr="00C9300D">
        <w:rPr>
          <w:rFonts w:ascii="Times New Roman" w:hAnsi="Times New Roman" w:cs="Times New Roman"/>
          <w:sz w:val="22"/>
          <w:szCs w:val="22"/>
          <w:lang w:val="en-US"/>
        </w:rPr>
        <w:t>read</w:t>
      </w:r>
      <w:r w:rsidR="009D7EC3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over to </w:t>
      </w:r>
      <w:r w:rsidR="002E07E8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all </w:t>
      </w:r>
      <w:r w:rsidR="009D7EC3" w:rsidRPr="00C9300D">
        <w:rPr>
          <w:rFonts w:ascii="Times New Roman" w:hAnsi="Times New Roman" w:cs="Times New Roman"/>
          <w:sz w:val="22"/>
          <w:szCs w:val="22"/>
          <w:lang w:val="en-US"/>
        </w:rPr>
        <w:t>other busine</w:t>
      </w:r>
      <w:r w:rsidR="002E07E8" w:rsidRPr="00C9300D">
        <w:rPr>
          <w:rFonts w:ascii="Times New Roman" w:hAnsi="Times New Roman" w:cs="Times New Roman"/>
          <w:sz w:val="22"/>
          <w:szCs w:val="22"/>
          <w:lang w:val="en-US"/>
        </w:rPr>
        <w:t>ss areas like marketing, finance</w:t>
      </w:r>
      <w:r w:rsidR="00913178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, supply chain </w:t>
      </w:r>
      <w:r w:rsidR="002E07E8" w:rsidRPr="00C9300D">
        <w:rPr>
          <w:rFonts w:ascii="Times New Roman" w:hAnsi="Times New Roman" w:cs="Times New Roman"/>
          <w:sz w:val="22"/>
          <w:szCs w:val="22"/>
          <w:lang w:val="en-US"/>
        </w:rPr>
        <w:t>etc.</w:t>
      </w:r>
      <w:r w:rsidR="00913178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The conventional terms have been altered to reflect the environmental aspect, like</w:t>
      </w:r>
      <w:r w:rsidR="002E07E8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green marketing, green finance, green GDP</w:t>
      </w:r>
      <w:r w:rsidR="00913178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are entering business space mainly on account of chan</w:t>
      </w:r>
      <w:r w:rsidR="00944CD6" w:rsidRPr="00C9300D">
        <w:rPr>
          <w:rFonts w:ascii="Times New Roman" w:hAnsi="Times New Roman" w:cs="Times New Roman"/>
          <w:sz w:val="22"/>
          <w:szCs w:val="22"/>
          <w:lang w:val="en-US"/>
        </w:rPr>
        <w:t>g</w:t>
      </w:r>
      <w:r w:rsidR="00913178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ing regulation and </w:t>
      </w:r>
      <w:r w:rsidR="00944CD6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in some cases </w:t>
      </w:r>
      <w:r w:rsidR="00913178" w:rsidRPr="00C9300D">
        <w:rPr>
          <w:rFonts w:ascii="Times New Roman" w:hAnsi="Times New Roman" w:cs="Times New Roman"/>
          <w:sz w:val="22"/>
          <w:szCs w:val="22"/>
          <w:lang w:val="en-US"/>
        </w:rPr>
        <w:t>CSR activities.</w:t>
      </w:r>
      <w:r w:rsidR="001B6131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9F60C9">
        <w:rPr>
          <w:rFonts w:ascii="Times New Roman" w:hAnsi="Times New Roman" w:cs="Times New Roman"/>
          <w:sz w:val="22"/>
          <w:szCs w:val="22"/>
          <w:lang w:val="en-US"/>
        </w:rPr>
        <w:t>T</w:t>
      </w:r>
      <w:r w:rsidR="001B6131" w:rsidRPr="00C9300D">
        <w:rPr>
          <w:rFonts w:ascii="Times New Roman" w:hAnsi="Times New Roman" w:cs="Times New Roman"/>
          <w:sz w:val="22"/>
          <w:szCs w:val="22"/>
          <w:lang w:val="en-US"/>
        </w:rPr>
        <w:t>his chapter focus</w:t>
      </w:r>
      <w:r w:rsidR="009F60C9">
        <w:rPr>
          <w:rFonts w:ascii="Times New Roman" w:hAnsi="Times New Roman" w:cs="Times New Roman"/>
          <w:sz w:val="22"/>
          <w:szCs w:val="22"/>
          <w:lang w:val="en-US"/>
        </w:rPr>
        <w:t>es</w:t>
      </w:r>
      <w:r w:rsidR="001B6131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on </w:t>
      </w:r>
      <w:r w:rsidR="009F1A86" w:rsidRPr="00C9300D">
        <w:rPr>
          <w:rFonts w:ascii="Times New Roman" w:hAnsi="Times New Roman" w:cs="Times New Roman"/>
          <w:sz w:val="22"/>
          <w:szCs w:val="22"/>
          <w:lang w:val="en-US"/>
        </w:rPr>
        <w:t>green</w:t>
      </w:r>
      <w:r w:rsidR="001B6131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finance.</w:t>
      </w:r>
    </w:p>
    <w:p w:rsidR="00944CD6" w:rsidRPr="00C9300D" w:rsidRDefault="00944CD6" w:rsidP="008065B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2C6F36" w:rsidRPr="00C9300D" w:rsidRDefault="00753122" w:rsidP="008065B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>2.</w:t>
      </w:r>
      <w:r w:rsidR="002C6F36"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>Definition</w:t>
      </w:r>
      <w:r w:rsidR="00640E3F"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of green finance</w:t>
      </w:r>
    </w:p>
    <w:p w:rsidR="00E75AC5" w:rsidRPr="00C9300D" w:rsidRDefault="00E75AC5" w:rsidP="008065B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944CD6" w:rsidRPr="00C9300D" w:rsidRDefault="00E75AC5" w:rsidP="008065B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 w:rsidRPr="00C9300D">
        <w:rPr>
          <w:rFonts w:ascii="Times New Roman" w:hAnsi="Times New Roman" w:cs="Times New Roman"/>
          <w:sz w:val="22"/>
          <w:szCs w:val="22"/>
        </w:rPr>
        <w:t>Höhne</w:t>
      </w:r>
      <w:proofErr w:type="spellEnd"/>
      <w:r w:rsidRPr="00C9300D">
        <w:rPr>
          <w:rFonts w:ascii="Times New Roman" w:hAnsi="Times New Roman" w:cs="Times New Roman"/>
          <w:sz w:val="22"/>
          <w:szCs w:val="22"/>
        </w:rPr>
        <w:t xml:space="preserve"> / Khosla / Fekete / Gilbert (2012)</w:t>
      </w:r>
      <w:r w:rsidR="00260FEE" w:rsidRPr="00C9300D">
        <w:rPr>
          <w:rFonts w:ascii="Times New Roman" w:hAnsi="Times New Roman" w:cs="Times New Roman"/>
          <w:sz w:val="22"/>
          <w:szCs w:val="22"/>
        </w:rPr>
        <w:t xml:space="preserve"> : </w:t>
      </w:r>
      <w:r w:rsidR="002500B3" w:rsidRPr="00C9300D">
        <w:rPr>
          <w:rFonts w:ascii="Times New Roman" w:hAnsi="Times New Roman" w:cs="Times New Roman"/>
          <w:sz w:val="22"/>
          <w:szCs w:val="22"/>
        </w:rPr>
        <w:t>‘</w:t>
      </w:r>
      <w:r w:rsidR="00944CD6" w:rsidRPr="00C9300D">
        <w:rPr>
          <w:rFonts w:ascii="Times New Roman" w:hAnsi="Times New Roman" w:cs="Times New Roman"/>
          <w:i/>
          <w:iCs/>
          <w:sz w:val="22"/>
          <w:szCs w:val="22"/>
        </w:rPr>
        <w:t>Green finance is a broad term that can refer to financial investments flowing into sustainable development projects and initiatives, environmental products, and policies that encourage the development of a more sustainable economy.</w:t>
      </w:r>
      <w:r w:rsidR="002500B3" w:rsidRPr="00C9300D">
        <w:rPr>
          <w:rFonts w:ascii="Times New Roman" w:hAnsi="Times New Roman" w:cs="Times New Roman"/>
          <w:i/>
          <w:iCs/>
          <w:sz w:val="22"/>
          <w:szCs w:val="22"/>
        </w:rPr>
        <w:t>’</w:t>
      </w:r>
    </w:p>
    <w:p w:rsidR="002E5CE8" w:rsidRPr="00C9300D" w:rsidRDefault="002E5CE8" w:rsidP="008065B2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5A2397" w:rsidRPr="00C9300D" w:rsidRDefault="005A2397" w:rsidP="008065B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E5CE8" w:rsidRPr="00C9300D" w:rsidRDefault="002E5CE8" w:rsidP="00B04B0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C9300D">
        <w:rPr>
          <w:rFonts w:ascii="Times New Roman" w:hAnsi="Times New Roman" w:cs="Times New Roman"/>
          <w:sz w:val="22"/>
          <w:szCs w:val="22"/>
        </w:rPr>
        <w:t>World Bank</w:t>
      </w:r>
      <w:r w:rsidRPr="00C9300D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="002500B3" w:rsidRPr="00C9300D">
        <w:rPr>
          <w:rFonts w:ascii="Times New Roman" w:hAnsi="Times New Roman" w:cs="Times New Roman"/>
          <w:i/>
          <w:iCs/>
          <w:sz w:val="22"/>
          <w:szCs w:val="22"/>
        </w:rPr>
        <w:t>‘</w:t>
      </w:r>
      <w:r w:rsidRPr="00C9300D">
        <w:rPr>
          <w:rFonts w:ascii="Times New Roman" w:hAnsi="Times New Roman" w:cs="Times New Roman"/>
          <w:i/>
          <w:iCs/>
          <w:sz w:val="22"/>
          <w:szCs w:val="22"/>
        </w:rPr>
        <w:t>Sustainable Finance is the process of taking due account of environmental, social and governance (ESG) considerations when making investment decisions in the financial sector, leading to increased longer-term investments into sustainable economic activities and projects.</w:t>
      </w:r>
      <w:r w:rsidR="002500B3" w:rsidRPr="00C9300D">
        <w:rPr>
          <w:rFonts w:ascii="Times New Roman" w:hAnsi="Times New Roman" w:cs="Times New Roman"/>
          <w:i/>
          <w:iCs/>
          <w:sz w:val="22"/>
          <w:szCs w:val="22"/>
        </w:rPr>
        <w:t>’</w:t>
      </w:r>
    </w:p>
    <w:p w:rsidR="002500B3" w:rsidRPr="00C9300D" w:rsidRDefault="002500B3" w:rsidP="00B04B08">
      <w:pPr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6D2518" w:rsidRPr="00C9300D" w:rsidRDefault="002500B3" w:rsidP="006D2518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9300D">
        <w:rPr>
          <w:rFonts w:ascii="Times New Roman" w:hAnsi="Times New Roman" w:cs="Times New Roman"/>
          <w:b/>
          <w:bCs/>
          <w:sz w:val="22"/>
          <w:szCs w:val="22"/>
        </w:rPr>
        <w:t>3.Meaning</w:t>
      </w:r>
      <w:r w:rsidR="006D2518" w:rsidRPr="00C9300D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6D2518" w:rsidRPr="00C9300D" w:rsidRDefault="006D2518" w:rsidP="006D2518">
      <w:pPr>
        <w:jc w:val="both"/>
        <w:rPr>
          <w:rFonts w:ascii="Times New Roman" w:hAnsi="Times New Roman" w:cs="Times New Roman"/>
          <w:sz w:val="22"/>
          <w:szCs w:val="22"/>
        </w:rPr>
      </w:pPr>
      <w:r w:rsidRPr="00C9300D">
        <w:rPr>
          <w:rFonts w:ascii="Times New Roman" w:hAnsi="Times New Roman" w:cs="Times New Roman"/>
          <w:sz w:val="22"/>
          <w:szCs w:val="22"/>
        </w:rPr>
        <w:t>Green finance refers to all the financial investments that goes into creating environmental friendly , sustainable development projects and initiatives. It is often synonymous to green investments , however green finance has a much broader scope as it includes Policy framework that encourages green investments.</w:t>
      </w:r>
    </w:p>
    <w:p w:rsidR="002500B3" w:rsidRPr="00C9300D" w:rsidRDefault="002500B3" w:rsidP="00B04B0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40E3F" w:rsidRDefault="00640E3F" w:rsidP="008065B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41E0A" w:rsidRDefault="00041E0A" w:rsidP="008065B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F7704" w:rsidRDefault="00AF7704" w:rsidP="008065B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41E0A" w:rsidRDefault="00041E0A" w:rsidP="008065B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041E0A" w:rsidRPr="00C9300D" w:rsidRDefault="00041E0A" w:rsidP="008065B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A2397" w:rsidRPr="00C9300D" w:rsidRDefault="002500B3" w:rsidP="008065B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9300D">
        <w:rPr>
          <w:rFonts w:ascii="Times New Roman" w:hAnsi="Times New Roman" w:cs="Times New Roman"/>
          <w:b/>
          <w:bCs/>
          <w:sz w:val="22"/>
          <w:szCs w:val="22"/>
        </w:rPr>
        <w:lastRenderedPageBreak/>
        <w:t>4</w:t>
      </w:r>
      <w:r w:rsidR="00753122" w:rsidRPr="00C9300D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5A2397" w:rsidRPr="00C9300D">
        <w:rPr>
          <w:rFonts w:ascii="Times New Roman" w:hAnsi="Times New Roman" w:cs="Times New Roman"/>
          <w:b/>
          <w:bCs/>
          <w:sz w:val="22"/>
          <w:szCs w:val="22"/>
        </w:rPr>
        <w:t>Green Investing principles:</w:t>
      </w:r>
    </w:p>
    <w:p w:rsidR="00640E3F" w:rsidRPr="00C9300D" w:rsidRDefault="006C6AB2" w:rsidP="008065B2">
      <w:pPr>
        <w:jc w:val="both"/>
        <w:rPr>
          <w:rFonts w:ascii="Times New Roman" w:hAnsi="Times New Roman" w:cs="Times New Roman"/>
          <w:sz w:val="22"/>
          <w:szCs w:val="22"/>
        </w:rPr>
      </w:pPr>
      <w:r w:rsidRPr="00C9300D">
        <w:rPr>
          <w:rFonts w:ascii="Times New Roman" w:hAnsi="Times New Roman" w:cs="Times New Roman"/>
          <w:sz w:val="22"/>
          <w:szCs w:val="22"/>
        </w:rPr>
        <w:t xml:space="preserve">Sustainable development is the need of the hour and to bring change in the micro level </w:t>
      </w:r>
      <w:r w:rsidR="005A2397" w:rsidRPr="00C9300D">
        <w:rPr>
          <w:rFonts w:ascii="Times New Roman" w:hAnsi="Times New Roman" w:cs="Times New Roman"/>
          <w:sz w:val="22"/>
          <w:szCs w:val="22"/>
        </w:rPr>
        <w:t xml:space="preserve">following principles </w:t>
      </w:r>
      <w:r w:rsidRPr="00C9300D">
        <w:rPr>
          <w:rFonts w:ascii="Times New Roman" w:hAnsi="Times New Roman" w:cs="Times New Roman"/>
          <w:sz w:val="22"/>
          <w:szCs w:val="22"/>
        </w:rPr>
        <w:t xml:space="preserve"> </w:t>
      </w:r>
      <w:r w:rsidR="005A2397" w:rsidRPr="00C9300D">
        <w:rPr>
          <w:rFonts w:ascii="Times New Roman" w:hAnsi="Times New Roman" w:cs="Times New Roman"/>
          <w:sz w:val="22"/>
          <w:szCs w:val="22"/>
        </w:rPr>
        <w:t xml:space="preserve">has been designed </w:t>
      </w:r>
    </w:p>
    <w:p w:rsidR="008C10F3" w:rsidRPr="00C9300D" w:rsidRDefault="008C10F3" w:rsidP="008065B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62ED7" w:rsidRPr="00C9300D" w:rsidRDefault="005A2397" w:rsidP="008065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300D">
        <w:rPr>
          <w:rFonts w:ascii="Times New Roman" w:hAnsi="Times New Roman" w:cs="Times New Roman"/>
          <w:sz w:val="22"/>
          <w:szCs w:val="22"/>
        </w:rPr>
        <w:t>E</w:t>
      </w:r>
      <w:r w:rsidR="008C10F3" w:rsidRPr="00C9300D">
        <w:rPr>
          <w:rFonts w:ascii="Times New Roman" w:hAnsi="Times New Roman" w:cs="Times New Roman"/>
          <w:sz w:val="22"/>
          <w:szCs w:val="22"/>
        </w:rPr>
        <w:t>mbedding sustainability into corporate governance</w:t>
      </w:r>
      <w:r w:rsidR="00B20CE2" w:rsidRPr="00C9300D">
        <w:rPr>
          <w:rFonts w:ascii="Times New Roman" w:hAnsi="Times New Roman" w:cs="Times New Roman"/>
          <w:sz w:val="22"/>
          <w:szCs w:val="22"/>
        </w:rPr>
        <w:t xml:space="preserve">- It encourages organisations to adopt best practices in sustainability. </w:t>
      </w:r>
      <w:r w:rsidR="00962ED7" w:rsidRPr="00C9300D">
        <w:rPr>
          <w:rFonts w:ascii="Times New Roman" w:hAnsi="Times New Roman" w:cs="Times New Roman"/>
          <w:sz w:val="22"/>
          <w:szCs w:val="22"/>
        </w:rPr>
        <w:t>The goal is to bring about change by incorporating sustainability into organisational culture and business strategies.</w:t>
      </w:r>
    </w:p>
    <w:p w:rsidR="005A2397" w:rsidRPr="00C9300D" w:rsidRDefault="00B20CE2" w:rsidP="008065B2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  <w:r w:rsidRPr="00C9300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A2397" w:rsidRPr="00C9300D" w:rsidRDefault="005A2397" w:rsidP="008065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300D">
        <w:rPr>
          <w:rFonts w:ascii="Times New Roman" w:hAnsi="Times New Roman" w:cs="Times New Roman"/>
          <w:sz w:val="22"/>
          <w:szCs w:val="22"/>
        </w:rPr>
        <w:t>U</w:t>
      </w:r>
      <w:r w:rsidR="008C10F3" w:rsidRPr="00C9300D">
        <w:rPr>
          <w:rFonts w:ascii="Times New Roman" w:hAnsi="Times New Roman" w:cs="Times New Roman"/>
          <w:sz w:val="22"/>
          <w:szCs w:val="22"/>
        </w:rPr>
        <w:t>nderstanding Environmental, Social and Governance Risks (ESG)</w:t>
      </w:r>
      <w:r w:rsidRPr="00C9300D">
        <w:rPr>
          <w:rFonts w:ascii="Times New Roman" w:hAnsi="Times New Roman" w:cs="Times New Roman"/>
          <w:sz w:val="22"/>
          <w:szCs w:val="22"/>
        </w:rPr>
        <w:t>.</w:t>
      </w:r>
      <w:r w:rsidR="00962ED7" w:rsidRPr="00C9300D">
        <w:rPr>
          <w:rFonts w:ascii="Times New Roman" w:hAnsi="Times New Roman" w:cs="Times New Roman"/>
          <w:sz w:val="22"/>
          <w:szCs w:val="22"/>
        </w:rPr>
        <w:t xml:space="preserve">- </w:t>
      </w:r>
      <w:r w:rsidR="002E2B35" w:rsidRPr="00C9300D">
        <w:rPr>
          <w:rFonts w:ascii="Times New Roman" w:hAnsi="Times New Roman" w:cs="Times New Roman"/>
          <w:sz w:val="22"/>
          <w:szCs w:val="22"/>
        </w:rPr>
        <w:t>This framework  helps in understanding how a company handles the risks and opportunities associated with environmental, social, and governance standards also called ESG factors</w:t>
      </w:r>
      <w:r w:rsidR="00AF7704">
        <w:rPr>
          <w:rFonts w:ascii="Times New Roman" w:hAnsi="Times New Roman" w:cs="Times New Roman"/>
          <w:sz w:val="22"/>
          <w:szCs w:val="22"/>
        </w:rPr>
        <w:t>.</w:t>
      </w:r>
    </w:p>
    <w:p w:rsidR="005A2397" w:rsidRPr="00C9300D" w:rsidRDefault="005A2397" w:rsidP="008065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300D">
        <w:rPr>
          <w:rFonts w:ascii="Times New Roman" w:hAnsi="Times New Roman" w:cs="Times New Roman"/>
          <w:sz w:val="22"/>
          <w:szCs w:val="22"/>
        </w:rPr>
        <w:t>D</w:t>
      </w:r>
      <w:r w:rsidR="008C10F3" w:rsidRPr="00C9300D">
        <w:rPr>
          <w:rFonts w:ascii="Times New Roman" w:hAnsi="Times New Roman" w:cs="Times New Roman"/>
          <w:sz w:val="22"/>
          <w:szCs w:val="22"/>
        </w:rPr>
        <w:t>isclosing environmental information</w:t>
      </w:r>
      <w:r w:rsidR="00F27CFB" w:rsidRPr="00C9300D">
        <w:rPr>
          <w:rFonts w:ascii="Times New Roman" w:hAnsi="Times New Roman" w:cs="Times New Roman"/>
          <w:sz w:val="22"/>
          <w:szCs w:val="22"/>
        </w:rPr>
        <w:t xml:space="preserve">- </w:t>
      </w:r>
      <w:r w:rsidR="00AF7704">
        <w:rPr>
          <w:rFonts w:ascii="Times New Roman" w:hAnsi="Times New Roman" w:cs="Times New Roman"/>
          <w:sz w:val="22"/>
          <w:szCs w:val="22"/>
        </w:rPr>
        <w:t>M</w:t>
      </w:r>
      <w:r w:rsidR="00F27CFB" w:rsidRPr="00C9300D">
        <w:rPr>
          <w:rFonts w:ascii="Times New Roman" w:hAnsi="Times New Roman" w:cs="Times New Roman"/>
          <w:sz w:val="22"/>
          <w:szCs w:val="22"/>
        </w:rPr>
        <w:t>andatory disclosures will allow firms to focus on sustainable operational practices and will also</w:t>
      </w:r>
      <w:r w:rsidR="00D62F06" w:rsidRPr="00C9300D">
        <w:rPr>
          <w:rFonts w:ascii="Times New Roman" w:hAnsi="Times New Roman" w:cs="Times New Roman"/>
          <w:sz w:val="22"/>
          <w:szCs w:val="22"/>
        </w:rPr>
        <w:t xml:space="preserve"> help</w:t>
      </w:r>
      <w:r w:rsidR="00F27CFB" w:rsidRPr="00C9300D">
        <w:rPr>
          <w:rFonts w:ascii="Times New Roman" w:hAnsi="Times New Roman" w:cs="Times New Roman"/>
          <w:sz w:val="22"/>
          <w:szCs w:val="22"/>
        </w:rPr>
        <w:t xml:space="preserve"> investors to choose and decide on </w:t>
      </w:r>
      <w:r w:rsidR="00D62F06" w:rsidRPr="00C9300D">
        <w:rPr>
          <w:rFonts w:ascii="Times New Roman" w:hAnsi="Times New Roman" w:cs="Times New Roman"/>
          <w:sz w:val="22"/>
          <w:szCs w:val="22"/>
        </w:rPr>
        <w:t>ESG framework.</w:t>
      </w:r>
    </w:p>
    <w:p w:rsidR="005A2397" w:rsidRPr="00C9300D" w:rsidRDefault="005A2397" w:rsidP="008065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300D">
        <w:rPr>
          <w:rFonts w:ascii="Times New Roman" w:hAnsi="Times New Roman" w:cs="Times New Roman"/>
          <w:sz w:val="22"/>
          <w:szCs w:val="22"/>
        </w:rPr>
        <w:t>E</w:t>
      </w:r>
      <w:r w:rsidR="008C10F3" w:rsidRPr="00C9300D">
        <w:rPr>
          <w:rFonts w:ascii="Times New Roman" w:hAnsi="Times New Roman" w:cs="Times New Roman"/>
          <w:sz w:val="22"/>
          <w:szCs w:val="22"/>
        </w:rPr>
        <w:t>nhancing communication with stakeholders</w:t>
      </w:r>
      <w:r w:rsidRPr="00C9300D">
        <w:rPr>
          <w:rFonts w:ascii="Times New Roman" w:hAnsi="Times New Roman" w:cs="Times New Roman"/>
          <w:sz w:val="22"/>
          <w:szCs w:val="22"/>
        </w:rPr>
        <w:t>.</w:t>
      </w:r>
      <w:r w:rsidR="00A746E1" w:rsidRPr="00C9300D">
        <w:rPr>
          <w:rFonts w:ascii="Times New Roman" w:hAnsi="Times New Roman" w:cs="Times New Roman"/>
          <w:sz w:val="22"/>
          <w:szCs w:val="22"/>
        </w:rPr>
        <w:t>-</w:t>
      </w:r>
      <w:r w:rsidR="00C24E94" w:rsidRPr="00C9300D">
        <w:rPr>
          <w:rFonts w:ascii="Times New Roman" w:hAnsi="Times New Roman" w:cs="Times New Roman"/>
          <w:color w:val="4D5156"/>
          <w:sz w:val="22"/>
          <w:szCs w:val="22"/>
          <w:shd w:val="clear" w:color="auto" w:fill="FFFFFF"/>
        </w:rPr>
        <w:t xml:space="preserve"> </w:t>
      </w:r>
      <w:r w:rsidR="00C24E94" w:rsidRPr="00C9300D">
        <w:rPr>
          <w:rFonts w:ascii="Times New Roman" w:hAnsi="Times New Roman" w:cs="Times New Roman"/>
          <w:sz w:val="22"/>
          <w:szCs w:val="22"/>
        </w:rPr>
        <w:t>Regular communication with all the stakeholders and developing a positive attitude will help bring a paradigm shift and ESG mindset on the forefront.</w:t>
      </w:r>
    </w:p>
    <w:p w:rsidR="005A2397" w:rsidRPr="00C9300D" w:rsidRDefault="005A2397" w:rsidP="008065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300D">
        <w:rPr>
          <w:rFonts w:ascii="Times New Roman" w:hAnsi="Times New Roman" w:cs="Times New Roman"/>
          <w:sz w:val="22"/>
          <w:szCs w:val="22"/>
        </w:rPr>
        <w:t>U</w:t>
      </w:r>
      <w:r w:rsidR="008C10F3" w:rsidRPr="00C9300D">
        <w:rPr>
          <w:rFonts w:ascii="Times New Roman" w:hAnsi="Times New Roman" w:cs="Times New Roman"/>
          <w:sz w:val="22"/>
          <w:szCs w:val="22"/>
        </w:rPr>
        <w:t>tilizing green f</w:t>
      </w:r>
      <w:r w:rsidRPr="00C9300D">
        <w:rPr>
          <w:rFonts w:ascii="Times New Roman" w:hAnsi="Times New Roman" w:cs="Times New Roman"/>
          <w:sz w:val="22"/>
          <w:szCs w:val="22"/>
        </w:rPr>
        <w:t>i</w:t>
      </w:r>
      <w:r w:rsidR="008C10F3" w:rsidRPr="00C9300D">
        <w:rPr>
          <w:rFonts w:ascii="Times New Roman" w:hAnsi="Times New Roman" w:cs="Times New Roman"/>
          <w:sz w:val="22"/>
          <w:szCs w:val="22"/>
        </w:rPr>
        <w:t>nancial instruments</w:t>
      </w:r>
      <w:r w:rsidRPr="00C9300D">
        <w:rPr>
          <w:rFonts w:ascii="Times New Roman" w:hAnsi="Times New Roman" w:cs="Times New Roman"/>
          <w:sz w:val="22"/>
          <w:szCs w:val="22"/>
        </w:rPr>
        <w:t>.</w:t>
      </w:r>
      <w:r w:rsidR="00C24E94" w:rsidRPr="00C9300D">
        <w:rPr>
          <w:rFonts w:ascii="Times New Roman" w:hAnsi="Times New Roman" w:cs="Times New Roman"/>
          <w:sz w:val="22"/>
          <w:szCs w:val="22"/>
        </w:rPr>
        <w:t xml:space="preserve">- Using green financial instruments such as green bonds, </w:t>
      </w:r>
      <w:r w:rsidR="00E47EA5" w:rsidRPr="00C9300D">
        <w:rPr>
          <w:rFonts w:ascii="Times New Roman" w:hAnsi="Times New Roman" w:cs="Times New Roman"/>
          <w:sz w:val="22"/>
          <w:szCs w:val="22"/>
        </w:rPr>
        <w:t>green banks, green investment funds will help firms to create an infrastructure which supports sustainable development.</w:t>
      </w:r>
    </w:p>
    <w:p w:rsidR="009710CA" w:rsidRPr="00C9300D" w:rsidRDefault="005A2397" w:rsidP="008065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300D">
        <w:rPr>
          <w:rFonts w:ascii="Times New Roman" w:hAnsi="Times New Roman" w:cs="Times New Roman"/>
          <w:sz w:val="22"/>
          <w:szCs w:val="22"/>
        </w:rPr>
        <w:t>A</w:t>
      </w:r>
      <w:r w:rsidR="008C10F3" w:rsidRPr="00C9300D">
        <w:rPr>
          <w:rFonts w:ascii="Times New Roman" w:hAnsi="Times New Roman" w:cs="Times New Roman"/>
          <w:sz w:val="22"/>
          <w:szCs w:val="22"/>
        </w:rPr>
        <w:t>dopting green supply chain management</w:t>
      </w:r>
      <w:r w:rsidRPr="00C9300D">
        <w:rPr>
          <w:rFonts w:ascii="Times New Roman" w:hAnsi="Times New Roman" w:cs="Times New Roman"/>
          <w:sz w:val="22"/>
          <w:szCs w:val="22"/>
        </w:rPr>
        <w:t>.</w:t>
      </w:r>
      <w:r w:rsidR="009710CA" w:rsidRPr="00C9300D">
        <w:rPr>
          <w:rFonts w:ascii="Times New Roman" w:hAnsi="Times New Roman" w:cs="Times New Roman"/>
          <w:sz w:val="22"/>
          <w:szCs w:val="22"/>
        </w:rPr>
        <w:t>- Setting up of green supply chain ecosystem which includes green purchasing, green manufacturing , green distribution.</w:t>
      </w:r>
    </w:p>
    <w:p w:rsidR="00B20CE2" w:rsidRPr="00C9300D" w:rsidRDefault="005A2397" w:rsidP="008065B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9300D">
        <w:rPr>
          <w:rFonts w:ascii="Times New Roman" w:hAnsi="Times New Roman" w:cs="Times New Roman"/>
          <w:sz w:val="22"/>
          <w:szCs w:val="22"/>
        </w:rPr>
        <w:t>B</w:t>
      </w:r>
      <w:r w:rsidR="008C10F3" w:rsidRPr="00C9300D">
        <w:rPr>
          <w:rFonts w:ascii="Times New Roman" w:hAnsi="Times New Roman" w:cs="Times New Roman"/>
          <w:sz w:val="22"/>
          <w:szCs w:val="22"/>
        </w:rPr>
        <w:t>uilding capacity through collective action.</w:t>
      </w:r>
      <w:r w:rsidR="00F5366C" w:rsidRPr="00C9300D">
        <w:rPr>
          <w:rFonts w:ascii="Times New Roman" w:hAnsi="Times New Roman" w:cs="Times New Roman"/>
          <w:sz w:val="22"/>
          <w:szCs w:val="22"/>
        </w:rPr>
        <w:t>- SDGs can only be achieved if there is an collective effort and cooperation. It implies developing an ecosystem where in skills, attitude and management capacity are developed.</w:t>
      </w:r>
    </w:p>
    <w:p w:rsidR="00753122" w:rsidRPr="00C9300D" w:rsidRDefault="002500B3" w:rsidP="008065B2">
      <w:pPr>
        <w:pStyle w:val="NormalWeb"/>
        <w:jc w:val="both"/>
        <w:rPr>
          <w:b/>
          <w:bCs/>
          <w:sz w:val="22"/>
          <w:szCs w:val="22"/>
        </w:rPr>
      </w:pPr>
      <w:r w:rsidRPr="00C9300D">
        <w:rPr>
          <w:b/>
          <w:bCs/>
          <w:sz w:val="22"/>
          <w:szCs w:val="22"/>
        </w:rPr>
        <w:t>5</w:t>
      </w:r>
      <w:r w:rsidR="00753122" w:rsidRPr="00C9300D">
        <w:rPr>
          <w:b/>
          <w:bCs/>
          <w:sz w:val="22"/>
          <w:szCs w:val="22"/>
        </w:rPr>
        <w:t>.Initiative taken by regulatory authority to bring sustainable finance in the main domain.</w:t>
      </w:r>
    </w:p>
    <w:p w:rsidR="008065B2" w:rsidRPr="00C9300D" w:rsidRDefault="005A2397" w:rsidP="008065B2">
      <w:pPr>
        <w:pStyle w:val="NormalWeb"/>
        <w:jc w:val="both"/>
        <w:rPr>
          <w:sz w:val="22"/>
          <w:szCs w:val="22"/>
        </w:rPr>
      </w:pPr>
      <w:r w:rsidRPr="00C9300D">
        <w:rPr>
          <w:sz w:val="22"/>
          <w:szCs w:val="22"/>
        </w:rPr>
        <w:t>Globally</w:t>
      </w:r>
      <w:r w:rsidR="00B20CE2" w:rsidRPr="00C9300D">
        <w:rPr>
          <w:sz w:val="22"/>
          <w:szCs w:val="22"/>
        </w:rPr>
        <w:t>, financial institutions and business firms have</w:t>
      </w:r>
      <w:r w:rsidR="0066792E" w:rsidRPr="00C9300D">
        <w:rPr>
          <w:sz w:val="22"/>
          <w:szCs w:val="22"/>
        </w:rPr>
        <w:t xml:space="preserve"> started transitioning </w:t>
      </w:r>
      <w:r w:rsidRPr="00C9300D">
        <w:rPr>
          <w:sz w:val="22"/>
          <w:szCs w:val="22"/>
        </w:rPr>
        <w:t xml:space="preserve"> </w:t>
      </w:r>
      <w:r w:rsidR="0066792E" w:rsidRPr="00C9300D">
        <w:rPr>
          <w:sz w:val="22"/>
          <w:szCs w:val="22"/>
        </w:rPr>
        <w:t>towards sustainable finance.</w:t>
      </w:r>
      <w:r w:rsidRPr="00C9300D">
        <w:rPr>
          <w:sz w:val="22"/>
          <w:szCs w:val="22"/>
        </w:rPr>
        <w:t>(Cheng</w:t>
      </w:r>
      <w:r w:rsidR="00445806">
        <w:rPr>
          <w:sz w:val="22"/>
          <w:szCs w:val="22"/>
        </w:rPr>
        <w:t xml:space="preserve"> et.al.,</w:t>
      </w:r>
      <w:r w:rsidRPr="00C9300D">
        <w:rPr>
          <w:sz w:val="22"/>
          <w:szCs w:val="22"/>
        </w:rPr>
        <w:t>2023)</w:t>
      </w:r>
      <w:r w:rsidR="0066792E" w:rsidRPr="00C9300D">
        <w:rPr>
          <w:sz w:val="22"/>
          <w:szCs w:val="22"/>
        </w:rPr>
        <w:t xml:space="preserve"> However from Indian perspective </w:t>
      </w:r>
      <w:r w:rsidR="00D212E8" w:rsidRPr="00C9300D">
        <w:rPr>
          <w:sz w:val="22"/>
          <w:szCs w:val="22"/>
        </w:rPr>
        <w:t>lot of things are yet to be achieved.</w:t>
      </w:r>
      <w:r w:rsidR="008065B2" w:rsidRPr="00C9300D">
        <w:rPr>
          <w:sz w:val="22"/>
          <w:szCs w:val="22"/>
        </w:rPr>
        <w:t xml:space="preserve"> Even though </w:t>
      </w:r>
      <w:r w:rsidR="00A92DE1">
        <w:rPr>
          <w:sz w:val="22"/>
          <w:szCs w:val="22"/>
        </w:rPr>
        <w:t>government,</w:t>
      </w:r>
      <w:r w:rsidR="008065B2" w:rsidRPr="00C9300D">
        <w:rPr>
          <w:sz w:val="22"/>
          <w:szCs w:val="22"/>
        </w:rPr>
        <w:t xml:space="preserve"> central bank RBI have brought in a number of initiatives in the banking sector and financial markets.</w:t>
      </w:r>
    </w:p>
    <w:p w:rsidR="004B70BE" w:rsidRPr="00C9300D" w:rsidRDefault="00753122" w:rsidP="0075312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9300D">
        <w:rPr>
          <w:sz w:val="22"/>
          <w:szCs w:val="22"/>
        </w:rPr>
        <w:t>Table1:</w:t>
      </w:r>
      <w:r w:rsidR="004B70BE" w:rsidRPr="00C9300D">
        <w:rPr>
          <w:sz w:val="22"/>
          <w:szCs w:val="22"/>
        </w:rPr>
        <w:t>Landmark initiatives</w:t>
      </w:r>
      <w:r w:rsidR="00C211E3" w:rsidRPr="00C9300D">
        <w:rPr>
          <w:sz w:val="22"/>
          <w:szCs w:val="22"/>
        </w:rPr>
        <w:t xml:space="preserve"> by Indian Institutions</w:t>
      </w:r>
      <w:r w:rsidR="004B70BE" w:rsidRPr="00C9300D">
        <w:rPr>
          <w:sz w:val="22"/>
          <w:szCs w:val="22"/>
        </w:rPr>
        <w:t xml:space="preserve"> in the sustainable finance: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2519"/>
        <w:gridCol w:w="3492"/>
      </w:tblGrid>
      <w:tr w:rsidR="004B70BE" w:rsidRPr="00C9300D" w:rsidTr="00253565">
        <w:tc>
          <w:tcPr>
            <w:tcW w:w="3005" w:type="dxa"/>
          </w:tcPr>
          <w:p w:rsidR="004B70BE" w:rsidRPr="00C9300D" w:rsidRDefault="004B70BE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Initiative</w:t>
            </w:r>
          </w:p>
        </w:tc>
        <w:tc>
          <w:tcPr>
            <w:tcW w:w="2519" w:type="dxa"/>
          </w:tcPr>
          <w:p w:rsidR="004B70BE" w:rsidRPr="00C9300D" w:rsidRDefault="004B70BE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Regulatory Agency</w:t>
            </w:r>
          </w:p>
        </w:tc>
        <w:tc>
          <w:tcPr>
            <w:tcW w:w="3492" w:type="dxa"/>
          </w:tcPr>
          <w:p w:rsidR="004B70BE" w:rsidRPr="00C9300D" w:rsidRDefault="004B70BE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Impact</w:t>
            </w:r>
          </w:p>
        </w:tc>
      </w:tr>
      <w:tr w:rsidR="004B70BE" w:rsidRPr="00C9300D" w:rsidTr="00253565">
        <w:tc>
          <w:tcPr>
            <w:tcW w:w="3005" w:type="dxa"/>
          </w:tcPr>
          <w:p w:rsidR="004B70BE" w:rsidRPr="00C9300D" w:rsidRDefault="004B70BE" w:rsidP="004B70BE">
            <w:pPr>
              <w:pStyle w:val="NormalWeb"/>
              <w:jc w:val="both"/>
              <w:rPr>
                <w:sz w:val="22"/>
                <w:szCs w:val="22"/>
                <w:lang w:val="en-GB"/>
              </w:rPr>
            </w:pPr>
            <w:r w:rsidRPr="00C9300D">
              <w:rPr>
                <w:sz w:val="22"/>
                <w:szCs w:val="22"/>
                <w:lang w:val="en-GB"/>
              </w:rPr>
              <w:t xml:space="preserve">Encouraging best practices related to sustainable </w:t>
            </w:r>
            <w:r w:rsidR="00D01D56" w:rsidRPr="00C9300D">
              <w:rPr>
                <w:sz w:val="22"/>
                <w:szCs w:val="22"/>
                <w:lang w:val="en-GB"/>
              </w:rPr>
              <w:t>development.</w:t>
            </w:r>
          </w:p>
          <w:p w:rsidR="004B70BE" w:rsidRPr="00C9300D" w:rsidRDefault="004B70BE" w:rsidP="008065B2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2519" w:type="dxa"/>
          </w:tcPr>
          <w:p w:rsidR="004B70BE" w:rsidRPr="00C9300D" w:rsidRDefault="004B70BE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RBI</w:t>
            </w:r>
            <w:r w:rsidR="00AB1F70" w:rsidRPr="00C9300D">
              <w:rPr>
                <w:sz w:val="22"/>
                <w:szCs w:val="22"/>
              </w:rPr>
              <w:t xml:space="preserve"> (2007)</w:t>
            </w:r>
          </w:p>
        </w:tc>
        <w:tc>
          <w:tcPr>
            <w:tcW w:w="3492" w:type="dxa"/>
          </w:tcPr>
          <w:p w:rsidR="004B70BE" w:rsidRPr="00C9300D" w:rsidRDefault="004B70BE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 xml:space="preserve">One of early ESG related reform measures towards creating awareness and </w:t>
            </w:r>
            <w:r w:rsidR="00D01D56" w:rsidRPr="00C9300D">
              <w:rPr>
                <w:sz w:val="22"/>
                <w:szCs w:val="22"/>
              </w:rPr>
              <w:t>focus towards sustainable growth.</w:t>
            </w:r>
          </w:p>
        </w:tc>
      </w:tr>
      <w:tr w:rsidR="004B70BE" w:rsidRPr="00C9300D" w:rsidTr="00253565">
        <w:tc>
          <w:tcPr>
            <w:tcW w:w="3005" w:type="dxa"/>
          </w:tcPr>
          <w:p w:rsidR="00AF5B65" w:rsidRPr="00C9300D" w:rsidRDefault="00AF5B65" w:rsidP="00D06C7D">
            <w:pPr>
              <w:pStyle w:val="NormalWeb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Inclusion of Business Responsibility reports  in Annual reports for all listed entities has been made mandatory.</w:t>
            </w:r>
          </w:p>
        </w:tc>
        <w:tc>
          <w:tcPr>
            <w:tcW w:w="2519" w:type="dxa"/>
          </w:tcPr>
          <w:p w:rsidR="004B70BE" w:rsidRPr="00C9300D" w:rsidRDefault="00AF5B65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SEBI (2012)</w:t>
            </w:r>
          </w:p>
        </w:tc>
        <w:tc>
          <w:tcPr>
            <w:tcW w:w="3492" w:type="dxa"/>
          </w:tcPr>
          <w:p w:rsidR="004B70BE" w:rsidRPr="00C9300D" w:rsidRDefault="003978D0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Will force firms to take up responsible investing.</w:t>
            </w:r>
          </w:p>
        </w:tc>
      </w:tr>
      <w:tr w:rsidR="004B70BE" w:rsidRPr="00C9300D" w:rsidTr="00253565">
        <w:tc>
          <w:tcPr>
            <w:tcW w:w="3005" w:type="dxa"/>
          </w:tcPr>
          <w:p w:rsidR="00D06C7D" w:rsidRPr="00C9300D" w:rsidRDefault="00AF5B65" w:rsidP="00D06C7D">
            <w:pPr>
              <w:pStyle w:val="NormalWeb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 xml:space="preserve">Launch of </w:t>
            </w:r>
            <w:r w:rsidR="00D06C7D" w:rsidRPr="00C9300D">
              <w:rPr>
                <w:sz w:val="22"/>
                <w:szCs w:val="22"/>
              </w:rPr>
              <w:t xml:space="preserve">S&amp;P BSE CARBONEX </w:t>
            </w:r>
          </w:p>
          <w:p w:rsidR="00CC3BBB" w:rsidRPr="00C9300D" w:rsidRDefault="00CC3BBB" w:rsidP="00CC3BBB">
            <w:pPr>
              <w:pStyle w:val="NormalWeb"/>
              <w:rPr>
                <w:sz w:val="22"/>
                <w:szCs w:val="22"/>
              </w:rPr>
            </w:pPr>
          </w:p>
          <w:p w:rsidR="00CC3BBB" w:rsidRPr="00C9300D" w:rsidRDefault="00CC3BBB" w:rsidP="00CC3BBB">
            <w:pPr>
              <w:pStyle w:val="NormalWeb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 xml:space="preserve">Launch of the MSCI ESG India Index </w:t>
            </w:r>
          </w:p>
        </w:tc>
        <w:tc>
          <w:tcPr>
            <w:tcW w:w="2519" w:type="dxa"/>
          </w:tcPr>
          <w:p w:rsidR="004B70BE" w:rsidRPr="00C9300D" w:rsidRDefault="00AF5B65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S&amp;P and BSE, Collaborative initiative  (2012)</w:t>
            </w:r>
          </w:p>
          <w:p w:rsidR="00CC3BBB" w:rsidRPr="00C9300D" w:rsidRDefault="00CC3BBB" w:rsidP="008065B2">
            <w:pPr>
              <w:pStyle w:val="NormalWeb"/>
              <w:jc w:val="both"/>
              <w:rPr>
                <w:sz w:val="22"/>
                <w:szCs w:val="22"/>
              </w:rPr>
            </w:pPr>
          </w:p>
          <w:p w:rsidR="00CC3BBB" w:rsidRPr="00C9300D" w:rsidRDefault="00CC3BBB" w:rsidP="008065B2">
            <w:pPr>
              <w:pStyle w:val="NormalWeb"/>
              <w:jc w:val="both"/>
              <w:rPr>
                <w:sz w:val="22"/>
                <w:szCs w:val="22"/>
              </w:rPr>
            </w:pPr>
          </w:p>
        </w:tc>
        <w:tc>
          <w:tcPr>
            <w:tcW w:w="3492" w:type="dxa"/>
          </w:tcPr>
          <w:p w:rsidR="004B70BE" w:rsidRPr="00C9300D" w:rsidRDefault="003978D0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 xml:space="preserve">composed of the constituents of the S&amp;P BSE 100 based on carbon performance scores. Will provide investors </w:t>
            </w:r>
            <w:r w:rsidR="003C2337" w:rsidRPr="00C9300D">
              <w:rPr>
                <w:sz w:val="22"/>
                <w:szCs w:val="22"/>
              </w:rPr>
              <w:t>a portfolio of green stocks.</w:t>
            </w:r>
          </w:p>
        </w:tc>
      </w:tr>
      <w:tr w:rsidR="004B70BE" w:rsidRPr="00C9300D" w:rsidTr="00253565">
        <w:tc>
          <w:tcPr>
            <w:tcW w:w="3005" w:type="dxa"/>
          </w:tcPr>
          <w:p w:rsidR="004B70BE" w:rsidRPr="00C9300D" w:rsidRDefault="0034534B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lastRenderedPageBreak/>
              <w:t>Companies Act 2013, mandated 2% of profit for CSR</w:t>
            </w:r>
          </w:p>
        </w:tc>
        <w:tc>
          <w:tcPr>
            <w:tcW w:w="2519" w:type="dxa"/>
          </w:tcPr>
          <w:p w:rsidR="004B70BE" w:rsidRPr="00C9300D" w:rsidRDefault="00481E1A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GOI</w:t>
            </w:r>
            <w:r w:rsidR="000A0C12" w:rsidRPr="00C9300D">
              <w:rPr>
                <w:sz w:val="22"/>
                <w:szCs w:val="22"/>
              </w:rPr>
              <w:t xml:space="preserve"> (2014)</w:t>
            </w:r>
          </w:p>
        </w:tc>
        <w:tc>
          <w:tcPr>
            <w:tcW w:w="3492" w:type="dxa"/>
          </w:tcPr>
          <w:p w:rsidR="004B70BE" w:rsidRPr="00C9300D" w:rsidRDefault="00B6539C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 xml:space="preserve">Will force firms to take up responsible investing, Investing for social causes. </w:t>
            </w:r>
          </w:p>
        </w:tc>
      </w:tr>
      <w:tr w:rsidR="004B70BE" w:rsidRPr="00C9300D" w:rsidTr="00253565">
        <w:tc>
          <w:tcPr>
            <w:tcW w:w="3005" w:type="dxa"/>
          </w:tcPr>
          <w:p w:rsidR="004B70BE" w:rsidRPr="00C9300D" w:rsidRDefault="000A0C12" w:rsidP="000A0C12">
            <w:pPr>
              <w:pStyle w:val="NormalWeb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 xml:space="preserve">Inclusion of renewable energy under Priority Sector Lending </w:t>
            </w:r>
          </w:p>
        </w:tc>
        <w:tc>
          <w:tcPr>
            <w:tcW w:w="2519" w:type="dxa"/>
          </w:tcPr>
          <w:p w:rsidR="004B70BE" w:rsidRPr="00C9300D" w:rsidRDefault="000A0C12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RBI (2015)</w:t>
            </w:r>
          </w:p>
        </w:tc>
        <w:tc>
          <w:tcPr>
            <w:tcW w:w="3492" w:type="dxa"/>
          </w:tcPr>
          <w:p w:rsidR="004B70BE" w:rsidRPr="00C9300D" w:rsidRDefault="000A0C12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Beneficial for small scale investments in the renewable energy.</w:t>
            </w:r>
          </w:p>
        </w:tc>
      </w:tr>
      <w:tr w:rsidR="004B70BE" w:rsidRPr="00C9300D" w:rsidTr="00253565">
        <w:tc>
          <w:tcPr>
            <w:tcW w:w="3005" w:type="dxa"/>
          </w:tcPr>
          <w:p w:rsidR="004B70BE" w:rsidRPr="00C9300D" w:rsidRDefault="000A0C12" w:rsidP="000A0C12">
            <w:pPr>
              <w:pStyle w:val="NormalWeb"/>
              <w:rPr>
                <w:sz w:val="22"/>
                <w:szCs w:val="22"/>
              </w:rPr>
            </w:pPr>
            <w:proofErr w:type="spellStart"/>
            <w:r w:rsidRPr="00C9300D">
              <w:rPr>
                <w:sz w:val="22"/>
                <w:szCs w:val="22"/>
              </w:rPr>
              <w:t>Miniratna</w:t>
            </w:r>
            <w:proofErr w:type="spellEnd"/>
            <w:r w:rsidRPr="00C9300D">
              <w:rPr>
                <w:sz w:val="22"/>
                <w:szCs w:val="22"/>
              </w:rPr>
              <w:t xml:space="preserve"> status granted to IREDA</w:t>
            </w:r>
          </w:p>
        </w:tc>
        <w:tc>
          <w:tcPr>
            <w:tcW w:w="2519" w:type="dxa"/>
          </w:tcPr>
          <w:p w:rsidR="004B70BE" w:rsidRPr="00C9300D" w:rsidRDefault="000A0C12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Ministry of New and Renewable Energy (2015)</w:t>
            </w:r>
          </w:p>
        </w:tc>
        <w:tc>
          <w:tcPr>
            <w:tcW w:w="3492" w:type="dxa"/>
          </w:tcPr>
          <w:p w:rsidR="004B70BE" w:rsidRPr="00C9300D" w:rsidRDefault="000A0C12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Status gives more power in delegating and financial autonomy. Resulting into rapid execution.</w:t>
            </w:r>
          </w:p>
        </w:tc>
      </w:tr>
      <w:tr w:rsidR="004B70BE" w:rsidRPr="00C9300D" w:rsidTr="00253565">
        <w:tc>
          <w:tcPr>
            <w:tcW w:w="3005" w:type="dxa"/>
          </w:tcPr>
          <w:p w:rsidR="004B70BE" w:rsidRPr="00C9300D" w:rsidRDefault="000A0C12" w:rsidP="000A0C12">
            <w:pPr>
              <w:pStyle w:val="NormalWeb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IBA's guidelines on responsible banking</w:t>
            </w:r>
          </w:p>
        </w:tc>
        <w:tc>
          <w:tcPr>
            <w:tcW w:w="2519" w:type="dxa"/>
          </w:tcPr>
          <w:p w:rsidR="004B70BE" w:rsidRPr="00C9300D" w:rsidRDefault="00253565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IBA (2015)</w:t>
            </w:r>
          </w:p>
        </w:tc>
        <w:tc>
          <w:tcPr>
            <w:tcW w:w="3492" w:type="dxa"/>
          </w:tcPr>
          <w:p w:rsidR="004B70BE" w:rsidRPr="00C9300D" w:rsidRDefault="00253565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The guidelines included ‘Five pillars of responsible finance strategy’ &amp; ‘Principle wise Implementation Guidance’</w:t>
            </w:r>
          </w:p>
        </w:tc>
      </w:tr>
      <w:tr w:rsidR="004B70BE" w:rsidRPr="00C9300D" w:rsidTr="00253565">
        <w:tc>
          <w:tcPr>
            <w:tcW w:w="3005" w:type="dxa"/>
          </w:tcPr>
          <w:p w:rsidR="004B70BE" w:rsidRPr="00C9300D" w:rsidRDefault="00304AA7" w:rsidP="000A0C12">
            <w:pPr>
              <w:pStyle w:val="NormalWeb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Exim Bank of India issued a five-year US$500 million green bond</w:t>
            </w:r>
          </w:p>
        </w:tc>
        <w:tc>
          <w:tcPr>
            <w:tcW w:w="2519" w:type="dxa"/>
          </w:tcPr>
          <w:p w:rsidR="004B70BE" w:rsidRPr="00C9300D" w:rsidRDefault="00E548F5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EXIM (2015)</w:t>
            </w:r>
          </w:p>
        </w:tc>
        <w:tc>
          <w:tcPr>
            <w:tcW w:w="3492" w:type="dxa"/>
          </w:tcPr>
          <w:p w:rsidR="004B70BE" w:rsidRPr="00C9300D" w:rsidRDefault="00E548F5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Issuing Euro Bond helped in robust subscription for green infra projects.</w:t>
            </w:r>
          </w:p>
        </w:tc>
      </w:tr>
      <w:tr w:rsidR="004B70BE" w:rsidRPr="00C9300D" w:rsidTr="00253565">
        <w:tc>
          <w:tcPr>
            <w:tcW w:w="3005" w:type="dxa"/>
          </w:tcPr>
          <w:p w:rsidR="004B70BE" w:rsidRPr="00C9300D" w:rsidRDefault="00304AA7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YES Bank issued the first INR-denominated green bond</w:t>
            </w:r>
          </w:p>
        </w:tc>
        <w:tc>
          <w:tcPr>
            <w:tcW w:w="2519" w:type="dxa"/>
          </w:tcPr>
          <w:p w:rsidR="004B70BE" w:rsidRPr="00C9300D" w:rsidRDefault="00412C89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Yes bank(2015)</w:t>
            </w:r>
          </w:p>
        </w:tc>
        <w:tc>
          <w:tcPr>
            <w:tcW w:w="3492" w:type="dxa"/>
          </w:tcPr>
          <w:p w:rsidR="004B70BE" w:rsidRPr="00C9300D" w:rsidRDefault="00412C89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First ever green bonds in the emerging economies.</w:t>
            </w:r>
          </w:p>
        </w:tc>
      </w:tr>
      <w:tr w:rsidR="004B70BE" w:rsidRPr="00C9300D" w:rsidTr="00253565">
        <w:tc>
          <w:tcPr>
            <w:tcW w:w="3005" w:type="dxa"/>
          </w:tcPr>
          <w:p w:rsidR="004B70BE" w:rsidRPr="00C9300D" w:rsidRDefault="00412C89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Launch of Nifty ESG Index</w:t>
            </w:r>
          </w:p>
        </w:tc>
        <w:tc>
          <w:tcPr>
            <w:tcW w:w="2519" w:type="dxa"/>
          </w:tcPr>
          <w:p w:rsidR="004B70BE" w:rsidRPr="00C9300D" w:rsidRDefault="00412C89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National Stock Exchange (2018)</w:t>
            </w:r>
          </w:p>
        </w:tc>
        <w:tc>
          <w:tcPr>
            <w:tcW w:w="3492" w:type="dxa"/>
          </w:tcPr>
          <w:p w:rsidR="004B70BE" w:rsidRPr="00C9300D" w:rsidRDefault="00412C89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Provides investors a portfolio of stocks with ESG scores amongst Nifty 100 stocks.</w:t>
            </w:r>
          </w:p>
        </w:tc>
      </w:tr>
      <w:tr w:rsidR="004B70BE" w:rsidRPr="00C9300D" w:rsidTr="00253565">
        <w:tc>
          <w:tcPr>
            <w:tcW w:w="3005" w:type="dxa"/>
          </w:tcPr>
          <w:p w:rsidR="004B70BE" w:rsidRPr="00C9300D" w:rsidRDefault="00AD4867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Push for green Data Centres</w:t>
            </w:r>
          </w:p>
        </w:tc>
        <w:tc>
          <w:tcPr>
            <w:tcW w:w="2519" w:type="dxa"/>
          </w:tcPr>
          <w:p w:rsidR="004B70BE" w:rsidRPr="00C9300D" w:rsidRDefault="00C211E3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RBI (2022)</w:t>
            </w:r>
          </w:p>
        </w:tc>
        <w:tc>
          <w:tcPr>
            <w:tcW w:w="3492" w:type="dxa"/>
          </w:tcPr>
          <w:p w:rsidR="004B70BE" w:rsidRPr="00C9300D" w:rsidRDefault="00C211E3" w:rsidP="008065B2">
            <w:pPr>
              <w:pStyle w:val="NormalWeb"/>
              <w:jc w:val="both"/>
              <w:rPr>
                <w:sz w:val="22"/>
                <w:szCs w:val="22"/>
              </w:rPr>
            </w:pPr>
            <w:r w:rsidRPr="00C9300D">
              <w:rPr>
                <w:sz w:val="22"/>
                <w:szCs w:val="22"/>
              </w:rPr>
              <w:t>Will reduce carbon emissions.</w:t>
            </w:r>
          </w:p>
        </w:tc>
      </w:tr>
    </w:tbl>
    <w:p w:rsidR="00EB12DA" w:rsidRPr="00C9300D" w:rsidRDefault="001400CE" w:rsidP="00C211E3">
      <w:pPr>
        <w:jc w:val="both"/>
        <w:rPr>
          <w:rFonts w:ascii="Times New Roman" w:hAnsi="Times New Roman" w:cs="Times New Roman"/>
          <w:sz w:val="22"/>
          <w:szCs w:val="22"/>
        </w:rPr>
      </w:pPr>
      <w:r w:rsidRPr="00C9300D">
        <w:rPr>
          <w:rFonts w:ascii="Times New Roman" w:hAnsi="Times New Roman" w:cs="Times New Roman"/>
          <w:sz w:val="22"/>
          <w:szCs w:val="22"/>
        </w:rPr>
        <w:t>Source : RBI,SEBI, MoF.</w:t>
      </w:r>
    </w:p>
    <w:p w:rsidR="002C6F36" w:rsidRPr="00C9300D" w:rsidRDefault="002C6F36" w:rsidP="008065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C6F36" w:rsidRPr="00C9300D" w:rsidRDefault="002500B3" w:rsidP="008065B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>6</w:t>
      </w:r>
      <w:r w:rsidR="001316AE"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. </w:t>
      </w:r>
      <w:r w:rsidR="002C6F36"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Different types </w:t>
      </w:r>
      <w:r w:rsidR="00B01AFB"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>sustainable financial products.</w:t>
      </w:r>
    </w:p>
    <w:p w:rsidR="00B01AFB" w:rsidRPr="00C9300D" w:rsidRDefault="00B01AFB" w:rsidP="008065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B01AFB" w:rsidRPr="00C9300D" w:rsidRDefault="00D625BE" w:rsidP="00912EA1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>Sustainable Debt Instruments: Green Bonds</w:t>
      </w:r>
      <w:r w:rsidR="00912EA1"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&amp;</w:t>
      </w:r>
      <w:r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sovereign green bonds</w:t>
      </w:r>
    </w:p>
    <w:p w:rsidR="00390724" w:rsidRPr="00C9300D" w:rsidRDefault="00390724" w:rsidP="00390724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The capital raised from issuing green bonds </w:t>
      </w:r>
      <w:r w:rsidR="003209FB" w:rsidRPr="00C9300D">
        <w:rPr>
          <w:rFonts w:ascii="Times New Roman" w:hAnsi="Times New Roman" w:cs="Times New Roman"/>
          <w:sz w:val="22"/>
          <w:szCs w:val="22"/>
          <w:lang w:val="en-US"/>
        </w:rPr>
        <w:t>will be used for investing in green and sustainable capital projects.</w:t>
      </w:r>
      <w:r w:rsidR="00820A69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The investors get </w:t>
      </w:r>
      <w:r w:rsidR="00FF164A" w:rsidRPr="00C9300D">
        <w:rPr>
          <w:rFonts w:ascii="Times New Roman" w:hAnsi="Times New Roman" w:cs="Times New Roman"/>
          <w:sz w:val="22"/>
          <w:szCs w:val="22"/>
          <w:lang w:val="en-US"/>
        </w:rPr>
        <w:t>fixed income in the form of Interests.</w:t>
      </w:r>
    </w:p>
    <w:p w:rsidR="00FF164A" w:rsidRPr="00C9300D" w:rsidRDefault="00AA73D7" w:rsidP="00390724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>These are very similar to any other conve</w:t>
      </w:r>
      <w:r w:rsidR="005C3E49" w:rsidRPr="00C9300D"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C9300D">
        <w:rPr>
          <w:rFonts w:ascii="Times New Roman" w:hAnsi="Times New Roman" w:cs="Times New Roman"/>
          <w:sz w:val="22"/>
          <w:szCs w:val="22"/>
          <w:lang w:val="en-US"/>
        </w:rPr>
        <w:t>tional bonds barring one difference that the proceeds must be used in green projects.</w:t>
      </w:r>
      <w:r w:rsidR="00147B26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However, to issue green bonds the issuer needs to conform to the following criterion, as per </w:t>
      </w:r>
      <w:hyperlink r:id="rId8" w:tgtFrame="_blank" w:history="1">
        <w:r w:rsidR="00147B26" w:rsidRPr="00C9300D">
          <w:rPr>
            <w:rFonts w:ascii="Times New Roman" w:hAnsi="Times New Roman" w:cs="Times New Roman"/>
            <w:sz w:val="22"/>
            <w:szCs w:val="22"/>
            <w:lang w:val="en-US"/>
          </w:rPr>
          <w:t>ICMA</w:t>
        </w:r>
      </w:hyperlink>
      <w:r w:rsidR="00147B26" w:rsidRPr="00C9300D">
        <w:rPr>
          <w:rFonts w:ascii="Times New Roman" w:hAnsi="Times New Roman" w:cs="Times New Roman"/>
          <w:sz w:val="22"/>
          <w:szCs w:val="22"/>
          <w:lang w:val="en-US"/>
        </w:rPr>
        <w:t> (International Capital Market Association).</w:t>
      </w:r>
    </w:p>
    <w:p w:rsidR="00147B26" w:rsidRPr="00C9300D" w:rsidRDefault="00147B26" w:rsidP="00147B2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>The entire proceeds must be used to fund green projects.</w:t>
      </w:r>
    </w:p>
    <w:p w:rsidR="0066418E" w:rsidRPr="00C9300D" w:rsidRDefault="0066418E" w:rsidP="0066418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>The process adopted for project evaluation and selection should be disclosed by the issuer.</w:t>
      </w:r>
    </w:p>
    <w:p w:rsidR="00220D52" w:rsidRPr="00C9300D" w:rsidRDefault="00220D52" w:rsidP="0066418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>There has to be transparency in the management of proceeds.</w:t>
      </w:r>
    </w:p>
    <w:p w:rsidR="00220D52" w:rsidRPr="00C9300D" w:rsidRDefault="00220D52" w:rsidP="0066418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>Issuer must report the progress and the impact about the proceeds of green bonds.</w:t>
      </w:r>
    </w:p>
    <w:p w:rsidR="00912EA1" w:rsidRPr="00C9300D" w:rsidRDefault="00912EA1" w:rsidP="00912EA1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81634C" w:rsidRPr="00C9300D" w:rsidRDefault="00912EA1" w:rsidP="0081634C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>Advantages of green bonds</w:t>
      </w:r>
      <w:r w:rsidR="001400CE"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>:</w:t>
      </w:r>
    </w:p>
    <w:p w:rsidR="0081634C" w:rsidRPr="00C9300D" w:rsidRDefault="0081634C" w:rsidP="0081634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>Successful issuance of green bonds will help create sustainable capital stock which will have less social cost</w:t>
      </w:r>
      <w:r w:rsidR="00C57DE2" w:rsidRPr="00C9300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1</w:t>
      </w:r>
      <w:r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compared to other </w:t>
      </w:r>
      <w:r w:rsidR="004E16C5" w:rsidRPr="00C9300D">
        <w:rPr>
          <w:rFonts w:ascii="Times New Roman" w:hAnsi="Times New Roman" w:cs="Times New Roman"/>
          <w:sz w:val="22"/>
          <w:szCs w:val="22"/>
          <w:lang w:val="en-US"/>
        </w:rPr>
        <w:t>capital investments.</w:t>
      </w:r>
    </w:p>
    <w:p w:rsidR="004E16C5" w:rsidRPr="00C9300D" w:rsidRDefault="00C020E0" w:rsidP="0081634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Building green infrastructure will help society to protect environment without compromising </w:t>
      </w:r>
      <w:r w:rsidR="00463A33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growth &amp; development. </w:t>
      </w:r>
    </w:p>
    <w:p w:rsidR="00463A33" w:rsidRPr="00C9300D" w:rsidRDefault="00463A33" w:rsidP="0081634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It is expected that </w:t>
      </w:r>
      <w:r w:rsidR="004B7EDF" w:rsidRPr="00C9300D">
        <w:rPr>
          <w:rFonts w:ascii="Times New Roman" w:hAnsi="Times New Roman" w:cs="Times New Roman"/>
          <w:sz w:val="22"/>
          <w:szCs w:val="22"/>
          <w:lang w:val="en-US"/>
        </w:rPr>
        <w:t>government in near future may announce tax benefits for investing in green bonds, thus positively impacting effective returns for the investors.</w:t>
      </w:r>
    </w:p>
    <w:p w:rsidR="008935F4" w:rsidRPr="00C9300D" w:rsidRDefault="008935F4" w:rsidP="0081634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>RBI’s inclusion of renewable energy sector as a priority lending sector will ensure better credit flow and mobilization of resources.</w:t>
      </w:r>
    </w:p>
    <w:p w:rsidR="00AA0E11" w:rsidRPr="00C9300D" w:rsidRDefault="00AA0E11" w:rsidP="0081634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Researcher claims that corporate green bonds help attract an investor clientele that values the long term and the environment. (Flammer, </w:t>
      </w:r>
      <w:r w:rsidRPr="00C9300D">
        <w:rPr>
          <w:rFonts w:ascii="Times New Roman" w:hAnsi="Times New Roman" w:cs="Times New Roman"/>
          <w:color w:val="000000" w:themeColor="text1"/>
          <w:sz w:val="22"/>
          <w:szCs w:val="22"/>
        </w:rPr>
        <w:t>Cheng et al., 2014; El Ghoul et al., 2011)</w:t>
      </w:r>
    </w:p>
    <w:p w:rsidR="008935F4" w:rsidRPr="00C9300D" w:rsidRDefault="008935F4" w:rsidP="008935F4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>It is a giant step towards attainment of SDGs.</w:t>
      </w:r>
    </w:p>
    <w:p w:rsidR="008935F4" w:rsidRPr="00C9300D" w:rsidRDefault="00C942A6" w:rsidP="0081634C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>It is particularly usef</w:t>
      </w:r>
      <w:r w:rsidR="009902C7" w:rsidRPr="00C9300D">
        <w:rPr>
          <w:rFonts w:ascii="Times New Roman" w:hAnsi="Times New Roman" w:cs="Times New Roman"/>
          <w:sz w:val="22"/>
          <w:szCs w:val="22"/>
          <w:lang w:val="en-US"/>
        </w:rPr>
        <w:t>ul for the investors who are looking at creating a green funds, consisting of equity &amp; debt.</w:t>
      </w:r>
    </w:p>
    <w:p w:rsidR="00EE66BC" w:rsidRPr="00C9300D" w:rsidRDefault="00EE66BC" w:rsidP="00EE66BC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EE66BC" w:rsidRPr="00C9300D" w:rsidRDefault="00EE66BC" w:rsidP="00EE66BC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>Disadvantages of green bonds:</w:t>
      </w:r>
    </w:p>
    <w:p w:rsidR="00EE66BC" w:rsidRPr="00C9300D" w:rsidRDefault="00A74DF5" w:rsidP="00EE66B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For issuing green bonds the project selection and </w:t>
      </w:r>
      <w:r w:rsidR="00343F8C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evaluation has to be done, which is time dependent and hence may </w:t>
      </w:r>
      <w:r w:rsidR="00521D96" w:rsidRPr="00C9300D">
        <w:rPr>
          <w:rFonts w:ascii="Times New Roman" w:hAnsi="Times New Roman" w:cs="Times New Roman"/>
          <w:sz w:val="22"/>
          <w:szCs w:val="22"/>
          <w:lang w:val="en-US"/>
        </w:rPr>
        <w:t>cause delays.</w:t>
      </w:r>
    </w:p>
    <w:p w:rsidR="00521D96" w:rsidRPr="00C9300D" w:rsidRDefault="004F06D0" w:rsidP="00EE66B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lastRenderedPageBreak/>
        <w:t>The inclusion of business responsibility report in the annual reports of all listed companies by force (SEBI’s mandate) and not by choice may give rise to green washing.</w:t>
      </w:r>
    </w:p>
    <w:p w:rsidR="00C57DE2" w:rsidRPr="005C0615" w:rsidRDefault="004F06D0" w:rsidP="00EE66BC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Investors with the intension to generate </w:t>
      </w:r>
      <w:r w:rsidRPr="00AF7704">
        <w:rPr>
          <w:rFonts w:ascii="Times New Roman" w:hAnsi="Times New Roman" w:cs="Times New Roman"/>
          <w:sz w:val="22"/>
          <w:szCs w:val="22"/>
          <w:vertAlign w:val="subscript"/>
          <w:lang w:val="en-US"/>
        </w:rPr>
        <w:t>profit</w:t>
      </w:r>
      <w:r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may be looking at the investment profile only. Thus</w:t>
      </w:r>
      <w:r w:rsidR="00B074F9" w:rsidRPr="00C9300D">
        <w:rPr>
          <w:rFonts w:ascii="Times New Roman" w:hAnsi="Times New Roman" w:cs="Times New Roman"/>
          <w:sz w:val="22"/>
          <w:szCs w:val="22"/>
          <w:lang w:val="en-US"/>
        </w:rPr>
        <w:t>,</w:t>
      </w:r>
      <w:r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if the green bonds do not give additional impetus like tax benefits on gains or better coupon rates compared to conventional bonds then it won’t be attractive</w:t>
      </w:r>
      <w:r w:rsidR="005C0615">
        <w:rPr>
          <w:rFonts w:ascii="Times New Roman" w:hAnsi="Times New Roman" w:cs="Times New Roman"/>
          <w:sz w:val="22"/>
          <w:szCs w:val="22"/>
          <w:lang w:val="en-US"/>
        </w:rPr>
        <w:t>.</w:t>
      </w:r>
    </w:p>
    <w:p w:rsidR="009536F7" w:rsidRPr="00C9300D" w:rsidRDefault="009536F7" w:rsidP="009536F7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>Green Equity:</w:t>
      </w:r>
    </w:p>
    <w:p w:rsidR="00D625BE" w:rsidRPr="00C9300D" w:rsidRDefault="00D625BE" w:rsidP="0005356A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C57DE2" w:rsidRPr="00C9300D" w:rsidRDefault="009536F7" w:rsidP="009536F7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>Green equity is, by definition, the stock of a company that strives to preserve the environment. Purchasing these companies' stocks is referred to as investing in green equity. In India such stocks are</w:t>
      </w:r>
      <w:r w:rsidR="002E79CB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:rsidR="009536F7" w:rsidRPr="00C9300D" w:rsidRDefault="009536F7" w:rsidP="009536F7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>rare. However</w:t>
      </w:r>
      <w:r w:rsidR="00FA2D5A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r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both the leading equity exchanges of India BSE &amp; NSE have designed green equity Index. These Indices includes </w:t>
      </w:r>
      <w:r w:rsidR="00FA2D5A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stocks of the firms that have a ESG </w:t>
      </w:r>
      <w:r w:rsidR="002C1EE4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(Environment, social and governance) </w:t>
      </w:r>
      <w:r w:rsidR="00FA2D5A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score.  </w:t>
      </w:r>
    </w:p>
    <w:p w:rsidR="002C1EE4" w:rsidRPr="00C9300D" w:rsidRDefault="002C1EE4" w:rsidP="009536F7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A2D5A" w:rsidRPr="00C9300D" w:rsidRDefault="00FA2D5A" w:rsidP="009536F7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Table: ESG </w:t>
      </w:r>
      <w:r w:rsidR="00AB2096" w:rsidRPr="00C9300D">
        <w:rPr>
          <w:rFonts w:ascii="Times New Roman" w:hAnsi="Times New Roman" w:cs="Times New Roman"/>
          <w:sz w:val="22"/>
          <w:szCs w:val="22"/>
          <w:lang w:val="en-US"/>
        </w:rPr>
        <w:t>Indices: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35199" w:rsidRPr="00C9300D" w:rsidTr="00B35199">
        <w:tc>
          <w:tcPr>
            <w:tcW w:w="4508" w:type="dxa"/>
          </w:tcPr>
          <w:p w:rsidR="00B35199" w:rsidRPr="00C9300D" w:rsidRDefault="00B35199" w:rsidP="009536F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93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Name of the Index</w:t>
            </w:r>
          </w:p>
        </w:tc>
        <w:tc>
          <w:tcPr>
            <w:tcW w:w="4508" w:type="dxa"/>
          </w:tcPr>
          <w:p w:rsidR="00B35199" w:rsidRPr="00C9300D" w:rsidRDefault="007D200B" w:rsidP="009536F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93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Highlights:</w:t>
            </w:r>
          </w:p>
        </w:tc>
      </w:tr>
      <w:tr w:rsidR="00B35199" w:rsidRPr="00C9300D" w:rsidTr="00B35199">
        <w:tc>
          <w:tcPr>
            <w:tcW w:w="4508" w:type="dxa"/>
          </w:tcPr>
          <w:p w:rsidR="007D200B" w:rsidRPr="00C9300D" w:rsidRDefault="007D200B" w:rsidP="007D200B">
            <w:pPr>
              <w:shd w:val="clear" w:color="auto" w:fill="FFFFFF"/>
              <w:spacing w:before="100" w:beforeAutospacing="1" w:after="75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93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Nifty 100 ESG, Nifty 100 Enhanced ESG,</w:t>
            </w:r>
            <w:r w:rsidRPr="00C9300D">
              <w:rPr>
                <w:rFonts w:ascii="Times New Roman" w:hAnsi="Times New Roman" w:cs="Times New Roman"/>
                <w:color w:val="03050A"/>
                <w:sz w:val="22"/>
                <w:szCs w:val="22"/>
              </w:rPr>
              <w:t xml:space="preserve"> </w:t>
            </w:r>
            <w:hyperlink r:id="rId9" w:tgtFrame="_blank" w:history="1">
              <w:r w:rsidRPr="00C9300D">
                <w:rPr>
                  <w:rStyle w:val="Hyperlink"/>
                  <w:rFonts w:ascii="Times New Roman" w:hAnsi="Times New Roman" w:cs="Times New Roman"/>
                  <w:color w:val="000000" w:themeColor="text1"/>
                  <w:sz w:val="22"/>
                  <w:szCs w:val="22"/>
                  <w:u w:val="none"/>
                </w:rPr>
                <w:t>NIFTY100 ESG Sector Leaders Index</w:t>
              </w:r>
            </w:hyperlink>
          </w:p>
          <w:p w:rsidR="00B35199" w:rsidRPr="00C9300D" w:rsidRDefault="00B35199" w:rsidP="009536F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508" w:type="dxa"/>
          </w:tcPr>
          <w:p w:rsidR="007D200B" w:rsidRPr="00C9300D" w:rsidRDefault="007D200B" w:rsidP="007D200B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color w:val="1A1A1A"/>
                <w:sz w:val="22"/>
                <w:szCs w:val="22"/>
              </w:rPr>
            </w:pPr>
            <w:r w:rsidRPr="00C9300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Stocks from Nifty 100 are considered.</w:t>
            </w:r>
          </w:p>
          <w:p w:rsidR="007D200B" w:rsidRPr="00C9300D" w:rsidRDefault="007D200B" w:rsidP="00272031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color w:val="1A1A1A"/>
                <w:sz w:val="22"/>
                <w:szCs w:val="22"/>
              </w:rPr>
            </w:pPr>
            <w:r w:rsidRPr="00C9300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Companies with good ESG Scores are selected.</w:t>
            </w:r>
          </w:p>
          <w:p w:rsidR="007D200B" w:rsidRPr="00C9300D" w:rsidRDefault="007D200B" w:rsidP="00272031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color w:val="1A1A1A"/>
                <w:sz w:val="22"/>
                <w:szCs w:val="22"/>
              </w:rPr>
            </w:pPr>
            <w:r w:rsidRPr="00C9300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Companies </w:t>
            </w:r>
            <w:r w:rsidR="00CB226F" w:rsidRPr="00C9300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in the</w:t>
            </w:r>
            <w:r w:rsidRPr="00C9300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 severe </w:t>
            </w:r>
            <w:r w:rsidR="00CB226F" w:rsidRPr="00C9300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risk </w:t>
            </w:r>
            <w:r w:rsidRPr="00C9300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category  will be excluded.</w:t>
            </w:r>
          </w:p>
          <w:p w:rsidR="00B27BF4" w:rsidRPr="00C9300D" w:rsidRDefault="007D200B" w:rsidP="00C73D37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color w:val="1A1A1A"/>
                <w:sz w:val="22"/>
                <w:szCs w:val="22"/>
              </w:rPr>
            </w:pPr>
            <w:r w:rsidRPr="00C9300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Companies with a controversy </w:t>
            </w:r>
            <w:r w:rsidR="00CB226F" w:rsidRPr="00C9300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score</w:t>
            </w:r>
            <w:r w:rsidRPr="00C9300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 of 4 and 5 </w:t>
            </w:r>
            <w:r w:rsidR="00B27BF4" w:rsidRPr="00C9300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on 5 point scales are not included.</w:t>
            </w:r>
          </w:p>
          <w:p w:rsidR="00B35199" w:rsidRPr="00C9300D" w:rsidRDefault="00B27BF4" w:rsidP="00B27BF4">
            <w:pPr>
              <w:numPr>
                <w:ilvl w:val="0"/>
                <w:numId w:val="14"/>
              </w:num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9300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Sin stocks aren’t included. That is c</w:t>
            </w:r>
            <w:r w:rsidR="007D200B" w:rsidRPr="00C9300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ompanies engaged in the business of tobacco, alcohol, controversial weapons and gambling operations</w:t>
            </w:r>
            <w:r w:rsidRPr="00C9300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.</w:t>
            </w:r>
          </w:p>
        </w:tc>
      </w:tr>
      <w:tr w:rsidR="00B35199" w:rsidRPr="00C9300D" w:rsidTr="00B35199">
        <w:tc>
          <w:tcPr>
            <w:tcW w:w="4508" w:type="dxa"/>
          </w:tcPr>
          <w:p w:rsidR="00B35199" w:rsidRPr="00C9300D" w:rsidRDefault="00483C09" w:rsidP="009536F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9300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S&amp;P BSE 100 ESG Index, S&amp;P BSE CARBONEX, S&amp; P BSE GREENEX </w:t>
            </w:r>
          </w:p>
        </w:tc>
        <w:tc>
          <w:tcPr>
            <w:tcW w:w="4508" w:type="dxa"/>
          </w:tcPr>
          <w:p w:rsidR="00B35199" w:rsidRDefault="00327D87" w:rsidP="00327D8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Limited </w:t>
            </w:r>
            <w:r w:rsidRPr="00327D8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Carbon Emission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of the companies listed are considered.</w:t>
            </w:r>
          </w:p>
          <w:p w:rsidR="00327D87" w:rsidRPr="00327D87" w:rsidRDefault="00327D87" w:rsidP="00327D87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Mandatory disclosures on energy usages are being assessed</w:t>
            </w:r>
          </w:p>
          <w:p w:rsidR="00327D87" w:rsidRPr="00C9300D" w:rsidRDefault="00327D87" w:rsidP="009536F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B35199" w:rsidRPr="00C9300D" w:rsidTr="00B35199">
        <w:tc>
          <w:tcPr>
            <w:tcW w:w="4508" w:type="dxa"/>
          </w:tcPr>
          <w:p w:rsidR="00B35199" w:rsidRPr="00C9300D" w:rsidRDefault="00B35199" w:rsidP="009536F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4508" w:type="dxa"/>
          </w:tcPr>
          <w:p w:rsidR="00B35199" w:rsidRPr="00C9300D" w:rsidRDefault="00B35199" w:rsidP="009536F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</w:tbl>
    <w:p w:rsidR="00B35199" w:rsidRPr="00C9300D" w:rsidRDefault="00B35199" w:rsidP="009536F7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>Source: NSE, BSE</w:t>
      </w:r>
    </w:p>
    <w:p w:rsidR="00FA2D5A" w:rsidRPr="00C9300D" w:rsidRDefault="00FA2D5A" w:rsidP="009536F7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9536F7" w:rsidRPr="00C9300D" w:rsidRDefault="009536F7" w:rsidP="009536F7">
      <w:pPr>
        <w:pStyle w:val="ListParagraph"/>
        <w:numPr>
          <w:ilvl w:val="1"/>
          <w:numId w:val="9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Advantages of </w:t>
      </w:r>
      <w:r w:rsidR="00F67C12"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>inve</w:t>
      </w:r>
      <w:r w:rsidR="00EE08E7"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>s</w:t>
      </w:r>
      <w:r w:rsidR="00F67C12"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ting in </w:t>
      </w:r>
      <w:r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>green equities:</w:t>
      </w:r>
    </w:p>
    <w:p w:rsidR="002C1EE4" w:rsidRPr="00C9300D" w:rsidRDefault="002C1EE4" w:rsidP="002C1EE4">
      <w:pPr>
        <w:pStyle w:val="NormalWeb"/>
        <w:numPr>
          <w:ilvl w:val="0"/>
          <w:numId w:val="15"/>
        </w:numPr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</w:pPr>
      <w:r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>ESG index stock</w:t>
      </w:r>
      <w:r w:rsidR="00AA0E11"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>s</w:t>
      </w:r>
      <w:r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="00AA0E11"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>have</w:t>
      </w:r>
      <w:r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 xml:space="preserve"> better ESG (Environment, Social and Governance)</w:t>
      </w:r>
      <w:r w:rsidR="00AA0E11"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 xml:space="preserve">scores </w:t>
      </w:r>
      <w:r w:rsidR="00AA0E11"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>and hence investing in them will be safer compared to other equity investments.</w:t>
      </w:r>
    </w:p>
    <w:p w:rsidR="008944C5" w:rsidRPr="00C9300D" w:rsidRDefault="008944C5" w:rsidP="00A35909">
      <w:pPr>
        <w:pStyle w:val="NormalWeb"/>
        <w:numPr>
          <w:ilvl w:val="0"/>
          <w:numId w:val="15"/>
        </w:numPr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</w:pPr>
      <w:r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>There is a proof from the literature that there is a preference for green investable instruments</w:t>
      </w:r>
      <w:r w:rsidR="009F1A86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 xml:space="preserve"> and it increases investor confidence.</w:t>
      </w:r>
      <w:r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 xml:space="preserve"> (</w:t>
      </w:r>
      <w:r w:rsidRPr="00C9300D">
        <w:rPr>
          <w:color w:val="000000" w:themeColor="text1"/>
          <w:sz w:val="22"/>
          <w:szCs w:val="22"/>
        </w:rPr>
        <w:t>Ilhan et al., 2020; Krueger et al., 2020; Starks et al., 2018).</w:t>
      </w:r>
    </w:p>
    <w:p w:rsidR="008944C5" w:rsidRPr="00C9300D" w:rsidRDefault="008944C5" w:rsidP="00A35909">
      <w:pPr>
        <w:pStyle w:val="NormalWeb"/>
        <w:numPr>
          <w:ilvl w:val="0"/>
          <w:numId w:val="15"/>
        </w:numPr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</w:pPr>
      <w:r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 xml:space="preserve">ESG </w:t>
      </w:r>
      <w:r w:rsidR="00C00231"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 xml:space="preserve">Index </w:t>
      </w:r>
      <w:r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 xml:space="preserve">stocks are </w:t>
      </w:r>
      <w:r w:rsidR="00C00231"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 xml:space="preserve">taken from Nifty 100 </w:t>
      </w:r>
      <w:r w:rsidR="00302974"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>&amp; S&amp;P BSE ESG</w:t>
      </w:r>
      <w:r w:rsidR="00C00231"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 xml:space="preserve"> Index, hence liquidity isn’t a concern for investors.</w:t>
      </w:r>
    </w:p>
    <w:p w:rsidR="00F67C12" w:rsidRPr="00C9300D" w:rsidRDefault="00F67C12" w:rsidP="00A35909">
      <w:pPr>
        <w:pStyle w:val="NormalWeb"/>
        <w:numPr>
          <w:ilvl w:val="0"/>
          <w:numId w:val="15"/>
        </w:numPr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</w:pPr>
      <w:r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>Investments in these stocks will lead to better price efficiency due to timely dissemination of information and thus the firms will continue to increase their ESG scores.</w:t>
      </w:r>
    </w:p>
    <w:p w:rsidR="00F67C12" w:rsidRPr="00C9300D" w:rsidRDefault="00F67C12" w:rsidP="00F67C12">
      <w:pPr>
        <w:pStyle w:val="NormalWeb"/>
        <w:numPr>
          <w:ilvl w:val="1"/>
          <w:numId w:val="9"/>
        </w:numPr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</w:pPr>
      <w:r w:rsidRPr="00C9300D">
        <w:rPr>
          <w:b/>
          <w:bCs/>
          <w:sz w:val="22"/>
          <w:szCs w:val="22"/>
          <w:lang w:val="en-US"/>
        </w:rPr>
        <w:t>Disadvantages of investing in green equities:</w:t>
      </w:r>
    </w:p>
    <w:p w:rsidR="00D53B33" w:rsidRPr="00C9300D" w:rsidRDefault="008B529D" w:rsidP="00D53B33">
      <w:pPr>
        <w:pStyle w:val="NormalWeb"/>
        <w:numPr>
          <w:ilvl w:val="0"/>
          <w:numId w:val="16"/>
        </w:numPr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</w:pPr>
      <w:r w:rsidRPr="00C9300D">
        <w:rPr>
          <w:sz w:val="22"/>
          <w:szCs w:val="22"/>
          <w:lang w:val="en-US"/>
        </w:rPr>
        <w:t>Sustainable green equity funds have a restriction of investing in ESG Index funds only, thus many other return opportunities may be lost.</w:t>
      </w:r>
    </w:p>
    <w:p w:rsidR="008B529D" w:rsidRPr="00C9300D" w:rsidRDefault="00FC6A0A" w:rsidP="00D53B33">
      <w:pPr>
        <w:pStyle w:val="NormalWeb"/>
        <w:numPr>
          <w:ilvl w:val="0"/>
          <w:numId w:val="16"/>
        </w:numPr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</w:pPr>
      <w:r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>In India there aren’t any company raising equity capital for green business only. Thus</w:t>
      </w:r>
      <w:r w:rsidR="00DA7855"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>,</w:t>
      </w:r>
      <w:r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 xml:space="preserve"> pureplay sustainable equity investments is extremely limited.</w:t>
      </w:r>
    </w:p>
    <w:p w:rsidR="00220D52" w:rsidRPr="00C9300D" w:rsidRDefault="007E2D15" w:rsidP="002E79CB">
      <w:pPr>
        <w:pStyle w:val="NormalWeb"/>
        <w:numPr>
          <w:ilvl w:val="0"/>
          <w:numId w:val="16"/>
        </w:numPr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</w:pPr>
      <w:r w:rsidRPr="00C9300D">
        <w:rPr>
          <w:rFonts w:eastAsiaTheme="minorHAnsi"/>
          <w:kern w:val="2"/>
          <w:sz w:val="22"/>
          <w:szCs w:val="22"/>
          <w:lang w:val="en-US" w:eastAsia="en-US"/>
          <w14:ligatures w14:val="standardContextual"/>
        </w:rPr>
        <w:t>There aren’t much tax benefits given to the investors at this level.</w:t>
      </w:r>
    </w:p>
    <w:p w:rsidR="00095883" w:rsidRPr="00C9300D" w:rsidRDefault="00095883" w:rsidP="008065B2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095883" w:rsidRDefault="00095883" w:rsidP="008065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5091C" w:rsidRDefault="00F5091C" w:rsidP="008065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5091C" w:rsidRPr="00C9300D" w:rsidRDefault="00F5091C" w:rsidP="008065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BC6795" w:rsidRPr="00C9300D" w:rsidRDefault="00BC6795" w:rsidP="00616C7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>India’s roadblocks to</w:t>
      </w:r>
      <w:r w:rsidR="002E79CB"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sustainable investing</w:t>
      </w:r>
      <w:r w:rsidRPr="00C9300D">
        <w:rPr>
          <w:rFonts w:ascii="Times New Roman" w:hAnsi="Times New Roman" w:cs="Times New Roman"/>
          <w:b/>
          <w:bCs/>
          <w:sz w:val="22"/>
          <w:szCs w:val="22"/>
          <w:lang w:val="en-US"/>
        </w:rPr>
        <w:t>:</w:t>
      </w:r>
    </w:p>
    <w:p w:rsidR="00BC6795" w:rsidRPr="00C9300D" w:rsidRDefault="006338B2" w:rsidP="00BC6795">
      <w:pPr>
        <w:pStyle w:val="ListParagraph"/>
        <w:ind w:left="360"/>
        <w:jc w:val="both"/>
        <w:rPr>
          <w:rFonts w:ascii="Times New Roman" w:hAnsi="Times New Roman" w:cs="Times New Roman"/>
          <w:color w:val="FFFFFF" w:themeColor="background1"/>
          <w:sz w:val="22"/>
          <w:szCs w:val="22"/>
          <w:lang w:val="en-US"/>
        </w:rPr>
      </w:pPr>
      <w:r w:rsidRPr="00C9300D">
        <w:rPr>
          <w:rStyle w:val="EndnoteReference"/>
          <w:rFonts w:ascii="Times New Roman" w:hAnsi="Times New Roman" w:cs="Times New Roman"/>
          <w:color w:val="FFFFFF" w:themeColor="background1"/>
          <w:sz w:val="22"/>
          <w:szCs w:val="22"/>
          <w:lang w:val="en-US"/>
        </w:rPr>
        <w:endnoteReference w:id="1"/>
      </w:r>
    </w:p>
    <w:p w:rsidR="0027155E" w:rsidRDefault="00095883" w:rsidP="008065B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>Challenges to integrate environmental goal with economical goals.</w:t>
      </w:r>
      <w:r w:rsidR="00921A7F"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India being a vast country and having a </w:t>
      </w:r>
      <w:r w:rsidR="00C15187" w:rsidRPr="00C9300D">
        <w:rPr>
          <w:rFonts w:ascii="Times New Roman" w:hAnsi="Times New Roman" w:cs="Times New Roman"/>
          <w:sz w:val="22"/>
          <w:szCs w:val="22"/>
          <w:lang w:val="en-US"/>
        </w:rPr>
        <w:t>diverse socio-economic stratum</w:t>
      </w:r>
      <w:r w:rsidR="00921A7F" w:rsidRPr="00C9300D">
        <w:rPr>
          <w:rFonts w:ascii="Times New Roman" w:hAnsi="Times New Roman" w:cs="Times New Roman"/>
          <w:sz w:val="22"/>
          <w:szCs w:val="22"/>
          <w:lang w:val="en-US"/>
        </w:rPr>
        <w:t>, it is difficult to attain environmental goals along with economic goals.</w:t>
      </w:r>
    </w:p>
    <w:p w:rsidR="00735E16" w:rsidRPr="00C9300D" w:rsidRDefault="00735E16" w:rsidP="00735E16">
      <w:pPr>
        <w:pStyle w:val="ListParagraph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44405E" w:rsidRPr="00735E16" w:rsidRDefault="0027155E" w:rsidP="008918F0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735E16">
        <w:rPr>
          <w:rFonts w:ascii="Times New Roman" w:hAnsi="Times New Roman" w:cs="Times New Roman"/>
          <w:sz w:val="22"/>
          <w:szCs w:val="22"/>
          <w:lang w:val="en-US"/>
        </w:rPr>
        <w:t>Building green capital investments takes time, but it is possible to do so by leveraging stakeholder theory</w:t>
      </w:r>
      <w:r w:rsidR="00A21595" w:rsidRPr="00735E16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2</w:t>
      </w:r>
      <w:r w:rsidRPr="00735E16">
        <w:rPr>
          <w:rFonts w:ascii="Times New Roman" w:hAnsi="Times New Roman" w:cs="Times New Roman"/>
          <w:sz w:val="22"/>
          <w:szCs w:val="22"/>
          <w:lang w:val="en-US"/>
        </w:rPr>
        <w:t xml:space="preserve"> and connecting macro and local environmental goals.</w:t>
      </w:r>
      <w:r w:rsidR="008F2F7D" w:rsidRPr="00735E16">
        <w:rPr>
          <w:rFonts w:ascii="Times New Roman" w:hAnsi="Times New Roman" w:cs="Times New Roman"/>
          <w:sz w:val="22"/>
          <w:szCs w:val="22"/>
          <w:lang w:val="en-US"/>
        </w:rPr>
        <w:t xml:space="preserve"> However, it may take longer than expected. For </w:t>
      </w:r>
      <w:proofErr w:type="gramStart"/>
      <w:r w:rsidR="0044405E" w:rsidRPr="00735E16">
        <w:rPr>
          <w:rFonts w:ascii="Times New Roman" w:hAnsi="Times New Roman" w:cs="Times New Roman"/>
          <w:sz w:val="22"/>
          <w:szCs w:val="22"/>
          <w:lang w:val="en-US"/>
        </w:rPr>
        <w:t>e.g.</w:t>
      </w:r>
      <w:proofErr w:type="gramEnd"/>
      <w:r w:rsidR="008F2F7D" w:rsidRPr="00735E16">
        <w:rPr>
          <w:rFonts w:ascii="Times New Roman" w:hAnsi="Times New Roman" w:cs="Times New Roman"/>
          <w:sz w:val="22"/>
          <w:szCs w:val="22"/>
          <w:lang w:val="en-US"/>
        </w:rPr>
        <w:t xml:space="preserve"> Automobile sector to switch to electric vehicles completely depends on the all stakeholders involved in automobile business. From manufacturer to supplier, to financer to the service </w:t>
      </w:r>
      <w:r w:rsidR="0044405E" w:rsidRPr="00735E16">
        <w:rPr>
          <w:rFonts w:ascii="Times New Roman" w:hAnsi="Times New Roman" w:cs="Times New Roman"/>
          <w:sz w:val="22"/>
          <w:szCs w:val="22"/>
          <w:lang w:val="en-US"/>
        </w:rPr>
        <w:t>centers</w:t>
      </w:r>
      <w:r w:rsidR="008F2F7D" w:rsidRPr="00735E16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r w:rsidR="00735E16" w:rsidRPr="00735E16">
        <w:rPr>
          <w:rFonts w:ascii="Times New Roman" w:hAnsi="Times New Roman" w:cs="Times New Roman"/>
          <w:sz w:val="22"/>
          <w:szCs w:val="22"/>
          <w:lang w:val="en-US"/>
        </w:rPr>
        <w:t>Process can be made easie</w:t>
      </w:r>
      <w:r w:rsidR="00735E16">
        <w:rPr>
          <w:rFonts w:ascii="Times New Roman" w:hAnsi="Times New Roman" w:cs="Times New Roman"/>
          <w:sz w:val="22"/>
          <w:szCs w:val="22"/>
          <w:lang w:val="en-US"/>
        </w:rPr>
        <w:t>r by bringing all the stakeholder together</w:t>
      </w:r>
    </w:p>
    <w:p w:rsidR="00BA1880" w:rsidRPr="00C9300D" w:rsidRDefault="00446407" w:rsidP="008065B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>Impact investing</w:t>
      </w:r>
      <w:r w:rsidR="008922D4" w:rsidRPr="00C9300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3</w:t>
      </w:r>
      <w:r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is at a nascent stage in India and may need government’s financial incentives like tax benefits as an impetus.</w:t>
      </w:r>
    </w:p>
    <w:p w:rsidR="008922D4" w:rsidRDefault="006338B2" w:rsidP="008065B2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>Monitoring for green washing</w:t>
      </w:r>
      <w:r w:rsidRPr="00C9300D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4</w:t>
      </w:r>
      <w:r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 is a key challenge</w:t>
      </w:r>
      <w:r w:rsidR="00AF7704">
        <w:rPr>
          <w:rFonts w:ascii="Times New Roman" w:hAnsi="Times New Roman" w:cs="Times New Roman"/>
          <w:sz w:val="22"/>
          <w:szCs w:val="22"/>
          <w:lang w:val="en-US"/>
        </w:rPr>
        <w:t>, as it is expensive and complex process.</w:t>
      </w:r>
    </w:p>
    <w:p w:rsidR="006B1CE3" w:rsidRPr="00C9300D" w:rsidRDefault="006B1CE3" w:rsidP="006B1CE3">
      <w:pPr>
        <w:pStyle w:val="ListParagraph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9F1A86" w:rsidRPr="00C9300D" w:rsidRDefault="009F1A86" w:rsidP="009F1A86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7155E" w:rsidRPr="00C9300D" w:rsidRDefault="0027155E" w:rsidP="008065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7155E" w:rsidRPr="00C9300D" w:rsidRDefault="0027155E" w:rsidP="008065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9902C7" w:rsidRDefault="00102D04" w:rsidP="004F489C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4F489C">
        <w:rPr>
          <w:rFonts w:ascii="Times New Roman" w:hAnsi="Times New Roman" w:cs="Times New Roman"/>
          <w:b/>
          <w:bCs/>
          <w:sz w:val="22"/>
          <w:szCs w:val="22"/>
          <w:lang w:val="en-US"/>
        </w:rPr>
        <w:t>Conclusion:</w:t>
      </w:r>
    </w:p>
    <w:p w:rsidR="004F489C" w:rsidRPr="004F489C" w:rsidRDefault="004F489C" w:rsidP="004F489C">
      <w:pPr>
        <w:pStyle w:val="ListParagraph"/>
        <w:ind w:left="360"/>
        <w:jc w:val="both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:rsidR="00102D04" w:rsidRDefault="00C9300D" w:rsidP="008065B2">
      <w:pPr>
        <w:jc w:val="both"/>
        <w:rPr>
          <w:rFonts w:ascii="Times New Roman" w:hAnsi="Times New Roman" w:cs="Times New Roman"/>
          <w:sz w:val="22"/>
          <w:szCs w:val="22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Sustainable development and building sustainable ecosystem are the dire need of the hour. India has committed to the Paris Accord and has reaffirmed its commitment by submitting the </w:t>
      </w:r>
      <w:r w:rsidR="00E824FB">
        <w:rPr>
          <w:rFonts w:ascii="Times New Roman" w:hAnsi="Times New Roman" w:cs="Times New Roman"/>
          <w:sz w:val="22"/>
          <w:szCs w:val="22"/>
          <w:lang w:val="en-US"/>
        </w:rPr>
        <w:t xml:space="preserve">updated </w:t>
      </w:r>
      <w:r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Nationally Determined </w:t>
      </w:r>
      <w:r w:rsidR="00E824FB" w:rsidRPr="00C9300D">
        <w:rPr>
          <w:rFonts w:ascii="Times New Roman" w:hAnsi="Times New Roman" w:cs="Times New Roman"/>
          <w:sz w:val="22"/>
          <w:szCs w:val="22"/>
          <w:lang w:val="en-US"/>
        </w:rPr>
        <w:t>Contribution (</w:t>
      </w:r>
      <w:r w:rsidRPr="00C9300D">
        <w:rPr>
          <w:rFonts w:ascii="Times New Roman" w:hAnsi="Times New Roman" w:cs="Times New Roman"/>
          <w:sz w:val="22"/>
          <w:szCs w:val="22"/>
          <w:lang w:val="en-US"/>
        </w:rPr>
        <w:t xml:space="preserve">NDC) to </w:t>
      </w:r>
      <w:r w:rsidRPr="00C9300D">
        <w:rPr>
          <w:rFonts w:ascii="Times New Roman" w:hAnsi="Times New Roman" w:cs="Times New Roman"/>
          <w:sz w:val="22"/>
          <w:szCs w:val="22"/>
        </w:rPr>
        <w:t>United Nations Framework Convention on Climate Change (UNFCCC)</w:t>
      </w:r>
      <w:r w:rsidR="00E824FB">
        <w:rPr>
          <w:rFonts w:ascii="Times New Roman" w:hAnsi="Times New Roman" w:cs="Times New Roman"/>
          <w:sz w:val="22"/>
          <w:szCs w:val="22"/>
        </w:rPr>
        <w:t xml:space="preserve"> on Aug 2022.</w:t>
      </w:r>
      <w:r w:rsidR="006B1CE3">
        <w:rPr>
          <w:rFonts w:ascii="Times New Roman" w:hAnsi="Times New Roman" w:cs="Times New Roman"/>
          <w:sz w:val="22"/>
          <w:szCs w:val="22"/>
        </w:rPr>
        <w:t xml:space="preserve"> </w:t>
      </w:r>
      <w:r w:rsidR="00FE6F93">
        <w:rPr>
          <w:rFonts w:ascii="Times New Roman" w:hAnsi="Times New Roman" w:cs="Times New Roman"/>
          <w:sz w:val="22"/>
          <w:szCs w:val="22"/>
        </w:rPr>
        <w:t>Coming to Sustainable Finance more awareness is needed for successful investments  green bonds, ESG Index equity stocks and Green equity.</w:t>
      </w:r>
      <w:r w:rsidR="004F489C">
        <w:rPr>
          <w:rFonts w:ascii="Times New Roman" w:hAnsi="Times New Roman" w:cs="Times New Roman"/>
          <w:sz w:val="22"/>
          <w:szCs w:val="22"/>
        </w:rPr>
        <w:t xml:space="preserve"> Impact Investing needs to be more popularised. Budding entrepreneurs should be encouraged to create start-ups in sustainable businesses. </w:t>
      </w:r>
    </w:p>
    <w:p w:rsidR="004F489C" w:rsidRPr="00C9300D" w:rsidRDefault="004F489C" w:rsidP="008065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338B2" w:rsidRPr="00C9300D" w:rsidRDefault="006338B2" w:rsidP="008065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445806" w:rsidRDefault="00445806" w:rsidP="009F78A3">
      <w:pPr>
        <w:rPr>
          <w:color w:val="000000" w:themeColor="text1"/>
          <w:sz w:val="22"/>
          <w:szCs w:val="22"/>
        </w:rPr>
      </w:pPr>
    </w:p>
    <w:p w:rsidR="003511B4" w:rsidRPr="003511B4" w:rsidRDefault="003511B4" w:rsidP="003511B4">
      <w:pPr>
        <w:pStyle w:val="NormalWeb"/>
        <w:rPr>
          <w:rFonts w:ascii="Arial" w:eastAsiaTheme="minorHAnsi" w:hAnsi="Arial" w:cs="Arial"/>
          <w:color w:val="222222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</w:p>
    <w:p w:rsidR="003511B4" w:rsidRPr="003511B4" w:rsidRDefault="003511B4" w:rsidP="003511B4">
      <w:pPr>
        <w:pStyle w:val="NormalWeb"/>
        <w:rPr>
          <w:rFonts w:ascii="Arial" w:eastAsiaTheme="minorHAnsi" w:hAnsi="Arial" w:cs="Arial"/>
          <w:color w:val="222222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</w:p>
    <w:p w:rsidR="003511B4" w:rsidRPr="00C9300D" w:rsidRDefault="003511B4" w:rsidP="008065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338B2" w:rsidRPr="00C9300D" w:rsidRDefault="006338B2" w:rsidP="008065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338B2" w:rsidRPr="00C9300D" w:rsidRDefault="006338B2" w:rsidP="008065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6338B2" w:rsidRPr="00C9300D" w:rsidRDefault="006338B2" w:rsidP="008065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sectPr w:rsidR="006338B2" w:rsidRPr="00C9300D" w:rsidSect="006A23B6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741E" w:rsidRDefault="00A1741E" w:rsidP="004E16C5">
      <w:r>
        <w:separator/>
      </w:r>
    </w:p>
  </w:endnote>
  <w:endnote w:type="continuationSeparator" w:id="0">
    <w:p w:rsidR="00A1741E" w:rsidRDefault="00A1741E" w:rsidP="004E16C5">
      <w:r>
        <w:continuationSeparator/>
      </w:r>
    </w:p>
  </w:endnote>
  <w:endnote w:id="1">
    <w:p w:rsidR="00AB0318" w:rsidRDefault="006338B2" w:rsidP="006338B2">
      <w:pPr>
        <w:rPr>
          <w:rFonts w:ascii="Times New Roman" w:hAnsi="Times New Roman" w:cs="Times New Roman"/>
          <w:sz w:val="18"/>
          <w:szCs w:val="18"/>
        </w:rPr>
      </w:pPr>
      <w:r w:rsidRPr="006338B2">
        <w:rPr>
          <w:sz w:val="18"/>
          <w:szCs w:val="18"/>
          <w:vertAlign w:val="superscript"/>
          <w:lang w:val="en-US"/>
        </w:rPr>
        <w:t>1</w:t>
      </w:r>
      <w:r w:rsidRPr="006338B2">
        <w:rPr>
          <w:sz w:val="18"/>
          <w:szCs w:val="18"/>
          <w:vertAlign w:val="superscript"/>
        </w:rPr>
        <w:t xml:space="preserve"> </w:t>
      </w:r>
      <w:r w:rsidRPr="004E16C5">
        <w:rPr>
          <w:rFonts w:ascii="Times New Roman" w:hAnsi="Times New Roman" w:cs="Times New Roman"/>
          <w:sz w:val="18"/>
          <w:szCs w:val="18"/>
        </w:rPr>
        <w:t>Social Cost:</w:t>
      </w:r>
      <w:r>
        <w:rPr>
          <w:rFonts w:ascii="Times New Roman" w:hAnsi="Times New Roman" w:cs="Times New Roman"/>
          <w:sz w:val="18"/>
          <w:szCs w:val="18"/>
        </w:rPr>
        <w:t xml:space="preserve"> Social cost refers to the cost ‘to the society’ rather than the cost to the individual stakeholder. Environmental damage is more of a social cost.</w:t>
      </w:r>
    </w:p>
    <w:p w:rsidR="00AB0318" w:rsidRDefault="006338B2" w:rsidP="006338B2">
      <w:pPr>
        <w:rPr>
          <w:rFonts w:ascii="Times New Roman" w:hAnsi="Times New Roman" w:cs="Times New Roman"/>
          <w:sz w:val="18"/>
          <w:szCs w:val="18"/>
        </w:rPr>
      </w:pPr>
      <w:r w:rsidRPr="006338B2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 Stakeholder Theory:</w:t>
      </w:r>
      <w:r w:rsidR="0016351D">
        <w:rPr>
          <w:rFonts w:ascii="Times New Roman" w:hAnsi="Times New Roman" w:cs="Times New Roman"/>
          <w:sz w:val="18"/>
          <w:szCs w:val="18"/>
        </w:rPr>
        <w:t xml:space="preserve"> Stake holder theory touches the ethical approach of doing business and interconnecting the </w:t>
      </w:r>
      <w:r w:rsidR="003B16E3">
        <w:rPr>
          <w:rFonts w:ascii="Times New Roman" w:hAnsi="Times New Roman" w:cs="Times New Roman"/>
          <w:sz w:val="18"/>
          <w:szCs w:val="18"/>
        </w:rPr>
        <w:t>relationships between its consumers, suppliers, investors, employees , government etc who have a stake in the organisation.</w:t>
      </w:r>
    </w:p>
    <w:p w:rsidR="00AB0318" w:rsidRDefault="006338B2" w:rsidP="006338B2">
      <w:pPr>
        <w:rPr>
          <w:rFonts w:ascii="Times New Roman" w:hAnsi="Times New Roman" w:cs="Times New Roman"/>
          <w:sz w:val="18"/>
          <w:szCs w:val="18"/>
        </w:rPr>
      </w:pPr>
      <w:r w:rsidRPr="006338B2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B0318">
        <w:rPr>
          <w:rFonts w:ascii="Times New Roman" w:hAnsi="Times New Roman" w:cs="Times New Roman"/>
          <w:sz w:val="18"/>
          <w:szCs w:val="18"/>
        </w:rPr>
        <w:t xml:space="preserve">Impact Investing: </w:t>
      </w:r>
      <w:r>
        <w:rPr>
          <w:rFonts w:ascii="Times New Roman" w:hAnsi="Times New Roman" w:cs="Times New Roman"/>
          <w:sz w:val="18"/>
          <w:szCs w:val="18"/>
        </w:rPr>
        <w:t xml:space="preserve">Impact Investing </w:t>
      </w:r>
      <w:r w:rsidR="00AB0318" w:rsidRPr="00AB0318">
        <w:rPr>
          <w:rFonts w:ascii="Times New Roman" w:hAnsi="Times New Roman" w:cs="Times New Roman"/>
          <w:sz w:val="18"/>
          <w:szCs w:val="18"/>
        </w:rPr>
        <w:t>Impact investing is buying shares or debentures with the intention of making a positive social or environmental impact.</w:t>
      </w:r>
    </w:p>
    <w:p w:rsidR="006338B2" w:rsidRPr="006338B2" w:rsidRDefault="006338B2" w:rsidP="006338B2">
      <w:pPr>
        <w:rPr>
          <w:rFonts w:ascii="Times New Roman" w:hAnsi="Times New Roman" w:cs="Times New Roman"/>
          <w:sz w:val="18"/>
          <w:szCs w:val="18"/>
        </w:rPr>
      </w:pPr>
      <w:r w:rsidRPr="006338B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>
        <w:rPr>
          <w:rFonts w:ascii="Times New Roman" w:hAnsi="Times New Roman" w:cs="Times New Roman"/>
          <w:sz w:val="18"/>
          <w:szCs w:val="18"/>
        </w:rPr>
        <w:t xml:space="preserve"> Green Washing:</w:t>
      </w:r>
      <w:r w:rsidR="00562C91">
        <w:rPr>
          <w:rFonts w:ascii="Times New Roman" w:hAnsi="Times New Roman" w:cs="Times New Roman"/>
          <w:sz w:val="18"/>
          <w:szCs w:val="18"/>
        </w:rPr>
        <w:t xml:space="preserve"> It is the practice of giving mis information about the viability, operation ability and efficiency of the green projects.</w:t>
      </w:r>
    </w:p>
    <w:p w:rsidR="006338B2" w:rsidRDefault="006338B2">
      <w:pPr>
        <w:pStyle w:val="EndnoteText"/>
        <w:rPr>
          <w:vertAlign w:val="superscript"/>
          <w:lang w:val="en-US"/>
        </w:rPr>
      </w:pPr>
    </w:p>
    <w:p w:rsidR="002D1613" w:rsidRDefault="002D1613">
      <w:pPr>
        <w:pStyle w:val="EndnoteText"/>
        <w:rPr>
          <w:vertAlign w:val="superscript"/>
          <w:lang w:val="en-US"/>
        </w:rPr>
      </w:pPr>
    </w:p>
    <w:p w:rsidR="002D1613" w:rsidRDefault="002D1613">
      <w:pPr>
        <w:pStyle w:val="EndnoteText"/>
        <w:rPr>
          <w:vertAlign w:val="superscript"/>
          <w:lang w:val="en-US"/>
        </w:rPr>
      </w:pPr>
    </w:p>
    <w:p w:rsidR="002D1613" w:rsidRDefault="002D1613" w:rsidP="002D161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D1613" w:rsidRDefault="002D1613" w:rsidP="002D161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D1613" w:rsidRDefault="002D1613" w:rsidP="002D161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358B2" w:rsidRDefault="00F358B2" w:rsidP="002D161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358B2" w:rsidRDefault="00F358B2" w:rsidP="002D161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358B2" w:rsidRDefault="00F358B2" w:rsidP="002D161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2D1613" w:rsidRPr="00C9300D" w:rsidRDefault="002D1613" w:rsidP="002D161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C9300D">
        <w:rPr>
          <w:rFonts w:ascii="Times New Roman" w:hAnsi="Times New Roman" w:cs="Times New Roman"/>
          <w:sz w:val="22"/>
          <w:szCs w:val="22"/>
          <w:lang w:val="en-US"/>
        </w:rPr>
        <w:t>Reference:</w:t>
      </w:r>
    </w:p>
    <w:p w:rsidR="002D1613" w:rsidRDefault="002D1613">
      <w:pPr>
        <w:pStyle w:val="EndnoteText"/>
        <w:rPr>
          <w:vertAlign w:val="superscript"/>
          <w:lang w:val="en-US"/>
        </w:rPr>
      </w:pPr>
    </w:p>
    <w:p w:rsidR="00F358B2" w:rsidRDefault="00F358B2" w:rsidP="00F358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Cheng, R., Gupta, B.,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Rajan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R. S. (2023). Do green financial policies offset the climate transition risk penalty imposed on long-term sovereign bond yields?.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Research in International Business and Finance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101976.</w:t>
      </w:r>
    </w:p>
    <w:p w:rsidR="00F358B2" w:rsidRPr="00C9300D" w:rsidRDefault="00F358B2" w:rsidP="00F358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358B2" w:rsidRPr="00C9300D" w:rsidRDefault="00F358B2" w:rsidP="00F358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El Ghoul,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Sadok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Omrane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Guedhami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Chuck CY Kwok, and Dev R. Mishra. "Does corporate social responsibility affect the cost of capital?."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banking &amp; finance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35, no. 9 (2011): 2388-2406.</w:t>
      </w:r>
    </w:p>
    <w:p w:rsidR="00F358B2" w:rsidRPr="00BB7862" w:rsidRDefault="00F358B2" w:rsidP="00F358B2">
      <w:pPr>
        <w:pStyle w:val="NormalWeb"/>
        <w:rPr>
          <w:rFonts w:ascii="Arial" w:eastAsiaTheme="minorHAnsi" w:hAnsi="Arial" w:cs="Arial"/>
          <w:color w:val="222222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BB7862">
        <w:rPr>
          <w:rFonts w:ascii="Arial" w:eastAsiaTheme="minorHAnsi" w:hAnsi="Arial" w:cs="Arial"/>
          <w:color w:val="222222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FICCI, April 2016</w:t>
      </w:r>
      <w:r>
        <w:rPr>
          <w:rFonts w:ascii="Arial" w:eastAsiaTheme="minorHAnsi" w:hAnsi="Arial" w:cs="Arial"/>
          <w:color w:val="222222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,</w:t>
      </w:r>
      <w:r w:rsidRPr="00BB7862">
        <w:rPr>
          <w:rFonts w:ascii="Arial" w:eastAsiaTheme="minorHAnsi" w:hAnsi="Arial" w:cs="Arial"/>
          <w:color w:val="222222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Delivering a Sustainable Financial System in India, Final report</w:t>
      </w:r>
      <w:r>
        <w:rPr>
          <w:rFonts w:ascii="Arial" w:eastAsiaTheme="minorHAnsi" w:hAnsi="Arial" w:cs="Arial"/>
          <w:color w:val="222222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.</w:t>
      </w:r>
    </w:p>
    <w:p w:rsidR="00F358B2" w:rsidRDefault="00F358B2" w:rsidP="00F358B2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Flammer, C. (2021). Corporate green bonds.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financial economics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142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499-516.</w:t>
      </w:r>
    </w:p>
    <w:p w:rsidR="00F358B2" w:rsidRDefault="00F358B2" w:rsidP="00F358B2">
      <w:pPr>
        <w:pStyle w:val="NormalWeb"/>
        <w:rPr>
          <w:rFonts w:ascii="Arial" w:eastAsiaTheme="minorHAnsi" w:hAnsi="Arial" w:cs="Arial"/>
          <w:color w:val="222222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r w:rsidRPr="003511B4">
        <w:rPr>
          <w:rFonts w:ascii="Arial" w:eastAsiaTheme="minorHAnsi" w:hAnsi="Arial" w:cs="Arial"/>
          <w:color w:val="222222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International Financial Services Centres Authority 03 October 2022</w:t>
      </w:r>
      <w:r>
        <w:rPr>
          <w:rFonts w:ascii="Arial" w:eastAsiaTheme="minorHAnsi" w:hAnsi="Arial" w:cs="Arial"/>
          <w:color w:val="222222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,</w:t>
      </w:r>
      <w:r w:rsidRPr="003511B4">
        <w:rPr>
          <w:rFonts w:ascii="Arial" w:eastAsiaTheme="minorHAnsi" w:hAnsi="Arial" w:cs="Arial"/>
          <w:color w:val="222222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>Report of the Expert Committee on Sustainable Finance</w:t>
      </w:r>
      <w:r>
        <w:rPr>
          <w:rFonts w:ascii="Arial" w:eastAsiaTheme="minorHAnsi" w:hAnsi="Arial" w:cs="Arial"/>
          <w:color w:val="222222"/>
          <w:kern w:val="2"/>
          <w:sz w:val="20"/>
          <w:szCs w:val="20"/>
          <w:shd w:val="clear" w:color="auto" w:fill="FFFFFF"/>
          <w:lang w:eastAsia="en-US"/>
          <w14:ligatures w14:val="standardContextual"/>
        </w:rPr>
        <w:t xml:space="preserve">; </w:t>
      </w:r>
    </w:p>
    <w:p w:rsidR="00F358B2" w:rsidRPr="00F358B2" w:rsidRDefault="00F358B2" w:rsidP="00F358B2">
      <w:pPr>
        <w:pStyle w:val="NormalWeb"/>
        <w:rPr>
          <w:rFonts w:ascii="Arial" w:eastAsiaTheme="minorHAnsi" w:hAnsi="Arial" w:cs="Arial"/>
          <w:color w:val="222222"/>
          <w:kern w:val="2"/>
          <w:sz w:val="20"/>
          <w:szCs w:val="20"/>
          <w:shd w:val="clear" w:color="auto" w:fill="FFFFFF"/>
          <w:lang w:eastAsia="en-US"/>
          <w14:ligatures w14:val="standardContextual"/>
        </w:rPr>
      </w:pPr>
      <w:proofErr w:type="spellStart"/>
      <w:r w:rsidRPr="00445806">
        <w:rPr>
          <w:rFonts w:ascii="Arial" w:hAnsi="Arial" w:cs="Arial"/>
          <w:color w:val="222222"/>
          <w:sz w:val="20"/>
          <w:szCs w:val="20"/>
          <w:shd w:val="clear" w:color="auto" w:fill="FFFFFF"/>
        </w:rPr>
        <w:t>Höhne</w:t>
      </w:r>
      <w:proofErr w:type="spellEnd"/>
      <w:r w:rsidRPr="0044580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N., Khosla, S., Fekete, H., &amp; Gilbert, A. (2012). Mapping of green finance delivered by IDFC members in 2011. Cologne: </w:t>
      </w:r>
      <w:proofErr w:type="spellStart"/>
      <w:r w:rsidRPr="00445806">
        <w:rPr>
          <w:rFonts w:ascii="Arial" w:hAnsi="Arial" w:cs="Arial"/>
          <w:color w:val="222222"/>
          <w:sz w:val="20"/>
          <w:szCs w:val="20"/>
          <w:shd w:val="clear" w:color="auto" w:fill="FFFFFF"/>
        </w:rPr>
        <w:t>Ecofys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F358B2" w:rsidRDefault="00F358B2" w:rsidP="00F358B2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Gibson, R., Krueger, P.,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Mitali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S. F. (2020). The sustainability footprint of institutional investors: ESG driven price pressure and performance.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Swiss Finance Institute Research Paper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(17-05).</w:t>
      </w:r>
    </w:p>
    <w:p w:rsidR="00F358B2" w:rsidRPr="00C9300D" w:rsidRDefault="00F358B2" w:rsidP="00F358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358B2" w:rsidRPr="00C9300D" w:rsidRDefault="00F358B2" w:rsidP="00F358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Gillan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S. L., Koch, A., &amp; Starks, L. T. (2021). Firms and social responsibility: A review of ESG and CSR research in corporate finance.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Corporate Finance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101889.</w:t>
      </w:r>
    </w:p>
    <w:p w:rsidR="00F358B2" w:rsidRPr="00C9300D" w:rsidRDefault="00F358B2" w:rsidP="00F358B2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F358B2" w:rsidRDefault="00F358B2" w:rsidP="00F358B2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İlhan, Ö. A.,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Karakaş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Özkaraman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B. (2020). ‘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Cittaslow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’: An Alternative Model for Local Sustainable Development or Just a Myth? Empirical Evidence in the Case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Tarakli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(Turkey).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Quaestiones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Geographicae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(4), 23-37.</w:t>
      </w:r>
    </w:p>
    <w:p w:rsidR="00F358B2" w:rsidRDefault="00F358B2" w:rsidP="00F358B2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F358B2" w:rsidRDefault="00F358B2" w:rsidP="00F358B2">
      <w:pPr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Kumar, S., Sharma, D., Rao, S., Lim, W. M.,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Mangla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S. K. (2022). Past, present, and future of sustainable finance: insights from big data analytics through machine learning of scholarly research.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Annals of Operations Research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1-44.</w:t>
      </w:r>
    </w:p>
    <w:p w:rsidR="00F358B2" w:rsidRPr="006338B2" w:rsidRDefault="00F358B2">
      <w:pPr>
        <w:pStyle w:val="EndnoteText"/>
        <w:rPr>
          <w:vertAlign w:val="superscript"/>
          <w:lang w:val="en-U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11024035"/>
      <w:docPartObj>
        <w:docPartGallery w:val="Page Numbers (Bottom of Page)"/>
        <w:docPartUnique/>
      </w:docPartObj>
    </w:sdtPr>
    <w:sdtContent>
      <w:p w:rsidR="006A23B6" w:rsidRDefault="006A23B6" w:rsidP="00035F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E66BC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6A23B6" w:rsidRDefault="006A23B6" w:rsidP="006A23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2536822"/>
      <w:docPartObj>
        <w:docPartGallery w:val="Page Numbers (Bottom of Page)"/>
        <w:docPartUnique/>
      </w:docPartObj>
    </w:sdtPr>
    <w:sdtContent>
      <w:p w:rsidR="006A23B6" w:rsidRDefault="006A23B6" w:rsidP="00035F8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6A23B6" w:rsidRDefault="006A23B6" w:rsidP="006A23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741E" w:rsidRDefault="00A1741E" w:rsidP="004E16C5">
      <w:r>
        <w:separator/>
      </w:r>
    </w:p>
  </w:footnote>
  <w:footnote w:type="continuationSeparator" w:id="0">
    <w:p w:rsidR="00A1741E" w:rsidRDefault="00A1741E" w:rsidP="004E1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087"/>
    <w:multiLevelType w:val="hybridMultilevel"/>
    <w:tmpl w:val="BDE816A2"/>
    <w:lvl w:ilvl="0" w:tplc="AA72836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554"/>
    <w:multiLevelType w:val="hybridMultilevel"/>
    <w:tmpl w:val="163EB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5493B"/>
    <w:multiLevelType w:val="hybridMultilevel"/>
    <w:tmpl w:val="FB1C0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7512E"/>
    <w:multiLevelType w:val="hybridMultilevel"/>
    <w:tmpl w:val="B76C3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77113"/>
    <w:multiLevelType w:val="hybridMultilevel"/>
    <w:tmpl w:val="BAEEE7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B79E7"/>
    <w:multiLevelType w:val="hybridMultilevel"/>
    <w:tmpl w:val="F1B0A8D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E5FF4"/>
    <w:multiLevelType w:val="hybridMultilevel"/>
    <w:tmpl w:val="ABA43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065D"/>
    <w:multiLevelType w:val="hybridMultilevel"/>
    <w:tmpl w:val="2348F6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74C27"/>
    <w:multiLevelType w:val="hybridMultilevel"/>
    <w:tmpl w:val="F1B0A8D4"/>
    <w:lvl w:ilvl="0" w:tplc="74A66B7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3DAC"/>
    <w:multiLevelType w:val="multilevel"/>
    <w:tmpl w:val="4244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3C2F29"/>
    <w:multiLevelType w:val="hybridMultilevel"/>
    <w:tmpl w:val="E47E6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008D5"/>
    <w:multiLevelType w:val="hybridMultilevel"/>
    <w:tmpl w:val="F8F8D6D0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365BFD"/>
    <w:multiLevelType w:val="multilevel"/>
    <w:tmpl w:val="8DF4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C43361"/>
    <w:multiLevelType w:val="hybridMultilevel"/>
    <w:tmpl w:val="BD18FCF8"/>
    <w:lvl w:ilvl="0" w:tplc="498ABF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A5EFF"/>
    <w:multiLevelType w:val="multilevel"/>
    <w:tmpl w:val="3EB0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57512F"/>
    <w:multiLevelType w:val="multilevel"/>
    <w:tmpl w:val="9BAA60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CA4AEA"/>
    <w:multiLevelType w:val="hybridMultilevel"/>
    <w:tmpl w:val="82964320"/>
    <w:lvl w:ilvl="0" w:tplc="8FB48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A7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62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2C64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69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ECB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24F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627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564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F00984"/>
    <w:multiLevelType w:val="multilevel"/>
    <w:tmpl w:val="6420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8A1C58"/>
    <w:multiLevelType w:val="hybridMultilevel"/>
    <w:tmpl w:val="362EF61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B7490"/>
    <w:multiLevelType w:val="multilevel"/>
    <w:tmpl w:val="00CE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5830207">
    <w:abstractNumId w:val="14"/>
  </w:num>
  <w:num w:numId="2" w16cid:durableId="350301964">
    <w:abstractNumId w:val="1"/>
  </w:num>
  <w:num w:numId="3" w16cid:durableId="1085300875">
    <w:abstractNumId w:val="18"/>
  </w:num>
  <w:num w:numId="4" w16cid:durableId="380204911">
    <w:abstractNumId w:val="16"/>
  </w:num>
  <w:num w:numId="5" w16cid:durableId="1902868084">
    <w:abstractNumId w:val="7"/>
  </w:num>
  <w:num w:numId="6" w16cid:durableId="2129080821">
    <w:abstractNumId w:val="10"/>
  </w:num>
  <w:num w:numId="7" w16cid:durableId="1889955162">
    <w:abstractNumId w:val="17"/>
  </w:num>
  <w:num w:numId="8" w16cid:durableId="1112285372">
    <w:abstractNumId w:val="9"/>
  </w:num>
  <w:num w:numId="9" w16cid:durableId="622493032">
    <w:abstractNumId w:val="15"/>
  </w:num>
  <w:num w:numId="10" w16cid:durableId="294676485">
    <w:abstractNumId w:val="11"/>
  </w:num>
  <w:num w:numId="11" w16cid:durableId="2064870301">
    <w:abstractNumId w:val="8"/>
  </w:num>
  <w:num w:numId="12" w16cid:durableId="1051997810">
    <w:abstractNumId w:val="0"/>
  </w:num>
  <w:num w:numId="13" w16cid:durableId="1054934075">
    <w:abstractNumId w:val="12"/>
  </w:num>
  <w:num w:numId="14" w16cid:durableId="1786145840">
    <w:abstractNumId w:val="19"/>
  </w:num>
  <w:num w:numId="15" w16cid:durableId="1309483152">
    <w:abstractNumId w:val="3"/>
  </w:num>
  <w:num w:numId="16" w16cid:durableId="714550669">
    <w:abstractNumId w:val="13"/>
  </w:num>
  <w:num w:numId="17" w16cid:durableId="544752362">
    <w:abstractNumId w:val="4"/>
  </w:num>
  <w:num w:numId="18" w16cid:durableId="701785271">
    <w:abstractNumId w:val="2"/>
  </w:num>
  <w:num w:numId="19" w16cid:durableId="1108770021">
    <w:abstractNumId w:val="6"/>
  </w:num>
  <w:num w:numId="20" w16cid:durableId="2009431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36"/>
    <w:rsid w:val="00031F5C"/>
    <w:rsid w:val="00041E0A"/>
    <w:rsid w:val="0005356A"/>
    <w:rsid w:val="00095883"/>
    <w:rsid w:val="000A0C12"/>
    <w:rsid w:val="00102D04"/>
    <w:rsid w:val="001316AE"/>
    <w:rsid w:val="00136B20"/>
    <w:rsid w:val="001400CE"/>
    <w:rsid w:val="00147B26"/>
    <w:rsid w:val="0016351D"/>
    <w:rsid w:val="001709C5"/>
    <w:rsid w:val="001B6131"/>
    <w:rsid w:val="00207F83"/>
    <w:rsid w:val="00220D52"/>
    <w:rsid w:val="002500B3"/>
    <w:rsid w:val="00253565"/>
    <w:rsid w:val="00260FEE"/>
    <w:rsid w:val="0027155E"/>
    <w:rsid w:val="002C1EE4"/>
    <w:rsid w:val="002C6F36"/>
    <w:rsid w:val="002D1613"/>
    <w:rsid w:val="002D3E19"/>
    <w:rsid w:val="002E07E8"/>
    <w:rsid w:val="002E2B35"/>
    <w:rsid w:val="002E5CE8"/>
    <w:rsid w:val="002E79CB"/>
    <w:rsid w:val="00302974"/>
    <w:rsid w:val="00304AA7"/>
    <w:rsid w:val="00306888"/>
    <w:rsid w:val="00307383"/>
    <w:rsid w:val="003209FB"/>
    <w:rsid w:val="00327273"/>
    <w:rsid w:val="00327D87"/>
    <w:rsid w:val="00341D73"/>
    <w:rsid w:val="00343F8C"/>
    <w:rsid w:val="0034534B"/>
    <w:rsid w:val="003511B4"/>
    <w:rsid w:val="00352422"/>
    <w:rsid w:val="00390724"/>
    <w:rsid w:val="003978D0"/>
    <w:rsid w:val="003B16E3"/>
    <w:rsid w:val="003C2337"/>
    <w:rsid w:val="004032A2"/>
    <w:rsid w:val="00403FDB"/>
    <w:rsid w:val="00412C89"/>
    <w:rsid w:val="004310D2"/>
    <w:rsid w:val="00440ADD"/>
    <w:rsid w:val="0044405E"/>
    <w:rsid w:val="00445806"/>
    <w:rsid w:val="00446407"/>
    <w:rsid w:val="00463A33"/>
    <w:rsid w:val="00481E1A"/>
    <w:rsid w:val="00483C09"/>
    <w:rsid w:val="004B62B9"/>
    <w:rsid w:val="004B70BE"/>
    <w:rsid w:val="004B7EDF"/>
    <w:rsid w:val="004C617E"/>
    <w:rsid w:val="004E16C5"/>
    <w:rsid w:val="004F06D0"/>
    <w:rsid w:val="004F489C"/>
    <w:rsid w:val="00521D96"/>
    <w:rsid w:val="005358FE"/>
    <w:rsid w:val="00542B48"/>
    <w:rsid w:val="00562C91"/>
    <w:rsid w:val="005A2397"/>
    <w:rsid w:val="005B10D1"/>
    <w:rsid w:val="005B2ED7"/>
    <w:rsid w:val="005C0615"/>
    <w:rsid w:val="005C3E49"/>
    <w:rsid w:val="005F14DF"/>
    <w:rsid w:val="006204ED"/>
    <w:rsid w:val="006338B2"/>
    <w:rsid w:val="00640E3F"/>
    <w:rsid w:val="00651801"/>
    <w:rsid w:val="006556C2"/>
    <w:rsid w:val="0066418E"/>
    <w:rsid w:val="0066792E"/>
    <w:rsid w:val="00677816"/>
    <w:rsid w:val="006A23B6"/>
    <w:rsid w:val="006B1CE3"/>
    <w:rsid w:val="006C6AB2"/>
    <w:rsid w:val="006D2518"/>
    <w:rsid w:val="006D4BD9"/>
    <w:rsid w:val="007022C3"/>
    <w:rsid w:val="00703907"/>
    <w:rsid w:val="00716A7D"/>
    <w:rsid w:val="007345F4"/>
    <w:rsid w:val="00735E16"/>
    <w:rsid w:val="00753122"/>
    <w:rsid w:val="007A4844"/>
    <w:rsid w:val="007D200B"/>
    <w:rsid w:val="007E2D15"/>
    <w:rsid w:val="008065B2"/>
    <w:rsid w:val="0081634C"/>
    <w:rsid w:val="00820A69"/>
    <w:rsid w:val="00860D82"/>
    <w:rsid w:val="008922D4"/>
    <w:rsid w:val="008935F4"/>
    <w:rsid w:val="008944C5"/>
    <w:rsid w:val="008B235E"/>
    <w:rsid w:val="008B529D"/>
    <w:rsid w:val="008C0526"/>
    <w:rsid w:val="008C10F3"/>
    <w:rsid w:val="008E6CC7"/>
    <w:rsid w:val="008F2F7D"/>
    <w:rsid w:val="00901451"/>
    <w:rsid w:val="00912EA1"/>
    <w:rsid w:val="00913178"/>
    <w:rsid w:val="00921A7F"/>
    <w:rsid w:val="00944CD6"/>
    <w:rsid w:val="009536F7"/>
    <w:rsid w:val="00962ED7"/>
    <w:rsid w:val="009710CA"/>
    <w:rsid w:val="009860E6"/>
    <w:rsid w:val="009902C7"/>
    <w:rsid w:val="00991398"/>
    <w:rsid w:val="009A3FE0"/>
    <w:rsid w:val="009A46DE"/>
    <w:rsid w:val="009D7EC3"/>
    <w:rsid w:val="009F1A86"/>
    <w:rsid w:val="009F60C9"/>
    <w:rsid w:val="009F78A3"/>
    <w:rsid w:val="00A1741E"/>
    <w:rsid w:val="00A21595"/>
    <w:rsid w:val="00A358E7"/>
    <w:rsid w:val="00A52482"/>
    <w:rsid w:val="00A64562"/>
    <w:rsid w:val="00A746E1"/>
    <w:rsid w:val="00A74DF5"/>
    <w:rsid w:val="00A92DE1"/>
    <w:rsid w:val="00AA0E11"/>
    <w:rsid w:val="00AA73D7"/>
    <w:rsid w:val="00AB0318"/>
    <w:rsid w:val="00AB1F70"/>
    <w:rsid w:val="00AB2096"/>
    <w:rsid w:val="00AD4867"/>
    <w:rsid w:val="00AE7879"/>
    <w:rsid w:val="00AF5B65"/>
    <w:rsid w:val="00AF7704"/>
    <w:rsid w:val="00B01AFB"/>
    <w:rsid w:val="00B04B08"/>
    <w:rsid w:val="00B074F9"/>
    <w:rsid w:val="00B20CE2"/>
    <w:rsid w:val="00B27BF4"/>
    <w:rsid w:val="00B33570"/>
    <w:rsid w:val="00B35199"/>
    <w:rsid w:val="00B6539C"/>
    <w:rsid w:val="00B968C8"/>
    <w:rsid w:val="00BA0E70"/>
    <w:rsid w:val="00BA1880"/>
    <w:rsid w:val="00BB6E46"/>
    <w:rsid w:val="00BB7862"/>
    <w:rsid w:val="00BC6795"/>
    <w:rsid w:val="00BD36D2"/>
    <w:rsid w:val="00BE196C"/>
    <w:rsid w:val="00BF684E"/>
    <w:rsid w:val="00C00231"/>
    <w:rsid w:val="00C020E0"/>
    <w:rsid w:val="00C05CC7"/>
    <w:rsid w:val="00C15187"/>
    <w:rsid w:val="00C211E3"/>
    <w:rsid w:val="00C24A73"/>
    <w:rsid w:val="00C24E94"/>
    <w:rsid w:val="00C55F4C"/>
    <w:rsid w:val="00C57DE2"/>
    <w:rsid w:val="00C928DD"/>
    <w:rsid w:val="00C9300D"/>
    <w:rsid w:val="00C93F21"/>
    <w:rsid w:val="00C942A6"/>
    <w:rsid w:val="00C97B9B"/>
    <w:rsid w:val="00CB1DC5"/>
    <w:rsid w:val="00CB226F"/>
    <w:rsid w:val="00CC3BBB"/>
    <w:rsid w:val="00CC4A3C"/>
    <w:rsid w:val="00CE119C"/>
    <w:rsid w:val="00D01D56"/>
    <w:rsid w:val="00D06C7D"/>
    <w:rsid w:val="00D212E8"/>
    <w:rsid w:val="00D53B33"/>
    <w:rsid w:val="00D61B47"/>
    <w:rsid w:val="00D625BE"/>
    <w:rsid w:val="00D62F06"/>
    <w:rsid w:val="00D667A6"/>
    <w:rsid w:val="00DA7855"/>
    <w:rsid w:val="00DD1B22"/>
    <w:rsid w:val="00DE7F0B"/>
    <w:rsid w:val="00E132B0"/>
    <w:rsid w:val="00E17364"/>
    <w:rsid w:val="00E47EA5"/>
    <w:rsid w:val="00E548F5"/>
    <w:rsid w:val="00E75AC5"/>
    <w:rsid w:val="00E824FB"/>
    <w:rsid w:val="00EB12DA"/>
    <w:rsid w:val="00EE08E7"/>
    <w:rsid w:val="00EE66BC"/>
    <w:rsid w:val="00F12FAD"/>
    <w:rsid w:val="00F234A8"/>
    <w:rsid w:val="00F27CFB"/>
    <w:rsid w:val="00F358B2"/>
    <w:rsid w:val="00F5091C"/>
    <w:rsid w:val="00F5366C"/>
    <w:rsid w:val="00F67B77"/>
    <w:rsid w:val="00F67C12"/>
    <w:rsid w:val="00F92496"/>
    <w:rsid w:val="00FA0292"/>
    <w:rsid w:val="00FA2D5A"/>
    <w:rsid w:val="00FC6A0A"/>
    <w:rsid w:val="00FD625D"/>
    <w:rsid w:val="00FE6F93"/>
    <w:rsid w:val="00FF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C2BB"/>
  <w15:chartTrackingRefBased/>
  <w15:docId w15:val="{129729FD-0591-4D44-9E88-3876D8A1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62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45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239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C24E94"/>
    <w:rPr>
      <w:i/>
      <w:iCs/>
    </w:rPr>
  </w:style>
  <w:style w:type="table" w:styleId="TableGrid">
    <w:name w:val="Table Grid"/>
    <w:basedOn w:val="TableNormal"/>
    <w:uiPriority w:val="39"/>
    <w:rsid w:val="004B7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16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6C5"/>
  </w:style>
  <w:style w:type="paragraph" w:styleId="Footer">
    <w:name w:val="footer"/>
    <w:basedOn w:val="Normal"/>
    <w:link w:val="FooterChar"/>
    <w:uiPriority w:val="99"/>
    <w:unhideWhenUsed/>
    <w:rsid w:val="004E16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6C5"/>
  </w:style>
  <w:style w:type="character" w:styleId="PageNumber">
    <w:name w:val="page number"/>
    <w:basedOn w:val="DefaultParagraphFont"/>
    <w:uiPriority w:val="99"/>
    <w:semiHidden/>
    <w:unhideWhenUsed/>
    <w:rsid w:val="009902C7"/>
  </w:style>
  <w:style w:type="paragraph" w:styleId="EndnoteText">
    <w:name w:val="endnote text"/>
    <w:basedOn w:val="Normal"/>
    <w:link w:val="EndnoteTextChar"/>
    <w:uiPriority w:val="99"/>
    <w:semiHidden/>
    <w:unhideWhenUsed/>
    <w:rsid w:val="00C57DE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D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7DE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7D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DE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7D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2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4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9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9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2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9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6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ipbox.com/mf/debt-definit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iftyindices.com/indices/equity/thematic-indices/nifty100-esg-sector-leaders-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CF8B37-7149-9A4D-91A7-48C25034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6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149</cp:revision>
  <dcterms:created xsi:type="dcterms:W3CDTF">2023-06-27T11:29:00Z</dcterms:created>
  <dcterms:modified xsi:type="dcterms:W3CDTF">2023-07-17T17:48:00Z</dcterms:modified>
</cp:coreProperties>
</file>