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170D" w:rsidRDefault="00002489" w:rsidP="00002489">
      <w:pPr>
        <w:jc w:val="center"/>
        <w:rPr>
          <w:rFonts w:ascii="Times New Roman" w:hAnsi="Times New Roman" w:cs="Times New Roman"/>
          <w:b/>
          <w:sz w:val="48"/>
          <w:szCs w:val="48"/>
        </w:rPr>
      </w:pPr>
      <w:r w:rsidRPr="004149AC">
        <w:rPr>
          <w:rFonts w:ascii="Times New Roman" w:hAnsi="Times New Roman" w:cs="Times New Roman"/>
          <w:b/>
          <w:sz w:val="48"/>
          <w:szCs w:val="48"/>
        </w:rPr>
        <w:t>Development of</w:t>
      </w:r>
      <w:r>
        <w:rPr>
          <w:rFonts w:ascii="Times New Roman" w:hAnsi="Times New Roman" w:cs="Times New Roman"/>
          <w:b/>
          <w:sz w:val="48"/>
          <w:szCs w:val="48"/>
        </w:rPr>
        <w:t xml:space="preserve"> Lobeglitazone as Anti-Diabetic Medication</w:t>
      </w:r>
    </w:p>
    <w:p w:rsidR="004F65FD" w:rsidRDefault="004F65FD" w:rsidP="004F65FD">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Aakarsh Gupta</w:t>
      </w:r>
      <w:r w:rsidRPr="008A5950">
        <w:rPr>
          <w:rFonts w:ascii="Times New Roman" w:hAnsi="Times New Roman" w:cs="Times New Roman"/>
          <w:bCs/>
          <w:sz w:val="20"/>
          <w:szCs w:val="20"/>
          <w:vertAlign w:val="superscript"/>
        </w:rPr>
        <w:t>*</w:t>
      </w:r>
      <w:r>
        <w:rPr>
          <w:rFonts w:ascii="Times New Roman" w:hAnsi="Times New Roman" w:cs="Times New Roman"/>
          <w:bCs/>
          <w:sz w:val="20"/>
          <w:szCs w:val="20"/>
        </w:rPr>
        <w:t xml:space="preserve">, Manushree Rawat, </w:t>
      </w:r>
      <w:r w:rsidR="00E31F35">
        <w:rPr>
          <w:rFonts w:ascii="Times New Roman" w:hAnsi="Times New Roman" w:cs="Times New Roman"/>
          <w:bCs/>
          <w:sz w:val="20"/>
          <w:szCs w:val="20"/>
        </w:rPr>
        <w:t xml:space="preserve">Rajat Rawat, </w:t>
      </w:r>
      <w:r>
        <w:rPr>
          <w:rFonts w:ascii="Times New Roman" w:hAnsi="Times New Roman" w:cs="Times New Roman"/>
          <w:bCs/>
          <w:sz w:val="20"/>
          <w:szCs w:val="20"/>
        </w:rPr>
        <w:t>Yogesh Joshi</w:t>
      </w:r>
    </w:p>
    <w:p w:rsidR="004F65FD" w:rsidRDefault="004F65FD" w:rsidP="004F65FD">
      <w:pPr>
        <w:spacing w:after="0" w:line="240" w:lineRule="auto"/>
        <w:jc w:val="center"/>
        <w:rPr>
          <w:rFonts w:ascii="Times New Roman" w:hAnsi="Times New Roman" w:cs="Times New Roman"/>
          <w:bCs/>
          <w:sz w:val="20"/>
          <w:szCs w:val="20"/>
        </w:rPr>
      </w:pPr>
    </w:p>
    <w:p w:rsidR="004F65FD" w:rsidRDefault="004F65FD" w:rsidP="004F65FD">
      <w:pPr>
        <w:spacing w:after="0" w:line="240" w:lineRule="auto"/>
        <w:jc w:val="center"/>
        <w:rPr>
          <w:rFonts w:ascii="Times New Roman" w:hAnsi="Times New Roman" w:cs="Times New Roman"/>
          <w:sz w:val="20"/>
          <w:szCs w:val="20"/>
        </w:rPr>
      </w:pPr>
      <w:r w:rsidRPr="008A5950">
        <w:rPr>
          <w:rFonts w:ascii="Times New Roman" w:hAnsi="Times New Roman" w:cs="Times New Roman"/>
          <w:sz w:val="20"/>
          <w:szCs w:val="20"/>
        </w:rPr>
        <w:t xml:space="preserve">Department of </w:t>
      </w:r>
      <w:r>
        <w:rPr>
          <w:rFonts w:ascii="Times New Roman" w:hAnsi="Times New Roman" w:cs="Times New Roman"/>
          <w:sz w:val="20"/>
          <w:szCs w:val="20"/>
        </w:rPr>
        <w:t>P</w:t>
      </w:r>
      <w:r w:rsidRPr="008A5950">
        <w:rPr>
          <w:rFonts w:ascii="Times New Roman" w:hAnsi="Times New Roman" w:cs="Times New Roman"/>
          <w:sz w:val="20"/>
          <w:szCs w:val="20"/>
        </w:rPr>
        <w:t xml:space="preserve">harmacy Practice, School of </w:t>
      </w:r>
      <w:r>
        <w:rPr>
          <w:rFonts w:ascii="Times New Roman" w:hAnsi="Times New Roman" w:cs="Times New Roman"/>
          <w:sz w:val="20"/>
          <w:szCs w:val="20"/>
        </w:rPr>
        <w:t>P</w:t>
      </w:r>
      <w:r w:rsidRPr="008A5950">
        <w:rPr>
          <w:rFonts w:ascii="Times New Roman" w:hAnsi="Times New Roman" w:cs="Times New Roman"/>
          <w:sz w:val="20"/>
          <w:szCs w:val="20"/>
        </w:rPr>
        <w:t xml:space="preserve">harmaceutical </w:t>
      </w:r>
      <w:r>
        <w:rPr>
          <w:rFonts w:ascii="Times New Roman" w:hAnsi="Times New Roman" w:cs="Times New Roman"/>
          <w:sz w:val="20"/>
          <w:szCs w:val="20"/>
        </w:rPr>
        <w:t>S</w:t>
      </w:r>
      <w:r w:rsidRPr="008A5950">
        <w:rPr>
          <w:rFonts w:ascii="Times New Roman" w:hAnsi="Times New Roman" w:cs="Times New Roman"/>
          <w:sz w:val="20"/>
          <w:szCs w:val="20"/>
        </w:rPr>
        <w:t xml:space="preserve">ciences, Shri Guru Ram Rai </w:t>
      </w:r>
      <w:r>
        <w:rPr>
          <w:rFonts w:ascii="Times New Roman" w:hAnsi="Times New Roman" w:cs="Times New Roman"/>
          <w:sz w:val="20"/>
          <w:szCs w:val="20"/>
        </w:rPr>
        <w:t>U</w:t>
      </w:r>
      <w:r w:rsidRPr="008A5950">
        <w:rPr>
          <w:rFonts w:ascii="Times New Roman" w:hAnsi="Times New Roman" w:cs="Times New Roman"/>
          <w:sz w:val="20"/>
          <w:szCs w:val="20"/>
        </w:rPr>
        <w:t>niversity, Dehradun</w:t>
      </w:r>
      <w:r>
        <w:rPr>
          <w:rFonts w:ascii="Times New Roman" w:hAnsi="Times New Roman" w:cs="Times New Roman"/>
          <w:sz w:val="20"/>
          <w:szCs w:val="20"/>
        </w:rPr>
        <w:t>-</w:t>
      </w:r>
      <w:r w:rsidRPr="008A5950">
        <w:rPr>
          <w:rFonts w:ascii="Times New Roman" w:hAnsi="Times New Roman" w:cs="Times New Roman"/>
          <w:sz w:val="20"/>
          <w:szCs w:val="20"/>
        </w:rPr>
        <w:t>248001, Uttarakhand, India</w:t>
      </w:r>
    </w:p>
    <w:p w:rsidR="004F65FD" w:rsidRDefault="004F65FD" w:rsidP="004F65FD">
      <w:pPr>
        <w:spacing w:after="0" w:line="240" w:lineRule="auto"/>
        <w:jc w:val="center"/>
        <w:rPr>
          <w:rFonts w:ascii="Times New Roman" w:hAnsi="Times New Roman" w:cs="Times New Roman"/>
          <w:bCs/>
          <w:sz w:val="20"/>
          <w:szCs w:val="20"/>
        </w:rPr>
      </w:pPr>
    </w:p>
    <w:p w:rsidR="004F65FD" w:rsidRDefault="004F65FD" w:rsidP="004F65FD">
      <w:pPr>
        <w:spacing w:after="0" w:line="240" w:lineRule="auto"/>
        <w:rPr>
          <w:rFonts w:ascii="Times New Roman" w:hAnsi="Times New Roman" w:cs="Times New Roman"/>
          <w:sz w:val="20"/>
          <w:szCs w:val="20"/>
        </w:rPr>
      </w:pPr>
      <w:r w:rsidRPr="008A5950">
        <w:rPr>
          <w:rFonts w:ascii="Times New Roman" w:hAnsi="Times New Roman" w:cs="Times New Roman"/>
          <w:sz w:val="20"/>
          <w:szCs w:val="20"/>
          <w:vertAlign w:val="superscript"/>
        </w:rPr>
        <w:t>*</w:t>
      </w:r>
      <w:r w:rsidRPr="00590F95">
        <w:rPr>
          <w:rFonts w:ascii="Times New Roman" w:hAnsi="Times New Roman" w:cs="Times New Roman"/>
          <w:b/>
          <w:bCs/>
          <w:sz w:val="20"/>
          <w:szCs w:val="20"/>
        </w:rPr>
        <w:t>Corresponding Author:</w:t>
      </w:r>
      <w:r w:rsidRPr="008A5950">
        <w:rPr>
          <w:rFonts w:ascii="Times New Roman" w:hAnsi="Times New Roman" w:cs="Times New Roman"/>
          <w:sz w:val="20"/>
          <w:szCs w:val="20"/>
        </w:rPr>
        <w:t xml:space="preserve"> </w:t>
      </w:r>
      <w:hyperlink r:id="rId5" w:history="1">
        <w:r w:rsidRPr="0077536F">
          <w:rPr>
            <w:rStyle w:val="Hyperlink"/>
            <w:rFonts w:ascii="Times New Roman" w:hAnsi="Times New Roman" w:cs="Times New Roman"/>
            <w:sz w:val="20"/>
            <w:szCs w:val="20"/>
          </w:rPr>
          <w:t>aakarshgupta987@gmail.com</w:t>
        </w:r>
      </w:hyperlink>
    </w:p>
    <w:p w:rsidR="004F65FD" w:rsidRPr="008A5950" w:rsidRDefault="004F65FD" w:rsidP="004F65FD">
      <w:pPr>
        <w:spacing w:after="0" w:line="240" w:lineRule="auto"/>
        <w:rPr>
          <w:rFonts w:ascii="Times New Roman" w:hAnsi="Times New Roman" w:cs="Times New Roman"/>
          <w:sz w:val="20"/>
          <w:szCs w:val="20"/>
        </w:rPr>
      </w:pPr>
    </w:p>
    <w:p w:rsidR="004F65FD" w:rsidRDefault="004F65FD" w:rsidP="004F65FD">
      <w:pPr>
        <w:spacing w:after="0" w:line="240" w:lineRule="auto"/>
        <w:jc w:val="center"/>
        <w:rPr>
          <w:rFonts w:ascii="Times New Roman" w:hAnsi="Times New Roman" w:cs="Times New Roman"/>
          <w:bCs/>
          <w:sz w:val="20"/>
          <w:szCs w:val="20"/>
        </w:rPr>
      </w:pPr>
    </w:p>
    <w:p w:rsidR="004F65FD" w:rsidRDefault="004F65FD" w:rsidP="004F65FD">
      <w:pPr>
        <w:spacing w:after="0" w:line="240" w:lineRule="auto"/>
        <w:jc w:val="cente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ABSTRACT</w:t>
      </w:r>
    </w:p>
    <w:p w:rsidR="00B72B97" w:rsidRDefault="00B72B97" w:rsidP="00B72B97">
      <w:pPr>
        <w:spacing w:after="0" w:line="240" w:lineRule="auto"/>
        <w:jc w:val="both"/>
        <w:rPr>
          <w:rFonts w:ascii="Times New Roman" w:hAnsi="Times New Roman" w:cs="Times New Roman"/>
          <w:b/>
          <w:color w:val="000000" w:themeColor="text1"/>
          <w:sz w:val="20"/>
          <w:szCs w:val="20"/>
        </w:rPr>
      </w:pPr>
    </w:p>
    <w:p w:rsidR="00330574" w:rsidRDefault="00330574" w:rsidP="00330574">
      <w:pPr>
        <w:tabs>
          <w:tab w:val="left" w:pos="5505"/>
        </w:tabs>
        <w:spacing w:after="0" w:line="240" w:lineRule="auto"/>
        <w:jc w:val="both"/>
        <w:rPr>
          <w:rFonts w:ascii="Times New Roman" w:hAnsi="Times New Roman" w:cs="Times New Roman"/>
          <w:sz w:val="20"/>
          <w:szCs w:val="20"/>
        </w:rPr>
      </w:pPr>
      <w:r w:rsidRPr="00330574">
        <w:rPr>
          <w:rFonts w:ascii="Times New Roman" w:hAnsi="Times New Roman" w:cs="Times New Roman"/>
          <w:sz w:val="20"/>
          <w:szCs w:val="20"/>
        </w:rPr>
        <w:t>Diabetes mellitus is a chronic metabolic disorder affecting millions and its prevalence is increasing worldwide. To address the challenges posed by existing anti-diabetic medications, researchers have been exploring novel compounds to improve treatment outcomes. Lobeglitazone, a third-generation Thiazolidinedione (TZD), has emerged as a potential candidate in the management of diabetes. It acts as a selective peroxisome proliferator-activated receptor gamma (PPARγ) agonist, enhancing insulin sensitivity in peripheral tissues. Clinical trials have demonstrated Lobeglitazone's efficacy in lowering blood glucose levels, both as a</w:t>
      </w:r>
      <w:r w:rsidR="00226417">
        <w:rPr>
          <w:rFonts w:ascii="Times New Roman" w:hAnsi="Times New Roman" w:cs="Times New Roman"/>
          <w:sz w:val="20"/>
          <w:szCs w:val="20"/>
        </w:rPr>
        <w:t xml:space="preserve"> monotherapy and </w:t>
      </w:r>
      <w:r w:rsidRPr="00330574">
        <w:rPr>
          <w:rFonts w:ascii="Times New Roman" w:hAnsi="Times New Roman" w:cs="Times New Roman"/>
          <w:sz w:val="20"/>
          <w:szCs w:val="20"/>
        </w:rPr>
        <w:t>with other anti-diabetic drugs. Moreover, its favorable safety profile, including reduced risk of</w:t>
      </w:r>
      <w:r w:rsidR="008B5031">
        <w:rPr>
          <w:rFonts w:ascii="Times New Roman" w:hAnsi="Times New Roman" w:cs="Times New Roman"/>
          <w:sz w:val="20"/>
          <w:szCs w:val="20"/>
        </w:rPr>
        <w:t xml:space="preserve"> weight gain and edema compared </w:t>
      </w:r>
      <w:r w:rsidRPr="00330574">
        <w:rPr>
          <w:rFonts w:ascii="Times New Roman" w:hAnsi="Times New Roman" w:cs="Times New Roman"/>
          <w:sz w:val="20"/>
          <w:szCs w:val="20"/>
        </w:rPr>
        <w:t>to older TZDs, makes it an attractive option for patients. While Lobeglitazone represents a significant advancement in anti-diabetic medication, further research and long-term studies are essential to establish its precise role in diabetes management and ensure optimal patient care. The ongoing efforts to develop innovative medications highlight the continuous pursuit of improving diabetes treatment a</w:t>
      </w:r>
      <w:r w:rsidR="00226417">
        <w:rPr>
          <w:rFonts w:ascii="Times New Roman" w:hAnsi="Times New Roman" w:cs="Times New Roman"/>
          <w:sz w:val="20"/>
          <w:szCs w:val="20"/>
        </w:rPr>
        <w:t>nd enhancing the better quality loifestyle</w:t>
      </w:r>
      <w:r w:rsidRPr="00330574">
        <w:rPr>
          <w:rFonts w:ascii="Times New Roman" w:hAnsi="Times New Roman" w:cs="Times New Roman"/>
          <w:sz w:val="20"/>
          <w:szCs w:val="20"/>
        </w:rPr>
        <w:t xml:space="preserve"> for</w:t>
      </w:r>
      <w:r w:rsidR="00226417">
        <w:rPr>
          <w:rFonts w:ascii="Times New Roman" w:hAnsi="Times New Roman" w:cs="Times New Roman"/>
          <w:sz w:val="20"/>
          <w:szCs w:val="20"/>
        </w:rPr>
        <w:t xml:space="preserve"> those living with this severe </w:t>
      </w:r>
      <w:r w:rsidRPr="00330574">
        <w:rPr>
          <w:rFonts w:ascii="Times New Roman" w:hAnsi="Times New Roman" w:cs="Times New Roman"/>
          <w:sz w:val="20"/>
          <w:szCs w:val="20"/>
        </w:rPr>
        <w:t>condition.</w:t>
      </w:r>
    </w:p>
    <w:p w:rsidR="00330574" w:rsidRDefault="00330574" w:rsidP="00330574">
      <w:pPr>
        <w:tabs>
          <w:tab w:val="left" w:pos="5505"/>
        </w:tabs>
        <w:spacing w:after="0" w:line="240" w:lineRule="auto"/>
        <w:jc w:val="both"/>
        <w:rPr>
          <w:rFonts w:ascii="Times New Roman" w:hAnsi="Times New Roman" w:cs="Times New Roman"/>
          <w:sz w:val="20"/>
          <w:szCs w:val="20"/>
        </w:rPr>
      </w:pPr>
    </w:p>
    <w:p w:rsidR="00B72B97" w:rsidRDefault="00330574" w:rsidP="00C95BA2">
      <w:pPr>
        <w:tabs>
          <w:tab w:val="left" w:pos="5505"/>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Lobeglitazone, Diabetes, Thiazolidinedione</w:t>
      </w:r>
      <w:r w:rsidR="00E31F35">
        <w:rPr>
          <w:rFonts w:ascii="Times New Roman" w:hAnsi="Times New Roman" w:cs="Times New Roman"/>
          <w:sz w:val="20"/>
          <w:szCs w:val="20"/>
        </w:rPr>
        <w:t>, Prevalence</w:t>
      </w:r>
    </w:p>
    <w:p w:rsidR="00C95BA2" w:rsidRDefault="00C95BA2" w:rsidP="00C95BA2">
      <w:pPr>
        <w:spacing w:after="0" w:line="240" w:lineRule="auto"/>
        <w:rPr>
          <w:rFonts w:ascii="Times New Roman" w:hAnsi="Times New Roman" w:cs="Times New Roman"/>
          <w:sz w:val="20"/>
          <w:szCs w:val="20"/>
        </w:rPr>
      </w:pPr>
    </w:p>
    <w:p w:rsidR="00C95BA2" w:rsidRPr="00C9766E" w:rsidRDefault="00C95BA2" w:rsidP="00C95BA2">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I. </w:t>
      </w:r>
      <w:r w:rsidRPr="00C9766E">
        <w:rPr>
          <w:rFonts w:ascii="Times New Roman" w:hAnsi="Times New Roman" w:cs="Times New Roman"/>
          <w:b/>
          <w:color w:val="000000" w:themeColor="text1"/>
          <w:sz w:val="20"/>
          <w:szCs w:val="20"/>
        </w:rPr>
        <w:t>INTRODUCTION</w:t>
      </w:r>
    </w:p>
    <w:p w:rsidR="00C95BA2" w:rsidRPr="00C95BA2" w:rsidRDefault="00C95BA2" w:rsidP="00C95BA2">
      <w:pPr>
        <w:spacing w:after="0" w:line="240" w:lineRule="auto"/>
        <w:rPr>
          <w:rFonts w:ascii="Times New Roman" w:hAnsi="Times New Roman" w:cs="Times New Roman"/>
          <w:b/>
          <w:color w:val="000000" w:themeColor="text1"/>
          <w:sz w:val="20"/>
          <w:szCs w:val="20"/>
        </w:rPr>
      </w:pPr>
    </w:p>
    <w:p w:rsidR="00C95BA2" w:rsidRDefault="009F48BA" w:rsidP="0097491D">
      <w:pPr>
        <w:spacing w:line="240" w:lineRule="auto"/>
        <w:ind w:firstLine="720"/>
        <w:jc w:val="both"/>
        <w:rPr>
          <w:rFonts w:ascii="Times New Roman" w:hAnsi="Times New Roman" w:cs="Times New Roman"/>
          <w:sz w:val="20"/>
          <w:szCs w:val="20"/>
        </w:rPr>
      </w:pPr>
      <w:r w:rsidRPr="009F48BA">
        <w:rPr>
          <w:rFonts w:ascii="Times New Roman" w:hAnsi="Times New Roman" w:cs="Times New Roman"/>
          <w:sz w:val="20"/>
          <w:szCs w:val="20"/>
        </w:rPr>
        <w:t>Diabetes mellitus has been identified as a</w:t>
      </w:r>
      <w:r w:rsidR="0086446C">
        <w:rPr>
          <w:rFonts w:ascii="Times New Roman" w:hAnsi="Times New Roman" w:cs="Times New Roman"/>
          <w:sz w:val="20"/>
          <w:szCs w:val="20"/>
        </w:rPr>
        <w:t>n important public health concern</w:t>
      </w:r>
      <w:r w:rsidRPr="009F48BA">
        <w:rPr>
          <w:rFonts w:ascii="Times New Roman" w:hAnsi="Times New Roman" w:cs="Times New Roman"/>
          <w:sz w:val="20"/>
          <w:szCs w:val="20"/>
        </w:rPr>
        <w:t xml:space="preserve"> with a significant influence on health care costs and human life. In many regions of the world, the prevalence of diabetes is increasing due to urbanization and rapid economic development. Diabetes has a negative impact on a person's functional abilities and quality of life, which causes severe morbidi</w:t>
      </w:r>
      <w:r w:rsidR="00513CCB">
        <w:rPr>
          <w:rFonts w:ascii="Times New Roman" w:hAnsi="Times New Roman" w:cs="Times New Roman"/>
          <w:sz w:val="20"/>
          <w:szCs w:val="20"/>
        </w:rPr>
        <w:t>ty and early mortality. Concerns</w:t>
      </w:r>
      <w:r w:rsidR="00513CCB" w:rsidRPr="009F48BA">
        <w:rPr>
          <w:rFonts w:ascii="Times New Roman" w:hAnsi="Times New Roman" w:cs="Times New Roman"/>
          <w:sz w:val="20"/>
          <w:szCs w:val="20"/>
        </w:rPr>
        <w:t xml:space="preserve"> </w:t>
      </w:r>
      <w:r w:rsidR="00513CCB">
        <w:rPr>
          <w:rFonts w:ascii="Times New Roman" w:hAnsi="Times New Roman" w:cs="Times New Roman"/>
          <w:sz w:val="20"/>
          <w:szCs w:val="20"/>
        </w:rPr>
        <w:t xml:space="preserve">about the fact that those under </w:t>
      </w:r>
      <w:r w:rsidR="00513CCB" w:rsidRPr="009F48BA">
        <w:rPr>
          <w:rFonts w:ascii="Times New Roman" w:hAnsi="Times New Roman" w:cs="Times New Roman"/>
          <w:sz w:val="20"/>
          <w:szCs w:val="20"/>
        </w:rPr>
        <w:t>the age</w:t>
      </w:r>
      <w:r w:rsidR="00513CCB">
        <w:rPr>
          <w:rFonts w:ascii="Times New Roman" w:hAnsi="Times New Roman" w:cs="Times New Roman"/>
          <w:sz w:val="20"/>
          <w:szCs w:val="20"/>
        </w:rPr>
        <w:t xml:space="preserve"> of</w:t>
      </w:r>
      <w:r w:rsidR="00513CCB" w:rsidRPr="009F48BA">
        <w:rPr>
          <w:rFonts w:ascii="Times New Roman" w:hAnsi="Times New Roman" w:cs="Times New Roman"/>
          <w:sz w:val="20"/>
          <w:szCs w:val="20"/>
        </w:rPr>
        <w:t> 60 make up more than one-thir</w:t>
      </w:r>
      <w:r w:rsidR="00513CCB">
        <w:rPr>
          <w:rFonts w:ascii="Times New Roman" w:hAnsi="Times New Roman" w:cs="Times New Roman"/>
          <w:sz w:val="20"/>
          <w:szCs w:val="20"/>
        </w:rPr>
        <w:t>d o</w:t>
      </w:r>
      <w:r w:rsidR="00C33EAD">
        <w:rPr>
          <w:rFonts w:ascii="Times New Roman" w:hAnsi="Times New Roman" w:cs="Times New Roman"/>
          <w:sz w:val="20"/>
          <w:szCs w:val="20"/>
        </w:rPr>
        <w:t xml:space="preserve">f diabetes-related mortalities </w:t>
      </w:r>
      <w:r w:rsidR="00513CCB">
        <w:rPr>
          <w:rFonts w:ascii="Times New Roman" w:hAnsi="Times New Roman" w:cs="Times New Roman"/>
          <w:sz w:val="20"/>
          <w:szCs w:val="20"/>
        </w:rPr>
        <w:t>[1-4]</w:t>
      </w:r>
      <w:r w:rsidR="00C33EAD">
        <w:rPr>
          <w:rFonts w:ascii="Times New Roman" w:hAnsi="Times New Roman" w:cs="Times New Roman"/>
          <w:sz w:val="20"/>
          <w:szCs w:val="20"/>
        </w:rPr>
        <w:t>.</w:t>
      </w:r>
    </w:p>
    <w:p w:rsidR="00513CCB" w:rsidRDefault="00513CCB" w:rsidP="0097491D">
      <w:pPr>
        <w:spacing w:line="240" w:lineRule="auto"/>
        <w:ind w:firstLine="720"/>
        <w:jc w:val="both"/>
        <w:rPr>
          <w:rFonts w:ascii="Times New Roman" w:hAnsi="Times New Roman" w:cs="Times New Roman"/>
          <w:sz w:val="20"/>
          <w:szCs w:val="20"/>
        </w:rPr>
      </w:pPr>
      <w:r w:rsidRPr="00513CCB">
        <w:rPr>
          <w:rFonts w:ascii="Times New Roman" w:hAnsi="Times New Roman" w:cs="Times New Roman"/>
          <w:sz w:val="20"/>
          <w:szCs w:val="20"/>
        </w:rPr>
        <w:t>Insuli</w:t>
      </w:r>
      <w:r w:rsidR="00ED3AA8">
        <w:rPr>
          <w:rFonts w:ascii="Times New Roman" w:hAnsi="Times New Roman" w:cs="Times New Roman"/>
          <w:sz w:val="20"/>
          <w:szCs w:val="20"/>
        </w:rPr>
        <w:t>n-dependent diabetes mellitus (</w:t>
      </w:r>
      <w:r w:rsidRPr="00513CCB">
        <w:rPr>
          <w:rFonts w:ascii="Times New Roman" w:hAnsi="Times New Roman" w:cs="Times New Roman"/>
          <w:sz w:val="20"/>
          <w:szCs w:val="20"/>
        </w:rPr>
        <w:t>T</w:t>
      </w:r>
      <w:r w:rsidRPr="00513CCB">
        <w:rPr>
          <w:rFonts w:ascii="Times New Roman" w:hAnsi="Times New Roman" w:cs="Times New Roman"/>
          <w:sz w:val="20"/>
          <w:szCs w:val="20"/>
          <w:vertAlign w:val="subscript"/>
        </w:rPr>
        <w:t>1</w:t>
      </w:r>
      <w:r w:rsidRPr="00513CCB">
        <w:rPr>
          <w:rFonts w:ascii="Times New Roman" w:hAnsi="Times New Roman" w:cs="Times New Roman"/>
          <w:sz w:val="20"/>
          <w:szCs w:val="20"/>
        </w:rPr>
        <w:t>DM) and non-insuli</w:t>
      </w:r>
      <w:r w:rsidR="00ED3AA8">
        <w:rPr>
          <w:rFonts w:ascii="Times New Roman" w:hAnsi="Times New Roman" w:cs="Times New Roman"/>
          <w:sz w:val="20"/>
          <w:szCs w:val="20"/>
        </w:rPr>
        <w:t>n-dependent diabetes mellitus (</w:t>
      </w:r>
      <w:r w:rsidRPr="00513CCB">
        <w:rPr>
          <w:rFonts w:ascii="Times New Roman" w:hAnsi="Times New Roman" w:cs="Times New Roman"/>
          <w:sz w:val="20"/>
          <w:szCs w:val="20"/>
        </w:rPr>
        <w:t>T</w:t>
      </w:r>
      <w:r w:rsidRPr="00513CCB">
        <w:rPr>
          <w:rFonts w:ascii="Times New Roman" w:hAnsi="Times New Roman" w:cs="Times New Roman"/>
          <w:sz w:val="20"/>
          <w:szCs w:val="20"/>
          <w:vertAlign w:val="subscript"/>
        </w:rPr>
        <w:t>2</w:t>
      </w:r>
      <w:r w:rsidRPr="00513CCB">
        <w:rPr>
          <w:rFonts w:ascii="Times New Roman" w:hAnsi="Times New Roman" w:cs="Times New Roman"/>
          <w:sz w:val="20"/>
          <w:szCs w:val="20"/>
        </w:rPr>
        <w:t>DM) are the two main types of diabetes. 90% to 95% of all diabetic patients have T</w:t>
      </w:r>
      <w:r w:rsidRPr="00513CCB">
        <w:rPr>
          <w:rFonts w:ascii="Times New Roman" w:hAnsi="Times New Roman" w:cs="Times New Roman"/>
          <w:sz w:val="20"/>
          <w:szCs w:val="20"/>
          <w:vertAlign w:val="subscript"/>
        </w:rPr>
        <w:t>2</w:t>
      </w:r>
      <w:r w:rsidRPr="00513CCB">
        <w:rPr>
          <w:rFonts w:ascii="Times New Roman" w:hAnsi="Times New Roman" w:cs="Times New Roman"/>
          <w:sz w:val="20"/>
          <w:szCs w:val="20"/>
        </w:rPr>
        <w:t xml:space="preserve">DM, the most prevalent type of the disease, and by 2030, that </w:t>
      </w:r>
      <w:r w:rsidR="00331089">
        <w:rPr>
          <w:rFonts w:ascii="Times New Roman" w:hAnsi="Times New Roman" w:cs="Times New Roman"/>
          <w:sz w:val="20"/>
          <w:szCs w:val="20"/>
        </w:rPr>
        <w:t>number is projected to reach 643</w:t>
      </w:r>
      <w:r w:rsidRPr="00513CCB">
        <w:rPr>
          <w:rFonts w:ascii="Times New Roman" w:hAnsi="Times New Roman" w:cs="Times New Roman"/>
          <w:sz w:val="20"/>
          <w:szCs w:val="20"/>
        </w:rPr>
        <w:t xml:space="preserve"> millions.</w:t>
      </w:r>
      <w:r w:rsidR="00331089">
        <w:rPr>
          <w:rFonts w:ascii="Times New Roman" w:hAnsi="Times New Roman" w:cs="Times New Roman"/>
          <w:sz w:val="20"/>
          <w:szCs w:val="20"/>
        </w:rPr>
        <w:t xml:space="preserve"> </w:t>
      </w:r>
      <w:r w:rsidR="00331089" w:rsidRPr="00331089">
        <w:rPr>
          <w:rFonts w:ascii="Times New Roman" w:hAnsi="Times New Roman" w:cs="Times New Roman"/>
          <w:sz w:val="20"/>
          <w:szCs w:val="20"/>
        </w:rPr>
        <w:t>Over the next 20 years, it is anticipated that the number of people with T</w:t>
      </w:r>
      <w:r w:rsidR="00331089" w:rsidRPr="00331089">
        <w:rPr>
          <w:rFonts w:ascii="Times New Roman" w:hAnsi="Times New Roman" w:cs="Times New Roman"/>
          <w:sz w:val="20"/>
          <w:szCs w:val="20"/>
          <w:vertAlign w:val="subscript"/>
        </w:rPr>
        <w:t>2</w:t>
      </w:r>
      <w:r w:rsidR="00331089" w:rsidRPr="00331089">
        <w:rPr>
          <w:rFonts w:ascii="Times New Roman" w:hAnsi="Times New Roman" w:cs="Times New Roman"/>
          <w:sz w:val="20"/>
          <w:szCs w:val="20"/>
        </w:rPr>
        <w:t>DM will continue to rise, with more than 70% of those patients being from developing nations and bein</w:t>
      </w:r>
      <w:r w:rsidR="00C33EAD">
        <w:rPr>
          <w:rFonts w:ascii="Times New Roman" w:hAnsi="Times New Roman" w:cs="Times New Roman"/>
          <w:sz w:val="20"/>
          <w:szCs w:val="20"/>
        </w:rPr>
        <w:t xml:space="preserve">g between the ages of 45 and 64 </w:t>
      </w:r>
      <w:r w:rsidR="00323BBE">
        <w:rPr>
          <w:rFonts w:ascii="Times New Roman" w:hAnsi="Times New Roman" w:cs="Times New Roman"/>
          <w:sz w:val="20"/>
          <w:szCs w:val="20"/>
        </w:rPr>
        <w:t>[5-8]</w:t>
      </w:r>
      <w:r w:rsidR="00C33EAD">
        <w:rPr>
          <w:rFonts w:ascii="Times New Roman" w:hAnsi="Times New Roman" w:cs="Times New Roman"/>
          <w:sz w:val="20"/>
          <w:szCs w:val="20"/>
        </w:rPr>
        <w:t>.</w:t>
      </w:r>
    </w:p>
    <w:p w:rsidR="00D113BB" w:rsidRDefault="00D113BB" w:rsidP="0097491D">
      <w:pPr>
        <w:spacing w:line="240" w:lineRule="auto"/>
        <w:ind w:firstLine="720"/>
        <w:jc w:val="both"/>
        <w:rPr>
          <w:rFonts w:ascii="Times New Roman" w:hAnsi="Times New Roman" w:cs="Times New Roman"/>
          <w:sz w:val="20"/>
          <w:szCs w:val="20"/>
        </w:rPr>
      </w:pPr>
      <w:r w:rsidRPr="00D113BB">
        <w:rPr>
          <w:rFonts w:ascii="Times New Roman" w:hAnsi="Times New Roman" w:cs="Times New Roman"/>
          <w:sz w:val="20"/>
          <w:szCs w:val="20"/>
        </w:rPr>
        <w:t>Current treatment approaches f</w:t>
      </w:r>
      <w:r>
        <w:rPr>
          <w:rFonts w:ascii="Times New Roman" w:hAnsi="Times New Roman" w:cs="Times New Roman"/>
          <w:sz w:val="20"/>
          <w:szCs w:val="20"/>
        </w:rPr>
        <w:t>or diabetes include</w:t>
      </w:r>
      <w:r w:rsidR="005341A4">
        <w:rPr>
          <w:rFonts w:ascii="Times New Roman" w:hAnsi="Times New Roman" w:cs="Times New Roman"/>
          <w:sz w:val="20"/>
          <w:szCs w:val="20"/>
        </w:rPr>
        <w:t>s</w:t>
      </w:r>
      <w:r>
        <w:rPr>
          <w:rFonts w:ascii="Times New Roman" w:hAnsi="Times New Roman" w:cs="Times New Roman"/>
          <w:sz w:val="20"/>
          <w:szCs w:val="20"/>
        </w:rPr>
        <w:t xml:space="preserve"> lifestyle mo</w:t>
      </w:r>
      <w:r w:rsidRPr="00D113BB">
        <w:rPr>
          <w:rFonts w:ascii="Times New Roman" w:hAnsi="Times New Roman" w:cs="Times New Roman"/>
          <w:sz w:val="20"/>
          <w:szCs w:val="20"/>
        </w:rPr>
        <w:t>difications, oral anti-diabetic drugs, injectable insulin, and other injectable medications that help improve insulin sensitivity or promote insulin secretion. However, these treatments may have limitations, including side effects, adherence issues, and variable efficacy.</w:t>
      </w:r>
      <w:r>
        <w:rPr>
          <w:rFonts w:ascii="Times New Roman" w:hAnsi="Times New Roman" w:cs="Times New Roman"/>
          <w:sz w:val="20"/>
          <w:szCs w:val="20"/>
        </w:rPr>
        <w:t xml:space="preserve"> </w:t>
      </w:r>
      <w:r w:rsidR="00226417" w:rsidRPr="00226417">
        <w:rPr>
          <w:rFonts w:ascii="Times New Roman" w:hAnsi="Times New Roman" w:cs="Times New Roman"/>
          <w:sz w:val="20"/>
          <w:szCs w:val="20"/>
        </w:rPr>
        <w:t>A wide range of lifestyle factors, such as sedentary behavior, physical inactivity, smoking, and alcohol consumption, have a significant impact on the development of T</w:t>
      </w:r>
      <w:r w:rsidR="00226417" w:rsidRPr="00226417">
        <w:rPr>
          <w:rFonts w:ascii="Times New Roman" w:hAnsi="Times New Roman" w:cs="Times New Roman"/>
          <w:sz w:val="20"/>
          <w:szCs w:val="20"/>
          <w:vertAlign w:val="subscript"/>
        </w:rPr>
        <w:t>2</w:t>
      </w:r>
      <w:r w:rsidR="00226417" w:rsidRPr="00226417">
        <w:rPr>
          <w:rFonts w:ascii="Times New Roman" w:hAnsi="Times New Roman" w:cs="Times New Roman"/>
          <w:sz w:val="20"/>
          <w:szCs w:val="20"/>
        </w:rPr>
        <w:t>DM. According to comprehensive epidemiological research, obesity is the main risk factor for T</w:t>
      </w:r>
      <w:r w:rsidR="00226417" w:rsidRPr="00226417">
        <w:rPr>
          <w:rFonts w:ascii="Times New Roman" w:hAnsi="Times New Roman" w:cs="Times New Roman"/>
          <w:sz w:val="20"/>
          <w:szCs w:val="20"/>
          <w:vertAlign w:val="subscript"/>
        </w:rPr>
        <w:t>2</w:t>
      </w:r>
      <w:r w:rsidR="00226417" w:rsidRPr="00226417">
        <w:rPr>
          <w:rFonts w:ascii="Times New Roman" w:hAnsi="Times New Roman" w:cs="Times New Roman"/>
          <w:sz w:val="20"/>
          <w:szCs w:val="20"/>
        </w:rPr>
        <w:t>DM, which may have an impact on the development of insulin resistance and the course of the disease. Over 90% of diabetic patients suffer from type 2 diabetes, with an increase in body weight being the main cause, according to the W</w:t>
      </w:r>
      <w:r w:rsidR="00226417">
        <w:rPr>
          <w:rFonts w:ascii="Times New Roman" w:hAnsi="Times New Roman" w:cs="Times New Roman"/>
          <w:sz w:val="20"/>
          <w:szCs w:val="20"/>
        </w:rPr>
        <w:t xml:space="preserve">orld Health Organization (WHO) </w:t>
      </w:r>
      <w:r w:rsidR="00086BAF">
        <w:rPr>
          <w:rFonts w:ascii="Times New Roman" w:hAnsi="Times New Roman" w:cs="Times New Roman"/>
          <w:sz w:val="20"/>
          <w:szCs w:val="20"/>
        </w:rPr>
        <w:t>[9-11]</w:t>
      </w:r>
      <w:r w:rsidR="00C33EAD">
        <w:rPr>
          <w:rFonts w:ascii="Times New Roman" w:hAnsi="Times New Roman" w:cs="Times New Roman"/>
          <w:sz w:val="20"/>
          <w:szCs w:val="20"/>
        </w:rPr>
        <w:t>.</w:t>
      </w:r>
    </w:p>
    <w:p w:rsidR="00C33EAD" w:rsidRDefault="00997601" w:rsidP="00D113BB">
      <w:pPr>
        <w:rPr>
          <w:rFonts w:ascii="Times New Roman" w:hAnsi="Times New Roman" w:cs="Times New Roman"/>
          <w:sz w:val="20"/>
          <w:szCs w:val="20"/>
        </w:rPr>
      </w:pPr>
      <w:r>
        <w:rPr>
          <w:rFonts w:ascii="Times New Roman" w:hAnsi="Times New Roman" w:cs="Times New Roman"/>
          <w:sz w:val="20"/>
          <w:szCs w:val="20"/>
        </w:rPr>
        <w:t xml:space="preserve">              </w:t>
      </w:r>
    </w:p>
    <w:p w:rsidR="00C33EAD" w:rsidRDefault="00C33EAD" w:rsidP="00D113BB">
      <w:pPr>
        <w:rPr>
          <w:rFonts w:ascii="Times New Roman" w:hAnsi="Times New Roman" w:cs="Times New Roman"/>
          <w:sz w:val="20"/>
          <w:szCs w:val="20"/>
        </w:rPr>
      </w:pPr>
    </w:p>
    <w:p w:rsidR="00C33EAD" w:rsidRDefault="00C33EAD" w:rsidP="00D113BB">
      <w:pPr>
        <w:rPr>
          <w:rFonts w:ascii="Times New Roman" w:hAnsi="Times New Roman" w:cs="Times New Roman"/>
          <w:sz w:val="20"/>
          <w:szCs w:val="20"/>
        </w:rPr>
      </w:pPr>
    </w:p>
    <w:p w:rsidR="00997601" w:rsidRDefault="00997601" w:rsidP="00D113BB">
      <w:pPr>
        <w:rPr>
          <w:rFonts w:ascii="Times New Roman" w:hAnsi="Times New Roman" w:cs="Times New Roman"/>
          <w:sz w:val="20"/>
          <w:szCs w:val="20"/>
        </w:rPr>
      </w:pPr>
      <w:r>
        <w:rPr>
          <w:rFonts w:ascii="Times New Roman" w:hAnsi="Times New Roman" w:cs="Times New Roman"/>
          <w:sz w:val="20"/>
          <w:szCs w:val="20"/>
        </w:rPr>
        <w:lastRenderedPageBreak/>
        <w:t>There are currently 10 classes available of oral anti-diabetic agents to treat T</w:t>
      </w:r>
      <w:r>
        <w:rPr>
          <w:rFonts w:ascii="Times New Roman" w:hAnsi="Times New Roman" w:cs="Times New Roman"/>
          <w:sz w:val="20"/>
          <w:szCs w:val="20"/>
          <w:vertAlign w:val="subscript"/>
        </w:rPr>
        <w:t>2</w:t>
      </w:r>
      <w:r>
        <w:rPr>
          <w:rFonts w:ascii="Times New Roman" w:hAnsi="Times New Roman" w:cs="Times New Roman"/>
          <w:sz w:val="20"/>
          <w:szCs w:val="20"/>
        </w:rPr>
        <w:t>DM:</w:t>
      </w:r>
      <w:r w:rsidR="004D0852">
        <w:rPr>
          <w:rFonts w:ascii="Times New Roman" w:hAnsi="Times New Roman" w:cs="Times New Roman"/>
          <w:sz w:val="20"/>
          <w:szCs w:val="20"/>
        </w:rPr>
        <w:t xml:space="preserve"> [12-14</w:t>
      </w:r>
      <w:r w:rsidR="00545913">
        <w:rPr>
          <w:rFonts w:ascii="Times New Roman" w:hAnsi="Times New Roman" w:cs="Times New Roman"/>
          <w:sz w:val="20"/>
          <w:szCs w:val="20"/>
        </w:rPr>
        <w:t>]</w:t>
      </w:r>
    </w:p>
    <w:p w:rsidR="00997601" w:rsidRDefault="00997601" w:rsidP="00997601">
      <w:pPr>
        <w:pStyle w:val="ListParagraph"/>
        <w:numPr>
          <w:ilvl w:val="0"/>
          <w:numId w:val="7"/>
        </w:numPr>
        <w:jc w:val="both"/>
        <w:rPr>
          <w:rFonts w:ascii="Times New Roman" w:hAnsi="Times New Roman" w:cs="Times New Roman"/>
          <w:sz w:val="20"/>
          <w:szCs w:val="20"/>
        </w:rPr>
      </w:pPr>
      <w:r w:rsidRPr="00997601">
        <w:rPr>
          <w:rFonts w:ascii="Times New Roman" w:hAnsi="Times New Roman" w:cs="Times New Roman"/>
          <w:b/>
          <w:sz w:val="20"/>
          <w:szCs w:val="20"/>
        </w:rPr>
        <w:t>Sulfonylureas</w:t>
      </w:r>
      <w:r>
        <w:rPr>
          <w:rFonts w:ascii="Times New Roman" w:hAnsi="Times New Roman" w:cs="Times New Roman"/>
          <w:sz w:val="20"/>
          <w:szCs w:val="20"/>
        </w:rPr>
        <w:t xml:space="preserve"> (Ex- Glimepiride, Tolbutamide)</w:t>
      </w:r>
    </w:p>
    <w:p w:rsidR="00997601" w:rsidRDefault="00997601" w:rsidP="00997601">
      <w:pPr>
        <w:pStyle w:val="ListParagraph"/>
        <w:numPr>
          <w:ilvl w:val="0"/>
          <w:numId w:val="7"/>
        </w:numPr>
        <w:jc w:val="both"/>
        <w:rPr>
          <w:rFonts w:ascii="Times New Roman" w:hAnsi="Times New Roman" w:cs="Times New Roman"/>
          <w:sz w:val="20"/>
          <w:szCs w:val="20"/>
        </w:rPr>
      </w:pPr>
      <w:r w:rsidRPr="00997601">
        <w:rPr>
          <w:rFonts w:ascii="Times New Roman" w:hAnsi="Times New Roman" w:cs="Times New Roman"/>
          <w:b/>
          <w:sz w:val="20"/>
          <w:szCs w:val="20"/>
        </w:rPr>
        <w:t xml:space="preserve">Meglitinide/Phenylalanine analogues </w:t>
      </w:r>
      <w:r>
        <w:rPr>
          <w:rFonts w:ascii="Times New Roman" w:hAnsi="Times New Roman" w:cs="Times New Roman"/>
          <w:sz w:val="20"/>
          <w:szCs w:val="20"/>
        </w:rPr>
        <w:t>(Ex- Repaglinide, Nateglinide)</w:t>
      </w:r>
    </w:p>
    <w:p w:rsidR="00997601" w:rsidRDefault="00997601" w:rsidP="00997601">
      <w:pPr>
        <w:pStyle w:val="ListParagraph"/>
        <w:numPr>
          <w:ilvl w:val="0"/>
          <w:numId w:val="7"/>
        </w:numPr>
        <w:jc w:val="both"/>
        <w:rPr>
          <w:rFonts w:ascii="Times New Roman" w:hAnsi="Times New Roman" w:cs="Times New Roman"/>
          <w:sz w:val="20"/>
          <w:szCs w:val="20"/>
        </w:rPr>
      </w:pPr>
      <w:r>
        <w:rPr>
          <w:rFonts w:ascii="Times New Roman" w:hAnsi="Times New Roman" w:cs="Times New Roman"/>
          <w:b/>
          <w:sz w:val="20"/>
          <w:szCs w:val="20"/>
        </w:rPr>
        <w:t xml:space="preserve">Biguanide </w:t>
      </w:r>
      <w:r>
        <w:rPr>
          <w:rFonts w:ascii="Times New Roman" w:hAnsi="Times New Roman" w:cs="Times New Roman"/>
          <w:sz w:val="20"/>
          <w:szCs w:val="20"/>
        </w:rPr>
        <w:t>(Ex- Metformin)</w:t>
      </w:r>
    </w:p>
    <w:p w:rsidR="00997601" w:rsidRDefault="00997601" w:rsidP="00997601">
      <w:pPr>
        <w:pStyle w:val="ListParagraph"/>
        <w:numPr>
          <w:ilvl w:val="0"/>
          <w:numId w:val="7"/>
        </w:numPr>
        <w:jc w:val="both"/>
        <w:rPr>
          <w:rFonts w:ascii="Times New Roman" w:hAnsi="Times New Roman" w:cs="Times New Roman"/>
          <w:sz w:val="20"/>
          <w:szCs w:val="20"/>
        </w:rPr>
      </w:pPr>
      <w:r>
        <w:rPr>
          <w:rFonts w:ascii="Times New Roman" w:hAnsi="Times New Roman" w:cs="Times New Roman"/>
          <w:b/>
          <w:sz w:val="20"/>
          <w:szCs w:val="20"/>
        </w:rPr>
        <w:t xml:space="preserve">Thiazolidinedione </w:t>
      </w:r>
      <w:r>
        <w:rPr>
          <w:rFonts w:ascii="Times New Roman" w:hAnsi="Times New Roman" w:cs="Times New Roman"/>
          <w:sz w:val="20"/>
          <w:szCs w:val="20"/>
        </w:rPr>
        <w:t>(Ex- Pioglitazone, Rosiglitazone)</w:t>
      </w:r>
    </w:p>
    <w:p w:rsidR="00997601" w:rsidRDefault="00997601" w:rsidP="00997601">
      <w:pPr>
        <w:pStyle w:val="ListParagraph"/>
        <w:numPr>
          <w:ilvl w:val="0"/>
          <w:numId w:val="7"/>
        </w:numPr>
        <w:jc w:val="both"/>
        <w:rPr>
          <w:rFonts w:ascii="Times New Roman" w:hAnsi="Times New Roman" w:cs="Times New Roman"/>
          <w:sz w:val="20"/>
          <w:szCs w:val="20"/>
        </w:rPr>
      </w:pPr>
      <w:r>
        <w:rPr>
          <w:rFonts w:ascii="Times New Roman" w:hAnsi="Times New Roman" w:cs="Times New Roman"/>
          <w:b/>
          <w:sz w:val="20"/>
          <w:szCs w:val="20"/>
        </w:rPr>
        <w:t xml:space="preserve">Alpha-glucosidase inhibitors </w:t>
      </w:r>
      <w:r>
        <w:rPr>
          <w:rFonts w:ascii="Times New Roman" w:hAnsi="Times New Roman" w:cs="Times New Roman"/>
          <w:sz w:val="20"/>
          <w:szCs w:val="20"/>
        </w:rPr>
        <w:t>(Ex- Acarbose, Voglibose)</w:t>
      </w:r>
    </w:p>
    <w:p w:rsidR="00997601" w:rsidRDefault="00997601" w:rsidP="00997601">
      <w:pPr>
        <w:pStyle w:val="ListParagraph"/>
        <w:numPr>
          <w:ilvl w:val="0"/>
          <w:numId w:val="7"/>
        </w:numPr>
        <w:jc w:val="both"/>
        <w:rPr>
          <w:rFonts w:ascii="Times New Roman" w:hAnsi="Times New Roman" w:cs="Times New Roman"/>
          <w:sz w:val="20"/>
          <w:szCs w:val="20"/>
        </w:rPr>
      </w:pPr>
      <w:r>
        <w:rPr>
          <w:rFonts w:ascii="Times New Roman" w:hAnsi="Times New Roman" w:cs="Times New Roman"/>
          <w:b/>
          <w:sz w:val="20"/>
          <w:szCs w:val="20"/>
        </w:rPr>
        <w:t xml:space="preserve">Dipeptidyl peptidase-4 (DPP-4) inhibitors </w:t>
      </w:r>
      <w:r>
        <w:rPr>
          <w:rFonts w:ascii="Times New Roman" w:hAnsi="Times New Roman" w:cs="Times New Roman"/>
          <w:sz w:val="20"/>
          <w:szCs w:val="20"/>
        </w:rPr>
        <w:t>(Ex- Sitagliptin, Vildagliptin)</w:t>
      </w:r>
    </w:p>
    <w:p w:rsidR="00997601" w:rsidRDefault="00997601" w:rsidP="00997601">
      <w:pPr>
        <w:pStyle w:val="ListParagraph"/>
        <w:numPr>
          <w:ilvl w:val="0"/>
          <w:numId w:val="7"/>
        </w:numPr>
        <w:jc w:val="both"/>
        <w:rPr>
          <w:rFonts w:ascii="Times New Roman" w:hAnsi="Times New Roman" w:cs="Times New Roman"/>
          <w:sz w:val="20"/>
          <w:szCs w:val="20"/>
        </w:rPr>
      </w:pPr>
      <w:r>
        <w:rPr>
          <w:rFonts w:ascii="Times New Roman" w:hAnsi="Times New Roman" w:cs="Times New Roman"/>
          <w:b/>
          <w:sz w:val="20"/>
          <w:szCs w:val="20"/>
        </w:rPr>
        <w:t xml:space="preserve">Sod-glucose cotransport-2 (SGLT-2) inhibitors </w:t>
      </w:r>
      <w:r>
        <w:rPr>
          <w:rFonts w:ascii="Times New Roman" w:hAnsi="Times New Roman" w:cs="Times New Roman"/>
          <w:sz w:val="20"/>
          <w:szCs w:val="20"/>
        </w:rPr>
        <w:t>(Ex- Dapagliflozin, Canagliflozin)</w:t>
      </w:r>
    </w:p>
    <w:p w:rsidR="00997601" w:rsidRDefault="00997601" w:rsidP="00997601">
      <w:pPr>
        <w:pStyle w:val="ListParagraph"/>
        <w:numPr>
          <w:ilvl w:val="0"/>
          <w:numId w:val="7"/>
        </w:numPr>
        <w:jc w:val="both"/>
        <w:rPr>
          <w:rFonts w:ascii="Times New Roman" w:hAnsi="Times New Roman" w:cs="Times New Roman"/>
          <w:sz w:val="20"/>
          <w:szCs w:val="20"/>
        </w:rPr>
      </w:pPr>
      <w:r>
        <w:rPr>
          <w:rFonts w:ascii="Times New Roman" w:hAnsi="Times New Roman" w:cs="Times New Roman"/>
          <w:b/>
          <w:sz w:val="20"/>
          <w:szCs w:val="20"/>
        </w:rPr>
        <w:t>Dopamine D</w:t>
      </w:r>
      <w:r>
        <w:rPr>
          <w:rFonts w:ascii="Times New Roman" w:hAnsi="Times New Roman" w:cs="Times New Roman"/>
          <w:b/>
          <w:sz w:val="20"/>
          <w:szCs w:val="20"/>
          <w:vertAlign w:val="subscript"/>
        </w:rPr>
        <w:t>2</w:t>
      </w:r>
      <w:r>
        <w:rPr>
          <w:rFonts w:ascii="Times New Roman" w:hAnsi="Times New Roman" w:cs="Times New Roman"/>
          <w:b/>
          <w:sz w:val="20"/>
          <w:szCs w:val="20"/>
        </w:rPr>
        <w:t xml:space="preserve"> agonist </w:t>
      </w:r>
      <w:r>
        <w:rPr>
          <w:rFonts w:ascii="Times New Roman" w:hAnsi="Times New Roman" w:cs="Times New Roman"/>
          <w:sz w:val="20"/>
          <w:szCs w:val="20"/>
        </w:rPr>
        <w:t>(Ex- Bromocriptine)</w:t>
      </w:r>
    </w:p>
    <w:p w:rsidR="00997601" w:rsidRDefault="00997601" w:rsidP="00997601">
      <w:pPr>
        <w:pStyle w:val="ListParagraph"/>
        <w:numPr>
          <w:ilvl w:val="0"/>
          <w:numId w:val="7"/>
        </w:numPr>
        <w:jc w:val="both"/>
        <w:rPr>
          <w:rFonts w:ascii="Times New Roman" w:hAnsi="Times New Roman" w:cs="Times New Roman"/>
          <w:sz w:val="20"/>
          <w:szCs w:val="20"/>
        </w:rPr>
      </w:pPr>
      <w:r>
        <w:rPr>
          <w:rFonts w:ascii="Times New Roman" w:hAnsi="Times New Roman" w:cs="Times New Roman"/>
          <w:b/>
          <w:sz w:val="20"/>
          <w:szCs w:val="20"/>
        </w:rPr>
        <w:t xml:space="preserve">Bile acid sequestrant </w:t>
      </w:r>
      <w:r>
        <w:rPr>
          <w:rFonts w:ascii="Times New Roman" w:hAnsi="Times New Roman" w:cs="Times New Roman"/>
          <w:sz w:val="20"/>
          <w:szCs w:val="20"/>
        </w:rPr>
        <w:t>(Ex- Colesevelam)</w:t>
      </w:r>
    </w:p>
    <w:p w:rsidR="00997601" w:rsidRDefault="00997601" w:rsidP="00997601">
      <w:pPr>
        <w:pStyle w:val="ListParagraph"/>
        <w:numPr>
          <w:ilvl w:val="0"/>
          <w:numId w:val="7"/>
        </w:numPr>
        <w:jc w:val="both"/>
        <w:rPr>
          <w:rFonts w:ascii="Times New Roman" w:hAnsi="Times New Roman" w:cs="Times New Roman"/>
          <w:sz w:val="20"/>
          <w:szCs w:val="20"/>
        </w:rPr>
      </w:pPr>
      <w:r>
        <w:rPr>
          <w:rFonts w:ascii="Times New Roman" w:hAnsi="Times New Roman" w:cs="Times New Roman"/>
          <w:b/>
          <w:sz w:val="20"/>
          <w:szCs w:val="20"/>
        </w:rPr>
        <w:t xml:space="preserve">Glucagon like peptide-1 (GLP-1) receptor agonist </w:t>
      </w:r>
      <w:r>
        <w:rPr>
          <w:rFonts w:ascii="Times New Roman" w:hAnsi="Times New Roman" w:cs="Times New Roman"/>
          <w:sz w:val="20"/>
          <w:szCs w:val="20"/>
        </w:rPr>
        <w:t>(Ex- Semaglutide, Liraglutide)</w:t>
      </w:r>
    </w:p>
    <w:p w:rsidR="0077580E" w:rsidRDefault="0077580E" w:rsidP="0077580E">
      <w:pPr>
        <w:jc w:val="center"/>
        <w:rPr>
          <w:rFonts w:ascii="Times New Roman" w:hAnsi="Times New Roman" w:cs="Times New Roman"/>
          <w:sz w:val="20"/>
          <w:szCs w:val="20"/>
        </w:rPr>
      </w:pPr>
    </w:p>
    <w:p w:rsidR="004D0852" w:rsidRDefault="0077580E" w:rsidP="004D0852">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II. DISCOVERY</w:t>
      </w:r>
      <w:r w:rsidR="004D0852">
        <w:rPr>
          <w:rFonts w:ascii="Times New Roman" w:hAnsi="Times New Roman" w:cs="Times New Roman"/>
          <w:b/>
          <w:color w:val="000000" w:themeColor="text1"/>
          <w:sz w:val="20"/>
          <w:szCs w:val="20"/>
        </w:rPr>
        <w:t xml:space="preserve"> AND DEVELOPMENT</w:t>
      </w:r>
      <w:r>
        <w:rPr>
          <w:rFonts w:ascii="Times New Roman" w:hAnsi="Times New Roman" w:cs="Times New Roman"/>
          <w:b/>
          <w:color w:val="000000" w:themeColor="text1"/>
          <w:sz w:val="20"/>
          <w:szCs w:val="20"/>
        </w:rPr>
        <w:t xml:space="preserve"> OF LOBEGLITAZONE</w:t>
      </w:r>
    </w:p>
    <w:p w:rsidR="004D0852" w:rsidRDefault="004D0852" w:rsidP="004D0852">
      <w:pPr>
        <w:spacing w:after="0" w:line="240" w:lineRule="auto"/>
        <w:jc w:val="center"/>
        <w:rPr>
          <w:rFonts w:ascii="Times New Roman" w:hAnsi="Times New Roman" w:cs="Times New Roman"/>
          <w:b/>
          <w:color w:val="000000" w:themeColor="text1"/>
          <w:sz w:val="20"/>
          <w:szCs w:val="20"/>
        </w:rPr>
      </w:pPr>
    </w:p>
    <w:p w:rsidR="004D0852" w:rsidRPr="004D0852" w:rsidRDefault="004D0852" w:rsidP="0097491D">
      <w:pPr>
        <w:spacing w:after="0" w:line="240" w:lineRule="auto"/>
        <w:ind w:firstLine="720"/>
        <w:jc w:val="both"/>
        <w:rPr>
          <w:rFonts w:ascii="Times New Roman" w:hAnsi="Times New Roman" w:cs="Times New Roman"/>
          <w:color w:val="000000" w:themeColor="text1"/>
          <w:sz w:val="20"/>
          <w:szCs w:val="20"/>
        </w:rPr>
      </w:pPr>
      <w:r w:rsidRPr="004D0852">
        <w:rPr>
          <w:rFonts w:ascii="Times New Roman" w:hAnsi="Times New Roman" w:cs="Times New Roman"/>
          <w:color w:val="000000" w:themeColor="text1"/>
          <w:sz w:val="20"/>
          <w:szCs w:val="20"/>
        </w:rPr>
        <w:t>In the early 1990s, a new class of anti-diabetic medications called Thiazolidinediones (TZDs) was introduced. TZDs work by increasing the sensitivity of cells to insulin, thereby improving glucose uptake and utilization. Troglitazone, the firs</w:t>
      </w:r>
      <w:r w:rsidR="00ED3AA8">
        <w:rPr>
          <w:rFonts w:ascii="Times New Roman" w:hAnsi="Times New Roman" w:cs="Times New Roman"/>
          <w:color w:val="000000" w:themeColor="text1"/>
          <w:sz w:val="20"/>
          <w:szCs w:val="20"/>
        </w:rPr>
        <w:t>t TZD approved for the management</w:t>
      </w:r>
      <w:r w:rsidRPr="004D0852">
        <w:rPr>
          <w:rFonts w:ascii="Times New Roman" w:hAnsi="Times New Roman" w:cs="Times New Roman"/>
          <w:color w:val="000000" w:themeColor="text1"/>
          <w:sz w:val="20"/>
          <w:szCs w:val="20"/>
        </w:rPr>
        <w:t xml:space="preserve"> of T</w:t>
      </w:r>
      <w:r w:rsidRPr="004D0852">
        <w:rPr>
          <w:rFonts w:ascii="Times New Roman" w:hAnsi="Times New Roman" w:cs="Times New Roman"/>
          <w:color w:val="000000" w:themeColor="text1"/>
          <w:sz w:val="20"/>
          <w:szCs w:val="20"/>
          <w:vertAlign w:val="subscript"/>
        </w:rPr>
        <w:t>2</w:t>
      </w:r>
      <w:r w:rsidRPr="004D0852">
        <w:rPr>
          <w:rFonts w:ascii="Times New Roman" w:hAnsi="Times New Roman" w:cs="Times New Roman"/>
          <w:color w:val="000000" w:themeColor="text1"/>
          <w:sz w:val="20"/>
          <w:szCs w:val="20"/>
        </w:rPr>
        <w:t>DM, was taken off the market in 2000 due to hepatotoxicity.</w:t>
      </w:r>
      <w:r>
        <w:rPr>
          <w:rFonts w:ascii="Times New Roman" w:hAnsi="Times New Roman" w:cs="Times New Roman"/>
          <w:color w:val="000000" w:themeColor="text1"/>
          <w:sz w:val="20"/>
          <w:szCs w:val="20"/>
        </w:rPr>
        <w:t xml:space="preserve"> </w:t>
      </w:r>
      <w:r w:rsidR="00ED3AA8">
        <w:rPr>
          <w:rFonts w:ascii="Times New Roman" w:hAnsi="Times New Roman" w:cs="Times New Roman"/>
          <w:color w:val="000000" w:themeColor="text1"/>
          <w:sz w:val="20"/>
          <w:szCs w:val="20"/>
        </w:rPr>
        <w:t>Because of</w:t>
      </w:r>
      <w:r w:rsidRPr="004D0852">
        <w:rPr>
          <w:rFonts w:ascii="Times New Roman" w:hAnsi="Times New Roman" w:cs="Times New Roman"/>
          <w:color w:val="000000" w:themeColor="text1"/>
          <w:sz w:val="20"/>
          <w:szCs w:val="20"/>
        </w:rPr>
        <w:t xml:space="preserve"> their significant glycemic effectiveness </w:t>
      </w:r>
      <w:r w:rsidR="00ED3AA8">
        <w:rPr>
          <w:rFonts w:ascii="Times New Roman" w:hAnsi="Times New Roman" w:cs="Times New Roman"/>
          <w:color w:val="000000" w:themeColor="text1"/>
          <w:sz w:val="20"/>
          <w:szCs w:val="20"/>
        </w:rPr>
        <w:t>and low risk of decrease blood glucose levels</w:t>
      </w:r>
      <w:r w:rsidRPr="004D0852">
        <w:rPr>
          <w:rFonts w:ascii="Times New Roman" w:hAnsi="Times New Roman" w:cs="Times New Roman"/>
          <w:color w:val="000000" w:themeColor="text1"/>
          <w:sz w:val="20"/>
          <w:szCs w:val="20"/>
        </w:rPr>
        <w:t>, several TZDs, including rosiglitazone and pioglitazone, were given FDA approval in 1999 and have since been widely used to treat T</w:t>
      </w:r>
      <w:r w:rsidRPr="004D0852">
        <w:rPr>
          <w:rFonts w:ascii="Times New Roman" w:hAnsi="Times New Roman" w:cs="Times New Roman"/>
          <w:color w:val="000000" w:themeColor="text1"/>
          <w:sz w:val="20"/>
          <w:szCs w:val="20"/>
          <w:vertAlign w:val="subscript"/>
        </w:rPr>
        <w:t>2</w:t>
      </w:r>
      <w:r w:rsidRPr="004D0852">
        <w:rPr>
          <w:rFonts w:ascii="Times New Roman" w:hAnsi="Times New Roman" w:cs="Times New Roman"/>
          <w:color w:val="000000" w:themeColor="text1"/>
          <w:sz w:val="20"/>
          <w:szCs w:val="20"/>
        </w:rPr>
        <w:t>DM.</w:t>
      </w:r>
      <w:r>
        <w:rPr>
          <w:rFonts w:ascii="Times New Roman" w:hAnsi="Times New Roman" w:cs="Times New Roman"/>
          <w:color w:val="000000" w:themeColor="text1"/>
          <w:sz w:val="20"/>
          <w:szCs w:val="20"/>
        </w:rPr>
        <w:t xml:space="preserve"> </w:t>
      </w:r>
      <w:r w:rsidRPr="004D0852">
        <w:rPr>
          <w:rFonts w:ascii="Times New Roman" w:hAnsi="Times New Roman" w:cs="Times New Roman"/>
          <w:color w:val="000000" w:themeColor="text1"/>
          <w:sz w:val="20"/>
          <w:szCs w:val="20"/>
        </w:rPr>
        <w:t>They have also shown excellent glycemic durability</w:t>
      </w:r>
      <w:r w:rsidR="00C33EAD">
        <w:rPr>
          <w:rFonts w:ascii="Times New Roman" w:hAnsi="Times New Roman" w:cs="Times New Roman"/>
          <w:color w:val="000000" w:themeColor="text1"/>
          <w:sz w:val="20"/>
          <w:szCs w:val="20"/>
        </w:rPr>
        <w:t xml:space="preserve"> </w:t>
      </w:r>
      <w:r w:rsidR="00752081">
        <w:rPr>
          <w:rFonts w:ascii="Times New Roman" w:hAnsi="Times New Roman" w:cs="Times New Roman"/>
          <w:color w:val="000000" w:themeColor="text1"/>
          <w:sz w:val="20"/>
          <w:szCs w:val="20"/>
        </w:rPr>
        <w:t>[15-20]</w:t>
      </w:r>
      <w:r w:rsidR="00C33EAD">
        <w:rPr>
          <w:rFonts w:ascii="Times New Roman" w:hAnsi="Times New Roman" w:cs="Times New Roman"/>
          <w:color w:val="000000" w:themeColor="text1"/>
          <w:sz w:val="20"/>
          <w:szCs w:val="20"/>
        </w:rPr>
        <w:t>.</w:t>
      </w:r>
    </w:p>
    <w:p w:rsidR="004D0852" w:rsidRPr="004D0852" w:rsidRDefault="004D0852" w:rsidP="00C33EAD">
      <w:pPr>
        <w:spacing w:after="0" w:line="240" w:lineRule="auto"/>
        <w:jc w:val="both"/>
        <w:rPr>
          <w:rFonts w:ascii="Times New Roman" w:hAnsi="Times New Roman" w:cs="Times New Roman"/>
          <w:color w:val="000000" w:themeColor="text1"/>
          <w:sz w:val="20"/>
          <w:szCs w:val="20"/>
        </w:rPr>
      </w:pPr>
    </w:p>
    <w:p w:rsidR="004D0852" w:rsidRDefault="004D0852" w:rsidP="0097491D">
      <w:pPr>
        <w:spacing w:after="0" w:line="240" w:lineRule="auto"/>
        <w:ind w:firstLine="720"/>
        <w:jc w:val="both"/>
        <w:rPr>
          <w:rFonts w:ascii="Times New Roman" w:hAnsi="Times New Roman" w:cs="Times New Roman"/>
          <w:color w:val="000000" w:themeColor="text1"/>
          <w:sz w:val="20"/>
          <w:szCs w:val="20"/>
        </w:rPr>
      </w:pPr>
      <w:r w:rsidRPr="004D0852">
        <w:rPr>
          <w:rFonts w:ascii="Times New Roman" w:hAnsi="Times New Roman" w:cs="Times New Roman"/>
          <w:color w:val="000000" w:themeColor="text1"/>
          <w:sz w:val="20"/>
          <w:szCs w:val="20"/>
        </w:rPr>
        <w:t>While TZDs showed promising results in managing diabetes, they were a</w:t>
      </w:r>
      <w:r w:rsidR="00ED3AA8">
        <w:rPr>
          <w:rFonts w:ascii="Times New Roman" w:hAnsi="Times New Roman" w:cs="Times New Roman"/>
          <w:color w:val="000000" w:themeColor="text1"/>
          <w:sz w:val="20"/>
          <w:szCs w:val="20"/>
        </w:rPr>
        <w:t>lso associated with some side effects, including weight gaining, fluid retention, and high risk of cardiac</w:t>
      </w:r>
      <w:r w:rsidRPr="004D0852">
        <w:rPr>
          <w:rFonts w:ascii="Times New Roman" w:hAnsi="Times New Roman" w:cs="Times New Roman"/>
          <w:color w:val="000000" w:themeColor="text1"/>
          <w:sz w:val="20"/>
          <w:szCs w:val="20"/>
        </w:rPr>
        <w:t xml:space="preserve"> issues. </w:t>
      </w:r>
      <w:r w:rsidR="00D61930" w:rsidRPr="00D61930">
        <w:rPr>
          <w:rFonts w:ascii="Times New Roman" w:hAnsi="Times New Roman" w:cs="Times New Roman"/>
          <w:color w:val="000000" w:themeColor="text1"/>
          <w:sz w:val="20"/>
          <w:szCs w:val="20"/>
        </w:rPr>
        <w:t>The usage o</w:t>
      </w:r>
      <w:r w:rsidR="00ED3AA8">
        <w:rPr>
          <w:rFonts w:ascii="Times New Roman" w:hAnsi="Times New Roman" w:cs="Times New Roman"/>
          <w:color w:val="000000" w:themeColor="text1"/>
          <w:sz w:val="20"/>
          <w:szCs w:val="20"/>
        </w:rPr>
        <w:t>f these two drugs i.e., old TZDs</w:t>
      </w:r>
      <w:r w:rsidR="00D61930" w:rsidRPr="00D61930">
        <w:rPr>
          <w:rFonts w:ascii="Times New Roman" w:hAnsi="Times New Roman" w:cs="Times New Roman"/>
          <w:color w:val="000000" w:themeColor="text1"/>
          <w:sz w:val="20"/>
          <w:szCs w:val="20"/>
        </w:rPr>
        <w:t>, however, has been drastically reduced or restricted during the 2010s due to side effects and safety co</w:t>
      </w:r>
      <w:r w:rsidR="00ED3AA8">
        <w:rPr>
          <w:rFonts w:ascii="Times New Roman" w:hAnsi="Times New Roman" w:cs="Times New Roman"/>
          <w:color w:val="000000" w:themeColor="text1"/>
          <w:sz w:val="20"/>
          <w:szCs w:val="20"/>
        </w:rPr>
        <w:t xml:space="preserve">ncerns, including cardiac issues and </w:t>
      </w:r>
      <w:r w:rsidR="00D61930" w:rsidRPr="00D61930">
        <w:rPr>
          <w:rFonts w:ascii="Times New Roman" w:hAnsi="Times New Roman" w:cs="Times New Roman"/>
          <w:color w:val="000000" w:themeColor="text1"/>
          <w:sz w:val="20"/>
          <w:szCs w:val="20"/>
        </w:rPr>
        <w:t>cancer</w:t>
      </w:r>
      <w:r w:rsidR="00ED3AA8">
        <w:rPr>
          <w:rFonts w:ascii="Times New Roman" w:hAnsi="Times New Roman" w:cs="Times New Roman"/>
          <w:color w:val="000000" w:themeColor="text1"/>
          <w:sz w:val="20"/>
          <w:szCs w:val="20"/>
        </w:rPr>
        <w:t xml:space="preserve"> of the bladder</w:t>
      </w:r>
      <w:r w:rsidR="00D61930" w:rsidRPr="00D61930">
        <w:rPr>
          <w:rFonts w:ascii="Times New Roman" w:hAnsi="Times New Roman" w:cs="Times New Roman"/>
          <w:color w:val="000000" w:themeColor="text1"/>
          <w:sz w:val="20"/>
          <w:szCs w:val="20"/>
        </w:rPr>
        <w:t>.</w:t>
      </w:r>
      <w:r w:rsidR="00D61930">
        <w:rPr>
          <w:rFonts w:ascii="Times New Roman" w:hAnsi="Times New Roman" w:cs="Times New Roman"/>
          <w:color w:val="000000" w:themeColor="text1"/>
          <w:sz w:val="20"/>
          <w:szCs w:val="20"/>
        </w:rPr>
        <w:t xml:space="preserve"> </w:t>
      </w:r>
      <w:r w:rsidR="00D61930" w:rsidRPr="004D0852">
        <w:rPr>
          <w:rFonts w:ascii="Times New Roman" w:hAnsi="Times New Roman" w:cs="Times New Roman"/>
          <w:color w:val="000000" w:themeColor="text1"/>
          <w:sz w:val="20"/>
          <w:szCs w:val="20"/>
        </w:rPr>
        <w:t xml:space="preserve">As a result, there was a need for a more </w:t>
      </w:r>
      <w:r w:rsidR="00C33EAD">
        <w:rPr>
          <w:rFonts w:ascii="Times New Roman" w:hAnsi="Times New Roman" w:cs="Times New Roman"/>
          <w:color w:val="000000" w:themeColor="text1"/>
          <w:sz w:val="20"/>
          <w:szCs w:val="20"/>
        </w:rPr>
        <w:t xml:space="preserve">effective and safer alternative [16, </w:t>
      </w:r>
      <w:r w:rsidR="00463C48">
        <w:rPr>
          <w:rFonts w:ascii="Times New Roman" w:hAnsi="Times New Roman" w:cs="Times New Roman"/>
          <w:color w:val="000000" w:themeColor="text1"/>
          <w:sz w:val="20"/>
          <w:szCs w:val="20"/>
        </w:rPr>
        <w:t>21-22]</w:t>
      </w:r>
      <w:r w:rsidR="00C33EAD">
        <w:rPr>
          <w:rFonts w:ascii="Times New Roman" w:hAnsi="Times New Roman" w:cs="Times New Roman"/>
          <w:color w:val="000000" w:themeColor="text1"/>
          <w:sz w:val="20"/>
          <w:szCs w:val="20"/>
        </w:rPr>
        <w:t>.</w:t>
      </w:r>
    </w:p>
    <w:p w:rsidR="00D61930" w:rsidRPr="00D61930" w:rsidRDefault="00D61930" w:rsidP="00C33EAD">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rsidR="00FE0EBA" w:rsidRDefault="00D61930" w:rsidP="0097491D">
      <w:pPr>
        <w:spacing w:after="0" w:line="240" w:lineRule="auto"/>
        <w:ind w:firstLine="720"/>
        <w:jc w:val="both"/>
        <w:rPr>
          <w:rFonts w:ascii="Times New Roman" w:hAnsi="Times New Roman" w:cs="Times New Roman"/>
          <w:color w:val="000000" w:themeColor="text1"/>
          <w:sz w:val="20"/>
          <w:szCs w:val="20"/>
        </w:rPr>
      </w:pPr>
      <w:r w:rsidRPr="00D61930">
        <w:rPr>
          <w:rFonts w:ascii="Times New Roman" w:hAnsi="Times New Roman" w:cs="Times New Roman"/>
          <w:color w:val="000000" w:themeColor="text1"/>
          <w:sz w:val="20"/>
          <w:szCs w:val="20"/>
        </w:rPr>
        <w:t>Lobeglitazone</w:t>
      </w:r>
      <w:r>
        <w:rPr>
          <w:rFonts w:ascii="Times New Roman" w:hAnsi="Times New Roman" w:cs="Times New Roman"/>
          <w:color w:val="000000" w:themeColor="text1"/>
          <w:sz w:val="20"/>
          <w:szCs w:val="20"/>
        </w:rPr>
        <w:t xml:space="preserve"> is a novel TZD</w:t>
      </w:r>
      <w:r w:rsidRPr="00D61930">
        <w:rPr>
          <w:rFonts w:ascii="Times New Roman" w:hAnsi="Times New Roman" w:cs="Times New Roman"/>
          <w:color w:val="000000" w:themeColor="text1"/>
          <w:sz w:val="20"/>
          <w:szCs w:val="20"/>
        </w:rPr>
        <w:t>, developed</w:t>
      </w:r>
      <w:r w:rsidR="00ED3AA8">
        <w:rPr>
          <w:rFonts w:ascii="Times New Roman" w:hAnsi="Times New Roman" w:cs="Times New Roman"/>
          <w:color w:val="000000" w:themeColor="text1"/>
          <w:sz w:val="20"/>
          <w:szCs w:val="20"/>
        </w:rPr>
        <w:t xml:space="preserve"> by South Korean pharmacy </w:t>
      </w:r>
      <w:r w:rsidRPr="00D61930">
        <w:rPr>
          <w:rFonts w:ascii="Times New Roman" w:hAnsi="Times New Roman" w:cs="Times New Roman"/>
          <w:color w:val="000000" w:themeColor="text1"/>
          <w:sz w:val="20"/>
          <w:szCs w:val="20"/>
        </w:rPr>
        <w:t>company Chong Kun Dang Pharmaceutical Corporation</w:t>
      </w:r>
      <w:r>
        <w:rPr>
          <w:rFonts w:ascii="Times New Roman" w:hAnsi="Times New Roman" w:cs="Times New Roman"/>
          <w:color w:val="000000" w:themeColor="text1"/>
          <w:sz w:val="20"/>
          <w:szCs w:val="20"/>
        </w:rPr>
        <w:t xml:space="preserve"> in May 2000</w:t>
      </w:r>
      <w:r w:rsidRPr="00D61930">
        <w:rPr>
          <w:rFonts w:ascii="Times New Roman" w:hAnsi="Times New Roman" w:cs="Times New Roman"/>
          <w:color w:val="000000" w:themeColor="text1"/>
          <w:sz w:val="20"/>
          <w:szCs w:val="20"/>
        </w:rPr>
        <w:t xml:space="preserve">, was designed to be more selective and have a higher affinity </w:t>
      </w:r>
      <w:r w:rsidR="00ED3AA8">
        <w:rPr>
          <w:rFonts w:ascii="Times New Roman" w:hAnsi="Times New Roman" w:cs="Times New Roman"/>
          <w:color w:val="000000" w:themeColor="text1"/>
          <w:sz w:val="20"/>
          <w:szCs w:val="20"/>
        </w:rPr>
        <w:t xml:space="preserve">for </w:t>
      </w:r>
      <w:r w:rsidR="00ED3AA8" w:rsidRPr="00ED3AA8">
        <w:rPr>
          <w:rFonts w:ascii="Times New Roman" w:hAnsi="Times New Roman" w:cs="Times New Roman"/>
          <w:color w:val="000000" w:themeColor="text1"/>
          <w:sz w:val="20"/>
          <w:szCs w:val="20"/>
        </w:rPr>
        <w:t>the nuclear receptor peroxisome proliferator-activated receptor gamma (PPAR</w:t>
      </w:r>
      <w:r w:rsidR="00ED3AA8" w:rsidRPr="00D61930">
        <w:rPr>
          <w:rFonts w:ascii="Times New Roman" w:hAnsi="Times New Roman" w:cs="Times New Roman"/>
          <w:color w:val="000000" w:themeColor="text1"/>
          <w:sz w:val="20"/>
          <w:szCs w:val="20"/>
        </w:rPr>
        <w:t>γ</w:t>
      </w:r>
      <w:r w:rsidR="00ED3AA8" w:rsidRPr="00ED3AA8">
        <w:rPr>
          <w:rFonts w:ascii="Times New Roman" w:hAnsi="Times New Roman" w:cs="Times New Roman"/>
          <w:color w:val="000000" w:themeColor="text1"/>
          <w:sz w:val="20"/>
          <w:szCs w:val="20"/>
        </w:rPr>
        <w:t>), which is implicated in glucose metabolism and insulin sensitivity</w:t>
      </w:r>
      <w:r w:rsidR="00ED3AA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I</w:t>
      </w:r>
      <w:r w:rsidR="00ED3AA8">
        <w:rPr>
          <w:rFonts w:ascii="Times New Roman" w:hAnsi="Times New Roman" w:cs="Times New Roman"/>
          <w:color w:val="000000" w:themeColor="text1"/>
          <w:sz w:val="20"/>
          <w:szCs w:val="20"/>
        </w:rPr>
        <w:t xml:space="preserve">t was approved to manage </w:t>
      </w:r>
      <w:r>
        <w:rPr>
          <w:rFonts w:ascii="Times New Roman" w:hAnsi="Times New Roman" w:cs="Times New Roman"/>
          <w:color w:val="000000" w:themeColor="text1"/>
          <w:sz w:val="20"/>
          <w:szCs w:val="20"/>
        </w:rPr>
        <w:t>T</w:t>
      </w:r>
      <w:r w:rsidRPr="00D61930">
        <w:rPr>
          <w:rFonts w:ascii="Times New Roman" w:hAnsi="Times New Roman" w:cs="Times New Roman"/>
          <w:color w:val="000000" w:themeColor="text1"/>
          <w:sz w:val="20"/>
          <w:szCs w:val="20"/>
          <w:vertAlign w:val="subscript"/>
        </w:rPr>
        <w:t>2</w:t>
      </w:r>
      <w:r w:rsidR="00ED3AA8">
        <w:rPr>
          <w:rFonts w:ascii="Times New Roman" w:hAnsi="Times New Roman" w:cs="Times New Roman"/>
          <w:color w:val="000000" w:themeColor="text1"/>
          <w:sz w:val="20"/>
          <w:szCs w:val="20"/>
        </w:rPr>
        <w:t xml:space="preserve">DM </w:t>
      </w:r>
      <w:r w:rsidR="009A21F4">
        <w:rPr>
          <w:rFonts w:ascii="Times New Roman" w:hAnsi="Times New Roman" w:cs="Times New Roman"/>
          <w:color w:val="000000" w:themeColor="text1"/>
          <w:sz w:val="20"/>
          <w:szCs w:val="20"/>
        </w:rPr>
        <w:t>in July 2013</w:t>
      </w:r>
      <w:r w:rsidR="00ED3AA8">
        <w:rPr>
          <w:rFonts w:ascii="Times New Roman" w:hAnsi="Times New Roman" w:cs="Times New Roman"/>
          <w:color w:val="000000" w:themeColor="text1"/>
          <w:sz w:val="20"/>
          <w:szCs w:val="20"/>
        </w:rPr>
        <w:t xml:space="preserve"> in Korea at strength of 0.5 milligrams once daily</w:t>
      </w:r>
      <w:r w:rsidR="009A21F4">
        <w:rPr>
          <w:rFonts w:ascii="Times New Roman" w:hAnsi="Times New Roman" w:cs="Times New Roman"/>
          <w:color w:val="000000" w:themeColor="text1"/>
          <w:sz w:val="20"/>
          <w:szCs w:val="20"/>
        </w:rPr>
        <w:t>.</w:t>
      </w:r>
      <w:r w:rsidR="0097491D">
        <w:rPr>
          <w:rFonts w:ascii="Times New Roman" w:hAnsi="Times New Roman" w:cs="Times New Roman"/>
          <w:color w:val="000000" w:themeColor="text1"/>
          <w:sz w:val="20"/>
          <w:szCs w:val="20"/>
        </w:rPr>
        <w:t xml:space="preserve"> </w:t>
      </w:r>
      <w:r w:rsidR="00FE0EBA" w:rsidRPr="00FE0EBA">
        <w:rPr>
          <w:rFonts w:ascii="Times New Roman" w:hAnsi="Times New Roman" w:cs="Times New Roman"/>
          <w:color w:val="000000" w:themeColor="text1"/>
          <w:sz w:val="20"/>
          <w:szCs w:val="20"/>
        </w:rPr>
        <w:t>In studies been out thus far, lob</w:t>
      </w:r>
      <w:r w:rsidR="00ED3AA8">
        <w:rPr>
          <w:rFonts w:ascii="Times New Roman" w:hAnsi="Times New Roman" w:cs="Times New Roman"/>
          <w:color w:val="000000" w:themeColor="text1"/>
          <w:sz w:val="20"/>
          <w:szCs w:val="20"/>
        </w:rPr>
        <w:t>eglitazone has demonstrated best</w:t>
      </w:r>
      <w:r w:rsidR="00FE0EBA" w:rsidRPr="00FE0EBA">
        <w:rPr>
          <w:rFonts w:ascii="Times New Roman" w:hAnsi="Times New Roman" w:cs="Times New Roman"/>
          <w:color w:val="000000" w:themeColor="text1"/>
          <w:sz w:val="20"/>
          <w:szCs w:val="20"/>
        </w:rPr>
        <w:t xml:space="preserve"> outcomes </w:t>
      </w:r>
      <w:r w:rsidR="00C33EAD">
        <w:rPr>
          <w:rFonts w:ascii="Times New Roman" w:hAnsi="Times New Roman" w:cs="Times New Roman"/>
          <w:color w:val="000000" w:themeColor="text1"/>
          <w:sz w:val="20"/>
          <w:szCs w:val="20"/>
        </w:rPr>
        <w:t xml:space="preserve">in </w:t>
      </w:r>
      <w:r w:rsidR="00ED3AA8">
        <w:rPr>
          <w:rFonts w:ascii="Times New Roman" w:hAnsi="Times New Roman" w:cs="Times New Roman"/>
          <w:color w:val="000000" w:themeColor="text1"/>
          <w:sz w:val="20"/>
          <w:szCs w:val="20"/>
        </w:rPr>
        <w:t xml:space="preserve">both terms i.e., </w:t>
      </w:r>
      <w:r w:rsidR="00C33EAD">
        <w:rPr>
          <w:rFonts w:ascii="Times New Roman" w:hAnsi="Times New Roman" w:cs="Times New Roman"/>
          <w:color w:val="000000" w:themeColor="text1"/>
          <w:sz w:val="20"/>
          <w:szCs w:val="20"/>
        </w:rPr>
        <w:t>efficacy and safety</w:t>
      </w:r>
      <w:r w:rsidR="00ED3AA8">
        <w:rPr>
          <w:rFonts w:ascii="Times New Roman" w:hAnsi="Times New Roman" w:cs="Times New Roman"/>
          <w:color w:val="000000" w:themeColor="text1"/>
          <w:sz w:val="20"/>
          <w:szCs w:val="20"/>
        </w:rPr>
        <w:t xml:space="preserve"> in patients</w:t>
      </w:r>
      <w:r w:rsidR="00C33EAD">
        <w:rPr>
          <w:rFonts w:ascii="Times New Roman" w:hAnsi="Times New Roman" w:cs="Times New Roman"/>
          <w:color w:val="000000" w:themeColor="text1"/>
          <w:sz w:val="20"/>
          <w:szCs w:val="20"/>
        </w:rPr>
        <w:t xml:space="preserve"> </w:t>
      </w:r>
      <w:r w:rsidR="00FE0EBA">
        <w:rPr>
          <w:rFonts w:ascii="Times New Roman" w:hAnsi="Times New Roman" w:cs="Times New Roman"/>
          <w:color w:val="000000" w:themeColor="text1"/>
          <w:sz w:val="20"/>
          <w:szCs w:val="20"/>
        </w:rPr>
        <w:t>[16]</w:t>
      </w:r>
      <w:r w:rsidR="00C33EAD">
        <w:rPr>
          <w:rFonts w:ascii="Times New Roman" w:hAnsi="Times New Roman" w:cs="Times New Roman"/>
          <w:color w:val="000000" w:themeColor="text1"/>
          <w:sz w:val="20"/>
          <w:szCs w:val="20"/>
        </w:rPr>
        <w:t>.</w:t>
      </w:r>
    </w:p>
    <w:p w:rsidR="00A35212" w:rsidRDefault="00A35212" w:rsidP="00FE0EBA">
      <w:pPr>
        <w:rPr>
          <w:rFonts w:ascii="Times New Roman" w:hAnsi="Times New Roman" w:cs="Times New Roman"/>
          <w:color w:val="000000" w:themeColor="text1"/>
          <w:sz w:val="20"/>
          <w:szCs w:val="20"/>
        </w:rPr>
      </w:pPr>
    </w:p>
    <w:p w:rsidR="00A35212" w:rsidRDefault="00A35212" w:rsidP="00A35212">
      <w:pPr>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III. UNDERSTANDING LOBEGLITAZONE</w:t>
      </w:r>
    </w:p>
    <w:p w:rsidR="00A35212" w:rsidRDefault="00A35212" w:rsidP="00A35212">
      <w:pPr>
        <w:spacing w:after="0" w:line="240" w:lineRule="auto"/>
        <w:jc w:val="center"/>
        <w:rPr>
          <w:rFonts w:ascii="Times New Roman" w:eastAsia="Times New Roman" w:hAnsi="Times New Roman" w:cs="Times New Roman"/>
          <w:color w:val="000000" w:themeColor="text1"/>
          <w:sz w:val="20"/>
          <w:szCs w:val="20"/>
        </w:rPr>
      </w:pPr>
    </w:p>
    <w:p w:rsidR="00633C67" w:rsidRDefault="00F96050" w:rsidP="0097491D">
      <w:pPr>
        <w:spacing w:line="240" w:lineRule="auto"/>
        <w:ind w:firstLine="72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 2,</w:t>
      </w:r>
      <w:r w:rsidRPr="00F96050">
        <w:rPr>
          <w:rFonts w:ascii="Times New Roman" w:eastAsia="Times New Roman" w:hAnsi="Times New Roman" w:cs="Times New Roman"/>
          <w:color w:val="000000" w:themeColor="text1"/>
          <w:sz w:val="20"/>
          <w:szCs w:val="20"/>
        </w:rPr>
        <w:t>4-thiazolidinedione group and an ethoxy-benzyl N-methylamino group serve as the connect</w:t>
      </w:r>
      <w:r>
        <w:rPr>
          <w:rFonts w:ascii="Times New Roman" w:eastAsia="Times New Roman" w:hAnsi="Times New Roman" w:cs="Times New Roman"/>
          <w:color w:val="000000" w:themeColor="text1"/>
          <w:sz w:val="20"/>
          <w:szCs w:val="20"/>
        </w:rPr>
        <w:t>ing links in the pharmacophore L</w:t>
      </w:r>
      <w:r w:rsidRPr="00F96050">
        <w:rPr>
          <w:rFonts w:ascii="Times New Roman" w:eastAsia="Times New Roman" w:hAnsi="Times New Roman" w:cs="Times New Roman"/>
          <w:color w:val="000000" w:themeColor="text1"/>
          <w:sz w:val="20"/>
          <w:szCs w:val="20"/>
        </w:rPr>
        <w:t>obeglitazone.</w:t>
      </w:r>
      <w:r w:rsidR="00860AF0" w:rsidRPr="00860AF0">
        <w:rPr>
          <w:rFonts w:ascii="Times New Roman" w:eastAsia="Times New Roman" w:hAnsi="Times New Roman" w:cs="Times New Roman"/>
          <w:color w:val="000000" w:themeColor="text1"/>
          <w:sz w:val="20"/>
          <w:szCs w:val="20"/>
        </w:rPr>
        <w:t>.</w:t>
      </w:r>
      <w:r w:rsidR="00860AF0">
        <w:rPr>
          <w:rFonts w:ascii="Times New Roman" w:eastAsia="Times New Roman" w:hAnsi="Times New Roman" w:cs="Times New Roman"/>
          <w:color w:val="000000" w:themeColor="text1"/>
          <w:sz w:val="20"/>
          <w:szCs w:val="20"/>
        </w:rPr>
        <w:t xml:space="preserve"> </w:t>
      </w:r>
      <w:r w:rsidR="00860AF0" w:rsidRPr="00860AF0">
        <w:rPr>
          <w:rFonts w:ascii="Times New Roman" w:eastAsia="Times New Roman" w:hAnsi="Times New Roman" w:cs="Times New Roman"/>
          <w:color w:val="000000" w:themeColor="text1"/>
          <w:sz w:val="20"/>
          <w:szCs w:val="20"/>
        </w:rPr>
        <w:t>The structure of rosiglitazone was altered to include a p-methoxyphenoxy group at the 4-position of the pyrimidine moiety, which served as the basis for the development of lobeglitazone. This increases lobeglitazone's ability to bind to PPAR</w:t>
      </w:r>
      <w:r w:rsidR="00860AF0" w:rsidRPr="00D61930">
        <w:rPr>
          <w:rFonts w:ascii="Times New Roman" w:hAnsi="Times New Roman" w:cs="Times New Roman"/>
          <w:color w:val="000000" w:themeColor="text1"/>
          <w:sz w:val="20"/>
          <w:szCs w:val="20"/>
        </w:rPr>
        <w:t>γ</w:t>
      </w:r>
      <w:r w:rsidR="00860AF0" w:rsidRPr="00860AF0">
        <w:rPr>
          <w:rFonts w:ascii="Times New Roman" w:eastAsia="Times New Roman" w:hAnsi="Times New Roman" w:cs="Times New Roman"/>
          <w:color w:val="000000" w:themeColor="text1"/>
          <w:sz w:val="20"/>
          <w:szCs w:val="20"/>
        </w:rPr>
        <w:t>, increasing its affinity by a factor of 12 over that of rosiglitazone and pioglitazone, according to docking analysis.</w:t>
      </w:r>
      <w:r w:rsidR="00633C67">
        <w:rPr>
          <w:rFonts w:ascii="Times New Roman" w:eastAsia="Times New Roman" w:hAnsi="Times New Roman" w:cs="Times New Roman"/>
          <w:color w:val="000000" w:themeColor="text1"/>
          <w:sz w:val="20"/>
          <w:szCs w:val="20"/>
        </w:rPr>
        <w:t xml:space="preserve"> </w:t>
      </w:r>
      <w:r w:rsidR="00633C67" w:rsidRPr="00633C67">
        <w:rPr>
          <w:rFonts w:ascii="Times New Roman" w:eastAsia="Times New Roman" w:hAnsi="Times New Roman" w:cs="Times New Roman"/>
          <w:color w:val="000000" w:themeColor="text1"/>
          <w:sz w:val="20"/>
          <w:szCs w:val="20"/>
        </w:rPr>
        <w:t>Rosiglitazone and pioglitazone, two well-known reference compounds, were outperformed by lobeglitazone in terms of biological activity. In comparison to rosiglitazone, lobeg</w:t>
      </w:r>
      <w:r w:rsidR="00D9631B">
        <w:rPr>
          <w:rFonts w:ascii="Times New Roman" w:eastAsia="Times New Roman" w:hAnsi="Times New Roman" w:cs="Times New Roman"/>
          <w:color w:val="000000" w:themeColor="text1"/>
          <w:sz w:val="20"/>
          <w:szCs w:val="20"/>
        </w:rPr>
        <w:t xml:space="preserve">litazone demonstrated 100 </w:t>
      </w:r>
      <w:r w:rsidR="00A57F50">
        <w:rPr>
          <w:rFonts w:ascii="Times New Roman" w:eastAsia="Times New Roman" w:hAnsi="Times New Roman" w:cs="Times New Roman"/>
          <w:color w:val="000000" w:themeColor="text1"/>
          <w:sz w:val="20"/>
          <w:szCs w:val="20"/>
        </w:rPr>
        <w:t xml:space="preserve">times </w:t>
      </w:r>
      <w:r w:rsidR="00633C67" w:rsidRPr="00633C67">
        <w:rPr>
          <w:rFonts w:ascii="Times New Roman" w:eastAsia="Times New Roman" w:hAnsi="Times New Roman" w:cs="Times New Roman"/>
          <w:color w:val="000000" w:themeColor="text1"/>
          <w:sz w:val="20"/>
          <w:szCs w:val="20"/>
        </w:rPr>
        <w:t>greater efficacy in preventing triglyceride buildup in 3T</w:t>
      </w:r>
      <w:r w:rsidR="00633C67" w:rsidRPr="00D9631B">
        <w:rPr>
          <w:rFonts w:ascii="Times New Roman" w:eastAsia="Times New Roman" w:hAnsi="Times New Roman" w:cs="Times New Roman"/>
          <w:color w:val="000000" w:themeColor="text1"/>
          <w:sz w:val="20"/>
          <w:szCs w:val="20"/>
          <w:vertAlign w:val="subscript"/>
        </w:rPr>
        <w:t>3</w:t>
      </w:r>
      <w:r w:rsidR="00633C67" w:rsidRPr="00633C67">
        <w:rPr>
          <w:rFonts w:ascii="Times New Roman" w:eastAsia="Times New Roman" w:hAnsi="Times New Roman" w:cs="Times New Roman"/>
          <w:color w:val="000000" w:themeColor="text1"/>
          <w:sz w:val="20"/>
          <w:szCs w:val="20"/>
        </w:rPr>
        <w:t>-L</w:t>
      </w:r>
      <w:r w:rsidR="00633C67" w:rsidRPr="00D9631B">
        <w:rPr>
          <w:rFonts w:ascii="Times New Roman" w:eastAsia="Times New Roman" w:hAnsi="Times New Roman" w:cs="Times New Roman"/>
          <w:color w:val="000000" w:themeColor="text1"/>
          <w:sz w:val="20"/>
          <w:szCs w:val="20"/>
          <w:vertAlign w:val="subscript"/>
        </w:rPr>
        <w:t>1</w:t>
      </w:r>
      <w:r w:rsidR="00633C67" w:rsidRPr="00633C67">
        <w:rPr>
          <w:rFonts w:ascii="Times New Roman" w:eastAsia="Times New Roman" w:hAnsi="Times New Roman" w:cs="Times New Roman"/>
          <w:color w:val="000000" w:themeColor="text1"/>
          <w:sz w:val="20"/>
          <w:szCs w:val="20"/>
        </w:rPr>
        <w:t xml:space="preserve"> cells as well as 2.4-fold and over 8-fold greater efficacies in decreasing glucose and triglycerides, respectively.</w:t>
      </w:r>
      <w:r w:rsidR="00633C67">
        <w:rPr>
          <w:rFonts w:ascii="Times New Roman" w:eastAsia="Times New Roman" w:hAnsi="Times New Roman" w:cs="Times New Roman"/>
          <w:color w:val="000000" w:themeColor="text1"/>
          <w:sz w:val="20"/>
          <w:szCs w:val="20"/>
        </w:rPr>
        <w:t xml:space="preserve"> </w:t>
      </w:r>
      <w:r w:rsidR="00633C67" w:rsidRPr="00633C67">
        <w:rPr>
          <w:rFonts w:ascii="Times New Roman" w:eastAsia="Times New Roman" w:hAnsi="Times New Roman" w:cs="Times New Roman"/>
          <w:color w:val="000000" w:themeColor="text1"/>
          <w:sz w:val="20"/>
          <w:szCs w:val="20"/>
        </w:rPr>
        <w:t>As a result, lobeglitazone is anticipated to enhance insulin sensitivity as well as blood lipid, glucose, and insulin profiles at a lower e</w:t>
      </w:r>
      <w:r w:rsidR="00C33EAD">
        <w:rPr>
          <w:rFonts w:ascii="Times New Roman" w:eastAsia="Times New Roman" w:hAnsi="Times New Roman" w:cs="Times New Roman"/>
          <w:color w:val="000000" w:themeColor="text1"/>
          <w:sz w:val="20"/>
          <w:szCs w:val="20"/>
        </w:rPr>
        <w:t xml:space="preserve">ffective dose [16, </w:t>
      </w:r>
      <w:r w:rsidR="00633C67">
        <w:rPr>
          <w:rFonts w:ascii="Times New Roman" w:eastAsia="Times New Roman" w:hAnsi="Times New Roman" w:cs="Times New Roman"/>
          <w:color w:val="000000" w:themeColor="text1"/>
          <w:sz w:val="20"/>
          <w:szCs w:val="20"/>
        </w:rPr>
        <w:t>23-</w:t>
      </w:r>
      <w:r w:rsidR="00BD0D03">
        <w:rPr>
          <w:rFonts w:ascii="Times New Roman" w:eastAsia="Times New Roman" w:hAnsi="Times New Roman" w:cs="Times New Roman"/>
          <w:color w:val="000000" w:themeColor="text1"/>
          <w:sz w:val="20"/>
          <w:szCs w:val="20"/>
        </w:rPr>
        <w:t>26]</w:t>
      </w:r>
      <w:r w:rsidR="00C33EAD">
        <w:rPr>
          <w:rFonts w:ascii="Times New Roman" w:eastAsia="Times New Roman" w:hAnsi="Times New Roman" w:cs="Times New Roman"/>
          <w:color w:val="000000" w:themeColor="text1"/>
          <w:sz w:val="20"/>
          <w:szCs w:val="20"/>
        </w:rPr>
        <w:t>.</w:t>
      </w:r>
    </w:p>
    <w:p w:rsidR="008B6038" w:rsidRDefault="008B6038" w:rsidP="0097491D">
      <w:pPr>
        <w:spacing w:line="240" w:lineRule="auto"/>
        <w:ind w:firstLine="720"/>
        <w:jc w:val="both"/>
        <w:rPr>
          <w:rFonts w:ascii="Times New Roman" w:eastAsia="Times New Roman" w:hAnsi="Times New Roman" w:cs="Times New Roman"/>
          <w:color w:val="000000" w:themeColor="text1"/>
          <w:sz w:val="20"/>
          <w:szCs w:val="20"/>
        </w:rPr>
      </w:pPr>
    </w:p>
    <w:p w:rsidR="008B6038" w:rsidRDefault="008B6038" w:rsidP="0097491D">
      <w:pPr>
        <w:spacing w:line="240" w:lineRule="auto"/>
        <w:ind w:firstLine="720"/>
        <w:jc w:val="both"/>
        <w:rPr>
          <w:rFonts w:ascii="Times New Roman" w:eastAsia="Times New Roman" w:hAnsi="Times New Roman" w:cs="Times New Roman"/>
          <w:color w:val="000000" w:themeColor="text1"/>
          <w:sz w:val="20"/>
          <w:szCs w:val="20"/>
        </w:rPr>
      </w:pPr>
      <w:r>
        <w:rPr>
          <w:noProof/>
        </w:rPr>
        <w:lastRenderedPageBreak/>
        <w:drawing>
          <wp:inline distT="0" distB="0" distL="0" distR="0">
            <wp:extent cx="4889423" cy="990600"/>
            <wp:effectExtent l="0" t="0" r="0" b="0"/>
            <wp:docPr id="2" name="Picture 1" descr="File:Lobeglitazone.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Lobeglitazone.svg - Wikipedia"/>
                    <pic:cNvPicPr>
                      <a:picLocks noChangeAspect="1" noChangeArrowheads="1"/>
                    </pic:cNvPicPr>
                  </pic:nvPicPr>
                  <pic:blipFill>
                    <a:blip r:embed="rId6" cstate="print"/>
                    <a:srcRect/>
                    <a:stretch>
                      <a:fillRect/>
                    </a:stretch>
                  </pic:blipFill>
                  <pic:spPr bwMode="auto">
                    <a:xfrm>
                      <a:off x="0" y="0"/>
                      <a:ext cx="4903597" cy="993472"/>
                    </a:xfrm>
                    <a:prstGeom prst="rect">
                      <a:avLst/>
                    </a:prstGeom>
                    <a:noFill/>
                    <a:ln w="9525">
                      <a:noFill/>
                      <a:miter lim="800000"/>
                      <a:headEnd/>
                      <a:tailEnd/>
                    </a:ln>
                  </pic:spPr>
                </pic:pic>
              </a:graphicData>
            </a:graphic>
          </wp:inline>
        </w:drawing>
      </w:r>
    </w:p>
    <w:p w:rsidR="008B6038" w:rsidRPr="008B6038" w:rsidRDefault="008B6038" w:rsidP="008B6038">
      <w:pPr>
        <w:spacing w:line="240" w:lineRule="auto"/>
        <w:ind w:firstLine="720"/>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Structure of Lobeglitazone</w:t>
      </w:r>
    </w:p>
    <w:p w:rsidR="008B6038" w:rsidRDefault="008B6038" w:rsidP="0097491D">
      <w:pPr>
        <w:spacing w:line="240" w:lineRule="auto"/>
        <w:ind w:firstLine="720"/>
        <w:jc w:val="both"/>
        <w:rPr>
          <w:rFonts w:ascii="Times New Roman" w:eastAsia="Times New Roman" w:hAnsi="Times New Roman" w:cs="Times New Roman"/>
          <w:color w:val="000000" w:themeColor="text1"/>
          <w:sz w:val="20"/>
          <w:szCs w:val="20"/>
        </w:rPr>
      </w:pPr>
    </w:p>
    <w:p w:rsidR="00D9631B" w:rsidRDefault="00F96050" w:rsidP="00F96050">
      <w:pPr>
        <w:spacing w:line="240" w:lineRule="auto"/>
        <w:ind w:firstLine="72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When used at a dose of 0.3 milligrams per kilograms, which is equal to 30 milligrams per kilograms</w:t>
      </w:r>
      <w:r w:rsidR="00D9631B" w:rsidRPr="00D9631B">
        <w:rPr>
          <w:rFonts w:ascii="Times New Roman" w:eastAsia="Times New Roman" w:hAnsi="Times New Roman" w:cs="Times New Roman"/>
          <w:color w:val="000000" w:themeColor="text1"/>
          <w:sz w:val="20"/>
          <w:szCs w:val="20"/>
        </w:rPr>
        <w:t xml:space="preserve"> of pioglitazone, lobeglitazone functioned in a dose-dependent way. In comparison to pioglitazone, lobeglitazone had better effects on 3T</w:t>
      </w:r>
      <w:r w:rsidR="00D9631B" w:rsidRPr="00D9631B">
        <w:rPr>
          <w:rFonts w:ascii="Times New Roman" w:eastAsia="Times New Roman" w:hAnsi="Times New Roman" w:cs="Times New Roman"/>
          <w:color w:val="000000" w:themeColor="text1"/>
          <w:sz w:val="20"/>
          <w:szCs w:val="20"/>
          <w:vertAlign w:val="subscript"/>
        </w:rPr>
        <w:t>3</w:t>
      </w:r>
      <w:r w:rsidR="00D9631B" w:rsidRPr="00D9631B">
        <w:rPr>
          <w:rFonts w:ascii="Times New Roman" w:eastAsia="Times New Roman" w:hAnsi="Times New Roman" w:cs="Times New Roman"/>
          <w:color w:val="000000" w:themeColor="text1"/>
          <w:sz w:val="20"/>
          <w:szCs w:val="20"/>
        </w:rPr>
        <w:t>-L</w:t>
      </w:r>
      <w:r w:rsidR="00D9631B" w:rsidRPr="00D9631B">
        <w:rPr>
          <w:rFonts w:ascii="Times New Roman" w:eastAsia="Times New Roman" w:hAnsi="Times New Roman" w:cs="Times New Roman"/>
          <w:color w:val="000000" w:themeColor="text1"/>
          <w:sz w:val="20"/>
          <w:szCs w:val="20"/>
          <w:vertAlign w:val="subscript"/>
        </w:rPr>
        <w:t>1</w:t>
      </w:r>
      <w:r w:rsidR="00D9631B">
        <w:rPr>
          <w:rFonts w:ascii="Times New Roman" w:eastAsia="Times New Roman" w:hAnsi="Times New Roman" w:cs="Times New Roman"/>
          <w:color w:val="000000" w:themeColor="text1"/>
          <w:sz w:val="20"/>
          <w:szCs w:val="20"/>
        </w:rPr>
        <w:t xml:space="preserve"> a</w:t>
      </w:r>
      <w:r w:rsidR="00D9631B" w:rsidRPr="00D9631B">
        <w:rPr>
          <w:rFonts w:ascii="Times New Roman" w:eastAsia="Times New Roman" w:hAnsi="Times New Roman" w:cs="Times New Roman"/>
          <w:color w:val="000000" w:themeColor="text1"/>
          <w:sz w:val="20"/>
          <w:szCs w:val="20"/>
        </w:rPr>
        <w:t>dipocytes and L</w:t>
      </w:r>
      <w:r w:rsidR="00D9631B" w:rsidRPr="00D9631B">
        <w:rPr>
          <w:rFonts w:ascii="Times New Roman" w:eastAsia="Times New Roman" w:hAnsi="Times New Roman" w:cs="Times New Roman"/>
          <w:color w:val="000000" w:themeColor="text1"/>
          <w:sz w:val="20"/>
          <w:szCs w:val="20"/>
          <w:vertAlign w:val="subscript"/>
        </w:rPr>
        <w:t>6</w:t>
      </w:r>
      <w:r w:rsidR="00D9631B" w:rsidRPr="00D9631B">
        <w:rPr>
          <w:rFonts w:ascii="Times New Roman" w:eastAsia="Times New Roman" w:hAnsi="Times New Roman" w:cs="Times New Roman"/>
          <w:color w:val="000000" w:themeColor="text1"/>
          <w:sz w:val="20"/>
          <w:szCs w:val="20"/>
        </w:rPr>
        <w:t xml:space="preserve"> muscle cells when it came to glucose uptake. It also improves pancreatic beta-cell survival. Additionally, it is discovered to inhibit protein tyrosine phosphatase, which controls insulin and leptin signaling and is linked to the</w:t>
      </w:r>
      <w:r>
        <w:rPr>
          <w:rFonts w:ascii="Times New Roman" w:eastAsia="Times New Roman" w:hAnsi="Times New Roman" w:cs="Times New Roman"/>
          <w:color w:val="000000" w:themeColor="text1"/>
          <w:sz w:val="20"/>
          <w:szCs w:val="20"/>
        </w:rPr>
        <w:t xml:space="preserve"> emergence of insulin sensitivity</w:t>
      </w:r>
      <w:r w:rsidR="00D9631B" w:rsidRPr="00D9631B">
        <w:rPr>
          <w:rFonts w:ascii="Times New Roman" w:eastAsia="Times New Roman" w:hAnsi="Times New Roman" w:cs="Times New Roman"/>
          <w:color w:val="000000" w:themeColor="text1"/>
          <w:sz w:val="20"/>
          <w:szCs w:val="20"/>
        </w:rPr>
        <w:t xml:space="preserve"> and T</w:t>
      </w:r>
      <w:r w:rsidR="00D9631B" w:rsidRPr="00D9631B">
        <w:rPr>
          <w:rFonts w:ascii="Times New Roman" w:eastAsia="Times New Roman" w:hAnsi="Times New Roman" w:cs="Times New Roman"/>
          <w:color w:val="000000" w:themeColor="text1"/>
          <w:sz w:val="20"/>
          <w:szCs w:val="20"/>
          <w:vertAlign w:val="subscript"/>
        </w:rPr>
        <w:t>2</w:t>
      </w:r>
      <w:r w:rsidR="00C33EAD">
        <w:rPr>
          <w:rFonts w:ascii="Times New Roman" w:eastAsia="Times New Roman" w:hAnsi="Times New Roman" w:cs="Times New Roman"/>
          <w:color w:val="000000" w:themeColor="text1"/>
          <w:sz w:val="20"/>
          <w:szCs w:val="20"/>
        </w:rPr>
        <w:t xml:space="preserve">DM [16, </w:t>
      </w:r>
      <w:r w:rsidR="00B742E5">
        <w:rPr>
          <w:rFonts w:ascii="Times New Roman" w:eastAsia="Times New Roman" w:hAnsi="Times New Roman" w:cs="Times New Roman"/>
          <w:color w:val="000000" w:themeColor="text1"/>
          <w:sz w:val="20"/>
          <w:szCs w:val="20"/>
        </w:rPr>
        <w:t>27-30]</w:t>
      </w:r>
      <w:r w:rsidR="00C33EAD">
        <w:rPr>
          <w:rFonts w:ascii="Times New Roman" w:eastAsia="Times New Roman" w:hAnsi="Times New Roman" w:cs="Times New Roman"/>
          <w:color w:val="000000" w:themeColor="text1"/>
          <w:sz w:val="20"/>
          <w:szCs w:val="20"/>
        </w:rPr>
        <w:t>.</w:t>
      </w:r>
    </w:p>
    <w:p w:rsidR="00C33EAD" w:rsidRDefault="00C33EAD" w:rsidP="00C33EAD">
      <w:pPr>
        <w:jc w:val="center"/>
        <w:rPr>
          <w:rFonts w:ascii="Times New Roman" w:eastAsia="Times New Roman" w:hAnsi="Times New Roman" w:cs="Times New Roman"/>
          <w:b/>
          <w:color w:val="000000" w:themeColor="text1"/>
          <w:sz w:val="20"/>
          <w:szCs w:val="20"/>
        </w:rPr>
      </w:pPr>
    </w:p>
    <w:p w:rsidR="0097491D" w:rsidRDefault="006C13F6" w:rsidP="0097491D">
      <w:pPr>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Pharmacokinetics</w:t>
      </w:r>
    </w:p>
    <w:p w:rsidR="00A35212" w:rsidRPr="0097491D" w:rsidRDefault="0097491D" w:rsidP="0097491D">
      <w:pPr>
        <w:ind w:firstLine="72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Pharmacokinetics characteristics of lobeglitazone is shown in the given table which includes absorption, volume of distribution, protein binding, metabolism, peak plasma levels, route of elimination, half life, clearance, normal dose, toxicity </w:t>
      </w:r>
      <w:r w:rsidR="00C33EAD">
        <w:rPr>
          <w:rFonts w:ascii="Times New Roman" w:eastAsia="Times New Roman" w:hAnsi="Times New Roman" w:cs="Times New Roman"/>
          <w:color w:val="000000" w:themeColor="text1"/>
          <w:sz w:val="20"/>
          <w:szCs w:val="20"/>
        </w:rPr>
        <w:t xml:space="preserve">[16, </w:t>
      </w:r>
      <w:r w:rsidR="00DA6715">
        <w:rPr>
          <w:rFonts w:ascii="Times New Roman" w:eastAsia="Times New Roman" w:hAnsi="Times New Roman" w:cs="Times New Roman"/>
          <w:color w:val="000000" w:themeColor="text1"/>
          <w:sz w:val="20"/>
          <w:szCs w:val="20"/>
        </w:rPr>
        <w:t>31</w:t>
      </w:r>
      <w:r w:rsidR="00C23F92">
        <w:rPr>
          <w:rFonts w:ascii="Times New Roman" w:eastAsia="Times New Roman" w:hAnsi="Times New Roman" w:cs="Times New Roman"/>
          <w:color w:val="000000" w:themeColor="text1"/>
          <w:sz w:val="20"/>
          <w:szCs w:val="20"/>
        </w:rPr>
        <w:t>-35</w:t>
      </w:r>
      <w:r w:rsidR="00DA6715">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w:t>
      </w:r>
    </w:p>
    <w:p w:rsidR="006C13F6" w:rsidRPr="006C13F6" w:rsidRDefault="0097491D" w:rsidP="006C13F6">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Table</w:t>
      </w:r>
      <w:r w:rsidR="006C13F6">
        <w:rPr>
          <w:rFonts w:ascii="Times New Roman" w:eastAsia="Times New Roman" w:hAnsi="Times New Roman" w:cs="Times New Roman"/>
          <w:b/>
          <w:color w:val="000000" w:themeColor="text1"/>
          <w:sz w:val="20"/>
          <w:szCs w:val="20"/>
        </w:rPr>
        <w:t xml:space="preserve"> 1</w:t>
      </w:r>
      <w:r>
        <w:rPr>
          <w:rFonts w:ascii="Times New Roman" w:eastAsia="Times New Roman" w:hAnsi="Times New Roman" w:cs="Times New Roman"/>
          <w:b/>
          <w:color w:val="000000" w:themeColor="text1"/>
          <w:sz w:val="20"/>
          <w:szCs w:val="20"/>
        </w:rPr>
        <w:t>: Pharmacokinetic Characteristics of Lobeglitazone</w:t>
      </w:r>
    </w:p>
    <w:tbl>
      <w:tblPr>
        <w:tblStyle w:val="TableGrid"/>
        <w:tblW w:w="0" w:type="auto"/>
        <w:tblLook w:val="04A0"/>
      </w:tblPr>
      <w:tblGrid>
        <w:gridCol w:w="4621"/>
        <w:gridCol w:w="4622"/>
      </w:tblGrid>
      <w:tr w:rsidR="006C13F6" w:rsidTr="006C13F6">
        <w:tc>
          <w:tcPr>
            <w:tcW w:w="4621" w:type="dxa"/>
          </w:tcPr>
          <w:p w:rsidR="006C13F6" w:rsidRDefault="00BF3EB4" w:rsidP="00BF3EB4">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Characteristics</w:t>
            </w:r>
          </w:p>
        </w:tc>
        <w:tc>
          <w:tcPr>
            <w:tcW w:w="4622" w:type="dxa"/>
          </w:tcPr>
          <w:p w:rsidR="006C13F6" w:rsidRDefault="00BF3EB4" w:rsidP="00BF3EB4">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Comments</w:t>
            </w:r>
          </w:p>
        </w:tc>
      </w:tr>
      <w:tr w:rsidR="006C13F6" w:rsidTr="006C13F6">
        <w:tc>
          <w:tcPr>
            <w:tcW w:w="4621" w:type="dxa"/>
          </w:tcPr>
          <w:p w:rsidR="00BF3EB4" w:rsidRDefault="00BF3EB4" w:rsidP="00BF3EB4">
            <w:pPr>
              <w:jc w:val="center"/>
              <w:rPr>
                <w:rFonts w:ascii="Times New Roman" w:eastAsia="Times New Roman" w:hAnsi="Times New Roman" w:cs="Times New Roman"/>
                <w:color w:val="000000" w:themeColor="text1"/>
                <w:sz w:val="20"/>
                <w:szCs w:val="20"/>
              </w:rPr>
            </w:pPr>
          </w:p>
          <w:p w:rsidR="00BF3EB4" w:rsidRDefault="00BF3EB4" w:rsidP="00BF3EB4">
            <w:pPr>
              <w:jc w:val="center"/>
              <w:rPr>
                <w:rFonts w:ascii="Times New Roman" w:eastAsia="Times New Roman" w:hAnsi="Times New Roman" w:cs="Times New Roman"/>
                <w:color w:val="000000" w:themeColor="text1"/>
                <w:sz w:val="20"/>
                <w:szCs w:val="20"/>
              </w:rPr>
            </w:pPr>
          </w:p>
          <w:p w:rsidR="006C13F6" w:rsidRPr="00BF3EB4" w:rsidRDefault="00BF3EB4" w:rsidP="00BF3EB4">
            <w:pPr>
              <w:jc w:val="center"/>
              <w:rPr>
                <w:rFonts w:ascii="Times New Roman" w:eastAsia="Times New Roman" w:hAnsi="Times New Roman" w:cs="Times New Roman"/>
                <w:b/>
                <w:color w:val="000000" w:themeColor="text1"/>
                <w:sz w:val="20"/>
                <w:szCs w:val="20"/>
              </w:rPr>
            </w:pPr>
            <w:r w:rsidRPr="00BF3EB4">
              <w:rPr>
                <w:rFonts w:ascii="Times New Roman" w:eastAsia="Times New Roman" w:hAnsi="Times New Roman" w:cs="Times New Roman"/>
                <w:b/>
                <w:color w:val="000000" w:themeColor="text1"/>
                <w:sz w:val="20"/>
                <w:szCs w:val="20"/>
              </w:rPr>
              <w:t>Absorption</w:t>
            </w:r>
          </w:p>
        </w:tc>
        <w:tc>
          <w:tcPr>
            <w:tcW w:w="4622" w:type="dxa"/>
          </w:tcPr>
          <w:p w:rsidR="006C13F6" w:rsidRPr="00BF3EB4" w:rsidRDefault="00BF3EB4" w:rsidP="00BF3EB4">
            <w:pPr>
              <w:jc w:val="both"/>
              <w:rPr>
                <w:rFonts w:ascii="Times New Roman" w:eastAsia="Times New Roman" w:hAnsi="Times New Roman" w:cs="Times New Roman"/>
                <w:color w:val="000000" w:themeColor="text1"/>
                <w:sz w:val="20"/>
                <w:szCs w:val="20"/>
              </w:rPr>
            </w:pPr>
            <w:r w:rsidRPr="00BF3EB4">
              <w:rPr>
                <w:rFonts w:ascii="Times New Roman" w:eastAsia="Times New Roman" w:hAnsi="Times New Roman" w:cs="Times New Roman"/>
                <w:color w:val="000000" w:themeColor="text1"/>
                <w:sz w:val="20"/>
                <w:szCs w:val="20"/>
              </w:rPr>
              <w:t>Following doses of 0.5 and 2 mg/kg, respectively, there is an immediate onset of absorption. Absolute bioavailability after oral intake was almost 100% and appeared unaffected by dosage, with 92.1% following a 0.5 mg/kg dose and 99.0% following a 2 mg/kg dose</w:t>
            </w:r>
          </w:p>
        </w:tc>
      </w:tr>
      <w:tr w:rsidR="006C13F6" w:rsidTr="00BF3EB4">
        <w:trPr>
          <w:trHeight w:val="440"/>
        </w:trPr>
        <w:tc>
          <w:tcPr>
            <w:tcW w:w="4621" w:type="dxa"/>
          </w:tcPr>
          <w:p w:rsidR="006C13F6" w:rsidRDefault="00BF3EB4" w:rsidP="00BF3EB4">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Volume of Distribution</w:t>
            </w:r>
          </w:p>
        </w:tc>
        <w:tc>
          <w:tcPr>
            <w:tcW w:w="4622" w:type="dxa"/>
          </w:tcPr>
          <w:p w:rsidR="006C13F6" w:rsidRPr="00BF3EB4" w:rsidRDefault="00BF3EB4" w:rsidP="006C13F6">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189-276 mL/kg</w:t>
            </w:r>
          </w:p>
        </w:tc>
      </w:tr>
      <w:tr w:rsidR="006C13F6" w:rsidTr="006C13F6">
        <w:tc>
          <w:tcPr>
            <w:tcW w:w="4621" w:type="dxa"/>
          </w:tcPr>
          <w:p w:rsidR="00BF3EB4" w:rsidRDefault="00BF3EB4" w:rsidP="00BF3EB4">
            <w:pPr>
              <w:jc w:val="center"/>
              <w:rPr>
                <w:rFonts w:ascii="Times New Roman" w:eastAsia="Times New Roman" w:hAnsi="Times New Roman" w:cs="Times New Roman"/>
                <w:b/>
                <w:color w:val="000000" w:themeColor="text1"/>
                <w:sz w:val="20"/>
                <w:szCs w:val="20"/>
              </w:rPr>
            </w:pPr>
          </w:p>
          <w:p w:rsidR="006C13F6" w:rsidRDefault="00BF3EB4" w:rsidP="00BF3EB4">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Protein Binding</w:t>
            </w:r>
          </w:p>
        </w:tc>
        <w:tc>
          <w:tcPr>
            <w:tcW w:w="4622" w:type="dxa"/>
          </w:tcPr>
          <w:p w:rsidR="006C13F6" w:rsidRPr="00BF3EB4" w:rsidRDefault="00BF3EB4" w:rsidP="006C13F6">
            <w:pPr>
              <w:jc w:val="both"/>
              <w:rPr>
                <w:rFonts w:ascii="Times New Roman" w:eastAsia="Times New Roman" w:hAnsi="Times New Roman" w:cs="Times New Roman"/>
                <w:color w:val="000000" w:themeColor="text1"/>
                <w:sz w:val="20"/>
                <w:szCs w:val="20"/>
              </w:rPr>
            </w:pPr>
            <w:r w:rsidRPr="00BF3EB4">
              <w:rPr>
                <w:rFonts w:ascii="Times New Roman" w:eastAsia="Times New Roman" w:hAnsi="Times New Roman" w:cs="Times New Roman"/>
                <w:color w:val="000000" w:themeColor="text1"/>
                <w:sz w:val="20"/>
                <w:szCs w:val="20"/>
              </w:rPr>
              <w:t>Up to 99.9% of plasma proteins</w:t>
            </w:r>
            <w:r>
              <w:rPr>
                <w:rFonts w:ascii="Times New Roman" w:eastAsia="Times New Roman" w:hAnsi="Times New Roman" w:cs="Times New Roman"/>
                <w:color w:val="000000" w:themeColor="text1"/>
                <w:sz w:val="20"/>
                <w:szCs w:val="20"/>
              </w:rPr>
              <w:t xml:space="preserve"> were found to bind extensively </w:t>
            </w:r>
            <w:r w:rsidRPr="00BF3EB4">
              <w:rPr>
                <w:rFonts w:ascii="Times New Roman" w:eastAsia="Times New Roman" w:hAnsi="Times New Roman" w:cs="Times New Roman"/>
                <w:color w:val="000000" w:themeColor="text1"/>
                <w:sz w:val="20"/>
                <w:szCs w:val="20"/>
              </w:rPr>
              <w:t>to lobeglitazone, with no apparent concentration dependence on the unbound percentage</w:t>
            </w:r>
          </w:p>
        </w:tc>
      </w:tr>
      <w:tr w:rsidR="006C13F6" w:rsidTr="006C13F6">
        <w:tc>
          <w:tcPr>
            <w:tcW w:w="4621" w:type="dxa"/>
          </w:tcPr>
          <w:p w:rsidR="006C13F6" w:rsidRDefault="00BF3EB4" w:rsidP="00BF3EB4">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Metabolism</w:t>
            </w:r>
          </w:p>
        </w:tc>
        <w:tc>
          <w:tcPr>
            <w:tcW w:w="4622" w:type="dxa"/>
          </w:tcPr>
          <w:p w:rsidR="006C13F6" w:rsidRPr="00BF3EB4" w:rsidRDefault="00BF3EB4" w:rsidP="006C13F6">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Metabolized by cytochrome P450 (CYP) isoenzymes</w:t>
            </w:r>
          </w:p>
        </w:tc>
      </w:tr>
      <w:tr w:rsidR="00437E16" w:rsidTr="00437E16">
        <w:trPr>
          <w:trHeight w:val="305"/>
        </w:trPr>
        <w:tc>
          <w:tcPr>
            <w:tcW w:w="4621" w:type="dxa"/>
          </w:tcPr>
          <w:p w:rsidR="00437E16" w:rsidRDefault="00437E16" w:rsidP="00BF3EB4">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Peak Plasma Levels</w:t>
            </w:r>
          </w:p>
        </w:tc>
        <w:tc>
          <w:tcPr>
            <w:tcW w:w="4622" w:type="dxa"/>
          </w:tcPr>
          <w:p w:rsidR="00437E16" w:rsidRDefault="00437E16" w:rsidP="00437E16">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1-3 hours</w:t>
            </w:r>
          </w:p>
        </w:tc>
      </w:tr>
      <w:tr w:rsidR="006C13F6" w:rsidTr="006C13F6">
        <w:tc>
          <w:tcPr>
            <w:tcW w:w="4621" w:type="dxa"/>
          </w:tcPr>
          <w:p w:rsidR="00A57618" w:rsidRDefault="00A57618" w:rsidP="00BF3EB4">
            <w:pPr>
              <w:jc w:val="center"/>
              <w:rPr>
                <w:rFonts w:ascii="Times New Roman" w:eastAsia="Times New Roman" w:hAnsi="Times New Roman" w:cs="Times New Roman"/>
                <w:b/>
                <w:color w:val="000000" w:themeColor="text1"/>
                <w:sz w:val="20"/>
                <w:szCs w:val="20"/>
              </w:rPr>
            </w:pPr>
          </w:p>
          <w:p w:rsidR="006C13F6" w:rsidRDefault="00A57618" w:rsidP="00BF3EB4">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Route of Elimination</w:t>
            </w:r>
          </w:p>
        </w:tc>
        <w:tc>
          <w:tcPr>
            <w:tcW w:w="4622" w:type="dxa"/>
          </w:tcPr>
          <w:p w:rsidR="006C13F6" w:rsidRPr="00A57618" w:rsidRDefault="00A57618" w:rsidP="006C13F6">
            <w:pPr>
              <w:jc w:val="both"/>
              <w:rPr>
                <w:rFonts w:ascii="Times New Roman" w:eastAsia="Times New Roman" w:hAnsi="Times New Roman" w:cs="Times New Roman"/>
                <w:color w:val="000000" w:themeColor="text1"/>
                <w:sz w:val="20"/>
                <w:szCs w:val="20"/>
              </w:rPr>
            </w:pPr>
            <w:r w:rsidRPr="00A57618">
              <w:rPr>
                <w:rFonts w:ascii="Times New Roman" w:eastAsia="Times New Roman" w:hAnsi="Times New Roman" w:cs="Times New Roman"/>
                <w:color w:val="000000" w:themeColor="text1"/>
                <w:sz w:val="20"/>
                <w:szCs w:val="20"/>
              </w:rPr>
              <w:t>Less than 10% of the total dose of lobeglitazone is excreted in bile, urine, and the gut combinedly, indicating that the drug is primarily eliminated through its metabolism.</w:t>
            </w:r>
          </w:p>
        </w:tc>
      </w:tr>
      <w:tr w:rsidR="006C13F6" w:rsidTr="006C13F6">
        <w:tc>
          <w:tcPr>
            <w:tcW w:w="4621" w:type="dxa"/>
          </w:tcPr>
          <w:p w:rsidR="006C13F6" w:rsidRDefault="00A57618" w:rsidP="00A57618">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Half Life</w:t>
            </w:r>
          </w:p>
        </w:tc>
        <w:tc>
          <w:tcPr>
            <w:tcW w:w="4622" w:type="dxa"/>
          </w:tcPr>
          <w:p w:rsidR="006C13F6" w:rsidRPr="00A57618" w:rsidRDefault="00A57618" w:rsidP="006C13F6">
            <w:pPr>
              <w:jc w:val="both"/>
              <w:rPr>
                <w:rFonts w:ascii="Times New Roman" w:eastAsia="Times New Roman" w:hAnsi="Times New Roman" w:cs="Times New Roman"/>
                <w:b/>
                <w:color w:val="000000" w:themeColor="text1"/>
                <w:sz w:val="20"/>
                <w:szCs w:val="20"/>
              </w:rPr>
            </w:pPr>
            <w:r w:rsidRPr="00A57618">
              <w:rPr>
                <w:rFonts w:ascii="Times New Roman" w:eastAsia="Times New Roman" w:hAnsi="Times New Roman" w:cs="Times New Roman"/>
                <w:color w:val="000000" w:themeColor="text1"/>
                <w:sz w:val="20"/>
                <w:szCs w:val="20"/>
              </w:rPr>
              <w:t>The half-life after receiving 1 mg/kg intravenously was found to be 110 minutes</w:t>
            </w:r>
            <w:r w:rsidR="00437E16">
              <w:rPr>
                <w:rFonts w:ascii="Times New Roman" w:eastAsia="Times New Roman" w:hAnsi="Times New Roman" w:cs="Times New Roman"/>
                <w:color w:val="000000" w:themeColor="text1"/>
                <w:sz w:val="20"/>
                <w:szCs w:val="20"/>
              </w:rPr>
              <w:t xml:space="preserve"> and after single oral dosage i.e. 0.5 mg, it was found to be 7.8-9.8 hours.</w:t>
            </w:r>
          </w:p>
        </w:tc>
      </w:tr>
      <w:tr w:rsidR="006C13F6" w:rsidTr="006C13F6">
        <w:tc>
          <w:tcPr>
            <w:tcW w:w="4621" w:type="dxa"/>
          </w:tcPr>
          <w:p w:rsidR="006C13F6" w:rsidRDefault="00080D14" w:rsidP="00080D14">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Clearance</w:t>
            </w:r>
          </w:p>
        </w:tc>
        <w:tc>
          <w:tcPr>
            <w:tcW w:w="4622" w:type="dxa"/>
          </w:tcPr>
          <w:p w:rsidR="00080D14" w:rsidRPr="00080D14" w:rsidRDefault="00080D14" w:rsidP="006C13F6">
            <w:pPr>
              <w:jc w:val="both"/>
              <w:rPr>
                <w:rFonts w:ascii="Times New Roman" w:eastAsia="Times New Roman" w:hAnsi="Times New Roman" w:cs="Times New Roman"/>
                <w:color w:val="000000" w:themeColor="text1"/>
                <w:sz w:val="20"/>
                <w:szCs w:val="20"/>
              </w:rPr>
            </w:pPr>
            <w:r w:rsidRPr="00080D14">
              <w:rPr>
                <w:rFonts w:ascii="Times New Roman" w:eastAsia="Times New Roman" w:hAnsi="Times New Roman" w:cs="Times New Roman"/>
                <w:color w:val="000000" w:themeColor="text1"/>
                <w:sz w:val="20"/>
                <w:szCs w:val="20"/>
              </w:rPr>
              <w:t>Regardless of dosage, systemic clearance was determined to be between 1.95 and 2.19 mL/min/kg.</w:t>
            </w:r>
          </w:p>
        </w:tc>
      </w:tr>
      <w:tr w:rsidR="00C23F92" w:rsidTr="006C13F6">
        <w:tc>
          <w:tcPr>
            <w:tcW w:w="4621" w:type="dxa"/>
          </w:tcPr>
          <w:p w:rsidR="00C23F92" w:rsidRDefault="00C23F92" w:rsidP="00080D14">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Normal Dose</w:t>
            </w:r>
          </w:p>
        </w:tc>
        <w:tc>
          <w:tcPr>
            <w:tcW w:w="4622" w:type="dxa"/>
          </w:tcPr>
          <w:p w:rsidR="00C23F92" w:rsidRPr="00080D14" w:rsidRDefault="00C23F92" w:rsidP="006C13F6">
            <w:p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Tolerated well when administered upto 4 mg once daily</w:t>
            </w:r>
          </w:p>
        </w:tc>
      </w:tr>
      <w:tr w:rsidR="00080D14" w:rsidTr="006C13F6">
        <w:tc>
          <w:tcPr>
            <w:tcW w:w="4621" w:type="dxa"/>
          </w:tcPr>
          <w:p w:rsidR="00080D14" w:rsidRDefault="00080D14" w:rsidP="00080D14">
            <w:pPr>
              <w:jc w:val="center"/>
              <w:rPr>
                <w:rFonts w:ascii="Times New Roman" w:eastAsia="Times New Roman" w:hAnsi="Times New Roman" w:cs="Times New Roman"/>
                <w:b/>
                <w:color w:val="000000" w:themeColor="text1"/>
                <w:sz w:val="20"/>
                <w:szCs w:val="20"/>
              </w:rPr>
            </w:pPr>
          </w:p>
          <w:p w:rsidR="00080D14" w:rsidRDefault="00080D14" w:rsidP="00080D14">
            <w:pPr>
              <w:jc w:val="center"/>
              <w:rPr>
                <w:rFonts w:ascii="Times New Roman" w:eastAsia="Times New Roman" w:hAnsi="Times New Roman" w:cs="Times New Roman"/>
                <w:b/>
                <w:color w:val="000000" w:themeColor="text1"/>
                <w:sz w:val="20"/>
                <w:szCs w:val="20"/>
              </w:rPr>
            </w:pPr>
          </w:p>
          <w:p w:rsidR="00080D14" w:rsidRDefault="00080D14" w:rsidP="00080D14">
            <w:pPr>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Toxicity</w:t>
            </w:r>
          </w:p>
        </w:tc>
        <w:tc>
          <w:tcPr>
            <w:tcW w:w="4622" w:type="dxa"/>
          </w:tcPr>
          <w:p w:rsidR="00080D14" w:rsidRPr="00080D14" w:rsidRDefault="00080D14" w:rsidP="006C13F6">
            <w:pPr>
              <w:jc w:val="both"/>
              <w:rPr>
                <w:rFonts w:ascii="Times New Roman" w:eastAsia="Times New Roman" w:hAnsi="Times New Roman" w:cs="Times New Roman"/>
                <w:color w:val="000000" w:themeColor="text1"/>
                <w:sz w:val="20"/>
                <w:szCs w:val="20"/>
              </w:rPr>
            </w:pPr>
            <w:r w:rsidRPr="00080D14">
              <w:rPr>
                <w:rFonts w:ascii="Times New Roman" w:eastAsia="Times New Roman" w:hAnsi="Times New Roman" w:cs="Times New Roman"/>
                <w:color w:val="000000" w:themeColor="text1"/>
                <w:sz w:val="20"/>
                <w:szCs w:val="20"/>
              </w:rPr>
              <w:t>With n</w:t>
            </w:r>
            <w:r w:rsidR="00F96050">
              <w:rPr>
                <w:rFonts w:ascii="Times New Roman" w:eastAsia="Times New Roman" w:hAnsi="Times New Roman" w:cs="Times New Roman"/>
                <w:color w:val="000000" w:themeColor="text1"/>
                <w:sz w:val="20"/>
                <w:szCs w:val="20"/>
              </w:rPr>
              <w:t>o serious adverse effects, swelling and increase in weight</w:t>
            </w:r>
            <w:r w:rsidRPr="00080D14">
              <w:rPr>
                <w:rFonts w:ascii="Times New Roman" w:eastAsia="Times New Roman" w:hAnsi="Times New Roman" w:cs="Times New Roman"/>
                <w:color w:val="000000" w:themeColor="text1"/>
                <w:sz w:val="20"/>
                <w:szCs w:val="20"/>
              </w:rPr>
              <w:t xml:space="preserve"> were the side effects that were most alarming. Notably, patients with heart failure did not experience any changes that could be seen, which is unusual for drugs in the same class and is a cause for caution.</w:t>
            </w:r>
          </w:p>
        </w:tc>
      </w:tr>
    </w:tbl>
    <w:p w:rsidR="00F96050" w:rsidRDefault="00F96050" w:rsidP="0097491D">
      <w:pPr>
        <w:spacing w:after="0" w:line="240" w:lineRule="auto"/>
        <w:jc w:val="both"/>
        <w:rPr>
          <w:rFonts w:ascii="Times New Roman" w:hAnsi="Times New Roman" w:cs="Times New Roman"/>
          <w:color w:val="000000" w:themeColor="text1"/>
          <w:sz w:val="20"/>
          <w:szCs w:val="20"/>
        </w:rPr>
      </w:pPr>
    </w:p>
    <w:p w:rsidR="00FC30C8" w:rsidRDefault="00FC30C8" w:rsidP="0097491D">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Mechanism of Action</w:t>
      </w:r>
    </w:p>
    <w:p w:rsidR="00C33EAD" w:rsidRDefault="00C33EAD" w:rsidP="00FC30C8">
      <w:pPr>
        <w:spacing w:after="0" w:line="240" w:lineRule="auto"/>
        <w:jc w:val="both"/>
        <w:rPr>
          <w:rFonts w:ascii="Times New Roman" w:hAnsi="Times New Roman" w:cs="Times New Roman"/>
          <w:b/>
          <w:color w:val="000000" w:themeColor="text1"/>
          <w:sz w:val="20"/>
          <w:szCs w:val="20"/>
        </w:rPr>
      </w:pPr>
    </w:p>
    <w:p w:rsidR="0077580E" w:rsidRDefault="00FC30C8" w:rsidP="0097491D">
      <w:pPr>
        <w:spacing w:after="0" w:line="240" w:lineRule="auto"/>
        <w:ind w:firstLine="720"/>
        <w:jc w:val="both"/>
        <w:rPr>
          <w:rFonts w:ascii="Times New Roman" w:hAnsi="Times New Roman" w:cs="Times New Roman"/>
          <w:color w:val="000000" w:themeColor="text1"/>
          <w:sz w:val="20"/>
          <w:szCs w:val="20"/>
        </w:rPr>
      </w:pPr>
      <w:r w:rsidRPr="00FC30C8">
        <w:rPr>
          <w:rFonts w:ascii="Times New Roman" w:hAnsi="Times New Roman" w:cs="Times New Roman"/>
          <w:color w:val="000000" w:themeColor="text1"/>
          <w:sz w:val="20"/>
          <w:szCs w:val="20"/>
        </w:rPr>
        <w:t>Lobeglitazone acts as an agonist for PPARγ, stimulating its activity. By doing so, Lobeglitazone enhances insulin sensitivity in peripheral tissues, such as adipose tissue and skeletal muscle. This increased insulin sensitivity helps regulate blood glucose levels, making it an eff</w:t>
      </w:r>
      <w:r w:rsidR="00C33EAD">
        <w:rPr>
          <w:rFonts w:ascii="Times New Roman" w:hAnsi="Times New Roman" w:cs="Times New Roman"/>
          <w:color w:val="000000" w:themeColor="text1"/>
          <w:sz w:val="20"/>
          <w:szCs w:val="20"/>
        </w:rPr>
        <w:t xml:space="preserve">ective anti-diabetic medication </w:t>
      </w:r>
      <w:r w:rsidR="00286E25">
        <w:rPr>
          <w:rFonts w:ascii="Times New Roman" w:hAnsi="Times New Roman" w:cs="Times New Roman"/>
          <w:color w:val="000000" w:themeColor="text1"/>
          <w:sz w:val="20"/>
          <w:szCs w:val="20"/>
        </w:rPr>
        <w:t>[16]</w:t>
      </w:r>
      <w:r w:rsidR="00C33EAD">
        <w:rPr>
          <w:rFonts w:ascii="Times New Roman" w:hAnsi="Times New Roman" w:cs="Times New Roman"/>
          <w:color w:val="000000" w:themeColor="text1"/>
          <w:sz w:val="20"/>
          <w:szCs w:val="20"/>
        </w:rPr>
        <w:t>.</w:t>
      </w:r>
    </w:p>
    <w:p w:rsidR="00FC30C8" w:rsidRPr="00FC30C8" w:rsidRDefault="00FC30C8" w:rsidP="00C33EAD">
      <w:pPr>
        <w:spacing w:after="0" w:line="240" w:lineRule="auto"/>
        <w:jc w:val="both"/>
        <w:rPr>
          <w:rFonts w:ascii="Times New Roman" w:hAnsi="Times New Roman" w:cs="Times New Roman"/>
          <w:color w:val="000000" w:themeColor="text1"/>
          <w:sz w:val="20"/>
          <w:szCs w:val="20"/>
        </w:rPr>
      </w:pPr>
    </w:p>
    <w:p w:rsidR="00997601" w:rsidRPr="00FC30C8" w:rsidRDefault="00FC30C8" w:rsidP="0097491D">
      <w:pPr>
        <w:spacing w:line="240" w:lineRule="auto"/>
        <w:ind w:firstLine="720"/>
        <w:jc w:val="both"/>
        <w:rPr>
          <w:rFonts w:ascii="Times New Roman" w:hAnsi="Times New Roman" w:cs="Times New Roman"/>
          <w:color w:val="000000" w:themeColor="text1"/>
          <w:sz w:val="20"/>
          <w:szCs w:val="20"/>
        </w:rPr>
      </w:pPr>
      <w:r w:rsidRPr="00FC30C8">
        <w:rPr>
          <w:rFonts w:ascii="Times New Roman" w:hAnsi="Times New Roman" w:cs="Times New Roman"/>
          <w:color w:val="000000" w:themeColor="text1"/>
          <w:sz w:val="20"/>
          <w:szCs w:val="20"/>
        </w:rPr>
        <w:t>Clinical trials have demonstrated that Lobeglitazone effectively lowers blood glucose levels, both as a monotherapy and in combination with other anti-diabetic drugs. Its selective binding to PPARγ is believed to contribute to a reduced risk of some of the adverse effects associat</w:t>
      </w:r>
      <w:r w:rsidR="00C33EAD">
        <w:rPr>
          <w:rFonts w:ascii="Times New Roman" w:hAnsi="Times New Roman" w:cs="Times New Roman"/>
          <w:color w:val="000000" w:themeColor="text1"/>
          <w:sz w:val="20"/>
          <w:szCs w:val="20"/>
        </w:rPr>
        <w:t xml:space="preserve">ed with earlier-generation TZDs [16, </w:t>
      </w:r>
      <w:r w:rsidR="00286E25">
        <w:rPr>
          <w:rFonts w:ascii="Times New Roman" w:hAnsi="Times New Roman" w:cs="Times New Roman"/>
          <w:color w:val="000000" w:themeColor="text1"/>
          <w:sz w:val="20"/>
          <w:szCs w:val="20"/>
        </w:rPr>
        <w:t>27-35]</w:t>
      </w:r>
      <w:r w:rsidR="00C33EAD">
        <w:rPr>
          <w:rFonts w:ascii="Times New Roman" w:hAnsi="Times New Roman" w:cs="Times New Roman"/>
          <w:color w:val="000000" w:themeColor="text1"/>
          <w:sz w:val="20"/>
          <w:szCs w:val="20"/>
        </w:rPr>
        <w:t>.</w:t>
      </w:r>
    </w:p>
    <w:p w:rsidR="008B6038" w:rsidRDefault="008B6038" w:rsidP="008B6038">
      <w:pPr>
        <w:rPr>
          <w:rFonts w:ascii="Times New Roman" w:hAnsi="Times New Roman" w:cs="Times New Roman"/>
          <w:sz w:val="20"/>
          <w:szCs w:val="20"/>
        </w:rPr>
      </w:pPr>
    </w:p>
    <w:p w:rsidR="00B458A7" w:rsidRPr="008B6038" w:rsidRDefault="00B458A7" w:rsidP="008B6038">
      <w:r>
        <w:rPr>
          <w:rFonts w:ascii="Times New Roman" w:hAnsi="Times New Roman" w:cs="Times New Roman"/>
          <w:b/>
          <w:sz w:val="20"/>
          <w:szCs w:val="20"/>
        </w:rPr>
        <w:t>Effect</w:t>
      </w:r>
      <w:r w:rsidR="00C80838">
        <w:rPr>
          <w:rFonts w:ascii="Times New Roman" w:hAnsi="Times New Roman" w:cs="Times New Roman"/>
          <w:b/>
          <w:sz w:val="20"/>
          <w:szCs w:val="20"/>
        </w:rPr>
        <w:t xml:space="preserve"> </w:t>
      </w:r>
      <w:r w:rsidR="008B6038">
        <w:rPr>
          <w:rFonts w:ascii="Times New Roman" w:hAnsi="Times New Roman" w:cs="Times New Roman"/>
          <w:b/>
          <w:sz w:val="20"/>
          <w:szCs w:val="20"/>
        </w:rPr>
        <w:t>o</w:t>
      </w:r>
      <w:r>
        <w:rPr>
          <w:rFonts w:ascii="Times New Roman" w:hAnsi="Times New Roman" w:cs="Times New Roman"/>
          <w:b/>
          <w:sz w:val="20"/>
          <w:szCs w:val="20"/>
        </w:rPr>
        <w:t>f</w:t>
      </w:r>
      <w:r w:rsidR="008B6038">
        <w:rPr>
          <w:rFonts w:ascii="Times New Roman" w:hAnsi="Times New Roman" w:cs="Times New Roman"/>
          <w:b/>
          <w:sz w:val="20"/>
          <w:szCs w:val="20"/>
        </w:rPr>
        <w:t xml:space="preserve"> </w:t>
      </w:r>
      <w:r>
        <w:rPr>
          <w:rFonts w:ascii="Times New Roman" w:hAnsi="Times New Roman" w:cs="Times New Roman"/>
          <w:b/>
          <w:sz w:val="20"/>
          <w:szCs w:val="20"/>
        </w:rPr>
        <w:t>Lobeglitazone</w:t>
      </w:r>
    </w:p>
    <w:p w:rsidR="00C33EAD" w:rsidRDefault="00C33EAD" w:rsidP="00B458A7">
      <w:pPr>
        <w:spacing w:after="0" w:line="240" w:lineRule="auto"/>
        <w:jc w:val="both"/>
        <w:rPr>
          <w:rFonts w:ascii="Times New Roman" w:hAnsi="Times New Roman" w:cs="Times New Roman"/>
          <w:sz w:val="20"/>
          <w:szCs w:val="20"/>
        </w:rPr>
      </w:pPr>
    </w:p>
    <w:p w:rsidR="00C33EAD" w:rsidRDefault="0024596B" w:rsidP="0097491D">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Due to its high compatibility</w:t>
      </w:r>
      <w:r w:rsidR="00B458A7" w:rsidRPr="00B458A7">
        <w:rPr>
          <w:rFonts w:ascii="Times New Roman" w:hAnsi="Times New Roman" w:cs="Times New Roman"/>
          <w:color w:val="000000" w:themeColor="text1"/>
          <w:sz w:val="20"/>
          <w:szCs w:val="20"/>
        </w:rPr>
        <w:t xml:space="preserve"> for the peroxisome proliferator-activated receptor (PPAR</w:t>
      </w:r>
      <w:r w:rsidR="00B458A7" w:rsidRPr="00FC30C8">
        <w:rPr>
          <w:rFonts w:ascii="Times New Roman" w:hAnsi="Times New Roman" w:cs="Times New Roman"/>
          <w:color w:val="000000" w:themeColor="text1"/>
          <w:sz w:val="20"/>
          <w:szCs w:val="20"/>
        </w:rPr>
        <w:t>γ</w:t>
      </w:r>
      <w:r w:rsidR="00B458A7" w:rsidRPr="00B458A7">
        <w:rPr>
          <w:rFonts w:ascii="Times New Roman" w:hAnsi="Times New Roman" w:cs="Times New Roman"/>
          <w:color w:val="000000" w:themeColor="text1"/>
          <w:sz w:val="20"/>
          <w:szCs w:val="20"/>
        </w:rPr>
        <w:t>), lobeglitazone exhibits great efficacy even at lower doses per kilogram.</w:t>
      </w:r>
      <w:r w:rsidR="00B458A7">
        <w:rPr>
          <w:rFonts w:ascii="Times New Roman" w:hAnsi="Times New Roman" w:cs="Times New Roman"/>
          <w:color w:val="000000" w:themeColor="text1"/>
          <w:sz w:val="20"/>
          <w:szCs w:val="20"/>
        </w:rPr>
        <w:t xml:space="preserve"> </w:t>
      </w:r>
      <w:r w:rsidR="00B458A7" w:rsidRPr="00B458A7">
        <w:rPr>
          <w:rFonts w:ascii="Times New Roman" w:hAnsi="Times New Roman" w:cs="Times New Roman"/>
          <w:color w:val="000000" w:themeColor="text1"/>
          <w:sz w:val="20"/>
          <w:szCs w:val="20"/>
        </w:rPr>
        <w:t xml:space="preserve">It exhibits a strong </w:t>
      </w:r>
      <w:r w:rsidRPr="0024596B">
        <w:rPr>
          <w:rFonts w:ascii="Times New Roman" w:hAnsi="Times New Roman" w:cs="Times New Roman"/>
          <w:color w:val="000000" w:themeColor="text1"/>
          <w:sz w:val="20"/>
          <w:szCs w:val="20"/>
        </w:rPr>
        <w:t>glucose-lowering impact</w:t>
      </w:r>
      <w:r w:rsidR="00B458A7" w:rsidRPr="00B458A7">
        <w:rPr>
          <w:rFonts w:ascii="Times New Roman" w:hAnsi="Times New Roman" w:cs="Times New Roman"/>
          <w:color w:val="000000" w:themeColor="text1"/>
          <w:sz w:val="20"/>
          <w:szCs w:val="20"/>
        </w:rPr>
        <w:t>, a long-lasting durability of glycemic control, and a l</w:t>
      </w:r>
      <w:r w:rsidR="00970F3D">
        <w:rPr>
          <w:rFonts w:ascii="Times New Roman" w:hAnsi="Times New Roman" w:cs="Times New Roman"/>
          <w:color w:val="000000" w:themeColor="text1"/>
          <w:sz w:val="20"/>
          <w:szCs w:val="20"/>
        </w:rPr>
        <w:t xml:space="preserve">ong-term safety profile in real-world </w:t>
      </w:r>
      <w:r w:rsidR="00C33EAD">
        <w:rPr>
          <w:rFonts w:ascii="Times New Roman" w:hAnsi="Times New Roman" w:cs="Times New Roman"/>
          <w:color w:val="000000" w:themeColor="text1"/>
          <w:sz w:val="20"/>
          <w:szCs w:val="20"/>
        </w:rPr>
        <w:t xml:space="preserve">clinical settings [23, </w:t>
      </w:r>
      <w:r w:rsidR="00304DF7">
        <w:rPr>
          <w:rFonts w:ascii="Times New Roman" w:hAnsi="Times New Roman" w:cs="Times New Roman"/>
          <w:color w:val="000000" w:themeColor="text1"/>
          <w:sz w:val="20"/>
          <w:szCs w:val="20"/>
        </w:rPr>
        <w:t>36-37]</w:t>
      </w:r>
      <w:r w:rsidR="00C33EAD">
        <w:rPr>
          <w:rFonts w:ascii="Times New Roman" w:hAnsi="Times New Roman" w:cs="Times New Roman"/>
          <w:color w:val="000000" w:themeColor="text1"/>
          <w:sz w:val="20"/>
          <w:szCs w:val="20"/>
        </w:rPr>
        <w:t>.</w:t>
      </w:r>
    </w:p>
    <w:p w:rsidR="00304DF7" w:rsidRDefault="00304DF7" w:rsidP="00B458A7">
      <w:pPr>
        <w:spacing w:after="0" w:line="240" w:lineRule="auto"/>
        <w:jc w:val="both"/>
        <w:rPr>
          <w:rFonts w:ascii="Times New Roman" w:hAnsi="Times New Roman" w:cs="Times New Roman"/>
          <w:color w:val="000000" w:themeColor="text1"/>
          <w:sz w:val="20"/>
          <w:szCs w:val="20"/>
        </w:rPr>
      </w:pPr>
      <w:r w:rsidRPr="00304DF7">
        <w:rPr>
          <w:rFonts w:ascii="Times New Roman" w:hAnsi="Times New Roman" w:cs="Times New Roman"/>
          <w:color w:val="000000" w:themeColor="text1"/>
          <w:sz w:val="20"/>
          <w:szCs w:val="20"/>
        </w:rPr>
        <w:t>When metformin and a DPP-4 inhibitor were c</w:t>
      </w:r>
      <w:r>
        <w:rPr>
          <w:rFonts w:ascii="Times New Roman" w:hAnsi="Times New Roman" w:cs="Times New Roman"/>
          <w:color w:val="000000" w:themeColor="text1"/>
          <w:sz w:val="20"/>
          <w:szCs w:val="20"/>
        </w:rPr>
        <w:t>ombined,</w:t>
      </w:r>
      <w:r w:rsidR="0024596B">
        <w:rPr>
          <w:rFonts w:ascii="Times New Roman" w:hAnsi="Times New Roman" w:cs="Times New Roman"/>
          <w:color w:val="000000" w:themeColor="text1"/>
          <w:sz w:val="20"/>
          <w:szCs w:val="20"/>
        </w:rPr>
        <w:t xml:space="preserve"> small dosage lobeglitazone (0.25 milligrams</w:t>
      </w:r>
      <w:r>
        <w:rPr>
          <w:rFonts w:ascii="Times New Roman" w:hAnsi="Times New Roman" w:cs="Times New Roman"/>
          <w:color w:val="000000" w:themeColor="text1"/>
          <w:sz w:val="20"/>
          <w:szCs w:val="20"/>
        </w:rPr>
        <w:t xml:space="preserve">) </w:t>
      </w:r>
      <w:r w:rsidRPr="00304DF7">
        <w:rPr>
          <w:rFonts w:ascii="Times New Roman" w:hAnsi="Times New Roman" w:cs="Times New Roman"/>
          <w:color w:val="000000" w:themeColor="text1"/>
          <w:sz w:val="20"/>
          <w:szCs w:val="20"/>
        </w:rPr>
        <w:t>produced a non-inferior glucose-lowering outcome and experienced f</w:t>
      </w:r>
      <w:r w:rsidR="0024596B">
        <w:rPr>
          <w:rFonts w:ascii="Times New Roman" w:hAnsi="Times New Roman" w:cs="Times New Roman"/>
          <w:color w:val="000000" w:themeColor="text1"/>
          <w:sz w:val="20"/>
          <w:szCs w:val="20"/>
        </w:rPr>
        <w:t xml:space="preserve">ewer side effects than its actual </w:t>
      </w:r>
      <w:r w:rsidRPr="00304DF7">
        <w:rPr>
          <w:rFonts w:ascii="Times New Roman" w:hAnsi="Times New Roman" w:cs="Times New Roman"/>
          <w:color w:val="000000" w:themeColor="text1"/>
          <w:sz w:val="20"/>
          <w:szCs w:val="20"/>
        </w:rPr>
        <w:t>dose</w:t>
      </w:r>
      <w:r w:rsidR="0024596B">
        <w:rPr>
          <w:rFonts w:ascii="Times New Roman" w:hAnsi="Times New Roman" w:cs="Times New Roman"/>
          <w:color w:val="000000" w:themeColor="text1"/>
          <w:sz w:val="20"/>
          <w:szCs w:val="20"/>
        </w:rPr>
        <w:t xml:space="preserve"> (0.5 milligrams</w:t>
      </w:r>
      <w:r>
        <w:rPr>
          <w:rFonts w:ascii="Times New Roman" w:hAnsi="Times New Roman" w:cs="Times New Roman"/>
          <w:color w:val="000000" w:themeColor="text1"/>
          <w:sz w:val="20"/>
          <w:szCs w:val="20"/>
        </w:rPr>
        <w:t>)</w:t>
      </w:r>
      <w:r w:rsidRPr="00304DF7">
        <w:rPr>
          <w:rFonts w:ascii="Times New Roman" w:hAnsi="Times New Roman" w:cs="Times New Roman"/>
          <w:color w:val="000000" w:themeColor="text1"/>
          <w:sz w:val="20"/>
          <w:szCs w:val="20"/>
        </w:rPr>
        <w:t xml:space="preserve"> lobeglitazone. Therefore, adapted treatment plans for T</w:t>
      </w:r>
      <w:r w:rsidRPr="00304DF7">
        <w:rPr>
          <w:rFonts w:ascii="Times New Roman" w:hAnsi="Times New Roman" w:cs="Times New Roman"/>
          <w:color w:val="000000" w:themeColor="text1"/>
          <w:sz w:val="20"/>
          <w:szCs w:val="20"/>
          <w:vertAlign w:val="subscript"/>
        </w:rPr>
        <w:t>2</w:t>
      </w:r>
      <w:r w:rsidR="0024596B">
        <w:rPr>
          <w:rFonts w:ascii="Times New Roman" w:hAnsi="Times New Roman" w:cs="Times New Roman"/>
          <w:color w:val="000000" w:themeColor="text1"/>
          <w:sz w:val="20"/>
          <w:szCs w:val="20"/>
        </w:rPr>
        <w:t xml:space="preserve">DM patients may include small dosage </w:t>
      </w:r>
      <w:r w:rsidRPr="00304DF7">
        <w:rPr>
          <w:rFonts w:ascii="Times New Roman" w:hAnsi="Times New Roman" w:cs="Times New Roman"/>
          <w:color w:val="000000" w:themeColor="text1"/>
          <w:sz w:val="20"/>
          <w:szCs w:val="20"/>
        </w:rPr>
        <w:t>lobeglitazone.</w:t>
      </w:r>
    </w:p>
    <w:p w:rsidR="00304DF7" w:rsidRDefault="007B03A9" w:rsidP="00B458A7">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small dosage </w:t>
      </w:r>
      <w:r w:rsidR="00304DF7" w:rsidRPr="00304DF7">
        <w:rPr>
          <w:rFonts w:ascii="Times New Roman" w:hAnsi="Times New Roman" w:cs="Times New Roman"/>
          <w:color w:val="000000" w:themeColor="text1"/>
          <w:sz w:val="20"/>
          <w:szCs w:val="20"/>
        </w:rPr>
        <w:t xml:space="preserve">group experienced much smaller changes in body weight than the </w:t>
      </w:r>
      <w:r w:rsidR="0024596B">
        <w:rPr>
          <w:rFonts w:ascii="Times New Roman" w:hAnsi="Times New Roman" w:cs="Times New Roman"/>
          <w:color w:val="000000" w:themeColor="text1"/>
          <w:sz w:val="20"/>
          <w:szCs w:val="20"/>
        </w:rPr>
        <w:t xml:space="preserve">actual </w:t>
      </w:r>
      <w:r w:rsidR="00304DF7">
        <w:rPr>
          <w:rFonts w:ascii="Times New Roman" w:hAnsi="Times New Roman" w:cs="Times New Roman"/>
          <w:color w:val="000000" w:themeColor="text1"/>
          <w:sz w:val="20"/>
          <w:szCs w:val="20"/>
        </w:rPr>
        <w:t xml:space="preserve">dose group. </w:t>
      </w:r>
      <w:r>
        <w:rPr>
          <w:rFonts w:ascii="Times New Roman" w:hAnsi="Times New Roman" w:cs="Times New Roman"/>
          <w:color w:val="000000" w:themeColor="text1"/>
          <w:sz w:val="20"/>
          <w:szCs w:val="20"/>
        </w:rPr>
        <w:t>Actual</w:t>
      </w:r>
      <w:r w:rsidR="00304DF7" w:rsidRPr="00304DF7">
        <w:rPr>
          <w:rFonts w:ascii="Times New Roman" w:hAnsi="Times New Roman" w:cs="Times New Roman"/>
          <w:color w:val="000000" w:themeColor="text1"/>
          <w:sz w:val="20"/>
          <w:szCs w:val="20"/>
        </w:rPr>
        <w:t xml:space="preserve"> dose lobeglitazone </w:t>
      </w:r>
      <w:r>
        <w:rPr>
          <w:rFonts w:ascii="Times New Roman" w:hAnsi="Times New Roman" w:cs="Times New Roman"/>
          <w:color w:val="000000" w:themeColor="text1"/>
          <w:sz w:val="20"/>
          <w:szCs w:val="20"/>
        </w:rPr>
        <w:t>was more effective than small dosage</w:t>
      </w:r>
      <w:r w:rsidR="00304DF7" w:rsidRPr="00304DF7">
        <w:rPr>
          <w:rFonts w:ascii="Times New Roman" w:hAnsi="Times New Roman" w:cs="Times New Roman"/>
          <w:color w:val="000000" w:themeColor="text1"/>
          <w:sz w:val="20"/>
          <w:szCs w:val="20"/>
        </w:rPr>
        <w:t xml:space="preserve"> lobeglitazone in lowering HbA1C levels. </w:t>
      </w:r>
      <w:r w:rsidR="00970F3D" w:rsidRPr="00970F3D">
        <w:rPr>
          <w:rFonts w:ascii="Times New Roman" w:hAnsi="Times New Roman" w:cs="Times New Roman"/>
          <w:color w:val="000000" w:themeColor="text1"/>
          <w:sz w:val="20"/>
          <w:szCs w:val="20"/>
        </w:rPr>
        <w:t>HbA1C levels were lowered by 0.44% when lobeglitazone was used alone and by 0.74% when it was used in conjunction with metformin therapy.</w:t>
      </w:r>
      <w:r w:rsidR="00970F3D">
        <w:rPr>
          <w:rFonts w:ascii="Times New Roman" w:hAnsi="Times New Roman" w:cs="Times New Roman"/>
          <w:color w:val="000000" w:themeColor="text1"/>
          <w:sz w:val="20"/>
          <w:szCs w:val="20"/>
        </w:rPr>
        <w:t xml:space="preserve"> </w:t>
      </w:r>
      <w:r w:rsidR="00304DF7" w:rsidRPr="00304DF7">
        <w:rPr>
          <w:rFonts w:ascii="Times New Roman" w:hAnsi="Times New Roman" w:cs="Times New Roman"/>
          <w:color w:val="000000" w:themeColor="text1"/>
          <w:sz w:val="20"/>
          <w:szCs w:val="20"/>
        </w:rPr>
        <w:t>Furthermore, serum adiponectin levels were cons</w:t>
      </w:r>
      <w:r>
        <w:rPr>
          <w:rFonts w:ascii="Times New Roman" w:hAnsi="Times New Roman" w:cs="Times New Roman"/>
          <w:color w:val="000000" w:themeColor="text1"/>
          <w:sz w:val="20"/>
          <w:szCs w:val="20"/>
        </w:rPr>
        <w:t>iderably greater in the actual</w:t>
      </w:r>
      <w:r w:rsidR="00304DF7" w:rsidRPr="00304DF7">
        <w:rPr>
          <w:rFonts w:ascii="Times New Roman" w:hAnsi="Times New Roman" w:cs="Times New Roman"/>
          <w:color w:val="000000" w:themeColor="text1"/>
          <w:sz w:val="20"/>
          <w:szCs w:val="20"/>
        </w:rPr>
        <w:t xml:space="preserve"> dose lobeglit</w:t>
      </w:r>
      <w:r>
        <w:rPr>
          <w:rFonts w:ascii="Times New Roman" w:hAnsi="Times New Roman" w:cs="Times New Roman"/>
          <w:color w:val="000000" w:themeColor="text1"/>
          <w:sz w:val="20"/>
          <w:szCs w:val="20"/>
        </w:rPr>
        <w:t>azone group than in the small dosage</w:t>
      </w:r>
      <w:r w:rsidR="00304DF7" w:rsidRPr="00304DF7">
        <w:rPr>
          <w:rFonts w:ascii="Times New Roman" w:hAnsi="Times New Roman" w:cs="Times New Roman"/>
          <w:color w:val="000000" w:themeColor="text1"/>
          <w:sz w:val="20"/>
          <w:szCs w:val="20"/>
        </w:rPr>
        <w:t xml:space="preserve"> lobeglitazone group, which contributes to enhanc</w:t>
      </w:r>
      <w:r>
        <w:rPr>
          <w:rFonts w:ascii="Times New Roman" w:hAnsi="Times New Roman" w:cs="Times New Roman"/>
          <w:color w:val="000000" w:themeColor="text1"/>
          <w:sz w:val="20"/>
          <w:szCs w:val="20"/>
        </w:rPr>
        <w:t>ed insulin sensitivity. Actual</w:t>
      </w:r>
      <w:r w:rsidR="00304DF7" w:rsidRPr="00304DF7">
        <w:rPr>
          <w:rFonts w:ascii="Times New Roman" w:hAnsi="Times New Roman" w:cs="Times New Roman"/>
          <w:color w:val="000000" w:themeColor="text1"/>
          <w:sz w:val="20"/>
          <w:szCs w:val="20"/>
        </w:rPr>
        <w:t xml:space="preserve"> dose lobeglit</w:t>
      </w:r>
      <w:r>
        <w:rPr>
          <w:rFonts w:ascii="Times New Roman" w:hAnsi="Times New Roman" w:cs="Times New Roman"/>
          <w:color w:val="000000" w:themeColor="text1"/>
          <w:sz w:val="20"/>
          <w:szCs w:val="20"/>
        </w:rPr>
        <w:t>azone is more effective than small dosage</w:t>
      </w:r>
      <w:r w:rsidR="00304DF7" w:rsidRPr="00304DF7">
        <w:rPr>
          <w:rFonts w:ascii="Times New Roman" w:hAnsi="Times New Roman" w:cs="Times New Roman"/>
          <w:color w:val="000000" w:themeColor="text1"/>
          <w:sz w:val="20"/>
          <w:szCs w:val="20"/>
        </w:rPr>
        <w:t xml:space="preserve"> lobeglitazone for lowering glucose levels and </w:t>
      </w:r>
      <w:r>
        <w:rPr>
          <w:rFonts w:ascii="Times New Roman" w:hAnsi="Times New Roman" w:cs="Times New Roman"/>
          <w:color w:val="000000" w:themeColor="text1"/>
          <w:sz w:val="20"/>
          <w:szCs w:val="20"/>
        </w:rPr>
        <w:t>reducing insulin resistance. Small dosage</w:t>
      </w:r>
      <w:r w:rsidR="00304DF7" w:rsidRPr="00304DF7">
        <w:rPr>
          <w:rFonts w:ascii="Times New Roman" w:hAnsi="Times New Roman" w:cs="Times New Roman"/>
          <w:color w:val="000000" w:themeColor="text1"/>
          <w:sz w:val="20"/>
          <w:szCs w:val="20"/>
        </w:rPr>
        <w:t xml:space="preserve"> lobeglitazone, on the other ha</w:t>
      </w:r>
      <w:r>
        <w:rPr>
          <w:rFonts w:ascii="Times New Roman" w:hAnsi="Times New Roman" w:cs="Times New Roman"/>
          <w:color w:val="000000" w:themeColor="text1"/>
          <w:sz w:val="20"/>
          <w:szCs w:val="20"/>
        </w:rPr>
        <w:t>nd, was not inferior to actual</w:t>
      </w:r>
      <w:r w:rsidR="00304DF7" w:rsidRPr="00304DF7">
        <w:rPr>
          <w:rFonts w:ascii="Times New Roman" w:hAnsi="Times New Roman" w:cs="Times New Roman"/>
          <w:color w:val="000000" w:themeColor="text1"/>
          <w:sz w:val="20"/>
          <w:szCs w:val="20"/>
        </w:rPr>
        <w:t xml:space="preserve"> dose lobeglitazone in terms of glucose lowering results </w:t>
      </w:r>
      <w:r w:rsidR="00C33EAD">
        <w:rPr>
          <w:rFonts w:ascii="Times New Roman" w:hAnsi="Times New Roman" w:cs="Times New Roman"/>
          <w:color w:val="000000" w:themeColor="text1"/>
          <w:sz w:val="20"/>
          <w:szCs w:val="20"/>
        </w:rPr>
        <w:t xml:space="preserve">and had a better safety profile </w:t>
      </w:r>
      <w:r w:rsidR="000A5D9E">
        <w:rPr>
          <w:rFonts w:ascii="Times New Roman" w:hAnsi="Times New Roman" w:cs="Times New Roman"/>
          <w:color w:val="000000" w:themeColor="text1"/>
          <w:sz w:val="20"/>
          <w:szCs w:val="20"/>
        </w:rPr>
        <w:t>[1</w:t>
      </w:r>
      <w:r w:rsidR="00C33EAD">
        <w:rPr>
          <w:rFonts w:ascii="Times New Roman" w:hAnsi="Times New Roman" w:cs="Times New Roman"/>
          <w:color w:val="000000" w:themeColor="text1"/>
          <w:sz w:val="20"/>
          <w:szCs w:val="20"/>
        </w:rPr>
        <w:t xml:space="preserve">6, </w:t>
      </w:r>
      <w:r w:rsidR="000A5D9E">
        <w:rPr>
          <w:rFonts w:ascii="Times New Roman" w:hAnsi="Times New Roman" w:cs="Times New Roman"/>
          <w:color w:val="000000" w:themeColor="text1"/>
          <w:sz w:val="20"/>
          <w:szCs w:val="20"/>
        </w:rPr>
        <w:t>23</w:t>
      </w:r>
      <w:r w:rsidR="00C33EAD">
        <w:rPr>
          <w:rFonts w:ascii="Times New Roman" w:hAnsi="Times New Roman" w:cs="Times New Roman"/>
          <w:color w:val="000000" w:themeColor="text1"/>
          <w:sz w:val="20"/>
          <w:szCs w:val="20"/>
        </w:rPr>
        <w:t xml:space="preserve">-25, </w:t>
      </w:r>
      <w:r w:rsidR="00970F3D">
        <w:rPr>
          <w:rFonts w:ascii="Times New Roman" w:hAnsi="Times New Roman" w:cs="Times New Roman"/>
          <w:color w:val="000000" w:themeColor="text1"/>
          <w:sz w:val="20"/>
          <w:szCs w:val="20"/>
        </w:rPr>
        <w:t>34</w:t>
      </w:r>
      <w:r w:rsidR="000A5D9E">
        <w:rPr>
          <w:rFonts w:ascii="Times New Roman" w:hAnsi="Times New Roman" w:cs="Times New Roman"/>
          <w:color w:val="000000" w:themeColor="text1"/>
          <w:sz w:val="20"/>
          <w:szCs w:val="20"/>
        </w:rPr>
        <w:t>-38</w:t>
      </w:r>
      <w:r w:rsidR="00304DF7">
        <w:rPr>
          <w:rFonts w:ascii="Times New Roman" w:hAnsi="Times New Roman" w:cs="Times New Roman"/>
          <w:color w:val="000000" w:themeColor="text1"/>
          <w:sz w:val="20"/>
          <w:szCs w:val="20"/>
        </w:rPr>
        <w:t>]</w:t>
      </w:r>
      <w:r w:rsidR="00C33EAD">
        <w:rPr>
          <w:rFonts w:ascii="Times New Roman" w:hAnsi="Times New Roman" w:cs="Times New Roman"/>
          <w:color w:val="000000" w:themeColor="text1"/>
          <w:sz w:val="20"/>
          <w:szCs w:val="20"/>
        </w:rPr>
        <w:t>.</w:t>
      </w:r>
    </w:p>
    <w:p w:rsidR="00C33EAD" w:rsidRDefault="00304DF7" w:rsidP="00B458A7">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rsidR="00304DF7" w:rsidRDefault="009A60C6" w:rsidP="0097491D">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Conclusion can be made that overall small dosage</w:t>
      </w:r>
      <w:r w:rsidR="00304DF7">
        <w:rPr>
          <w:rFonts w:ascii="Times New Roman" w:hAnsi="Times New Roman" w:cs="Times New Roman"/>
          <w:color w:val="000000" w:themeColor="text1"/>
          <w:sz w:val="20"/>
          <w:szCs w:val="20"/>
        </w:rPr>
        <w:t xml:space="preserve"> lobeglitazone i</w:t>
      </w:r>
      <w:r>
        <w:rPr>
          <w:rFonts w:ascii="Times New Roman" w:hAnsi="Times New Roman" w:cs="Times New Roman"/>
          <w:color w:val="000000" w:themeColor="text1"/>
          <w:sz w:val="20"/>
          <w:szCs w:val="20"/>
        </w:rPr>
        <w:t xml:space="preserve">s safer in terms of risk factors </w:t>
      </w:r>
      <w:r w:rsidR="00111E78">
        <w:rPr>
          <w:rFonts w:ascii="Times New Roman" w:hAnsi="Times New Roman" w:cs="Times New Roman"/>
          <w:color w:val="000000" w:themeColor="text1"/>
          <w:sz w:val="20"/>
          <w:szCs w:val="20"/>
        </w:rPr>
        <w:t xml:space="preserve">and is more applicable. </w:t>
      </w:r>
      <w:r w:rsidR="00304DF7" w:rsidRPr="00304DF7">
        <w:rPr>
          <w:rFonts w:ascii="Times New Roman" w:hAnsi="Times New Roman" w:cs="Times New Roman"/>
          <w:color w:val="000000" w:themeColor="text1"/>
          <w:sz w:val="20"/>
          <w:szCs w:val="20"/>
        </w:rPr>
        <w:t>Given its non-inferior glucose lowering effects and favorable safety outcomes, 0.25 m</w:t>
      </w:r>
      <w:r>
        <w:rPr>
          <w:rFonts w:ascii="Times New Roman" w:hAnsi="Times New Roman" w:cs="Times New Roman"/>
          <w:color w:val="000000" w:themeColor="text1"/>
          <w:sz w:val="20"/>
          <w:szCs w:val="20"/>
        </w:rPr>
        <w:t>illi</w:t>
      </w:r>
      <w:r w:rsidR="00304DF7" w:rsidRPr="00304DF7">
        <w:rPr>
          <w:rFonts w:ascii="Times New Roman" w:hAnsi="Times New Roman" w:cs="Times New Roman"/>
          <w:color w:val="000000" w:themeColor="text1"/>
          <w:sz w:val="20"/>
          <w:szCs w:val="20"/>
        </w:rPr>
        <w:t>g</w:t>
      </w:r>
      <w:r>
        <w:rPr>
          <w:rFonts w:ascii="Times New Roman" w:hAnsi="Times New Roman" w:cs="Times New Roman"/>
          <w:color w:val="000000" w:themeColor="text1"/>
          <w:sz w:val="20"/>
          <w:szCs w:val="20"/>
        </w:rPr>
        <w:t>rams</w:t>
      </w:r>
      <w:r w:rsidR="00304DF7" w:rsidRPr="00304DF7">
        <w:rPr>
          <w:rFonts w:ascii="Times New Roman" w:hAnsi="Times New Roman" w:cs="Times New Roman"/>
          <w:color w:val="000000" w:themeColor="text1"/>
          <w:sz w:val="20"/>
          <w:szCs w:val="20"/>
        </w:rPr>
        <w:t xml:space="preserve"> lobeglitazone may be a viable choice for some individuals who </w:t>
      </w:r>
      <w:r>
        <w:rPr>
          <w:rFonts w:ascii="Times New Roman" w:hAnsi="Times New Roman" w:cs="Times New Roman"/>
          <w:color w:val="000000" w:themeColor="text1"/>
          <w:sz w:val="20"/>
          <w:szCs w:val="20"/>
        </w:rPr>
        <w:t>are concerned about risk factors</w:t>
      </w:r>
      <w:r w:rsidR="00304DF7" w:rsidRPr="00304DF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By including this amount, physicians can increase </w:t>
      </w:r>
      <w:r w:rsidR="00304DF7" w:rsidRPr="00304DF7">
        <w:rPr>
          <w:rFonts w:ascii="Times New Roman" w:hAnsi="Times New Roman" w:cs="Times New Roman"/>
          <w:color w:val="000000" w:themeColor="text1"/>
          <w:sz w:val="20"/>
          <w:szCs w:val="20"/>
        </w:rPr>
        <w:t>ability to give precision treatment to T</w:t>
      </w:r>
      <w:r w:rsidR="00304DF7" w:rsidRPr="00304DF7">
        <w:rPr>
          <w:rFonts w:ascii="Times New Roman" w:hAnsi="Times New Roman" w:cs="Times New Roman"/>
          <w:color w:val="000000" w:themeColor="text1"/>
          <w:sz w:val="20"/>
          <w:szCs w:val="20"/>
          <w:vertAlign w:val="subscript"/>
        </w:rPr>
        <w:t>2</w:t>
      </w:r>
      <w:r w:rsidR="00C33EAD">
        <w:rPr>
          <w:rFonts w:ascii="Times New Roman" w:hAnsi="Times New Roman" w:cs="Times New Roman"/>
          <w:color w:val="000000" w:themeColor="text1"/>
          <w:sz w:val="20"/>
          <w:szCs w:val="20"/>
        </w:rPr>
        <w:t xml:space="preserve">DM patients </w:t>
      </w:r>
      <w:r w:rsidR="00231EAE">
        <w:rPr>
          <w:rFonts w:ascii="Times New Roman" w:hAnsi="Times New Roman" w:cs="Times New Roman"/>
          <w:color w:val="000000" w:themeColor="text1"/>
          <w:sz w:val="20"/>
          <w:szCs w:val="20"/>
        </w:rPr>
        <w:t>[34-37]</w:t>
      </w:r>
      <w:r w:rsidR="00C33EAD">
        <w:rPr>
          <w:rFonts w:ascii="Times New Roman" w:hAnsi="Times New Roman" w:cs="Times New Roman"/>
          <w:color w:val="000000" w:themeColor="text1"/>
          <w:sz w:val="20"/>
          <w:szCs w:val="20"/>
        </w:rPr>
        <w:t>.</w:t>
      </w:r>
    </w:p>
    <w:p w:rsidR="00C33EAD" w:rsidRDefault="00C33EAD" w:rsidP="00B458A7">
      <w:pPr>
        <w:spacing w:after="0" w:line="240" w:lineRule="auto"/>
        <w:jc w:val="both"/>
        <w:rPr>
          <w:rFonts w:ascii="Times New Roman" w:hAnsi="Times New Roman" w:cs="Times New Roman"/>
          <w:color w:val="000000" w:themeColor="text1"/>
          <w:sz w:val="20"/>
          <w:szCs w:val="20"/>
        </w:rPr>
      </w:pPr>
    </w:p>
    <w:p w:rsidR="00111E78" w:rsidRDefault="00BD4445" w:rsidP="00BD4445">
      <w:pPr>
        <w:spacing w:after="0" w:line="240" w:lineRule="auto"/>
        <w:ind w:firstLine="720"/>
        <w:jc w:val="both"/>
        <w:rPr>
          <w:rFonts w:ascii="Times New Roman" w:hAnsi="Times New Roman" w:cs="Times New Roman"/>
          <w:color w:val="000000" w:themeColor="text1"/>
          <w:sz w:val="20"/>
          <w:szCs w:val="20"/>
        </w:rPr>
      </w:pPr>
      <w:r w:rsidRPr="00BD4445">
        <w:rPr>
          <w:rFonts w:ascii="Times New Roman" w:hAnsi="Times New Roman" w:cs="Times New Roman"/>
          <w:color w:val="000000" w:themeColor="text1"/>
          <w:sz w:val="20"/>
          <w:szCs w:val="20"/>
        </w:rPr>
        <w:t>It was discovered that obese patients with inadequate glycemic control, chronic diabetes, and severe insulin resistance responded favorably to 0.5 milligrams of lobeglitazone as monotherapy or adjunct therapy. To prove lobeglitazone's safety and efficacy in T</w:t>
      </w:r>
      <w:r w:rsidRPr="00BD4445">
        <w:rPr>
          <w:rFonts w:ascii="Times New Roman" w:hAnsi="Times New Roman" w:cs="Times New Roman"/>
          <w:color w:val="000000" w:themeColor="text1"/>
          <w:sz w:val="20"/>
          <w:szCs w:val="20"/>
          <w:vertAlign w:val="subscript"/>
        </w:rPr>
        <w:t>2</w:t>
      </w:r>
      <w:r w:rsidRPr="00BD4445">
        <w:rPr>
          <w:rFonts w:ascii="Times New Roman" w:hAnsi="Times New Roman" w:cs="Times New Roman"/>
          <w:color w:val="000000" w:themeColor="text1"/>
          <w:sz w:val="20"/>
          <w:szCs w:val="20"/>
        </w:rPr>
        <w:t>DM, large RCTs are also necessary. RCTs are now being conducted, and the results are anxiousl</w:t>
      </w:r>
      <w:r>
        <w:rPr>
          <w:rFonts w:ascii="Times New Roman" w:hAnsi="Times New Roman" w:cs="Times New Roman"/>
          <w:color w:val="000000" w:themeColor="text1"/>
          <w:sz w:val="20"/>
          <w:szCs w:val="20"/>
        </w:rPr>
        <w:t xml:space="preserve">y awaited </w:t>
      </w:r>
      <w:r w:rsidR="0085426C">
        <w:rPr>
          <w:rFonts w:ascii="Times New Roman" w:hAnsi="Times New Roman" w:cs="Times New Roman"/>
          <w:color w:val="000000" w:themeColor="text1"/>
          <w:sz w:val="20"/>
          <w:szCs w:val="20"/>
        </w:rPr>
        <w:t>[38-39]</w:t>
      </w:r>
      <w:r w:rsidR="00C33EA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BD4445">
        <w:rPr>
          <w:rFonts w:ascii="Times New Roman" w:hAnsi="Times New Roman" w:cs="Times New Roman"/>
          <w:color w:val="000000" w:themeColor="text1"/>
          <w:sz w:val="20"/>
          <w:szCs w:val="20"/>
        </w:rPr>
        <w:t>Albuminuria was improved in T</w:t>
      </w:r>
      <w:r w:rsidRPr="00BD4445">
        <w:rPr>
          <w:rFonts w:ascii="Times New Roman" w:hAnsi="Times New Roman" w:cs="Times New Roman"/>
          <w:color w:val="000000" w:themeColor="text1"/>
          <w:sz w:val="20"/>
          <w:szCs w:val="20"/>
          <w:vertAlign w:val="subscript"/>
        </w:rPr>
        <w:t>2</w:t>
      </w:r>
      <w:r w:rsidRPr="00BD4445">
        <w:rPr>
          <w:rFonts w:ascii="Times New Roman" w:hAnsi="Times New Roman" w:cs="Times New Roman"/>
          <w:color w:val="000000" w:themeColor="text1"/>
          <w:sz w:val="20"/>
          <w:szCs w:val="20"/>
        </w:rPr>
        <w:t>DM individuals with lobeglitazone. In individuals with poorly controlled T</w:t>
      </w:r>
      <w:r w:rsidRPr="00F044D3">
        <w:rPr>
          <w:rFonts w:ascii="Times New Roman" w:hAnsi="Times New Roman" w:cs="Times New Roman"/>
          <w:color w:val="000000" w:themeColor="text1"/>
          <w:sz w:val="20"/>
          <w:szCs w:val="20"/>
          <w:vertAlign w:val="subscript"/>
        </w:rPr>
        <w:t>2</w:t>
      </w:r>
      <w:r w:rsidRPr="00BD4445">
        <w:rPr>
          <w:rFonts w:ascii="Times New Roman" w:hAnsi="Times New Roman" w:cs="Times New Roman"/>
          <w:color w:val="000000" w:themeColor="text1"/>
          <w:sz w:val="20"/>
          <w:szCs w:val="20"/>
        </w:rPr>
        <w:t xml:space="preserve">DM, the combination of lobeglitazone and dapagliflozin significantly reduced HbA1C levels, body weight, and blood pressure. The therapeutic effects of lobeglitazone on glycemic and lipid </w:t>
      </w:r>
      <w:r>
        <w:rPr>
          <w:rFonts w:ascii="Times New Roman" w:hAnsi="Times New Roman" w:cs="Times New Roman"/>
          <w:color w:val="000000" w:themeColor="text1"/>
          <w:sz w:val="20"/>
          <w:szCs w:val="20"/>
        </w:rPr>
        <w:t>regulation persisted for a year</w:t>
      </w:r>
      <w:r w:rsidR="00C33EAD">
        <w:rPr>
          <w:rFonts w:ascii="Times New Roman" w:hAnsi="Times New Roman" w:cs="Times New Roman"/>
          <w:color w:val="000000" w:themeColor="text1"/>
          <w:sz w:val="20"/>
          <w:szCs w:val="20"/>
        </w:rPr>
        <w:t xml:space="preserve"> [25, 34, </w:t>
      </w:r>
      <w:r w:rsidR="007947EF">
        <w:rPr>
          <w:rFonts w:ascii="Times New Roman" w:hAnsi="Times New Roman" w:cs="Times New Roman"/>
          <w:color w:val="000000" w:themeColor="text1"/>
          <w:sz w:val="20"/>
          <w:szCs w:val="20"/>
        </w:rPr>
        <w:t>40-42</w:t>
      </w:r>
      <w:r w:rsidR="00970F3D">
        <w:rPr>
          <w:rFonts w:ascii="Times New Roman" w:hAnsi="Times New Roman" w:cs="Times New Roman"/>
          <w:color w:val="000000" w:themeColor="text1"/>
          <w:sz w:val="20"/>
          <w:szCs w:val="20"/>
        </w:rPr>
        <w:t>]</w:t>
      </w:r>
      <w:r w:rsidR="00C33EAD">
        <w:rPr>
          <w:rFonts w:ascii="Times New Roman" w:hAnsi="Times New Roman" w:cs="Times New Roman"/>
          <w:color w:val="000000" w:themeColor="text1"/>
          <w:sz w:val="20"/>
          <w:szCs w:val="20"/>
        </w:rPr>
        <w:t>.</w:t>
      </w:r>
    </w:p>
    <w:p w:rsidR="0097491D" w:rsidRDefault="0097491D" w:rsidP="0097491D">
      <w:pPr>
        <w:spacing w:after="0" w:line="240" w:lineRule="auto"/>
        <w:ind w:firstLine="720"/>
        <w:jc w:val="both"/>
        <w:rPr>
          <w:rFonts w:ascii="Times New Roman" w:hAnsi="Times New Roman" w:cs="Times New Roman"/>
          <w:color w:val="000000" w:themeColor="text1"/>
          <w:sz w:val="20"/>
          <w:szCs w:val="20"/>
        </w:rPr>
      </w:pPr>
    </w:p>
    <w:p w:rsidR="007716A1" w:rsidRPr="007947EF" w:rsidRDefault="00F044D3" w:rsidP="0097491D">
      <w:pPr>
        <w:spacing w:after="0" w:line="240" w:lineRule="auto"/>
        <w:ind w:firstLine="720"/>
        <w:jc w:val="both"/>
        <w:rPr>
          <w:rFonts w:ascii="Times New Roman" w:hAnsi="Times New Roman" w:cs="Times New Roman"/>
          <w:color w:val="000000" w:themeColor="text1"/>
          <w:sz w:val="20"/>
          <w:szCs w:val="20"/>
        </w:rPr>
      </w:pPr>
      <w:r w:rsidRPr="00F044D3">
        <w:rPr>
          <w:rFonts w:ascii="Times New Roman" w:hAnsi="Times New Roman" w:cs="Times New Roman"/>
          <w:color w:val="000000" w:themeColor="text1"/>
          <w:sz w:val="20"/>
          <w:szCs w:val="20"/>
        </w:rPr>
        <w:t xml:space="preserve">Both when used alone and when combined with metformin (with or without sitagliptin), lobeglitazone was well tolerated. </w:t>
      </w:r>
      <w:r w:rsidR="007716A1">
        <w:rPr>
          <w:rFonts w:ascii="Times New Roman" w:hAnsi="Times New Roman" w:cs="Times New Roman"/>
          <w:color w:val="000000" w:themeColor="text1"/>
          <w:sz w:val="20"/>
          <w:szCs w:val="20"/>
        </w:rPr>
        <w:t>In upcoming years</w:t>
      </w:r>
      <w:r>
        <w:rPr>
          <w:rFonts w:ascii="Times New Roman" w:hAnsi="Times New Roman" w:cs="Times New Roman"/>
          <w:color w:val="000000" w:themeColor="text1"/>
          <w:sz w:val="20"/>
          <w:szCs w:val="20"/>
        </w:rPr>
        <w:t>, lobeglitazone could be a best</w:t>
      </w:r>
      <w:r w:rsidR="007716A1">
        <w:rPr>
          <w:rFonts w:ascii="Times New Roman" w:hAnsi="Times New Roman" w:cs="Times New Roman"/>
          <w:color w:val="000000" w:themeColor="text1"/>
          <w:sz w:val="20"/>
          <w:szCs w:val="20"/>
        </w:rPr>
        <w:t xml:space="preserve"> option in the management of T</w:t>
      </w:r>
      <w:r w:rsidR="007716A1" w:rsidRPr="00970F3D">
        <w:rPr>
          <w:rFonts w:ascii="Times New Roman" w:hAnsi="Times New Roman" w:cs="Times New Roman"/>
          <w:color w:val="000000" w:themeColor="text1"/>
          <w:sz w:val="20"/>
          <w:szCs w:val="20"/>
          <w:vertAlign w:val="subscript"/>
        </w:rPr>
        <w:t>2</w:t>
      </w:r>
      <w:r w:rsidR="00C33EAD">
        <w:rPr>
          <w:rFonts w:ascii="Times New Roman" w:hAnsi="Times New Roman" w:cs="Times New Roman"/>
          <w:color w:val="000000" w:themeColor="text1"/>
          <w:sz w:val="20"/>
          <w:szCs w:val="20"/>
        </w:rPr>
        <w:t xml:space="preserve">DM [25, </w:t>
      </w:r>
      <w:r w:rsidR="006C117A">
        <w:rPr>
          <w:rFonts w:ascii="Times New Roman" w:hAnsi="Times New Roman" w:cs="Times New Roman"/>
          <w:color w:val="000000" w:themeColor="text1"/>
          <w:sz w:val="20"/>
          <w:szCs w:val="20"/>
        </w:rPr>
        <w:t>40-43]</w:t>
      </w:r>
      <w:r w:rsidR="00C33EAD">
        <w:rPr>
          <w:rFonts w:ascii="Times New Roman" w:hAnsi="Times New Roman" w:cs="Times New Roman"/>
          <w:color w:val="000000" w:themeColor="text1"/>
          <w:sz w:val="20"/>
          <w:szCs w:val="20"/>
        </w:rPr>
        <w:t>.</w:t>
      </w:r>
    </w:p>
    <w:p w:rsidR="00970F3D" w:rsidRDefault="00970F3D" w:rsidP="00B458A7">
      <w:pPr>
        <w:spacing w:after="0" w:line="240" w:lineRule="auto"/>
        <w:jc w:val="both"/>
        <w:rPr>
          <w:rFonts w:ascii="Times New Roman" w:hAnsi="Times New Roman" w:cs="Times New Roman"/>
          <w:color w:val="000000" w:themeColor="text1"/>
          <w:sz w:val="20"/>
          <w:szCs w:val="20"/>
        </w:rPr>
      </w:pPr>
    </w:p>
    <w:p w:rsidR="007947EF" w:rsidRDefault="007947EF" w:rsidP="00B458A7">
      <w:pPr>
        <w:spacing w:after="0" w:line="240" w:lineRule="auto"/>
        <w:jc w:val="both"/>
        <w:rPr>
          <w:rFonts w:ascii="Times New Roman" w:hAnsi="Times New Roman" w:cs="Times New Roman"/>
          <w:color w:val="000000" w:themeColor="text1"/>
          <w:sz w:val="20"/>
          <w:szCs w:val="20"/>
        </w:rPr>
      </w:pPr>
    </w:p>
    <w:p w:rsidR="007947EF" w:rsidRDefault="007947EF" w:rsidP="00B458A7">
      <w:pPr>
        <w:spacing w:after="0" w:line="240" w:lineRule="auto"/>
        <w:jc w:val="both"/>
        <w:rPr>
          <w:rFonts w:ascii="Times New Roman" w:hAnsi="Times New Roman" w:cs="Times New Roman"/>
          <w:color w:val="000000" w:themeColor="text1"/>
          <w:sz w:val="20"/>
          <w:szCs w:val="20"/>
        </w:rPr>
      </w:pPr>
    </w:p>
    <w:p w:rsidR="008B6038" w:rsidRDefault="008B6038" w:rsidP="008B6038">
      <w:pPr>
        <w:spacing w:after="0" w:line="240" w:lineRule="auto"/>
        <w:rPr>
          <w:rFonts w:ascii="Times New Roman" w:hAnsi="Times New Roman" w:cs="Times New Roman"/>
          <w:b/>
          <w:color w:val="000000" w:themeColor="text1"/>
          <w:sz w:val="20"/>
          <w:szCs w:val="20"/>
        </w:rPr>
      </w:pPr>
    </w:p>
    <w:p w:rsidR="007947EF" w:rsidRDefault="007947EF" w:rsidP="008B6038">
      <w:pPr>
        <w:spacing w:after="0" w:line="240"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Drug Interactions</w:t>
      </w:r>
    </w:p>
    <w:p w:rsidR="00C33EAD" w:rsidRDefault="00C33EAD" w:rsidP="007947EF">
      <w:pPr>
        <w:spacing w:after="0" w:line="240" w:lineRule="auto"/>
        <w:jc w:val="both"/>
        <w:rPr>
          <w:rFonts w:ascii="Times New Roman" w:hAnsi="Times New Roman" w:cs="Times New Roman"/>
          <w:b/>
          <w:color w:val="000000" w:themeColor="text1"/>
          <w:sz w:val="20"/>
          <w:szCs w:val="20"/>
        </w:rPr>
      </w:pPr>
    </w:p>
    <w:p w:rsidR="007947EF" w:rsidRPr="007947EF" w:rsidRDefault="007947EF" w:rsidP="0097491D">
      <w:pPr>
        <w:spacing w:after="0" w:line="240" w:lineRule="auto"/>
        <w:ind w:firstLine="720"/>
        <w:jc w:val="both"/>
        <w:rPr>
          <w:rFonts w:ascii="Times New Roman" w:hAnsi="Times New Roman" w:cs="Times New Roman"/>
          <w:color w:val="000000" w:themeColor="text1"/>
          <w:sz w:val="20"/>
          <w:szCs w:val="20"/>
        </w:rPr>
      </w:pPr>
      <w:r w:rsidRPr="007947EF">
        <w:rPr>
          <w:rFonts w:ascii="Times New Roman" w:hAnsi="Times New Roman" w:cs="Times New Roman"/>
          <w:color w:val="000000" w:themeColor="text1"/>
          <w:sz w:val="20"/>
          <w:szCs w:val="20"/>
        </w:rPr>
        <w:t xml:space="preserve">When lobeglitazone was used with other diabetes medications such as metformin, glimepiride, dapagliflozin, </w:t>
      </w:r>
      <w:r w:rsidR="00907B4E">
        <w:rPr>
          <w:rFonts w:ascii="Times New Roman" w:hAnsi="Times New Roman" w:cs="Times New Roman"/>
          <w:color w:val="000000" w:themeColor="text1"/>
          <w:sz w:val="20"/>
          <w:szCs w:val="20"/>
        </w:rPr>
        <w:t xml:space="preserve">and sitagliptin, no major </w:t>
      </w:r>
      <w:r w:rsidRPr="007947EF">
        <w:rPr>
          <w:rFonts w:ascii="Times New Roman" w:hAnsi="Times New Roman" w:cs="Times New Roman"/>
          <w:color w:val="000000" w:themeColor="text1"/>
          <w:sz w:val="20"/>
          <w:szCs w:val="20"/>
        </w:rPr>
        <w:t>changes in pharmacokinetics were identified.</w:t>
      </w:r>
    </w:p>
    <w:p w:rsidR="00C33EAD" w:rsidRDefault="007947EF" w:rsidP="006C117A">
      <w:pPr>
        <w:spacing w:after="0" w:line="240" w:lineRule="auto"/>
        <w:jc w:val="both"/>
        <w:rPr>
          <w:rFonts w:ascii="Times New Roman" w:hAnsi="Times New Roman" w:cs="Times New Roman"/>
          <w:color w:val="000000" w:themeColor="text1"/>
          <w:sz w:val="20"/>
          <w:szCs w:val="20"/>
        </w:rPr>
      </w:pPr>
      <w:r w:rsidRPr="007947EF">
        <w:rPr>
          <w:rFonts w:ascii="Times New Roman" w:hAnsi="Times New Roman" w:cs="Times New Roman"/>
          <w:color w:val="000000" w:themeColor="text1"/>
          <w:sz w:val="20"/>
          <w:szCs w:val="20"/>
        </w:rPr>
        <w:t>When lobeglitazone was combined with amlodipine or warfarin, there were no significant alterations in the pharmac</w:t>
      </w:r>
      <w:r w:rsidR="00C33EAD">
        <w:rPr>
          <w:rFonts w:ascii="Times New Roman" w:hAnsi="Times New Roman" w:cs="Times New Roman"/>
          <w:color w:val="000000" w:themeColor="text1"/>
          <w:sz w:val="20"/>
          <w:szCs w:val="20"/>
        </w:rPr>
        <w:t xml:space="preserve">okinetics of either medication [16, 27, </w:t>
      </w:r>
      <w:r w:rsidR="007716A1">
        <w:rPr>
          <w:rFonts w:ascii="Times New Roman" w:hAnsi="Times New Roman" w:cs="Times New Roman"/>
          <w:color w:val="000000" w:themeColor="text1"/>
          <w:sz w:val="20"/>
          <w:szCs w:val="20"/>
        </w:rPr>
        <w:t>44-48</w:t>
      </w:r>
      <w:r w:rsidR="000C65CE">
        <w:rPr>
          <w:rFonts w:ascii="Times New Roman" w:hAnsi="Times New Roman" w:cs="Times New Roman"/>
          <w:color w:val="000000" w:themeColor="text1"/>
          <w:sz w:val="20"/>
          <w:szCs w:val="20"/>
        </w:rPr>
        <w:t>]</w:t>
      </w:r>
      <w:r w:rsidR="00C33EAD">
        <w:rPr>
          <w:rFonts w:ascii="Times New Roman" w:hAnsi="Times New Roman" w:cs="Times New Roman"/>
          <w:color w:val="000000" w:themeColor="text1"/>
          <w:sz w:val="20"/>
          <w:szCs w:val="20"/>
        </w:rPr>
        <w:t>.</w:t>
      </w:r>
    </w:p>
    <w:p w:rsidR="00C33EAD" w:rsidRDefault="00C33EAD" w:rsidP="006C117A">
      <w:pPr>
        <w:spacing w:after="0" w:line="240" w:lineRule="auto"/>
        <w:jc w:val="both"/>
        <w:rPr>
          <w:rFonts w:ascii="Times New Roman" w:hAnsi="Times New Roman" w:cs="Times New Roman"/>
          <w:color w:val="000000" w:themeColor="text1"/>
          <w:sz w:val="20"/>
          <w:szCs w:val="20"/>
        </w:rPr>
      </w:pPr>
    </w:p>
    <w:p w:rsidR="008B6038" w:rsidRDefault="007947EF" w:rsidP="008B6038">
      <w:pPr>
        <w:spacing w:after="0" w:line="240" w:lineRule="auto"/>
        <w:ind w:firstLine="720"/>
        <w:jc w:val="both"/>
        <w:rPr>
          <w:rFonts w:ascii="Times New Roman" w:hAnsi="Times New Roman" w:cs="Times New Roman"/>
          <w:color w:val="000000" w:themeColor="text1"/>
          <w:sz w:val="20"/>
          <w:szCs w:val="20"/>
        </w:rPr>
      </w:pPr>
      <w:r w:rsidRPr="007947EF">
        <w:rPr>
          <w:rFonts w:ascii="Times New Roman" w:hAnsi="Times New Roman" w:cs="Times New Roman"/>
          <w:color w:val="000000" w:themeColor="text1"/>
          <w:sz w:val="20"/>
          <w:szCs w:val="20"/>
        </w:rPr>
        <w:t>However, co-administration with ketoconazole, a potent CYP3A4 inhibitor, raised lobeg</w:t>
      </w:r>
      <w:r w:rsidR="00C33EAD">
        <w:rPr>
          <w:rFonts w:ascii="Times New Roman" w:hAnsi="Times New Roman" w:cs="Times New Roman"/>
          <w:color w:val="000000" w:themeColor="text1"/>
          <w:sz w:val="20"/>
          <w:szCs w:val="20"/>
        </w:rPr>
        <w:t xml:space="preserve">litazone exposure by around 33% </w:t>
      </w:r>
      <w:r w:rsidR="006C117A">
        <w:rPr>
          <w:rFonts w:ascii="Times New Roman" w:hAnsi="Times New Roman" w:cs="Times New Roman"/>
          <w:color w:val="000000" w:themeColor="text1"/>
          <w:sz w:val="20"/>
          <w:szCs w:val="20"/>
        </w:rPr>
        <w:t>[49]</w:t>
      </w:r>
      <w:r w:rsidR="00C33EAD">
        <w:rPr>
          <w:rFonts w:ascii="Times New Roman" w:hAnsi="Times New Roman" w:cs="Times New Roman"/>
          <w:color w:val="000000" w:themeColor="text1"/>
          <w:sz w:val="20"/>
          <w:szCs w:val="20"/>
        </w:rPr>
        <w:t>.</w:t>
      </w:r>
    </w:p>
    <w:p w:rsidR="00907B4E" w:rsidRDefault="00907B4E" w:rsidP="008B6038">
      <w:pPr>
        <w:spacing w:after="0" w:line="240" w:lineRule="auto"/>
        <w:jc w:val="both"/>
        <w:rPr>
          <w:rFonts w:ascii="Times New Roman" w:hAnsi="Times New Roman" w:cs="Times New Roman"/>
          <w:b/>
          <w:color w:val="000000" w:themeColor="text1"/>
          <w:sz w:val="20"/>
          <w:szCs w:val="20"/>
        </w:rPr>
      </w:pPr>
    </w:p>
    <w:p w:rsidR="006C117A" w:rsidRPr="008B6038" w:rsidRDefault="006C117A" w:rsidP="008B6038">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lastRenderedPageBreak/>
        <w:t xml:space="preserve">Other Uses:- </w:t>
      </w:r>
    </w:p>
    <w:p w:rsidR="00C33EAD" w:rsidRDefault="006C117A" w:rsidP="006C117A">
      <w:pPr>
        <w:spacing w:after="0" w:line="240" w:lineRule="auto"/>
        <w:jc w:val="both"/>
        <w:rPr>
          <w:rFonts w:ascii="Times New Roman" w:hAnsi="Times New Roman" w:cs="Times New Roman"/>
          <w:color w:val="000000" w:themeColor="text1"/>
          <w:sz w:val="20"/>
          <w:szCs w:val="20"/>
        </w:rPr>
      </w:pPr>
      <w:r w:rsidRPr="00D362B8">
        <w:rPr>
          <w:rFonts w:ascii="Times New Roman" w:hAnsi="Times New Roman" w:cs="Times New Roman"/>
          <w:color w:val="000000" w:themeColor="text1"/>
          <w:sz w:val="20"/>
          <w:szCs w:val="20"/>
        </w:rPr>
        <w:t xml:space="preserve">                   </w:t>
      </w:r>
    </w:p>
    <w:p w:rsidR="00C33EAD" w:rsidRDefault="006C117A" w:rsidP="0097491D">
      <w:pPr>
        <w:spacing w:after="0" w:line="240" w:lineRule="auto"/>
        <w:ind w:firstLine="720"/>
        <w:jc w:val="both"/>
        <w:rPr>
          <w:rFonts w:ascii="Times New Roman" w:hAnsi="Times New Roman" w:cs="Times New Roman"/>
          <w:color w:val="000000" w:themeColor="text1"/>
          <w:sz w:val="20"/>
          <w:szCs w:val="20"/>
        </w:rPr>
      </w:pPr>
      <w:r w:rsidRPr="006C117A">
        <w:rPr>
          <w:rFonts w:ascii="Times New Roman" w:hAnsi="Times New Roman" w:cs="Times New Roman"/>
          <w:color w:val="000000" w:themeColor="text1"/>
          <w:sz w:val="20"/>
          <w:szCs w:val="20"/>
        </w:rPr>
        <w:t>TZDs are one of the few oral medications indicated for the treatment of non-alcoholic fatty liver disease (NAFLD).</w:t>
      </w:r>
      <w:r w:rsidR="00D362B8">
        <w:rPr>
          <w:rFonts w:ascii="Times New Roman" w:hAnsi="Times New Roman" w:cs="Times New Roman"/>
          <w:color w:val="000000" w:themeColor="text1"/>
          <w:sz w:val="20"/>
          <w:szCs w:val="20"/>
        </w:rPr>
        <w:t xml:space="preserve"> </w:t>
      </w:r>
      <w:r w:rsidR="001C4DF6" w:rsidRPr="001C4DF6">
        <w:rPr>
          <w:rFonts w:ascii="Times New Roman" w:hAnsi="Times New Roman" w:cs="Times New Roman"/>
          <w:color w:val="000000" w:themeColor="text1"/>
          <w:sz w:val="20"/>
          <w:szCs w:val="20"/>
        </w:rPr>
        <w:t>Lobeglitazone therapy reduced intra</w:t>
      </w:r>
      <w:r w:rsidR="001C4DF6">
        <w:rPr>
          <w:rFonts w:ascii="Times New Roman" w:hAnsi="Times New Roman" w:cs="Times New Roman"/>
          <w:color w:val="000000" w:themeColor="text1"/>
          <w:sz w:val="20"/>
          <w:szCs w:val="20"/>
        </w:rPr>
        <w:t>-</w:t>
      </w:r>
      <w:r w:rsidR="001C4DF6" w:rsidRPr="001C4DF6">
        <w:rPr>
          <w:rFonts w:ascii="Times New Roman" w:hAnsi="Times New Roman" w:cs="Times New Roman"/>
          <w:color w:val="000000" w:themeColor="text1"/>
          <w:sz w:val="20"/>
          <w:szCs w:val="20"/>
        </w:rPr>
        <w:t>hepatic fat accumulation and improved glycemic, liver, and lipid profiles in T</w:t>
      </w:r>
      <w:r w:rsidR="001C4DF6" w:rsidRPr="001C4DF6">
        <w:rPr>
          <w:rFonts w:ascii="Times New Roman" w:hAnsi="Times New Roman" w:cs="Times New Roman"/>
          <w:color w:val="000000" w:themeColor="text1"/>
          <w:sz w:val="20"/>
          <w:szCs w:val="20"/>
          <w:vertAlign w:val="subscript"/>
        </w:rPr>
        <w:t>2</w:t>
      </w:r>
      <w:r w:rsidR="001C4DF6" w:rsidRPr="001C4DF6">
        <w:rPr>
          <w:rFonts w:ascii="Times New Roman" w:hAnsi="Times New Roman" w:cs="Times New Roman"/>
          <w:color w:val="000000" w:themeColor="text1"/>
          <w:sz w:val="20"/>
          <w:szCs w:val="20"/>
        </w:rPr>
        <w:t>DM patients with non-alcoholic fatty liver disease. It is also efficient in lowering albuminuria, a well-known risk factor for re</w:t>
      </w:r>
      <w:r w:rsidR="00C33EAD">
        <w:rPr>
          <w:rFonts w:ascii="Times New Roman" w:hAnsi="Times New Roman" w:cs="Times New Roman"/>
          <w:color w:val="000000" w:themeColor="text1"/>
          <w:sz w:val="20"/>
          <w:szCs w:val="20"/>
        </w:rPr>
        <w:t xml:space="preserve">nal and cardiovascular disease </w:t>
      </w:r>
      <w:r w:rsidR="00C147B0">
        <w:rPr>
          <w:rFonts w:ascii="Times New Roman" w:hAnsi="Times New Roman" w:cs="Times New Roman"/>
          <w:color w:val="000000" w:themeColor="text1"/>
          <w:sz w:val="20"/>
          <w:szCs w:val="20"/>
        </w:rPr>
        <w:t>[50-51]</w:t>
      </w:r>
      <w:r w:rsidR="00C33EAD">
        <w:rPr>
          <w:rFonts w:ascii="Times New Roman" w:hAnsi="Times New Roman" w:cs="Times New Roman"/>
          <w:color w:val="000000" w:themeColor="text1"/>
          <w:sz w:val="20"/>
          <w:szCs w:val="20"/>
        </w:rPr>
        <w:t>.</w:t>
      </w:r>
    </w:p>
    <w:p w:rsidR="00C33EAD" w:rsidRDefault="00C33EAD" w:rsidP="007947EF">
      <w:pPr>
        <w:spacing w:after="0" w:line="240" w:lineRule="auto"/>
        <w:jc w:val="both"/>
        <w:rPr>
          <w:rFonts w:ascii="Times New Roman" w:hAnsi="Times New Roman" w:cs="Times New Roman"/>
          <w:color w:val="000000" w:themeColor="text1"/>
          <w:sz w:val="20"/>
          <w:szCs w:val="20"/>
        </w:rPr>
      </w:pPr>
    </w:p>
    <w:p w:rsidR="00C33EAD" w:rsidRDefault="00D362B8" w:rsidP="0097491D">
      <w:pPr>
        <w:spacing w:after="0" w:line="240" w:lineRule="auto"/>
        <w:ind w:firstLine="720"/>
        <w:jc w:val="both"/>
        <w:rPr>
          <w:rFonts w:ascii="Times New Roman" w:hAnsi="Times New Roman" w:cs="Times New Roman"/>
          <w:color w:val="000000" w:themeColor="text1"/>
          <w:sz w:val="20"/>
          <w:szCs w:val="20"/>
        </w:rPr>
      </w:pPr>
      <w:r w:rsidRPr="00D362B8">
        <w:rPr>
          <w:rFonts w:ascii="Times New Roman" w:hAnsi="Times New Roman" w:cs="Times New Roman"/>
          <w:color w:val="000000" w:themeColor="text1"/>
          <w:sz w:val="20"/>
          <w:szCs w:val="20"/>
        </w:rPr>
        <w:t>Stroke patients with T</w:t>
      </w:r>
      <w:r w:rsidRPr="00D362B8">
        <w:rPr>
          <w:rFonts w:ascii="Times New Roman" w:hAnsi="Times New Roman" w:cs="Times New Roman"/>
          <w:color w:val="000000" w:themeColor="text1"/>
          <w:sz w:val="20"/>
          <w:szCs w:val="20"/>
          <w:vertAlign w:val="subscript"/>
        </w:rPr>
        <w:t>2</w:t>
      </w:r>
      <w:r w:rsidRPr="00D362B8">
        <w:rPr>
          <w:rFonts w:ascii="Times New Roman" w:hAnsi="Times New Roman" w:cs="Times New Roman"/>
          <w:color w:val="000000" w:themeColor="text1"/>
          <w:sz w:val="20"/>
          <w:szCs w:val="20"/>
        </w:rPr>
        <w:t>DM had worse prognoses and are more likely to have repeated cardiovascular events than those who do not have diabetes. For stroke patients with diabetes who are at high risk of recurrent cardiovascular problems, secondary prevention guidelines promote good glycemic management using comprehensive lifestyle measures and anti</w:t>
      </w:r>
      <w:r w:rsidR="001F1874">
        <w:rPr>
          <w:rFonts w:ascii="Times New Roman" w:hAnsi="Times New Roman" w:cs="Times New Roman"/>
          <w:color w:val="000000" w:themeColor="text1"/>
          <w:sz w:val="20"/>
          <w:szCs w:val="20"/>
        </w:rPr>
        <w:t>-</w:t>
      </w:r>
      <w:r w:rsidR="00C33EAD">
        <w:rPr>
          <w:rFonts w:ascii="Times New Roman" w:hAnsi="Times New Roman" w:cs="Times New Roman"/>
          <w:color w:val="000000" w:themeColor="text1"/>
          <w:sz w:val="20"/>
          <w:szCs w:val="20"/>
        </w:rPr>
        <w:t xml:space="preserve">diabetic medications </w:t>
      </w:r>
      <w:r w:rsidR="00C900FB">
        <w:rPr>
          <w:rFonts w:ascii="Times New Roman" w:hAnsi="Times New Roman" w:cs="Times New Roman"/>
          <w:color w:val="000000" w:themeColor="text1"/>
          <w:sz w:val="20"/>
          <w:szCs w:val="20"/>
        </w:rPr>
        <w:t>[52-56</w:t>
      </w:r>
      <w:r>
        <w:rPr>
          <w:rFonts w:ascii="Times New Roman" w:hAnsi="Times New Roman" w:cs="Times New Roman"/>
          <w:color w:val="000000" w:themeColor="text1"/>
          <w:sz w:val="20"/>
          <w:szCs w:val="20"/>
        </w:rPr>
        <w:t>]</w:t>
      </w:r>
      <w:r w:rsidR="00C33EAD">
        <w:rPr>
          <w:rFonts w:ascii="Times New Roman" w:hAnsi="Times New Roman" w:cs="Times New Roman"/>
          <w:color w:val="000000" w:themeColor="text1"/>
          <w:sz w:val="20"/>
          <w:szCs w:val="20"/>
        </w:rPr>
        <w:t>.</w:t>
      </w:r>
    </w:p>
    <w:p w:rsidR="00C33EAD" w:rsidRDefault="00C33EAD" w:rsidP="007947EF">
      <w:pPr>
        <w:spacing w:after="0" w:line="240" w:lineRule="auto"/>
        <w:jc w:val="both"/>
        <w:rPr>
          <w:rFonts w:ascii="Times New Roman" w:hAnsi="Times New Roman" w:cs="Times New Roman"/>
          <w:color w:val="000000" w:themeColor="text1"/>
          <w:sz w:val="20"/>
          <w:szCs w:val="20"/>
        </w:rPr>
      </w:pPr>
    </w:p>
    <w:p w:rsidR="0002231E" w:rsidRDefault="0002231E" w:rsidP="0097491D">
      <w:pPr>
        <w:spacing w:after="0" w:line="240" w:lineRule="auto"/>
        <w:ind w:firstLine="720"/>
        <w:jc w:val="both"/>
        <w:rPr>
          <w:rFonts w:ascii="Times New Roman" w:hAnsi="Times New Roman" w:cs="Times New Roman"/>
          <w:color w:val="000000" w:themeColor="text1"/>
          <w:sz w:val="20"/>
          <w:szCs w:val="20"/>
        </w:rPr>
      </w:pPr>
      <w:r w:rsidRPr="0002231E">
        <w:rPr>
          <w:rFonts w:ascii="Times New Roman" w:hAnsi="Times New Roman" w:cs="Times New Roman"/>
          <w:color w:val="000000" w:themeColor="text1"/>
          <w:sz w:val="20"/>
          <w:szCs w:val="20"/>
        </w:rPr>
        <w:t>Lobeglitazone is related with a decreased incidence of subsequent cardiovascular problems including recurrent stroke, MI, and all-cause mortality</w:t>
      </w:r>
      <w:r>
        <w:rPr>
          <w:rFonts w:ascii="Times New Roman" w:hAnsi="Times New Roman" w:cs="Times New Roman"/>
          <w:color w:val="000000" w:themeColor="text1"/>
          <w:sz w:val="20"/>
          <w:szCs w:val="20"/>
        </w:rPr>
        <w:t xml:space="preserve"> </w:t>
      </w:r>
      <w:r w:rsidRPr="0002231E">
        <w:rPr>
          <w:rFonts w:ascii="Times New Roman" w:hAnsi="Times New Roman" w:cs="Times New Roman"/>
          <w:color w:val="000000" w:themeColor="text1"/>
          <w:sz w:val="20"/>
          <w:szCs w:val="20"/>
        </w:rPr>
        <w:t>in T</w:t>
      </w:r>
      <w:r w:rsidRPr="0002231E">
        <w:rPr>
          <w:rFonts w:ascii="Times New Roman" w:hAnsi="Times New Roman" w:cs="Times New Roman"/>
          <w:color w:val="000000" w:themeColor="text1"/>
          <w:sz w:val="20"/>
          <w:szCs w:val="20"/>
          <w:vertAlign w:val="subscript"/>
        </w:rPr>
        <w:t>2</w:t>
      </w:r>
      <w:r>
        <w:rPr>
          <w:rFonts w:ascii="Times New Roman" w:hAnsi="Times New Roman" w:cs="Times New Roman"/>
          <w:color w:val="000000" w:themeColor="text1"/>
          <w:sz w:val="20"/>
          <w:szCs w:val="20"/>
        </w:rPr>
        <w:t>DM individuals with</w:t>
      </w:r>
      <w:r w:rsidRPr="0002231E">
        <w:rPr>
          <w:rFonts w:ascii="Times New Roman" w:hAnsi="Times New Roman" w:cs="Times New Roman"/>
          <w:color w:val="000000" w:themeColor="text1"/>
          <w:sz w:val="20"/>
          <w:szCs w:val="20"/>
        </w:rPr>
        <w:t xml:space="preserve"> ischemic stroke. The favorable effect of lobeglitazone remained considerable in the control of other anti</w:t>
      </w:r>
      <w:r w:rsidR="001F1874">
        <w:rPr>
          <w:rFonts w:ascii="Times New Roman" w:hAnsi="Times New Roman" w:cs="Times New Roman"/>
          <w:color w:val="000000" w:themeColor="text1"/>
          <w:sz w:val="20"/>
          <w:szCs w:val="20"/>
        </w:rPr>
        <w:t>-</w:t>
      </w:r>
      <w:r w:rsidRPr="0002231E">
        <w:rPr>
          <w:rFonts w:ascii="Times New Roman" w:hAnsi="Times New Roman" w:cs="Times New Roman"/>
          <w:color w:val="000000" w:themeColor="text1"/>
          <w:sz w:val="20"/>
          <w:szCs w:val="20"/>
        </w:rPr>
        <w:t>diabetic drugs and standard cardiovascular treatments, such as anti</w:t>
      </w:r>
      <w:r w:rsidR="001F1874">
        <w:rPr>
          <w:rFonts w:ascii="Times New Roman" w:hAnsi="Times New Roman" w:cs="Times New Roman"/>
          <w:color w:val="000000" w:themeColor="text1"/>
          <w:sz w:val="20"/>
          <w:szCs w:val="20"/>
        </w:rPr>
        <w:t>-</w:t>
      </w:r>
      <w:r w:rsidRPr="0002231E">
        <w:rPr>
          <w:rFonts w:ascii="Times New Roman" w:hAnsi="Times New Roman" w:cs="Times New Roman"/>
          <w:color w:val="000000" w:themeColor="text1"/>
          <w:sz w:val="20"/>
          <w:szCs w:val="20"/>
        </w:rPr>
        <w:t>thrombotics and statins. Treatment with lobeglitazone wasn't associated with an inc</w:t>
      </w:r>
      <w:r w:rsidR="00C33EAD">
        <w:rPr>
          <w:rFonts w:ascii="Times New Roman" w:hAnsi="Times New Roman" w:cs="Times New Roman"/>
          <w:color w:val="000000" w:themeColor="text1"/>
          <w:sz w:val="20"/>
          <w:szCs w:val="20"/>
        </w:rPr>
        <w:t xml:space="preserve">rease the risk of heart failure </w:t>
      </w:r>
      <w:r w:rsidR="001C4DF6">
        <w:rPr>
          <w:rFonts w:ascii="Times New Roman" w:hAnsi="Times New Roman" w:cs="Times New Roman"/>
          <w:color w:val="000000" w:themeColor="text1"/>
          <w:sz w:val="20"/>
          <w:szCs w:val="20"/>
        </w:rPr>
        <w:t>[52</w:t>
      </w:r>
      <w:r w:rsidR="00C33EAD">
        <w:rPr>
          <w:rFonts w:ascii="Times New Roman" w:hAnsi="Times New Roman" w:cs="Times New Roman"/>
          <w:color w:val="000000" w:themeColor="text1"/>
          <w:sz w:val="20"/>
          <w:szCs w:val="20"/>
        </w:rPr>
        <w:t xml:space="preserve">, </w:t>
      </w:r>
      <w:r w:rsidR="001C4DF6">
        <w:rPr>
          <w:rFonts w:ascii="Times New Roman" w:hAnsi="Times New Roman" w:cs="Times New Roman"/>
          <w:color w:val="000000" w:themeColor="text1"/>
          <w:sz w:val="20"/>
          <w:szCs w:val="20"/>
        </w:rPr>
        <w:t>55</w:t>
      </w:r>
      <w:r w:rsidR="00C900FB">
        <w:rPr>
          <w:rFonts w:ascii="Times New Roman" w:hAnsi="Times New Roman" w:cs="Times New Roman"/>
          <w:color w:val="000000" w:themeColor="text1"/>
          <w:sz w:val="20"/>
          <w:szCs w:val="20"/>
        </w:rPr>
        <w:t>-56</w:t>
      </w:r>
      <w:r w:rsidR="001C4DF6">
        <w:rPr>
          <w:rFonts w:ascii="Times New Roman" w:hAnsi="Times New Roman" w:cs="Times New Roman"/>
          <w:color w:val="000000" w:themeColor="text1"/>
          <w:sz w:val="20"/>
          <w:szCs w:val="20"/>
        </w:rPr>
        <w:t>]</w:t>
      </w:r>
      <w:r w:rsidR="00C33EAD">
        <w:rPr>
          <w:rFonts w:ascii="Times New Roman" w:hAnsi="Times New Roman" w:cs="Times New Roman"/>
          <w:color w:val="000000" w:themeColor="text1"/>
          <w:sz w:val="20"/>
          <w:szCs w:val="20"/>
        </w:rPr>
        <w:t>.</w:t>
      </w:r>
    </w:p>
    <w:p w:rsidR="00C900FB" w:rsidRDefault="00C900FB" w:rsidP="007947EF">
      <w:pPr>
        <w:spacing w:after="0" w:line="240" w:lineRule="auto"/>
        <w:jc w:val="both"/>
        <w:rPr>
          <w:rFonts w:ascii="Times New Roman" w:hAnsi="Times New Roman" w:cs="Times New Roman"/>
          <w:color w:val="000000" w:themeColor="text1"/>
          <w:sz w:val="20"/>
          <w:szCs w:val="20"/>
        </w:rPr>
      </w:pPr>
    </w:p>
    <w:p w:rsidR="00C900FB" w:rsidRDefault="00C900FB" w:rsidP="007947EF">
      <w:pPr>
        <w:spacing w:after="0" w:line="240" w:lineRule="auto"/>
        <w:jc w:val="both"/>
        <w:rPr>
          <w:rFonts w:ascii="Times New Roman" w:hAnsi="Times New Roman" w:cs="Times New Roman"/>
          <w:color w:val="000000" w:themeColor="text1"/>
          <w:sz w:val="20"/>
          <w:szCs w:val="20"/>
        </w:rPr>
      </w:pPr>
    </w:p>
    <w:p w:rsidR="00C900FB" w:rsidRPr="00C900FB" w:rsidRDefault="00C900FB" w:rsidP="00C900F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Side Effects:-</w:t>
      </w:r>
    </w:p>
    <w:p w:rsidR="00C900FB" w:rsidRDefault="00C900FB" w:rsidP="00C900FB">
      <w:pPr>
        <w:spacing w:after="0" w:line="240" w:lineRule="auto"/>
        <w:jc w:val="both"/>
        <w:rPr>
          <w:rFonts w:ascii="Times New Roman" w:hAnsi="Times New Roman" w:cs="Times New Roman"/>
          <w:b/>
          <w:color w:val="000000" w:themeColor="text1"/>
          <w:sz w:val="20"/>
          <w:szCs w:val="20"/>
        </w:rPr>
      </w:pPr>
    </w:p>
    <w:p w:rsidR="00C900FB" w:rsidRPr="00C900FB" w:rsidRDefault="00C900FB" w:rsidP="00C900FB">
      <w:pPr>
        <w:pStyle w:val="ListParagraph"/>
        <w:numPr>
          <w:ilvl w:val="0"/>
          <w:numId w:val="11"/>
        </w:num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Peripheral Edema</w:t>
      </w:r>
    </w:p>
    <w:p w:rsidR="00C900FB" w:rsidRPr="00C900FB" w:rsidRDefault="00C900FB" w:rsidP="00C900FB">
      <w:pPr>
        <w:pStyle w:val="ListParagraph"/>
        <w:numPr>
          <w:ilvl w:val="0"/>
          <w:numId w:val="11"/>
        </w:num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Weight Gain</w:t>
      </w:r>
    </w:p>
    <w:p w:rsidR="00C900FB" w:rsidRPr="001F1874" w:rsidRDefault="00C900FB" w:rsidP="00C900FB">
      <w:pPr>
        <w:pStyle w:val="ListParagraph"/>
        <w:numPr>
          <w:ilvl w:val="0"/>
          <w:numId w:val="11"/>
        </w:num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Bone Fractures</w:t>
      </w:r>
      <w:r w:rsidR="0097491D">
        <w:rPr>
          <w:rFonts w:ascii="Times New Roman" w:hAnsi="Times New Roman" w:cs="Times New Roman"/>
          <w:color w:val="000000" w:themeColor="text1"/>
          <w:sz w:val="20"/>
          <w:szCs w:val="20"/>
        </w:rPr>
        <w:t xml:space="preserve"> [15, 25]</w:t>
      </w:r>
    </w:p>
    <w:p w:rsidR="001F1874" w:rsidRDefault="001F1874" w:rsidP="001F1874">
      <w:pPr>
        <w:spacing w:after="0" w:line="240" w:lineRule="auto"/>
        <w:jc w:val="both"/>
        <w:rPr>
          <w:rFonts w:ascii="Times New Roman" w:hAnsi="Times New Roman" w:cs="Times New Roman"/>
          <w:b/>
          <w:color w:val="000000" w:themeColor="text1"/>
          <w:sz w:val="20"/>
          <w:szCs w:val="20"/>
        </w:rPr>
      </w:pPr>
    </w:p>
    <w:p w:rsidR="001F1874" w:rsidRDefault="001F1874" w:rsidP="001F1874">
      <w:pPr>
        <w:spacing w:after="0" w:line="240" w:lineRule="auto"/>
        <w:jc w:val="both"/>
        <w:rPr>
          <w:rFonts w:ascii="Times New Roman" w:hAnsi="Times New Roman" w:cs="Times New Roman"/>
          <w:b/>
          <w:color w:val="000000" w:themeColor="text1"/>
          <w:sz w:val="20"/>
          <w:szCs w:val="20"/>
        </w:rPr>
      </w:pPr>
    </w:p>
    <w:p w:rsidR="001F1874" w:rsidRDefault="001F1874" w:rsidP="001F1874">
      <w:pPr>
        <w:spacing w:after="0" w:line="240" w:lineRule="auto"/>
        <w:jc w:val="both"/>
        <w:rPr>
          <w:rFonts w:ascii="Times New Roman" w:hAnsi="Times New Roman" w:cs="Times New Roman"/>
          <w:b/>
          <w:color w:val="000000" w:themeColor="text1"/>
          <w:sz w:val="20"/>
          <w:szCs w:val="20"/>
        </w:rPr>
      </w:pPr>
    </w:p>
    <w:p w:rsidR="001F1874" w:rsidRDefault="001F1874" w:rsidP="001F1874">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Approval in India-</w:t>
      </w:r>
    </w:p>
    <w:p w:rsidR="00C33EAD" w:rsidRDefault="00C33EAD" w:rsidP="001F1874">
      <w:pPr>
        <w:rPr>
          <w:rFonts w:ascii="Times New Roman" w:hAnsi="Times New Roman" w:cs="Times New Roman"/>
          <w:b/>
          <w:color w:val="000000" w:themeColor="text1"/>
          <w:sz w:val="20"/>
          <w:szCs w:val="20"/>
        </w:rPr>
      </w:pPr>
    </w:p>
    <w:p w:rsidR="009B6F20" w:rsidRDefault="009B6F20" w:rsidP="0097491D">
      <w:pPr>
        <w:spacing w:line="240" w:lineRule="auto"/>
        <w:ind w:firstLine="720"/>
        <w:jc w:val="both"/>
        <w:rPr>
          <w:rFonts w:ascii="Times New Roman" w:hAnsi="Times New Roman" w:cs="Times New Roman"/>
          <w:color w:val="000000" w:themeColor="text1"/>
          <w:sz w:val="20"/>
          <w:szCs w:val="20"/>
        </w:rPr>
      </w:pPr>
      <w:r w:rsidRPr="009B6F20">
        <w:rPr>
          <w:rFonts w:ascii="Times New Roman" w:hAnsi="Times New Roman" w:cs="Times New Roman"/>
          <w:color w:val="000000" w:themeColor="text1"/>
          <w:sz w:val="20"/>
          <w:szCs w:val="20"/>
        </w:rPr>
        <w:t>Glenmark Pharmaceuticals was the first company in India to commercialize Thiazolidinedione (Lobeglitazone) for the treatment of type 2 diabetes in adults. It's ma</w:t>
      </w:r>
      <w:r>
        <w:rPr>
          <w:rFonts w:ascii="Times New Roman" w:hAnsi="Times New Roman" w:cs="Times New Roman"/>
          <w:color w:val="000000" w:themeColor="text1"/>
          <w:sz w:val="20"/>
          <w:szCs w:val="20"/>
        </w:rPr>
        <w:t xml:space="preserve">rketed as LOBG and contains an </w:t>
      </w:r>
      <w:r w:rsidRPr="009B6F20">
        <w:rPr>
          <w:rFonts w:ascii="Times New Roman" w:hAnsi="Times New Roman" w:cs="Times New Roman"/>
          <w:color w:val="000000" w:themeColor="text1"/>
          <w:sz w:val="20"/>
          <w:szCs w:val="20"/>
        </w:rPr>
        <w:t>active component lobeglitazone (0.5 mg). It is prescribed once a day to adult diabetes patients in order to improve glycemic control. Because insulin resistance is common in Indians, LOBG is an intriguing therapeutic option for treating uncontrolled T</w:t>
      </w:r>
      <w:r w:rsidRPr="009B6F20">
        <w:rPr>
          <w:rFonts w:ascii="Times New Roman" w:hAnsi="Times New Roman" w:cs="Times New Roman"/>
          <w:color w:val="000000" w:themeColor="text1"/>
          <w:sz w:val="20"/>
          <w:szCs w:val="20"/>
          <w:vertAlign w:val="subscript"/>
        </w:rPr>
        <w:t>2</w:t>
      </w:r>
      <w:r w:rsidRPr="009B6F20">
        <w:rPr>
          <w:rFonts w:ascii="Times New Roman" w:hAnsi="Times New Roman" w:cs="Times New Roman"/>
          <w:color w:val="000000" w:themeColor="text1"/>
          <w:sz w:val="20"/>
          <w:szCs w:val="20"/>
        </w:rPr>
        <w:t>DM in insulin-resistant diabetic individuals.</w:t>
      </w:r>
    </w:p>
    <w:p w:rsidR="00C33EAD" w:rsidRDefault="001F1874" w:rsidP="0097491D">
      <w:pPr>
        <w:spacing w:line="240" w:lineRule="auto"/>
        <w:ind w:firstLine="720"/>
        <w:jc w:val="both"/>
        <w:rPr>
          <w:rFonts w:ascii="Times New Roman" w:hAnsi="Times New Roman" w:cs="Times New Roman"/>
          <w:color w:val="000000" w:themeColor="text1"/>
          <w:sz w:val="20"/>
          <w:szCs w:val="20"/>
        </w:rPr>
      </w:pPr>
      <w:r w:rsidRPr="001F1874">
        <w:rPr>
          <w:rFonts w:ascii="Times New Roman" w:hAnsi="Times New Roman" w:cs="Times New Roman"/>
          <w:color w:val="000000" w:themeColor="text1"/>
          <w:sz w:val="20"/>
          <w:szCs w:val="20"/>
        </w:rPr>
        <w:t>Glenmark previously acquired authorization for manufacture and marketing from the Indian drug regulator, Drug Controller General of India</w:t>
      </w:r>
      <w:r w:rsidR="009B6F20">
        <w:rPr>
          <w:rFonts w:ascii="Times New Roman" w:hAnsi="Times New Roman" w:cs="Times New Roman"/>
          <w:color w:val="000000" w:themeColor="text1"/>
          <w:sz w:val="20"/>
          <w:szCs w:val="20"/>
        </w:rPr>
        <w:t xml:space="preserve"> (DCGI)</w:t>
      </w:r>
      <w:r w:rsidRPr="001F1874">
        <w:rPr>
          <w:rFonts w:ascii="Times New Roman" w:hAnsi="Times New Roman" w:cs="Times New Roman"/>
          <w:color w:val="000000" w:themeColor="text1"/>
          <w:sz w:val="20"/>
          <w:szCs w:val="20"/>
        </w:rPr>
        <w:t>. Lobeglitazone was developed base</w:t>
      </w:r>
      <w:r w:rsidR="00B8499E">
        <w:rPr>
          <w:rFonts w:ascii="Times New Roman" w:hAnsi="Times New Roman" w:cs="Times New Roman"/>
          <w:color w:val="000000" w:themeColor="text1"/>
          <w:sz w:val="20"/>
          <w:szCs w:val="20"/>
        </w:rPr>
        <w:t xml:space="preserve">d on a </w:t>
      </w:r>
      <w:r w:rsidRPr="001F1874">
        <w:rPr>
          <w:rFonts w:ascii="Times New Roman" w:hAnsi="Times New Roman" w:cs="Times New Roman"/>
          <w:color w:val="000000" w:themeColor="text1"/>
          <w:sz w:val="20"/>
          <w:szCs w:val="20"/>
        </w:rPr>
        <w:t xml:space="preserve">Phase 3 clinical trial </w:t>
      </w:r>
      <w:r w:rsidR="00B8499E">
        <w:rPr>
          <w:rFonts w:ascii="Times New Roman" w:hAnsi="Times New Roman" w:cs="Times New Roman"/>
          <w:color w:val="000000" w:themeColor="text1"/>
          <w:sz w:val="20"/>
          <w:szCs w:val="20"/>
        </w:rPr>
        <w:t xml:space="preserve">that is randomized and double-blind </w:t>
      </w:r>
      <w:r w:rsidRPr="001F1874">
        <w:rPr>
          <w:rFonts w:ascii="Times New Roman" w:hAnsi="Times New Roman" w:cs="Times New Roman"/>
          <w:color w:val="000000" w:themeColor="text1"/>
          <w:sz w:val="20"/>
          <w:szCs w:val="20"/>
        </w:rPr>
        <w:t>on adult T</w:t>
      </w:r>
      <w:r w:rsidRPr="001F1874">
        <w:rPr>
          <w:rFonts w:ascii="Times New Roman" w:hAnsi="Times New Roman" w:cs="Times New Roman"/>
          <w:color w:val="000000" w:themeColor="text1"/>
          <w:sz w:val="20"/>
          <w:szCs w:val="20"/>
          <w:vertAlign w:val="subscript"/>
        </w:rPr>
        <w:t>2</w:t>
      </w:r>
      <w:r w:rsidR="005301E2">
        <w:rPr>
          <w:rFonts w:ascii="Times New Roman" w:hAnsi="Times New Roman" w:cs="Times New Roman"/>
          <w:color w:val="000000" w:themeColor="text1"/>
          <w:sz w:val="20"/>
          <w:szCs w:val="20"/>
        </w:rPr>
        <w:t xml:space="preserve">DM patients of </w:t>
      </w:r>
      <w:r w:rsidRPr="001F1874">
        <w:rPr>
          <w:rFonts w:ascii="Times New Roman" w:hAnsi="Times New Roman" w:cs="Times New Roman"/>
          <w:color w:val="000000" w:themeColor="text1"/>
          <w:sz w:val="20"/>
          <w:szCs w:val="20"/>
        </w:rPr>
        <w:t>18</w:t>
      </w:r>
      <w:r w:rsidR="005301E2">
        <w:rPr>
          <w:rFonts w:ascii="Times New Roman" w:hAnsi="Times New Roman" w:cs="Times New Roman"/>
          <w:color w:val="000000" w:themeColor="text1"/>
          <w:sz w:val="20"/>
          <w:szCs w:val="20"/>
        </w:rPr>
        <w:t xml:space="preserve"> years</w:t>
      </w:r>
      <w:r w:rsidRPr="001F1874">
        <w:rPr>
          <w:rFonts w:ascii="Times New Roman" w:hAnsi="Times New Roman" w:cs="Times New Roman"/>
          <w:color w:val="000000" w:themeColor="text1"/>
          <w:sz w:val="20"/>
          <w:szCs w:val="20"/>
        </w:rPr>
        <w:t xml:space="preserve"> and above. Lobeglitazone showed faster and better glycemic mana</w:t>
      </w:r>
      <w:r w:rsidR="00C33EAD">
        <w:rPr>
          <w:rFonts w:ascii="Times New Roman" w:hAnsi="Times New Roman" w:cs="Times New Roman"/>
          <w:color w:val="000000" w:themeColor="text1"/>
          <w:sz w:val="20"/>
          <w:szCs w:val="20"/>
        </w:rPr>
        <w:t xml:space="preserve">gement in this clinical trial </w:t>
      </w:r>
      <w:r>
        <w:rPr>
          <w:rFonts w:ascii="Times New Roman" w:hAnsi="Times New Roman" w:cs="Times New Roman"/>
          <w:color w:val="000000" w:themeColor="text1"/>
          <w:sz w:val="20"/>
          <w:szCs w:val="20"/>
        </w:rPr>
        <w:t>[57]</w:t>
      </w:r>
      <w:r w:rsidR="00C33EAD">
        <w:rPr>
          <w:rFonts w:ascii="Times New Roman" w:hAnsi="Times New Roman" w:cs="Times New Roman"/>
          <w:color w:val="000000" w:themeColor="text1"/>
          <w:sz w:val="20"/>
          <w:szCs w:val="20"/>
        </w:rPr>
        <w:t>.</w:t>
      </w:r>
    </w:p>
    <w:p w:rsidR="00AF72D9" w:rsidRDefault="00AF72D9" w:rsidP="001F1874">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97491D">
        <w:rPr>
          <w:rFonts w:ascii="Times New Roman" w:hAnsi="Times New Roman" w:cs="Times New Roman"/>
          <w:color w:val="000000" w:themeColor="text1"/>
          <w:sz w:val="20"/>
          <w:szCs w:val="20"/>
        </w:rPr>
        <w:t xml:space="preserve">                           </w:t>
      </w:r>
    </w:p>
    <w:p w:rsidR="001F1874" w:rsidRDefault="0097491D" w:rsidP="001F1874">
      <w:pPr>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I</w:t>
      </w:r>
      <w:r w:rsidR="001F1874">
        <w:rPr>
          <w:rFonts w:ascii="Times New Roman" w:eastAsia="Times New Roman" w:hAnsi="Times New Roman" w:cs="Times New Roman"/>
          <w:b/>
          <w:color w:val="000000" w:themeColor="text1"/>
          <w:sz w:val="20"/>
          <w:szCs w:val="20"/>
        </w:rPr>
        <w:t xml:space="preserve">V. </w:t>
      </w:r>
      <w:r w:rsidR="001F1874" w:rsidRPr="008A5950">
        <w:rPr>
          <w:rFonts w:ascii="Times New Roman" w:eastAsia="Times New Roman" w:hAnsi="Times New Roman" w:cs="Times New Roman"/>
          <w:b/>
          <w:color w:val="000000" w:themeColor="text1"/>
          <w:sz w:val="20"/>
          <w:szCs w:val="20"/>
        </w:rPr>
        <w:t>CONCLUSION</w:t>
      </w:r>
    </w:p>
    <w:p w:rsidR="00C33EAD" w:rsidRDefault="00C33EAD" w:rsidP="001F1874">
      <w:pPr>
        <w:spacing w:after="0" w:line="240" w:lineRule="auto"/>
        <w:jc w:val="both"/>
        <w:rPr>
          <w:rFonts w:ascii="Times New Roman" w:eastAsia="Times New Roman" w:hAnsi="Times New Roman" w:cs="Times New Roman"/>
          <w:b/>
          <w:color w:val="000000" w:themeColor="text1"/>
          <w:sz w:val="20"/>
          <w:szCs w:val="20"/>
        </w:rPr>
      </w:pPr>
    </w:p>
    <w:p w:rsidR="001F1874" w:rsidRPr="001F1874" w:rsidRDefault="001F1874" w:rsidP="0097491D">
      <w:pPr>
        <w:spacing w:after="0" w:line="240" w:lineRule="auto"/>
        <w:ind w:firstLine="720"/>
        <w:jc w:val="both"/>
        <w:rPr>
          <w:rFonts w:ascii="Times New Roman" w:eastAsia="Times New Roman" w:hAnsi="Times New Roman" w:cs="Times New Roman"/>
          <w:color w:val="000000" w:themeColor="text1"/>
          <w:sz w:val="20"/>
          <w:szCs w:val="20"/>
        </w:rPr>
      </w:pPr>
      <w:r w:rsidRPr="001F1874">
        <w:rPr>
          <w:rFonts w:ascii="Times New Roman" w:eastAsia="Times New Roman" w:hAnsi="Times New Roman" w:cs="Times New Roman"/>
          <w:color w:val="000000" w:themeColor="text1"/>
          <w:sz w:val="20"/>
          <w:szCs w:val="20"/>
        </w:rPr>
        <w:t>The development of Lobeglitazone as an anti-diabetic medication represents a significant advancement in the management of diabetes. As a third-generation TZD, Lobeglitazone offers improved selectivity and potentially a more favorable safety profile compared to earlier drugs in the class.</w:t>
      </w:r>
    </w:p>
    <w:p w:rsidR="00C33EAD" w:rsidRDefault="00C33EAD" w:rsidP="001F1874">
      <w:pPr>
        <w:spacing w:after="0" w:line="240" w:lineRule="auto"/>
        <w:jc w:val="both"/>
        <w:rPr>
          <w:rFonts w:ascii="Times New Roman" w:eastAsia="Times New Roman" w:hAnsi="Times New Roman" w:cs="Times New Roman"/>
          <w:color w:val="000000" w:themeColor="text1"/>
          <w:sz w:val="20"/>
          <w:szCs w:val="20"/>
        </w:rPr>
      </w:pPr>
    </w:p>
    <w:p w:rsidR="00C33EAD" w:rsidRDefault="001F1874" w:rsidP="0097491D">
      <w:pPr>
        <w:spacing w:after="0" w:line="240" w:lineRule="auto"/>
        <w:ind w:firstLine="720"/>
        <w:jc w:val="both"/>
        <w:rPr>
          <w:rFonts w:ascii="Times New Roman" w:eastAsia="Times New Roman" w:hAnsi="Times New Roman" w:cs="Times New Roman"/>
          <w:color w:val="000000" w:themeColor="text1"/>
          <w:sz w:val="20"/>
          <w:szCs w:val="20"/>
        </w:rPr>
      </w:pPr>
      <w:r w:rsidRPr="001F1874">
        <w:rPr>
          <w:rFonts w:ascii="Times New Roman" w:eastAsia="Times New Roman" w:hAnsi="Times New Roman" w:cs="Times New Roman"/>
          <w:color w:val="000000" w:themeColor="text1"/>
          <w:sz w:val="20"/>
          <w:szCs w:val="20"/>
        </w:rPr>
        <w:t>However, like any medication, Lobeglitazone may not be suitable for all patients, and its use should be guided by healthcare professionals based on individual patient characteristics and medical history. Further research and long-term studies are essential to better understand its efficacy, safety, and place in the overall treatment paradigm for diabetes.</w:t>
      </w:r>
      <w:r>
        <w:rPr>
          <w:rFonts w:ascii="Times New Roman" w:eastAsia="Times New Roman" w:hAnsi="Times New Roman" w:cs="Times New Roman"/>
          <w:color w:val="000000" w:themeColor="text1"/>
          <w:sz w:val="20"/>
          <w:szCs w:val="20"/>
        </w:rPr>
        <w:t xml:space="preserve"> </w:t>
      </w:r>
      <w:r w:rsidRPr="001F1874">
        <w:rPr>
          <w:rFonts w:ascii="Times New Roman" w:eastAsia="Times New Roman" w:hAnsi="Times New Roman" w:cs="Times New Roman"/>
          <w:color w:val="000000" w:themeColor="text1"/>
          <w:sz w:val="20"/>
          <w:szCs w:val="20"/>
        </w:rPr>
        <w:t>Overall, the ongoing efforts to develop innovative medications like Lobeglitazone underscore the importance of continuous research and development in the fight against diabetes and improving the quality of life for those living with this chronic condition.</w:t>
      </w:r>
    </w:p>
    <w:p w:rsidR="00C33EAD" w:rsidRDefault="00C33EAD" w:rsidP="001F1874">
      <w:pPr>
        <w:spacing w:after="0" w:line="240" w:lineRule="auto"/>
        <w:jc w:val="both"/>
        <w:rPr>
          <w:rFonts w:ascii="Times New Roman" w:eastAsia="Times New Roman" w:hAnsi="Times New Roman" w:cs="Times New Roman"/>
          <w:color w:val="000000" w:themeColor="text1"/>
          <w:sz w:val="20"/>
          <w:szCs w:val="20"/>
        </w:rPr>
      </w:pPr>
    </w:p>
    <w:p w:rsidR="00C33EAD" w:rsidRDefault="001F1874" w:rsidP="0097491D">
      <w:pPr>
        <w:spacing w:after="0" w:line="240" w:lineRule="auto"/>
        <w:ind w:firstLine="720"/>
        <w:jc w:val="both"/>
        <w:rPr>
          <w:rFonts w:ascii="Times New Roman" w:eastAsia="Times New Roman" w:hAnsi="Times New Roman" w:cs="Times New Roman"/>
          <w:color w:val="000000" w:themeColor="text1"/>
          <w:sz w:val="20"/>
          <w:szCs w:val="20"/>
        </w:rPr>
      </w:pPr>
      <w:r w:rsidRPr="001F1874">
        <w:rPr>
          <w:rFonts w:ascii="Times New Roman" w:eastAsia="Times New Roman" w:hAnsi="Times New Roman" w:cs="Times New Roman"/>
          <w:color w:val="000000" w:themeColor="text1"/>
          <w:sz w:val="20"/>
          <w:szCs w:val="20"/>
        </w:rPr>
        <w:t xml:space="preserve">Furthermore, lobeglitazone's development highlights the continuous pursuit of more effective and safer treatments for diabetes. Its ability to not only regulate blood sugar levels but also potentially address associated cardiovascular risks is a significant advancement. As research progresses, insights into lobeglitazone's potential benefits, optimal dosing, and patient suitability will continue to emerge. Collaborative efforts between </w:t>
      </w:r>
      <w:r w:rsidRPr="001F1874">
        <w:rPr>
          <w:rFonts w:ascii="Times New Roman" w:eastAsia="Times New Roman" w:hAnsi="Times New Roman" w:cs="Times New Roman"/>
          <w:color w:val="000000" w:themeColor="text1"/>
          <w:sz w:val="20"/>
          <w:szCs w:val="20"/>
        </w:rPr>
        <w:lastRenderedPageBreak/>
        <w:t>pharmaceutical companies, researchers, and medical professionals have paved the way for this innovative medication.</w:t>
      </w:r>
    </w:p>
    <w:p w:rsidR="00C33EAD" w:rsidRDefault="00C33EAD" w:rsidP="001F1874">
      <w:pPr>
        <w:spacing w:after="0" w:line="240" w:lineRule="auto"/>
        <w:jc w:val="both"/>
        <w:rPr>
          <w:rFonts w:ascii="Times New Roman" w:eastAsia="Times New Roman" w:hAnsi="Times New Roman" w:cs="Times New Roman"/>
          <w:color w:val="000000" w:themeColor="text1"/>
          <w:sz w:val="20"/>
          <w:szCs w:val="20"/>
        </w:rPr>
      </w:pPr>
    </w:p>
    <w:p w:rsidR="001F1874" w:rsidRPr="001F1874" w:rsidRDefault="001F1874" w:rsidP="0097491D">
      <w:pPr>
        <w:spacing w:after="0" w:line="240" w:lineRule="auto"/>
        <w:ind w:firstLine="720"/>
        <w:jc w:val="both"/>
        <w:rPr>
          <w:rFonts w:ascii="Times New Roman" w:eastAsia="Times New Roman" w:hAnsi="Times New Roman" w:cs="Times New Roman"/>
          <w:color w:val="000000" w:themeColor="text1"/>
          <w:sz w:val="20"/>
          <w:szCs w:val="20"/>
        </w:rPr>
      </w:pPr>
      <w:r w:rsidRPr="001F1874">
        <w:rPr>
          <w:rFonts w:ascii="Times New Roman" w:eastAsia="Times New Roman" w:hAnsi="Times New Roman" w:cs="Times New Roman"/>
          <w:color w:val="000000" w:themeColor="text1"/>
          <w:sz w:val="20"/>
          <w:szCs w:val="20"/>
        </w:rPr>
        <w:t>However, it's important to acknowledge that no medication is without its limitations. Potential side effects and interactions, as well as the need for careful patient selection, underline the importance of ongoing vigilance in monitoring and managing its use. As lobeglitazone moves towards broader clinical application, a balanced assessment of its benefits and risks will be crucial for both healthcare providers and patients.</w:t>
      </w:r>
      <w:r>
        <w:rPr>
          <w:rFonts w:ascii="Times New Roman" w:eastAsia="Times New Roman" w:hAnsi="Times New Roman" w:cs="Times New Roman"/>
          <w:color w:val="000000" w:themeColor="text1"/>
          <w:sz w:val="20"/>
          <w:szCs w:val="20"/>
        </w:rPr>
        <w:t xml:space="preserve"> </w:t>
      </w:r>
      <w:r w:rsidRPr="001F1874">
        <w:rPr>
          <w:rFonts w:ascii="Times New Roman" w:eastAsia="Times New Roman" w:hAnsi="Times New Roman" w:cs="Times New Roman"/>
          <w:color w:val="000000" w:themeColor="text1"/>
          <w:sz w:val="20"/>
          <w:szCs w:val="20"/>
        </w:rPr>
        <w:t>In essence, the development of lobeglitazone represents a significant stride in the realm of anti-diabetic medications. Its unique pharmacological profile and potential to offer comprehensive glycemic and cardiovascular control could potentially reshape the treatment landscape for diabetes. Continued research, post-marketing surveillance, and a patient-centric approach will collectively determine the true impact of lobeglitazone in improving the lives of individuals living with diabetes.</w:t>
      </w:r>
    </w:p>
    <w:p w:rsidR="001F1874" w:rsidRDefault="001F1874" w:rsidP="001F1874">
      <w:pPr>
        <w:rPr>
          <w:rFonts w:ascii="Times New Roman" w:hAnsi="Times New Roman" w:cs="Times New Roman"/>
          <w:color w:val="000000" w:themeColor="text1"/>
          <w:sz w:val="20"/>
          <w:szCs w:val="20"/>
        </w:rPr>
      </w:pPr>
    </w:p>
    <w:p w:rsidR="001F1874" w:rsidRDefault="001F1874" w:rsidP="001F1874">
      <w:pPr>
        <w:spacing w:after="0" w:line="240" w:lineRule="auto"/>
        <w:jc w:val="center"/>
        <w:rPr>
          <w:rFonts w:ascii="Times New Roman" w:hAnsi="Times New Roman" w:cs="Times New Roman"/>
          <w:b/>
          <w:sz w:val="20"/>
          <w:szCs w:val="20"/>
        </w:rPr>
      </w:pPr>
    </w:p>
    <w:p w:rsidR="001F1874" w:rsidRDefault="001F1874" w:rsidP="004A3391">
      <w:pPr>
        <w:spacing w:after="0" w:line="240" w:lineRule="auto"/>
        <w:rPr>
          <w:rFonts w:ascii="Times New Roman" w:hAnsi="Times New Roman" w:cs="Times New Roman"/>
          <w:b/>
          <w:sz w:val="20"/>
          <w:szCs w:val="20"/>
        </w:rPr>
      </w:pPr>
    </w:p>
    <w:p w:rsidR="009F48BA" w:rsidRDefault="009F48BA" w:rsidP="001F1874">
      <w:pPr>
        <w:spacing w:after="0" w:line="240" w:lineRule="auto"/>
        <w:jc w:val="center"/>
        <w:rPr>
          <w:rFonts w:ascii="Times New Roman" w:hAnsi="Times New Roman" w:cs="Times New Roman"/>
          <w:b/>
          <w:sz w:val="20"/>
          <w:szCs w:val="20"/>
        </w:rPr>
      </w:pPr>
      <w:r w:rsidRPr="001F1874">
        <w:rPr>
          <w:rFonts w:ascii="Times New Roman" w:hAnsi="Times New Roman" w:cs="Times New Roman"/>
          <w:b/>
          <w:sz w:val="20"/>
          <w:szCs w:val="20"/>
        </w:rPr>
        <w:t>REFERENCES</w:t>
      </w:r>
    </w:p>
    <w:p w:rsidR="001F1874" w:rsidRPr="001F1874" w:rsidRDefault="001F1874" w:rsidP="001F1874">
      <w:pPr>
        <w:spacing w:after="0" w:line="240" w:lineRule="auto"/>
        <w:jc w:val="center"/>
        <w:rPr>
          <w:rFonts w:ascii="Times New Roman" w:hAnsi="Times New Roman" w:cs="Times New Roman"/>
          <w:b/>
          <w:color w:val="000000" w:themeColor="text1"/>
          <w:sz w:val="20"/>
          <w:szCs w:val="20"/>
        </w:rPr>
      </w:pPr>
    </w:p>
    <w:p w:rsidR="009F48BA" w:rsidRDefault="009F48BA" w:rsidP="00860AF0">
      <w:pPr>
        <w:spacing w:line="240" w:lineRule="auto"/>
        <w:jc w:val="both"/>
        <w:rPr>
          <w:rFonts w:ascii="Times New Roman" w:hAnsi="Times New Roman" w:cs="Times New Roman"/>
          <w:sz w:val="16"/>
          <w:szCs w:val="20"/>
        </w:rPr>
      </w:pPr>
      <w:r w:rsidRPr="009F48BA">
        <w:rPr>
          <w:rFonts w:ascii="Times New Roman" w:hAnsi="Times New Roman" w:cs="Times New Roman"/>
          <w:sz w:val="16"/>
          <w:szCs w:val="20"/>
        </w:rPr>
        <w:t xml:space="preserve">[1] </w:t>
      </w:r>
      <w:r w:rsidR="00C03A31">
        <w:rPr>
          <w:rFonts w:ascii="Times New Roman" w:hAnsi="Times New Roman" w:cs="Times New Roman"/>
          <w:sz w:val="16"/>
          <w:szCs w:val="20"/>
        </w:rPr>
        <w:t>Hashim MJ, King JK et al. “</w:t>
      </w:r>
      <w:r w:rsidR="00C03A31" w:rsidRPr="00C03A31">
        <w:rPr>
          <w:rFonts w:ascii="Times New Roman" w:hAnsi="Times New Roman" w:cs="Times New Roman"/>
          <w:sz w:val="16"/>
          <w:szCs w:val="20"/>
        </w:rPr>
        <w:t>Epidemiology of Type 2 Diabetes - Global Burden of Disease and Forecasted Trends</w:t>
      </w:r>
      <w:r w:rsidR="00C03A31">
        <w:rPr>
          <w:rFonts w:ascii="Times New Roman" w:hAnsi="Times New Roman" w:cs="Times New Roman"/>
          <w:sz w:val="16"/>
          <w:szCs w:val="20"/>
        </w:rPr>
        <w:t xml:space="preserve">”, “Journal of Epidemiology &amp; Global Health”, </w:t>
      </w:r>
      <w:r w:rsidR="00C03A31" w:rsidRPr="00C03A31">
        <w:rPr>
          <w:rFonts w:ascii="Times New Roman" w:hAnsi="Times New Roman" w:cs="Times New Roman"/>
          <w:sz w:val="16"/>
          <w:szCs w:val="20"/>
        </w:rPr>
        <w:t>2020 Mar;</w:t>
      </w:r>
      <w:r w:rsidR="00C737DA">
        <w:rPr>
          <w:rFonts w:ascii="Times New Roman" w:hAnsi="Times New Roman" w:cs="Times New Roman"/>
          <w:sz w:val="16"/>
          <w:szCs w:val="20"/>
        </w:rPr>
        <w:t xml:space="preserve"> </w:t>
      </w:r>
      <w:r w:rsidR="00C03A31" w:rsidRPr="00C03A31">
        <w:rPr>
          <w:rFonts w:ascii="Times New Roman" w:hAnsi="Times New Roman" w:cs="Times New Roman"/>
          <w:sz w:val="16"/>
          <w:szCs w:val="20"/>
        </w:rPr>
        <w:t>10(1):</w:t>
      </w:r>
      <w:r w:rsidR="00C737DA">
        <w:rPr>
          <w:rFonts w:ascii="Times New Roman" w:hAnsi="Times New Roman" w:cs="Times New Roman"/>
          <w:sz w:val="16"/>
          <w:szCs w:val="20"/>
        </w:rPr>
        <w:t xml:space="preserve"> </w:t>
      </w:r>
      <w:r w:rsidR="00C03A31" w:rsidRPr="00C03A31">
        <w:rPr>
          <w:rFonts w:ascii="Times New Roman" w:hAnsi="Times New Roman" w:cs="Times New Roman"/>
          <w:sz w:val="16"/>
          <w:szCs w:val="20"/>
        </w:rPr>
        <w:t>107-111</w:t>
      </w:r>
    </w:p>
    <w:p w:rsidR="00C737DA" w:rsidRDefault="00C737DA" w:rsidP="00860AF0">
      <w:pPr>
        <w:spacing w:line="240" w:lineRule="auto"/>
        <w:jc w:val="both"/>
        <w:rPr>
          <w:rFonts w:ascii="Times New Roman" w:hAnsi="Times New Roman" w:cs="Times New Roman"/>
          <w:sz w:val="16"/>
          <w:szCs w:val="20"/>
        </w:rPr>
      </w:pPr>
      <w:r>
        <w:rPr>
          <w:rFonts w:ascii="Times New Roman" w:hAnsi="Times New Roman" w:cs="Times New Roman"/>
          <w:sz w:val="16"/>
          <w:szCs w:val="20"/>
        </w:rPr>
        <w:t>[2] Ramtahal R, Hinds A et al. “</w:t>
      </w:r>
      <w:r w:rsidRPr="00C737DA">
        <w:rPr>
          <w:rFonts w:ascii="Times New Roman" w:hAnsi="Times New Roman" w:cs="Times New Roman"/>
          <w:sz w:val="16"/>
          <w:szCs w:val="20"/>
        </w:rPr>
        <w:t>Prevalence of self-reported sleep duration and sleep habits in type 2 diabetes patients in South Trinidad</w:t>
      </w:r>
      <w:r>
        <w:rPr>
          <w:rFonts w:ascii="Times New Roman" w:hAnsi="Times New Roman" w:cs="Times New Roman"/>
          <w:sz w:val="16"/>
          <w:szCs w:val="20"/>
        </w:rPr>
        <w:t xml:space="preserve">”, “Journal of Epidemiology &amp; Global Health”, </w:t>
      </w:r>
      <w:r w:rsidRPr="00C737DA">
        <w:rPr>
          <w:rFonts w:ascii="Times New Roman" w:hAnsi="Times New Roman" w:cs="Times New Roman"/>
          <w:sz w:val="16"/>
          <w:szCs w:val="20"/>
        </w:rPr>
        <w:t>2015 Dec;</w:t>
      </w:r>
      <w:r>
        <w:rPr>
          <w:rFonts w:ascii="Times New Roman" w:hAnsi="Times New Roman" w:cs="Times New Roman"/>
          <w:sz w:val="16"/>
          <w:szCs w:val="20"/>
        </w:rPr>
        <w:t xml:space="preserve"> </w:t>
      </w:r>
      <w:r w:rsidRPr="00C737DA">
        <w:rPr>
          <w:rFonts w:ascii="Times New Roman" w:hAnsi="Times New Roman" w:cs="Times New Roman"/>
          <w:sz w:val="16"/>
          <w:szCs w:val="20"/>
        </w:rPr>
        <w:t>5(4 Suppl 1):</w:t>
      </w:r>
      <w:r>
        <w:rPr>
          <w:rFonts w:ascii="Times New Roman" w:hAnsi="Times New Roman" w:cs="Times New Roman"/>
          <w:sz w:val="16"/>
          <w:szCs w:val="20"/>
        </w:rPr>
        <w:t xml:space="preserve"> </w:t>
      </w:r>
      <w:r w:rsidRPr="00C737DA">
        <w:rPr>
          <w:rFonts w:ascii="Times New Roman" w:hAnsi="Times New Roman" w:cs="Times New Roman"/>
          <w:sz w:val="16"/>
          <w:szCs w:val="20"/>
        </w:rPr>
        <w:t>S35-43</w:t>
      </w:r>
    </w:p>
    <w:p w:rsidR="00C737DA" w:rsidRDefault="00C737DA" w:rsidP="00860AF0">
      <w:pPr>
        <w:spacing w:line="240" w:lineRule="auto"/>
        <w:jc w:val="both"/>
        <w:rPr>
          <w:rFonts w:ascii="Times New Roman" w:hAnsi="Times New Roman" w:cs="Times New Roman"/>
          <w:sz w:val="16"/>
          <w:szCs w:val="20"/>
        </w:rPr>
      </w:pPr>
      <w:r>
        <w:rPr>
          <w:rFonts w:ascii="Times New Roman" w:hAnsi="Times New Roman" w:cs="Times New Roman"/>
          <w:sz w:val="16"/>
          <w:szCs w:val="20"/>
        </w:rPr>
        <w:t>[3] Alotaibi A, Perry L et al. “</w:t>
      </w:r>
      <w:r w:rsidRPr="00C737DA">
        <w:rPr>
          <w:rFonts w:ascii="Times New Roman" w:hAnsi="Times New Roman" w:cs="Times New Roman"/>
          <w:sz w:val="16"/>
          <w:szCs w:val="20"/>
        </w:rPr>
        <w:t>Incidence and prevalence rates of diabete</w:t>
      </w:r>
      <w:r>
        <w:rPr>
          <w:rFonts w:ascii="Times New Roman" w:hAnsi="Times New Roman" w:cs="Times New Roman"/>
          <w:sz w:val="16"/>
          <w:szCs w:val="20"/>
        </w:rPr>
        <w:t>s mellitus in Saudi Arabia: An O</w:t>
      </w:r>
      <w:r w:rsidRPr="00C737DA">
        <w:rPr>
          <w:rFonts w:ascii="Times New Roman" w:hAnsi="Times New Roman" w:cs="Times New Roman"/>
          <w:sz w:val="16"/>
          <w:szCs w:val="20"/>
        </w:rPr>
        <w:t>verview</w:t>
      </w:r>
      <w:r>
        <w:rPr>
          <w:rFonts w:ascii="Times New Roman" w:hAnsi="Times New Roman" w:cs="Times New Roman"/>
          <w:sz w:val="16"/>
          <w:szCs w:val="20"/>
        </w:rPr>
        <w:t xml:space="preserve">”, “Journal of Epidemiology &amp; Global Health”, </w:t>
      </w:r>
      <w:r w:rsidRPr="00C737DA">
        <w:rPr>
          <w:rFonts w:ascii="Times New Roman" w:hAnsi="Times New Roman" w:cs="Times New Roman"/>
          <w:sz w:val="16"/>
          <w:szCs w:val="20"/>
        </w:rPr>
        <w:t>2017 Dec;</w:t>
      </w:r>
      <w:r>
        <w:rPr>
          <w:rFonts w:ascii="Times New Roman" w:hAnsi="Times New Roman" w:cs="Times New Roman"/>
          <w:sz w:val="16"/>
          <w:szCs w:val="20"/>
        </w:rPr>
        <w:t xml:space="preserve"> </w:t>
      </w:r>
      <w:r w:rsidRPr="00C737DA">
        <w:rPr>
          <w:rFonts w:ascii="Times New Roman" w:hAnsi="Times New Roman" w:cs="Times New Roman"/>
          <w:sz w:val="16"/>
          <w:szCs w:val="20"/>
        </w:rPr>
        <w:t>7(4):</w:t>
      </w:r>
      <w:r>
        <w:rPr>
          <w:rFonts w:ascii="Times New Roman" w:hAnsi="Times New Roman" w:cs="Times New Roman"/>
          <w:sz w:val="16"/>
          <w:szCs w:val="20"/>
        </w:rPr>
        <w:t xml:space="preserve"> </w:t>
      </w:r>
      <w:r w:rsidRPr="00C737DA">
        <w:rPr>
          <w:rFonts w:ascii="Times New Roman" w:hAnsi="Times New Roman" w:cs="Times New Roman"/>
          <w:sz w:val="16"/>
          <w:szCs w:val="20"/>
        </w:rPr>
        <w:t>211-218</w:t>
      </w:r>
    </w:p>
    <w:p w:rsidR="00331089" w:rsidRDefault="005C1451" w:rsidP="00860AF0">
      <w:pPr>
        <w:spacing w:line="240" w:lineRule="auto"/>
        <w:jc w:val="both"/>
        <w:rPr>
          <w:rFonts w:ascii="Times New Roman" w:hAnsi="Times New Roman" w:cs="Times New Roman"/>
          <w:sz w:val="16"/>
          <w:szCs w:val="20"/>
        </w:rPr>
      </w:pPr>
      <w:r>
        <w:rPr>
          <w:rFonts w:ascii="Times New Roman" w:hAnsi="Times New Roman" w:cs="Times New Roman"/>
          <w:sz w:val="16"/>
          <w:szCs w:val="20"/>
        </w:rPr>
        <w:t>[4] Onyango EM, Onyango BM. “</w:t>
      </w:r>
      <w:r w:rsidRPr="005C1451">
        <w:rPr>
          <w:rFonts w:ascii="Times New Roman" w:hAnsi="Times New Roman" w:cs="Times New Roman"/>
          <w:sz w:val="16"/>
          <w:szCs w:val="20"/>
        </w:rPr>
        <w:t>The Rise of Non</w:t>
      </w:r>
      <w:r>
        <w:rPr>
          <w:rFonts w:ascii="Times New Roman" w:hAnsi="Times New Roman" w:cs="Times New Roman"/>
          <w:sz w:val="16"/>
          <w:szCs w:val="20"/>
        </w:rPr>
        <w:t>-</w:t>
      </w:r>
      <w:r w:rsidRPr="005C1451">
        <w:rPr>
          <w:rFonts w:ascii="Times New Roman" w:hAnsi="Times New Roman" w:cs="Times New Roman"/>
          <w:sz w:val="16"/>
          <w:szCs w:val="20"/>
        </w:rPr>
        <w:t>communicable Diseases in Kenya: An Examination of the Time Trends and Contribution of the Changes in Diet and Physical Inactivity</w:t>
      </w:r>
      <w:r>
        <w:rPr>
          <w:rFonts w:ascii="Times New Roman" w:hAnsi="Times New Roman" w:cs="Times New Roman"/>
          <w:sz w:val="16"/>
          <w:szCs w:val="20"/>
        </w:rPr>
        <w:t xml:space="preserve">”, “Journal of Epidemiology &amp; Global Health”, </w:t>
      </w:r>
      <w:r w:rsidRPr="005C1451">
        <w:rPr>
          <w:rFonts w:ascii="Times New Roman" w:hAnsi="Times New Roman" w:cs="Times New Roman"/>
          <w:sz w:val="16"/>
          <w:szCs w:val="20"/>
        </w:rPr>
        <w:t>2018 Dec;</w:t>
      </w:r>
      <w:r>
        <w:rPr>
          <w:rFonts w:ascii="Times New Roman" w:hAnsi="Times New Roman" w:cs="Times New Roman"/>
          <w:sz w:val="16"/>
          <w:szCs w:val="20"/>
        </w:rPr>
        <w:t xml:space="preserve"> </w:t>
      </w:r>
      <w:r w:rsidRPr="005C1451">
        <w:rPr>
          <w:rFonts w:ascii="Times New Roman" w:hAnsi="Times New Roman" w:cs="Times New Roman"/>
          <w:sz w:val="16"/>
          <w:szCs w:val="20"/>
        </w:rPr>
        <w:t>8(1-2):</w:t>
      </w:r>
      <w:r>
        <w:rPr>
          <w:rFonts w:ascii="Times New Roman" w:hAnsi="Times New Roman" w:cs="Times New Roman"/>
          <w:sz w:val="16"/>
          <w:szCs w:val="20"/>
        </w:rPr>
        <w:t xml:space="preserve"> </w:t>
      </w:r>
      <w:r w:rsidRPr="005C1451">
        <w:rPr>
          <w:rFonts w:ascii="Times New Roman" w:hAnsi="Times New Roman" w:cs="Times New Roman"/>
          <w:sz w:val="16"/>
          <w:szCs w:val="20"/>
        </w:rPr>
        <w:t>1-7</w:t>
      </w:r>
    </w:p>
    <w:p w:rsidR="00331089" w:rsidRDefault="00331089" w:rsidP="00860AF0">
      <w:pPr>
        <w:spacing w:line="240" w:lineRule="auto"/>
        <w:jc w:val="both"/>
        <w:rPr>
          <w:rFonts w:ascii="Times New Roman" w:hAnsi="Times New Roman" w:cs="Times New Roman"/>
          <w:bCs/>
          <w:sz w:val="16"/>
          <w:szCs w:val="20"/>
        </w:rPr>
      </w:pPr>
      <w:r w:rsidRPr="00331089">
        <w:rPr>
          <w:rFonts w:ascii="Times New Roman" w:hAnsi="Times New Roman" w:cs="Times New Roman"/>
          <w:bCs/>
          <w:sz w:val="16"/>
          <w:szCs w:val="20"/>
        </w:rPr>
        <w:t>[5] Wu Y, Zhang W et al. “Risk Factors Contributing to Type 2 Diabetes and Recent Advances in the Treatment and Prevention”, “International Journal of Medical Sciences”, 2014; 11(11): 1185-1200</w:t>
      </w:r>
    </w:p>
    <w:p w:rsidR="00331089" w:rsidRPr="00331089" w:rsidRDefault="00331089" w:rsidP="00860AF0">
      <w:pPr>
        <w:spacing w:line="240" w:lineRule="auto"/>
        <w:jc w:val="both"/>
        <w:rPr>
          <w:rFonts w:ascii="Times New Roman" w:hAnsi="Times New Roman" w:cs="Times New Roman"/>
          <w:sz w:val="16"/>
          <w:szCs w:val="20"/>
        </w:rPr>
      </w:pPr>
      <w:r w:rsidRPr="00331089">
        <w:rPr>
          <w:rFonts w:ascii="Times New Roman" w:hAnsi="Times New Roman" w:cs="Times New Roman"/>
          <w:bCs/>
          <w:sz w:val="16"/>
          <w:szCs w:val="20"/>
        </w:rPr>
        <w:t>[6] Tripathi BK, Srivastava AK. “Diabetes mellitus: complications and therapeutics”, “Medical Science Monitor”, 2006 Jul; 12(7): RA130-147</w:t>
      </w:r>
    </w:p>
    <w:p w:rsidR="00331089" w:rsidRDefault="00331089" w:rsidP="00860AF0">
      <w:pPr>
        <w:pStyle w:val="Heading1"/>
        <w:jc w:val="both"/>
        <w:rPr>
          <w:rFonts w:eastAsiaTheme="minorHAnsi"/>
          <w:b w:val="0"/>
          <w:kern w:val="0"/>
          <w:sz w:val="16"/>
          <w:szCs w:val="20"/>
        </w:rPr>
      </w:pPr>
      <w:r>
        <w:rPr>
          <w:rFonts w:eastAsiaTheme="minorHAnsi"/>
          <w:b w:val="0"/>
          <w:bCs w:val="0"/>
          <w:kern w:val="0"/>
          <w:sz w:val="16"/>
          <w:szCs w:val="20"/>
        </w:rPr>
        <w:t xml:space="preserve">[7] Chen L, </w:t>
      </w:r>
      <w:r w:rsidRPr="00331089">
        <w:rPr>
          <w:rFonts w:eastAsiaTheme="minorHAnsi"/>
          <w:b w:val="0"/>
          <w:kern w:val="0"/>
          <w:sz w:val="16"/>
          <w:szCs w:val="20"/>
        </w:rPr>
        <w:t>Magliano DJ, Zimmet PZ. “The worldwide epidemiology of type 2 diabetes mellitus--present and future perspectives</w:t>
      </w:r>
      <w:r>
        <w:rPr>
          <w:rFonts w:eastAsiaTheme="minorHAnsi"/>
          <w:b w:val="0"/>
          <w:kern w:val="0"/>
          <w:sz w:val="16"/>
          <w:szCs w:val="20"/>
        </w:rPr>
        <w:t xml:space="preserve">”, “Nature reviews endocrinology”, </w:t>
      </w:r>
      <w:r w:rsidRPr="00331089">
        <w:rPr>
          <w:rFonts w:eastAsiaTheme="minorHAnsi"/>
          <w:b w:val="0"/>
          <w:kern w:val="0"/>
          <w:sz w:val="16"/>
          <w:szCs w:val="20"/>
        </w:rPr>
        <w:t>2011 Nov 8;</w:t>
      </w:r>
      <w:r>
        <w:rPr>
          <w:rFonts w:eastAsiaTheme="minorHAnsi"/>
          <w:b w:val="0"/>
          <w:kern w:val="0"/>
          <w:sz w:val="16"/>
          <w:szCs w:val="20"/>
        </w:rPr>
        <w:t xml:space="preserve"> </w:t>
      </w:r>
      <w:r w:rsidRPr="00331089">
        <w:rPr>
          <w:rFonts w:eastAsiaTheme="minorHAnsi"/>
          <w:b w:val="0"/>
          <w:kern w:val="0"/>
          <w:sz w:val="16"/>
          <w:szCs w:val="20"/>
        </w:rPr>
        <w:t>8(4):</w:t>
      </w:r>
      <w:r>
        <w:rPr>
          <w:rFonts w:eastAsiaTheme="minorHAnsi"/>
          <w:b w:val="0"/>
          <w:kern w:val="0"/>
          <w:sz w:val="16"/>
          <w:szCs w:val="20"/>
        </w:rPr>
        <w:t xml:space="preserve"> </w:t>
      </w:r>
      <w:r w:rsidRPr="00331089">
        <w:rPr>
          <w:rFonts w:eastAsiaTheme="minorHAnsi"/>
          <w:b w:val="0"/>
          <w:kern w:val="0"/>
          <w:sz w:val="16"/>
          <w:szCs w:val="20"/>
        </w:rPr>
        <w:t>228-</w:t>
      </w:r>
      <w:r>
        <w:rPr>
          <w:rFonts w:eastAsiaTheme="minorHAnsi"/>
          <w:b w:val="0"/>
          <w:kern w:val="0"/>
          <w:sz w:val="16"/>
          <w:szCs w:val="20"/>
        </w:rPr>
        <w:t>2</w:t>
      </w:r>
      <w:r w:rsidRPr="00331089">
        <w:rPr>
          <w:rFonts w:eastAsiaTheme="minorHAnsi"/>
          <w:b w:val="0"/>
          <w:kern w:val="0"/>
          <w:sz w:val="16"/>
          <w:szCs w:val="20"/>
        </w:rPr>
        <w:t>36</w:t>
      </w:r>
    </w:p>
    <w:p w:rsidR="00331089" w:rsidRDefault="00331089" w:rsidP="00860AF0">
      <w:pPr>
        <w:pStyle w:val="Heading1"/>
        <w:jc w:val="both"/>
        <w:rPr>
          <w:rFonts w:eastAsiaTheme="minorHAnsi"/>
          <w:b w:val="0"/>
          <w:kern w:val="0"/>
          <w:sz w:val="16"/>
          <w:szCs w:val="20"/>
        </w:rPr>
      </w:pPr>
      <w:r>
        <w:rPr>
          <w:rFonts w:eastAsiaTheme="minorHAnsi"/>
          <w:b w:val="0"/>
          <w:kern w:val="0"/>
          <w:sz w:val="16"/>
          <w:szCs w:val="20"/>
        </w:rPr>
        <w:t xml:space="preserve">[8] </w:t>
      </w:r>
      <w:r w:rsidR="00545913">
        <w:rPr>
          <w:rFonts w:eastAsiaTheme="minorHAnsi"/>
          <w:b w:val="0"/>
          <w:kern w:val="0"/>
          <w:sz w:val="16"/>
          <w:szCs w:val="20"/>
        </w:rPr>
        <w:t>Wild S, Green A e</w:t>
      </w:r>
      <w:r>
        <w:rPr>
          <w:rFonts w:eastAsiaTheme="minorHAnsi"/>
          <w:b w:val="0"/>
          <w:kern w:val="0"/>
          <w:sz w:val="16"/>
          <w:szCs w:val="20"/>
        </w:rPr>
        <w:t>t al. “</w:t>
      </w:r>
      <w:r w:rsidRPr="00331089">
        <w:rPr>
          <w:rFonts w:eastAsiaTheme="minorHAnsi"/>
          <w:b w:val="0"/>
          <w:kern w:val="0"/>
          <w:sz w:val="16"/>
          <w:szCs w:val="20"/>
        </w:rPr>
        <w:t>Global prevalence of diabetes: estimates for the year 2000 and projections for 2030</w:t>
      </w:r>
      <w:r>
        <w:rPr>
          <w:rFonts w:eastAsiaTheme="minorHAnsi"/>
          <w:b w:val="0"/>
          <w:kern w:val="0"/>
          <w:sz w:val="16"/>
          <w:szCs w:val="20"/>
        </w:rPr>
        <w:t xml:space="preserve">”, “Diabetes Care”, </w:t>
      </w:r>
      <w:r w:rsidRPr="00331089">
        <w:rPr>
          <w:rFonts w:eastAsiaTheme="minorHAnsi"/>
          <w:b w:val="0"/>
          <w:kern w:val="0"/>
          <w:sz w:val="16"/>
          <w:szCs w:val="20"/>
        </w:rPr>
        <w:t>2004 May;</w:t>
      </w:r>
      <w:r>
        <w:rPr>
          <w:rFonts w:eastAsiaTheme="minorHAnsi"/>
          <w:b w:val="0"/>
          <w:kern w:val="0"/>
          <w:sz w:val="16"/>
          <w:szCs w:val="20"/>
        </w:rPr>
        <w:t xml:space="preserve"> </w:t>
      </w:r>
      <w:r w:rsidRPr="00331089">
        <w:rPr>
          <w:rFonts w:eastAsiaTheme="minorHAnsi"/>
          <w:b w:val="0"/>
          <w:kern w:val="0"/>
          <w:sz w:val="16"/>
          <w:szCs w:val="20"/>
        </w:rPr>
        <w:t>27(5):</w:t>
      </w:r>
      <w:r>
        <w:rPr>
          <w:rFonts w:eastAsiaTheme="minorHAnsi"/>
          <w:b w:val="0"/>
          <w:kern w:val="0"/>
          <w:sz w:val="16"/>
          <w:szCs w:val="20"/>
        </w:rPr>
        <w:t xml:space="preserve"> </w:t>
      </w:r>
      <w:r w:rsidRPr="00331089">
        <w:rPr>
          <w:rFonts w:eastAsiaTheme="minorHAnsi"/>
          <w:b w:val="0"/>
          <w:kern w:val="0"/>
          <w:sz w:val="16"/>
          <w:szCs w:val="20"/>
        </w:rPr>
        <w:t>1047-</w:t>
      </w:r>
      <w:r>
        <w:rPr>
          <w:rFonts w:eastAsiaTheme="minorHAnsi"/>
          <w:b w:val="0"/>
          <w:kern w:val="0"/>
          <w:sz w:val="16"/>
          <w:szCs w:val="20"/>
        </w:rPr>
        <w:t>10</w:t>
      </w:r>
      <w:r w:rsidRPr="00331089">
        <w:rPr>
          <w:rFonts w:eastAsiaTheme="minorHAnsi"/>
          <w:b w:val="0"/>
          <w:kern w:val="0"/>
          <w:sz w:val="16"/>
          <w:szCs w:val="20"/>
        </w:rPr>
        <w:t>53</w:t>
      </w:r>
    </w:p>
    <w:p w:rsidR="00D113BB" w:rsidRDefault="00D113BB" w:rsidP="00860AF0">
      <w:pPr>
        <w:pStyle w:val="Heading1"/>
        <w:jc w:val="both"/>
        <w:rPr>
          <w:rFonts w:eastAsiaTheme="minorHAnsi"/>
          <w:b w:val="0"/>
          <w:kern w:val="0"/>
          <w:sz w:val="16"/>
          <w:szCs w:val="20"/>
        </w:rPr>
      </w:pPr>
      <w:r>
        <w:rPr>
          <w:rFonts w:eastAsiaTheme="minorHAnsi"/>
          <w:b w:val="0"/>
          <w:kern w:val="0"/>
          <w:sz w:val="16"/>
          <w:szCs w:val="20"/>
        </w:rPr>
        <w:t>[9] Cullmann M, Hilding A, Ostenson CG. “</w:t>
      </w:r>
      <w:r w:rsidRPr="00D113BB">
        <w:rPr>
          <w:rFonts w:eastAsiaTheme="minorHAnsi"/>
          <w:b w:val="0"/>
          <w:kern w:val="0"/>
          <w:sz w:val="16"/>
          <w:szCs w:val="20"/>
        </w:rPr>
        <w:t>Alcohol consumption and risk of pre-diabetes and type 2 diabetes development in a Swedish population</w:t>
      </w:r>
      <w:r>
        <w:rPr>
          <w:rFonts w:eastAsiaTheme="minorHAnsi"/>
          <w:b w:val="0"/>
          <w:kern w:val="0"/>
          <w:sz w:val="16"/>
          <w:szCs w:val="20"/>
        </w:rPr>
        <w:t xml:space="preserve">”, Diabetic Medicine”, </w:t>
      </w:r>
      <w:r w:rsidRPr="00D113BB">
        <w:rPr>
          <w:rFonts w:eastAsiaTheme="minorHAnsi"/>
          <w:b w:val="0"/>
          <w:kern w:val="0"/>
          <w:sz w:val="16"/>
          <w:szCs w:val="20"/>
        </w:rPr>
        <w:t>2012 Apr;</w:t>
      </w:r>
      <w:r>
        <w:rPr>
          <w:rFonts w:eastAsiaTheme="minorHAnsi"/>
          <w:b w:val="0"/>
          <w:kern w:val="0"/>
          <w:sz w:val="16"/>
          <w:szCs w:val="20"/>
        </w:rPr>
        <w:t xml:space="preserve"> </w:t>
      </w:r>
      <w:r w:rsidRPr="00D113BB">
        <w:rPr>
          <w:rFonts w:eastAsiaTheme="minorHAnsi"/>
          <w:b w:val="0"/>
          <w:kern w:val="0"/>
          <w:sz w:val="16"/>
          <w:szCs w:val="20"/>
        </w:rPr>
        <w:t>29(4):</w:t>
      </w:r>
      <w:r>
        <w:rPr>
          <w:rFonts w:eastAsiaTheme="minorHAnsi"/>
          <w:b w:val="0"/>
          <w:kern w:val="0"/>
          <w:sz w:val="16"/>
          <w:szCs w:val="20"/>
        </w:rPr>
        <w:t xml:space="preserve"> </w:t>
      </w:r>
      <w:r w:rsidRPr="00D113BB">
        <w:rPr>
          <w:rFonts w:eastAsiaTheme="minorHAnsi"/>
          <w:b w:val="0"/>
          <w:kern w:val="0"/>
          <w:sz w:val="16"/>
          <w:szCs w:val="20"/>
        </w:rPr>
        <w:t>441-</w:t>
      </w:r>
      <w:r>
        <w:rPr>
          <w:rFonts w:eastAsiaTheme="minorHAnsi"/>
          <w:b w:val="0"/>
          <w:kern w:val="0"/>
          <w:sz w:val="16"/>
          <w:szCs w:val="20"/>
        </w:rPr>
        <w:t>4</w:t>
      </w:r>
      <w:r w:rsidRPr="00D113BB">
        <w:rPr>
          <w:rFonts w:eastAsiaTheme="minorHAnsi"/>
          <w:b w:val="0"/>
          <w:kern w:val="0"/>
          <w:sz w:val="16"/>
          <w:szCs w:val="20"/>
        </w:rPr>
        <w:t>52</w:t>
      </w:r>
    </w:p>
    <w:p w:rsidR="00D113BB" w:rsidRDefault="00D113BB" w:rsidP="00860AF0">
      <w:pPr>
        <w:pStyle w:val="Heading1"/>
        <w:jc w:val="both"/>
        <w:rPr>
          <w:rFonts w:eastAsiaTheme="minorHAnsi"/>
          <w:b w:val="0"/>
          <w:kern w:val="0"/>
          <w:sz w:val="16"/>
          <w:szCs w:val="20"/>
        </w:rPr>
      </w:pPr>
      <w:r>
        <w:rPr>
          <w:rFonts w:eastAsiaTheme="minorHAnsi"/>
          <w:b w:val="0"/>
          <w:kern w:val="0"/>
          <w:sz w:val="16"/>
          <w:szCs w:val="20"/>
        </w:rPr>
        <w:t>[10] Hu FB, Manson JE et al. “</w:t>
      </w:r>
      <w:r w:rsidRPr="00D113BB">
        <w:rPr>
          <w:rFonts w:eastAsiaTheme="minorHAnsi"/>
          <w:b w:val="0"/>
          <w:kern w:val="0"/>
          <w:sz w:val="16"/>
          <w:szCs w:val="20"/>
        </w:rPr>
        <w:t>Diet, lifestyle, and the risk of type 2 diabetes mellitus in women</w:t>
      </w:r>
      <w:r>
        <w:rPr>
          <w:rFonts w:eastAsiaTheme="minorHAnsi"/>
          <w:b w:val="0"/>
          <w:kern w:val="0"/>
          <w:sz w:val="16"/>
          <w:szCs w:val="20"/>
        </w:rPr>
        <w:t xml:space="preserve">”, “The New England Journal of Medicine”, </w:t>
      </w:r>
      <w:r w:rsidRPr="00D113BB">
        <w:rPr>
          <w:rFonts w:eastAsiaTheme="minorHAnsi"/>
          <w:b w:val="0"/>
          <w:kern w:val="0"/>
          <w:sz w:val="16"/>
          <w:szCs w:val="20"/>
        </w:rPr>
        <w:t>2001 Sep 13;</w:t>
      </w:r>
      <w:r>
        <w:rPr>
          <w:rFonts w:eastAsiaTheme="minorHAnsi"/>
          <w:b w:val="0"/>
          <w:kern w:val="0"/>
          <w:sz w:val="16"/>
          <w:szCs w:val="20"/>
        </w:rPr>
        <w:t xml:space="preserve"> </w:t>
      </w:r>
      <w:r w:rsidRPr="00D113BB">
        <w:rPr>
          <w:rFonts w:eastAsiaTheme="minorHAnsi"/>
          <w:b w:val="0"/>
          <w:kern w:val="0"/>
          <w:sz w:val="16"/>
          <w:szCs w:val="20"/>
        </w:rPr>
        <w:t>345(11):</w:t>
      </w:r>
      <w:r>
        <w:rPr>
          <w:rFonts w:eastAsiaTheme="minorHAnsi"/>
          <w:b w:val="0"/>
          <w:kern w:val="0"/>
          <w:sz w:val="16"/>
          <w:szCs w:val="20"/>
        </w:rPr>
        <w:t xml:space="preserve"> </w:t>
      </w:r>
      <w:r w:rsidRPr="00D113BB">
        <w:rPr>
          <w:rFonts w:eastAsiaTheme="minorHAnsi"/>
          <w:b w:val="0"/>
          <w:kern w:val="0"/>
          <w:sz w:val="16"/>
          <w:szCs w:val="20"/>
        </w:rPr>
        <w:t>790-</w:t>
      </w:r>
      <w:r>
        <w:rPr>
          <w:rFonts w:eastAsiaTheme="minorHAnsi"/>
          <w:b w:val="0"/>
          <w:kern w:val="0"/>
          <w:sz w:val="16"/>
          <w:szCs w:val="20"/>
        </w:rPr>
        <w:t>79</w:t>
      </w:r>
      <w:r w:rsidRPr="00D113BB">
        <w:rPr>
          <w:rFonts w:eastAsiaTheme="minorHAnsi"/>
          <w:b w:val="0"/>
          <w:kern w:val="0"/>
          <w:sz w:val="16"/>
          <w:szCs w:val="20"/>
        </w:rPr>
        <w:t>7</w:t>
      </w:r>
    </w:p>
    <w:p w:rsidR="00545913" w:rsidRDefault="00D113BB" w:rsidP="00860AF0">
      <w:pPr>
        <w:pStyle w:val="Heading1"/>
        <w:jc w:val="both"/>
        <w:rPr>
          <w:rFonts w:eastAsiaTheme="minorHAnsi"/>
          <w:b w:val="0"/>
          <w:kern w:val="0"/>
          <w:sz w:val="16"/>
          <w:szCs w:val="20"/>
        </w:rPr>
      </w:pPr>
      <w:r>
        <w:rPr>
          <w:rFonts w:eastAsiaTheme="minorHAnsi"/>
          <w:b w:val="0"/>
          <w:kern w:val="0"/>
          <w:sz w:val="16"/>
          <w:szCs w:val="20"/>
        </w:rPr>
        <w:t>[11] Belkina AC, Denis GV. “Obesity genes and insulin resistance”, “</w:t>
      </w:r>
      <w:r w:rsidRPr="00D113BB">
        <w:rPr>
          <w:rFonts w:eastAsiaTheme="minorHAnsi"/>
          <w:b w:val="0"/>
          <w:kern w:val="0"/>
          <w:sz w:val="16"/>
          <w:szCs w:val="20"/>
        </w:rPr>
        <w:t>Current Opinion in Endocrinology, Diabetes and Obesity</w:t>
      </w:r>
      <w:r>
        <w:rPr>
          <w:rFonts w:eastAsiaTheme="minorHAnsi"/>
          <w:b w:val="0"/>
          <w:kern w:val="0"/>
          <w:sz w:val="16"/>
          <w:szCs w:val="20"/>
        </w:rPr>
        <w:t xml:space="preserve">”, </w:t>
      </w:r>
      <w:r w:rsidRPr="00D113BB">
        <w:rPr>
          <w:rFonts w:eastAsiaTheme="minorHAnsi"/>
          <w:b w:val="0"/>
          <w:kern w:val="0"/>
          <w:sz w:val="16"/>
          <w:szCs w:val="20"/>
        </w:rPr>
        <w:t>2010 Oct;</w:t>
      </w:r>
      <w:r>
        <w:rPr>
          <w:rFonts w:eastAsiaTheme="minorHAnsi"/>
          <w:b w:val="0"/>
          <w:kern w:val="0"/>
          <w:sz w:val="16"/>
          <w:szCs w:val="20"/>
        </w:rPr>
        <w:t xml:space="preserve"> </w:t>
      </w:r>
      <w:r w:rsidRPr="00D113BB">
        <w:rPr>
          <w:rFonts w:eastAsiaTheme="minorHAnsi"/>
          <w:b w:val="0"/>
          <w:kern w:val="0"/>
          <w:sz w:val="16"/>
          <w:szCs w:val="20"/>
        </w:rPr>
        <w:t>17(5):</w:t>
      </w:r>
      <w:r>
        <w:rPr>
          <w:rFonts w:eastAsiaTheme="minorHAnsi"/>
          <w:b w:val="0"/>
          <w:kern w:val="0"/>
          <w:sz w:val="16"/>
          <w:szCs w:val="20"/>
        </w:rPr>
        <w:t xml:space="preserve"> </w:t>
      </w:r>
      <w:r w:rsidRPr="00D113BB">
        <w:rPr>
          <w:rFonts w:eastAsiaTheme="minorHAnsi"/>
          <w:b w:val="0"/>
          <w:kern w:val="0"/>
          <w:sz w:val="16"/>
          <w:szCs w:val="20"/>
        </w:rPr>
        <w:t>472-</w:t>
      </w:r>
      <w:r>
        <w:rPr>
          <w:rFonts w:eastAsiaTheme="minorHAnsi"/>
          <w:b w:val="0"/>
          <w:kern w:val="0"/>
          <w:sz w:val="16"/>
          <w:szCs w:val="20"/>
        </w:rPr>
        <w:t>477</w:t>
      </w:r>
    </w:p>
    <w:p w:rsidR="00545913" w:rsidRDefault="00545913" w:rsidP="00860AF0">
      <w:pPr>
        <w:pStyle w:val="Heading1"/>
        <w:jc w:val="both"/>
        <w:rPr>
          <w:rFonts w:eastAsiaTheme="minorHAnsi"/>
          <w:b w:val="0"/>
          <w:kern w:val="0"/>
          <w:sz w:val="16"/>
          <w:szCs w:val="20"/>
        </w:rPr>
      </w:pPr>
      <w:r>
        <w:rPr>
          <w:rFonts w:eastAsiaTheme="minorHAnsi"/>
          <w:b w:val="0"/>
          <w:kern w:val="0"/>
          <w:sz w:val="16"/>
          <w:szCs w:val="20"/>
        </w:rPr>
        <w:t>[12] Buse JB, Davies MJ et al. “</w:t>
      </w:r>
      <w:r w:rsidRPr="00545913">
        <w:rPr>
          <w:rFonts w:eastAsiaTheme="minorHAnsi"/>
          <w:b w:val="0"/>
          <w:kern w:val="0"/>
          <w:sz w:val="16"/>
          <w:szCs w:val="20"/>
        </w:rPr>
        <w:t>Management of Hyperglycemia in Type 2 Diabetes, 2018. A Consensus Report by the American Diabetes Association (ADA) and the European Association for the Study of Diabetes (EASD)</w:t>
      </w:r>
      <w:r>
        <w:rPr>
          <w:rFonts w:eastAsiaTheme="minorHAnsi"/>
          <w:b w:val="0"/>
          <w:kern w:val="0"/>
          <w:sz w:val="16"/>
          <w:szCs w:val="20"/>
        </w:rPr>
        <w:t xml:space="preserve">”, “Diabetes Care”, </w:t>
      </w:r>
      <w:r w:rsidRPr="00545913">
        <w:rPr>
          <w:rFonts w:eastAsiaTheme="minorHAnsi"/>
          <w:b w:val="0"/>
          <w:kern w:val="0"/>
          <w:sz w:val="16"/>
          <w:szCs w:val="20"/>
        </w:rPr>
        <w:t>2018 Dec; 41(12): 2669–2701</w:t>
      </w:r>
    </w:p>
    <w:p w:rsidR="00545913" w:rsidRDefault="00545913" w:rsidP="00860AF0">
      <w:pPr>
        <w:pStyle w:val="Heading1"/>
        <w:jc w:val="both"/>
        <w:rPr>
          <w:b w:val="0"/>
          <w:color w:val="212121"/>
          <w:sz w:val="16"/>
          <w:szCs w:val="16"/>
          <w:shd w:val="clear" w:color="auto" w:fill="FFFFFF"/>
        </w:rPr>
      </w:pPr>
      <w:r>
        <w:rPr>
          <w:rFonts w:eastAsiaTheme="minorHAnsi"/>
          <w:b w:val="0"/>
          <w:kern w:val="0"/>
          <w:sz w:val="16"/>
          <w:szCs w:val="20"/>
        </w:rPr>
        <w:t>[13] Buse JB, Wexler DJ et al. “</w:t>
      </w:r>
      <w:r w:rsidRPr="00545913">
        <w:rPr>
          <w:rFonts w:eastAsiaTheme="minorHAnsi"/>
          <w:b w:val="0"/>
          <w:kern w:val="0"/>
          <w:sz w:val="16"/>
          <w:szCs w:val="20"/>
        </w:rPr>
        <w:t>2019 Update to: Management of Hyperglycemia in Type 2 Diabetes, 2018. A Consensus Report by the American Diabetes Association (ADA) and the European Association for the Study of Diabetes (EASD)</w:t>
      </w:r>
      <w:r>
        <w:rPr>
          <w:rFonts w:eastAsiaTheme="minorHAnsi"/>
          <w:b w:val="0"/>
          <w:kern w:val="0"/>
          <w:sz w:val="16"/>
          <w:szCs w:val="20"/>
        </w:rPr>
        <w:t xml:space="preserve">”, “Diabetes Care”, </w:t>
      </w:r>
      <w:r w:rsidRPr="00545913">
        <w:rPr>
          <w:b w:val="0"/>
          <w:color w:val="212121"/>
          <w:sz w:val="16"/>
          <w:szCs w:val="16"/>
          <w:shd w:val="clear" w:color="auto" w:fill="FFFFFF"/>
        </w:rPr>
        <w:t>2020 Jul; 43(7): 1670</w:t>
      </w:r>
    </w:p>
    <w:p w:rsidR="004D0852" w:rsidRDefault="004D0852" w:rsidP="00860AF0">
      <w:pPr>
        <w:shd w:val="clear" w:color="auto" w:fill="FFFFFF"/>
        <w:jc w:val="both"/>
        <w:rPr>
          <w:rFonts w:ascii="Times New Roman" w:hAnsi="Times New Roman" w:cs="Times New Roman"/>
          <w:bCs/>
          <w:sz w:val="16"/>
          <w:szCs w:val="20"/>
        </w:rPr>
      </w:pPr>
      <w:r w:rsidRPr="004D0852">
        <w:rPr>
          <w:rFonts w:ascii="Times New Roman" w:hAnsi="Times New Roman" w:cs="Times New Roman"/>
          <w:color w:val="212121"/>
          <w:sz w:val="16"/>
          <w:szCs w:val="16"/>
          <w:shd w:val="clear" w:color="auto" w:fill="FFFFFF"/>
        </w:rPr>
        <w:t>[14]</w:t>
      </w:r>
      <w:r w:rsidRPr="004D0852">
        <w:rPr>
          <w:rFonts w:ascii="Times New Roman" w:hAnsi="Times New Roman" w:cs="Times New Roman"/>
          <w:b/>
          <w:color w:val="212121"/>
          <w:sz w:val="16"/>
          <w:szCs w:val="16"/>
          <w:shd w:val="clear" w:color="auto" w:fill="FFFFFF"/>
        </w:rPr>
        <w:t xml:space="preserve"> </w:t>
      </w:r>
      <w:r w:rsidRPr="004D0852">
        <w:rPr>
          <w:rFonts w:ascii="Times New Roman" w:hAnsi="Times New Roman" w:cs="Times New Roman"/>
          <w:color w:val="212121"/>
          <w:sz w:val="16"/>
          <w:szCs w:val="16"/>
          <w:shd w:val="clear" w:color="auto" w:fill="FFFFFF"/>
        </w:rPr>
        <w:t>Feingold KR, Anawalt</w:t>
      </w:r>
      <w:r w:rsidRPr="004D0852">
        <w:rPr>
          <w:rFonts w:ascii="Times New Roman" w:hAnsi="Times New Roman" w:cs="Times New Roman"/>
          <w:b/>
          <w:color w:val="212121"/>
          <w:sz w:val="16"/>
          <w:szCs w:val="16"/>
          <w:shd w:val="clear" w:color="auto" w:fill="FFFFFF"/>
        </w:rPr>
        <w:t xml:space="preserve"> </w:t>
      </w:r>
      <w:r w:rsidRPr="004D0852">
        <w:rPr>
          <w:rFonts w:ascii="Times New Roman" w:hAnsi="Times New Roman" w:cs="Times New Roman"/>
          <w:bCs/>
          <w:sz w:val="16"/>
          <w:szCs w:val="20"/>
        </w:rPr>
        <w:t>B et al. “Oral and Injectable (Non-Insulin) Pharmacological Agents for the Treatment of Type 2 Diabetes”, South Dartmouth (MA): MDText.com, Inc.; 2000. 2022 Aug 26</w:t>
      </w:r>
    </w:p>
    <w:p w:rsidR="00331089" w:rsidRDefault="004D0852" w:rsidP="00860AF0">
      <w:pPr>
        <w:shd w:val="clear" w:color="auto" w:fill="FFFFFF"/>
        <w:jc w:val="both"/>
        <w:rPr>
          <w:rFonts w:ascii="Times New Roman" w:hAnsi="Times New Roman" w:cs="Times New Roman"/>
          <w:bCs/>
          <w:sz w:val="16"/>
          <w:szCs w:val="20"/>
        </w:rPr>
      </w:pPr>
      <w:r w:rsidRPr="004D0852">
        <w:rPr>
          <w:rFonts w:ascii="Times New Roman" w:hAnsi="Times New Roman" w:cs="Times New Roman"/>
          <w:color w:val="212121"/>
          <w:sz w:val="16"/>
          <w:szCs w:val="16"/>
          <w:shd w:val="clear" w:color="auto" w:fill="FFFFFF"/>
        </w:rPr>
        <w:t xml:space="preserve">[15] </w:t>
      </w:r>
      <w:r w:rsidRPr="003A0C39">
        <w:rPr>
          <w:rFonts w:ascii="Times New Roman" w:hAnsi="Times New Roman" w:cs="Times New Roman"/>
          <w:bCs/>
          <w:sz w:val="16"/>
          <w:szCs w:val="20"/>
        </w:rPr>
        <w:t>Lebovitz HE. “</w:t>
      </w:r>
      <w:r w:rsidR="003A0C39" w:rsidRPr="003A0C39">
        <w:rPr>
          <w:rFonts w:ascii="Times New Roman" w:hAnsi="Times New Roman" w:cs="Times New Roman"/>
          <w:bCs/>
          <w:sz w:val="16"/>
          <w:szCs w:val="20"/>
        </w:rPr>
        <w:t>Thiazolidinediones: the Forgotten Diabetes Medications</w:t>
      </w:r>
      <w:r w:rsidR="003A0C39">
        <w:rPr>
          <w:rFonts w:ascii="Times New Roman" w:hAnsi="Times New Roman" w:cs="Times New Roman"/>
          <w:bCs/>
          <w:sz w:val="16"/>
          <w:szCs w:val="20"/>
        </w:rPr>
        <w:t xml:space="preserve">”, “Current Diabetes Reports”, </w:t>
      </w:r>
      <w:r w:rsidR="003A0C39" w:rsidRPr="003A0C39">
        <w:rPr>
          <w:rFonts w:ascii="Times New Roman" w:hAnsi="Times New Roman" w:cs="Times New Roman"/>
          <w:bCs/>
          <w:sz w:val="16"/>
          <w:szCs w:val="20"/>
        </w:rPr>
        <w:t>2019 Nov 27;</w:t>
      </w:r>
      <w:r w:rsidR="003A0C39">
        <w:rPr>
          <w:rFonts w:ascii="Times New Roman" w:hAnsi="Times New Roman" w:cs="Times New Roman"/>
          <w:bCs/>
          <w:sz w:val="16"/>
          <w:szCs w:val="20"/>
        </w:rPr>
        <w:t xml:space="preserve"> 19(12): </w:t>
      </w:r>
      <w:r w:rsidR="003A0C39" w:rsidRPr="003A0C39">
        <w:rPr>
          <w:rFonts w:ascii="Times New Roman" w:hAnsi="Times New Roman" w:cs="Times New Roman"/>
          <w:bCs/>
          <w:sz w:val="16"/>
          <w:szCs w:val="20"/>
        </w:rPr>
        <w:t>151</w:t>
      </w:r>
    </w:p>
    <w:p w:rsidR="003A0C39" w:rsidRDefault="003A0C39"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[16] Cha BS, Bae J et al. “</w:t>
      </w:r>
      <w:r w:rsidRPr="003A0C39">
        <w:rPr>
          <w:rFonts w:ascii="Times New Roman" w:hAnsi="Times New Roman" w:cs="Times New Roman"/>
          <w:bCs/>
          <w:sz w:val="16"/>
          <w:szCs w:val="20"/>
        </w:rPr>
        <w:t>Lobeglitazone: A Novel Thiazolidinedione for the Management of Type 2 Diabetes Mellitus</w:t>
      </w:r>
      <w:r>
        <w:rPr>
          <w:rFonts w:ascii="Times New Roman" w:hAnsi="Times New Roman" w:cs="Times New Roman"/>
          <w:bCs/>
          <w:sz w:val="16"/>
          <w:szCs w:val="20"/>
        </w:rPr>
        <w:t xml:space="preserve">”, “Diabetes &amp; Metabolism Journal”, </w:t>
      </w:r>
      <w:r w:rsidRPr="003A0C39">
        <w:rPr>
          <w:rFonts w:ascii="Times New Roman" w:hAnsi="Times New Roman" w:cs="Times New Roman"/>
          <w:bCs/>
          <w:sz w:val="16"/>
          <w:szCs w:val="20"/>
        </w:rPr>
        <w:t>2021 May;</w:t>
      </w:r>
      <w:r>
        <w:rPr>
          <w:rFonts w:ascii="Times New Roman" w:hAnsi="Times New Roman" w:cs="Times New Roman"/>
          <w:bCs/>
          <w:sz w:val="16"/>
          <w:szCs w:val="20"/>
        </w:rPr>
        <w:t xml:space="preserve"> </w:t>
      </w:r>
      <w:r w:rsidRPr="003A0C39">
        <w:rPr>
          <w:rFonts w:ascii="Times New Roman" w:hAnsi="Times New Roman" w:cs="Times New Roman"/>
          <w:bCs/>
          <w:sz w:val="16"/>
          <w:szCs w:val="20"/>
        </w:rPr>
        <w:t>45(3):</w:t>
      </w:r>
      <w:r>
        <w:rPr>
          <w:rFonts w:ascii="Times New Roman" w:hAnsi="Times New Roman" w:cs="Times New Roman"/>
          <w:bCs/>
          <w:sz w:val="16"/>
          <w:szCs w:val="20"/>
        </w:rPr>
        <w:t xml:space="preserve"> </w:t>
      </w:r>
      <w:r w:rsidRPr="003A0C39">
        <w:rPr>
          <w:rFonts w:ascii="Times New Roman" w:hAnsi="Times New Roman" w:cs="Times New Roman"/>
          <w:bCs/>
          <w:sz w:val="16"/>
          <w:szCs w:val="20"/>
        </w:rPr>
        <w:t>326-336</w:t>
      </w:r>
    </w:p>
    <w:p w:rsidR="003A0C39" w:rsidRDefault="003A0C39"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lastRenderedPageBreak/>
        <w:t>[17] Lehmann JM, Moore LB et al. “</w:t>
      </w:r>
      <w:r w:rsidRPr="003A0C39">
        <w:rPr>
          <w:rFonts w:ascii="Times New Roman" w:hAnsi="Times New Roman" w:cs="Times New Roman"/>
          <w:bCs/>
          <w:sz w:val="16"/>
          <w:szCs w:val="20"/>
        </w:rPr>
        <w:t>An antidiabetic thiazolidinedione is a high affinity ligand for peroxisome proliferator-activated receptor gamma (PPAR gamma)</w:t>
      </w:r>
      <w:r>
        <w:rPr>
          <w:rFonts w:ascii="Times New Roman" w:hAnsi="Times New Roman" w:cs="Times New Roman"/>
          <w:bCs/>
          <w:sz w:val="16"/>
          <w:szCs w:val="20"/>
        </w:rPr>
        <w:t xml:space="preserve">”, “Journal of Biological Chemistry”, 1995 </w:t>
      </w:r>
      <w:r w:rsidRPr="003A0C39">
        <w:rPr>
          <w:rFonts w:ascii="Times New Roman" w:hAnsi="Times New Roman" w:cs="Times New Roman"/>
          <w:bCs/>
          <w:sz w:val="16"/>
          <w:szCs w:val="20"/>
        </w:rPr>
        <w:t>Jun 2;</w:t>
      </w:r>
      <w:r>
        <w:rPr>
          <w:rFonts w:ascii="Times New Roman" w:hAnsi="Times New Roman" w:cs="Times New Roman"/>
          <w:bCs/>
          <w:sz w:val="16"/>
          <w:szCs w:val="20"/>
        </w:rPr>
        <w:t xml:space="preserve"> </w:t>
      </w:r>
      <w:r w:rsidRPr="003A0C39">
        <w:rPr>
          <w:rFonts w:ascii="Times New Roman" w:hAnsi="Times New Roman" w:cs="Times New Roman"/>
          <w:bCs/>
          <w:sz w:val="16"/>
          <w:szCs w:val="20"/>
        </w:rPr>
        <w:t>270(22):</w:t>
      </w:r>
      <w:r>
        <w:rPr>
          <w:rFonts w:ascii="Times New Roman" w:hAnsi="Times New Roman" w:cs="Times New Roman"/>
          <w:bCs/>
          <w:sz w:val="16"/>
          <w:szCs w:val="20"/>
        </w:rPr>
        <w:t xml:space="preserve"> </w:t>
      </w:r>
      <w:r w:rsidRPr="003A0C39">
        <w:rPr>
          <w:rFonts w:ascii="Times New Roman" w:hAnsi="Times New Roman" w:cs="Times New Roman"/>
          <w:bCs/>
          <w:sz w:val="16"/>
          <w:szCs w:val="20"/>
        </w:rPr>
        <w:t>12953-</w:t>
      </w:r>
      <w:r>
        <w:rPr>
          <w:rFonts w:ascii="Times New Roman" w:hAnsi="Times New Roman" w:cs="Times New Roman"/>
          <w:bCs/>
          <w:sz w:val="16"/>
          <w:szCs w:val="20"/>
        </w:rPr>
        <w:t>12956</w:t>
      </w:r>
    </w:p>
    <w:p w:rsidR="003A0C39" w:rsidRDefault="003A0C39"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[18] Kohlroser J, Mathai J et al. “</w:t>
      </w:r>
      <w:r w:rsidRPr="003A0C39">
        <w:rPr>
          <w:rFonts w:ascii="Times New Roman" w:hAnsi="Times New Roman" w:cs="Times New Roman"/>
          <w:bCs/>
          <w:sz w:val="16"/>
          <w:szCs w:val="20"/>
        </w:rPr>
        <w:t>Hepatotoxicity due to troglitazone: report of two cases and review of adverse events reported to the United States Food and Drug Administration</w:t>
      </w:r>
      <w:r>
        <w:rPr>
          <w:rFonts w:ascii="Times New Roman" w:hAnsi="Times New Roman" w:cs="Times New Roman"/>
          <w:bCs/>
          <w:sz w:val="16"/>
          <w:szCs w:val="20"/>
        </w:rPr>
        <w:t xml:space="preserve">”, “The American Journal of Gastroenterology”, </w:t>
      </w:r>
      <w:r w:rsidRPr="003A0C39">
        <w:rPr>
          <w:rFonts w:ascii="Times New Roman" w:hAnsi="Times New Roman" w:cs="Times New Roman"/>
          <w:bCs/>
          <w:sz w:val="16"/>
          <w:szCs w:val="20"/>
        </w:rPr>
        <w:t>2000 Jan;</w:t>
      </w:r>
      <w:r>
        <w:rPr>
          <w:rFonts w:ascii="Times New Roman" w:hAnsi="Times New Roman" w:cs="Times New Roman"/>
          <w:bCs/>
          <w:sz w:val="16"/>
          <w:szCs w:val="20"/>
        </w:rPr>
        <w:t xml:space="preserve"> </w:t>
      </w:r>
      <w:r w:rsidRPr="003A0C39">
        <w:rPr>
          <w:rFonts w:ascii="Times New Roman" w:hAnsi="Times New Roman" w:cs="Times New Roman"/>
          <w:bCs/>
          <w:sz w:val="16"/>
          <w:szCs w:val="20"/>
        </w:rPr>
        <w:t>95(1):</w:t>
      </w:r>
      <w:r>
        <w:rPr>
          <w:rFonts w:ascii="Times New Roman" w:hAnsi="Times New Roman" w:cs="Times New Roman"/>
          <w:bCs/>
          <w:sz w:val="16"/>
          <w:szCs w:val="20"/>
        </w:rPr>
        <w:t xml:space="preserve"> </w:t>
      </w:r>
      <w:r w:rsidRPr="003A0C39">
        <w:rPr>
          <w:rFonts w:ascii="Times New Roman" w:hAnsi="Times New Roman" w:cs="Times New Roman"/>
          <w:bCs/>
          <w:sz w:val="16"/>
          <w:szCs w:val="20"/>
        </w:rPr>
        <w:t>272-</w:t>
      </w:r>
      <w:r>
        <w:rPr>
          <w:rFonts w:ascii="Times New Roman" w:hAnsi="Times New Roman" w:cs="Times New Roman"/>
          <w:bCs/>
          <w:sz w:val="16"/>
          <w:szCs w:val="20"/>
        </w:rPr>
        <w:t>27</w:t>
      </w:r>
      <w:r w:rsidRPr="003A0C39">
        <w:rPr>
          <w:rFonts w:ascii="Times New Roman" w:hAnsi="Times New Roman" w:cs="Times New Roman"/>
          <w:bCs/>
          <w:sz w:val="16"/>
          <w:szCs w:val="20"/>
        </w:rPr>
        <w:t>6</w:t>
      </w:r>
    </w:p>
    <w:p w:rsidR="003A0C39" w:rsidRDefault="003A0C39"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[19] Hanefeld M, Forst T et al. “</w:t>
      </w:r>
      <w:r w:rsidRPr="003A0C39">
        <w:rPr>
          <w:rFonts w:ascii="Times New Roman" w:hAnsi="Times New Roman" w:cs="Times New Roman"/>
          <w:bCs/>
          <w:sz w:val="16"/>
          <w:szCs w:val="20"/>
        </w:rPr>
        <w:t>Glycemic control and treatment failure with pioglitazone versus glibenclamide in type 2 diabetes mellitus: a 42-month, open-label, observational, primary care study</w:t>
      </w:r>
      <w:r>
        <w:rPr>
          <w:rFonts w:ascii="Times New Roman" w:hAnsi="Times New Roman" w:cs="Times New Roman"/>
          <w:bCs/>
          <w:sz w:val="16"/>
          <w:szCs w:val="20"/>
        </w:rPr>
        <w:t xml:space="preserve">”, “Current Medical Research &amp; Opinion”, </w:t>
      </w:r>
      <w:r w:rsidRPr="003A0C39">
        <w:rPr>
          <w:rFonts w:ascii="Times New Roman" w:hAnsi="Times New Roman" w:cs="Times New Roman"/>
          <w:bCs/>
          <w:sz w:val="16"/>
          <w:szCs w:val="20"/>
        </w:rPr>
        <w:t>2006 Jun;</w:t>
      </w:r>
      <w:r>
        <w:rPr>
          <w:rFonts w:ascii="Times New Roman" w:hAnsi="Times New Roman" w:cs="Times New Roman"/>
          <w:bCs/>
          <w:sz w:val="16"/>
          <w:szCs w:val="20"/>
        </w:rPr>
        <w:t xml:space="preserve"> </w:t>
      </w:r>
      <w:r w:rsidRPr="003A0C39">
        <w:rPr>
          <w:rFonts w:ascii="Times New Roman" w:hAnsi="Times New Roman" w:cs="Times New Roman"/>
          <w:bCs/>
          <w:sz w:val="16"/>
          <w:szCs w:val="20"/>
        </w:rPr>
        <w:t>22(6):</w:t>
      </w:r>
      <w:r>
        <w:rPr>
          <w:rFonts w:ascii="Times New Roman" w:hAnsi="Times New Roman" w:cs="Times New Roman"/>
          <w:bCs/>
          <w:sz w:val="16"/>
          <w:szCs w:val="20"/>
        </w:rPr>
        <w:t xml:space="preserve"> </w:t>
      </w:r>
      <w:r w:rsidRPr="003A0C39">
        <w:rPr>
          <w:rFonts w:ascii="Times New Roman" w:hAnsi="Times New Roman" w:cs="Times New Roman"/>
          <w:bCs/>
          <w:sz w:val="16"/>
          <w:szCs w:val="20"/>
        </w:rPr>
        <w:t>1211-</w:t>
      </w:r>
      <w:r>
        <w:rPr>
          <w:rFonts w:ascii="Times New Roman" w:hAnsi="Times New Roman" w:cs="Times New Roman"/>
          <w:bCs/>
          <w:sz w:val="16"/>
          <w:szCs w:val="20"/>
        </w:rPr>
        <w:t>121</w:t>
      </w:r>
      <w:r w:rsidRPr="003A0C39">
        <w:rPr>
          <w:rFonts w:ascii="Times New Roman" w:hAnsi="Times New Roman" w:cs="Times New Roman"/>
          <w:bCs/>
          <w:sz w:val="16"/>
          <w:szCs w:val="20"/>
        </w:rPr>
        <w:t>5</w:t>
      </w:r>
    </w:p>
    <w:p w:rsidR="003A0C39" w:rsidRDefault="003A0C39"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[20] Kahn SE, </w:t>
      </w:r>
      <w:r w:rsidRPr="003A0C39">
        <w:rPr>
          <w:rFonts w:ascii="Times New Roman" w:hAnsi="Times New Roman" w:cs="Times New Roman"/>
          <w:color w:val="212121"/>
          <w:sz w:val="16"/>
          <w:szCs w:val="16"/>
          <w:shd w:val="clear" w:color="auto" w:fill="FFFFFF"/>
        </w:rPr>
        <w:t>Haffner SM et al. “Glycemic durability of rosiglitazone, metformin, or glyburide monotherapy</w:t>
      </w:r>
      <w:r>
        <w:rPr>
          <w:rFonts w:ascii="Times New Roman" w:hAnsi="Times New Roman" w:cs="Times New Roman"/>
          <w:color w:val="212121"/>
          <w:sz w:val="16"/>
          <w:szCs w:val="16"/>
          <w:shd w:val="clear" w:color="auto" w:fill="FFFFFF"/>
        </w:rPr>
        <w:t xml:space="preserve">”, “The New England Journal of </w:t>
      </w:r>
      <w:r w:rsidRPr="003A0C39">
        <w:rPr>
          <w:rFonts w:ascii="Times New Roman" w:hAnsi="Times New Roman" w:cs="Times New Roman"/>
          <w:bCs/>
          <w:sz w:val="16"/>
          <w:szCs w:val="20"/>
        </w:rPr>
        <w:t>Medicine”, 2006 Dec 7</w:t>
      </w:r>
      <w:r>
        <w:rPr>
          <w:rFonts w:ascii="Times New Roman" w:hAnsi="Times New Roman" w:cs="Times New Roman"/>
          <w:bCs/>
          <w:sz w:val="16"/>
          <w:szCs w:val="20"/>
        </w:rPr>
        <w:t xml:space="preserve"> </w:t>
      </w:r>
      <w:r w:rsidRPr="003A0C39">
        <w:rPr>
          <w:rFonts w:ascii="Times New Roman" w:hAnsi="Times New Roman" w:cs="Times New Roman"/>
          <w:bCs/>
          <w:sz w:val="16"/>
          <w:szCs w:val="20"/>
        </w:rPr>
        <w:t>;355(23):</w:t>
      </w:r>
      <w:r>
        <w:rPr>
          <w:rFonts w:ascii="Times New Roman" w:hAnsi="Times New Roman" w:cs="Times New Roman"/>
          <w:bCs/>
          <w:sz w:val="16"/>
          <w:szCs w:val="20"/>
        </w:rPr>
        <w:t xml:space="preserve"> </w:t>
      </w:r>
      <w:r w:rsidRPr="003A0C39">
        <w:rPr>
          <w:rFonts w:ascii="Times New Roman" w:hAnsi="Times New Roman" w:cs="Times New Roman"/>
          <w:bCs/>
          <w:sz w:val="16"/>
          <w:szCs w:val="20"/>
        </w:rPr>
        <w:t>2427-</w:t>
      </w:r>
      <w:r>
        <w:rPr>
          <w:rFonts w:ascii="Times New Roman" w:hAnsi="Times New Roman" w:cs="Times New Roman"/>
          <w:bCs/>
          <w:sz w:val="16"/>
          <w:szCs w:val="20"/>
        </w:rPr>
        <w:t>24</w:t>
      </w:r>
      <w:r w:rsidRPr="003A0C39">
        <w:rPr>
          <w:rFonts w:ascii="Times New Roman" w:hAnsi="Times New Roman" w:cs="Times New Roman"/>
          <w:bCs/>
          <w:sz w:val="16"/>
          <w:szCs w:val="20"/>
        </w:rPr>
        <w:t>43</w:t>
      </w:r>
    </w:p>
    <w:p w:rsidR="004C3B1F" w:rsidRDefault="004C3B1F"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[21] </w:t>
      </w:r>
      <w:r w:rsidR="0022377F">
        <w:rPr>
          <w:rFonts w:ascii="Times New Roman" w:hAnsi="Times New Roman" w:cs="Times New Roman"/>
          <w:bCs/>
          <w:sz w:val="16"/>
          <w:szCs w:val="20"/>
        </w:rPr>
        <w:t>Nissen SE, Wolski K. “</w:t>
      </w:r>
      <w:r w:rsidR="0022377F" w:rsidRPr="0022377F">
        <w:rPr>
          <w:rFonts w:ascii="Times New Roman" w:hAnsi="Times New Roman" w:cs="Times New Roman"/>
          <w:bCs/>
          <w:sz w:val="16"/>
          <w:szCs w:val="20"/>
        </w:rPr>
        <w:t>Effect of rosiglitazone on the risk of myocardial infarction and death from cardiovascular causes</w:t>
      </w:r>
      <w:r w:rsidR="0022377F">
        <w:rPr>
          <w:rFonts w:ascii="Times New Roman" w:hAnsi="Times New Roman" w:cs="Times New Roman"/>
          <w:bCs/>
          <w:sz w:val="16"/>
          <w:szCs w:val="20"/>
        </w:rPr>
        <w:t>”, “</w:t>
      </w:r>
      <w:r w:rsidR="0022377F">
        <w:rPr>
          <w:rFonts w:ascii="Times New Roman" w:hAnsi="Times New Roman" w:cs="Times New Roman"/>
          <w:color w:val="212121"/>
          <w:sz w:val="16"/>
          <w:szCs w:val="16"/>
          <w:shd w:val="clear" w:color="auto" w:fill="FFFFFF"/>
        </w:rPr>
        <w:t xml:space="preserve">The New England Journal of </w:t>
      </w:r>
      <w:r w:rsidR="0022377F" w:rsidRPr="003A0C39">
        <w:rPr>
          <w:rFonts w:ascii="Times New Roman" w:hAnsi="Times New Roman" w:cs="Times New Roman"/>
          <w:bCs/>
          <w:sz w:val="16"/>
          <w:szCs w:val="20"/>
        </w:rPr>
        <w:t>Medicine</w:t>
      </w:r>
      <w:r w:rsidR="0022377F">
        <w:rPr>
          <w:rFonts w:ascii="Times New Roman" w:hAnsi="Times New Roman" w:cs="Times New Roman"/>
          <w:bCs/>
          <w:sz w:val="16"/>
          <w:szCs w:val="20"/>
        </w:rPr>
        <w:t xml:space="preserve">”, </w:t>
      </w:r>
      <w:r w:rsidR="0022377F" w:rsidRPr="0022377F">
        <w:rPr>
          <w:rFonts w:ascii="Times New Roman" w:hAnsi="Times New Roman" w:cs="Times New Roman"/>
          <w:bCs/>
          <w:sz w:val="16"/>
          <w:szCs w:val="20"/>
        </w:rPr>
        <w:t>2007 Jun 14;</w:t>
      </w:r>
      <w:r w:rsidR="0022377F">
        <w:rPr>
          <w:rFonts w:ascii="Times New Roman" w:hAnsi="Times New Roman" w:cs="Times New Roman"/>
          <w:bCs/>
          <w:sz w:val="16"/>
          <w:szCs w:val="20"/>
        </w:rPr>
        <w:t xml:space="preserve"> </w:t>
      </w:r>
      <w:r w:rsidR="0022377F" w:rsidRPr="0022377F">
        <w:rPr>
          <w:rFonts w:ascii="Times New Roman" w:hAnsi="Times New Roman" w:cs="Times New Roman"/>
          <w:bCs/>
          <w:sz w:val="16"/>
          <w:szCs w:val="20"/>
        </w:rPr>
        <w:t>356(24):</w:t>
      </w:r>
      <w:r w:rsidR="0022377F">
        <w:rPr>
          <w:rFonts w:ascii="Times New Roman" w:hAnsi="Times New Roman" w:cs="Times New Roman"/>
          <w:bCs/>
          <w:sz w:val="16"/>
          <w:szCs w:val="20"/>
        </w:rPr>
        <w:t xml:space="preserve"> </w:t>
      </w:r>
      <w:r w:rsidR="0022377F" w:rsidRPr="0022377F">
        <w:rPr>
          <w:rFonts w:ascii="Times New Roman" w:hAnsi="Times New Roman" w:cs="Times New Roman"/>
          <w:bCs/>
          <w:sz w:val="16"/>
          <w:szCs w:val="20"/>
        </w:rPr>
        <w:t>2457-</w:t>
      </w:r>
      <w:r w:rsidR="0022377F">
        <w:rPr>
          <w:rFonts w:ascii="Times New Roman" w:hAnsi="Times New Roman" w:cs="Times New Roman"/>
          <w:bCs/>
          <w:sz w:val="16"/>
          <w:szCs w:val="20"/>
        </w:rPr>
        <w:t>24</w:t>
      </w:r>
      <w:r w:rsidR="0022377F" w:rsidRPr="0022377F">
        <w:rPr>
          <w:rFonts w:ascii="Times New Roman" w:hAnsi="Times New Roman" w:cs="Times New Roman"/>
          <w:bCs/>
          <w:sz w:val="16"/>
          <w:szCs w:val="20"/>
        </w:rPr>
        <w:t>71</w:t>
      </w:r>
    </w:p>
    <w:p w:rsidR="003D2DCD" w:rsidRDefault="003D2DCD"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[22] Lazar MA, Chen ER, Soccio RE. “</w:t>
      </w:r>
      <w:r w:rsidRPr="003D2DCD">
        <w:rPr>
          <w:rFonts w:ascii="Times New Roman" w:hAnsi="Times New Roman" w:cs="Times New Roman"/>
          <w:bCs/>
          <w:sz w:val="16"/>
          <w:szCs w:val="20"/>
        </w:rPr>
        <w:t>Thiazolidinediones and the promise of insulin sensitization in type 2 diabetes</w:t>
      </w:r>
      <w:r>
        <w:rPr>
          <w:rFonts w:ascii="Times New Roman" w:hAnsi="Times New Roman" w:cs="Times New Roman"/>
          <w:bCs/>
          <w:sz w:val="16"/>
          <w:szCs w:val="20"/>
        </w:rPr>
        <w:t xml:space="preserve">”, “Cell Metabolism”, </w:t>
      </w:r>
      <w:r w:rsidRPr="003D2DCD">
        <w:rPr>
          <w:rFonts w:ascii="Times New Roman" w:hAnsi="Times New Roman" w:cs="Times New Roman"/>
          <w:bCs/>
          <w:sz w:val="16"/>
          <w:szCs w:val="20"/>
        </w:rPr>
        <w:t>2014 Oct 7;</w:t>
      </w:r>
      <w:r>
        <w:rPr>
          <w:rFonts w:ascii="Times New Roman" w:hAnsi="Times New Roman" w:cs="Times New Roman"/>
          <w:bCs/>
          <w:sz w:val="16"/>
          <w:szCs w:val="20"/>
        </w:rPr>
        <w:t xml:space="preserve"> </w:t>
      </w:r>
      <w:r w:rsidRPr="003D2DCD">
        <w:rPr>
          <w:rFonts w:ascii="Times New Roman" w:hAnsi="Times New Roman" w:cs="Times New Roman"/>
          <w:bCs/>
          <w:sz w:val="16"/>
          <w:szCs w:val="20"/>
        </w:rPr>
        <w:t>20(4):</w:t>
      </w:r>
      <w:r>
        <w:rPr>
          <w:rFonts w:ascii="Times New Roman" w:hAnsi="Times New Roman" w:cs="Times New Roman"/>
          <w:bCs/>
          <w:sz w:val="16"/>
          <w:szCs w:val="20"/>
        </w:rPr>
        <w:t xml:space="preserve"> </w:t>
      </w:r>
      <w:r w:rsidRPr="003D2DCD">
        <w:rPr>
          <w:rFonts w:ascii="Times New Roman" w:hAnsi="Times New Roman" w:cs="Times New Roman"/>
          <w:bCs/>
          <w:sz w:val="16"/>
          <w:szCs w:val="20"/>
        </w:rPr>
        <w:t>573-91</w:t>
      </w:r>
    </w:p>
    <w:p w:rsidR="00860AF0" w:rsidRDefault="00860AF0"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[23] Im YJ, Lee MA et al. “</w:t>
      </w:r>
      <w:r w:rsidRPr="00860AF0">
        <w:rPr>
          <w:rFonts w:ascii="Times New Roman" w:hAnsi="Times New Roman" w:cs="Times New Roman"/>
          <w:bCs/>
          <w:sz w:val="16"/>
          <w:szCs w:val="20"/>
        </w:rPr>
        <w:t>Structures of PPARγ complexed with lobeglitazone and pioglitazone reveal key determinants for the recognition of antidiabetic drugs</w:t>
      </w:r>
      <w:r>
        <w:rPr>
          <w:rFonts w:ascii="Times New Roman" w:hAnsi="Times New Roman" w:cs="Times New Roman"/>
          <w:bCs/>
          <w:sz w:val="16"/>
          <w:szCs w:val="20"/>
        </w:rPr>
        <w:t xml:space="preserve">”, “Scientific Reports”, </w:t>
      </w:r>
      <w:r w:rsidRPr="00860AF0">
        <w:rPr>
          <w:rFonts w:ascii="Times New Roman" w:hAnsi="Times New Roman" w:cs="Times New Roman"/>
          <w:bCs/>
          <w:sz w:val="16"/>
          <w:szCs w:val="20"/>
        </w:rPr>
        <w:t>2017 Dec 4;</w:t>
      </w:r>
      <w:r w:rsidR="006474AC">
        <w:rPr>
          <w:rFonts w:ascii="Times New Roman" w:hAnsi="Times New Roman" w:cs="Times New Roman"/>
          <w:bCs/>
          <w:sz w:val="16"/>
          <w:szCs w:val="20"/>
        </w:rPr>
        <w:t xml:space="preserve"> </w:t>
      </w:r>
      <w:r w:rsidRPr="00860AF0">
        <w:rPr>
          <w:rFonts w:ascii="Times New Roman" w:hAnsi="Times New Roman" w:cs="Times New Roman"/>
          <w:bCs/>
          <w:sz w:val="16"/>
          <w:szCs w:val="20"/>
        </w:rPr>
        <w:t>7(1):</w:t>
      </w:r>
      <w:r w:rsidR="006474AC">
        <w:rPr>
          <w:rFonts w:ascii="Times New Roman" w:hAnsi="Times New Roman" w:cs="Times New Roman"/>
          <w:bCs/>
          <w:sz w:val="16"/>
          <w:szCs w:val="20"/>
        </w:rPr>
        <w:t xml:space="preserve"> </w:t>
      </w:r>
      <w:r w:rsidRPr="00860AF0">
        <w:rPr>
          <w:rFonts w:ascii="Times New Roman" w:hAnsi="Times New Roman" w:cs="Times New Roman"/>
          <w:bCs/>
          <w:sz w:val="16"/>
          <w:szCs w:val="20"/>
        </w:rPr>
        <w:t>16837</w:t>
      </w:r>
    </w:p>
    <w:p w:rsidR="00860AF0" w:rsidRDefault="00860AF0"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[24] Kim SW, Han BW et al. “</w:t>
      </w:r>
      <w:r w:rsidRPr="00860AF0">
        <w:rPr>
          <w:rFonts w:ascii="Times New Roman" w:hAnsi="Times New Roman" w:cs="Times New Roman"/>
          <w:bCs/>
          <w:sz w:val="16"/>
          <w:szCs w:val="20"/>
        </w:rPr>
        <w:t>Structural Basis for the Enhanced Anti-Diabetic Efficacy of Lobeglitazone on PPARγ</w:t>
      </w:r>
      <w:r>
        <w:rPr>
          <w:rFonts w:ascii="Times New Roman" w:hAnsi="Times New Roman" w:cs="Times New Roman"/>
          <w:bCs/>
          <w:sz w:val="16"/>
          <w:szCs w:val="20"/>
        </w:rPr>
        <w:t xml:space="preserve">”, “Scientific Repots”, </w:t>
      </w:r>
      <w:r w:rsidRPr="00860AF0">
        <w:rPr>
          <w:rFonts w:ascii="Times New Roman" w:hAnsi="Times New Roman" w:cs="Times New Roman"/>
          <w:bCs/>
          <w:sz w:val="16"/>
          <w:szCs w:val="20"/>
        </w:rPr>
        <w:t>2018 Jan 8;</w:t>
      </w:r>
      <w:r>
        <w:rPr>
          <w:rFonts w:ascii="Times New Roman" w:hAnsi="Times New Roman" w:cs="Times New Roman"/>
          <w:bCs/>
          <w:sz w:val="16"/>
          <w:szCs w:val="20"/>
        </w:rPr>
        <w:t xml:space="preserve"> </w:t>
      </w:r>
      <w:r w:rsidRPr="00860AF0">
        <w:rPr>
          <w:rFonts w:ascii="Times New Roman" w:hAnsi="Times New Roman" w:cs="Times New Roman"/>
          <w:bCs/>
          <w:sz w:val="16"/>
          <w:szCs w:val="20"/>
        </w:rPr>
        <w:t>8(1):</w:t>
      </w:r>
      <w:r>
        <w:rPr>
          <w:rFonts w:ascii="Times New Roman" w:hAnsi="Times New Roman" w:cs="Times New Roman"/>
          <w:bCs/>
          <w:sz w:val="16"/>
          <w:szCs w:val="20"/>
        </w:rPr>
        <w:t xml:space="preserve"> </w:t>
      </w:r>
      <w:r w:rsidRPr="00860AF0">
        <w:rPr>
          <w:rFonts w:ascii="Times New Roman" w:hAnsi="Times New Roman" w:cs="Times New Roman"/>
          <w:bCs/>
          <w:sz w:val="16"/>
          <w:szCs w:val="20"/>
        </w:rPr>
        <w:t>31</w:t>
      </w:r>
    </w:p>
    <w:p w:rsidR="00633C67" w:rsidRDefault="00633C67"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[25] Choi DS, Kim SG et al. “</w:t>
      </w:r>
      <w:r w:rsidRPr="00633C67">
        <w:rPr>
          <w:rFonts w:ascii="Times New Roman" w:hAnsi="Times New Roman" w:cs="Times New Roman"/>
          <w:bCs/>
          <w:sz w:val="16"/>
          <w:szCs w:val="20"/>
        </w:rPr>
        <w:t>Efficacy and safety of lobeglitazone monotherapy in patients with type 2 diabetes mellitus over 24-weeks: a multicenter, randomized, double</w:t>
      </w:r>
      <w:r>
        <w:rPr>
          <w:rFonts w:ascii="Times New Roman" w:hAnsi="Times New Roman" w:cs="Times New Roman"/>
          <w:bCs/>
          <w:sz w:val="16"/>
          <w:szCs w:val="20"/>
        </w:rPr>
        <w:t xml:space="preserve">-blind, parallel-group, placebo </w:t>
      </w:r>
      <w:r w:rsidRPr="00633C67">
        <w:rPr>
          <w:rFonts w:ascii="Times New Roman" w:hAnsi="Times New Roman" w:cs="Times New Roman"/>
          <w:bCs/>
          <w:sz w:val="16"/>
          <w:szCs w:val="20"/>
        </w:rPr>
        <w:t>controlled trial</w:t>
      </w:r>
      <w:r>
        <w:rPr>
          <w:rFonts w:ascii="Times New Roman" w:hAnsi="Times New Roman" w:cs="Times New Roman"/>
          <w:bCs/>
          <w:sz w:val="16"/>
          <w:szCs w:val="20"/>
        </w:rPr>
        <w:t xml:space="preserve">”, “Plos One”, </w:t>
      </w:r>
      <w:r w:rsidRPr="00633C67">
        <w:rPr>
          <w:rFonts w:ascii="Times New Roman" w:hAnsi="Times New Roman" w:cs="Times New Roman"/>
          <w:bCs/>
          <w:sz w:val="16"/>
          <w:szCs w:val="20"/>
        </w:rPr>
        <w:t>2014 Apr 15;</w:t>
      </w:r>
      <w:r>
        <w:rPr>
          <w:rFonts w:ascii="Times New Roman" w:hAnsi="Times New Roman" w:cs="Times New Roman"/>
          <w:bCs/>
          <w:sz w:val="16"/>
          <w:szCs w:val="20"/>
        </w:rPr>
        <w:t xml:space="preserve"> </w:t>
      </w:r>
      <w:r w:rsidRPr="00633C67">
        <w:rPr>
          <w:rFonts w:ascii="Times New Roman" w:hAnsi="Times New Roman" w:cs="Times New Roman"/>
          <w:bCs/>
          <w:sz w:val="16"/>
          <w:szCs w:val="20"/>
        </w:rPr>
        <w:t>9(4):</w:t>
      </w:r>
      <w:r>
        <w:rPr>
          <w:rFonts w:ascii="Times New Roman" w:hAnsi="Times New Roman" w:cs="Times New Roman"/>
          <w:bCs/>
          <w:sz w:val="16"/>
          <w:szCs w:val="20"/>
        </w:rPr>
        <w:t xml:space="preserve"> </w:t>
      </w:r>
      <w:r w:rsidRPr="00633C67">
        <w:rPr>
          <w:rFonts w:ascii="Times New Roman" w:hAnsi="Times New Roman" w:cs="Times New Roman"/>
          <w:bCs/>
          <w:sz w:val="16"/>
          <w:szCs w:val="20"/>
        </w:rPr>
        <w:t>e92843</w:t>
      </w:r>
    </w:p>
    <w:p w:rsidR="00633C67" w:rsidRDefault="00633C67"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[26] Lee HW, Kim BY et al. “</w:t>
      </w:r>
      <w:r w:rsidRPr="00633C67">
        <w:rPr>
          <w:rFonts w:ascii="Times New Roman" w:hAnsi="Times New Roman" w:cs="Times New Roman"/>
          <w:bCs/>
          <w:sz w:val="16"/>
          <w:szCs w:val="20"/>
        </w:rPr>
        <w:t>Molecular design, synthesis, and hypoglycemic and hypolipidemic activities of novel pyrimidine derivatives having thiazolidinedione</w:t>
      </w:r>
      <w:r>
        <w:rPr>
          <w:rFonts w:ascii="Times New Roman" w:hAnsi="Times New Roman" w:cs="Times New Roman"/>
          <w:bCs/>
          <w:sz w:val="16"/>
          <w:szCs w:val="20"/>
        </w:rPr>
        <w:t xml:space="preserve">”, “European Journal of Medicinal Chemistry”, </w:t>
      </w:r>
      <w:r w:rsidRPr="00633C67">
        <w:rPr>
          <w:rFonts w:ascii="Times New Roman" w:hAnsi="Times New Roman" w:cs="Times New Roman"/>
          <w:bCs/>
          <w:sz w:val="16"/>
          <w:szCs w:val="20"/>
        </w:rPr>
        <w:t>2005 Sep;</w:t>
      </w:r>
      <w:r>
        <w:rPr>
          <w:rFonts w:ascii="Times New Roman" w:hAnsi="Times New Roman" w:cs="Times New Roman"/>
          <w:bCs/>
          <w:sz w:val="16"/>
          <w:szCs w:val="20"/>
        </w:rPr>
        <w:t xml:space="preserve"> </w:t>
      </w:r>
      <w:r w:rsidRPr="00633C67">
        <w:rPr>
          <w:rFonts w:ascii="Times New Roman" w:hAnsi="Times New Roman" w:cs="Times New Roman"/>
          <w:bCs/>
          <w:sz w:val="16"/>
          <w:szCs w:val="20"/>
        </w:rPr>
        <w:t>40(9):</w:t>
      </w:r>
      <w:r>
        <w:rPr>
          <w:rFonts w:ascii="Times New Roman" w:hAnsi="Times New Roman" w:cs="Times New Roman"/>
          <w:bCs/>
          <w:sz w:val="16"/>
          <w:szCs w:val="20"/>
        </w:rPr>
        <w:t xml:space="preserve"> </w:t>
      </w:r>
      <w:r w:rsidRPr="00633C67">
        <w:rPr>
          <w:rFonts w:ascii="Times New Roman" w:hAnsi="Times New Roman" w:cs="Times New Roman"/>
          <w:bCs/>
          <w:sz w:val="16"/>
          <w:szCs w:val="20"/>
        </w:rPr>
        <w:t>862-</w:t>
      </w:r>
      <w:r w:rsidR="006474AC">
        <w:rPr>
          <w:rFonts w:ascii="Times New Roman" w:hAnsi="Times New Roman" w:cs="Times New Roman"/>
          <w:bCs/>
          <w:sz w:val="16"/>
          <w:szCs w:val="20"/>
        </w:rPr>
        <w:t>8</w:t>
      </w:r>
      <w:r w:rsidRPr="00633C67">
        <w:rPr>
          <w:rFonts w:ascii="Times New Roman" w:hAnsi="Times New Roman" w:cs="Times New Roman"/>
          <w:bCs/>
          <w:sz w:val="16"/>
          <w:szCs w:val="20"/>
        </w:rPr>
        <w:t>74</w:t>
      </w:r>
    </w:p>
    <w:p w:rsidR="00D9631B" w:rsidRDefault="00D9631B"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[27] </w:t>
      </w:r>
      <w:r w:rsidRPr="00D9631B">
        <w:rPr>
          <w:rFonts w:ascii="Times New Roman" w:hAnsi="Times New Roman" w:cs="Times New Roman"/>
          <w:bCs/>
          <w:sz w:val="16"/>
          <w:szCs w:val="20"/>
        </w:rPr>
        <w:t>Chong Kun Dang Pharmaceutical Corp.: Data on file, 2013. Available from: </w:t>
      </w:r>
      <w:hyperlink r:id="rId7" w:tgtFrame="_blank" w:history="1">
        <w:r w:rsidRPr="00D9631B">
          <w:rPr>
            <w:rFonts w:ascii="Times New Roman" w:hAnsi="Times New Roman" w:cs="Times New Roman"/>
            <w:bCs/>
            <w:sz w:val="16"/>
            <w:szCs w:val="20"/>
          </w:rPr>
          <w:t>http://www.ckdpharm.com</w:t>
        </w:r>
      </w:hyperlink>
      <w:r w:rsidRPr="00D9631B">
        <w:rPr>
          <w:rFonts w:ascii="Times New Roman" w:hAnsi="Times New Roman" w:cs="Times New Roman"/>
          <w:bCs/>
          <w:sz w:val="16"/>
          <w:szCs w:val="20"/>
        </w:rPr>
        <w:t> (cited 2021 Mar 20)</w:t>
      </w:r>
    </w:p>
    <w:p w:rsidR="00D9631B" w:rsidRDefault="00D9631B"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[28] Kwon MJ, Lee YJ et al. “</w:t>
      </w:r>
      <w:r w:rsidRPr="00D9631B">
        <w:rPr>
          <w:rFonts w:ascii="Times New Roman" w:hAnsi="Times New Roman" w:cs="Times New Roman"/>
          <w:bCs/>
          <w:sz w:val="16"/>
          <w:szCs w:val="20"/>
        </w:rPr>
        <w:t>The direct effect of lobeglitazone, a new thiazolidinedione, on pancreatic beta cells: A comparison with other thiazolidinediones</w:t>
      </w:r>
      <w:r>
        <w:rPr>
          <w:rFonts w:ascii="Times New Roman" w:hAnsi="Times New Roman" w:cs="Times New Roman"/>
          <w:bCs/>
          <w:sz w:val="16"/>
          <w:szCs w:val="20"/>
        </w:rPr>
        <w:t xml:space="preserve">”, “Diabetes Research &amp; Clinical Practice”, </w:t>
      </w:r>
      <w:r w:rsidRPr="00D9631B">
        <w:rPr>
          <w:rFonts w:ascii="Times New Roman" w:hAnsi="Times New Roman" w:cs="Times New Roman"/>
          <w:bCs/>
          <w:sz w:val="16"/>
          <w:szCs w:val="20"/>
        </w:rPr>
        <w:t>2019 May;</w:t>
      </w:r>
      <w:r>
        <w:rPr>
          <w:rFonts w:ascii="Times New Roman" w:hAnsi="Times New Roman" w:cs="Times New Roman"/>
          <w:bCs/>
          <w:sz w:val="16"/>
          <w:szCs w:val="20"/>
        </w:rPr>
        <w:t xml:space="preserve"> </w:t>
      </w:r>
      <w:r w:rsidRPr="00D9631B">
        <w:rPr>
          <w:rFonts w:ascii="Times New Roman" w:hAnsi="Times New Roman" w:cs="Times New Roman"/>
          <w:bCs/>
          <w:sz w:val="16"/>
          <w:szCs w:val="20"/>
        </w:rPr>
        <w:t>151:</w:t>
      </w:r>
      <w:r>
        <w:rPr>
          <w:rFonts w:ascii="Times New Roman" w:hAnsi="Times New Roman" w:cs="Times New Roman"/>
          <w:bCs/>
          <w:sz w:val="16"/>
          <w:szCs w:val="20"/>
        </w:rPr>
        <w:t xml:space="preserve"> </w:t>
      </w:r>
      <w:r w:rsidRPr="00D9631B">
        <w:rPr>
          <w:rFonts w:ascii="Times New Roman" w:hAnsi="Times New Roman" w:cs="Times New Roman"/>
          <w:bCs/>
          <w:sz w:val="16"/>
          <w:szCs w:val="20"/>
        </w:rPr>
        <w:t>209-223</w:t>
      </w:r>
    </w:p>
    <w:p w:rsidR="00D9631B" w:rsidRDefault="00D9631B"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[29] Kim G, Lee YH et al. “</w:t>
      </w:r>
      <w:r w:rsidRPr="00D9631B">
        <w:rPr>
          <w:rFonts w:ascii="Times New Roman" w:hAnsi="Times New Roman" w:cs="Times New Roman"/>
          <w:bCs/>
          <w:sz w:val="16"/>
          <w:szCs w:val="20"/>
        </w:rPr>
        <w:t>Effects of lobeglitazone, a novel t</w:t>
      </w:r>
      <w:r>
        <w:rPr>
          <w:rFonts w:ascii="Times New Roman" w:hAnsi="Times New Roman" w:cs="Times New Roman"/>
          <w:bCs/>
          <w:sz w:val="16"/>
          <w:szCs w:val="20"/>
        </w:rPr>
        <w:t>hiazolidinedione, on adipose tis</w:t>
      </w:r>
      <w:r w:rsidRPr="00D9631B">
        <w:rPr>
          <w:rFonts w:ascii="Times New Roman" w:hAnsi="Times New Roman" w:cs="Times New Roman"/>
          <w:bCs/>
          <w:sz w:val="16"/>
          <w:szCs w:val="20"/>
        </w:rPr>
        <w:t xml:space="preserve">sue remodeling and brown and beige adipose tissue </w:t>
      </w:r>
      <w:r w:rsidRPr="00A57618">
        <w:rPr>
          <w:rFonts w:ascii="Times New Roman" w:hAnsi="Times New Roman" w:cs="Times New Roman"/>
          <w:bCs/>
          <w:sz w:val="16"/>
          <w:szCs w:val="20"/>
        </w:rPr>
        <w:t>development”, “International</w:t>
      </w:r>
      <w:r>
        <w:rPr>
          <w:rFonts w:ascii="Times New Roman" w:hAnsi="Times New Roman" w:cs="Times New Roman"/>
          <w:bCs/>
          <w:sz w:val="16"/>
          <w:szCs w:val="20"/>
        </w:rPr>
        <w:t xml:space="preserve"> Journal of Obesity”, </w:t>
      </w:r>
      <w:r w:rsidRPr="00D9631B">
        <w:rPr>
          <w:rFonts w:ascii="Times New Roman" w:hAnsi="Times New Roman" w:cs="Times New Roman"/>
          <w:bCs/>
          <w:sz w:val="16"/>
          <w:szCs w:val="20"/>
        </w:rPr>
        <w:t>2018 Mar;</w:t>
      </w:r>
      <w:r>
        <w:rPr>
          <w:rFonts w:ascii="Times New Roman" w:hAnsi="Times New Roman" w:cs="Times New Roman"/>
          <w:bCs/>
          <w:sz w:val="16"/>
          <w:szCs w:val="20"/>
        </w:rPr>
        <w:t xml:space="preserve"> </w:t>
      </w:r>
      <w:r w:rsidRPr="00D9631B">
        <w:rPr>
          <w:rFonts w:ascii="Times New Roman" w:hAnsi="Times New Roman" w:cs="Times New Roman"/>
          <w:bCs/>
          <w:sz w:val="16"/>
          <w:szCs w:val="20"/>
        </w:rPr>
        <w:t>42(3):</w:t>
      </w:r>
      <w:r>
        <w:rPr>
          <w:rFonts w:ascii="Times New Roman" w:hAnsi="Times New Roman" w:cs="Times New Roman"/>
          <w:bCs/>
          <w:sz w:val="16"/>
          <w:szCs w:val="20"/>
        </w:rPr>
        <w:t xml:space="preserve"> </w:t>
      </w:r>
      <w:r w:rsidRPr="00D9631B">
        <w:rPr>
          <w:rFonts w:ascii="Times New Roman" w:hAnsi="Times New Roman" w:cs="Times New Roman"/>
          <w:bCs/>
          <w:sz w:val="16"/>
          <w:szCs w:val="20"/>
        </w:rPr>
        <w:t>542-551</w:t>
      </w:r>
    </w:p>
    <w:p w:rsidR="00C31F0F" w:rsidRDefault="00C31F0F"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[30] Rocha RF, Rodrigues T et al. “</w:t>
      </w:r>
      <w:r w:rsidRPr="00C31F0F">
        <w:rPr>
          <w:rFonts w:ascii="Times New Roman" w:hAnsi="Times New Roman" w:cs="Times New Roman"/>
          <w:bCs/>
          <w:sz w:val="16"/>
          <w:szCs w:val="20"/>
        </w:rPr>
        <w:t>The antidiabetic drug lobeglitazone has the potential to inhibit PTP1B activity</w:t>
      </w:r>
      <w:r>
        <w:rPr>
          <w:rFonts w:ascii="Times New Roman" w:hAnsi="Times New Roman" w:cs="Times New Roman"/>
          <w:bCs/>
          <w:sz w:val="16"/>
          <w:szCs w:val="20"/>
        </w:rPr>
        <w:t xml:space="preserve">”, “Bioorganic Chemistry”, </w:t>
      </w:r>
      <w:r w:rsidRPr="00C31F0F">
        <w:rPr>
          <w:rFonts w:ascii="Times New Roman" w:hAnsi="Times New Roman" w:cs="Times New Roman"/>
          <w:bCs/>
          <w:sz w:val="16"/>
          <w:szCs w:val="20"/>
        </w:rPr>
        <w:t>2020 Jul;</w:t>
      </w:r>
      <w:r>
        <w:rPr>
          <w:rFonts w:ascii="Times New Roman" w:hAnsi="Times New Roman" w:cs="Times New Roman"/>
          <w:bCs/>
          <w:sz w:val="16"/>
          <w:szCs w:val="20"/>
        </w:rPr>
        <w:t xml:space="preserve"> </w:t>
      </w:r>
      <w:r w:rsidRPr="00C31F0F">
        <w:rPr>
          <w:rFonts w:ascii="Times New Roman" w:hAnsi="Times New Roman" w:cs="Times New Roman"/>
          <w:bCs/>
          <w:sz w:val="16"/>
          <w:szCs w:val="20"/>
        </w:rPr>
        <w:t>100:</w:t>
      </w:r>
      <w:r>
        <w:rPr>
          <w:rFonts w:ascii="Times New Roman" w:hAnsi="Times New Roman" w:cs="Times New Roman"/>
          <w:bCs/>
          <w:sz w:val="16"/>
          <w:szCs w:val="20"/>
        </w:rPr>
        <w:t xml:space="preserve"> </w:t>
      </w:r>
      <w:r w:rsidRPr="00C31F0F">
        <w:rPr>
          <w:rFonts w:ascii="Times New Roman" w:hAnsi="Times New Roman" w:cs="Times New Roman"/>
          <w:bCs/>
          <w:sz w:val="16"/>
          <w:szCs w:val="20"/>
        </w:rPr>
        <w:t>103927</w:t>
      </w:r>
    </w:p>
    <w:p w:rsidR="00A57618" w:rsidRDefault="00A57618"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[31] Lee JH, Noh CK et al. “</w:t>
      </w:r>
      <w:r w:rsidRPr="00A57618">
        <w:rPr>
          <w:rFonts w:ascii="Times New Roman" w:hAnsi="Times New Roman" w:cs="Times New Roman"/>
          <w:bCs/>
          <w:sz w:val="16"/>
          <w:szCs w:val="20"/>
        </w:rPr>
        <w:t>Kinetics of the Absorption, Distribution, Metabolism, and Excretion of Lobeglitazone, a Novel Activator of Peroxisome Proliferator-Activated Receptor Gamma in Rats</w:t>
      </w:r>
      <w:r>
        <w:rPr>
          <w:rFonts w:ascii="Times New Roman" w:hAnsi="Times New Roman" w:cs="Times New Roman"/>
          <w:bCs/>
          <w:sz w:val="16"/>
          <w:szCs w:val="20"/>
        </w:rPr>
        <w:t xml:space="preserve">”, “Journal of Pharmaceutical Sciences”, </w:t>
      </w:r>
      <w:r w:rsidRPr="00A57618">
        <w:rPr>
          <w:rFonts w:ascii="Times New Roman" w:hAnsi="Times New Roman" w:cs="Times New Roman"/>
          <w:bCs/>
          <w:sz w:val="16"/>
          <w:szCs w:val="20"/>
        </w:rPr>
        <w:t>2015 Sep;</w:t>
      </w:r>
      <w:r>
        <w:rPr>
          <w:rFonts w:ascii="Times New Roman" w:hAnsi="Times New Roman" w:cs="Times New Roman"/>
          <w:bCs/>
          <w:sz w:val="16"/>
          <w:szCs w:val="20"/>
        </w:rPr>
        <w:t xml:space="preserve"> </w:t>
      </w:r>
      <w:r w:rsidRPr="00A57618">
        <w:rPr>
          <w:rFonts w:ascii="Times New Roman" w:hAnsi="Times New Roman" w:cs="Times New Roman"/>
          <w:bCs/>
          <w:sz w:val="16"/>
          <w:szCs w:val="20"/>
        </w:rPr>
        <w:t>104(9):</w:t>
      </w:r>
      <w:r>
        <w:rPr>
          <w:rFonts w:ascii="Times New Roman" w:hAnsi="Times New Roman" w:cs="Times New Roman"/>
          <w:bCs/>
          <w:sz w:val="16"/>
          <w:szCs w:val="20"/>
        </w:rPr>
        <w:t xml:space="preserve"> </w:t>
      </w:r>
      <w:r w:rsidRPr="00A57618">
        <w:rPr>
          <w:rFonts w:ascii="Times New Roman" w:hAnsi="Times New Roman" w:cs="Times New Roman"/>
          <w:bCs/>
          <w:sz w:val="16"/>
          <w:szCs w:val="20"/>
        </w:rPr>
        <w:t>3049-</w:t>
      </w:r>
      <w:r>
        <w:rPr>
          <w:rFonts w:ascii="Times New Roman" w:hAnsi="Times New Roman" w:cs="Times New Roman"/>
          <w:bCs/>
          <w:sz w:val="16"/>
          <w:szCs w:val="20"/>
        </w:rPr>
        <w:t>30</w:t>
      </w:r>
      <w:r w:rsidRPr="00A57618">
        <w:rPr>
          <w:rFonts w:ascii="Times New Roman" w:hAnsi="Times New Roman" w:cs="Times New Roman"/>
          <w:bCs/>
          <w:sz w:val="16"/>
          <w:szCs w:val="20"/>
        </w:rPr>
        <w:t>59</w:t>
      </w:r>
    </w:p>
    <w:p w:rsidR="00A40A7E" w:rsidRDefault="00A40A7E"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[32] Lee JH, Woo YA et al. “</w:t>
      </w:r>
      <w:r w:rsidRPr="00A40A7E">
        <w:rPr>
          <w:rFonts w:ascii="Times New Roman" w:hAnsi="Times New Roman" w:cs="Times New Roman"/>
          <w:bCs/>
          <w:sz w:val="16"/>
          <w:szCs w:val="20"/>
        </w:rPr>
        <w:t>Quantification of CKD-501, lobeglitazone, in rat plasma using a liquid-chromatography/tandem mass spectrometry method and its applications to pharmacokinetic studies</w:t>
      </w:r>
      <w:r>
        <w:rPr>
          <w:rFonts w:ascii="Times New Roman" w:hAnsi="Times New Roman" w:cs="Times New Roman"/>
          <w:bCs/>
          <w:sz w:val="16"/>
          <w:szCs w:val="20"/>
        </w:rPr>
        <w:t xml:space="preserve">”, “Journal of Pharmaceutical &amp; Biochemical Analysis”, </w:t>
      </w:r>
      <w:r w:rsidRPr="00A40A7E">
        <w:rPr>
          <w:rFonts w:ascii="Times New Roman" w:hAnsi="Times New Roman" w:cs="Times New Roman"/>
          <w:bCs/>
          <w:sz w:val="16"/>
          <w:szCs w:val="20"/>
        </w:rPr>
        <w:t>2009 Dec 5;</w:t>
      </w:r>
      <w:r>
        <w:rPr>
          <w:rFonts w:ascii="Times New Roman" w:hAnsi="Times New Roman" w:cs="Times New Roman"/>
          <w:bCs/>
          <w:sz w:val="16"/>
          <w:szCs w:val="20"/>
        </w:rPr>
        <w:t xml:space="preserve"> </w:t>
      </w:r>
      <w:r w:rsidRPr="00A40A7E">
        <w:rPr>
          <w:rFonts w:ascii="Times New Roman" w:hAnsi="Times New Roman" w:cs="Times New Roman"/>
          <w:bCs/>
          <w:sz w:val="16"/>
          <w:szCs w:val="20"/>
        </w:rPr>
        <w:t>50(5):</w:t>
      </w:r>
      <w:r>
        <w:rPr>
          <w:rFonts w:ascii="Times New Roman" w:hAnsi="Times New Roman" w:cs="Times New Roman"/>
          <w:bCs/>
          <w:sz w:val="16"/>
          <w:szCs w:val="20"/>
        </w:rPr>
        <w:t xml:space="preserve"> </w:t>
      </w:r>
      <w:r w:rsidRPr="00A40A7E">
        <w:rPr>
          <w:rFonts w:ascii="Times New Roman" w:hAnsi="Times New Roman" w:cs="Times New Roman"/>
          <w:bCs/>
          <w:sz w:val="16"/>
          <w:szCs w:val="20"/>
        </w:rPr>
        <w:t>872-</w:t>
      </w:r>
      <w:r>
        <w:rPr>
          <w:rFonts w:ascii="Times New Roman" w:hAnsi="Times New Roman" w:cs="Times New Roman"/>
          <w:bCs/>
          <w:sz w:val="16"/>
          <w:szCs w:val="20"/>
        </w:rPr>
        <w:t>87</w:t>
      </w:r>
      <w:r w:rsidRPr="00A40A7E">
        <w:rPr>
          <w:rFonts w:ascii="Times New Roman" w:hAnsi="Times New Roman" w:cs="Times New Roman"/>
          <w:bCs/>
          <w:sz w:val="16"/>
          <w:szCs w:val="20"/>
        </w:rPr>
        <w:t>7</w:t>
      </w:r>
    </w:p>
    <w:p w:rsidR="00A40A7E" w:rsidRDefault="00A40A7E"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[33] </w:t>
      </w:r>
      <w:r w:rsidR="00080D14">
        <w:rPr>
          <w:rFonts w:ascii="Times New Roman" w:hAnsi="Times New Roman" w:cs="Times New Roman"/>
          <w:bCs/>
          <w:sz w:val="16"/>
          <w:szCs w:val="20"/>
        </w:rPr>
        <w:t>Yu KH, Lee YR et al. “</w:t>
      </w:r>
      <w:r w:rsidR="00080D14" w:rsidRPr="00080D14">
        <w:rPr>
          <w:rFonts w:ascii="Times New Roman" w:hAnsi="Times New Roman" w:cs="Times New Roman"/>
          <w:bCs/>
          <w:sz w:val="16"/>
          <w:szCs w:val="20"/>
        </w:rPr>
        <w:t>Contribution of a significant first-pass effect of dimethyl-4,4'-dimethoxy-5,6,5',6'-dimethylene dioxybiphenyl-2,2'-dicarboxylate in the liver to its poor bioavailability in rats</w:t>
      </w:r>
      <w:r w:rsidR="00080D14">
        <w:rPr>
          <w:rFonts w:ascii="Times New Roman" w:hAnsi="Times New Roman" w:cs="Times New Roman"/>
          <w:bCs/>
          <w:sz w:val="16"/>
          <w:szCs w:val="20"/>
        </w:rPr>
        <w:t xml:space="preserve">”, “Journal of Pharmacy &amp; Pharmacology”, </w:t>
      </w:r>
      <w:r w:rsidR="00080D14" w:rsidRPr="00080D14">
        <w:rPr>
          <w:rFonts w:ascii="Times New Roman" w:hAnsi="Times New Roman" w:cs="Times New Roman"/>
          <w:bCs/>
          <w:sz w:val="16"/>
          <w:szCs w:val="20"/>
        </w:rPr>
        <w:t>2009 Sep;</w:t>
      </w:r>
      <w:r w:rsidR="00080D14">
        <w:rPr>
          <w:rFonts w:ascii="Times New Roman" w:hAnsi="Times New Roman" w:cs="Times New Roman"/>
          <w:bCs/>
          <w:sz w:val="16"/>
          <w:szCs w:val="20"/>
        </w:rPr>
        <w:t xml:space="preserve"> </w:t>
      </w:r>
      <w:r w:rsidR="00080D14" w:rsidRPr="00080D14">
        <w:rPr>
          <w:rFonts w:ascii="Times New Roman" w:hAnsi="Times New Roman" w:cs="Times New Roman"/>
          <w:bCs/>
          <w:sz w:val="16"/>
          <w:szCs w:val="20"/>
        </w:rPr>
        <w:t>61(9):</w:t>
      </w:r>
      <w:r w:rsidR="00080D14">
        <w:rPr>
          <w:rFonts w:ascii="Times New Roman" w:hAnsi="Times New Roman" w:cs="Times New Roman"/>
          <w:bCs/>
          <w:sz w:val="16"/>
          <w:szCs w:val="20"/>
        </w:rPr>
        <w:t xml:space="preserve"> </w:t>
      </w:r>
      <w:r w:rsidR="00080D14" w:rsidRPr="00080D14">
        <w:rPr>
          <w:rFonts w:ascii="Times New Roman" w:hAnsi="Times New Roman" w:cs="Times New Roman"/>
          <w:bCs/>
          <w:sz w:val="16"/>
          <w:szCs w:val="20"/>
        </w:rPr>
        <w:t>1197-</w:t>
      </w:r>
      <w:r w:rsidR="00080D14">
        <w:rPr>
          <w:rFonts w:ascii="Times New Roman" w:hAnsi="Times New Roman" w:cs="Times New Roman"/>
          <w:bCs/>
          <w:sz w:val="16"/>
          <w:szCs w:val="20"/>
        </w:rPr>
        <w:t>1</w:t>
      </w:r>
      <w:r w:rsidR="00080D14" w:rsidRPr="00080D14">
        <w:rPr>
          <w:rFonts w:ascii="Times New Roman" w:hAnsi="Times New Roman" w:cs="Times New Roman"/>
          <w:bCs/>
          <w:sz w:val="16"/>
          <w:szCs w:val="20"/>
        </w:rPr>
        <w:t>203</w:t>
      </w:r>
    </w:p>
    <w:p w:rsidR="00080D14" w:rsidRDefault="00080D14"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[34] Park SW, Jin SM et al. “</w:t>
      </w:r>
      <w:r w:rsidRPr="00080D14">
        <w:rPr>
          <w:rFonts w:ascii="Times New Roman" w:hAnsi="Times New Roman" w:cs="Times New Roman"/>
          <w:bCs/>
          <w:sz w:val="16"/>
          <w:szCs w:val="20"/>
        </w:rPr>
        <w:t>Lobeglitazone and pioglitazone as add-ons to metformin for patients with type 2 diabetes: a 24-week, multicentre, randomized, double-blind, parallel-group, active-controlled, phase III clinical trial with a 28-week extension</w:t>
      </w:r>
      <w:r>
        <w:rPr>
          <w:rFonts w:ascii="Times New Roman" w:hAnsi="Times New Roman" w:cs="Times New Roman"/>
          <w:bCs/>
          <w:sz w:val="16"/>
          <w:szCs w:val="20"/>
        </w:rPr>
        <w:t xml:space="preserve">”, “Diabetes, Obesity &amp; Metabolism: A Journal of Pharmacology &amp; Therapeutics”, </w:t>
      </w:r>
      <w:r w:rsidRPr="00080D14">
        <w:rPr>
          <w:rFonts w:ascii="Times New Roman" w:hAnsi="Times New Roman" w:cs="Times New Roman"/>
          <w:bCs/>
          <w:sz w:val="16"/>
          <w:szCs w:val="20"/>
        </w:rPr>
        <w:t>2015 Jun;</w:t>
      </w:r>
      <w:r>
        <w:rPr>
          <w:rFonts w:ascii="Times New Roman" w:hAnsi="Times New Roman" w:cs="Times New Roman"/>
          <w:bCs/>
          <w:sz w:val="16"/>
          <w:szCs w:val="20"/>
        </w:rPr>
        <w:t xml:space="preserve"> </w:t>
      </w:r>
      <w:r w:rsidRPr="00080D14">
        <w:rPr>
          <w:rFonts w:ascii="Times New Roman" w:hAnsi="Times New Roman" w:cs="Times New Roman"/>
          <w:bCs/>
          <w:sz w:val="16"/>
          <w:szCs w:val="20"/>
        </w:rPr>
        <w:t>17(6):</w:t>
      </w:r>
      <w:r>
        <w:rPr>
          <w:rFonts w:ascii="Times New Roman" w:hAnsi="Times New Roman" w:cs="Times New Roman"/>
          <w:bCs/>
          <w:sz w:val="16"/>
          <w:szCs w:val="20"/>
        </w:rPr>
        <w:t xml:space="preserve"> </w:t>
      </w:r>
      <w:r w:rsidRPr="00080D14">
        <w:rPr>
          <w:rFonts w:ascii="Times New Roman" w:hAnsi="Times New Roman" w:cs="Times New Roman"/>
          <w:bCs/>
          <w:sz w:val="16"/>
          <w:szCs w:val="20"/>
        </w:rPr>
        <w:t>599-602</w:t>
      </w:r>
    </w:p>
    <w:p w:rsidR="00437E16" w:rsidRDefault="00437E16"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[35] Kim JW, Shin KH et al. “</w:t>
      </w:r>
      <w:r w:rsidRPr="00437E16">
        <w:rPr>
          <w:rFonts w:ascii="Times New Roman" w:hAnsi="Times New Roman" w:cs="Times New Roman"/>
          <w:bCs/>
          <w:sz w:val="16"/>
          <w:szCs w:val="20"/>
        </w:rPr>
        <w:t>Tolerability and pharmacokinetics of lobeglitazone (CKD-501), a peroxisome proliferator-activated receptor-γ agonist: a single- and multiple-dose, double-blind, randomized control study in healthy male Korean subject</w:t>
      </w:r>
      <w:r>
        <w:rPr>
          <w:rFonts w:ascii="Times New Roman" w:hAnsi="Times New Roman" w:cs="Times New Roman"/>
          <w:bCs/>
          <w:sz w:val="16"/>
          <w:szCs w:val="20"/>
        </w:rPr>
        <w:t xml:space="preserve">s”, “Clinical Therapeutics”, </w:t>
      </w:r>
      <w:r w:rsidRPr="00437E16">
        <w:rPr>
          <w:rFonts w:ascii="Times New Roman" w:hAnsi="Times New Roman" w:cs="Times New Roman"/>
          <w:bCs/>
          <w:sz w:val="16"/>
          <w:szCs w:val="20"/>
        </w:rPr>
        <w:t>2011 Nov;</w:t>
      </w:r>
      <w:r>
        <w:rPr>
          <w:rFonts w:ascii="Times New Roman" w:hAnsi="Times New Roman" w:cs="Times New Roman"/>
          <w:bCs/>
          <w:sz w:val="16"/>
          <w:szCs w:val="20"/>
        </w:rPr>
        <w:t xml:space="preserve"> </w:t>
      </w:r>
      <w:r w:rsidRPr="00437E16">
        <w:rPr>
          <w:rFonts w:ascii="Times New Roman" w:hAnsi="Times New Roman" w:cs="Times New Roman"/>
          <w:bCs/>
          <w:sz w:val="16"/>
          <w:szCs w:val="20"/>
        </w:rPr>
        <w:t>33(11):</w:t>
      </w:r>
      <w:r>
        <w:rPr>
          <w:rFonts w:ascii="Times New Roman" w:hAnsi="Times New Roman" w:cs="Times New Roman"/>
          <w:bCs/>
          <w:sz w:val="16"/>
          <w:szCs w:val="20"/>
        </w:rPr>
        <w:t xml:space="preserve"> </w:t>
      </w:r>
      <w:r w:rsidRPr="00437E16">
        <w:rPr>
          <w:rFonts w:ascii="Times New Roman" w:hAnsi="Times New Roman" w:cs="Times New Roman"/>
          <w:bCs/>
          <w:sz w:val="16"/>
          <w:szCs w:val="20"/>
        </w:rPr>
        <w:t>1819-</w:t>
      </w:r>
      <w:r>
        <w:rPr>
          <w:rFonts w:ascii="Times New Roman" w:hAnsi="Times New Roman" w:cs="Times New Roman"/>
          <w:bCs/>
          <w:sz w:val="16"/>
          <w:szCs w:val="20"/>
        </w:rPr>
        <w:t>18</w:t>
      </w:r>
      <w:r w:rsidRPr="00437E16">
        <w:rPr>
          <w:rFonts w:ascii="Times New Roman" w:hAnsi="Times New Roman" w:cs="Times New Roman"/>
          <w:bCs/>
          <w:sz w:val="16"/>
          <w:szCs w:val="20"/>
        </w:rPr>
        <w:t>30</w:t>
      </w:r>
    </w:p>
    <w:p w:rsidR="00B458A7" w:rsidRDefault="00B458A7"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[36] Kim IJ, Ryang S et al. “</w:t>
      </w:r>
      <w:r w:rsidRPr="00B458A7">
        <w:rPr>
          <w:rFonts w:ascii="Times New Roman" w:hAnsi="Times New Roman" w:cs="Times New Roman"/>
          <w:bCs/>
          <w:sz w:val="16"/>
          <w:szCs w:val="20"/>
        </w:rPr>
        <w:t xml:space="preserve">A double-blind, Randomized controlled trial on glucose-lowering EFfects and safety of adding 0.25 or 0.5 mg lobeglitazone in </w:t>
      </w:r>
      <w:r>
        <w:rPr>
          <w:rFonts w:ascii="Times New Roman" w:hAnsi="Times New Roman" w:cs="Times New Roman"/>
          <w:bCs/>
          <w:sz w:val="16"/>
          <w:szCs w:val="20"/>
        </w:rPr>
        <w:t>type 2 diabetes patients with in</w:t>
      </w:r>
      <w:r w:rsidRPr="00B458A7">
        <w:rPr>
          <w:rFonts w:ascii="Times New Roman" w:hAnsi="Times New Roman" w:cs="Times New Roman"/>
          <w:bCs/>
          <w:sz w:val="16"/>
          <w:szCs w:val="20"/>
        </w:rPr>
        <w:t>adequate control on metformin and dipeptidyl peptidase-4 inhibitor therapy: REFIND study</w:t>
      </w:r>
      <w:r>
        <w:rPr>
          <w:rFonts w:ascii="Times New Roman" w:hAnsi="Times New Roman" w:cs="Times New Roman"/>
          <w:bCs/>
          <w:sz w:val="16"/>
          <w:szCs w:val="20"/>
        </w:rPr>
        <w:t xml:space="preserve">”, “Diabetes, Obesity &amp; Metabolism”, </w:t>
      </w:r>
      <w:r w:rsidRPr="00B458A7">
        <w:rPr>
          <w:rFonts w:ascii="Times New Roman" w:hAnsi="Times New Roman" w:cs="Times New Roman"/>
          <w:bCs/>
          <w:sz w:val="16"/>
          <w:szCs w:val="20"/>
        </w:rPr>
        <w:t>2022 Sep;</w:t>
      </w:r>
      <w:r>
        <w:rPr>
          <w:rFonts w:ascii="Times New Roman" w:hAnsi="Times New Roman" w:cs="Times New Roman"/>
          <w:bCs/>
          <w:sz w:val="16"/>
          <w:szCs w:val="20"/>
        </w:rPr>
        <w:t xml:space="preserve"> </w:t>
      </w:r>
      <w:r w:rsidRPr="00B458A7">
        <w:rPr>
          <w:rFonts w:ascii="Times New Roman" w:hAnsi="Times New Roman" w:cs="Times New Roman"/>
          <w:bCs/>
          <w:sz w:val="16"/>
          <w:szCs w:val="20"/>
        </w:rPr>
        <w:t>24(9):</w:t>
      </w:r>
      <w:r>
        <w:rPr>
          <w:rFonts w:ascii="Times New Roman" w:hAnsi="Times New Roman" w:cs="Times New Roman"/>
          <w:bCs/>
          <w:sz w:val="16"/>
          <w:szCs w:val="20"/>
        </w:rPr>
        <w:t xml:space="preserve"> </w:t>
      </w:r>
      <w:r w:rsidRPr="00B458A7">
        <w:rPr>
          <w:rFonts w:ascii="Times New Roman" w:hAnsi="Times New Roman" w:cs="Times New Roman"/>
          <w:bCs/>
          <w:sz w:val="16"/>
          <w:szCs w:val="20"/>
        </w:rPr>
        <w:t>1800-1809</w:t>
      </w:r>
    </w:p>
    <w:p w:rsidR="00B458A7" w:rsidRDefault="00B458A7"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[37] Kim S, Kim BY et al. “</w:t>
      </w:r>
      <w:r w:rsidRPr="00B458A7">
        <w:rPr>
          <w:rFonts w:ascii="Times New Roman" w:hAnsi="Times New Roman" w:cs="Times New Roman"/>
          <w:bCs/>
          <w:sz w:val="16"/>
          <w:szCs w:val="20"/>
        </w:rPr>
        <w:t>A Real-World Study of Long-Term Safety and Efficacy of Lobeglitazone in Korean Patients with Type 2 Diabetes Mellitus</w:t>
      </w:r>
      <w:r>
        <w:rPr>
          <w:rFonts w:ascii="Times New Roman" w:hAnsi="Times New Roman" w:cs="Times New Roman"/>
          <w:bCs/>
          <w:sz w:val="16"/>
          <w:szCs w:val="20"/>
        </w:rPr>
        <w:t xml:space="preserve">”, “Diabetes &amp; Metabolism Journal”, </w:t>
      </w:r>
      <w:r w:rsidRPr="00B458A7">
        <w:rPr>
          <w:rFonts w:ascii="Times New Roman" w:hAnsi="Times New Roman" w:cs="Times New Roman"/>
          <w:bCs/>
          <w:sz w:val="16"/>
          <w:szCs w:val="20"/>
        </w:rPr>
        <w:t>2022 Nov;</w:t>
      </w:r>
      <w:r>
        <w:rPr>
          <w:rFonts w:ascii="Times New Roman" w:hAnsi="Times New Roman" w:cs="Times New Roman"/>
          <w:bCs/>
          <w:sz w:val="16"/>
          <w:szCs w:val="20"/>
        </w:rPr>
        <w:t xml:space="preserve"> </w:t>
      </w:r>
      <w:r w:rsidRPr="00B458A7">
        <w:rPr>
          <w:rFonts w:ascii="Times New Roman" w:hAnsi="Times New Roman" w:cs="Times New Roman"/>
          <w:bCs/>
          <w:sz w:val="16"/>
          <w:szCs w:val="20"/>
        </w:rPr>
        <w:t>46(6):</w:t>
      </w:r>
      <w:r>
        <w:rPr>
          <w:rFonts w:ascii="Times New Roman" w:hAnsi="Times New Roman" w:cs="Times New Roman"/>
          <w:bCs/>
          <w:sz w:val="16"/>
          <w:szCs w:val="20"/>
        </w:rPr>
        <w:t xml:space="preserve"> </w:t>
      </w:r>
      <w:r w:rsidRPr="00B458A7">
        <w:rPr>
          <w:rFonts w:ascii="Times New Roman" w:hAnsi="Times New Roman" w:cs="Times New Roman"/>
          <w:bCs/>
          <w:sz w:val="16"/>
          <w:szCs w:val="20"/>
        </w:rPr>
        <w:t>855-865</w:t>
      </w:r>
    </w:p>
    <w:p w:rsidR="00231EAE" w:rsidRDefault="00231EAE"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lastRenderedPageBreak/>
        <w:t>[38] Joshi SR, Das S et al. “</w:t>
      </w:r>
      <w:r w:rsidRPr="00231EAE">
        <w:rPr>
          <w:rFonts w:ascii="Times New Roman" w:hAnsi="Times New Roman" w:cs="Times New Roman"/>
          <w:bCs/>
          <w:sz w:val="16"/>
          <w:szCs w:val="20"/>
        </w:rPr>
        <w:t>Efficacy and safety of lobeglitazone, a new Thiazolidinedione, as compared to the standard of care in type 2 diabetes mellitus: A systematic review and meta-analysis</w:t>
      </w:r>
      <w:r>
        <w:rPr>
          <w:rFonts w:ascii="Times New Roman" w:hAnsi="Times New Roman" w:cs="Times New Roman"/>
          <w:bCs/>
          <w:sz w:val="16"/>
          <w:szCs w:val="20"/>
        </w:rPr>
        <w:t>”, “</w:t>
      </w:r>
      <w:r w:rsidRPr="00231EAE">
        <w:rPr>
          <w:rFonts w:ascii="Times New Roman" w:hAnsi="Times New Roman" w:cs="Times New Roman"/>
          <w:bCs/>
          <w:sz w:val="16"/>
          <w:szCs w:val="20"/>
        </w:rPr>
        <w:t>Diabetes &amp; Metabolic Syndrome: Clinical Research &amp; Reviews</w:t>
      </w:r>
      <w:r>
        <w:rPr>
          <w:rFonts w:ascii="Times New Roman" w:hAnsi="Times New Roman" w:cs="Times New Roman"/>
          <w:bCs/>
          <w:sz w:val="16"/>
          <w:szCs w:val="20"/>
        </w:rPr>
        <w:t xml:space="preserve">”, </w:t>
      </w:r>
      <w:r w:rsidRPr="00231EAE">
        <w:rPr>
          <w:rFonts w:ascii="Times New Roman" w:hAnsi="Times New Roman" w:cs="Times New Roman"/>
          <w:bCs/>
          <w:sz w:val="16"/>
          <w:szCs w:val="20"/>
        </w:rPr>
        <w:t>2023 Jan;</w:t>
      </w:r>
      <w:r>
        <w:rPr>
          <w:rFonts w:ascii="Times New Roman" w:hAnsi="Times New Roman" w:cs="Times New Roman"/>
          <w:bCs/>
          <w:sz w:val="16"/>
          <w:szCs w:val="20"/>
        </w:rPr>
        <w:t xml:space="preserve"> </w:t>
      </w:r>
      <w:r w:rsidRPr="00231EAE">
        <w:rPr>
          <w:rFonts w:ascii="Times New Roman" w:hAnsi="Times New Roman" w:cs="Times New Roman"/>
          <w:bCs/>
          <w:sz w:val="16"/>
          <w:szCs w:val="20"/>
        </w:rPr>
        <w:t>17(1):</w:t>
      </w:r>
      <w:r>
        <w:rPr>
          <w:rFonts w:ascii="Times New Roman" w:hAnsi="Times New Roman" w:cs="Times New Roman"/>
          <w:bCs/>
          <w:sz w:val="16"/>
          <w:szCs w:val="20"/>
        </w:rPr>
        <w:t xml:space="preserve"> </w:t>
      </w:r>
      <w:r w:rsidRPr="00231EAE">
        <w:rPr>
          <w:rFonts w:ascii="Times New Roman" w:hAnsi="Times New Roman" w:cs="Times New Roman"/>
          <w:bCs/>
          <w:sz w:val="16"/>
          <w:szCs w:val="20"/>
        </w:rPr>
        <w:t>102703</w:t>
      </w:r>
    </w:p>
    <w:p w:rsidR="0085426C" w:rsidRDefault="0085426C"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[39] Lee JY, Cho Y et al. “</w:t>
      </w:r>
      <w:r w:rsidRPr="0085426C">
        <w:rPr>
          <w:rFonts w:ascii="Times New Roman" w:hAnsi="Times New Roman" w:cs="Times New Roman"/>
          <w:bCs/>
          <w:sz w:val="16"/>
          <w:szCs w:val="20"/>
        </w:rPr>
        <w:t>Clinical efficacy of the novel thiazolidinedione lobeglitazone in patients with type 2 diabetes</w:t>
      </w:r>
      <w:r>
        <w:rPr>
          <w:rFonts w:ascii="Times New Roman" w:hAnsi="Times New Roman" w:cs="Times New Roman"/>
          <w:bCs/>
          <w:sz w:val="16"/>
          <w:szCs w:val="20"/>
        </w:rPr>
        <w:t xml:space="preserve">”, “Diabetes &amp; Metabolism”, </w:t>
      </w:r>
      <w:r w:rsidRPr="0085426C">
        <w:rPr>
          <w:rFonts w:ascii="Times New Roman" w:hAnsi="Times New Roman" w:cs="Times New Roman"/>
          <w:bCs/>
          <w:sz w:val="16"/>
          <w:szCs w:val="20"/>
        </w:rPr>
        <w:t>2018 Nov;</w:t>
      </w:r>
      <w:r>
        <w:rPr>
          <w:rFonts w:ascii="Times New Roman" w:hAnsi="Times New Roman" w:cs="Times New Roman"/>
          <w:bCs/>
          <w:sz w:val="16"/>
          <w:szCs w:val="20"/>
        </w:rPr>
        <w:t xml:space="preserve"> </w:t>
      </w:r>
      <w:r w:rsidRPr="0085426C">
        <w:rPr>
          <w:rFonts w:ascii="Times New Roman" w:hAnsi="Times New Roman" w:cs="Times New Roman"/>
          <w:bCs/>
          <w:sz w:val="16"/>
          <w:szCs w:val="20"/>
        </w:rPr>
        <w:t>44(5):</w:t>
      </w:r>
      <w:r>
        <w:rPr>
          <w:rFonts w:ascii="Times New Roman" w:hAnsi="Times New Roman" w:cs="Times New Roman"/>
          <w:bCs/>
          <w:sz w:val="16"/>
          <w:szCs w:val="20"/>
        </w:rPr>
        <w:t xml:space="preserve"> </w:t>
      </w:r>
      <w:r w:rsidRPr="0085426C">
        <w:rPr>
          <w:rFonts w:ascii="Times New Roman" w:hAnsi="Times New Roman" w:cs="Times New Roman"/>
          <w:bCs/>
          <w:sz w:val="16"/>
          <w:szCs w:val="20"/>
        </w:rPr>
        <w:t>452-455</w:t>
      </w:r>
    </w:p>
    <w:p w:rsidR="0085426C" w:rsidRDefault="0085426C"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[40] </w:t>
      </w:r>
      <w:r w:rsidR="000A5D9E">
        <w:rPr>
          <w:rFonts w:ascii="Times New Roman" w:hAnsi="Times New Roman" w:cs="Times New Roman"/>
          <w:bCs/>
          <w:sz w:val="16"/>
          <w:szCs w:val="20"/>
        </w:rPr>
        <w:t>Kim SH, Jang HC et al. “</w:t>
      </w:r>
      <w:r w:rsidR="000A5D9E" w:rsidRPr="000A5D9E">
        <w:rPr>
          <w:rFonts w:ascii="Times New Roman" w:hAnsi="Times New Roman" w:cs="Times New Roman"/>
          <w:bCs/>
          <w:sz w:val="16"/>
          <w:szCs w:val="20"/>
        </w:rPr>
        <w:t>Safety and efficacy of lobeglitazone monotherapy in patients with type 2 diabetes mellitus over 52 weeks: An open-label extension study</w:t>
      </w:r>
      <w:r w:rsidR="000A5D9E">
        <w:rPr>
          <w:rFonts w:ascii="Times New Roman" w:hAnsi="Times New Roman" w:cs="Times New Roman"/>
          <w:bCs/>
          <w:sz w:val="16"/>
          <w:szCs w:val="20"/>
        </w:rPr>
        <w:t xml:space="preserve">”, “Diabetes Research &amp; Clinical Practice”, </w:t>
      </w:r>
      <w:r w:rsidR="000A5D9E" w:rsidRPr="000A5D9E">
        <w:rPr>
          <w:rFonts w:ascii="Times New Roman" w:hAnsi="Times New Roman" w:cs="Times New Roman"/>
          <w:bCs/>
          <w:sz w:val="16"/>
          <w:szCs w:val="20"/>
        </w:rPr>
        <w:t>2015 Dec;</w:t>
      </w:r>
      <w:r w:rsidR="000A5D9E">
        <w:rPr>
          <w:rFonts w:ascii="Times New Roman" w:hAnsi="Times New Roman" w:cs="Times New Roman"/>
          <w:bCs/>
          <w:sz w:val="16"/>
          <w:szCs w:val="20"/>
        </w:rPr>
        <w:t xml:space="preserve"> </w:t>
      </w:r>
      <w:r w:rsidR="000A5D9E" w:rsidRPr="000A5D9E">
        <w:rPr>
          <w:rFonts w:ascii="Times New Roman" w:hAnsi="Times New Roman" w:cs="Times New Roman"/>
          <w:bCs/>
          <w:sz w:val="16"/>
          <w:szCs w:val="20"/>
        </w:rPr>
        <w:t>110(3):</w:t>
      </w:r>
      <w:r w:rsidR="000A5D9E">
        <w:rPr>
          <w:rFonts w:ascii="Times New Roman" w:hAnsi="Times New Roman" w:cs="Times New Roman"/>
          <w:bCs/>
          <w:sz w:val="16"/>
          <w:szCs w:val="20"/>
        </w:rPr>
        <w:t xml:space="preserve"> </w:t>
      </w:r>
      <w:r w:rsidR="000A5D9E" w:rsidRPr="000A5D9E">
        <w:rPr>
          <w:rFonts w:ascii="Times New Roman" w:hAnsi="Times New Roman" w:cs="Times New Roman"/>
          <w:bCs/>
          <w:sz w:val="16"/>
          <w:szCs w:val="20"/>
        </w:rPr>
        <w:t>e27-30</w:t>
      </w:r>
    </w:p>
    <w:p w:rsidR="00207706" w:rsidRDefault="00207706"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[41] Seo DH, Suh YJ et al. “</w:t>
      </w:r>
      <w:r w:rsidRPr="00207706">
        <w:rPr>
          <w:rFonts w:ascii="Times New Roman" w:hAnsi="Times New Roman" w:cs="Times New Roman"/>
          <w:bCs/>
          <w:sz w:val="16"/>
          <w:szCs w:val="20"/>
        </w:rPr>
        <w:t>Effect of Dapagliflozin in Combination with Lobeglitazone and Metformin in Korean Patients with Type 2 Diabetes in Real-World Clinical Practice</w:t>
      </w:r>
      <w:r>
        <w:rPr>
          <w:rFonts w:ascii="Times New Roman" w:hAnsi="Times New Roman" w:cs="Times New Roman"/>
          <w:bCs/>
          <w:sz w:val="16"/>
          <w:szCs w:val="20"/>
        </w:rPr>
        <w:t xml:space="preserve">”, “Yonsei Medical Journal”, </w:t>
      </w:r>
      <w:r w:rsidRPr="00207706">
        <w:rPr>
          <w:rFonts w:ascii="Times New Roman" w:hAnsi="Times New Roman" w:cs="Times New Roman"/>
          <w:bCs/>
          <w:sz w:val="16"/>
          <w:szCs w:val="20"/>
        </w:rPr>
        <w:t>2022 Sep;</w:t>
      </w:r>
      <w:r>
        <w:rPr>
          <w:rFonts w:ascii="Times New Roman" w:hAnsi="Times New Roman" w:cs="Times New Roman"/>
          <w:bCs/>
          <w:sz w:val="16"/>
          <w:szCs w:val="20"/>
        </w:rPr>
        <w:t xml:space="preserve"> </w:t>
      </w:r>
      <w:r w:rsidRPr="00207706">
        <w:rPr>
          <w:rFonts w:ascii="Times New Roman" w:hAnsi="Times New Roman" w:cs="Times New Roman"/>
          <w:bCs/>
          <w:sz w:val="16"/>
          <w:szCs w:val="20"/>
        </w:rPr>
        <w:t>63(9):</w:t>
      </w:r>
      <w:r>
        <w:rPr>
          <w:rFonts w:ascii="Times New Roman" w:hAnsi="Times New Roman" w:cs="Times New Roman"/>
          <w:bCs/>
          <w:sz w:val="16"/>
          <w:szCs w:val="20"/>
        </w:rPr>
        <w:t xml:space="preserve"> </w:t>
      </w:r>
      <w:r w:rsidRPr="00207706">
        <w:rPr>
          <w:rFonts w:ascii="Times New Roman" w:hAnsi="Times New Roman" w:cs="Times New Roman"/>
          <w:bCs/>
          <w:sz w:val="16"/>
          <w:szCs w:val="20"/>
        </w:rPr>
        <w:t>825-833</w:t>
      </w:r>
    </w:p>
    <w:p w:rsidR="00A57F50" w:rsidRDefault="00A57F50"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[42] Dutta D, Bhattacharya S et al. “</w:t>
      </w:r>
      <w:r w:rsidRPr="00A57F50">
        <w:rPr>
          <w:rFonts w:ascii="Times New Roman" w:hAnsi="Times New Roman" w:cs="Times New Roman"/>
          <w:bCs/>
          <w:sz w:val="16"/>
          <w:szCs w:val="20"/>
        </w:rPr>
        <w:t>Efficacy and safety of novel thiazolidinedione lobeglitazone for managing type-2 diabetes a meta-analysis</w:t>
      </w:r>
      <w:r>
        <w:rPr>
          <w:rFonts w:ascii="Times New Roman" w:hAnsi="Times New Roman" w:cs="Times New Roman"/>
          <w:bCs/>
          <w:sz w:val="16"/>
          <w:szCs w:val="20"/>
        </w:rPr>
        <w:t>”, “</w:t>
      </w:r>
      <w:r w:rsidRPr="00231EAE">
        <w:rPr>
          <w:rFonts w:ascii="Times New Roman" w:hAnsi="Times New Roman" w:cs="Times New Roman"/>
          <w:bCs/>
          <w:sz w:val="16"/>
          <w:szCs w:val="20"/>
        </w:rPr>
        <w:t>Diabetes &amp; Metabolic Syndrome: Clinical Research &amp; Reviews</w:t>
      </w:r>
      <w:r>
        <w:rPr>
          <w:rFonts w:ascii="Times New Roman" w:hAnsi="Times New Roman" w:cs="Times New Roman"/>
          <w:bCs/>
          <w:sz w:val="16"/>
          <w:szCs w:val="20"/>
        </w:rPr>
        <w:t xml:space="preserve">”, </w:t>
      </w:r>
      <w:r w:rsidRPr="00A57F50">
        <w:rPr>
          <w:rFonts w:ascii="Times New Roman" w:hAnsi="Times New Roman" w:cs="Times New Roman"/>
          <w:bCs/>
          <w:sz w:val="16"/>
          <w:szCs w:val="20"/>
        </w:rPr>
        <w:t>2023 Jan;</w:t>
      </w:r>
      <w:r>
        <w:rPr>
          <w:rFonts w:ascii="Times New Roman" w:hAnsi="Times New Roman" w:cs="Times New Roman"/>
          <w:bCs/>
          <w:sz w:val="16"/>
          <w:szCs w:val="20"/>
        </w:rPr>
        <w:t xml:space="preserve"> </w:t>
      </w:r>
      <w:r w:rsidRPr="00A57F50">
        <w:rPr>
          <w:rFonts w:ascii="Times New Roman" w:hAnsi="Times New Roman" w:cs="Times New Roman"/>
          <w:bCs/>
          <w:sz w:val="16"/>
          <w:szCs w:val="20"/>
        </w:rPr>
        <w:t>17(1):</w:t>
      </w:r>
      <w:r>
        <w:rPr>
          <w:rFonts w:ascii="Times New Roman" w:hAnsi="Times New Roman" w:cs="Times New Roman"/>
          <w:bCs/>
          <w:sz w:val="16"/>
          <w:szCs w:val="20"/>
        </w:rPr>
        <w:t xml:space="preserve"> </w:t>
      </w:r>
      <w:r w:rsidRPr="00A57F50">
        <w:rPr>
          <w:rFonts w:ascii="Times New Roman" w:hAnsi="Times New Roman" w:cs="Times New Roman"/>
          <w:bCs/>
          <w:sz w:val="16"/>
          <w:szCs w:val="20"/>
        </w:rPr>
        <w:t>102697</w:t>
      </w:r>
    </w:p>
    <w:p w:rsidR="007716A1" w:rsidRDefault="007716A1"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[43] Lim S, Ku EJ et al. “</w:t>
      </w:r>
      <w:r w:rsidRPr="007716A1">
        <w:rPr>
          <w:rFonts w:ascii="Times New Roman" w:hAnsi="Times New Roman" w:cs="Times New Roman"/>
          <w:bCs/>
          <w:sz w:val="16"/>
          <w:szCs w:val="20"/>
        </w:rPr>
        <w:t xml:space="preserve">Therapeutic efficacy and safety of initial triple combination of metformin, sitagliptin, and lobeglitazone in drug-naïve patients with type 2 </w:t>
      </w:r>
      <w:r>
        <w:rPr>
          <w:rFonts w:ascii="Times New Roman" w:hAnsi="Times New Roman" w:cs="Times New Roman"/>
          <w:bCs/>
          <w:sz w:val="16"/>
          <w:szCs w:val="20"/>
        </w:rPr>
        <w:t>diabetes: initial triple study”, “</w:t>
      </w:r>
      <w:r w:rsidRPr="007716A1">
        <w:rPr>
          <w:rFonts w:ascii="Times New Roman" w:hAnsi="Times New Roman" w:cs="Times New Roman"/>
          <w:bCs/>
          <w:sz w:val="16"/>
          <w:szCs w:val="20"/>
        </w:rPr>
        <w:t>BMJ Open Diabetes Res</w:t>
      </w:r>
      <w:r>
        <w:rPr>
          <w:rFonts w:ascii="Times New Roman" w:hAnsi="Times New Roman" w:cs="Times New Roman"/>
          <w:bCs/>
          <w:sz w:val="16"/>
          <w:szCs w:val="20"/>
        </w:rPr>
        <w:t xml:space="preserve">earch &amp; Care”, </w:t>
      </w:r>
      <w:r w:rsidRPr="007716A1">
        <w:rPr>
          <w:rFonts w:ascii="Times New Roman" w:hAnsi="Times New Roman" w:cs="Times New Roman"/>
          <w:bCs/>
          <w:sz w:val="16"/>
          <w:szCs w:val="20"/>
        </w:rPr>
        <w:t>2020 Jan;</w:t>
      </w:r>
      <w:r>
        <w:rPr>
          <w:rFonts w:ascii="Times New Roman" w:hAnsi="Times New Roman" w:cs="Times New Roman"/>
          <w:bCs/>
          <w:sz w:val="16"/>
          <w:szCs w:val="20"/>
        </w:rPr>
        <w:t xml:space="preserve"> </w:t>
      </w:r>
      <w:r w:rsidRPr="007716A1">
        <w:rPr>
          <w:rFonts w:ascii="Times New Roman" w:hAnsi="Times New Roman" w:cs="Times New Roman"/>
          <w:bCs/>
          <w:sz w:val="16"/>
          <w:szCs w:val="20"/>
        </w:rPr>
        <w:t>8(1):</w:t>
      </w:r>
      <w:r>
        <w:rPr>
          <w:rFonts w:ascii="Times New Roman" w:hAnsi="Times New Roman" w:cs="Times New Roman"/>
          <w:bCs/>
          <w:sz w:val="16"/>
          <w:szCs w:val="20"/>
        </w:rPr>
        <w:t xml:space="preserve"> </w:t>
      </w:r>
      <w:r w:rsidRPr="007716A1">
        <w:rPr>
          <w:rFonts w:ascii="Times New Roman" w:hAnsi="Times New Roman" w:cs="Times New Roman"/>
          <w:bCs/>
          <w:sz w:val="16"/>
          <w:szCs w:val="20"/>
        </w:rPr>
        <w:t>e000807</w:t>
      </w:r>
    </w:p>
    <w:p w:rsidR="007947EF" w:rsidRDefault="007716A1"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[44</w:t>
      </w:r>
      <w:r w:rsidR="007947EF">
        <w:rPr>
          <w:rFonts w:ascii="Times New Roman" w:hAnsi="Times New Roman" w:cs="Times New Roman"/>
          <w:bCs/>
          <w:sz w:val="16"/>
          <w:szCs w:val="20"/>
        </w:rPr>
        <w:t>] Shin D, Kim TE et al. “</w:t>
      </w:r>
      <w:r w:rsidR="007947EF" w:rsidRPr="007947EF">
        <w:rPr>
          <w:rFonts w:ascii="Times New Roman" w:hAnsi="Times New Roman" w:cs="Times New Roman"/>
          <w:bCs/>
          <w:sz w:val="16"/>
          <w:szCs w:val="20"/>
        </w:rPr>
        <w:t>Assessment of the pharmacokinetics of co-administered metformin and lobeglitazone, a thiazolidinedione antihyperglycemic agent, in healthy subjects</w:t>
      </w:r>
      <w:r w:rsidR="007947EF">
        <w:rPr>
          <w:rFonts w:ascii="Times New Roman" w:hAnsi="Times New Roman" w:cs="Times New Roman"/>
          <w:bCs/>
          <w:sz w:val="16"/>
          <w:szCs w:val="20"/>
        </w:rPr>
        <w:t xml:space="preserve">”, “Current Medical Research &amp; Opinion”, </w:t>
      </w:r>
      <w:r w:rsidR="007947EF" w:rsidRPr="007947EF">
        <w:rPr>
          <w:rFonts w:ascii="Times New Roman" w:hAnsi="Times New Roman" w:cs="Times New Roman"/>
          <w:bCs/>
          <w:sz w:val="16"/>
          <w:szCs w:val="20"/>
        </w:rPr>
        <w:t>2012 Jul;</w:t>
      </w:r>
      <w:r w:rsidR="007947EF">
        <w:rPr>
          <w:rFonts w:ascii="Times New Roman" w:hAnsi="Times New Roman" w:cs="Times New Roman"/>
          <w:bCs/>
          <w:sz w:val="16"/>
          <w:szCs w:val="20"/>
        </w:rPr>
        <w:t xml:space="preserve"> </w:t>
      </w:r>
      <w:r w:rsidR="007947EF" w:rsidRPr="007947EF">
        <w:rPr>
          <w:rFonts w:ascii="Times New Roman" w:hAnsi="Times New Roman" w:cs="Times New Roman"/>
          <w:bCs/>
          <w:sz w:val="16"/>
          <w:szCs w:val="20"/>
        </w:rPr>
        <w:t>28(7):</w:t>
      </w:r>
      <w:r w:rsidR="007947EF">
        <w:rPr>
          <w:rFonts w:ascii="Times New Roman" w:hAnsi="Times New Roman" w:cs="Times New Roman"/>
          <w:bCs/>
          <w:sz w:val="16"/>
          <w:szCs w:val="20"/>
        </w:rPr>
        <w:t xml:space="preserve"> </w:t>
      </w:r>
      <w:r w:rsidR="007947EF" w:rsidRPr="007947EF">
        <w:rPr>
          <w:rFonts w:ascii="Times New Roman" w:hAnsi="Times New Roman" w:cs="Times New Roman"/>
          <w:bCs/>
          <w:sz w:val="16"/>
          <w:szCs w:val="20"/>
        </w:rPr>
        <w:t>1213-</w:t>
      </w:r>
      <w:r w:rsidR="007947EF">
        <w:rPr>
          <w:rFonts w:ascii="Times New Roman" w:hAnsi="Times New Roman" w:cs="Times New Roman"/>
          <w:bCs/>
          <w:sz w:val="16"/>
          <w:szCs w:val="20"/>
        </w:rPr>
        <w:t>12</w:t>
      </w:r>
      <w:r w:rsidR="007947EF" w:rsidRPr="007947EF">
        <w:rPr>
          <w:rFonts w:ascii="Times New Roman" w:hAnsi="Times New Roman" w:cs="Times New Roman"/>
          <w:bCs/>
          <w:sz w:val="16"/>
          <w:szCs w:val="20"/>
        </w:rPr>
        <w:t>20</w:t>
      </w:r>
    </w:p>
    <w:p w:rsidR="000C65CE" w:rsidRDefault="007716A1"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[45</w:t>
      </w:r>
      <w:r w:rsidR="000C65CE">
        <w:rPr>
          <w:rFonts w:ascii="Times New Roman" w:hAnsi="Times New Roman" w:cs="Times New Roman"/>
          <w:bCs/>
          <w:sz w:val="16"/>
          <w:szCs w:val="20"/>
        </w:rPr>
        <w:t>] Moon SJ, Yu KS, Kim MG. “</w:t>
      </w:r>
      <w:r w:rsidR="000C65CE" w:rsidRPr="000C65CE">
        <w:rPr>
          <w:rFonts w:ascii="Times New Roman" w:hAnsi="Times New Roman" w:cs="Times New Roman"/>
          <w:bCs/>
          <w:sz w:val="16"/>
          <w:szCs w:val="20"/>
        </w:rPr>
        <w:t>An Assessment of Pharmacokinetic Interaction Between Lobeglitazone and Sitagliptin After Multiple Oral Administrations in Healthy Men”, “Clinical Therapeutics”, 2020 Jun; 42(6): 1047-1057</w:t>
      </w:r>
    </w:p>
    <w:p w:rsidR="000C65CE" w:rsidRDefault="007716A1"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[46</w:t>
      </w:r>
      <w:r w:rsidR="000C65CE">
        <w:rPr>
          <w:rFonts w:ascii="Times New Roman" w:hAnsi="Times New Roman" w:cs="Times New Roman"/>
          <w:bCs/>
          <w:sz w:val="16"/>
          <w:szCs w:val="20"/>
        </w:rPr>
        <w:t>] Jang K, Jeon JY et al. “</w:t>
      </w:r>
      <w:r w:rsidR="000C65CE" w:rsidRPr="000C65CE">
        <w:rPr>
          <w:rFonts w:ascii="Times New Roman" w:hAnsi="Times New Roman" w:cs="Times New Roman"/>
          <w:bCs/>
          <w:sz w:val="16"/>
          <w:szCs w:val="20"/>
        </w:rPr>
        <w:t>Evaluation of the Pharmacokinetic Interaction Between Lobeglitazone and Dapagliflozin at Steady State</w:t>
      </w:r>
      <w:r w:rsidR="000C65CE">
        <w:rPr>
          <w:rFonts w:ascii="Times New Roman" w:hAnsi="Times New Roman" w:cs="Times New Roman"/>
          <w:bCs/>
          <w:sz w:val="16"/>
          <w:szCs w:val="20"/>
        </w:rPr>
        <w:t xml:space="preserve">”, “Clinical Therapeutics”, </w:t>
      </w:r>
      <w:r w:rsidR="000C65CE" w:rsidRPr="000C65CE">
        <w:rPr>
          <w:rFonts w:ascii="Times New Roman" w:hAnsi="Times New Roman" w:cs="Times New Roman"/>
          <w:bCs/>
          <w:sz w:val="16"/>
          <w:szCs w:val="20"/>
        </w:rPr>
        <w:t>2020 Feb;</w:t>
      </w:r>
      <w:r w:rsidR="000C65CE">
        <w:rPr>
          <w:rFonts w:ascii="Times New Roman" w:hAnsi="Times New Roman" w:cs="Times New Roman"/>
          <w:bCs/>
          <w:sz w:val="16"/>
          <w:szCs w:val="20"/>
        </w:rPr>
        <w:t xml:space="preserve"> </w:t>
      </w:r>
      <w:r w:rsidR="000C65CE" w:rsidRPr="000C65CE">
        <w:rPr>
          <w:rFonts w:ascii="Times New Roman" w:hAnsi="Times New Roman" w:cs="Times New Roman"/>
          <w:bCs/>
          <w:sz w:val="16"/>
          <w:szCs w:val="20"/>
        </w:rPr>
        <w:t>42(2):</w:t>
      </w:r>
      <w:r w:rsidR="000C65CE">
        <w:rPr>
          <w:rFonts w:ascii="Times New Roman" w:hAnsi="Times New Roman" w:cs="Times New Roman"/>
          <w:bCs/>
          <w:sz w:val="16"/>
          <w:szCs w:val="20"/>
        </w:rPr>
        <w:t xml:space="preserve"> </w:t>
      </w:r>
      <w:r w:rsidR="000C65CE" w:rsidRPr="000C65CE">
        <w:rPr>
          <w:rFonts w:ascii="Times New Roman" w:hAnsi="Times New Roman" w:cs="Times New Roman"/>
          <w:bCs/>
          <w:sz w:val="16"/>
          <w:szCs w:val="20"/>
        </w:rPr>
        <w:t>295-304</w:t>
      </w:r>
    </w:p>
    <w:p w:rsidR="00E22BA4" w:rsidRDefault="007716A1"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[47</w:t>
      </w:r>
      <w:r w:rsidR="00E22BA4">
        <w:rPr>
          <w:rFonts w:ascii="Times New Roman" w:hAnsi="Times New Roman" w:cs="Times New Roman"/>
          <w:bCs/>
          <w:sz w:val="16"/>
          <w:szCs w:val="20"/>
        </w:rPr>
        <w:t>] Kim CO, Oh ES et al. “</w:t>
      </w:r>
      <w:r w:rsidR="00E22BA4" w:rsidRPr="00E22BA4">
        <w:rPr>
          <w:rFonts w:ascii="Times New Roman" w:hAnsi="Times New Roman" w:cs="Times New Roman"/>
          <w:bCs/>
          <w:sz w:val="16"/>
          <w:szCs w:val="20"/>
        </w:rPr>
        <w:t>Pharmacokinetic Interaction Between Amlodipine and Lobeglitazone, a Novel Peroxisome Proliferator-activated Receptor-γ Agonist, in Healthy Subjects</w:t>
      </w:r>
      <w:r w:rsidR="00E22BA4">
        <w:rPr>
          <w:rFonts w:ascii="Times New Roman" w:hAnsi="Times New Roman" w:cs="Times New Roman"/>
          <w:bCs/>
          <w:sz w:val="16"/>
          <w:szCs w:val="20"/>
        </w:rPr>
        <w:t xml:space="preserve">”, “Clinical Therapeutics”, </w:t>
      </w:r>
      <w:r w:rsidR="00E22BA4" w:rsidRPr="00E22BA4">
        <w:rPr>
          <w:rFonts w:ascii="Times New Roman" w:hAnsi="Times New Roman" w:cs="Times New Roman"/>
          <w:bCs/>
          <w:sz w:val="16"/>
          <w:szCs w:val="20"/>
        </w:rPr>
        <w:t>2015 Sep;</w:t>
      </w:r>
      <w:r w:rsidR="00E22BA4">
        <w:rPr>
          <w:rFonts w:ascii="Times New Roman" w:hAnsi="Times New Roman" w:cs="Times New Roman"/>
          <w:bCs/>
          <w:sz w:val="16"/>
          <w:szCs w:val="20"/>
        </w:rPr>
        <w:t xml:space="preserve"> </w:t>
      </w:r>
      <w:r w:rsidR="00E22BA4" w:rsidRPr="00E22BA4">
        <w:rPr>
          <w:rFonts w:ascii="Times New Roman" w:hAnsi="Times New Roman" w:cs="Times New Roman"/>
          <w:bCs/>
          <w:sz w:val="16"/>
          <w:szCs w:val="20"/>
        </w:rPr>
        <w:t>37(9):</w:t>
      </w:r>
      <w:r w:rsidR="00E22BA4">
        <w:rPr>
          <w:rFonts w:ascii="Times New Roman" w:hAnsi="Times New Roman" w:cs="Times New Roman"/>
          <w:bCs/>
          <w:sz w:val="16"/>
          <w:szCs w:val="20"/>
        </w:rPr>
        <w:t xml:space="preserve"> </w:t>
      </w:r>
      <w:r w:rsidR="00E22BA4" w:rsidRPr="00E22BA4">
        <w:rPr>
          <w:rFonts w:ascii="Times New Roman" w:hAnsi="Times New Roman" w:cs="Times New Roman"/>
          <w:bCs/>
          <w:sz w:val="16"/>
          <w:szCs w:val="20"/>
        </w:rPr>
        <w:t>1999-2006</w:t>
      </w:r>
    </w:p>
    <w:p w:rsidR="0075752A" w:rsidRDefault="007716A1"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[48</w:t>
      </w:r>
      <w:r w:rsidR="0075752A">
        <w:rPr>
          <w:rFonts w:ascii="Times New Roman" w:hAnsi="Times New Roman" w:cs="Times New Roman"/>
          <w:bCs/>
          <w:sz w:val="16"/>
          <w:szCs w:val="20"/>
        </w:rPr>
        <w:t>] Ko JW, Jung JA et al. “</w:t>
      </w:r>
      <w:r w:rsidR="0075752A" w:rsidRPr="0075752A">
        <w:rPr>
          <w:rFonts w:ascii="Times New Roman" w:hAnsi="Times New Roman" w:cs="Times New Roman"/>
          <w:bCs/>
          <w:sz w:val="16"/>
          <w:szCs w:val="20"/>
        </w:rPr>
        <w:t>Lack of the effect of lobeglitazone, a peroxisome proliferator-activated receptor-γ agonist, on the pharmacokinetics and pharmacodynamics of warfarin</w:t>
      </w:r>
      <w:r w:rsidR="0075752A">
        <w:rPr>
          <w:rFonts w:ascii="Times New Roman" w:hAnsi="Times New Roman" w:cs="Times New Roman"/>
          <w:bCs/>
          <w:sz w:val="16"/>
          <w:szCs w:val="20"/>
        </w:rPr>
        <w:t xml:space="preserve">”, “Drug Design, Development &amp; Therapy”, </w:t>
      </w:r>
      <w:r w:rsidR="0075752A" w:rsidRPr="0075752A">
        <w:rPr>
          <w:rFonts w:ascii="Times New Roman" w:hAnsi="Times New Roman" w:cs="Times New Roman"/>
          <w:bCs/>
          <w:sz w:val="16"/>
          <w:szCs w:val="20"/>
        </w:rPr>
        <w:t>2015 Mar</w:t>
      </w:r>
      <w:r w:rsidR="0075752A">
        <w:rPr>
          <w:rFonts w:ascii="Times New Roman" w:hAnsi="Times New Roman" w:cs="Times New Roman"/>
          <w:bCs/>
          <w:sz w:val="16"/>
          <w:szCs w:val="20"/>
        </w:rPr>
        <w:t>; 2(</w:t>
      </w:r>
      <w:r w:rsidR="0075752A" w:rsidRPr="0075752A">
        <w:rPr>
          <w:rFonts w:ascii="Times New Roman" w:hAnsi="Times New Roman" w:cs="Times New Roman"/>
          <w:bCs/>
          <w:sz w:val="16"/>
          <w:szCs w:val="20"/>
        </w:rPr>
        <w:t>9</w:t>
      </w:r>
      <w:r w:rsidR="0075752A">
        <w:rPr>
          <w:rFonts w:ascii="Times New Roman" w:hAnsi="Times New Roman" w:cs="Times New Roman"/>
          <w:bCs/>
          <w:sz w:val="16"/>
          <w:szCs w:val="20"/>
        </w:rPr>
        <w:t>)</w:t>
      </w:r>
      <w:r w:rsidR="0075752A" w:rsidRPr="0075752A">
        <w:rPr>
          <w:rFonts w:ascii="Times New Roman" w:hAnsi="Times New Roman" w:cs="Times New Roman"/>
          <w:bCs/>
          <w:sz w:val="16"/>
          <w:szCs w:val="20"/>
        </w:rPr>
        <w:t>:</w:t>
      </w:r>
      <w:r w:rsidR="0075752A">
        <w:rPr>
          <w:rFonts w:ascii="Times New Roman" w:hAnsi="Times New Roman" w:cs="Times New Roman"/>
          <w:bCs/>
          <w:sz w:val="16"/>
          <w:szCs w:val="20"/>
        </w:rPr>
        <w:t xml:space="preserve"> </w:t>
      </w:r>
      <w:r w:rsidR="0075752A" w:rsidRPr="0075752A">
        <w:rPr>
          <w:rFonts w:ascii="Times New Roman" w:hAnsi="Times New Roman" w:cs="Times New Roman"/>
          <w:bCs/>
          <w:sz w:val="16"/>
          <w:szCs w:val="20"/>
        </w:rPr>
        <w:t>737-</w:t>
      </w:r>
      <w:r w:rsidR="0075752A">
        <w:rPr>
          <w:rFonts w:ascii="Times New Roman" w:hAnsi="Times New Roman" w:cs="Times New Roman"/>
          <w:bCs/>
          <w:sz w:val="16"/>
          <w:szCs w:val="20"/>
        </w:rPr>
        <w:t>7</w:t>
      </w:r>
      <w:r w:rsidR="0075752A" w:rsidRPr="0075752A">
        <w:rPr>
          <w:rFonts w:ascii="Times New Roman" w:hAnsi="Times New Roman" w:cs="Times New Roman"/>
          <w:bCs/>
          <w:sz w:val="16"/>
          <w:szCs w:val="20"/>
        </w:rPr>
        <w:t>43</w:t>
      </w:r>
    </w:p>
    <w:p w:rsidR="00697549" w:rsidRDefault="007716A1"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[49</w:t>
      </w:r>
      <w:r w:rsidR="00697549">
        <w:rPr>
          <w:rFonts w:ascii="Times New Roman" w:hAnsi="Times New Roman" w:cs="Times New Roman"/>
          <w:bCs/>
          <w:sz w:val="16"/>
          <w:szCs w:val="20"/>
        </w:rPr>
        <w:t>] Oh ES, Kim CO et al. “</w:t>
      </w:r>
      <w:r w:rsidR="00697549" w:rsidRPr="00697549">
        <w:rPr>
          <w:rFonts w:ascii="Times New Roman" w:hAnsi="Times New Roman" w:cs="Times New Roman"/>
          <w:bCs/>
          <w:sz w:val="16"/>
          <w:szCs w:val="20"/>
        </w:rPr>
        <w:t>Effect of ketoconazole on lobeglitazone pharmacokinetics in Korean volunteers”, “Clinical Therapeutics”, 2014 Jul 1; 36(7): 1064-1071</w:t>
      </w:r>
    </w:p>
    <w:p w:rsidR="00D362B8" w:rsidRDefault="006C117A"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[50] Chalasani N, Younossi Z et al. “</w:t>
      </w:r>
      <w:r w:rsidRPr="006C117A">
        <w:rPr>
          <w:rFonts w:ascii="Times New Roman" w:hAnsi="Times New Roman" w:cs="Times New Roman"/>
          <w:bCs/>
          <w:sz w:val="16"/>
          <w:szCs w:val="20"/>
        </w:rPr>
        <w:t>The diagnosis and management of non-alcoholic fatty liver disease: practice guideline by the American Gastroenterological Association, American Association for the Study of Liver Diseases, and Americ</w:t>
      </w:r>
      <w:r>
        <w:rPr>
          <w:rFonts w:ascii="Times New Roman" w:hAnsi="Times New Roman" w:cs="Times New Roman"/>
          <w:bCs/>
          <w:sz w:val="16"/>
          <w:szCs w:val="20"/>
        </w:rPr>
        <w:t>an College of Gastroenterology”, “Gastroenterology”,</w:t>
      </w:r>
      <w:r w:rsidRPr="006C117A">
        <w:rPr>
          <w:rFonts w:ascii="Times New Roman" w:hAnsi="Times New Roman" w:cs="Times New Roman"/>
          <w:bCs/>
          <w:sz w:val="16"/>
          <w:szCs w:val="20"/>
        </w:rPr>
        <w:t xml:space="preserve"> 2012 Jun;</w:t>
      </w:r>
      <w:r>
        <w:rPr>
          <w:rFonts w:ascii="Times New Roman" w:hAnsi="Times New Roman" w:cs="Times New Roman"/>
          <w:bCs/>
          <w:sz w:val="16"/>
          <w:szCs w:val="20"/>
        </w:rPr>
        <w:t xml:space="preserve"> </w:t>
      </w:r>
      <w:r w:rsidRPr="006C117A">
        <w:rPr>
          <w:rFonts w:ascii="Times New Roman" w:hAnsi="Times New Roman" w:cs="Times New Roman"/>
          <w:bCs/>
          <w:sz w:val="16"/>
          <w:szCs w:val="20"/>
        </w:rPr>
        <w:t>142(7):</w:t>
      </w:r>
      <w:r>
        <w:rPr>
          <w:rFonts w:ascii="Times New Roman" w:hAnsi="Times New Roman" w:cs="Times New Roman"/>
          <w:bCs/>
          <w:sz w:val="16"/>
          <w:szCs w:val="20"/>
        </w:rPr>
        <w:t xml:space="preserve"> </w:t>
      </w:r>
      <w:r w:rsidRPr="006C117A">
        <w:rPr>
          <w:rFonts w:ascii="Times New Roman" w:hAnsi="Times New Roman" w:cs="Times New Roman"/>
          <w:bCs/>
          <w:sz w:val="16"/>
          <w:szCs w:val="20"/>
        </w:rPr>
        <w:t>1592-</w:t>
      </w:r>
      <w:r>
        <w:rPr>
          <w:rFonts w:ascii="Times New Roman" w:hAnsi="Times New Roman" w:cs="Times New Roman"/>
          <w:bCs/>
          <w:sz w:val="16"/>
          <w:szCs w:val="20"/>
        </w:rPr>
        <w:t>1</w:t>
      </w:r>
      <w:r w:rsidRPr="006C117A">
        <w:rPr>
          <w:rFonts w:ascii="Times New Roman" w:hAnsi="Times New Roman" w:cs="Times New Roman"/>
          <w:bCs/>
          <w:sz w:val="16"/>
          <w:szCs w:val="20"/>
        </w:rPr>
        <w:t>609</w:t>
      </w:r>
    </w:p>
    <w:p w:rsidR="001C4DF6" w:rsidRDefault="001C4DF6"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[51] Lee BW, Kim JH et al. “</w:t>
      </w:r>
      <w:r w:rsidRPr="001C4DF6">
        <w:rPr>
          <w:rFonts w:ascii="Times New Roman" w:hAnsi="Times New Roman" w:cs="Times New Roman"/>
          <w:bCs/>
          <w:sz w:val="16"/>
          <w:szCs w:val="20"/>
        </w:rPr>
        <w:t>Lobeglitazone, a Novel Thiazolidinedione, Improves Non-Alcoholic Fatty Liver Disease in Type 2 Diabetes: Its Efficacy and Predictive Factors Related to Responsiveness</w:t>
      </w:r>
      <w:r>
        <w:rPr>
          <w:rFonts w:ascii="Times New Roman" w:hAnsi="Times New Roman" w:cs="Times New Roman"/>
          <w:bCs/>
          <w:sz w:val="16"/>
          <w:szCs w:val="20"/>
        </w:rPr>
        <w:t xml:space="preserve">”, “Journal of Korean Medical Science”, </w:t>
      </w:r>
      <w:r w:rsidRPr="001C4DF6">
        <w:rPr>
          <w:rFonts w:ascii="Times New Roman" w:hAnsi="Times New Roman" w:cs="Times New Roman"/>
          <w:bCs/>
          <w:sz w:val="16"/>
          <w:szCs w:val="20"/>
        </w:rPr>
        <w:t>2017 Jan;</w:t>
      </w:r>
      <w:r>
        <w:rPr>
          <w:rFonts w:ascii="Times New Roman" w:hAnsi="Times New Roman" w:cs="Times New Roman"/>
          <w:bCs/>
          <w:sz w:val="16"/>
          <w:szCs w:val="20"/>
        </w:rPr>
        <w:t xml:space="preserve"> </w:t>
      </w:r>
      <w:r w:rsidRPr="001C4DF6">
        <w:rPr>
          <w:rFonts w:ascii="Times New Roman" w:hAnsi="Times New Roman" w:cs="Times New Roman"/>
          <w:bCs/>
          <w:sz w:val="16"/>
          <w:szCs w:val="20"/>
        </w:rPr>
        <w:t>32(1):</w:t>
      </w:r>
      <w:r>
        <w:rPr>
          <w:rFonts w:ascii="Times New Roman" w:hAnsi="Times New Roman" w:cs="Times New Roman"/>
          <w:bCs/>
          <w:sz w:val="16"/>
          <w:szCs w:val="20"/>
        </w:rPr>
        <w:t xml:space="preserve"> </w:t>
      </w:r>
      <w:r w:rsidRPr="001C4DF6">
        <w:rPr>
          <w:rFonts w:ascii="Times New Roman" w:hAnsi="Times New Roman" w:cs="Times New Roman"/>
          <w:bCs/>
          <w:sz w:val="16"/>
          <w:szCs w:val="20"/>
        </w:rPr>
        <w:t>60-69</w:t>
      </w:r>
    </w:p>
    <w:p w:rsidR="00D362B8" w:rsidRDefault="001C4DF6"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[52</w:t>
      </w:r>
      <w:r w:rsidR="00D362B8">
        <w:rPr>
          <w:rFonts w:ascii="Times New Roman" w:hAnsi="Times New Roman" w:cs="Times New Roman"/>
          <w:bCs/>
          <w:sz w:val="16"/>
          <w:szCs w:val="20"/>
        </w:rPr>
        <w:t>] Kim J, Yoo J et al. “</w:t>
      </w:r>
      <w:r w:rsidR="00D362B8" w:rsidRPr="00D362B8">
        <w:rPr>
          <w:rFonts w:ascii="Times New Roman" w:hAnsi="Times New Roman" w:cs="Times New Roman"/>
          <w:bCs/>
          <w:sz w:val="16"/>
          <w:szCs w:val="20"/>
        </w:rPr>
        <w:t>Lobeglitazone, a novel thiazolidinedione, for secondary prevention in patients with ischemic stroke: a natio</w:t>
      </w:r>
      <w:r w:rsidR="00D362B8">
        <w:rPr>
          <w:rFonts w:ascii="Times New Roman" w:hAnsi="Times New Roman" w:cs="Times New Roman"/>
          <w:bCs/>
          <w:sz w:val="16"/>
          <w:szCs w:val="20"/>
        </w:rPr>
        <w:t>nwide nested case-control study”,</w:t>
      </w:r>
      <w:r w:rsidR="00D362B8" w:rsidRPr="00D362B8">
        <w:rPr>
          <w:rFonts w:ascii="Times New Roman" w:hAnsi="Times New Roman" w:cs="Times New Roman"/>
          <w:bCs/>
          <w:sz w:val="16"/>
          <w:szCs w:val="20"/>
        </w:rPr>
        <w:t xml:space="preserve"> </w:t>
      </w:r>
      <w:r w:rsidR="00D362B8">
        <w:rPr>
          <w:rFonts w:ascii="Times New Roman" w:hAnsi="Times New Roman" w:cs="Times New Roman"/>
          <w:bCs/>
          <w:sz w:val="16"/>
          <w:szCs w:val="20"/>
        </w:rPr>
        <w:t>“</w:t>
      </w:r>
      <w:r w:rsidR="00D362B8" w:rsidRPr="00D362B8">
        <w:rPr>
          <w:rFonts w:ascii="Times New Roman" w:hAnsi="Times New Roman" w:cs="Times New Roman"/>
          <w:bCs/>
          <w:sz w:val="16"/>
          <w:szCs w:val="20"/>
        </w:rPr>
        <w:t>Cardiovasc</w:t>
      </w:r>
      <w:r w:rsidR="00D362B8">
        <w:rPr>
          <w:rFonts w:ascii="Times New Roman" w:hAnsi="Times New Roman" w:cs="Times New Roman"/>
          <w:bCs/>
          <w:sz w:val="16"/>
          <w:szCs w:val="20"/>
        </w:rPr>
        <w:t>ular</w:t>
      </w:r>
      <w:r w:rsidR="00D362B8" w:rsidRPr="00D362B8">
        <w:rPr>
          <w:rFonts w:ascii="Times New Roman" w:hAnsi="Times New Roman" w:cs="Times New Roman"/>
          <w:bCs/>
          <w:sz w:val="16"/>
          <w:szCs w:val="20"/>
        </w:rPr>
        <w:t xml:space="preserve"> Diabetol</w:t>
      </w:r>
      <w:r w:rsidR="00D362B8">
        <w:rPr>
          <w:rFonts w:ascii="Times New Roman" w:hAnsi="Times New Roman" w:cs="Times New Roman"/>
          <w:bCs/>
          <w:sz w:val="16"/>
          <w:szCs w:val="20"/>
        </w:rPr>
        <w:t>ogy”,</w:t>
      </w:r>
      <w:r w:rsidR="00D362B8" w:rsidRPr="00D362B8">
        <w:rPr>
          <w:rFonts w:ascii="Times New Roman" w:hAnsi="Times New Roman" w:cs="Times New Roman"/>
          <w:bCs/>
          <w:sz w:val="16"/>
          <w:szCs w:val="20"/>
        </w:rPr>
        <w:t xml:space="preserve"> 2023 May 5;</w:t>
      </w:r>
      <w:r w:rsidR="00D362B8">
        <w:rPr>
          <w:rFonts w:ascii="Times New Roman" w:hAnsi="Times New Roman" w:cs="Times New Roman"/>
          <w:bCs/>
          <w:sz w:val="16"/>
          <w:szCs w:val="20"/>
        </w:rPr>
        <w:t xml:space="preserve"> </w:t>
      </w:r>
      <w:r w:rsidR="00D362B8" w:rsidRPr="00D362B8">
        <w:rPr>
          <w:rFonts w:ascii="Times New Roman" w:hAnsi="Times New Roman" w:cs="Times New Roman"/>
          <w:bCs/>
          <w:sz w:val="16"/>
          <w:szCs w:val="20"/>
        </w:rPr>
        <w:t>22(1):</w:t>
      </w:r>
      <w:r w:rsidR="00D362B8">
        <w:rPr>
          <w:rFonts w:ascii="Times New Roman" w:hAnsi="Times New Roman" w:cs="Times New Roman"/>
          <w:bCs/>
          <w:sz w:val="16"/>
          <w:szCs w:val="20"/>
        </w:rPr>
        <w:t xml:space="preserve"> </w:t>
      </w:r>
      <w:r w:rsidR="00D362B8" w:rsidRPr="00D362B8">
        <w:rPr>
          <w:rFonts w:ascii="Times New Roman" w:hAnsi="Times New Roman" w:cs="Times New Roman"/>
          <w:bCs/>
          <w:sz w:val="16"/>
          <w:szCs w:val="20"/>
        </w:rPr>
        <w:t>106</w:t>
      </w:r>
    </w:p>
    <w:p w:rsidR="00D362B8" w:rsidRDefault="00D362B8"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[5</w:t>
      </w:r>
      <w:r w:rsidR="001C4DF6">
        <w:rPr>
          <w:rFonts w:ascii="Times New Roman" w:hAnsi="Times New Roman" w:cs="Times New Roman"/>
          <w:bCs/>
          <w:sz w:val="16"/>
          <w:szCs w:val="20"/>
        </w:rPr>
        <w:t>3</w:t>
      </w:r>
      <w:r>
        <w:rPr>
          <w:rFonts w:ascii="Times New Roman" w:hAnsi="Times New Roman" w:cs="Times New Roman"/>
          <w:bCs/>
          <w:sz w:val="16"/>
          <w:szCs w:val="20"/>
        </w:rPr>
        <w:t xml:space="preserve">] </w:t>
      </w:r>
      <w:r w:rsidRPr="00D362B8">
        <w:rPr>
          <w:rFonts w:ascii="Times New Roman" w:hAnsi="Times New Roman" w:cs="Times New Roman"/>
          <w:bCs/>
          <w:sz w:val="16"/>
          <w:szCs w:val="20"/>
        </w:rPr>
        <w:t xml:space="preserve">Gaillard T, Miller E. </w:t>
      </w:r>
      <w:r>
        <w:rPr>
          <w:rFonts w:ascii="Times New Roman" w:hAnsi="Times New Roman" w:cs="Times New Roman"/>
          <w:bCs/>
          <w:sz w:val="16"/>
          <w:szCs w:val="20"/>
        </w:rPr>
        <w:t>“</w:t>
      </w:r>
      <w:r w:rsidRPr="00D362B8">
        <w:rPr>
          <w:rFonts w:ascii="Times New Roman" w:hAnsi="Times New Roman" w:cs="Times New Roman"/>
          <w:bCs/>
          <w:sz w:val="16"/>
          <w:szCs w:val="20"/>
        </w:rPr>
        <w:t>Guidelines for Stroke Survivo</w:t>
      </w:r>
      <w:r w:rsidR="0002231E">
        <w:rPr>
          <w:rFonts w:ascii="Times New Roman" w:hAnsi="Times New Roman" w:cs="Times New Roman"/>
          <w:bCs/>
          <w:sz w:val="16"/>
          <w:szCs w:val="20"/>
        </w:rPr>
        <w:t>rs w</w:t>
      </w:r>
      <w:r>
        <w:rPr>
          <w:rFonts w:ascii="Times New Roman" w:hAnsi="Times New Roman" w:cs="Times New Roman"/>
          <w:bCs/>
          <w:sz w:val="16"/>
          <w:szCs w:val="20"/>
        </w:rPr>
        <w:t>ith Diabetes Mellitus”,</w:t>
      </w:r>
      <w:r w:rsidRPr="00D362B8">
        <w:rPr>
          <w:rFonts w:ascii="Times New Roman" w:hAnsi="Times New Roman" w:cs="Times New Roman"/>
          <w:bCs/>
          <w:sz w:val="16"/>
          <w:szCs w:val="20"/>
        </w:rPr>
        <w:t xml:space="preserve"> </w:t>
      </w:r>
      <w:r>
        <w:rPr>
          <w:rFonts w:ascii="Times New Roman" w:hAnsi="Times New Roman" w:cs="Times New Roman"/>
          <w:bCs/>
          <w:sz w:val="16"/>
          <w:szCs w:val="20"/>
        </w:rPr>
        <w:t xml:space="preserve">“Stroke”, </w:t>
      </w:r>
      <w:r w:rsidRPr="00D362B8">
        <w:rPr>
          <w:rFonts w:ascii="Times New Roman" w:hAnsi="Times New Roman" w:cs="Times New Roman"/>
          <w:bCs/>
          <w:sz w:val="16"/>
          <w:szCs w:val="20"/>
        </w:rPr>
        <w:t>2018 Jun;</w:t>
      </w:r>
      <w:r>
        <w:rPr>
          <w:rFonts w:ascii="Times New Roman" w:hAnsi="Times New Roman" w:cs="Times New Roman"/>
          <w:bCs/>
          <w:sz w:val="16"/>
          <w:szCs w:val="20"/>
        </w:rPr>
        <w:t xml:space="preserve"> </w:t>
      </w:r>
      <w:r w:rsidRPr="00D362B8">
        <w:rPr>
          <w:rFonts w:ascii="Times New Roman" w:hAnsi="Times New Roman" w:cs="Times New Roman"/>
          <w:bCs/>
          <w:sz w:val="16"/>
          <w:szCs w:val="20"/>
        </w:rPr>
        <w:t>49(6):</w:t>
      </w:r>
      <w:r>
        <w:rPr>
          <w:rFonts w:ascii="Times New Roman" w:hAnsi="Times New Roman" w:cs="Times New Roman"/>
          <w:bCs/>
          <w:sz w:val="16"/>
          <w:szCs w:val="20"/>
        </w:rPr>
        <w:t xml:space="preserve"> </w:t>
      </w:r>
      <w:r w:rsidRPr="00D362B8">
        <w:rPr>
          <w:rFonts w:ascii="Times New Roman" w:hAnsi="Times New Roman" w:cs="Times New Roman"/>
          <w:bCs/>
          <w:sz w:val="16"/>
          <w:szCs w:val="20"/>
        </w:rPr>
        <w:t>e215-e217</w:t>
      </w:r>
    </w:p>
    <w:p w:rsidR="0002231E" w:rsidRDefault="001C4DF6"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[54</w:t>
      </w:r>
      <w:r w:rsidR="0002231E">
        <w:rPr>
          <w:rFonts w:ascii="Times New Roman" w:hAnsi="Times New Roman" w:cs="Times New Roman"/>
          <w:bCs/>
          <w:sz w:val="16"/>
          <w:szCs w:val="20"/>
        </w:rPr>
        <w:t>] Chaturvedi S, Kleindorfer DO et al. “</w:t>
      </w:r>
      <w:r w:rsidR="0002231E" w:rsidRPr="0002231E">
        <w:rPr>
          <w:rFonts w:ascii="Times New Roman" w:hAnsi="Times New Roman" w:cs="Times New Roman"/>
          <w:bCs/>
          <w:sz w:val="16"/>
          <w:szCs w:val="20"/>
        </w:rPr>
        <w:t>Guideline for the Pr</w:t>
      </w:r>
      <w:r w:rsidR="0002231E">
        <w:rPr>
          <w:rFonts w:ascii="Times New Roman" w:hAnsi="Times New Roman" w:cs="Times New Roman"/>
          <w:bCs/>
          <w:sz w:val="16"/>
          <w:szCs w:val="20"/>
        </w:rPr>
        <w:t>evention of Stroke in Patients w</w:t>
      </w:r>
      <w:r w:rsidR="0002231E" w:rsidRPr="0002231E">
        <w:rPr>
          <w:rFonts w:ascii="Times New Roman" w:hAnsi="Times New Roman" w:cs="Times New Roman"/>
          <w:bCs/>
          <w:sz w:val="16"/>
          <w:szCs w:val="20"/>
        </w:rPr>
        <w:t>ith Stroke and Transien</w:t>
      </w:r>
      <w:r w:rsidR="0002231E">
        <w:rPr>
          <w:rFonts w:ascii="Times New Roman" w:hAnsi="Times New Roman" w:cs="Times New Roman"/>
          <w:bCs/>
          <w:sz w:val="16"/>
          <w:szCs w:val="20"/>
        </w:rPr>
        <w:t>t Ischemic Attack: A Guideline f</w:t>
      </w:r>
      <w:r w:rsidR="0002231E" w:rsidRPr="0002231E">
        <w:rPr>
          <w:rFonts w:ascii="Times New Roman" w:hAnsi="Times New Roman" w:cs="Times New Roman"/>
          <w:bCs/>
          <w:sz w:val="16"/>
          <w:szCs w:val="20"/>
        </w:rPr>
        <w:t>rom the American Heart Association/American Stroke Association</w:t>
      </w:r>
      <w:r w:rsidR="0002231E">
        <w:rPr>
          <w:rFonts w:ascii="Times New Roman" w:hAnsi="Times New Roman" w:cs="Times New Roman"/>
          <w:bCs/>
          <w:sz w:val="16"/>
          <w:szCs w:val="20"/>
        </w:rPr>
        <w:t xml:space="preserve">”, “Stroke”, </w:t>
      </w:r>
      <w:r w:rsidR="0002231E" w:rsidRPr="0002231E">
        <w:rPr>
          <w:rFonts w:ascii="Times New Roman" w:hAnsi="Times New Roman" w:cs="Times New Roman"/>
          <w:bCs/>
          <w:sz w:val="16"/>
          <w:szCs w:val="20"/>
        </w:rPr>
        <w:t>2021 Jul;</w:t>
      </w:r>
      <w:r w:rsidR="0002231E">
        <w:rPr>
          <w:rFonts w:ascii="Times New Roman" w:hAnsi="Times New Roman" w:cs="Times New Roman"/>
          <w:bCs/>
          <w:sz w:val="16"/>
          <w:szCs w:val="20"/>
        </w:rPr>
        <w:t xml:space="preserve"> </w:t>
      </w:r>
      <w:r w:rsidR="0002231E" w:rsidRPr="0002231E">
        <w:rPr>
          <w:rFonts w:ascii="Times New Roman" w:hAnsi="Times New Roman" w:cs="Times New Roman"/>
          <w:bCs/>
          <w:sz w:val="16"/>
          <w:szCs w:val="20"/>
        </w:rPr>
        <w:t>52(7):</w:t>
      </w:r>
      <w:r w:rsidR="0002231E">
        <w:rPr>
          <w:rFonts w:ascii="Times New Roman" w:hAnsi="Times New Roman" w:cs="Times New Roman"/>
          <w:bCs/>
          <w:sz w:val="16"/>
          <w:szCs w:val="20"/>
        </w:rPr>
        <w:t xml:space="preserve"> </w:t>
      </w:r>
      <w:r w:rsidR="0002231E" w:rsidRPr="0002231E">
        <w:rPr>
          <w:rFonts w:ascii="Times New Roman" w:hAnsi="Times New Roman" w:cs="Times New Roman"/>
          <w:bCs/>
          <w:sz w:val="16"/>
          <w:szCs w:val="20"/>
        </w:rPr>
        <w:t>e364-e467</w:t>
      </w:r>
    </w:p>
    <w:p w:rsidR="0002231E" w:rsidRDefault="001C4DF6"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[55</w:t>
      </w:r>
      <w:r w:rsidR="0002231E">
        <w:rPr>
          <w:rFonts w:ascii="Times New Roman" w:hAnsi="Times New Roman" w:cs="Times New Roman"/>
          <w:bCs/>
          <w:sz w:val="16"/>
          <w:szCs w:val="20"/>
        </w:rPr>
        <w:t>] Cho EH. “</w:t>
      </w:r>
      <w:r w:rsidR="0002231E" w:rsidRPr="0002231E">
        <w:rPr>
          <w:rFonts w:ascii="Times New Roman" w:hAnsi="Times New Roman" w:cs="Times New Roman"/>
          <w:bCs/>
          <w:sz w:val="16"/>
          <w:szCs w:val="20"/>
        </w:rPr>
        <w:t>Oldies but Goodies: Thiazolidinedione as an Insulin Sensitizer with Cardioprotection</w:t>
      </w:r>
      <w:r w:rsidR="0002231E">
        <w:rPr>
          <w:rFonts w:ascii="Times New Roman" w:hAnsi="Times New Roman" w:cs="Times New Roman"/>
          <w:bCs/>
          <w:sz w:val="16"/>
          <w:szCs w:val="20"/>
        </w:rPr>
        <w:t xml:space="preserve">”, “Diabetes &amp; Metabolism Journal”, </w:t>
      </w:r>
      <w:r w:rsidR="0002231E" w:rsidRPr="0002231E">
        <w:rPr>
          <w:rFonts w:ascii="Times New Roman" w:hAnsi="Times New Roman" w:cs="Times New Roman"/>
          <w:bCs/>
          <w:sz w:val="16"/>
          <w:szCs w:val="20"/>
        </w:rPr>
        <w:t>2022 Nov;</w:t>
      </w:r>
      <w:r w:rsidR="0002231E">
        <w:rPr>
          <w:rFonts w:ascii="Times New Roman" w:hAnsi="Times New Roman" w:cs="Times New Roman"/>
          <w:bCs/>
          <w:sz w:val="16"/>
          <w:szCs w:val="20"/>
        </w:rPr>
        <w:t xml:space="preserve"> </w:t>
      </w:r>
      <w:r w:rsidR="0002231E" w:rsidRPr="0002231E">
        <w:rPr>
          <w:rFonts w:ascii="Times New Roman" w:hAnsi="Times New Roman" w:cs="Times New Roman"/>
          <w:bCs/>
          <w:sz w:val="16"/>
          <w:szCs w:val="20"/>
        </w:rPr>
        <w:t>46(6):</w:t>
      </w:r>
      <w:r w:rsidR="0002231E">
        <w:rPr>
          <w:rFonts w:ascii="Times New Roman" w:hAnsi="Times New Roman" w:cs="Times New Roman"/>
          <w:bCs/>
          <w:sz w:val="16"/>
          <w:szCs w:val="20"/>
        </w:rPr>
        <w:t xml:space="preserve"> </w:t>
      </w:r>
      <w:r w:rsidR="0002231E" w:rsidRPr="0002231E">
        <w:rPr>
          <w:rFonts w:ascii="Times New Roman" w:hAnsi="Times New Roman" w:cs="Times New Roman"/>
          <w:bCs/>
          <w:sz w:val="16"/>
          <w:szCs w:val="20"/>
        </w:rPr>
        <w:t>827-828</w:t>
      </w:r>
    </w:p>
    <w:p w:rsidR="00C147B0" w:rsidRDefault="00C147B0"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[56] Kim KA, Lee SE et al. “</w:t>
      </w:r>
      <w:r w:rsidRPr="00C147B0">
        <w:rPr>
          <w:rFonts w:ascii="Times New Roman" w:hAnsi="Times New Roman" w:cs="Times New Roman"/>
          <w:bCs/>
          <w:sz w:val="16"/>
          <w:szCs w:val="20"/>
        </w:rPr>
        <w:t>Comparative Effects of Sodium-Glucose Cotransporter 2 Inhibitor and Thiazolidinedione Treatment on Risk of Stroke among Patients with Type 2 Diabetes Mellitus</w:t>
      </w:r>
      <w:r>
        <w:rPr>
          <w:rFonts w:ascii="Times New Roman" w:hAnsi="Times New Roman" w:cs="Times New Roman"/>
          <w:bCs/>
          <w:sz w:val="16"/>
          <w:szCs w:val="20"/>
        </w:rPr>
        <w:t xml:space="preserve">”, “Diabetes &amp; Metabolism Journal”, </w:t>
      </w:r>
      <w:r w:rsidRPr="00C147B0">
        <w:rPr>
          <w:rFonts w:ascii="Times New Roman" w:hAnsi="Times New Roman" w:cs="Times New Roman"/>
          <w:bCs/>
          <w:sz w:val="16"/>
          <w:szCs w:val="20"/>
        </w:rPr>
        <w:t>2022 Jul;</w:t>
      </w:r>
      <w:r>
        <w:rPr>
          <w:rFonts w:ascii="Times New Roman" w:hAnsi="Times New Roman" w:cs="Times New Roman"/>
          <w:bCs/>
          <w:sz w:val="16"/>
          <w:szCs w:val="20"/>
        </w:rPr>
        <w:t xml:space="preserve"> </w:t>
      </w:r>
      <w:r w:rsidRPr="00C147B0">
        <w:rPr>
          <w:rFonts w:ascii="Times New Roman" w:hAnsi="Times New Roman" w:cs="Times New Roman"/>
          <w:bCs/>
          <w:sz w:val="16"/>
          <w:szCs w:val="20"/>
        </w:rPr>
        <w:t>46(4):</w:t>
      </w:r>
      <w:r>
        <w:rPr>
          <w:rFonts w:ascii="Times New Roman" w:hAnsi="Times New Roman" w:cs="Times New Roman"/>
          <w:bCs/>
          <w:sz w:val="16"/>
          <w:szCs w:val="20"/>
        </w:rPr>
        <w:t xml:space="preserve"> </w:t>
      </w:r>
      <w:r w:rsidRPr="00C147B0">
        <w:rPr>
          <w:rFonts w:ascii="Times New Roman" w:hAnsi="Times New Roman" w:cs="Times New Roman"/>
          <w:bCs/>
          <w:sz w:val="16"/>
          <w:szCs w:val="20"/>
        </w:rPr>
        <w:t>567-577</w:t>
      </w:r>
    </w:p>
    <w:p w:rsidR="001F1874" w:rsidRPr="003A0C39" w:rsidRDefault="001F1874" w:rsidP="00860AF0">
      <w:pPr>
        <w:shd w:val="clear" w:color="auto" w:fill="FFFFFF"/>
        <w:jc w:val="both"/>
        <w:rPr>
          <w:rFonts w:ascii="Times New Roman" w:hAnsi="Times New Roman" w:cs="Times New Roman"/>
          <w:bCs/>
          <w:sz w:val="16"/>
          <w:szCs w:val="20"/>
        </w:rPr>
      </w:pPr>
      <w:r>
        <w:rPr>
          <w:rFonts w:ascii="Times New Roman" w:hAnsi="Times New Roman" w:cs="Times New Roman"/>
          <w:bCs/>
          <w:sz w:val="16"/>
          <w:szCs w:val="20"/>
        </w:rPr>
        <w:t xml:space="preserve">[57] </w:t>
      </w:r>
      <w:r w:rsidR="00C33EAD">
        <w:rPr>
          <w:rFonts w:ascii="Times New Roman" w:hAnsi="Times New Roman" w:cs="Times New Roman"/>
          <w:bCs/>
          <w:sz w:val="16"/>
          <w:szCs w:val="20"/>
        </w:rPr>
        <w:t>Health Economic Times</w:t>
      </w:r>
      <w:r w:rsidRPr="001F1874">
        <w:rPr>
          <w:rFonts w:ascii="Times New Roman" w:hAnsi="Times New Roman" w:cs="Times New Roman"/>
          <w:bCs/>
          <w:sz w:val="16"/>
          <w:szCs w:val="20"/>
        </w:rPr>
        <w:t>/news/pharma/glenmark-to-launch-lobeglitazone-in-india-for-t2-diabetes-in-adults/94676679</w:t>
      </w:r>
    </w:p>
    <w:sectPr w:rsidR="001F1874" w:rsidRPr="003A0C39" w:rsidSect="00E31F3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F79F9"/>
    <w:multiLevelType w:val="hybridMultilevel"/>
    <w:tmpl w:val="4D8C5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3383D"/>
    <w:multiLevelType w:val="hybridMultilevel"/>
    <w:tmpl w:val="2C4228A4"/>
    <w:lvl w:ilvl="0" w:tplc="134232A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62053D7"/>
    <w:multiLevelType w:val="hybridMultilevel"/>
    <w:tmpl w:val="BCC8DD84"/>
    <w:lvl w:ilvl="0" w:tplc="7BF86D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E75BE4"/>
    <w:multiLevelType w:val="hybridMultilevel"/>
    <w:tmpl w:val="7EC02F56"/>
    <w:lvl w:ilvl="0" w:tplc="E6D40AF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F8176D3"/>
    <w:multiLevelType w:val="hybridMultilevel"/>
    <w:tmpl w:val="441AEDB4"/>
    <w:lvl w:ilvl="0" w:tplc="9B68880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
    <w:nsid w:val="40B92F0C"/>
    <w:multiLevelType w:val="hybridMultilevel"/>
    <w:tmpl w:val="1EEA5DBC"/>
    <w:lvl w:ilvl="0" w:tplc="8472A9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F552F12"/>
    <w:multiLevelType w:val="hybridMultilevel"/>
    <w:tmpl w:val="441EABA2"/>
    <w:lvl w:ilvl="0" w:tplc="B6D8F4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A17C58"/>
    <w:multiLevelType w:val="hybridMultilevel"/>
    <w:tmpl w:val="3C32D3AA"/>
    <w:lvl w:ilvl="0" w:tplc="9E9416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F95724"/>
    <w:multiLevelType w:val="hybridMultilevel"/>
    <w:tmpl w:val="5C14F5E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DE47401"/>
    <w:multiLevelType w:val="hybridMultilevel"/>
    <w:tmpl w:val="ECDE8BBC"/>
    <w:lvl w:ilvl="0" w:tplc="5054393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065853"/>
    <w:multiLevelType w:val="hybridMultilevel"/>
    <w:tmpl w:val="0DF84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9"/>
  </w:num>
  <w:num w:numId="4">
    <w:abstractNumId w:val="6"/>
  </w:num>
  <w:num w:numId="5">
    <w:abstractNumId w:val="1"/>
  </w:num>
  <w:num w:numId="6">
    <w:abstractNumId w:val="5"/>
  </w:num>
  <w:num w:numId="7">
    <w:abstractNumId w:val="7"/>
  </w:num>
  <w:num w:numId="8">
    <w:abstractNumId w:val="4"/>
  </w:num>
  <w:num w:numId="9">
    <w:abstractNumId w:val="10"/>
  </w:num>
  <w:num w:numId="10">
    <w:abstractNumId w:val="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002489"/>
    <w:rsid w:val="00002489"/>
    <w:rsid w:val="0001074C"/>
    <w:rsid w:val="0002231E"/>
    <w:rsid w:val="00080D14"/>
    <w:rsid w:val="00086BAF"/>
    <w:rsid w:val="000A1371"/>
    <w:rsid w:val="000A5D9E"/>
    <w:rsid w:val="000C65CE"/>
    <w:rsid w:val="00111E78"/>
    <w:rsid w:val="001C4DF6"/>
    <w:rsid w:val="001F1874"/>
    <w:rsid w:val="00207706"/>
    <w:rsid w:val="0022377F"/>
    <w:rsid w:val="00226417"/>
    <w:rsid w:val="00231EAE"/>
    <w:rsid w:val="0024596B"/>
    <w:rsid w:val="002552FC"/>
    <w:rsid w:val="00286E25"/>
    <w:rsid w:val="002A1CAA"/>
    <w:rsid w:val="00304DF7"/>
    <w:rsid w:val="00323BBE"/>
    <w:rsid w:val="00330574"/>
    <w:rsid w:val="00331089"/>
    <w:rsid w:val="003A0C39"/>
    <w:rsid w:val="003D2DCD"/>
    <w:rsid w:val="00437E16"/>
    <w:rsid w:val="00463C48"/>
    <w:rsid w:val="004A3391"/>
    <w:rsid w:val="004C3B1F"/>
    <w:rsid w:val="004D0852"/>
    <w:rsid w:val="004E5471"/>
    <w:rsid w:val="004F65FD"/>
    <w:rsid w:val="0050300B"/>
    <w:rsid w:val="00513CCB"/>
    <w:rsid w:val="005301E2"/>
    <w:rsid w:val="005341A4"/>
    <w:rsid w:val="00545913"/>
    <w:rsid w:val="005A686E"/>
    <w:rsid w:val="005C1451"/>
    <w:rsid w:val="00633C67"/>
    <w:rsid w:val="006474AC"/>
    <w:rsid w:val="00697549"/>
    <w:rsid w:val="006C117A"/>
    <w:rsid w:val="006C13F6"/>
    <w:rsid w:val="006C170D"/>
    <w:rsid w:val="00752081"/>
    <w:rsid w:val="0075752A"/>
    <w:rsid w:val="007716A1"/>
    <w:rsid w:val="0077580E"/>
    <w:rsid w:val="007947EF"/>
    <w:rsid w:val="007B03A9"/>
    <w:rsid w:val="0085426C"/>
    <w:rsid w:val="00860AF0"/>
    <w:rsid w:val="0086446C"/>
    <w:rsid w:val="008B5031"/>
    <w:rsid w:val="008B6038"/>
    <w:rsid w:val="00907B4E"/>
    <w:rsid w:val="00970F3D"/>
    <w:rsid w:val="0097491D"/>
    <w:rsid w:val="00997601"/>
    <w:rsid w:val="009A21F4"/>
    <w:rsid w:val="009A60C6"/>
    <w:rsid w:val="009B6F20"/>
    <w:rsid w:val="009F48BA"/>
    <w:rsid w:val="00A35212"/>
    <w:rsid w:val="00A40A7E"/>
    <w:rsid w:val="00A57618"/>
    <w:rsid w:val="00A57F50"/>
    <w:rsid w:val="00AC7ADA"/>
    <w:rsid w:val="00AF72D9"/>
    <w:rsid w:val="00B43921"/>
    <w:rsid w:val="00B458A7"/>
    <w:rsid w:val="00B72B97"/>
    <w:rsid w:val="00B742E5"/>
    <w:rsid w:val="00B8499E"/>
    <w:rsid w:val="00BD0D03"/>
    <w:rsid w:val="00BD4445"/>
    <w:rsid w:val="00BF3EB4"/>
    <w:rsid w:val="00C03A31"/>
    <w:rsid w:val="00C147B0"/>
    <w:rsid w:val="00C23F92"/>
    <w:rsid w:val="00C258B8"/>
    <w:rsid w:val="00C31F0F"/>
    <w:rsid w:val="00C33EAD"/>
    <w:rsid w:val="00C737DA"/>
    <w:rsid w:val="00C80838"/>
    <w:rsid w:val="00C900FB"/>
    <w:rsid w:val="00C91E6C"/>
    <w:rsid w:val="00C92C7D"/>
    <w:rsid w:val="00C95BA2"/>
    <w:rsid w:val="00CC3456"/>
    <w:rsid w:val="00D113BB"/>
    <w:rsid w:val="00D1148A"/>
    <w:rsid w:val="00D362B8"/>
    <w:rsid w:val="00D61930"/>
    <w:rsid w:val="00D9631B"/>
    <w:rsid w:val="00DA6715"/>
    <w:rsid w:val="00E22BA4"/>
    <w:rsid w:val="00E31F35"/>
    <w:rsid w:val="00E912BB"/>
    <w:rsid w:val="00ED3AA8"/>
    <w:rsid w:val="00F044D3"/>
    <w:rsid w:val="00F96050"/>
    <w:rsid w:val="00FB5A5B"/>
    <w:rsid w:val="00FC30C8"/>
    <w:rsid w:val="00FE0E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170D"/>
  </w:style>
  <w:style w:type="paragraph" w:styleId="Heading1">
    <w:name w:val="heading 1"/>
    <w:basedOn w:val="Normal"/>
    <w:link w:val="Heading1Char"/>
    <w:uiPriority w:val="9"/>
    <w:qFormat/>
    <w:rsid w:val="003310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65FD"/>
    <w:rPr>
      <w:color w:val="0000FF" w:themeColor="hyperlink"/>
      <w:u w:val="single"/>
    </w:rPr>
  </w:style>
  <w:style w:type="paragraph" w:styleId="ListParagraph">
    <w:name w:val="List Paragraph"/>
    <w:basedOn w:val="Normal"/>
    <w:uiPriority w:val="34"/>
    <w:qFormat/>
    <w:rsid w:val="00C95BA2"/>
    <w:pPr>
      <w:ind w:left="720"/>
      <w:contextualSpacing/>
    </w:pPr>
  </w:style>
  <w:style w:type="character" w:customStyle="1" w:styleId="Heading1Char">
    <w:name w:val="Heading 1 Char"/>
    <w:basedOn w:val="DefaultParagraphFont"/>
    <w:link w:val="Heading1"/>
    <w:uiPriority w:val="9"/>
    <w:rsid w:val="00331089"/>
    <w:rPr>
      <w:rFonts w:ascii="Times New Roman" w:eastAsia="Times New Roman" w:hAnsi="Times New Roman" w:cs="Times New Roman"/>
      <w:b/>
      <w:bCs/>
      <w:kern w:val="36"/>
      <w:sz w:val="48"/>
      <w:szCs w:val="48"/>
    </w:rPr>
  </w:style>
  <w:style w:type="character" w:customStyle="1" w:styleId="ej-keyword">
    <w:name w:val="ej-keyword"/>
    <w:basedOn w:val="DefaultParagraphFont"/>
    <w:rsid w:val="00D113BB"/>
  </w:style>
  <w:style w:type="character" w:customStyle="1" w:styleId="chapter-contribution-date">
    <w:name w:val="chapter-contribution-date"/>
    <w:basedOn w:val="DefaultParagraphFont"/>
    <w:rsid w:val="004D0852"/>
  </w:style>
  <w:style w:type="table" w:styleId="TableGrid">
    <w:name w:val="Table Grid"/>
    <w:basedOn w:val="TableNormal"/>
    <w:uiPriority w:val="59"/>
    <w:rsid w:val="006C13F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7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61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9412445">
      <w:bodyDiv w:val="1"/>
      <w:marLeft w:val="0"/>
      <w:marRight w:val="0"/>
      <w:marTop w:val="0"/>
      <w:marBottom w:val="0"/>
      <w:divBdr>
        <w:top w:val="none" w:sz="0" w:space="0" w:color="auto"/>
        <w:left w:val="none" w:sz="0" w:space="0" w:color="auto"/>
        <w:bottom w:val="none" w:sz="0" w:space="0" w:color="auto"/>
        <w:right w:val="none" w:sz="0" w:space="0" w:color="auto"/>
      </w:divBdr>
    </w:div>
    <w:div w:id="195702982">
      <w:bodyDiv w:val="1"/>
      <w:marLeft w:val="0"/>
      <w:marRight w:val="0"/>
      <w:marTop w:val="0"/>
      <w:marBottom w:val="0"/>
      <w:divBdr>
        <w:top w:val="none" w:sz="0" w:space="0" w:color="auto"/>
        <w:left w:val="none" w:sz="0" w:space="0" w:color="auto"/>
        <w:bottom w:val="none" w:sz="0" w:space="0" w:color="auto"/>
        <w:right w:val="none" w:sz="0" w:space="0" w:color="auto"/>
      </w:divBdr>
      <w:divsChild>
        <w:div w:id="1857620734">
          <w:marLeft w:val="0"/>
          <w:marRight w:val="0"/>
          <w:marTop w:val="0"/>
          <w:marBottom w:val="0"/>
          <w:divBdr>
            <w:top w:val="none" w:sz="0" w:space="0" w:color="auto"/>
            <w:left w:val="none" w:sz="0" w:space="0" w:color="auto"/>
            <w:bottom w:val="none" w:sz="0" w:space="0" w:color="auto"/>
            <w:right w:val="none" w:sz="0" w:space="0" w:color="auto"/>
          </w:divBdr>
        </w:div>
        <w:div w:id="995189100">
          <w:marLeft w:val="0"/>
          <w:marRight w:val="0"/>
          <w:marTop w:val="0"/>
          <w:marBottom w:val="0"/>
          <w:divBdr>
            <w:top w:val="none" w:sz="0" w:space="0" w:color="auto"/>
            <w:left w:val="none" w:sz="0" w:space="0" w:color="auto"/>
            <w:bottom w:val="none" w:sz="0" w:space="0" w:color="auto"/>
            <w:right w:val="none" w:sz="0" w:space="0" w:color="auto"/>
          </w:divBdr>
        </w:div>
      </w:divsChild>
    </w:div>
    <w:div w:id="496306533">
      <w:bodyDiv w:val="1"/>
      <w:marLeft w:val="0"/>
      <w:marRight w:val="0"/>
      <w:marTop w:val="0"/>
      <w:marBottom w:val="0"/>
      <w:divBdr>
        <w:top w:val="none" w:sz="0" w:space="0" w:color="auto"/>
        <w:left w:val="none" w:sz="0" w:space="0" w:color="auto"/>
        <w:bottom w:val="none" w:sz="0" w:space="0" w:color="auto"/>
        <w:right w:val="none" w:sz="0" w:space="0" w:color="auto"/>
      </w:divBdr>
    </w:div>
    <w:div w:id="562259501">
      <w:bodyDiv w:val="1"/>
      <w:marLeft w:val="0"/>
      <w:marRight w:val="0"/>
      <w:marTop w:val="0"/>
      <w:marBottom w:val="0"/>
      <w:divBdr>
        <w:top w:val="none" w:sz="0" w:space="0" w:color="auto"/>
        <w:left w:val="none" w:sz="0" w:space="0" w:color="auto"/>
        <w:bottom w:val="none" w:sz="0" w:space="0" w:color="auto"/>
        <w:right w:val="none" w:sz="0" w:space="0" w:color="auto"/>
      </w:divBdr>
    </w:div>
    <w:div w:id="1853687763">
      <w:bodyDiv w:val="1"/>
      <w:marLeft w:val="0"/>
      <w:marRight w:val="0"/>
      <w:marTop w:val="0"/>
      <w:marBottom w:val="0"/>
      <w:divBdr>
        <w:top w:val="none" w:sz="0" w:space="0" w:color="auto"/>
        <w:left w:val="none" w:sz="0" w:space="0" w:color="auto"/>
        <w:bottom w:val="none" w:sz="0" w:space="0" w:color="auto"/>
        <w:right w:val="none" w:sz="0" w:space="0" w:color="auto"/>
      </w:divBdr>
    </w:div>
    <w:div w:id="1898858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kdphar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aakarshgupta987@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17534</TotalTime>
  <Pages>8</Pages>
  <Words>4552</Words>
  <Characters>25949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Windows User</cp:lastModifiedBy>
  <cp:revision>92</cp:revision>
  <dcterms:created xsi:type="dcterms:W3CDTF">2023-08-04T08:57:00Z</dcterms:created>
  <dcterms:modified xsi:type="dcterms:W3CDTF">2023-09-05T13:29:00Z</dcterms:modified>
</cp:coreProperties>
</file>