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Evaluation of  </w:t>
      </w:r>
      <w:r>
        <w:rPr>
          <w:rFonts w:hint="default" w:ascii="Times New Roman" w:hAnsi="Times New Roman" w:cs="Times New Roman"/>
          <w:b/>
          <w:i/>
          <w:iCs/>
          <w:sz w:val="24"/>
          <w:szCs w:val="24"/>
          <w:lang w:val="en-US"/>
        </w:rPr>
        <w:t>in vitro</w:t>
      </w:r>
      <w:r>
        <w:rPr>
          <w:rFonts w:hint="default" w:ascii="Times New Roman" w:hAnsi="Times New Roman" w:cs="Times New Roman"/>
          <w:b/>
          <w:sz w:val="24"/>
          <w:szCs w:val="24"/>
          <w:lang w:val="en-US"/>
        </w:rPr>
        <w:t xml:space="preserve"> antioxidant a</w:t>
      </w:r>
      <w:bookmarkStart w:id="0" w:name="_GoBack"/>
      <w:bookmarkEnd w:id="0"/>
      <w:r>
        <w:rPr>
          <w:rFonts w:hint="default" w:ascii="Times New Roman" w:hAnsi="Times New Roman" w:cs="Times New Roman"/>
          <w:b/>
          <w:sz w:val="24"/>
          <w:szCs w:val="24"/>
          <w:lang w:val="en-US"/>
        </w:rPr>
        <w:t xml:space="preserve">ctivity of </w:t>
      </w:r>
      <w:r>
        <w:rPr>
          <w:rFonts w:hint="default" w:ascii="Times New Roman" w:hAnsi="Times New Roman" w:cs="Times New Roman"/>
          <w:b/>
          <w:sz w:val="24"/>
          <w:szCs w:val="24"/>
          <w:lang w:val="en-US"/>
        </w:rPr>
        <w:t>phytochemicals present in</w:t>
      </w:r>
    </w:p>
    <w:p>
      <w:pPr>
        <w:spacing w:before="240"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i/>
          <w:iCs/>
          <w:sz w:val="24"/>
          <w:szCs w:val="24"/>
          <w:lang w:val="en-US"/>
        </w:rPr>
        <w:t>Dioscorea oppositifolia</w:t>
      </w:r>
      <w:r>
        <w:rPr>
          <w:rFonts w:hint="default" w:ascii="Times New Roman" w:hAnsi="Times New Roman" w:cs="Times New Roman"/>
          <w:b/>
          <w:sz w:val="24"/>
          <w:szCs w:val="24"/>
          <w:lang w:val="en-US"/>
        </w:rPr>
        <w:t xml:space="preserve"> L.,superior genotype collected from Kohlli hills at Namakkal</w:t>
      </w:r>
    </w:p>
    <w:p>
      <w:pPr>
        <w:spacing w:before="240" w:after="0" w:line="240" w:lineRule="auto"/>
        <w:jc w:val="center"/>
        <w:rPr>
          <w:rFonts w:hint="default" w:ascii="Times New Roman" w:hAnsi="Times New Roman" w:cs="Times New Roman"/>
          <w:b/>
          <w:sz w:val="20"/>
          <w:szCs w:val="20"/>
          <w:vertAlign w:val="superscript"/>
          <w:lang w:val="en-US"/>
        </w:rPr>
      </w:pPr>
      <w:r>
        <w:rPr>
          <w:rFonts w:hint="default" w:ascii="Times New Roman" w:hAnsi="Times New Roman" w:cs="Times New Roman"/>
          <w:b/>
          <w:sz w:val="20"/>
          <w:szCs w:val="20"/>
        </w:rPr>
        <w:t>Uma Maheswari Rajadurai</w:t>
      </w:r>
      <w:r>
        <w:rPr>
          <w:rFonts w:hint="default" w:ascii="Times New Roman" w:hAnsi="Times New Roman" w:cs="Times New Roman"/>
          <w:b/>
          <w:sz w:val="20"/>
          <w:szCs w:val="20"/>
          <w:vertAlign w:val="superscript"/>
        </w:rPr>
        <w:t>1</w:t>
      </w:r>
      <w:r>
        <w:rPr>
          <w:rFonts w:hint="default" w:ascii="Times New Roman" w:hAnsi="Times New Roman" w:cs="Times New Roman"/>
          <w:b/>
          <w:sz w:val="20"/>
          <w:szCs w:val="20"/>
          <w:vertAlign w:val="baseline"/>
          <w:lang w:val="en-US"/>
        </w:rPr>
        <w:t>,</w:t>
      </w:r>
      <w:r>
        <w:rPr>
          <w:rFonts w:hint="default" w:ascii="Times New Roman" w:hAnsi="Times New Roman" w:cs="Times New Roman"/>
          <w:b/>
          <w:sz w:val="20"/>
          <w:szCs w:val="20"/>
        </w:rPr>
        <w:t xml:space="preserve"> Nevetha Ravi</w:t>
      </w:r>
      <w:r>
        <w:rPr>
          <w:rFonts w:hint="default" w:ascii="Times New Roman" w:hAnsi="Times New Roman" w:cs="Times New Roman"/>
          <w:b/>
          <w:sz w:val="20"/>
          <w:szCs w:val="20"/>
          <w:lang w:val="en-IN"/>
        </w:rPr>
        <w:t>ndran</w:t>
      </w:r>
      <w:r>
        <w:rPr>
          <w:rFonts w:hint="default" w:ascii="Times New Roman" w:hAnsi="Times New Roman" w:cs="Times New Roman"/>
          <w:b/>
          <w:sz w:val="20"/>
          <w:szCs w:val="20"/>
          <w:vertAlign w:val="superscript"/>
          <w:lang w:val="en-US"/>
        </w:rPr>
        <w:t>2</w:t>
      </w:r>
      <w:r>
        <w:rPr>
          <w:rFonts w:hint="default" w:ascii="Times New Roman" w:hAnsi="Times New Roman" w:cs="Times New Roman"/>
          <w:b/>
          <w:sz w:val="20"/>
          <w:szCs w:val="20"/>
          <w:lang w:val="en-IN"/>
        </w:rPr>
        <w:t xml:space="preserve">, </w:t>
      </w:r>
      <w:r>
        <w:rPr>
          <w:rFonts w:hint="default" w:ascii="Times New Roman" w:hAnsi="Times New Roman" w:cs="Times New Roman"/>
          <w:b/>
          <w:sz w:val="20"/>
          <w:szCs w:val="20"/>
        </w:rPr>
        <w:t>Jenifer Packiaraj</w:t>
      </w:r>
      <w:r>
        <w:rPr>
          <w:rFonts w:hint="default" w:ascii="Times New Roman" w:hAnsi="Times New Roman" w:cs="Times New Roman"/>
          <w:b/>
          <w:sz w:val="20"/>
          <w:szCs w:val="20"/>
          <w:vertAlign w:val="superscript"/>
          <w:lang w:val="en-US"/>
        </w:rPr>
        <w:t>3</w:t>
      </w:r>
      <w:r>
        <w:rPr>
          <w:rFonts w:hint="default" w:ascii="Times New Roman" w:hAnsi="Times New Roman" w:cs="Times New Roman"/>
          <w:b/>
          <w:sz w:val="20"/>
          <w:szCs w:val="20"/>
          <w:vertAlign w:val="baseline"/>
          <w:lang w:val="en-US"/>
        </w:rPr>
        <w:t>, Keerthiga Manohar</w:t>
      </w:r>
      <w:r>
        <w:rPr>
          <w:rFonts w:hint="default" w:ascii="Times New Roman" w:hAnsi="Times New Roman" w:cs="Times New Roman"/>
          <w:b/>
          <w:sz w:val="20"/>
          <w:szCs w:val="20"/>
          <w:vertAlign w:val="superscript"/>
          <w:lang w:val="en-US"/>
        </w:rPr>
        <w:t>4</w:t>
      </w:r>
      <w:r>
        <w:rPr>
          <w:rFonts w:hint="default" w:ascii="Times New Roman" w:hAnsi="Times New Roman" w:cs="Times New Roman"/>
          <w:b/>
          <w:sz w:val="20"/>
          <w:szCs w:val="20"/>
          <w:vertAlign w:val="superscript"/>
          <w:lang w:val="en-US"/>
        </w:rPr>
        <w:t>,</w:t>
      </w:r>
      <w:r>
        <w:rPr>
          <w:rFonts w:hint="default" w:ascii="Times New Roman" w:hAnsi="Times New Roman" w:cs="Times New Roman"/>
          <w:b/>
          <w:sz w:val="20"/>
          <w:szCs w:val="20"/>
          <w:vertAlign w:val="baseline"/>
          <w:lang w:val="en-US"/>
        </w:rPr>
        <w:t>, Rameshwari Ramaswamy</w:t>
      </w:r>
      <w:r>
        <w:rPr>
          <w:rFonts w:hint="default" w:ascii="Times New Roman" w:hAnsi="Times New Roman" w:cs="Times New Roman"/>
          <w:b/>
          <w:sz w:val="20"/>
          <w:szCs w:val="20"/>
          <w:vertAlign w:val="superscript"/>
          <w:lang w:val="en-US"/>
        </w:rPr>
        <w:t>5</w:t>
      </w:r>
    </w:p>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vertAlign w:val="superscript"/>
        </w:rPr>
        <w:t>1,2,3</w:t>
      </w:r>
      <w:r>
        <w:rPr>
          <w:rFonts w:hint="default" w:ascii="Times New Roman" w:hAnsi="Times New Roman" w:cs="Times New Roman"/>
          <w:b/>
          <w:sz w:val="20"/>
          <w:szCs w:val="20"/>
          <w:vertAlign w:val="superscript"/>
          <w:lang w:val="en-US"/>
        </w:rPr>
        <w:t>,4,5</w:t>
      </w:r>
      <w:r>
        <w:rPr>
          <w:rFonts w:hint="default" w:ascii="Times New Roman" w:hAnsi="Times New Roman" w:cs="Times New Roman"/>
          <w:b/>
          <w:sz w:val="20"/>
          <w:szCs w:val="20"/>
        </w:rPr>
        <w:t xml:space="preserve">Department of Biotechnology, Cauvery College for Women, (Autonomous), </w:t>
      </w:r>
      <w:r>
        <w:rPr>
          <w:rFonts w:hint="default" w:ascii="Times New Roman" w:hAnsi="Times New Roman" w:cs="Times New Roman"/>
          <w:b/>
          <w:sz w:val="20"/>
          <w:szCs w:val="20"/>
          <w:lang w:val="en-IN"/>
        </w:rPr>
        <w:t xml:space="preserve">Affiliated to Bharathidasan University, </w:t>
      </w:r>
      <w:r>
        <w:rPr>
          <w:rFonts w:hint="default" w:ascii="Times New Roman" w:hAnsi="Times New Roman" w:cs="Times New Roman"/>
          <w:b/>
          <w:sz w:val="20"/>
          <w:szCs w:val="20"/>
        </w:rPr>
        <w:t>Tiruchirappalli, Tamil Nadu, India.</w:t>
      </w:r>
    </w:p>
    <w:p>
      <w:pPr>
        <w:spacing w:after="0" w:line="360" w:lineRule="auto"/>
        <w:jc w:val="center"/>
        <w:rPr>
          <w:rFonts w:hint="default" w:ascii="Times New Roman" w:hAnsi="Times New Roman" w:cs="Times New Roman"/>
          <w:b/>
          <w:sz w:val="20"/>
          <w:szCs w:val="20"/>
          <w:lang w:val="en-IN"/>
        </w:rPr>
      </w:pPr>
      <w:r>
        <w:rPr>
          <w:rFonts w:hint="default" w:ascii="Times New Roman" w:hAnsi="Times New Roman" w:cs="Times New Roman"/>
          <w:b/>
          <w:sz w:val="20"/>
          <w:szCs w:val="20"/>
          <w:lang w:val="en-IN"/>
        </w:rPr>
        <w:t>Corresponding author: Dr.Uma Maheswari Rajadurai</w:t>
      </w:r>
    </w:p>
    <w:p>
      <w:pPr>
        <w:spacing w:after="0" w:line="36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Email id :umamaheswari.bt@cauverycollege.ac.in</w:t>
      </w:r>
    </w:p>
    <w:p>
      <w:pPr>
        <w:spacing w:after="0" w:line="240" w:lineRule="auto"/>
        <w:jc w:val="center"/>
        <w:rPr>
          <w:rFonts w:hint="default" w:ascii="Times New Roman" w:hAnsi="Times New Roman" w:cs="Times New Roman"/>
          <w:color w:val="0000CC"/>
          <w:sz w:val="24"/>
          <w:szCs w:val="24"/>
        </w:rPr>
      </w:pP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Abstract:</w:t>
      </w:r>
      <w:r>
        <w:rPr>
          <w:rFonts w:hint="default" w:ascii="Times New Roman" w:hAnsi="Times New Roman" w:cs="Times New Roman"/>
          <w:sz w:val="24"/>
          <w:szCs w:val="24"/>
        </w:rPr>
        <w:t xml:space="preserve"> </w:t>
      </w:r>
    </w:p>
    <w:p>
      <w:pPr>
        <w:spacing w:after="0" w:line="480" w:lineRule="auto"/>
        <w:ind w:firstLine="1320" w:firstLineChars="55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Yams belong to the genus </w:t>
      </w:r>
      <w:r>
        <w:rPr>
          <w:rFonts w:hint="default" w:ascii="Times New Roman" w:hAnsi="Times New Roman" w:cs="Times New Roman"/>
          <w:i/>
          <w:sz w:val="24"/>
          <w:szCs w:val="24"/>
        </w:rPr>
        <w:t>Dioscorea</w:t>
      </w:r>
      <w:r>
        <w:rPr>
          <w:rFonts w:hint="default" w:ascii="Times New Roman" w:hAnsi="Times New Roman" w:cs="Times New Roman"/>
          <w:sz w:val="24"/>
          <w:szCs w:val="24"/>
        </w:rPr>
        <w:t xml:space="preserve"> of the family Dioscoreaceae. Among 600 species, </w:t>
      </w:r>
      <w:r>
        <w:rPr>
          <w:rFonts w:hint="default" w:ascii="Times New Roman" w:hAnsi="Times New Roman" w:cs="Times New Roman"/>
          <w:i/>
          <w:sz w:val="24"/>
          <w:szCs w:val="24"/>
        </w:rPr>
        <w:t>Dioscorea oppositifolia L., D. alata L., D. cayenensis Lam., D. rotundata Poir., D. trifida L., D.esculenta Burkill, and D. bulbifera 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have the significant medicinal and economic importance</w:t>
      </w:r>
      <w:r>
        <w:rPr>
          <w:rFonts w:hint="default" w:ascii="Times New Roman" w:hAnsi="Times New Roman" w:cs="Times New Roman"/>
          <w:sz w:val="24"/>
          <w:szCs w:val="24"/>
          <w:lang w:val="en-US"/>
        </w:rPr>
        <w:t xml:space="preserve"> which is</w:t>
      </w:r>
      <w:r>
        <w:rPr>
          <w:rFonts w:hint="default" w:ascii="Times New Roman" w:hAnsi="Times New Roman" w:cs="Times New Roman"/>
          <w:sz w:val="24"/>
          <w:szCs w:val="24"/>
        </w:rPr>
        <w:t xml:space="preserve"> consumed by </w:t>
      </w:r>
      <w:r>
        <w:rPr>
          <w:rFonts w:hint="default" w:ascii="Times New Roman" w:hAnsi="Times New Roman" w:cs="Times New Roman"/>
          <w:sz w:val="24"/>
          <w:szCs w:val="24"/>
          <w:lang w:val="en-US"/>
        </w:rPr>
        <w:t xml:space="preserve">tribal </w:t>
      </w:r>
      <w:r>
        <w:rPr>
          <w:rFonts w:hint="default" w:ascii="Times New Roman" w:hAnsi="Times New Roman" w:cs="Times New Roman"/>
          <w:sz w:val="24"/>
          <w:szCs w:val="24"/>
        </w:rPr>
        <w:t>peopl</w:t>
      </w:r>
      <w:r>
        <w:rPr>
          <w:rFonts w:hint="default" w:ascii="Times New Roman" w:hAnsi="Times New Roman" w:cs="Times New Roman"/>
          <w:sz w:val="24"/>
          <w:szCs w:val="24"/>
          <w:lang w:val="en-US"/>
        </w:rPr>
        <w:t>e in large scale</w:t>
      </w:r>
      <w:r>
        <w:rPr>
          <w:rFonts w:hint="default" w:ascii="Times New Roman" w:hAnsi="Times New Roman" w:cs="Times New Roman"/>
          <w:sz w:val="24"/>
          <w:szCs w:val="24"/>
        </w:rPr>
        <w:t>.  This study was designed to determine whether</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D</w:t>
      </w:r>
      <w:r>
        <w:rPr>
          <w:rFonts w:hint="default" w:ascii="Times New Roman" w:hAnsi="Times New Roman" w:cs="Times New Roman"/>
          <w:i/>
          <w:iCs/>
          <w:sz w:val="24"/>
          <w:szCs w:val="24"/>
        </w:rPr>
        <w:t>ioscorea</w:t>
      </w:r>
      <w:r>
        <w:rPr>
          <w:rFonts w:hint="default" w:ascii="Times New Roman" w:hAnsi="Times New Roman" w:cs="Times New Roman"/>
          <w:i/>
          <w:iCs/>
          <w:sz w:val="24"/>
          <w:szCs w:val="24"/>
          <w:lang w:val="en-US"/>
        </w:rPr>
        <w:t xml:space="preserve"> oppositifolia L. </w:t>
      </w:r>
      <w:r>
        <w:rPr>
          <w:rFonts w:hint="default" w:ascii="Times New Roman" w:hAnsi="Times New Roman" w:cs="Times New Roman"/>
          <w:sz w:val="24"/>
          <w:szCs w:val="24"/>
        </w:rPr>
        <w:t xml:space="preserve">supplementation could </w:t>
      </w:r>
      <w:r>
        <w:rPr>
          <w:rFonts w:hint="default" w:ascii="Times New Roman" w:hAnsi="Times New Roman" w:cs="Times New Roman"/>
          <w:sz w:val="24"/>
          <w:szCs w:val="24"/>
          <w:lang w:val="en-US"/>
        </w:rPr>
        <w:t>have antioxidant activity</w:t>
      </w:r>
      <w:r>
        <w:rPr>
          <w:rFonts w:hint="default" w:ascii="Times New Roman" w:hAnsi="Times New Roman" w:cs="Times New Roman"/>
          <w:sz w:val="24"/>
          <w:szCs w:val="24"/>
        </w:rPr>
        <w:t xml:space="preserve">. We aimed to investigate the antioxidant </w:t>
      </w:r>
      <w:r>
        <w:rPr>
          <w:rFonts w:hint="default" w:ascii="Times New Roman" w:hAnsi="Times New Roman" w:cs="Times New Roman"/>
          <w:sz w:val="24"/>
          <w:szCs w:val="24"/>
          <w:lang w:val="en-US"/>
        </w:rPr>
        <w:t>activity- DPPH and ABTS assay.</w:t>
      </w:r>
      <w:r>
        <w:rPr>
          <w:rFonts w:hint="default" w:ascii="Times New Roman" w:hAnsi="Times New Roman" w:cs="Times New Roman"/>
          <w:sz w:val="24"/>
          <w:szCs w:val="24"/>
        </w:rPr>
        <w:t xml:space="preserve">of aqueous extracts from </w:t>
      </w:r>
      <w:r>
        <w:rPr>
          <w:rFonts w:hint="default" w:ascii="Times New Roman" w:hAnsi="Times New Roman" w:cs="Times New Roman"/>
          <w:i/>
          <w:iCs/>
          <w:sz w:val="24"/>
          <w:szCs w:val="24"/>
          <w:lang w:val="en-US"/>
        </w:rPr>
        <w:t xml:space="preserve">Dioscorea oppositifolia </w:t>
      </w:r>
      <w:r>
        <w:rPr>
          <w:rFonts w:hint="default" w:ascii="Times New Roman" w:hAnsi="Times New Roman" w:cs="Times New Roman"/>
          <w:sz w:val="24"/>
          <w:szCs w:val="24"/>
          <w:lang w:val="en-US"/>
        </w:rPr>
        <w:t xml:space="preserve">L collected from Kohlli hills </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Yam has many phytochemical constituents such as polysaccharides, aminoacids, proteins, vitamins and mineral elements. Yam contains many chemical components such as mannan, abscising II, glucoprotien, choline, cholesterol, ergosterol, camesterol, dioscin, diosgenin, phyticacid, allontoin, dopamine, batatasin, dioscorea- mucilage B, and sterols (Zuo and Tang, 2003). Organic acids like succinic acid, citric acid, oxalic acid and malice acid are found abundantly in yams. Rakotobe</w:t>
      </w:r>
      <w:r>
        <w:rPr>
          <w:rFonts w:hint="default" w:ascii="Times New Roman" w:hAnsi="Times New Roman" w:cs="Times New Roman"/>
          <w:i/>
          <w:iCs/>
          <w:sz w:val="24"/>
          <w:szCs w:val="24"/>
        </w:rPr>
        <w:t xml:space="preserve"> et al.,</w:t>
      </w:r>
      <w:r>
        <w:rPr>
          <w:rFonts w:hint="default" w:ascii="Times New Roman" w:hAnsi="Times New Roman" w:cs="Times New Roman"/>
          <w:sz w:val="24"/>
          <w:szCs w:val="24"/>
        </w:rPr>
        <w:t xml:space="preserve"> (2010) reported that two clerodane diterpenoids, antadiosbulbins A and B and two 19- norclerodane diterpenes, 8-epidiosbulbins E and G along with the known diosbulbin E as well as nine known phenolics including five phenanthrenes and stilbenes and four flavonoids were isolated from the ethyl acetate soluble part of the methanolic extract of the tubers of Dioscorea antaly (an endemic species to Madagascar). Tapondjou</w:t>
      </w:r>
      <w:r>
        <w:rPr>
          <w:rFonts w:hint="default" w:ascii="Times New Roman" w:hAnsi="Times New Roman" w:cs="Times New Roman"/>
          <w:i/>
          <w:iCs/>
          <w:sz w:val="24"/>
          <w:szCs w:val="24"/>
        </w:rPr>
        <w:t xml:space="preserve"> et al.,</w:t>
      </w:r>
      <w:r>
        <w:rPr>
          <w:rFonts w:hint="default" w:ascii="Times New Roman" w:hAnsi="Times New Roman" w:cs="Times New Roman"/>
          <w:sz w:val="24"/>
          <w:szCs w:val="24"/>
        </w:rPr>
        <w:t xml:space="preserve"> (2013) reported that eleven steroidal saponins, dioscoreanosides A–K, along with five known congeners, were isolated from the flowers of Dioscorea bulbifera var. sativa. Their structures were established by extensive NMR experiments in conjunction with mass spectrometry.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Traditionally, the tuber is used to treat inflammation, joint pain, diabetes, infections, dysmenorrhea, rheumatism, and arthritis.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discovery of diosgenin (natural steroid) in the tubers has made it one of the most researched and studied herbal product. Many health benefits are associated with diosgenin, like prevention against cardiovascular disease, cancer and contraception. Diosgenin is used as a starting material for the synthesis of steroidal drugs, particularly for the partial synthesis of oral contraceptives, sex hormones and other steroids, since it exhibits estrogenic activity.  Diosgenin has been used in traditional Chinese medicine for treatment of urethral and renal infection</w:t>
      </w:r>
      <w:r>
        <w:rPr>
          <w:rFonts w:hint="default" w:ascii="Times New Roman" w:hAnsi="Times New Roman" w:cs="Times New Roman"/>
          <w:color w:val="auto"/>
          <w:sz w:val="24"/>
          <w:szCs w:val="24"/>
        </w:rPr>
        <w:t>s. (Heena and Lele, 2012).</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new Indian source for diosgenin is from </w:t>
      </w:r>
      <w:r>
        <w:rPr>
          <w:rFonts w:hint="default" w:ascii="Times New Roman" w:hAnsi="Times New Roman" w:cs="Times New Roman"/>
          <w:i/>
          <w:sz w:val="24"/>
          <w:szCs w:val="24"/>
        </w:rPr>
        <w:t>Dioscorea</w:t>
      </w:r>
      <w:r>
        <w:rPr>
          <w:rFonts w:hint="default" w:ascii="Times New Roman" w:hAnsi="Times New Roman" w:cs="Times New Roman"/>
          <w:sz w:val="24"/>
          <w:szCs w:val="24"/>
        </w:rPr>
        <w:t>, which is used to induce apoptosis in cancer cells and to reduce high blood pressure. Over the past decade, a series of preclinical and mechanistic studies have been conducted worldwide to understand the role of diosgenin as a chemo preventive agent against several cancers</w:t>
      </w:r>
      <w:r>
        <w:rPr>
          <w:rFonts w:hint="default" w:ascii="Times New Roman" w:hAnsi="Times New Roman" w:cs="Times New Roman"/>
          <w:color w:val="auto"/>
          <w:sz w:val="24"/>
          <w:szCs w:val="24"/>
        </w:rPr>
        <w:t xml:space="preserve"> (Raju and Mehta, 2009).</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Diosgenin have been found to exerts its anticancer effects against a wide variety of tumor cells, including breast cancer, colorectal cancer, osteosarcoma, and leukaemia </w:t>
      </w:r>
      <w:r>
        <w:rPr>
          <w:rFonts w:hint="default" w:ascii="Times New Roman" w:hAnsi="Times New Roman" w:cs="Times New Roman"/>
          <w:color w:val="auto"/>
          <w:sz w:val="24"/>
          <w:szCs w:val="24"/>
        </w:rPr>
        <w:t>(Srinivasan, 2009)</w:t>
      </w:r>
      <w:r>
        <w:rPr>
          <w:rFonts w:hint="default" w:ascii="Times New Roman" w:hAnsi="Times New Roman" w:cs="Times New Roman"/>
          <w:sz w:val="24"/>
          <w:szCs w:val="24"/>
        </w:rPr>
        <w:t xml:space="preserve">.The antitumor effects of diosgenin have been demonstrated to be mediated through activation of p53, immune-modulation, cell cycle arrest, modulation of caspase-3 activity, and induction of TRAIL death receptor DR5 </w:t>
      </w:r>
      <w:r>
        <w:rPr>
          <w:rFonts w:hint="default" w:ascii="Times New Roman" w:hAnsi="Times New Roman" w:cs="Times New Roman"/>
          <w:color w:val="auto"/>
          <w:sz w:val="24"/>
          <w:szCs w:val="24"/>
        </w:rPr>
        <w:t xml:space="preserve">(Lepage </w:t>
      </w:r>
      <w:r>
        <w:rPr>
          <w:rFonts w:hint="default" w:ascii="Times New Roman" w:hAnsi="Times New Roman" w:cs="Times New Roman"/>
          <w:i/>
          <w:color w:val="auto"/>
          <w:sz w:val="24"/>
          <w:szCs w:val="24"/>
        </w:rPr>
        <w:t>et al</w:t>
      </w:r>
      <w:r>
        <w:rPr>
          <w:rFonts w:hint="default" w:ascii="Times New Roman" w:hAnsi="Times New Roman" w:cs="Times New Roman"/>
          <w:color w:val="auto"/>
          <w:sz w:val="24"/>
          <w:szCs w:val="24"/>
        </w:rPr>
        <w:t>., 2011).</w:t>
      </w:r>
      <w:r>
        <w:rPr>
          <w:rFonts w:hint="default" w:ascii="Times New Roman" w:hAnsi="Times New Roman" w:cs="Times New Roman"/>
          <w:sz w:val="24"/>
          <w:szCs w:val="24"/>
        </w:rPr>
        <w:t xml:space="preserve"> Diosgenin inhibited proliferation and induced apoptosis in HepG2 cells by inhibiting signal transducer and activator of transcription (STAT3) signaling pathway </w:t>
      </w:r>
      <w:r>
        <w:rPr>
          <w:rFonts w:hint="default" w:ascii="Times New Roman" w:hAnsi="Times New Roman" w:cs="Times New Roman"/>
          <w:color w:val="auto"/>
          <w:sz w:val="24"/>
          <w:szCs w:val="24"/>
        </w:rPr>
        <w:t xml:space="preserve">(Kim </w:t>
      </w:r>
      <w:r>
        <w:rPr>
          <w:rFonts w:hint="default" w:ascii="Times New Roman" w:hAnsi="Times New Roman" w:cs="Times New Roman"/>
          <w:i/>
          <w:color w:val="auto"/>
          <w:sz w:val="24"/>
          <w:szCs w:val="24"/>
        </w:rPr>
        <w:t>et al</w:t>
      </w:r>
      <w:r>
        <w:rPr>
          <w:rFonts w:hint="default" w:ascii="Times New Roman" w:hAnsi="Times New Roman" w:cs="Times New Roman"/>
          <w:color w:val="auto"/>
          <w:sz w:val="24"/>
          <w:szCs w:val="24"/>
        </w:rPr>
        <w:t>., 2007).</w:t>
      </w:r>
      <w:r>
        <w:rPr>
          <w:rFonts w:hint="default" w:ascii="Times New Roman" w:hAnsi="Times New Roman" w:cs="Times New Roman"/>
          <w:sz w:val="24"/>
          <w:szCs w:val="24"/>
        </w:rPr>
        <w:t xml:space="preserve"> Diosgenin has been shown to target multiple pathways of tumorigenesis; including proliferation, apoptosis, angiogenesis, invasion, and tumor-induced immuno suppression in various tumor cells and </w:t>
      </w:r>
      <w:r>
        <w:rPr>
          <w:rFonts w:hint="default" w:ascii="Times New Roman" w:hAnsi="Times New Roman" w:cs="Times New Roman"/>
          <w:i/>
          <w:sz w:val="24"/>
          <w:szCs w:val="24"/>
        </w:rPr>
        <w:t>in vivo</w:t>
      </w:r>
      <w:r>
        <w:rPr>
          <w:rFonts w:hint="default" w:ascii="Times New Roman" w:hAnsi="Times New Roman" w:cs="Times New Roman"/>
          <w:sz w:val="24"/>
          <w:szCs w:val="24"/>
        </w:rPr>
        <w:t xml:space="preserve"> cancer models </w:t>
      </w:r>
      <w:r>
        <w:rPr>
          <w:rFonts w:hint="default" w:ascii="Times New Roman" w:hAnsi="Times New Roman" w:cs="Times New Roman"/>
          <w:color w:val="auto"/>
          <w:sz w:val="24"/>
          <w:szCs w:val="24"/>
        </w:rPr>
        <w:t>(Raju and Mehta, 2009).</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       There is a huge demand of diosgenin in the pharmaceutical industry for the growing population. In the light of the above information, the present work is an attempt to reveal many intricating objectives </w:t>
      </w:r>
      <w:r>
        <w:rPr>
          <w:rFonts w:hint="default" w:ascii="Times New Roman" w:hAnsi="Times New Roman" w:cs="Times New Roman"/>
          <w:sz w:val="24"/>
          <w:szCs w:val="24"/>
          <w:lang w:val="en-US"/>
        </w:rPr>
        <w:t xml:space="preserve">to detect antioxidant activity </w:t>
      </w:r>
      <w:r>
        <w:rPr>
          <w:rFonts w:hint="default" w:ascii="Times New Roman" w:hAnsi="Times New Roman" w:cs="Times New Roman"/>
          <w:sz w:val="24"/>
          <w:szCs w:val="24"/>
        </w:rPr>
        <w:t xml:space="preserve">related with phytodrug discovery and therapeutic potentials in </w:t>
      </w:r>
      <w:r>
        <w:rPr>
          <w:rFonts w:hint="default" w:ascii="Times New Roman" w:hAnsi="Times New Roman" w:cs="Times New Roman"/>
          <w:i/>
          <w:sz w:val="24"/>
          <w:szCs w:val="24"/>
        </w:rPr>
        <w:t>Dioscorea oppositifolia</w:t>
      </w:r>
      <w:r>
        <w:rPr>
          <w:rFonts w:hint="default" w:ascii="Times New Roman" w:hAnsi="Times New Roman" w:cs="Times New Roman"/>
          <w:sz w:val="24"/>
          <w:szCs w:val="24"/>
        </w:rPr>
        <w:t xml:space="preserve"> to produce environmentally safe approach.</w:t>
      </w:r>
    </w:p>
    <w:p>
      <w:pPr>
        <w:numPr>
          <w:ilvl w:val="0"/>
          <w:numId w:val="1"/>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Materials and Methods</w:t>
      </w:r>
    </w:p>
    <w:p>
      <w:pPr>
        <w:numPr>
          <w:ilvl w:val="1"/>
          <w:numId w:val="1"/>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Antioxidant assays in </w:t>
      </w:r>
      <w:r>
        <w:rPr>
          <w:rFonts w:hint="default" w:ascii="Times New Roman" w:hAnsi="Times New Roman" w:cs="Times New Roman"/>
          <w:b/>
          <w:i/>
          <w:iCs/>
          <w:sz w:val="24"/>
          <w:szCs w:val="24"/>
        </w:rPr>
        <w:t>Dioscorea oppositifolia</w:t>
      </w:r>
      <w:r>
        <w:rPr>
          <w:rFonts w:hint="default" w:ascii="Times New Roman" w:hAnsi="Times New Roman" w:cs="Times New Roman"/>
          <w:b/>
          <w:sz w:val="24"/>
          <w:szCs w:val="24"/>
        </w:rPr>
        <w:t xml:space="preserve"> L.</w:t>
      </w:r>
    </w:p>
    <w:p>
      <w:pPr>
        <w:numPr>
          <w:ilvl w:val="0"/>
          <w:numId w:val="0"/>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2</w:t>
      </w:r>
      <w:r>
        <w:rPr>
          <w:rFonts w:hint="default" w:ascii="Times New Roman" w:hAnsi="Times New Roman" w:cs="Times New Roman"/>
          <w:b/>
          <w:sz w:val="24"/>
          <w:szCs w:val="24"/>
        </w:rPr>
        <w:t>.1</w:t>
      </w:r>
      <w:r>
        <w:rPr>
          <w:rFonts w:hint="default" w:ascii="Times New Roman" w:hAnsi="Times New Roman" w:cs="Times New Roman"/>
          <w:b/>
          <w:sz w:val="24"/>
          <w:szCs w:val="24"/>
          <w:lang w:val="en-US"/>
        </w:rPr>
        <w:t>.2</w:t>
      </w:r>
      <w:r>
        <w:rPr>
          <w:rFonts w:hint="default" w:ascii="Times New Roman" w:hAnsi="Times New Roman" w:cs="Times New Roman"/>
          <w:b/>
          <w:sz w:val="24"/>
          <w:szCs w:val="24"/>
        </w:rPr>
        <w:t>.Determination of scavenging activity on DPPH</w:t>
      </w:r>
    </w:p>
    <w:p>
      <w:pPr>
        <w:numPr>
          <w:ilvl w:val="0"/>
          <w:numId w:val="0"/>
        </w:numPr>
        <w:spacing w:after="0" w:line="480" w:lineRule="auto"/>
        <w:ind w:firstLine="960" w:firstLineChars="40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The stable 1, 1-diphenyl-2-picryl hydrazyl radical (DPPH) was used for determination of free radical-scavenging activity of the extracts (Koleva et al., 2002). The presence of antioxidants which include polyphenolics and flavonoids in the sample will scavenge the formed DPPH radical and thereby decrease the color production. To 0.5 ml of DPPH radical solution, 2 ml of the extract (100-1000µg/ml) was added and the reaction mixture is vortexed for 10s and allows standing at room temperature for 30 minutes. After 30 mins at room temperature, the absorbance was</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recorded at 517 nm. The experiment was repeated three times. BHT was used as standard controls. EC50 values denote the concentration of sample, which is required to scavenge 50% of DPPH free radicals.</w:t>
      </w:r>
    </w:p>
    <w:p>
      <w:pPr>
        <w:numPr>
          <w:ilvl w:val="0"/>
          <w:numId w:val="0"/>
        </w:numPr>
        <w:spacing w:after="0" w:line="480" w:lineRule="auto"/>
        <w:ind w:firstLine="2400" w:firstLineChars="1000"/>
        <w:jc w:val="both"/>
        <w:rPr>
          <w:rFonts w:hint="default" w:ascii="Times New Roman" w:hAnsi="Times New Roman" w:cs="Times New Roman"/>
          <w:b/>
          <w:sz w:val="24"/>
          <w:szCs w:val="24"/>
        </w:rPr>
      </w:pPr>
      <w:r>
        <w:rPr>
          <w:rFonts w:hint="default" w:ascii="Times New Roman" w:hAnsi="Times New Roman" w:cs="Times New Roman"/>
          <w:b w:val="0"/>
          <w:bCs/>
          <w:sz w:val="24"/>
          <w:szCs w:val="24"/>
        </w:rPr>
        <w:t>Percentage of activity = Control - Test/Control*100</w:t>
      </w:r>
    </w:p>
    <w:p>
      <w:pPr>
        <w:numPr>
          <w:ilvl w:val="0"/>
          <w:numId w:val="0"/>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Determination of scavenging activity on ABTS</w:t>
      </w:r>
    </w:p>
    <w:p>
      <w:pPr>
        <w:numPr>
          <w:ilvl w:val="0"/>
          <w:numId w:val="0"/>
        </w:numPr>
        <w:spacing w:after="0" w:line="480" w:lineRule="auto"/>
        <w:ind w:firstLine="720" w:firstLineChars="30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The effect of plant extract on scavenging ABTS free radicals was investigated by the method of Re et al., (1999). The ABTS radical is produced by the reaction of ammonium persulphate with ABTS under dark condition. The persulphate ions are involved in a nucleophilic attack on ABTS and thereby, a greenish blue ABTS radical (ABTS+) are produced. The presence of antioxidants, which includes polyphenolics and flavonoids in the sample, will scavenge the formed ABTS radical and thereby decreased color intensity will be observed.</w:t>
      </w:r>
    </w:p>
    <w:p>
      <w:pPr>
        <w:numPr>
          <w:ilvl w:val="0"/>
          <w:numId w:val="0"/>
        </w:numPr>
        <w:spacing w:after="0" w:line="480" w:lineRule="auto"/>
        <w:ind w:firstLine="960" w:firstLineChars="40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ABTS solution was freshly prepared by adding 5 ml of a 4.9 mM ammonium persulphate solution to 5 ml of 14mM ABTS solution and keep for 16 h under dark condition. The solution is diluted with distilled water to yield an absorbance of 0.70 ±</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0.02 at 734 nm and the same was used for the assay. To this, 900 µl of the extract (100- 1000 µg/ml) was added and the reaction mixture was vortexed for 10s. After six minutes, the absorbance at 734 nm against distilled water was recorded. Compare with the control ABTS solution. The ABTS scavenging activity was expressed as percentage. Ascorbic acid can be used as reference compound.</w:t>
      </w:r>
    </w:p>
    <w:p>
      <w:pPr>
        <w:numPr>
          <w:ilvl w:val="0"/>
          <w:numId w:val="0"/>
        </w:numPr>
        <w:spacing w:after="0" w:line="480" w:lineRule="auto"/>
        <w:ind w:left="720" w:leftChars="0"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Percentage of ABTS scavenging activity= [A control – A sample]/ (A control x 100), where A control is the absorbance of ABTS + methanol; A sample is the absorbance of ABTS + sample (i.e. standard or extract).</w:t>
      </w:r>
    </w:p>
    <w:p>
      <w:pPr>
        <w:numPr>
          <w:ilvl w:val="0"/>
          <w:numId w:val="1"/>
        </w:numPr>
        <w:spacing w:after="0" w:line="480" w:lineRule="auto"/>
        <w:ind w:left="0" w:leftChars="0" w:firstLine="0" w:firstLineChars="0"/>
        <w:jc w:val="both"/>
        <w:rPr>
          <w:rFonts w:hint="default" w:ascii="Times New Roman" w:hAnsi="Times New Roman" w:cs="Times New Roman"/>
          <w:b/>
          <w:bCs w:val="0"/>
          <w:i/>
          <w:sz w:val="24"/>
          <w:szCs w:val="24"/>
        </w:rPr>
      </w:pPr>
      <w:r>
        <w:rPr>
          <w:rFonts w:hint="default" w:ascii="Times New Roman" w:hAnsi="Times New Roman" w:cs="Times New Roman"/>
          <w:b/>
          <w:bCs w:val="0"/>
          <w:i/>
          <w:sz w:val="24"/>
          <w:szCs w:val="24"/>
        </w:rPr>
        <w:t>Results and Discussion</w:t>
      </w:r>
    </w:p>
    <w:p>
      <w:pPr>
        <w:numPr>
          <w:ilvl w:val="0"/>
          <w:numId w:val="0"/>
        </w:numPr>
        <w:spacing w:after="0" w:line="480" w:lineRule="auto"/>
        <w:ind w:leftChars="0"/>
        <w:jc w:val="both"/>
        <w:rPr>
          <w:rFonts w:hint="default" w:ascii="Times New Roman" w:hAnsi="Times New Roman" w:cs="Times New Roman"/>
          <w:b/>
          <w:bCs w:val="0"/>
          <w:i/>
          <w:sz w:val="24"/>
          <w:szCs w:val="24"/>
        </w:rPr>
      </w:pPr>
      <w:r>
        <w:rPr>
          <w:rFonts w:hint="default" w:ascii="Times New Roman" w:hAnsi="Times New Roman" w:cs="Times New Roman"/>
          <w:b/>
          <w:i/>
          <w:sz w:val="24"/>
          <w:szCs w:val="24"/>
        </w:rPr>
        <w:t xml:space="preserve"> </w:t>
      </w:r>
      <w:r>
        <w:rPr>
          <w:rFonts w:hint="default" w:ascii="Times New Roman" w:hAnsi="Times New Roman" w:cs="Times New Roman"/>
          <w:b/>
          <w:sz w:val="24"/>
          <w:szCs w:val="24"/>
        </w:rPr>
        <w:t>Antioxidant activity</w:t>
      </w:r>
    </w:p>
    <w:p>
      <w:pPr>
        <w:numPr>
          <w:ilvl w:val="0"/>
          <w:numId w:val="0"/>
        </w:numPr>
        <w:spacing w:after="0" w:line="480" w:lineRule="auto"/>
        <w:ind w:leftChars="0" w:firstLine="600" w:firstLineChars="250"/>
        <w:jc w:val="both"/>
        <w:rPr>
          <w:rFonts w:hint="default" w:ascii="Times New Roman" w:hAnsi="Times New Roman" w:eastAsia="Calibri" w:cs="Times New Roman"/>
          <w:sz w:val="24"/>
          <w:szCs w:val="24"/>
        </w:rPr>
      </w:pPr>
      <w:r>
        <w:rPr>
          <w:rFonts w:hint="default" w:ascii="Times New Roman" w:hAnsi="Times New Roman" w:cs="Times New Roman"/>
          <w:b w:val="0"/>
          <w:bCs/>
          <w:sz w:val="24"/>
          <w:szCs w:val="24"/>
        </w:rPr>
        <w:t>Total antioxidant activity</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DPPH, ABTS radical-scavenging and total antioxidant activity</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 xml:space="preserve">The radical scavenging activity of </w:t>
      </w:r>
      <w:r>
        <w:rPr>
          <w:rFonts w:hint="default" w:ascii="Times New Roman" w:hAnsi="Times New Roman" w:cs="Times New Roman"/>
          <w:b w:val="0"/>
          <w:bCs/>
          <w:sz w:val="24"/>
          <w:szCs w:val="24"/>
          <w:lang w:val="en-US"/>
        </w:rPr>
        <w:t xml:space="preserve">Dioscorea oppositifolia L., </w:t>
      </w:r>
      <w:r>
        <w:rPr>
          <w:rFonts w:hint="default" w:ascii="Times New Roman" w:hAnsi="Times New Roman" w:cs="Times New Roman"/>
          <w:b w:val="0"/>
          <w:bCs/>
          <w:sz w:val="24"/>
          <w:szCs w:val="24"/>
        </w:rPr>
        <w:t>extracts (0.01 mg dw/ml) was compared with those of BHT and ascorbic acid at the same concentration and expressed as % of inhibition against DPPH and ABTS, respectively [Table 3].</w:t>
      </w:r>
    </w:p>
    <w:p>
      <w:pPr>
        <w:tabs>
          <w:tab w:val="left" w:pos="630"/>
          <w:tab w:val="left" w:pos="810"/>
        </w:tabs>
        <w:autoSpaceDE w:val="0"/>
        <w:autoSpaceDN w:val="0"/>
        <w:adjustRightInd w:val="0"/>
        <w:spacing w:after="120" w:line="432" w:lineRule="auto"/>
        <w:jc w:val="both"/>
        <w:rPr>
          <w:rFonts w:hint="default" w:ascii="Times New Roman" w:hAnsi="Times New Roman" w:cs="Times New Roman"/>
          <w:sz w:val="24"/>
          <w:szCs w:val="24"/>
        </w:rPr>
      </w:pPr>
      <w:r>
        <w:rPr>
          <w:rFonts w:hint="default" w:ascii="Times New Roman" w:hAnsi="Times New Roman" w:cs="Times New Roman"/>
          <w:i/>
          <w:sz w:val="24"/>
          <w:szCs w:val="24"/>
        </w:rPr>
        <w:tab/>
      </w:r>
      <w:r>
        <w:rPr>
          <w:rFonts w:hint="default" w:ascii="Times New Roman" w:hAnsi="Times New Roman" w:cs="Times New Roman"/>
          <w:i/>
          <w:sz w:val="24"/>
          <w:szCs w:val="24"/>
        </w:rPr>
        <w:t>In vitro</w:t>
      </w:r>
      <w:r>
        <w:rPr>
          <w:rFonts w:hint="default" w:ascii="Times New Roman" w:hAnsi="Times New Roman" w:cs="Times New Roman"/>
          <w:sz w:val="24"/>
          <w:szCs w:val="24"/>
        </w:rPr>
        <w:t xml:space="preserve"> tuber extract has larger amount of Vitamin-C than the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Total antioxidant capacity of </w:t>
      </w:r>
      <w:r>
        <w:rPr>
          <w:rFonts w:hint="default" w:ascii="Times New Roman" w:hAnsi="Times New Roman" w:cs="Times New Roman"/>
          <w:i/>
          <w:sz w:val="24"/>
          <w:szCs w:val="24"/>
        </w:rPr>
        <w:t xml:space="preserve">in vitro </w:t>
      </w:r>
      <w:r>
        <w:rPr>
          <w:rFonts w:hint="default" w:ascii="Times New Roman" w:hAnsi="Times New Roman" w:cs="Times New Roman"/>
          <w:sz w:val="24"/>
          <w:szCs w:val="24"/>
        </w:rPr>
        <w:t>tuber was quantified as</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shd w:val="clear"/>
        </w:rPr>
        <w:t xml:space="preserve">428.58 mg/g </w:t>
      </w:r>
      <w:r>
        <w:rPr>
          <w:rFonts w:hint="default" w:ascii="Times New Roman" w:hAnsi="Times New Roman" w:cs="Times New Roman"/>
          <w:sz w:val="24"/>
          <w:szCs w:val="24"/>
          <w:highlight w:val="none"/>
          <w:shd w:val="clear" w:fill="FFFFFF" w:themeFill="background1"/>
        </w:rPr>
        <w:t>i</w:t>
      </w:r>
      <w:r>
        <w:rPr>
          <w:rFonts w:hint="default" w:ascii="Times New Roman" w:hAnsi="Times New Roman" w:cs="Times New Roman"/>
          <w:sz w:val="24"/>
          <w:szCs w:val="24"/>
          <w:highlight w:val="none"/>
        </w:rPr>
        <w:t>n a</w:t>
      </w:r>
      <w:r>
        <w:rPr>
          <w:rFonts w:hint="default" w:ascii="Times New Roman" w:hAnsi="Times New Roman" w:cs="Times New Roman"/>
          <w:sz w:val="24"/>
          <w:szCs w:val="24"/>
        </w:rPr>
        <w:t xml:space="preserve">scorbic acid equivalents. Total antioxidant capacity of tuber is quantified as </w:t>
      </w:r>
      <w:r>
        <w:rPr>
          <w:rFonts w:hint="default" w:ascii="Times New Roman" w:hAnsi="Times New Roman" w:cs="Times New Roman"/>
          <w:sz w:val="24"/>
          <w:szCs w:val="24"/>
          <w:highlight w:val="none"/>
        </w:rPr>
        <w:t>356.51mg/g in</w:t>
      </w:r>
      <w:r>
        <w:rPr>
          <w:rFonts w:hint="default" w:ascii="Times New Roman" w:hAnsi="Times New Roman" w:cs="Times New Roman"/>
          <w:sz w:val="24"/>
          <w:szCs w:val="24"/>
        </w:rPr>
        <w:t xml:space="preserve"> ascorbic acid equivalents. The standard Diosgenin purchased from Sigma, USA was also subjected to estimate the total antioxidant activity and the total antioxidant capacity of Diosgenin was quantified a</w:t>
      </w:r>
      <w:r>
        <w:rPr>
          <w:rFonts w:hint="default" w:ascii="Times New Roman" w:hAnsi="Times New Roman" w:cs="Times New Roman"/>
          <w:sz w:val="24"/>
          <w:szCs w:val="24"/>
          <w:highlight w:val="none"/>
        </w:rPr>
        <w:t xml:space="preserve">s 430.55mg/g. </w:t>
      </w:r>
      <w:r>
        <w:rPr>
          <w:rFonts w:hint="default" w:ascii="Times New Roman" w:hAnsi="Times New Roman" w:cs="Times New Roman"/>
          <w:i/>
          <w:sz w:val="24"/>
          <w:szCs w:val="24"/>
        </w:rPr>
        <w:t xml:space="preserve">In vitro </w:t>
      </w:r>
      <w:r>
        <w:rPr>
          <w:rFonts w:hint="default" w:ascii="Times New Roman" w:hAnsi="Times New Roman" w:cs="Times New Roman"/>
          <w:sz w:val="24"/>
          <w:szCs w:val="24"/>
        </w:rPr>
        <w:t>tuber has higher scavenging capacity which is nearer to the standard value.</w:t>
      </w:r>
    </w:p>
    <w:p>
      <w:pPr>
        <w:tabs>
          <w:tab w:val="left" w:pos="630"/>
          <w:tab w:val="left" w:pos="810"/>
        </w:tabs>
        <w:autoSpaceDE w:val="0"/>
        <w:autoSpaceDN w:val="0"/>
        <w:adjustRightInd w:val="0"/>
        <w:spacing w:after="120" w:line="432" w:lineRule="auto"/>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               DPPH radical-scavenging activity was measured according to the method of Koleva et al., (2002).</w:t>
      </w:r>
      <w:r>
        <w:rPr>
          <w:rFonts w:hint="default" w:ascii="Times New Roman" w:hAnsi="Times New Roman" w:cs="Times New Roman"/>
          <w:i/>
          <w:sz w:val="24"/>
          <w:szCs w:val="24"/>
        </w:rPr>
        <w:t xml:space="preserve"> D. oppositifolia has </w:t>
      </w:r>
      <w:r>
        <w:rPr>
          <w:rFonts w:hint="default" w:ascii="Times New Roman" w:hAnsi="Times New Roman" w:cs="Times New Roman"/>
          <w:sz w:val="24"/>
          <w:szCs w:val="24"/>
        </w:rPr>
        <w:t xml:space="preserve">greater scavenging activity against DPPH radical,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has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300 µg/ml and</w:t>
      </w:r>
      <w:r>
        <w:rPr>
          <w:rFonts w:hint="default" w:ascii="Times New Roman" w:hAnsi="Times New Roman" w:cs="Times New Roman"/>
          <w:i/>
          <w:sz w:val="24"/>
          <w:szCs w:val="24"/>
        </w:rPr>
        <w:t xml:space="preserve"> in vitro</w:t>
      </w:r>
      <w:r>
        <w:rPr>
          <w:rFonts w:hint="default" w:ascii="Times New Roman" w:hAnsi="Times New Roman" w:cs="Times New Roman"/>
          <w:sz w:val="24"/>
          <w:szCs w:val="24"/>
        </w:rPr>
        <w:t xml:space="preserve"> tuber has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500 µg/ml against the standard BHT has scavenging capacity IC</w:t>
      </w:r>
      <w:r>
        <w:rPr>
          <w:rFonts w:hint="default" w:ascii="Times New Roman" w:hAnsi="Times New Roman" w:cs="Times New Roman"/>
          <w:sz w:val="24"/>
          <w:szCs w:val="24"/>
          <w:vertAlign w:val="subscript"/>
        </w:rPr>
        <w:t xml:space="preserve">50 </w:t>
      </w:r>
      <w:r>
        <w:rPr>
          <w:rFonts w:hint="default" w:ascii="Times New Roman" w:hAnsi="Times New Roman" w:cs="Times New Roman"/>
          <w:sz w:val="24"/>
          <w:szCs w:val="24"/>
        </w:rPr>
        <w:t>value of 50 µg/ml (Table 10, Figure 15).</w:t>
      </w:r>
      <w:r>
        <w:rPr>
          <w:rFonts w:hint="default" w:ascii="Times New Roman" w:hAnsi="Times New Roman" w:cs="Times New Roman"/>
          <w:b/>
          <w:sz w:val="24"/>
          <w:szCs w:val="24"/>
        </w:rPr>
        <w:t xml:space="preserve"> </w:t>
      </w:r>
    </w:p>
    <w:p>
      <w:pPr>
        <w:tabs>
          <w:tab w:val="left" w:pos="630"/>
          <w:tab w:val="left" w:pos="810"/>
        </w:tabs>
        <w:autoSpaceDE w:val="0"/>
        <w:autoSpaceDN w:val="0"/>
        <w:adjustRightInd w:val="0"/>
        <w:spacing w:after="120" w:line="432" w:lineRule="auto"/>
        <w:jc w:val="both"/>
        <w:rPr>
          <w:rFonts w:hint="default" w:ascii="Times New Roman" w:hAnsi="Times New Roman" w:cs="Times New Roman"/>
          <w:b/>
          <w:sz w:val="24"/>
          <w:szCs w:val="24"/>
        </w:rPr>
      </w:pPr>
      <w:r>
        <w:rPr>
          <w:rFonts w:hint="default" w:ascii="Times New Roman" w:hAnsi="Times New Roman" w:cs="Times New Roman"/>
          <w:i/>
          <w:sz w:val="24"/>
          <w:szCs w:val="24"/>
        </w:rPr>
        <w:tab/>
      </w:r>
      <w:r>
        <w:rPr>
          <w:rFonts w:hint="default" w:ascii="Times New Roman" w:hAnsi="Times New Roman" w:cs="Times New Roman"/>
          <w:i/>
          <w:sz w:val="24"/>
          <w:szCs w:val="24"/>
        </w:rPr>
        <w:t xml:space="preserve">D. oppositifolia </w:t>
      </w:r>
      <w:r>
        <w:rPr>
          <w:rFonts w:hint="default" w:ascii="Times New Roman" w:hAnsi="Times New Roman" w:cs="Times New Roman"/>
          <w:sz w:val="24"/>
          <w:szCs w:val="24"/>
        </w:rPr>
        <w:t>L.</w:t>
      </w:r>
      <w:r>
        <w:rPr>
          <w:rFonts w:hint="default" w:ascii="Times New Roman" w:hAnsi="Times New Roman" w:cs="Times New Roman"/>
          <w:i/>
          <w:sz w:val="24"/>
          <w:szCs w:val="24"/>
        </w:rPr>
        <w:t xml:space="preserve"> </w:t>
      </w:r>
      <w:r>
        <w:rPr>
          <w:rFonts w:hint="default" w:ascii="Times New Roman" w:hAnsi="Times New Roman" w:cs="Times New Roman"/>
          <w:sz w:val="24"/>
          <w:szCs w:val="24"/>
        </w:rPr>
        <w:t>tuber has greater scavenging activity by ABTS radical (Table 11, Figure 16). The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w:t>
      </w:r>
      <w:r>
        <w:rPr>
          <w:rFonts w:hint="default" w:ascii="Times New Roman" w:hAnsi="Times New Roman" w:cs="Times New Roman"/>
          <w:i/>
          <w:sz w:val="24"/>
          <w:szCs w:val="24"/>
        </w:rPr>
        <w:t xml:space="preserve"> in vitro</w:t>
      </w:r>
      <w:r>
        <w:rPr>
          <w:rFonts w:hint="default" w:ascii="Times New Roman" w:hAnsi="Times New Roman" w:cs="Times New Roman"/>
          <w:sz w:val="24"/>
          <w:szCs w:val="24"/>
        </w:rPr>
        <w:t xml:space="preserve"> tuber is 400µg/ml, and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is 500µg/ml, while BHT shows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400µg/ml. </w:t>
      </w:r>
      <w:r>
        <w:rPr>
          <w:rFonts w:hint="default" w:ascii="Times New Roman" w:hAnsi="Times New Roman" w:cs="Times New Roman"/>
          <w:i/>
          <w:caps/>
          <w:sz w:val="24"/>
          <w:szCs w:val="24"/>
        </w:rPr>
        <w:t>i</w:t>
      </w:r>
      <w:r>
        <w:rPr>
          <w:rFonts w:hint="default" w:ascii="Times New Roman" w:hAnsi="Times New Roman" w:cs="Times New Roman"/>
          <w:i/>
          <w:sz w:val="24"/>
          <w:szCs w:val="24"/>
        </w:rPr>
        <w:t xml:space="preserve">n vitro </w:t>
      </w:r>
      <w:r>
        <w:rPr>
          <w:rFonts w:hint="default" w:ascii="Times New Roman" w:hAnsi="Times New Roman" w:cs="Times New Roman"/>
          <w:sz w:val="24"/>
          <w:szCs w:val="24"/>
        </w:rPr>
        <w:t xml:space="preserve">tuber has scavenging activity which is equal to BHT standard. A significance level of 5% was adopted using </w:t>
      </w:r>
      <w:r>
        <w:rPr>
          <w:rFonts w:hint="default" w:ascii="Times New Roman" w:hAnsi="Times New Roman" w:cs="Times New Roman"/>
          <w:caps/>
          <w:sz w:val="24"/>
          <w:szCs w:val="24"/>
        </w:rPr>
        <w:t>anova</w:t>
      </w:r>
      <w:r>
        <w:rPr>
          <w:rFonts w:hint="default" w:ascii="Times New Roman" w:hAnsi="Times New Roman" w:cs="Times New Roman"/>
          <w:sz w:val="24"/>
          <w:szCs w:val="24"/>
        </w:rPr>
        <w:t xml:space="preserve"> analysis for all comparisons. Duncan’s multiple ranges test was used to determine the significant difference between different treatments. The radical scavenging activity of </w:t>
      </w:r>
      <w:r>
        <w:rPr>
          <w:rFonts w:hint="default" w:ascii="Times New Roman" w:hAnsi="Times New Roman" w:cs="Times New Roman"/>
          <w:i/>
          <w:sz w:val="24"/>
          <w:szCs w:val="24"/>
        </w:rPr>
        <w:t>D. oppositifolia</w:t>
      </w:r>
      <w:r>
        <w:rPr>
          <w:rFonts w:hint="default" w:ascii="Times New Roman" w:hAnsi="Times New Roman" w:cs="Times New Roman"/>
          <w:sz w:val="24"/>
          <w:szCs w:val="24"/>
        </w:rPr>
        <w:t xml:space="preserve"> extracts (0.01 mg dry weight/ml) was compared with those of BHT and ascorbic acid at the same concentration and expressed as percentage of inhibition against DPPH and ABTS, respectively. These results suggest that tuber extract of </w:t>
      </w:r>
      <w:r>
        <w:rPr>
          <w:rFonts w:hint="default" w:ascii="Times New Roman" w:hAnsi="Times New Roman" w:cs="Times New Roman"/>
          <w:i/>
          <w:sz w:val="24"/>
          <w:szCs w:val="24"/>
        </w:rPr>
        <w:t>D. oppositifolia</w:t>
      </w:r>
      <w:r>
        <w:rPr>
          <w:rFonts w:hint="default" w:ascii="Times New Roman" w:hAnsi="Times New Roman" w:cs="Times New Roman"/>
          <w:sz w:val="24"/>
          <w:szCs w:val="24"/>
        </w:rPr>
        <w:t xml:space="preserve"> has potent antiradical and antioxidant activity.</w:t>
      </w:r>
    </w:p>
    <w:p>
      <w:pPr>
        <w:autoSpaceDE w:val="0"/>
        <w:autoSpaceDN w:val="0"/>
        <w:adjustRightInd w:val="0"/>
        <w:spacing w:after="0" w:line="480" w:lineRule="auto"/>
        <w:rPr>
          <w:rFonts w:hint="default" w:ascii="Times New Roman" w:hAnsi="Times New Roman" w:cs="Times New Roman"/>
          <w:sz w:val="24"/>
          <w:szCs w:val="24"/>
        </w:rPr>
      </w:pPr>
      <w:r>
        <w:rPr>
          <w:rFonts w:hint="default" w:ascii="Times New Roman" w:hAnsi="Times New Roman" w:cs="Times New Roman"/>
          <w:b/>
          <w:bCs/>
          <w:sz w:val="24"/>
          <w:szCs w:val="24"/>
        </w:rPr>
        <w:t>Acknowledgements</w:t>
      </w:r>
    </w:p>
    <w:p>
      <w:pPr>
        <w:autoSpaceDE w:val="0"/>
        <w:autoSpaceDN w:val="0"/>
        <w:adjustRightInd w:val="0"/>
        <w:spacing w:after="0"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This study has been supported by grants from University Grant Commission (UGC), Government of India, New Delhi. The author gratefully acknowledges the UGC for providing Rajiv Gandhi National Fellowship (RGNF) for financial support.</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autoSpaceDE w:val="0"/>
        <w:autoSpaceDN w:val="0"/>
        <w:adjustRightInd w:val="0"/>
        <w:spacing w:after="0" w:line="480" w:lineRule="auto"/>
        <w:ind w:left="720" w:hanging="720"/>
        <w:jc w:val="both"/>
        <w:rPr>
          <w:rFonts w:hint="default" w:ascii="Times New Roman" w:hAnsi="Times New Roman" w:cs="Times New Roman"/>
          <w:iCs/>
          <w:sz w:val="24"/>
          <w:szCs w:val="24"/>
        </w:rPr>
      </w:pPr>
      <w:r>
        <w:rPr>
          <w:rFonts w:hint="default" w:ascii="Times New Roman" w:hAnsi="Times New Roman" w:cs="Times New Roman"/>
          <w:iCs/>
          <w:sz w:val="24"/>
          <w:szCs w:val="24"/>
        </w:rPr>
        <w:t xml:space="preserve">Fu, Y.C., Ferng, L.H.A., Huang, P.Y., 2006. Quantitative analysis of allantoin and allantoic acid in yam tuber, mucilage, skin and bulbil of the </w:t>
      </w:r>
      <w:r>
        <w:rPr>
          <w:rFonts w:hint="default" w:ascii="Times New Roman" w:hAnsi="Times New Roman" w:cs="Times New Roman"/>
          <w:i/>
          <w:iCs/>
          <w:sz w:val="24"/>
          <w:szCs w:val="24"/>
        </w:rPr>
        <w:t>Dioscorea species</w:t>
      </w:r>
      <w:r>
        <w:rPr>
          <w:rFonts w:hint="default" w:ascii="Times New Roman" w:hAnsi="Times New Roman" w:cs="Times New Roman"/>
          <w:iCs/>
          <w:sz w:val="24"/>
          <w:szCs w:val="24"/>
        </w:rPr>
        <w:t xml:space="preserve">. </w:t>
      </w:r>
      <w:r>
        <w:rPr>
          <w:rFonts w:hint="default" w:ascii="Times New Roman" w:hAnsi="Times New Roman" w:cs="Times New Roman"/>
          <w:i/>
          <w:iCs/>
          <w:sz w:val="24"/>
          <w:szCs w:val="24"/>
        </w:rPr>
        <w:t>Food Chemistry</w:t>
      </w:r>
      <w:r>
        <w:rPr>
          <w:rFonts w:hint="default" w:ascii="Times New Roman" w:hAnsi="Times New Roman" w:cs="Times New Roman"/>
          <w:iCs/>
          <w:sz w:val="24"/>
          <w:szCs w:val="24"/>
        </w:rPr>
        <w:t>. 94, 541–549.</w:t>
      </w:r>
    </w:p>
    <w:p>
      <w:pPr>
        <w:pStyle w:val="16"/>
        <w:spacing w:after="0" w:line="480" w:lineRule="auto"/>
        <w:ind w:hanging="720"/>
        <w:contextualSpacing w:val="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Gomez, A., Kwanchai, A., 1984.</w:t>
      </w:r>
      <w:r>
        <w:rPr>
          <w:rFonts w:hint="default" w:ascii="Times New Roman" w:hAnsi="Times New Roman" w:cs="Times New Roman"/>
          <w:sz w:val="24"/>
          <w:szCs w:val="24"/>
          <w:shd w:val="clear" w:color="auto" w:fill="FFFFFF"/>
        </w:rPr>
        <w:t xml:space="preserve"> Statistical Procedures for Agricultural Research.</w:t>
      </w:r>
      <w:r>
        <w:rPr>
          <w:rFonts w:hint="default" w:ascii="Times New Roman" w:hAnsi="Times New Roman" w:cs="Times New Roman"/>
          <w:sz w:val="24"/>
          <w:szCs w:val="24"/>
        </w:rPr>
        <w:t xml:space="preserve"> An International Rice Research Institute book. </w:t>
      </w:r>
      <w:r>
        <w:rPr>
          <w:rFonts w:hint="default" w:ascii="Times New Roman" w:hAnsi="Times New Roman" w:cs="Times New Roman"/>
          <w:i/>
          <w:sz w:val="24"/>
          <w:szCs w:val="24"/>
        </w:rPr>
        <w:t>Wiley-Interscience publication</w:t>
      </w:r>
      <w:r>
        <w:rPr>
          <w:rFonts w:hint="default" w:ascii="Times New Roman" w:hAnsi="Times New Roman" w:cs="Times New Roman"/>
          <w:sz w:val="24"/>
          <w:szCs w:val="24"/>
        </w:rPr>
        <w:t>.</w:t>
      </w:r>
      <w:r>
        <w:rPr>
          <w:rFonts w:hint="default" w:ascii="Times New Roman" w:hAnsi="Times New Roman" w:cs="Times New Roman"/>
          <w:sz w:val="24"/>
          <w:szCs w:val="24"/>
          <w:shd w:val="clear" w:color="auto" w:fill="FFFFFF"/>
        </w:rPr>
        <w:t xml:space="preserve"> </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Gong, G., Qin, Y., Huang, W., Zhou, S., Wu, X., Yang, X., Zhao, Y., Li, D., (2010). Protective effects of diosgenin in the hyperlipidemic rat model and in human vascular endothelial cells against hydrogen peroxide-induced apoptosis. </w:t>
      </w:r>
      <w:r>
        <w:rPr>
          <w:rFonts w:hint="default" w:ascii="Times New Roman" w:hAnsi="Times New Roman" w:cs="Times New Roman"/>
          <w:i/>
          <w:sz w:val="24"/>
          <w:szCs w:val="24"/>
        </w:rPr>
        <w:t>Chemico-Biological Interactions.</w:t>
      </w:r>
      <w:r>
        <w:rPr>
          <w:rFonts w:hint="default" w:ascii="Times New Roman" w:hAnsi="Times New Roman" w:cs="Times New Roman"/>
          <w:sz w:val="24"/>
          <w:szCs w:val="24"/>
        </w:rPr>
        <w:t xml:space="preserve"> 184(3): 366-375.</w:t>
      </w:r>
    </w:p>
    <w:p>
      <w:pPr>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Heena J. Shah., and Lele., S.S., 2012. Extraction of Diosgenin, a Bioactive Compound from Natural Source </w:t>
      </w:r>
      <w:r>
        <w:rPr>
          <w:rFonts w:hint="default" w:ascii="Times New Roman" w:hAnsi="Times New Roman" w:cs="Times New Roman"/>
          <w:i/>
          <w:sz w:val="24"/>
          <w:szCs w:val="24"/>
        </w:rPr>
        <w:t>Dioscorea alata</w:t>
      </w:r>
      <w:r>
        <w:rPr>
          <w:rFonts w:hint="default" w:ascii="Times New Roman" w:hAnsi="Times New Roman" w:cs="Times New Roman"/>
          <w:sz w:val="24"/>
          <w:szCs w:val="24"/>
        </w:rPr>
        <w:t xml:space="preserve"> Var purpurae. </w:t>
      </w:r>
      <w:r>
        <w:rPr>
          <w:rFonts w:hint="default" w:ascii="Times New Roman" w:hAnsi="Times New Roman" w:cs="Times New Roman"/>
          <w:i/>
          <w:sz w:val="24"/>
          <w:szCs w:val="24"/>
        </w:rPr>
        <w:t>J</w:t>
      </w:r>
      <w:r>
        <w:rPr>
          <w:rFonts w:hint="default" w:ascii="Times New Roman" w:hAnsi="Times New Roman" w:cs="Times New Roman"/>
          <w:sz w:val="24"/>
          <w:szCs w:val="24"/>
        </w:rPr>
        <w:t>.</w:t>
      </w:r>
      <w:r>
        <w:rPr>
          <w:rFonts w:hint="default" w:ascii="Times New Roman" w:hAnsi="Times New Roman" w:cs="Times New Roman"/>
          <w:i/>
          <w:sz w:val="24"/>
          <w:szCs w:val="24"/>
        </w:rPr>
        <w:t xml:space="preserve"> Anal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Bioanal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Techniques.</w:t>
      </w:r>
      <w:r>
        <w:rPr>
          <w:rFonts w:hint="default" w:ascii="Times New Roman" w:hAnsi="Times New Roman" w:cs="Times New Roman"/>
          <w:sz w:val="24"/>
          <w:szCs w:val="24"/>
        </w:rPr>
        <w:t xml:space="preserve"> 3, 4.</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Kakkar, P., Das, B., Vishwanathan, P.N., 1984. A modified spectrophotometric assay of superoxide dismutase. </w:t>
      </w:r>
      <w:r>
        <w:rPr>
          <w:rFonts w:hint="default" w:ascii="Times New Roman" w:hAnsi="Times New Roman" w:cs="Times New Roman"/>
          <w:i/>
          <w:sz w:val="24"/>
          <w:szCs w:val="24"/>
        </w:rPr>
        <w:t>Indian J. Biochem. Biophys.</w:t>
      </w:r>
      <w:r>
        <w:rPr>
          <w:rFonts w:hint="default" w:ascii="Times New Roman" w:hAnsi="Times New Roman" w:cs="Times New Roman"/>
          <w:sz w:val="24"/>
          <w:szCs w:val="24"/>
        </w:rPr>
        <w:t xml:space="preserve">  21, 130-13.</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Katy Lisias, G.D., Nadja da Azevedo, C., Kristhea Karyne, G.P. 2007. Mechanisms involved in the vasodilator effect induced by diosgenin in rat superior mesenteric artery. </w:t>
      </w:r>
      <w:r>
        <w:rPr>
          <w:rFonts w:hint="default" w:ascii="Times New Roman" w:hAnsi="Times New Roman" w:cs="Times New Roman"/>
          <w:i/>
          <w:sz w:val="24"/>
          <w:szCs w:val="24"/>
        </w:rPr>
        <w:t>Eur J Pharmacology</w:t>
      </w:r>
      <w:r>
        <w:rPr>
          <w:rFonts w:hint="default" w:ascii="Times New Roman" w:hAnsi="Times New Roman" w:cs="Times New Roman"/>
          <w:sz w:val="24"/>
          <w:szCs w:val="24"/>
        </w:rPr>
        <w:t>. 574, 172-178.</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Kim, J.S., Kuk, E., Yu, K.N., Kim, J.H., Park, S.J. Lee, H.J. 2007. Silver nanoparticle synthesis and their antimicrobial activity. </w:t>
      </w:r>
      <w:r>
        <w:rPr>
          <w:rFonts w:hint="default" w:ascii="Times New Roman" w:hAnsi="Times New Roman" w:cs="Times New Roman"/>
          <w:i/>
          <w:sz w:val="24"/>
          <w:szCs w:val="24"/>
        </w:rPr>
        <w:t>Nanotechnology, Biology and Medicine.</w:t>
      </w:r>
      <w:r>
        <w:rPr>
          <w:rFonts w:hint="default" w:ascii="Times New Roman" w:hAnsi="Times New Roman" w:cs="Times New Roman"/>
          <w:sz w:val="24"/>
          <w:szCs w:val="24"/>
        </w:rPr>
        <w:t xml:space="preserve"> 3 (1,): 95-101.</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Lepage, C. Léger, Bertrand, D.Y., Martin, J., Beneytout, F., and Liagre, B., 2011. Diosgenin induces death receptor-5 through activation of p38 pathway and promotes TRAIL-induced apoptosis in colon cancer cells. </w:t>
      </w:r>
      <w:r>
        <w:rPr>
          <w:rFonts w:hint="default" w:ascii="Times New Roman" w:hAnsi="Times New Roman" w:cs="Times New Roman"/>
          <w:i/>
          <w:sz w:val="24"/>
          <w:szCs w:val="24"/>
        </w:rPr>
        <w:t>Cancer Letters</w:t>
      </w:r>
      <w:r>
        <w:rPr>
          <w:rFonts w:hint="default" w:ascii="Times New Roman" w:hAnsi="Times New Roman" w:cs="Times New Roman"/>
          <w:sz w:val="24"/>
          <w:szCs w:val="24"/>
        </w:rPr>
        <w:t>. 301(2): 193–202.</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Monks, A., Scudiero, D., Skehan, P., Shoemaker, R., Paull, K., Vistica, D., Hose, C., Langley, J., Cronise, P., Vaigro-Wolff, A., Gray-Goodrich, M., Campbell, H., Mayo, J., Boyd, 1991. Feasibility of high flux anticancer drug screen using a diverse panel of cultured human tumour cell lines. Journal of the National Cancer Institute, 83, 757-76.</w:t>
      </w:r>
    </w:p>
    <w:p>
      <w:pPr>
        <w:pStyle w:val="16"/>
        <w:autoSpaceDE w:val="0"/>
        <w:autoSpaceDN w:val="0"/>
        <w:adjustRightInd w:val="0"/>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Marie, A., Anuff-Harding, M.C., Omoruyi, F., 2006. Intestinal disaccharides and some renal enzymes in streptozotocin- induced diabetic rats fed sapogenin extract from bitter yam. </w:t>
      </w:r>
      <w:r>
        <w:rPr>
          <w:rFonts w:hint="default" w:ascii="Times New Roman" w:hAnsi="Times New Roman" w:cs="Times New Roman"/>
          <w:i/>
          <w:sz w:val="24"/>
          <w:szCs w:val="24"/>
        </w:rPr>
        <w:t>Life Science</w:t>
      </w:r>
      <w:r>
        <w:rPr>
          <w:rFonts w:hint="default" w:ascii="Times New Roman" w:hAnsi="Times New Roman" w:cs="Times New Roman"/>
          <w:sz w:val="24"/>
          <w:szCs w:val="24"/>
        </w:rPr>
        <w:t>. 78:2595-2600.</w:t>
      </w:r>
    </w:p>
    <w:p>
      <w:pPr>
        <w:pStyle w:val="16"/>
        <w:tabs>
          <w:tab w:val="left" w:pos="915"/>
        </w:tabs>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Moron, Μ. S., Depierre, J. W., Mannervik, Β.,1979. </w:t>
      </w:r>
      <w:r>
        <w:rPr>
          <w:rFonts w:hint="default" w:ascii="Times New Roman" w:hAnsi="Times New Roman" w:cs="Times New Roman"/>
          <w:i/>
          <w:sz w:val="24"/>
          <w:szCs w:val="24"/>
        </w:rPr>
        <w:t>Biochim. Biophys. Acta.</w:t>
      </w:r>
      <w:r>
        <w:rPr>
          <w:rFonts w:hint="default" w:ascii="Times New Roman" w:hAnsi="Times New Roman" w:cs="Times New Roman"/>
          <w:sz w:val="24"/>
          <w:szCs w:val="24"/>
        </w:rPr>
        <w:t xml:space="preserve"> 582, 67.</w:t>
      </w:r>
    </w:p>
    <w:p>
      <w:pPr>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Montririttigri. K, Moongkarndi. P, Joongsomboonkusol. S, Chitkul. B and Pattanapanyasat. K. 2008. Apoptotic Activity of Aporphine from Stephania venosa on Human Ovarian Cancer Cells, Mahidol University </w:t>
      </w:r>
      <w:r>
        <w:rPr>
          <w:rFonts w:hint="default" w:ascii="Times New Roman" w:hAnsi="Times New Roman" w:cs="Times New Roman"/>
          <w:i/>
          <w:sz w:val="24"/>
          <w:szCs w:val="24"/>
        </w:rPr>
        <w:t>Journal of Pharmaceutical Sciences</w:t>
      </w:r>
      <w:r>
        <w:rPr>
          <w:rFonts w:hint="default" w:ascii="Times New Roman" w:hAnsi="Times New Roman" w:cs="Times New Roman"/>
          <w:sz w:val="24"/>
          <w:szCs w:val="24"/>
        </w:rPr>
        <w:t xml:space="preserve"> 2008; 35(1-4): 52-56.</w:t>
      </w:r>
    </w:p>
    <w:p>
      <w:pPr>
        <w:pStyle w:val="17"/>
        <w:tabs>
          <w:tab w:val="left" w:pos="900"/>
        </w:tabs>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Ohkawa H, Ohishi N, Yagi K (1979) Assay for lipid peroxides in animal tissues by thiobarbituric acid reaction. </w:t>
      </w:r>
      <w:r>
        <w:rPr>
          <w:rFonts w:hint="default" w:ascii="Times New Roman" w:hAnsi="Times New Roman" w:cs="Times New Roman"/>
          <w:i/>
          <w:sz w:val="24"/>
          <w:szCs w:val="24"/>
        </w:rPr>
        <w:t>Anal Biochem</w:t>
      </w:r>
      <w:r>
        <w:rPr>
          <w:rFonts w:hint="default" w:ascii="Times New Roman" w:hAnsi="Times New Roman" w:cs="Times New Roman"/>
          <w:sz w:val="24"/>
          <w:szCs w:val="24"/>
        </w:rPr>
        <w:t xml:space="preserve"> 95:1-38</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Raju, J., and Mehta, R.,2009. Cancer Chemopreventive and therapeutic effects of diosgenin, a food saponin. </w:t>
      </w:r>
      <w:r>
        <w:rPr>
          <w:rFonts w:hint="default" w:ascii="Times New Roman" w:hAnsi="Times New Roman" w:cs="Times New Roman"/>
          <w:i/>
          <w:sz w:val="24"/>
          <w:szCs w:val="24"/>
        </w:rPr>
        <w:t>Nutrition and Cancer.</w:t>
      </w:r>
      <w:r>
        <w:rPr>
          <w:rFonts w:hint="default" w:ascii="Times New Roman" w:hAnsi="Times New Roman" w:cs="Times New Roman"/>
          <w:sz w:val="24"/>
          <w:szCs w:val="24"/>
        </w:rPr>
        <w:t xml:space="preserve">  61(1): 27–35.</w:t>
      </w:r>
    </w:p>
    <w:p>
      <w:pPr>
        <w:pStyle w:val="17"/>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Reitman S., Frankel S.,  1974. Colorimetric method determination of serum glutamate oxaloacetate and glutamate pyruvate transaminase. </w:t>
      </w:r>
      <w:r>
        <w:rPr>
          <w:rFonts w:hint="default" w:ascii="Times New Roman" w:hAnsi="Times New Roman" w:cs="Times New Roman"/>
          <w:i/>
          <w:sz w:val="24"/>
          <w:szCs w:val="24"/>
        </w:rPr>
        <w:t>Am. J. Pathol</w:t>
      </w:r>
      <w:r>
        <w:rPr>
          <w:rFonts w:hint="default" w:ascii="Times New Roman" w:hAnsi="Times New Roman" w:cs="Times New Roman"/>
          <w:sz w:val="24"/>
          <w:szCs w:val="24"/>
        </w:rPr>
        <w:t>. 28:56-63.</w:t>
      </w:r>
    </w:p>
    <w:p>
      <w:pPr>
        <w:pStyle w:val="17"/>
        <w:spacing w:line="480" w:lineRule="auto"/>
        <w:ind w:left="720" w:hanging="720"/>
        <w:jc w:val="both"/>
        <w:rPr>
          <w:rFonts w:hint="default" w:ascii="Times New Roman" w:hAnsi="Times New Roman" w:cs="Times New Roman"/>
          <w:sz w:val="24"/>
          <w:szCs w:val="24"/>
          <w:lang w:eastAsia="en-IN"/>
        </w:rPr>
      </w:pPr>
      <w:r>
        <w:rPr>
          <w:rFonts w:hint="default" w:ascii="Times New Roman" w:hAnsi="Times New Roman" w:cs="Times New Roman"/>
          <w:sz w:val="24"/>
          <w:szCs w:val="24"/>
        </w:rPr>
        <w:t xml:space="preserve">Tong Q.Y., yang He., Qing – Bing Zhao., Yong Quing ., Wen Huang., Xiao- Hua Wu, 2012. Cytotoxicity and apoptosis-inducing effect of steroidal saponins from </w:t>
      </w:r>
      <w:r>
        <w:rPr>
          <w:rFonts w:hint="default" w:ascii="Times New Roman" w:hAnsi="Times New Roman" w:cs="Times New Roman"/>
          <w:i/>
          <w:sz w:val="24"/>
          <w:szCs w:val="24"/>
        </w:rPr>
        <w:t>Dioscorea zingiberensis</w:t>
      </w:r>
      <w:r>
        <w:rPr>
          <w:rFonts w:hint="default" w:ascii="Times New Roman" w:hAnsi="Times New Roman" w:cs="Times New Roman"/>
          <w:sz w:val="24"/>
          <w:szCs w:val="24"/>
        </w:rPr>
        <w:t xml:space="preserve"> wright against cancer cells. </w:t>
      </w:r>
      <w:r>
        <w:rPr>
          <w:rFonts w:hint="default" w:ascii="Times New Roman" w:hAnsi="Times New Roman" w:cs="Times New Roman"/>
          <w:i/>
          <w:sz w:val="24"/>
          <w:szCs w:val="24"/>
        </w:rPr>
        <w:t>Steroids.</w:t>
      </w:r>
      <w:r>
        <w:rPr>
          <w:rFonts w:hint="default" w:ascii="Times New Roman" w:hAnsi="Times New Roman" w:cs="Times New Roman"/>
          <w:sz w:val="24"/>
          <w:szCs w:val="24"/>
        </w:rPr>
        <w:t xml:space="preserve"> 77:1219-1227</w:t>
      </w:r>
    </w:p>
    <w:p>
      <w:pPr>
        <w:pStyle w:val="16"/>
        <w:shd w:val="clear" w:color="auto" w:fill="FFFFFF"/>
        <w:spacing w:after="0" w:line="480" w:lineRule="auto"/>
        <w:ind w:hanging="720"/>
        <w:contextualSpacing w:val="0"/>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sz w:val="24"/>
          <w:szCs w:val="24"/>
          <w:lang w:eastAsia="en-IN"/>
        </w:rPr>
        <w:t xml:space="preserve">Uma Maheswari, R., Lakshmi  Prabha, A.,  Nandagopalan V., Anburaja, V., 2012. Green Synthesis of Silver Nanoparticles by Using Rhizome Extract of </w:t>
      </w:r>
      <w:r>
        <w:rPr>
          <w:rFonts w:hint="default" w:ascii="Times New Roman" w:hAnsi="Times New Roman" w:eastAsia="Times New Roman" w:cs="Times New Roman"/>
          <w:i/>
          <w:sz w:val="24"/>
          <w:szCs w:val="24"/>
          <w:lang w:eastAsia="en-IN"/>
        </w:rPr>
        <w:t>Dioscorea oppositifolia</w:t>
      </w:r>
      <w:r>
        <w:rPr>
          <w:rFonts w:hint="default" w:ascii="Times New Roman" w:hAnsi="Times New Roman" w:eastAsia="Times New Roman" w:cs="Times New Roman"/>
          <w:sz w:val="24"/>
          <w:szCs w:val="24"/>
          <w:lang w:eastAsia="en-IN"/>
        </w:rPr>
        <w:t xml:space="preserve">  L. and their anti microbial activity against Human pathogens. </w:t>
      </w:r>
      <w:r>
        <w:rPr>
          <w:rFonts w:hint="default" w:ascii="Times New Roman" w:hAnsi="Times New Roman" w:eastAsia="Times New Roman" w:cs="Times New Roman"/>
          <w:i/>
          <w:sz w:val="24"/>
          <w:szCs w:val="24"/>
          <w:lang w:eastAsia="en-IN"/>
        </w:rPr>
        <w:t>IOSR J Pharma Biol Sci.</w:t>
      </w:r>
      <w:r>
        <w:rPr>
          <w:rFonts w:hint="default" w:ascii="Times New Roman" w:hAnsi="Times New Roman" w:eastAsia="Times New Roman" w:cs="Times New Roman"/>
          <w:sz w:val="24"/>
          <w:szCs w:val="24"/>
          <w:lang w:eastAsia="en-IN"/>
        </w:rPr>
        <w:t xml:space="preserve"> 1: 38-42</w:t>
      </w:r>
    </w:p>
    <w:p>
      <w:pPr>
        <w:autoSpaceDE w:val="0"/>
        <w:autoSpaceDN w:val="0"/>
        <w:adjustRightInd w:val="0"/>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Yang D.J., Lin J.T., 2008. Effects of different storage conditions on steroidal saponins in yam (</w:t>
      </w:r>
      <w:r>
        <w:rPr>
          <w:rFonts w:hint="default" w:ascii="Times New Roman" w:hAnsi="Times New Roman" w:cs="Times New Roman"/>
          <w:i/>
          <w:sz w:val="24"/>
          <w:szCs w:val="24"/>
        </w:rPr>
        <w:t>Dioscorea pseudojaponica</w:t>
      </w:r>
      <w:r>
        <w:rPr>
          <w:rFonts w:hint="default" w:ascii="Times New Roman" w:hAnsi="Times New Roman" w:cs="Times New Roman"/>
          <w:sz w:val="24"/>
          <w:szCs w:val="24"/>
        </w:rPr>
        <w:t xml:space="preserve"> Yamamoto) tubers. </w:t>
      </w:r>
      <w:r>
        <w:rPr>
          <w:rFonts w:hint="default" w:ascii="Times New Roman" w:hAnsi="Times New Roman" w:cs="Times New Roman"/>
          <w:i/>
          <w:sz w:val="24"/>
          <w:szCs w:val="24"/>
        </w:rPr>
        <w:t>Food Chemistry</w:t>
      </w:r>
      <w:r>
        <w:rPr>
          <w:rFonts w:hint="default" w:ascii="Times New Roman" w:hAnsi="Times New Roman" w:cs="Times New Roman"/>
          <w:sz w:val="24"/>
          <w:szCs w:val="24"/>
        </w:rPr>
        <w:t xml:space="preserve"> 110:670–677.</w:t>
      </w:r>
    </w:p>
    <w:p>
      <w:pPr>
        <w:pStyle w:val="16"/>
        <w:autoSpaceDE w:val="0"/>
        <w:autoSpaceDN w:val="0"/>
        <w:adjustRightInd w:val="0"/>
        <w:spacing w:after="0" w:line="480" w:lineRule="auto"/>
        <w:ind w:hanging="720"/>
        <w:contextualSpacing w:val="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Yayoi, T., Kanda, N., and Haratake, A.,2009. Novel effects of diosgenin on skin aging. </w:t>
      </w:r>
      <w:r>
        <w:rPr>
          <w:rFonts w:hint="default" w:ascii="Times New Roman" w:hAnsi="Times New Roman" w:cs="Times New Roman"/>
          <w:i/>
          <w:sz w:val="24"/>
          <w:szCs w:val="24"/>
        </w:rPr>
        <w:t>Steroids.</w:t>
      </w:r>
      <w:r>
        <w:rPr>
          <w:rFonts w:hint="default" w:ascii="Times New Roman" w:hAnsi="Times New Roman" w:cs="Times New Roman"/>
          <w:sz w:val="24"/>
          <w:szCs w:val="24"/>
        </w:rPr>
        <w:t xml:space="preserve"> 74:504-511.</w:t>
      </w:r>
    </w:p>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b/>
          <w:bCs/>
        </w:rPr>
      </w:pPr>
      <w:r>
        <w:rPr>
          <w:rFonts w:hint="default" w:ascii="Times New Roman" w:hAnsi="Times New Roman" w:cs="Times New Roman"/>
          <w:b/>
          <w:bCs/>
        </w:rPr>
        <w:t xml:space="preserve">Table 1: Scavenging Capacity of DPPH Radical of </w:t>
      </w:r>
      <w:r>
        <w:rPr>
          <w:rFonts w:hint="default" w:ascii="Times New Roman" w:hAnsi="Times New Roman" w:cs="Times New Roman"/>
          <w:b/>
          <w:bCs/>
          <w:i/>
          <w:iCs/>
        </w:rPr>
        <w:t>D. oppositifolia</w:t>
      </w:r>
      <w:r>
        <w:rPr>
          <w:rFonts w:hint="default" w:ascii="Times New Roman" w:hAnsi="Times New Roman" w:cs="Times New Roman"/>
          <w:b/>
          <w:bCs/>
        </w:rPr>
        <w:t xml:space="preserve"> L.</w:t>
      </w:r>
    </w:p>
    <w:p>
      <w:pPr>
        <w:spacing w:line="240" w:lineRule="auto"/>
        <w:jc w:val="center"/>
        <w:rPr>
          <w:rFonts w:hint="default" w:ascii="Times New Roman" w:hAnsi="Times New Roman" w:cs="Times New Roman"/>
          <w:b/>
          <w:bCs/>
        </w:rPr>
      </w:pPr>
      <w:r>
        <w:rPr>
          <w:rFonts w:hint="default" w:ascii="Times New Roman" w:hAnsi="Times New Roman" w:cs="Times New Roman"/>
          <w:b/>
          <w:bCs/>
        </w:rPr>
        <w:t>Free Radical Scavenging Capacity</w:t>
      </w:r>
    </w:p>
    <w:p>
      <w:pPr>
        <w:spacing w:line="240" w:lineRule="auto"/>
        <w:jc w:val="center"/>
        <w:rPr>
          <w:rFonts w:hint="default" w:ascii="Times New Roman" w:hAnsi="Times New Roman" w:cs="Times New Roman"/>
        </w:rPr>
      </w:pPr>
    </w:p>
    <w:tbl>
      <w:tblPr>
        <w:tblStyle w:val="15"/>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310"/>
        <w:gridCol w:w="2310"/>
        <w:gridCol w:w="2311"/>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8" w:hRule="atLeast"/>
        </w:trPr>
        <w:tc>
          <w:tcPr>
            <w:tcW w:w="4620" w:type="dxa"/>
            <w:gridSpan w:val="2"/>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Wild</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Tuber IC50=</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00 μg/ml</w:t>
            </w:r>
          </w:p>
        </w:tc>
        <w:tc>
          <w:tcPr>
            <w:tcW w:w="5093" w:type="dxa"/>
            <w:gridSpan w:val="2"/>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i/>
                <w:iCs/>
                <w:sz w:val="24"/>
                <w:szCs w:val="24"/>
              </w:rPr>
              <w:t>In</w:t>
            </w:r>
            <w:r>
              <w:rPr>
                <w:rFonts w:hint="default" w:ascii="Times New Roman" w:hAnsi="Times New Roman" w:cs="Times New Roman"/>
                <w:b/>
                <w:bCs/>
                <w:i/>
                <w:iCs/>
                <w:sz w:val="24"/>
                <w:szCs w:val="24"/>
                <w:lang w:val="en-US"/>
              </w:rPr>
              <w:t xml:space="preserve"> </w:t>
            </w:r>
            <w:r>
              <w:rPr>
                <w:rFonts w:hint="default" w:ascii="Times New Roman" w:hAnsi="Times New Roman" w:cs="Times New Roman"/>
                <w:b/>
                <w:bCs/>
                <w:i/>
                <w:iCs/>
                <w:sz w:val="24"/>
                <w:szCs w:val="24"/>
              </w:rPr>
              <w:t>vitro</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tuber IC50 =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00 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93" w:hRule="atLeast"/>
        </w:trPr>
        <w:tc>
          <w:tcPr>
            <w:tcW w:w="2310"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Concentration in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sz w:val="24"/>
                <w:szCs w:val="24"/>
                <w:vertAlign w:val="baseline"/>
              </w:rPr>
              <w:t>μg/ml</w:t>
            </w:r>
          </w:p>
        </w:tc>
        <w:tc>
          <w:tcPr>
            <w:tcW w:w="2310"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%of inhibition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i/>
                <w:iCs/>
                <w:sz w:val="24"/>
                <w:szCs w:val="24"/>
                <w:vertAlign w:val="baseline"/>
              </w:rPr>
              <w:t>in vivo</w:t>
            </w:r>
            <w:r>
              <w:rPr>
                <w:rFonts w:hint="default" w:ascii="Times New Roman" w:hAnsi="Times New Roman" w:cs="Times New Roman"/>
                <w:b/>
                <w:bCs/>
                <w:sz w:val="24"/>
                <w:szCs w:val="24"/>
                <w:vertAlign w:val="baseline"/>
              </w:rPr>
              <w:t xml:space="preserve"> tuber</w:t>
            </w:r>
          </w:p>
        </w:tc>
        <w:tc>
          <w:tcPr>
            <w:tcW w:w="2311"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 of inhibition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i/>
                <w:iCs/>
                <w:sz w:val="24"/>
                <w:szCs w:val="24"/>
                <w:vertAlign w:val="baseline"/>
              </w:rPr>
              <w:t>in vitro</w:t>
            </w:r>
            <w:r>
              <w:rPr>
                <w:rFonts w:hint="default" w:ascii="Times New Roman" w:hAnsi="Times New Roman" w:cs="Times New Roman"/>
                <w:b/>
                <w:bCs/>
                <w:i/>
                <w:iCs/>
                <w:sz w:val="24"/>
                <w:szCs w:val="24"/>
                <w:vertAlign w:val="baseline"/>
                <w:lang w:val="en-US"/>
              </w:rPr>
              <w:t xml:space="preserve"> </w:t>
            </w:r>
            <w:r>
              <w:rPr>
                <w:rFonts w:hint="default" w:ascii="Times New Roman" w:hAnsi="Times New Roman" w:cs="Times New Roman"/>
                <w:b/>
                <w:bCs/>
                <w:i/>
                <w:iCs/>
                <w:sz w:val="24"/>
                <w:szCs w:val="24"/>
                <w:vertAlign w:val="baseline"/>
              </w:rPr>
              <w:t>T</w:t>
            </w:r>
            <w:r>
              <w:rPr>
                <w:rFonts w:hint="default" w:ascii="Times New Roman" w:hAnsi="Times New Roman" w:cs="Times New Roman"/>
                <w:b/>
                <w:bCs/>
                <w:sz w:val="24"/>
                <w:szCs w:val="24"/>
                <w:vertAlign w:val="baseline"/>
              </w:rPr>
              <w:t>uber</w:t>
            </w:r>
          </w:p>
        </w:tc>
        <w:tc>
          <w:tcPr>
            <w:tcW w:w="2782" w:type="dxa"/>
            <w:vAlign w:val="top"/>
          </w:tcPr>
          <w:p>
            <w:pPr>
              <w:spacing w:line="240" w:lineRule="auto"/>
              <w:jc w:val="both"/>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sz w:val="24"/>
                <w:szCs w:val="24"/>
                <w:vertAlign w:val="baseline"/>
              </w:rPr>
              <w:t>% of</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Inhibition</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Standard</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(BHT)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25</w:t>
            </w:r>
          </w:p>
        </w:tc>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2.56 ± 0.18</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2.56 ± 0.18</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32.47 ±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50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3.17 ± 0.54</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1.46 ± 0.09</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45.54 ± 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100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9.15 ± 1.02</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6.47 ± 0.95</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62.39 ±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22.95 ± 2.94</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10.74 ± 1.65</w:t>
            </w:r>
          </w:p>
        </w:tc>
        <w:tc>
          <w:tcPr>
            <w:tcW w:w="2782"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10.74 ± 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300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55.67 ± 4.56</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22.34 ± 1.63</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71.67 ± 4.11</w:t>
            </w:r>
          </w:p>
        </w:tc>
      </w:tr>
    </w:tbl>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Graph 1: </w:t>
      </w:r>
      <w:r>
        <w:rPr>
          <w:rFonts w:hint="default" w:ascii="Times New Roman" w:hAnsi="Times New Roman" w:cs="Times New Roman"/>
          <w:b/>
          <w:bCs/>
          <w:sz w:val="24"/>
          <w:szCs w:val="24"/>
        </w:rPr>
        <w:t xml:space="preserve">Scavenging Capacity of DPPH Radical of </w:t>
      </w:r>
      <w:r>
        <w:rPr>
          <w:rFonts w:hint="default" w:ascii="Times New Roman" w:hAnsi="Times New Roman" w:cs="Times New Roman"/>
          <w:b/>
          <w:bCs/>
          <w:i/>
          <w:iCs/>
          <w:sz w:val="24"/>
          <w:szCs w:val="24"/>
        </w:rPr>
        <w:t>D. oppositifolia</w:t>
      </w:r>
      <w:r>
        <w:rPr>
          <w:rFonts w:hint="default" w:ascii="Times New Roman" w:hAnsi="Times New Roman" w:cs="Times New Roman"/>
          <w:b/>
          <w:bCs/>
          <w:sz w:val="24"/>
          <w:szCs w:val="24"/>
        </w:rPr>
        <w:t xml:space="preserve"> L.</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Free Radical Scavenging Capacity</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Sample1-</w:t>
      </w:r>
      <w:r>
        <w:rPr>
          <w:rFonts w:hint="default" w:ascii="Times New Roman" w:hAnsi="Times New Roman" w:cs="Times New Roman"/>
          <w:b/>
          <w:bCs/>
          <w:i/>
          <w:iCs/>
          <w:sz w:val="24"/>
          <w:szCs w:val="24"/>
        </w:rPr>
        <w:t xml:space="preserve">Invivo </w:t>
      </w:r>
      <w:r>
        <w:rPr>
          <w:rFonts w:hint="default" w:ascii="Times New Roman" w:hAnsi="Times New Roman" w:cs="Times New Roman"/>
          <w:b/>
          <w:bCs/>
          <w:sz w:val="24"/>
          <w:szCs w:val="24"/>
        </w:rPr>
        <w:t>Rhizome</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Sample2-</w:t>
      </w:r>
      <w:r>
        <w:rPr>
          <w:rFonts w:hint="default" w:ascii="Times New Roman" w:hAnsi="Times New Roman" w:cs="Times New Roman"/>
          <w:b/>
          <w:bCs/>
          <w:i/>
          <w:iCs/>
          <w:sz w:val="24"/>
          <w:szCs w:val="24"/>
        </w:rPr>
        <w:t xml:space="preserve">Invitro </w:t>
      </w:r>
      <w:r>
        <w:rPr>
          <w:rFonts w:hint="default" w:ascii="Times New Roman" w:hAnsi="Times New Roman" w:cs="Times New Roman"/>
          <w:b/>
          <w:bCs/>
          <w:sz w:val="24"/>
          <w:szCs w:val="24"/>
        </w:rPr>
        <w:t>rhizome</w:t>
      </w: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590415" cy="2653030"/>
            <wp:effectExtent l="4445" t="4445" r="15240" b="95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Microsoft YaHei">
    <w:panose1 w:val="020B0503020204020204"/>
    <w:charset w:val="86"/>
    <w:family w:val="auto"/>
    <w:pitch w:val="default"/>
    <w:sig w:usb0="80000287" w:usb1="2ACF3C50" w:usb2="00000016" w:usb3="00000000" w:csb0="0004001F" w:csb1="00000000"/>
  </w:font>
  <w:font w:name="Gill Sans MT">
    <w:panose1 w:val="020B050202010402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3019"/>
      <w:docPartObj>
        <w:docPartGallery w:val="autotext"/>
      </w:docPartObj>
    </w:sdtPr>
    <w:sdtContent>
      <w:p>
        <w:pPr>
          <w:pStyle w:val="11"/>
          <w:jc w:val="center"/>
        </w:pPr>
        <w:r>
          <w:fldChar w:fldCharType="begin"/>
        </w:r>
        <w:r>
          <w:instrText xml:space="preserve"> PAGE   \* MERGEFORMAT </w:instrText>
        </w:r>
        <w:r>
          <w:fldChar w:fldCharType="separate"/>
        </w:r>
        <w:r>
          <w:t>1</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9E18D"/>
    <w:multiLevelType w:val="multilevel"/>
    <w:tmpl w:val="9C69E18D"/>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CE"/>
    <w:rsid w:val="0002272F"/>
    <w:rsid w:val="00054515"/>
    <w:rsid w:val="00073E75"/>
    <w:rsid w:val="000A43AD"/>
    <w:rsid w:val="000C3ACA"/>
    <w:rsid w:val="000E52FA"/>
    <w:rsid w:val="000F02D4"/>
    <w:rsid w:val="00122D64"/>
    <w:rsid w:val="001758D6"/>
    <w:rsid w:val="001A5F39"/>
    <w:rsid w:val="001F3937"/>
    <w:rsid w:val="002416E3"/>
    <w:rsid w:val="0025519F"/>
    <w:rsid w:val="00275305"/>
    <w:rsid w:val="002875D0"/>
    <w:rsid w:val="002B0E8C"/>
    <w:rsid w:val="002F7F2F"/>
    <w:rsid w:val="0036570E"/>
    <w:rsid w:val="00365C51"/>
    <w:rsid w:val="00366E1E"/>
    <w:rsid w:val="003725C7"/>
    <w:rsid w:val="00382EFD"/>
    <w:rsid w:val="00397FB5"/>
    <w:rsid w:val="003C43FF"/>
    <w:rsid w:val="00432D03"/>
    <w:rsid w:val="00437C00"/>
    <w:rsid w:val="004A1501"/>
    <w:rsid w:val="004A79B7"/>
    <w:rsid w:val="004B7C04"/>
    <w:rsid w:val="00527612"/>
    <w:rsid w:val="005506E9"/>
    <w:rsid w:val="005B622E"/>
    <w:rsid w:val="005D3C82"/>
    <w:rsid w:val="00604CB2"/>
    <w:rsid w:val="00605437"/>
    <w:rsid w:val="00640989"/>
    <w:rsid w:val="007316AB"/>
    <w:rsid w:val="0073173B"/>
    <w:rsid w:val="00736ACE"/>
    <w:rsid w:val="00766EBD"/>
    <w:rsid w:val="00786A29"/>
    <w:rsid w:val="007A2032"/>
    <w:rsid w:val="00820858"/>
    <w:rsid w:val="008627EE"/>
    <w:rsid w:val="00864BEF"/>
    <w:rsid w:val="008970B6"/>
    <w:rsid w:val="008B7F6D"/>
    <w:rsid w:val="008E6518"/>
    <w:rsid w:val="00904C7E"/>
    <w:rsid w:val="00914FF1"/>
    <w:rsid w:val="00973739"/>
    <w:rsid w:val="00977136"/>
    <w:rsid w:val="00997D04"/>
    <w:rsid w:val="009E06A4"/>
    <w:rsid w:val="00A33061"/>
    <w:rsid w:val="00A57C71"/>
    <w:rsid w:val="00A66301"/>
    <w:rsid w:val="00A90F8E"/>
    <w:rsid w:val="00AB40CA"/>
    <w:rsid w:val="00B07316"/>
    <w:rsid w:val="00B47157"/>
    <w:rsid w:val="00B96D16"/>
    <w:rsid w:val="00C0234A"/>
    <w:rsid w:val="00C05923"/>
    <w:rsid w:val="00C44AB3"/>
    <w:rsid w:val="00C84D67"/>
    <w:rsid w:val="00C91B98"/>
    <w:rsid w:val="00CD567F"/>
    <w:rsid w:val="00D33635"/>
    <w:rsid w:val="00D40237"/>
    <w:rsid w:val="00DB59AD"/>
    <w:rsid w:val="00DC707D"/>
    <w:rsid w:val="00E7254D"/>
    <w:rsid w:val="00E75EF5"/>
    <w:rsid w:val="00E9241C"/>
    <w:rsid w:val="00F02F69"/>
    <w:rsid w:val="00F13984"/>
    <w:rsid w:val="00F8711D"/>
    <w:rsid w:val="00F93C71"/>
    <w:rsid w:val="00FC72BD"/>
    <w:rsid w:val="00FD4BE6"/>
    <w:rsid w:val="00FE0433"/>
    <w:rsid w:val="00FF38CE"/>
    <w:rsid w:val="02C03817"/>
    <w:rsid w:val="0B8A1C51"/>
    <w:rsid w:val="0F7A3C4B"/>
    <w:rsid w:val="12DC13FD"/>
    <w:rsid w:val="151056FD"/>
    <w:rsid w:val="162D1072"/>
    <w:rsid w:val="163B130D"/>
    <w:rsid w:val="1A596E4E"/>
    <w:rsid w:val="1AD74ECF"/>
    <w:rsid w:val="1B7A109D"/>
    <w:rsid w:val="1CEF6A29"/>
    <w:rsid w:val="1E9A15AC"/>
    <w:rsid w:val="219F52D8"/>
    <w:rsid w:val="24A02B8C"/>
    <w:rsid w:val="35C46FE6"/>
    <w:rsid w:val="45B21267"/>
    <w:rsid w:val="46E951CD"/>
    <w:rsid w:val="4D3B4BAE"/>
    <w:rsid w:val="4FF9442C"/>
    <w:rsid w:val="590670B2"/>
    <w:rsid w:val="60065CE9"/>
    <w:rsid w:val="65D3594F"/>
    <w:rsid w:val="66470B2B"/>
    <w:rsid w:val="6D851995"/>
    <w:rsid w:val="6EC33A4C"/>
    <w:rsid w:val="731B668F"/>
    <w:rsid w:val="776A5791"/>
    <w:rsid w:val="7EEE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styleId="2">
    <w:name w:val="heading 3"/>
    <w:basedOn w:val="1"/>
    <w:next w:val="1"/>
    <w:qFormat/>
    <w:uiPriority w:val="1"/>
    <w:pPr>
      <w:ind w:left="1396"/>
      <w:jc w:val="both"/>
      <w:outlineLvl w:val="2"/>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rFonts w:ascii="Tahoma" w:hAnsi="Tahoma" w:cs="Tahoma"/>
      <w:sz w:val="16"/>
      <w:szCs w:val="16"/>
    </w:r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paragraph" w:styleId="7">
    <w:name w:val="caption"/>
    <w:basedOn w:val="1"/>
    <w:next w:val="1"/>
    <w:qFormat/>
    <w:uiPriority w:val="0"/>
    <w:pPr>
      <w:spacing w:after="0" w:line="240" w:lineRule="auto"/>
    </w:pPr>
    <w:rPr>
      <w:rFonts w:ascii="Arial Narrow" w:hAnsi="Arial Narrow" w:eastAsia="Times New Roman" w:cs="Times New Roman"/>
      <w:b/>
      <w:sz w:val="24"/>
      <w:szCs w:val="20"/>
      <w:lang w:val="en-GB" w:eastAsia="en-US"/>
    </w:rPr>
  </w:style>
  <w:style w:type="character" w:styleId="8">
    <w:name w:val="annotation reference"/>
    <w:basedOn w:val="3"/>
    <w:semiHidden/>
    <w:unhideWhenUsed/>
    <w:qFormat/>
    <w:uiPriority w:val="99"/>
    <w:rPr>
      <w:sz w:val="16"/>
      <w:szCs w:val="16"/>
    </w:rPr>
  </w:style>
  <w:style w:type="paragraph" w:styleId="9">
    <w:name w:val="annotation text"/>
    <w:basedOn w:val="1"/>
    <w:semiHidden/>
    <w:unhideWhenUsed/>
    <w:qFormat/>
    <w:uiPriority w:val="99"/>
    <w:pPr>
      <w:spacing w:line="240" w:lineRule="auto"/>
    </w:pPr>
    <w:rPr>
      <w:sz w:val="20"/>
      <w:szCs w:val="20"/>
    </w:rPr>
  </w:style>
  <w:style w:type="character" w:styleId="10">
    <w:name w:val="Emphasis"/>
    <w:basedOn w:val="3"/>
    <w:qFormat/>
    <w:uiPriority w:val="20"/>
    <w:rPr>
      <w:i/>
      <w:iCs/>
    </w:rPr>
  </w:style>
  <w:style w:type="paragraph" w:styleId="11">
    <w:name w:val="footer"/>
    <w:basedOn w:val="1"/>
    <w:link w:val="19"/>
    <w:unhideWhenUsed/>
    <w:qFormat/>
    <w:uiPriority w:val="99"/>
    <w:pPr>
      <w:tabs>
        <w:tab w:val="center" w:pos="4513"/>
        <w:tab w:val="right" w:pos="9026"/>
      </w:tabs>
      <w:spacing w:after="0" w:line="240" w:lineRule="auto"/>
    </w:pPr>
  </w:style>
  <w:style w:type="paragraph" w:styleId="12">
    <w:name w:val="header"/>
    <w:basedOn w:val="1"/>
    <w:link w:val="18"/>
    <w:semiHidden/>
    <w:unhideWhenUsed/>
    <w:qFormat/>
    <w:uiPriority w:val="99"/>
    <w:pPr>
      <w:tabs>
        <w:tab w:val="center" w:pos="4513"/>
        <w:tab w:val="right" w:pos="9026"/>
      </w:tabs>
      <w:spacing w:after="0" w:line="240" w:lineRule="auto"/>
    </w:pPr>
  </w:style>
  <w:style w:type="character" w:styleId="13">
    <w:name w:val="Hyperlink"/>
    <w:basedOn w:val="3"/>
    <w:unhideWhenUsed/>
    <w:qFormat/>
    <w:uiPriority w:val="99"/>
    <w:rPr>
      <w:color w:val="0000FF" w:themeColor="hyperlink"/>
      <w:u w:val="single"/>
      <w14:textFill>
        <w14:solidFill>
          <w14:schemeClr w14:val="hlink"/>
        </w14:solidFill>
      </w14:textFill>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4"/>
    <w:qFormat/>
    <w:uiPriority w:val="59"/>
    <w:pPr>
      <w:spacing w:after="0" w:line="240" w:lineRule="auto"/>
    </w:pPr>
    <w:rPr>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6">
    <w:name w:val="List Paragraph"/>
    <w:basedOn w:val="1"/>
    <w:qFormat/>
    <w:uiPriority w:val="34"/>
    <w:pPr>
      <w:ind w:left="720"/>
      <w:contextualSpacing/>
    </w:pPr>
    <w:rPr>
      <w:rFonts w:ascii="Calibri" w:hAnsi="Calibri" w:eastAsia="Calibri" w:cs="Times New Roman"/>
      <w:lang w:val="en-US" w:eastAsia="en-US"/>
    </w:rPr>
  </w:style>
  <w:style w:type="paragraph" w:styleId="17">
    <w:name w:val="No Spacing"/>
    <w:qFormat/>
    <w:uiPriority w:val="0"/>
    <w:pPr>
      <w:spacing w:after="0" w:line="240" w:lineRule="auto"/>
    </w:pPr>
    <w:rPr>
      <w:rFonts w:ascii="Calibri" w:hAnsi="Calibri" w:eastAsia="Times New Roman" w:cs="Times New Roman"/>
      <w:sz w:val="22"/>
      <w:szCs w:val="22"/>
      <w:lang w:val="en-US" w:eastAsia="en-US" w:bidi="ar-SA"/>
    </w:rPr>
  </w:style>
  <w:style w:type="character" w:customStyle="1" w:styleId="18">
    <w:name w:val="Header Char"/>
    <w:basedOn w:val="3"/>
    <w:link w:val="12"/>
    <w:semiHidden/>
    <w:qFormat/>
    <w:uiPriority w:val="99"/>
  </w:style>
  <w:style w:type="character" w:customStyle="1" w:styleId="19">
    <w:name w:val="Footer Char"/>
    <w:basedOn w:val="3"/>
    <w:link w:val="11"/>
    <w:qFormat/>
    <w:uiPriority w:val="99"/>
  </w:style>
  <w:style w:type="character" w:customStyle="1" w:styleId="20">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Documents%20and%20Settings\USER\My%20Documents\pendrive2doc\Downloads\DPPH%20REsults%20dO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DPPH</a:t>
            </a:r>
            <a:r>
              <a:rPr lang="en-US" baseline="0"/>
              <a:t> Activity</a:t>
            </a:r>
            <a:endParaRPr lang="en-US"/>
          </a:p>
        </c:rich>
      </c:tx>
      <c:layout/>
      <c:overlay val="0"/>
    </c:title>
    <c:autoTitleDeleted val="0"/>
    <c:plotArea>
      <c:layout/>
      <c:scatterChart>
        <c:scatterStyle val="lineMarker"/>
        <c:varyColors val="0"/>
        <c:ser>
          <c:idx val="0"/>
          <c:order val="0"/>
          <c:tx>
            <c:strRef>
              <c:f>Sheet1!$B$7</c:f>
              <c:strCache>
                <c:ptCount val="1"/>
                <c:pt idx="0">
                  <c:v>Sample 1</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Sheet1!$C$7:$J$7</c:f>
              <c:numCache>
                <c:formatCode>General</c:formatCode>
                <c:ptCount val="8"/>
                <c:pt idx="0">
                  <c:v>0</c:v>
                </c:pt>
                <c:pt idx="1">
                  <c:v>2.564103</c:v>
                </c:pt>
                <c:pt idx="2">
                  <c:v>3.17460317460316</c:v>
                </c:pt>
                <c:pt idx="3">
                  <c:v>9.15750915750917</c:v>
                </c:pt>
                <c:pt idx="4">
                  <c:v>22.9548229548229</c:v>
                </c:pt>
                <c:pt idx="5">
                  <c:v>55.6776556776556</c:v>
                </c:pt>
                <c:pt idx="6">
                  <c:v>68.009768009768</c:v>
                </c:pt>
                <c:pt idx="7">
                  <c:v>72.89377</c:v>
                </c:pt>
              </c:numCache>
            </c:numRef>
          </c:yVal>
          <c:smooth val="0"/>
        </c:ser>
        <c:ser>
          <c:idx val="1"/>
          <c:order val="1"/>
          <c:tx>
            <c:strRef>
              <c:f>Sheet1!$B$8</c:f>
              <c:strCache>
                <c:ptCount val="1"/>
                <c:pt idx="0">
                  <c:v>Sample 2</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Sheet1!$C$8:$J$8</c:f>
              <c:numCache>
                <c:formatCode>General</c:formatCode>
                <c:ptCount val="8"/>
                <c:pt idx="0">
                  <c:v>0</c:v>
                </c:pt>
                <c:pt idx="1">
                  <c:v>0.488400488400496</c:v>
                </c:pt>
                <c:pt idx="2">
                  <c:v>1.46520146520147</c:v>
                </c:pt>
                <c:pt idx="3">
                  <c:v>6.47130647130647</c:v>
                </c:pt>
                <c:pt idx="4">
                  <c:v>10.7448107448103</c:v>
                </c:pt>
                <c:pt idx="5">
                  <c:v>22.3443223443216</c:v>
                </c:pt>
                <c:pt idx="6">
                  <c:v>37.6068376068376</c:v>
                </c:pt>
                <c:pt idx="7">
                  <c:v>54.94505</c:v>
                </c:pt>
              </c:numCache>
            </c:numRef>
          </c:yVal>
          <c:smooth val="0"/>
        </c:ser>
        <c:ser>
          <c:idx val="2"/>
          <c:order val="2"/>
          <c:tx>
            <c:strRef>
              <c:f>Sheet1!$B$9</c:f>
              <c:strCache>
                <c:ptCount val="1"/>
                <c:pt idx="0">
                  <c:v>BHT</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Sheet1!$C$9:$J$9</c:f>
              <c:numCache>
                <c:formatCode>General</c:formatCode>
                <c:ptCount val="8"/>
                <c:pt idx="0">
                  <c:v>0</c:v>
                </c:pt>
                <c:pt idx="1">
                  <c:v>32.478632478632</c:v>
                </c:pt>
                <c:pt idx="2">
                  <c:v>45.5433455433455</c:v>
                </c:pt>
                <c:pt idx="3">
                  <c:v>62.3931623931624</c:v>
                </c:pt>
                <c:pt idx="4">
                  <c:v>67.6434676434676</c:v>
                </c:pt>
                <c:pt idx="5">
                  <c:v>71.672771672767</c:v>
                </c:pt>
                <c:pt idx="6">
                  <c:v>73.015873015873</c:v>
                </c:pt>
                <c:pt idx="7">
                  <c:v>74.4737</c:v>
                </c:pt>
              </c:numCache>
            </c:numRef>
          </c:yVal>
          <c:smooth val="0"/>
        </c:ser>
        <c:dLbls>
          <c:showLegendKey val="0"/>
          <c:showVal val="0"/>
          <c:showCatName val="0"/>
          <c:showSerName val="0"/>
          <c:showPercent val="0"/>
          <c:showBubbleSize val="0"/>
        </c:dLbls>
        <c:axId val="134616576"/>
        <c:axId val="134618496"/>
      </c:scatterChart>
      <c:valAx>
        <c:axId val="13461657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dirty="0"/>
                  <a:t>Concentration in µg/ml </a:t>
                </a:r>
                <a:endParaRPr lang="en-US" dirty="0"/>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34618496"/>
        <c:crosses val="autoZero"/>
        <c:crossBetween val="midCat"/>
      </c:valAx>
      <c:valAx>
        <c:axId val="134618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 of Activity</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34616576"/>
        <c:crosses val="autoZero"/>
        <c:crossBetween val="midCat"/>
      </c:valAx>
      <c:spPr>
        <a:solidFill>
          <a:sysClr val="window" lastClr="FFFFFF"/>
        </a:solidFill>
        <a:ln w="25400" cap="flat" cmpd="sng" algn="ctr">
          <a:solidFill>
            <a:srgbClr val="39639D"/>
          </a:solidFill>
          <a:prstDash val="solid"/>
        </a:ln>
        <a:effectLst/>
      </c:spPr>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Microsoft</Company>
  <Pages>8</Pages>
  <Words>2653</Words>
  <Characters>15125</Characters>
  <Lines>126</Lines>
  <Paragraphs>35</Paragraphs>
  <TotalTime>10</TotalTime>
  <ScaleCrop>false</ScaleCrop>
  <LinksUpToDate>false</LinksUpToDate>
  <CharactersWithSpaces>17743</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2021-03-13T17:56:00Z</dcterms:created>
  <dc:creator>Dhandu</dc:creator>
  <cp:lastModifiedBy>Dhanu Sree</cp:lastModifiedBy>
  <dcterms:modified xsi:type="dcterms:W3CDTF">2023-09-01T11:55:06Z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75F3049F0BE04B5F8F1A9A3C906B14F3_13</vt:lpwstr>
  </property>
</Properties>
</file>