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1AC" w:rsidRPr="002A7857" w:rsidRDefault="003511AC" w:rsidP="003511AC">
      <w:pPr>
        <w:jc w:val="center"/>
        <w:rPr>
          <w:rFonts w:ascii="Times New Roman" w:hAnsi="Times New Roman" w:cs="Times New Roman"/>
          <w:b/>
          <w:sz w:val="48"/>
          <w:szCs w:val="32"/>
        </w:rPr>
      </w:pPr>
      <w:r w:rsidRPr="002A7857">
        <w:rPr>
          <w:rFonts w:ascii="Times New Roman" w:hAnsi="Times New Roman" w:cs="Times New Roman"/>
          <w:b/>
          <w:sz w:val="48"/>
          <w:szCs w:val="32"/>
        </w:rPr>
        <w:t>"</w:t>
      </w:r>
      <w:r w:rsidR="00A617CE" w:rsidRPr="002A7857">
        <w:rPr>
          <w:rFonts w:ascii="Times New Roman" w:hAnsi="Times New Roman" w:cs="Times New Roman"/>
          <w:b/>
          <w:bCs/>
          <w:color w:val="222222"/>
          <w:sz w:val="48"/>
          <w:szCs w:val="32"/>
          <w:shd w:val="clear" w:color="auto" w:fill="FFFFFF"/>
        </w:rPr>
        <w:t>The Impact of Lifelong Learning, Adaptability, and Technological Literacy in Developing Effective Managers</w:t>
      </w:r>
      <w:r w:rsidRPr="002A7857">
        <w:rPr>
          <w:rFonts w:ascii="Times New Roman" w:hAnsi="Times New Roman" w:cs="Times New Roman"/>
          <w:b/>
          <w:sz w:val="48"/>
          <w:szCs w:val="32"/>
        </w:rPr>
        <w:t>"</w:t>
      </w:r>
    </w:p>
    <w:p w:rsidR="003511AC" w:rsidRPr="00A617CE" w:rsidRDefault="003511AC" w:rsidP="003511AC">
      <w:pPr>
        <w:pStyle w:val="papertitle"/>
        <w:spacing w:after="0"/>
        <w:rPr>
          <w:rFonts w:eastAsia="MS Mincho"/>
          <w:b/>
        </w:rPr>
      </w:pPr>
    </w:p>
    <w:p w:rsidR="003511AC" w:rsidRPr="00466548" w:rsidRDefault="003511AC" w:rsidP="003511AC">
      <w:pPr>
        <w:rPr>
          <w:rFonts w:eastAsia="MS Mincho"/>
        </w:rPr>
      </w:pPr>
    </w:p>
    <w:p w:rsidR="003511AC" w:rsidRPr="00466548" w:rsidRDefault="003511AC" w:rsidP="003511AC">
      <w:pPr>
        <w:pStyle w:val="Author"/>
        <w:spacing w:before="0" w:after="0"/>
        <w:rPr>
          <w:rFonts w:eastAsia="MS Mincho"/>
          <w:sz w:val="20"/>
          <w:szCs w:val="20"/>
        </w:rPr>
        <w:sectPr w:rsidR="003511AC" w:rsidRPr="00466548" w:rsidSect="00526549">
          <w:headerReference w:type="default" r:id="rId8"/>
          <w:footerReference w:type="default" r:id="rId9"/>
          <w:pgSz w:w="11909" w:h="16834" w:code="9"/>
          <w:pgMar w:top="1440" w:right="1440" w:bottom="1440" w:left="1440" w:header="720" w:footer="720" w:gutter="0"/>
          <w:pgNumType w:start="1"/>
          <w:cols w:space="720"/>
          <w:docGrid w:linePitch="360"/>
        </w:sectPr>
      </w:pPr>
    </w:p>
    <w:p w:rsidR="003511AC" w:rsidRPr="008C013E" w:rsidRDefault="003511AC" w:rsidP="00A37B68">
      <w:pPr>
        <w:pStyle w:val="Author"/>
        <w:spacing w:before="0" w:after="0"/>
        <w:rPr>
          <w:rFonts w:eastAsia="MS Mincho"/>
          <w:sz w:val="20"/>
          <w:szCs w:val="20"/>
        </w:rPr>
      </w:pPr>
      <w:r w:rsidRPr="008C013E">
        <w:rPr>
          <w:rFonts w:eastAsiaTheme="minorEastAsia"/>
          <w:sz w:val="20"/>
          <w:szCs w:val="20"/>
        </w:rPr>
        <w:lastRenderedPageBreak/>
        <w:t>Dr. Apoorwa Mishra</w:t>
      </w:r>
      <w:r w:rsidRPr="008C013E">
        <w:rPr>
          <w:rFonts w:eastAsia="MS Mincho"/>
          <w:sz w:val="20"/>
          <w:szCs w:val="20"/>
        </w:rPr>
        <w:t xml:space="preserve"> Principal DIMAT</w:t>
      </w:r>
    </w:p>
    <w:p w:rsidR="008C013E" w:rsidRPr="008C013E" w:rsidRDefault="003511AC" w:rsidP="00A37B68">
      <w:pPr>
        <w:pStyle w:val="Affiliation"/>
        <w:rPr>
          <w:rFonts w:eastAsia="MS Mincho"/>
        </w:rPr>
      </w:pPr>
      <w:r w:rsidRPr="008C013E">
        <w:rPr>
          <w:rFonts w:eastAsiaTheme="minorEastAsia"/>
        </w:rPr>
        <w:t>Department of Management</w:t>
      </w:r>
    </w:p>
    <w:p w:rsidR="008C013E" w:rsidRPr="008C013E" w:rsidRDefault="003511AC" w:rsidP="00A37B68">
      <w:pPr>
        <w:pStyle w:val="Affiliation"/>
        <w:rPr>
          <w:rFonts w:eastAsia="MS Mincho"/>
        </w:rPr>
      </w:pPr>
      <w:proofErr w:type="spellStart"/>
      <w:r w:rsidRPr="008C013E">
        <w:rPr>
          <w:rFonts w:eastAsia="MS Mincho"/>
        </w:rPr>
        <w:t>Disha</w:t>
      </w:r>
      <w:proofErr w:type="spellEnd"/>
      <w:r w:rsidRPr="008C013E">
        <w:rPr>
          <w:rFonts w:eastAsia="MS Mincho"/>
        </w:rPr>
        <w:t xml:space="preserve"> Institute</w:t>
      </w:r>
      <w:r w:rsidR="008C013E" w:rsidRPr="008C013E">
        <w:rPr>
          <w:rFonts w:eastAsia="MS Mincho"/>
        </w:rPr>
        <w:t xml:space="preserve"> of Management &amp; Technology</w:t>
      </w:r>
    </w:p>
    <w:p w:rsidR="003511AC" w:rsidRPr="008C013E" w:rsidRDefault="008C013E" w:rsidP="00A37B68">
      <w:pPr>
        <w:pStyle w:val="Affiliation"/>
        <w:rPr>
          <w:rFonts w:eastAsia="MS Mincho"/>
        </w:rPr>
      </w:pPr>
      <w:proofErr w:type="spellStart"/>
      <w:r w:rsidRPr="008C013E">
        <w:rPr>
          <w:rFonts w:eastAsia="MS Mincho"/>
        </w:rPr>
        <w:t>Raipur</w:t>
      </w:r>
      <w:proofErr w:type="gramStart"/>
      <w:r w:rsidRPr="008C013E">
        <w:rPr>
          <w:rFonts w:eastAsia="MS Mincho"/>
        </w:rPr>
        <w:t>,India</w:t>
      </w:r>
      <w:proofErr w:type="spellEnd"/>
      <w:proofErr w:type="gramEnd"/>
    </w:p>
    <w:p w:rsidR="008C013E" w:rsidRDefault="008C013E" w:rsidP="00A37B68">
      <w:pPr>
        <w:pStyle w:val="Author"/>
        <w:spacing w:before="0" w:after="0"/>
        <w:rPr>
          <w:rFonts w:eastAsia="MS Mincho"/>
          <w:sz w:val="20"/>
          <w:szCs w:val="20"/>
        </w:rPr>
      </w:pPr>
    </w:p>
    <w:p w:rsidR="00A37B68" w:rsidRPr="00A7652C" w:rsidRDefault="008C013E" w:rsidP="00A37B68">
      <w:pPr>
        <w:pStyle w:val="Author"/>
        <w:spacing w:before="0" w:after="0"/>
        <w:rPr>
          <w:rFonts w:eastAsia="MS Mincho"/>
          <w:sz w:val="20"/>
          <w:szCs w:val="20"/>
        </w:rPr>
      </w:pPr>
      <w:r w:rsidRPr="00A7652C">
        <w:rPr>
          <w:rFonts w:eastAsia="MS Mincho"/>
          <w:sz w:val="20"/>
          <w:szCs w:val="20"/>
        </w:rPr>
        <w:lastRenderedPageBreak/>
        <w:t>Dr.Ekta Mishra</w:t>
      </w:r>
      <w:r w:rsidRPr="00A7652C">
        <w:rPr>
          <w:rFonts w:eastAsiaTheme="minorEastAsia"/>
          <w:sz w:val="20"/>
          <w:szCs w:val="20"/>
        </w:rPr>
        <w:t xml:space="preserve"> </w:t>
      </w:r>
      <w:r w:rsidR="00A7652C">
        <w:rPr>
          <w:rFonts w:eastAsiaTheme="minorEastAsia"/>
          <w:sz w:val="20"/>
          <w:szCs w:val="20"/>
        </w:rPr>
        <w:t>,</w:t>
      </w:r>
      <w:r w:rsidR="00A37B68" w:rsidRPr="00A7652C">
        <w:rPr>
          <w:rFonts w:eastAsiaTheme="minorEastAsia"/>
          <w:sz w:val="20"/>
          <w:szCs w:val="20"/>
        </w:rPr>
        <w:t>Assistant Professor</w:t>
      </w:r>
    </w:p>
    <w:p w:rsidR="003511AC" w:rsidRPr="00A37B68" w:rsidRDefault="00A37B68" w:rsidP="00A37B68">
      <w:pPr>
        <w:pStyle w:val="Author"/>
        <w:spacing w:before="0" w:after="0"/>
        <w:rPr>
          <w:rFonts w:eastAsiaTheme="minorEastAsia"/>
        </w:rPr>
      </w:pPr>
      <w:r w:rsidRPr="00A7652C">
        <w:rPr>
          <w:rFonts w:eastAsiaTheme="minorEastAsia"/>
          <w:sz w:val="20"/>
          <w:szCs w:val="20"/>
        </w:rPr>
        <w:t xml:space="preserve">Department of Management </w:t>
      </w:r>
      <w:r w:rsidR="00A7652C">
        <w:rPr>
          <w:rFonts w:eastAsiaTheme="minorEastAsia"/>
          <w:sz w:val="20"/>
          <w:szCs w:val="20"/>
        </w:rPr>
        <w:t>Shri Shankaracharya Professional University,</w:t>
      </w:r>
      <w:r>
        <w:rPr>
          <w:rFonts w:eastAsiaTheme="minorEastAsia"/>
          <w:sz w:val="20"/>
          <w:szCs w:val="20"/>
        </w:rPr>
        <w:t xml:space="preserve">Bhilai </w:t>
      </w:r>
      <w:r w:rsidR="008C013E" w:rsidRPr="00A7652C">
        <w:rPr>
          <w:rFonts w:eastAsia="MS Mincho"/>
          <w:sz w:val="20"/>
          <w:szCs w:val="20"/>
        </w:rPr>
        <w:t>ektaapoorwa@gmail.com</w:t>
      </w:r>
    </w:p>
    <w:p w:rsidR="003511AC" w:rsidRPr="00A7652C" w:rsidRDefault="003511AC" w:rsidP="003511AC">
      <w:pPr>
        <w:pStyle w:val="Affiliation"/>
        <w:rPr>
          <w:rFonts w:eastAsia="MS Mincho"/>
        </w:rPr>
      </w:pPr>
    </w:p>
    <w:p w:rsidR="003511AC" w:rsidRPr="008C013E" w:rsidRDefault="003511AC" w:rsidP="003511AC">
      <w:pPr>
        <w:pStyle w:val="Affiliation"/>
        <w:rPr>
          <w:rFonts w:eastAsia="MS Mincho"/>
        </w:rPr>
        <w:sectPr w:rsidR="003511AC" w:rsidRPr="008C013E" w:rsidSect="00526549">
          <w:type w:val="continuous"/>
          <w:pgSz w:w="11909" w:h="16834" w:code="9"/>
          <w:pgMar w:top="1440" w:right="1440" w:bottom="1440" w:left="1440" w:header="720" w:footer="720" w:gutter="0"/>
          <w:cols w:num="2" w:space="720"/>
          <w:docGrid w:linePitch="360"/>
        </w:sectPr>
      </w:pPr>
    </w:p>
    <w:p w:rsidR="003511AC" w:rsidRPr="008C013E" w:rsidRDefault="003511AC" w:rsidP="000A2210">
      <w:pPr>
        <w:pStyle w:val="Affiliation"/>
        <w:jc w:val="left"/>
        <w:rPr>
          <w:rFonts w:eastAsia="MS Mincho"/>
        </w:rPr>
        <w:sectPr w:rsidR="003511AC" w:rsidRPr="008C013E" w:rsidSect="00526549">
          <w:type w:val="continuous"/>
          <w:pgSz w:w="11909" w:h="16834" w:code="9"/>
          <w:pgMar w:top="1440" w:right="1440" w:bottom="1440" w:left="1440" w:header="720" w:footer="720" w:gutter="0"/>
          <w:cols w:space="720"/>
          <w:docGrid w:linePitch="360"/>
        </w:sectPr>
      </w:pPr>
    </w:p>
    <w:p w:rsidR="003511AC" w:rsidRPr="002A7857" w:rsidRDefault="003511AC" w:rsidP="002A7857">
      <w:pPr>
        <w:pStyle w:val="Abstract"/>
        <w:spacing w:after="0"/>
        <w:ind w:firstLine="0"/>
        <w:jc w:val="center"/>
        <w:rPr>
          <w:rFonts w:eastAsia="MS Mincho"/>
          <w:iCs/>
          <w:sz w:val="20"/>
          <w:szCs w:val="20"/>
        </w:rPr>
      </w:pPr>
      <w:r w:rsidRPr="002A7857">
        <w:rPr>
          <w:rFonts w:eastAsia="MS Mincho"/>
          <w:iCs/>
          <w:sz w:val="20"/>
          <w:szCs w:val="20"/>
        </w:rPr>
        <w:lastRenderedPageBreak/>
        <w:t>ABSTRACT</w:t>
      </w:r>
    </w:p>
    <w:p w:rsidR="00FD6FA1" w:rsidRPr="002A7857" w:rsidRDefault="00FD6FA1" w:rsidP="002A7857">
      <w:pPr>
        <w:pStyle w:val="Abstract"/>
        <w:spacing w:after="0"/>
        <w:ind w:firstLine="0"/>
        <w:rPr>
          <w:rFonts w:eastAsia="MS Mincho"/>
          <w:iCs/>
          <w:sz w:val="20"/>
          <w:szCs w:val="20"/>
        </w:rPr>
      </w:pPr>
    </w:p>
    <w:p w:rsidR="003511AC" w:rsidRPr="002A7857" w:rsidRDefault="00D1444D" w:rsidP="002A7857">
      <w:pPr>
        <w:pStyle w:val="Abstract"/>
        <w:spacing w:after="0"/>
        <w:ind w:firstLine="720"/>
        <w:rPr>
          <w:rFonts w:eastAsia="MS Mincho"/>
          <w:b w:val="0"/>
          <w:sz w:val="20"/>
          <w:szCs w:val="20"/>
        </w:rPr>
      </w:pPr>
      <w:r w:rsidRPr="002A7857">
        <w:rPr>
          <w:b w:val="0"/>
          <w:sz w:val="20"/>
          <w:szCs w:val="20"/>
        </w:rPr>
        <w:t>The dynamic and rapidly evolving business landscape, fueled by technological advancements and shifting market dynamics, necessitates a reevaluation of the skills and competencies required for managers to thrive in the future. This research explores the role of lifelong learning, adaptability, and technological literacy in developing effective management capabilities in the face of these challenges. Lifelong learning enables managers to stay relevant by continuously acquiring new knowledge and skills. Adaptability empowers managers to navigate change and complexity, while technological literacy enables them to leverage emerging technologies strategically. Through a mixed-methods approach involving surveys, interviews, and case studies, this research assesses the current state of skills among managers, explores experiences and perspectives, and identifies best practices. The outcomes provide valuable insights for managers, organizations, and policymakers, informing the development of effective management development programs that prioritize lifelong learning, adaptability, and technological literacy. The findings also address challenges and barriers, ensuring successful implementation and adoption of these skills for agile and future-ready management practices.</w:t>
      </w:r>
      <w:r w:rsidRPr="002A7857">
        <w:rPr>
          <w:b w:val="0"/>
          <w:sz w:val="20"/>
          <w:szCs w:val="20"/>
        </w:rPr>
        <w:cr/>
      </w:r>
      <w:r w:rsidRPr="002A7857">
        <w:rPr>
          <w:rFonts w:eastAsia="MS Mincho"/>
          <w:b w:val="0"/>
          <w:sz w:val="20"/>
          <w:szCs w:val="20"/>
        </w:rPr>
        <w:t xml:space="preserve"> </w:t>
      </w:r>
    </w:p>
    <w:p w:rsidR="003511AC" w:rsidRPr="002A7857" w:rsidRDefault="003511AC" w:rsidP="002A7857">
      <w:pPr>
        <w:pStyle w:val="keywords"/>
        <w:spacing w:after="0"/>
        <w:ind w:firstLine="0"/>
        <w:rPr>
          <w:rFonts w:eastAsia="MS Mincho"/>
          <w:b w:val="0"/>
          <w:i w:val="0"/>
          <w:sz w:val="20"/>
          <w:szCs w:val="20"/>
        </w:rPr>
      </w:pPr>
      <w:r w:rsidRPr="002A7857">
        <w:rPr>
          <w:rFonts w:eastAsia="MS Mincho"/>
          <w:i w:val="0"/>
          <w:sz w:val="20"/>
          <w:szCs w:val="20"/>
        </w:rPr>
        <w:t>Keywords</w:t>
      </w:r>
      <w:r w:rsidRPr="002A7857">
        <w:rPr>
          <w:rFonts w:eastAsia="MS Mincho"/>
          <w:b w:val="0"/>
          <w:i w:val="0"/>
          <w:sz w:val="20"/>
          <w:szCs w:val="20"/>
        </w:rPr>
        <w:t>—</w:t>
      </w:r>
      <w:r w:rsidR="000A2210" w:rsidRPr="002A7857">
        <w:rPr>
          <w:b w:val="0"/>
          <w:sz w:val="20"/>
          <w:szCs w:val="20"/>
        </w:rPr>
        <w:t xml:space="preserve"> </w:t>
      </w:r>
      <w:r w:rsidR="000A2210" w:rsidRPr="002A7857">
        <w:rPr>
          <w:b w:val="0"/>
          <w:i w:val="0"/>
          <w:sz w:val="20"/>
          <w:szCs w:val="20"/>
        </w:rPr>
        <w:t>Learning, Adaptability, Technological Literacy</w:t>
      </w:r>
      <w:r w:rsidR="000A2210" w:rsidRPr="002A7857">
        <w:rPr>
          <w:b w:val="0"/>
          <w:sz w:val="20"/>
          <w:szCs w:val="20"/>
        </w:rPr>
        <w:t xml:space="preserve"> </w:t>
      </w:r>
    </w:p>
    <w:p w:rsidR="000A2210" w:rsidRPr="002A7857" w:rsidRDefault="000A2210" w:rsidP="002A7857">
      <w:pPr>
        <w:pStyle w:val="keywords"/>
        <w:spacing w:after="0"/>
        <w:ind w:firstLine="0"/>
        <w:rPr>
          <w:rFonts w:eastAsia="MS Mincho"/>
          <w:b w:val="0"/>
          <w:i w:val="0"/>
          <w:sz w:val="20"/>
          <w:szCs w:val="20"/>
        </w:rPr>
      </w:pPr>
    </w:p>
    <w:p w:rsidR="003511AC" w:rsidRPr="002A7857" w:rsidRDefault="003511AC" w:rsidP="002A7857">
      <w:pPr>
        <w:pStyle w:val="Heading1"/>
        <w:spacing w:before="0" w:after="0"/>
        <w:ind w:firstLine="0"/>
        <w:rPr>
          <w:rFonts w:ascii="Times New Roman" w:eastAsia="MS Mincho" w:hAnsi="Times New Roman"/>
          <w:sz w:val="20"/>
          <w:szCs w:val="20"/>
        </w:rPr>
      </w:pPr>
      <w:r w:rsidRPr="002A7857">
        <w:rPr>
          <w:rFonts w:ascii="Times New Roman" w:eastAsia="MS Mincho" w:hAnsi="Times New Roman"/>
          <w:sz w:val="20"/>
          <w:szCs w:val="20"/>
        </w:rPr>
        <w:t>INTRODUCTION</w:t>
      </w:r>
      <w:r w:rsidR="002A7857">
        <w:rPr>
          <w:rFonts w:ascii="Times New Roman" w:eastAsia="MS Mincho" w:hAnsi="Times New Roman"/>
          <w:sz w:val="20"/>
          <w:szCs w:val="20"/>
        </w:rPr>
        <w:tab/>
      </w:r>
    </w:p>
    <w:p w:rsidR="00D1444D" w:rsidRPr="002A7857" w:rsidRDefault="003511AC"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ab/>
      </w:r>
      <w:r w:rsidR="00D1444D" w:rsidRPr="002A7857">
        <w:rPr>
          <w:rFonts w:ascii="Times New Roman" w:hAnsi="Times New Roman" w:cs="Times New Roman"/>
          <w:sz w:val="20"/>
          <w:szCs w:val="20"/>
        </w:rPr>
        <w:t>The rapidly changing business landscape, driven by technological advancements and evolving market dynamics, has necessitated a reevaluation of the skills and competencies required for managers to thrive in the future. In an era characterized by increasing complexity, uncertainty, and digital disruption, traditional management approaches may fall short in effectively addressing emerging challenges. To navigate this evolving landscape successfully, managers need to possess a unique set of skills and competencies that enable them to adapt, learn continuously, and leverage technology for strategic advantage.</w:t>
      </w:r>
    </w:p>
    <w:p w:rsidR="00D1444D" w:rsidRPr="002A7857" w:rsidRDefault="00D1444D"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This research aims to explore the role of lifelong learning, adaptability, and technological literacy in developing effective management capabilities for the future. Lifelong learning refers to the ongoing process of acquiring new knowledge, skills, and attitudes throughout one's professional journey. It enables managers to stay relevant in an ever-evolving business environment and embrace emerging trends. Adaptability, on the other hand, represents the ability to adjust and thrive in the face of change, ambiguity, and complexity. Managers who possess adaptability can navigate shifting circumstances, seize opportunities, and drive organizational growth. Technological literacy, the third pillar of this research, encompasses understanding and proficiency in utilizing emerging technologies to enhance decision-making, streamline processes, and drive innovation.</w:t>
      </w:r>
    </w:p>
    <w:p w:rsidR="00D1444D" w:rsidRPr="002A7857" w:rsidRDefault="00D1444D"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By investigating these three dimensions, this research seeks to shed light on how these skills and competencies contribute to the development of effective management capabilities in the face of rapid technological advancements and evolving business landscapes. Understanding the importance and impact of lifelong learning, adaptability, and technological literacy on management practices can empower organizations to proactively shape their management development programs and strategies.</w:t>
      </w:r>
    </w:p>
    <w:p w:rsidR="003511AC" w:rsidRPr="002A7857" w:rsidRDefault="00D1444D"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The research will employ a mixed-methods approach to gather both quantitative and qualitative data. Through surveys, interviews, and case studies, the current state of skills and competencies among managers will be assessed, while exploring the experiences and perspectives of managers, organizational leaders, and experts in management development. A comprehensive review of existing literature will also be conducted to draw upon established theories and concepts in the field.</w:t>
      </w:r>
    </w:p>
    <w:p w:rsidR="003511AC" w:rsidRPr="002A7857" w:rsidRDefault="00CF7C40" w:rsidP="002A7857">
      <w:pPr>
        <w:pStyle w:val="Heading1"/>
        <w:spacing w:before="0" w:after="0"/>
        <w:ind w:firstLine="0"/>
        <w:rPr>
          <w:rFonts w:ascii="Times New Roman" w:hAnsi="Times New Roman"/>
          <w:sz w:val="20"/>
          <w:szCs w:val="20"/>
        </w:rPr>
      </w:pPr>
      <w:bookmarkStart w:id="0" w:name="_GoBack"/>
      <w:r w:rsidRPr="002A7857">
        <w:rPr>
          <w:rFonts w:ascii="Times New Roman" w:hAnsi="Times New Roman"/>
          <w:sz w:val="20"/>
          <w:szCs w:val="20"/>
        </w:rPr>
        <w:t>Lifelong learning</w:t>
      </w:r>
    </w:p>
    <w:bookmarkEnd w:id="0"/>
    <w:p w:rsidR="000B024D" w:rsidRPr="002A7857" w:rsidRDefault="000B024D"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 xml:space="preserve">In recent times, there has been a notable increase in the focus on promoting lifelong learning, drawing attention from both the educational and business sectors. Scholars and trend forecasters have directed their attention towards the demands of the 21st century, unanimously agreeing on the significance of maintaining a continuously improving and technologically adept workforce capable of thriving in the global marketplace. Additionally, there is a consensus about the vital role of various attitudes and motivations in fostering lifelong learning, </w:t>
      </w:r>
      <w:r w:rsidR="00A37B68" w:rsidRPr="002A7857">
        <w:rPr>
          <w:rFonts w:ascii="Times New Roman" w:hAnsi="Times New Roman" w:cs="Times New Roman"/>
          <w:sz w:val="20"/>
          <w:szCs w:val="20"/>
        </w:rPr>
        <w:t>especially in technical fields.</w:t>
      </w:r>
    </w:p>
    <w:p w:rsidR="0029682D" w:rsidRPr="002A7857" w:rsidRDefault="000B024D"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 xml:space="preserve">To effectively promote lifelong learning attitudes and skills, educational psychologists can best apply their knowledge about motivation and learning. This should encompass all educational levels, ranging from elementary to postsecondary, and should extend to training environments involving businesses and industries. It is crucial for psychologists to consider the whole person within their context by integrating "grand theories" that encompass </w:t>
      </w:r>
      <w:r w:rsidRPr="002A7857">
        <w:rPr>
          <w:rFonts w:ascii="Times New Roman" w:hAnsi="Times New Roman" w:cs="Times New Roman"/>
          <w:sz w:val="20"/>
          <w:szCs w:val="20"/>
        </w:rPr>
        <w:lastRenderedPageBreak/>
        <w:t>principles of learning and motivation, cognition, and emotions. This approach ensures a comprehensive understanding of individuals' learning processes and enhances their preparedness for the challenges of the 21st century.</w:t>
      </w:r>
    </w:p>
    <w:p w:rsidR="0029682D" w:rsidRPr="002A7857" w:rsidRDefault="00CF7C40"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Lifelong learning is a form of self-driven education focused on personal development, extending beyond formal educational institutions. It encompasses both informal and formal learning, undertaken voluntarily to achieve personal fulfillment. Lifelong learning acknowledges our innate drive to explore, learn, and grow, aiming to enhance our quality of life and self-esteem by pursuing our interests and ambitions. It emphasizes the importance of continuous learning throughout one's life to stay engaged, adaptable, and fulfilled.</w:t>
      </w:r>
    </w:p>
    <w:p w:rsidR="0029682D" w:rsidRPr="002A7857" w:rsidRDefault="00CF7C40"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Lifelong learning recognizes that education extends beyond the confines of a traditional classroom. It encompasses the continuous acquisition of knowledge and skills throughout our lives, including both formal and informal learning experiences. Examples of lifelong learning can be seen in various stages of life, from learning basic skills in childhood, such as talking or riding a bike, to acquiring new abilities as adults, like using a smartphone or mastering a new recipe. These everyday instances of lifelong learning occur through social interaction, trial and error, or self-directed exploration.</w:t>
      </w:r>
    </w:p>
    <w:p w:rsidR="0029682D" w:rsidRPr="002A7857" w:rsidRDefault="00CF7C40"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The essence of lifelong learning lies in personal fulfillment and development. It is driven by our inherent interests, curiosity, and motivations, rather than external obligations. Lifelong learners engage in the pursuit of knowledge and skills for their own satisfaction and growth.</w:t>
      </w:r>
    </w:p>
    <w:p w:rsidR="00945F82" w:rsidRPr="002A7857" w:rsidRDefault="00CF7C40"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When considering lifelong learning, several key aspects should be considered. It is voluntary, meaning individuals willingly choose to engage in the learning process. It is self-motivated and self-initiated, driven by personal interests and aspirations. Lifelong learning doesn't always require financial investment, as it can be achieved through various accessible resources. It often takes an informal approach, going beyond structured educational settings. Individuals may be self-taught or seek specific instructions or guidance based on their interests. Ultimately, the motivation behind lifelong learning stems from personal interest and the desire for personal development.</w:t>
      </w:r>
    </w:p>
    <w:p w:rsidR="00945F82" w:rsidRPr="002A7857" w:rsidRDefault="00945F82"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Concerns have arisen due to a noticeable lack of ongoing learning in a significant portion of our society. This is particularly worrying for businesses and industries. Recent reports from the U.S. Department of Labor in 1989 and a joint effort by the Departments of Labor, Education, and Commerce in 1988 have indicated that the majority of new jobs in the 21st century will demand some level of higher education. This is a shift from the current situation, where only 27% of these jobs are expected to be in lower-skilled categories, down from the current 40%.</w:t>
      </w:r>
    </w:p>
    <w:p w:rsidR="00945F82" w:rsidRPr="002A7857" w:rsidRDefault="00945F82"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Interestingly, jobs currently seen as mid-skilled will become the least skilled in the future. This, along with shorter product and process lifecycles, implies that jobs will be restructured approximately every 7 years. As a result, continuous learning and retraining are crucial to prepare qualified individuals for these changing job roles.</w:t>
      </w:r>
    </w:p>
    <w:p w:rsidR="00945F82" w:rsidRPr="002A7857" w:rsidRDefault="00945F82"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Regrettably, a significant and growing portion of the population still lacks basic reading, writing, and math skills. This deficiency in fundamental abilities presents a hurdle in meeting the increasing demand for a versatile and skilled workforce.</w:t>
      </w:r>
    </w:p>
    <w:p w:rsidR="00945F82" w:rsidRPr="002A7857" w:rsidRDefault="00945F82"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Both educators and employers recognize that the modern workplace's dynamic nature requires employees who can adapt to change and constantly improve their job-related skills, particularly with advancing technology. The successful integration of workers into jobs involving advanced technologies and processes hinges on their ability to swiftly acquire new skills.</w:t>
      </w:r>
    </w:p>
    <w:p w:rsidR="00945F82" w:rsidRPr="002A7857" w:rsidRDefault="00945F82"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 xml:space="preserve">A recent study by </w:t>
      </w:r>
      <w:proofErr w:type="spellStart"/>
      <w:r w:rsidRPr="002A7857">
        <w:rPr>
          <w:rFonts w:ascii="Times New Roman" w:hAnsi="Times New Roman" w:cs="Times New Roman"/>
          <w:sz w:val="20"/>
          <w:szCs w:val="20"/>
        </w:rPr>
        <w:t>Carnevale</w:t>
      </w:r>
      <w:proofErr w:type="spellEnd"/>
      <w:r w:rsidRPr="002A7857">
        <w:rPr>
          <w:rFonts w:ascii="Times New Roman" w:hAnsi="Times New Roman" w:cs="Times New Roman"/>
          <w:sz w:val="20"/>
          <w:szCs w:val="20"/>
        </w:rPr>
        <w:t xml:space="preserve"> in 1988, titled "Workplace Basics," underscores that vital workplace skills are directly tied to positive self-esteem, goal-setting capabilities, motivation, learning-to-learn skills, and effective personal management skills like communication, career development, teamwork, and leadership. Employers highly value these attributes as they indicate successful job transitions and fruitful training experiences.</w:t>
      </w:r>
    </w:p>
    <w:p w:rsidR="00945F82" w:rsidRPr="002A7857" w:rsidRDefault="00945F82"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However, a challenge arises from the Hudson Institute's 1987 "Workforce 2000" report, which predicts an older workforce in the 21st century with less skilled younger entrants. Additionally, the report anticipates that over 80% of new workforce entrants will comprise women, minorities, and immigrants.</w:t>
      </w:r>
    </w:p>
    <w:p w:rsidR="00343D43" w:rsidRPr="002A7857" w:rsidRDefault="00A7652C" w:rsidP="002A7857">
      <w:pPr>
        <w:spacing w:line="240" w:lineRule="auto"/>
        <w:jc w:val="center"/>
        <w:rPr>
          <w:rFonts w:ascii="Times New Roman" w:hAnsi="Times New Roman" w:cs="Times New Roman"/>
          <w:b/>
          <w:sz w:val="20"/>
          <w:szCs w:val="20"/>
        </w:rPr>
      </w:pPr>
      <w:r w:rsidRPr="002A7857">
        <w:rPr>
          <w:rFonts w:ascii="Times New Roman" w:hAnsi="Times New Roman" w:cs="Times New Roman"/>
          <w:b/>
          <w:sz w:val="20"/>
          <w:szCs w:val="20"/>
        </w:rPr>
        <w:t>III.</w:t>
      </w:r>
      <w:r w:rsidR="00A37B68" w:rsidRPr="002A7857">
        <w:rPr>
          <w:rFonts w:ascii="Times New Roman" w:hAnsi="Times New Roman" w:cs="Times New Roman"/>
          <w:b/>
          <w:sz w:val="20"/>
          <w:szCs w:val="20"/>
        </w:rPr>
        <w:t xml:space="preserve"> </w:t>
      </w:r>
      <w:r w:rsidR="00343D43" w:rsidRPr="002A7857">
        <w:rPr>
          <w:rFonts w:ascii="Times New Roman" w:hAnsi="Times New Roman" w:cs="Times New Roman"/>
          <w:b/>
          <w:sz w:val="20"/>
          <w:szCs w:val="20"/>
        </w:rPr>
        <w:t>Adaptability</w:t>
      </w:r>
    </w:p>
    <w:p w:rsidR="00945F82" w:rsidRPr="002A7857" w:rsidRDefault="00945F82"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lastRenderedPageBreak/>
        <w:t xml:space="preserve">Crises are unexpected and disruptive events that introduce uncertainty and potential threats to organizations' survival. Over the past ten years, notable economic disruptions, such as the crashes of the Mexican peso, Russian ruble, and Brazilian real, have led to economic crises. Various perspectives, including psychology, social policy, and technological structure, have been used to research organizational crises (Halpern 1989; </w:t>
      </w:r>
      <w:proofErr w:type="spellStart"/>
      <w:r w:rsidRPr="002A7857">
        <w:rPr>
          <w:rFonts w:ascii="Times New Roman" w:hAnsi="Times New Roman" w:cs="Times New Roman"/>
          <w:sz w:val="20"/>
          <w:szCs w:val="20"/>
        </w:rPr>
        <w:t>Weick</w:t>
      </w:r>
      <w:proofErr w:type="spellEnd"/>
      <w:r w:rsidRPr="002A7857">
        <w:rPr>
          <w:rFonts w:ascii="Times New Roman" w:hAnsi="Times New Roman" w:cs="Times New Roman"/>
          <w:sz w:val="20"/>
          <w:szCs w:val="20"/>
        </w:rPr>
        <w:t xml:space="preserve"> 198</w:t>
      </w:r>
      <w:r w:rsidR="0029682D" w:rsidRPr="002A7857">
        <w:rPr>
          <w:rFonts w:ascii="Times New Roman" w:hAnsi="Times New Roman" w:cs="Times New Roman"/>
          <w:sz w:val="20"/>
          <w:szCs w:val="20"/>
        </w:rPr>
        <w:t xml:space="preserve">8; </w:t>
      </w:r>
      <w:proofErr w:type="spellStart"/>
      <w:r w:rsidR="0029682D" w:rsidRPr="002A7857">
        <w:rPr>
          <w:rFonts w:ascii="Times New Roman" w:hAnsi="Times New Roman" w:cs="Times New Roman"/>
          <w:sz w:val="20"/>
          <w:szCs w:val="20"/>
        </w:rPr>
        <w:t>Pauchant</w:t>
      </w:r>
      <w:proofErr w:type="spellEnd"/>
      <w:r w:rsidR="0029682D" w:rsidRPr="002A7857">
        <w:rPr>
          <w:rFonts w:ascii="Times New Roman" w:hAnsi="Times New Roman" w:cs="Times New Roman"/>
          <w:sz w:val="20"/>
          <w:szCs w:val="20"/>
        </w:rPr>
        <w:t xml:space="preserve"> and </w:t>
      </w:r>
      <w:proofErr w:type="spellStart"/>
      <w:r w:rsidR="0029682D" w:rsidRPr="002A7857">
        <w:rPr>
          <w:rFonts w:ascii="Times New Roman" w:hAnsi="Times New Roman" w:cs="Times New Roman"/>
          <w:sz w:val="20"/>
          <w:szCs w:val="20"/>
        </w:rPr>
        <w:t>Douville</w:t>
      </w:r>
      <w:proofErr w:type="spellEnd"/>
      <w:r w:rsidR="0029682D" w:rsidRPr="002A7857">
        <w:rPr>
          <w:rFonts w:ascii="Times New Roman" w:hAnsi="Times New Roman" w:cs="Times New Roman"/>
          <w:sz w:val="20"/>
          <w:szCs w:val="20"/>
        </w:rPr>
        <w:t xml:space="preserve"> 1994).</w:t>
      </w:r>
    </w:p>
    <w:p w:rsidR="00945F82" w:rsidRPr="002A7857" w:rsidRDefault="00945F82"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This study contributes to the existing research on organizational crises by investigating the importance of market orientation and strategic flexibility in determining firm performance, particularly in developing economies and during economic crises like the recent Asian economic crisis. Our focus is on this relationship, building on the insights provided by Champion (1999) and Goad (1999) in the context of the Asian crisis. While these authors stress the need for improved management during crises, they lack specificity. To address this gap, we adopt a resource-based approach to identify the organizational capabilities that help firms navigate economic crises. This approach draws on the works of Barney (1991), Dickson (199</w:t>
      </w:r>
      <w:r w:rsidR="0029682D" w:rsidRPr="002A7857">
        <w:rPr>
          <w:rFonts w:ascii="Times New Roman" w:hAnsi="Times New Roman" w:cs="Times New Roman"/>
          <w:sz w:val="20"/>
          <w:szCs w:val="20"/>
        </w:rPr>
        <w:t>2), and Hunt and Morgan (1995).</w:t>
      </w:r>
    </w:p>
    <w:p w:rsidR="00945F82" w:rsidRPr="002A7857" w:rsidRDefault="00945F82"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 xml:space="preserve">From this resource-based perspective, resources encompass a range of tangible and intangible factors such as knowledge, physical assets, and human capital controlled by a business. These resources empower firms to efficiently produce valuable market offerings for specific segments, as defined by Capron and </w:t>
      </w:r>
      <w:proofErr w:type="spellStart"/>
      <w:r w:rsidRPr="002A7857">
        <w:rPr>
          <w:rFonts w:ascii="Times New Roman" w:hAnsi="Times New Roman" w:cs="Times New Roman"/>
          <w:sz w:val="20"/>
          <w:szCs w:val="20"/>
        </w:rPr>
        <w:t>Hulland</w:t>
      </w:r>
      <w:proofErr w:type="spellEnd"/>
      <w:r w:rsidRPr="002A7857">
        <w:rPr>
          <w:rFonts w:ascii="Times New Roman" w:hAnsi="Times New Roman" w:cs="Times New Roman"/>
          <w:sz w:val="20"/>
          <w:szCs w:val="20"/>
        </w:rPr>
        <w:t xml:space="preserve"> (1999, p. 42). These capabilities, developed through resource utilization, enable firms to manage their environment and attain performance goals, as outlined by Day (1994). Among these capabilities, we focus on two critical ones: market orienta</w:t>
      </w:r>
      <w:r w:rsidR="0029682D" w:rsidRPr="002A7857">
        <w:rPr>
          <w:rFonts w:ascii="Times New Roman" w:hAnsi="Times New Roman" w:cs="Times New Roman"/>
          <w:sz w:val="20"/>
          <w:szCs w:val="20"/>
        </w:rPr>
        <w:t>tion and strategic flexibility.</w:t>
      </w:r>
    </w:p>
    <w:p w:rsidR="00945F82" w:rsidRPr="002A7857" w:rsidRDefault="00945F82"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 xml:space="preserve">Market orientation, a crucial concept for effective marketing practices (Day 1994; </w:t>
      </w:r>
      <w:proofErr w:type="spellStart"/>
      <w:r w:rsidRPr="002A7857">
        <w:rPr>
          <w:rFonts w:ascii="Times New Roman" w:hAnsi="Times New Roman" w:cs="Times New Roman"/>
          <w:sz w:val="20"/>
          <w:szCs w:val="20"/>
        </w:rPr>
        <w:t>Kohli</w:t>
      </w:r>
      <w:proofErr w:type="spellEnd"/>
      <w:r w:rsidRPr="002A7857">
        <w:rPr>
          <w:rFonts w:ascii="Times New Roman" w:hAnsi="Times New Roman" w:cs="Times New Roman"/>
          <w:sz w:val="20"/>
          <w:szCs w:val="20"/>
        </w:rPr>
        <w:t xml:space="preserve"> and </w:t>
      </w:r>
      <w:proofErr w:type="spellStart"/>
      <w:r w:rsidRPr="002A7857">
        <w:rPr>
          <w:rFonts w:ascii="Times New Roman" w:hAnsi="Times New Roman" w:cs="Times New Roman"/>
          <w:sz w:val="20"/>
          <w:szCs w:val="20"/>
        </w:rPr>
        <w:t>Jaworski</w:t>
      </w:r>
      <w:proofErr w:type="spellEnd"/>
      <w:r w:rsidRPr="002A7857">
        <w:rPr>
          <w:rFonts w:ascii="Times New Roman" w:hAnsi="Times New Roman" w:cs="Times New Roman"/>
          <w:sz w:val="20"/>
          <w:szCs w:val="20"/>
        </w:rPr>
        <w:t xml:space="preserve"> 1990), involves offering products and services that consumers value through vigilant monitoring of market conditions and adapting organizational strategies accordingly (</w:t>
      </w:r>
      <w:proofErr w:type="spellStart"/>
      <w:r w:rsidRPr="002A7857">
        <w:rPr>
          <w:rFonts w:ascii="Times New Roman" w:hAnsi="Times New Roman" w:cs="Times New Roman"/>
          <w:sz w:val="20"/>
          <w:szCs w:val="20"/>
        </w:rPr>
        <w:t>Narver</w:t>
      </w:r>
      <w:proofErr w:type="spellEnd"/>
      <w:r w:rsidRPr="002A7857">
        <w:rPr>
          <w:rFonts w:ascii="Times New Roman" w:hAnsi="Times New Roman" w:cs="Times New Roman"/>
          <w:sz w:val="20"/>
          <w:szCs w:val="20"/>
        </w:rPr>
        <w:t xml:space="preserve"> and Slater 1990; Shapiro 1988). Leadership, particularly from top management, significantly influences fostering market orientation (Webster 1992), impacting organizational performance, commitment, and motivation (</w:t>
      </w:r>
      <w:proofErr w:type="spellStart"/>
      <w:r w:rsidRPr="002A7857">
        <w:rPr>
          <w:rFonts w:ascii="Times New Roman" w:hAnsi="Times New Roman" w:cs="Times New Roman"/>
          <w:sz w:val="20"/>
          <w:szCs w:val="20"/>
        </w:rPr>
        <w:t>Jaworski</w:t>
      </w:r>
      <w:proofErr w:type="spellEnd"/>
      <w:r w:rsidRPr="002A7857">
        <w:rPr>
          <w:rFonts w:ascii="Times New Roman" w:hAnsi="Times New Roman" w:cs="Times New Roman"/>
          <w:sz w:val="20"/>
          <w:szCs w:val="20"/>
        </w:rPr>
        <w:t xml:space="preserve"> and </w:t>
      </w:r>
      <w:proofErr w:type="spellStart"/>
      <w:r w:rsidRPr="002A7857">
        <w:rPr>
          <w:rFonts w:ascii="Times New Roman" w:hAnsi="Times New Roman" w:cs="Times New Roman"/>
          <w:sz w:val="20"/>
          <w:szCs w:val="20"/>
        </w:rPr>
        <w:t>Kohli</w:t>
      </w:r>
      <w:proofErr w:type="spellEnd"/>
      <w:r w:rsidRPr="002A7857">
        <w:rPr>
          <w:rFonts w:ascii="Times New Roman" w:hAnsi="Times New Roman" w:cs="Times New Roman"/>
          <w:sz w:val="20"/>
          <w:szCs w:val="20"/>
        </w:rPr>
        <w:t xml:space="preserve"> 1993). Given its importance, scholars have extensively explored market orientation.</w:t>
      </w:r>
    </w:p>
    <w:p w:rsidR="00343D43" w:rsidRPr="002A7857" w:rsidRDefault="00343D43"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 xml:space="preserve">Organizations often face unexpected and disruptive events known as crises, which create significant uncertainty and pose potential threats to their survival. In the past decade, there have been significant economic upheavals, such as the crashes of the Mexican peso, Russian ruble, and Brazilian real, resulting in economic crises. Extensive research has been conducted on organizational crises from various perspectives, including psychology, social </w:t>
      </w:r>
      <w:proofErr w:type="spellStart"/>
      <w:r w:rsidRPr="002A7857">
        <w:rPr>
          <w:rFonts w:ascii="Times New Roman" w:hAnsi="Times New Roman" w:cs="Times New Roman"/>
          <w:sz w:val="20"/>
          <w:szCs w:val="20"/>
        </w:rPr>
        <w:t>polity</w:t>
      </w:r>
      <w:proofErr w:type="spellEnd"/>
      <w:r w:rsidRPr="002A7857">
        <w:rPr>
          <w:rFonts w:ascii="Times New Roman" w:hAnsi="Times New Roman" w:cs="Times New Roman"/>
          <w:sz w:val="20"/>
          <w:szCs w:val="20"/>
        </w:rPr>
        <w:t xml:space="preserve">, and technological structure (Halpern 1989; </w:t>
      </w:r>
      <w:proofErr w:type="spellStart"/>
      <w:r w:rsidRPr="002A7857">
        <w:rPr>
          <w:rFonts w:ascii="Times New Roman" w:hAnsi="Times New Roman" w:cs="Times New Roman"/>
          <w:sz w:val="20"/>
          <w:szCs w:val="20"/>
        </w:rPr>
        <w:t>Weick</w:t>
      </w:r>
      <w:proofErr w:type="spellEnd"/>
      <w:r w:rsidRPr="002A7857">
        <w:rPr>
          <w:rFonts w:ascii="Times New Roman" w:hAnsi="Times New Roman" w:cs="Times New Roman"/>
          <w:sz w:val="20"/>
          <w:szCs w:val="20"/>
        </w:rPr>
        <w:t xml:space="preserve"> 1988; </w:t>
      </w:r>
      <w:proofErr w:type="spellStart"/>
      <w:r w:rsidRPr="002A7857">
        <w:rPr>
          <w:rFonts w:ascii="Times New Roman" w:hAnsi="Times New Roman" w:cs="Times New Roman"/>
          <w:sz w:val="20"/>
          <w:szCs w:val="20"/>
        </w:rPr>
        <w:t>Pauchant</w:t>
      </w:r>
      <w:proofErr w:type="spellEnd"/>
      <w:r w:rsidRPr="002A7857">
        <w:rPr>
          <w:rFonts w:ascii="Times New Roman" w:hAnsi="Times New Roman" w:cs="Times New Roman"/>
          <w:sz w:val="20"/>
          <w:szCs w:val="20"/>
        </w:rPr>
        <w:t xml:space="preserve"> and </w:t>
      </w:r>
      <w:proofErr w:type="spellStart"/>
      <w:r w:rsidRPr="002A7857">
        <w:rPr>
          <w:rFonts w:ascii="Times New Roman" w:hAnsi="Times New Roman" w:cs="Times New Roman"/>
          <w:sz w:val="20"/>
          <w:szCs w:val="20"/>
        </w:rPr>
        <w:t>Douville</w:t>
      </w:r>
      <w:proofErr w:type="spellEnd"/>
      <w:r w:rsidRPr="002A7857">
        <w:rPr>
          <w:rFonts w:ascii="Times New Roman" w:hAnsi="Times New Roman" w:cs="Times New Roman"/>
          <w:sz w:val="20"/>
          <w:szCs w:val="20"/>
        </w:rPr>
        <w:t xml:space="preserve"> 1994).</w:t>
      </w:r>
    </w:p>
    <w:p w:rsidR="00343D43" w:rsidRPr="002A7857" w:rsidRDefault="00343D43"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In this study, we contribute to this existing body of research by exploring the relevance of market orientation and strategic flexibility in determining firm performance, particularly in developing economies and during periods of economic crisis. We specifically investigate these relationships in the context of the recent Asian economic crisis.</w:t>
      </w:r>
    </w:p>
    <w:p w:rsidR="00343D43" w:rsidRPr="002A7857" w:rsidRDefault="00343D43"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The literature on the Asian crisis, as highlighted by Champion (1999) and Goad (1999), emphasizes the need for "better management" in general, without specifying the specific aspects of this improved approach. To address this, the researchers in this study adopt a resource-based perspective, aiming to identify organizational capabilities that can assist firms in effectively navigating through an economic crisis. This perspective draws on the works of Barney (1991), Dickson (1992), and Hunt and Morgan (1995).</w:t>
      </w:r>
    </w:p>
    <w:p w:rsidR="00343D43" w:rsidRPr="002A7857" w:rsidRDefault="00343D43"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 xml:space="preserve">According to this resource-based perspective, resources refer to the stocks of knowledge, physical assets, human capital, and other tangible and intangible factors that a business owns or controls. These resources enable a firm to efficiently and effectively produce market offerings that hold value for specific market segments, as described by Capron and </w:t>
      </w:r>
      <w:proofErr w:type="spellStart"/>
      <w:r w:rsidRPr="002A7857">
        <w:rPr>
          <w:rFonts w:ascii="Times New Roman" w:hAnsi="Times New Roman" w:cs="Times New Roman"/>
          <w:sz w:val="20"/>
          <w:szCs w:val="20"/>
        </w:rPr>
        <w:t>Hulland</w:t>
      </w:r>
      <w:proofErr w:type="spellEnd"/>
      <w:r w:rsidRPr="002A7857">
        <w:rPr>
          <w:rFonts w:ascii="Times New Roman" w:hAnsi="Times New Roman" w:cs="Times New Roman"/>
          <w:sz w:val="20"/>
          <w:szCs w:val="20"/>
        </w:rPr>
        <w:t xml:space="preserve"> (1999, p. 42). In turn, the firm utilizes these capabilities developed through resource utilization to manage its environment and achieve performance goals, as discussed by Day (1994). Among the identified capabilities, the study focuses on two crucial ones: market orientation and strategic flexibility.</w:t>
      </w:r>
    </w:p>
    <w:p w:rsidR="000B024D" w:rsidRPr="002A7857" w:rsidRDefault="00343D43"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 xml:space="preserve">The concept of market orientation is essential for the development of effective marketing practices (Day 1994; </w:t>
      </w:r>
      <w:proofErr w:type="spellStart"/>
      <w:r w:rsidRPr="002A7857">
        <w:rPr>
          <w:rFonts w:ascii="Times New Roman" w:hAnsi="Times New Roman" w:cs="Times New Roman"/>
          <w:sz w:val="20"/>
          <w:szCs w:val="20"/>
        </w:rPr>
        <w:t>Kohli</w:t>
      </w:r>
      <w:proofErr w:type="spellEnd"/>
      <w:r w:rsidRPr="002A7857">
        <w:rPr>
          <w:rFonts w:ascii="Times New Roman" w:hAnsi="Times New Roman" w:cs="Times New Roman"/>
          <w:sz w:val="20"/>
          <w:szCs w:val="20"/>
        </w:rPr>
        <w:t xml:space="preserve"> and </w:t>
      </w:r>
      <w:proofErr w:type="spellStart"/>
      <w:r w:rsidRPr="002A7857">
        <w:rPr>
          <w:rFonts w:ascii="Times New Roman" w:hAnsi="Times New Roman" w:cs="Times New Roman"/>
          <w:sz w:val="20"/>
          <w:szCs w:val="20"/>
        </w:rPr>
        <w:t>Jaworski</w:t>
      </w:r>
      <w:proofErr w:type="spellEnd"/>
      <w:r w:rsidRPr="002A7857">
        <w:rPr>
          <w:rFonts w:ascii="Times New Roman" w:hAnsi="Times New Roman" w:cs="Times New Roman"/>
          <w:sz w:val="20"/>
          <w:szCs w:val="20"/>
        </w:rPr>
        <w:t xml:space="preserve"> 1990). Being market oriented means providing products and services that </w:t>
      </w:r>
      <w:proofErr w:type="gramStart"/>
      <w:r w:rsidRPr="002A7857">
        <w:rPr>
          <w:rFonts w:ascii="Times New Roman" w:hAnsi="Times New Roman" w:cs="Times New Roman"/>
          <w:sz w:val="20"/>
          <w:szCs w:val="20"/>
        </w:rPr>
        <w:t>consumers</w:t>
      </w:r>
      <w:proofErr w:type="gramEnd"/>
      <w:r w:rsidRPr="002A7857">
        <w:rPr>
          <w:rFonts w:ascii="Times New Roman" w:hAnsi="Times New Roman" w:cs="Times New Roman"/>
          <w:sz w:val="20"/>
          <w:szCs w:val="20"/>
        </w:rPr>
        <w:t xml:space="preserve"> value, achieved through continuous monitoring of market conditions and adapting organizational responses accordingly (</w:t>
      </w:r>
      <w:proofErr w:type="spellStart"/>
      <w:r w:rsidRPr="002A7857">
        <w:rPr>
          <w:rFonts w:ascii="Times New Roman" w:hAnsi="Times New Roman" w:cs="Times New Roman"/>
          <w:sz w:val="20"/>
          <w:szCs w:val="20"/>
        </w:rPr>
        <w:t>Narver</w:t>
      </w:r>
      <w:proofErr w:type="spellEnd"/>
      <w:r w:rsidRPr="002A7857">
        <w:rPr>
          <w:rFonts w:ascii="Times New Roman" w:hAnsi="Times New Roman" w:cs="Times New Roman"/>
          <w:sz w:val="20"/>
          <w:szCs w:val="20"/>
        </w:rPr>
        <w:t xml:space="preserve"> and Slater 1990; Shapiro 1988). Top management plays a crucial role in fostering market orientation (Webster 1992), and it has a significant impact on organizational performance, commitment, and motivation (</w:t>
      </w:r>
      <w:proofErr w:type="spellStart"/>
      <w:r w:rsidRPr="002A7857">
        <w:rPr>
          <w:rFonts w:ascii="Times New Roman" w:hAnsi="Times New Roman" w:cs="Times New Roman"/>
          <w:sz w:val="20"/>
          <w:szCs w:val="20"/>
        </w:rPr>
        <w:t>Jaworski</w:t>
      </w:r>
      <w:proofErr w:type="spellEnd"/>
      <w:r w:rsidRPr="002A7857">
        <w:rPr>
          <w:rFonts w:ascii="Times New Roman" w:hAnsi="Times New Roman" w:cs="Times New Roman"/>
          <w:sz w:val="20"/>
          <w:szCs w:val="20"/>
        </w:rPr>
        <w:t xml:space="preserve"> and </w:t>
      </w:r>
      <w:proofErr w:type="spellStart"/>
      <w:r w:rsidRPr="002A7857">
        <w:rPr>
          <w:rFonts w:ascii="Times New Roman" w:hAnsi="Times New Roman" w:cs="Times New Roman"/>
          <w:sz w:val="20"/>
          <w:szCs w:val="20"/>
        </w:rPr>
        <w:t>Kohli</w:t>
      </w:r>
      <w:proofErr w:type="spellEnd"/>
      <w:r w:rsidRPr="002A7857">
        <w:rPr>
          <w:rFonts w:ascii="Times New Roman" w:hAnsi="Times New Roman" w:cs="Times New Roman"/>
          <w:sz w:val="20"/>
          <w:szCs w:val="20"/>
        </w:rPr>
        <w:t xml:space="preserve"> </w:t>
      </w:r>
      <w:r w:rsidRPr="002A7857">
        <w:rPr>
          <w:rFonts w:ascii="Times New Roman" w:hAnsi="Times New Roman" w:cs="Times New Roman"/>
          <w:sz w:val="20"/>
          <w:szCs w:val="20"/>
        </w:rPr>
        <w:lastRenderedPageBreak/>
        <w:t>1993). Given its significance, it is not surprising that marketing scholars have extensively studied and examined the construct of market orientation.</w:t>
      </w:r>
    </w:p>
    <w:p w:rsidR="006A3836" w:rsidRPr="002A7857" w:rsidRDefault="00A7652C" w:rsidP="002A7857">
      <w:pPr>
        <w:spacing w:line="240" w:lineRule="auto"/>
        <w:jc w:val="center"/>
        <w:rPr>
          <w:rFonts w:ascii="Times New Roman" w:hAnsi="Times New Roman" w:cs="Times New Roman"/>
          <w:b/>
          <w:sz w:val="20"/>
          <w:szCs w:val="20"/>
        </w:rPr>
      </w:pPr>
      <w:proofErr w:type="spellStart"/>
      <w:r w:rsidRPr="002A7857">
        <w:rPr>
          <w:rFonts w:ascii="Times New Roman" w:hAnsi="Times New Roman" w:cs="Times New Roman"/>
          <w:b/>
          <w:sz w:val="20"/>
          <w:szCs w:val="20"/>
        </w:rPr>
        <w:t>IV.</w:t>
      </w:r>
      <w:r w:rsidR="006A3836" w:rsidRPr="002A7857">
        <w:rPr>
          <w:rFonts w:ascii="Times New Roman" w:hAnsi="Times New Roman" w:cs="Times New Roman"/>
          <w:b/>
          <w:sz w:val="20"/>
          <w:szCs w:val="20"/>
        </w:rPr>
        <w:t>Technological</w:t>
      </w:r>
      <w:proofErr w:type="spellEnd"/>
      <w:r w:rsidR="006A3836" w:rsidRPr="002A7857">
        <w:rPr>
          <w:rFonts w:ascii="Times New Roman" w:hAnsi="Times New Roman" w:cs="Times New Roman"/>
          <w:b/>
          <w:sz w:val="20"/>
          <w:szCs w:val="20"/>
        </w:rPr>
        <w:t xml:space="preserve"> Literacy</w:t>
      </w:r>
    </w:p>
    <w:p w:rsidR="0029682D" w:rsidRPr="002A7857" w:rsidRDefault="0029682D"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Clear evidence of the expanding role of technology in our lives is readily observable. As of 2015, Internet access was available to more than three billion people globally, which equated to nearly half of the world's population (Internet World Stats, 2015). In developed countries, particularly in North America, the rates were even higher, with almost 90% of North Americans having Internet connectivity.</w:t>
      </w:r>
    </w:p>
    <w:p w:rsidR="0029682D" w:rsidRPr="002A7857" w:rsidRDefault="0029682D"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Amid this context, special attention is given to the technology engagement of young individuals often dubbed as "digital natives" (</w:t>
      </w:r>
      <w:proofErr w:type="spellStart"/>
      <w:r w:rsidRPr="002A7857">
        <w:rPr>
          <w:rFonts w:ascii="Times New Roman" w:hAnsi="Times New Roman" w:cs="Times New Roman"/>
          <w:sz w:val="20"/>
          <w:szCs w:val="20"/>
        </w:rPr>
        <w:t>Prensky</w:t>
      </w:r>
      <w:proofErr w:type="spellEnd"/>
      <w:r w:rsidRPr="002A7857">
        <w:rPr>
          <w:rFonts w:ascii="Times New Roman" w:hAnsi="Times New Roman" w:cs="Times New Roman"/>
          <w:sz w:val="20"/>
          <w:szCs w:val="20"/>
        </w:rPr>
        <w:t>, 2001). These individuals have grown up in a world immersed in technology and have no recollection of a time before Internet access. Proficient in utilizing digital devices for learning, communication, and entertainment, these teenagers are swift to reach for their smartphones or electronic gadgets within moments of waking up (</w:t>
      </w:r>
      <w:proofErr w:type="spellStart"/>
      <w:r w:rsidRPr="002A7857">
        <w:rPr>
          <w:rFonts w:ascii="Times New Roman" w:hAnsi="Times New Roman" w:cs="Times New Roman"/>
          <w:sz w:val="20"/>
          <w:szCs w:val="20"/>
        </w:rPr>
        <w:t>Ipsos</w:t>
      </w:r>
      <w:proofErr w:type="spellEnd"/>
      <w:r w:rsidRPr="002A7857">
        <w:rPr>
          <w:rFonts w:ascii="Times New Roman" w:hAnsi="Times New Roman" w:cs="Times New Roman"/>
          <w:sz w:val="20"/>
          <w:szCs w:val="20"/>
        </w:rPr>
        <w:t xml:space="preserve"> </w:t>
      </w:r>
      <w:proofErr w:type="spellStart"/>
      <w:r w:rsidRPr="002A7857">
        <w:rPr>
          <w:rFonts w:ascii="Times New Roman" w:hAnsi="Times New Roman" w:cs="Times New Roman"/>
          <w:sz w:val="20"/>
          <w:szCs w:val="20"/>
        </w:rPr>
        <w:t>MediaCT</w:t>
      </w:r>
      <w:proofErr w:type="spellEnd"/>
      <w:r w:rsidRPr="002A7857">
        <w:rPr>
          <w:rFonts w:ascii="Times New Roman" w:hAnsi="Times New Roman" w:cs="Times New Roman"/>
          <w:sz w:val="20"/>
          <w:szCs w:val="20"/>
        </w:rPr>
        <w:t xml:space="preserve"> &amp; </w:t>
      </w:r>
      <w:proofErr w:type="spellStart"/>
      <w:r w:rsidRPr="002A7857">
        <w:rPr>
          <w:rFonts w:ascii="Times New Roman" w:hAnsi="Times New Roman" w:cs="Times New Roman"/>
          <w:sz w:val="20"/>
          <w:szCs w:val="20"/>
        </w:rPr>
        <w:t>Wikia</w:t>
      </w:r>
      <w:proofErr w:type="spellEnd"/>
      <w:r w:rsidRPr="002A7857">
        <w:rPr>
          <w:rFonts w:ascii="Times New Roman" w:hAnsi="Times New Roman" w:cs="Times New Roman"/>
          <w:sz w:val="20"/>
          <w:szCs w:val="20"/>
        </w:rPr>
        <w:t xml:space="preserve">, 2013). For example, preteens (ages 8 to 12) dedicate slightly over four and a half hours daily to screen media, while teenagers (ages 13 to 18) spend slightly over six and a half hours, not including school or study hours (Common Sense Media, 2015). Engaging in multitasking is common among teenagers, who simultaneously manage various activities like monitoring Twitter feeds and </w:t>
      </w:r>
      <w:proofErr w:type="spellStart"/>
      <w:r w:rsidRPr="002A7857">
        <w:rPr>
          <w:rFonts w:ascii="Times New Roman" w:hAnsi="Times New Roman" w:cs="Times New Roman"/>
          <w:sz w:val="20"/>
          <w:szCs w:val="20"/>
        </w:rPr>
        <w:t>SnapChat</w:t>
      </w:r>
      <w:proofErr w:type="spellEnd"/>
      <w:r w:rsidRPr="002A7857">
        <w:rPr>
          <w:rFonts w:ascii="Times New Roman" w:hAnsi="Times New Roman" w:cs="Times New Roman"/>
          <w:sz w:val="20"/>
          <w:szCs w:val="20"/>
        </w:rPr>
        <w:t xml:space="preserve"> messages while watching YouTube videos (</w:t>
      </w:r>
      <w:proofErr w:type="spellStart"/>
      <w:r w:rsidRPr="002A7857">
        <w:rPr>
          <w:rFonts w:ascii="Times New Roman" w:hAnsi="Times New Roman" w:cs="Times New Roman"/>
          <w:sz w:val="20"/>
          <w:szCs w:val="20"/>
        </w:rPr>
        <w:t>Nass</w:t>
      </w:r>
      <w:proofErr w:type="spellEnd"/>
      <w:r w:rsidRPr="002A7857">
        <w:rPr>
          <w:rFonts w:ascii="Times New Roman" w:hAnsi="Times New Roman" w:cs="Times New Roman"/>
          <w:sz w:val="20"/>
          <w:szCs w:val="20"/>
        </w:rPr>
        <w:t>, 2013). Technology usage remains constant for a significant portion of teenagers, as 44% indicate that they never completely "disconnect" (</w:t>
      </w:r>
      <w:proofErr w:type="spellStart"/>
      <w:r w:rsidRPr="002A7857">
        <w:rPr>
          <w:rFonts w:ascii="Times New Roman" w:hAnsi="Times New Roman" w:cs="Times New Roman"/>
          <w:sz w:val="20"/>
          <w:szCs w:val="20"/>
        </w:rPr>
        <w:t>Ipsos</w:t>
      </w:r>
      <w:proofErr w:type="spellEnd"/>
      <w:r w:rsidRPr="002A7857">
        <w:rPr>
          <w:rFonts w:ascii="Times New Roman" w:hAnsi="Times New Roman" w:cs="Times New Roman"/>
          <w:sz w:val="20"/>
          <w:szCs w:val="20"/>
        </w:rPr>
        <w:t xml:space="preserve"> </w:t>
      </w:r>
      <w:proofErr w:type="spellStart"/>
      <w:r w:rsidRPr="002A7857">
        <w:rPr>
          <w:rFonts w:ascii="Times New Roman" w:hAnsi="Times New Roman" w:cs="Times New Roman"/>
          <w:sz w:val="20"/>
          <w:szCs w:val="20"/>
        </w:rPr>
        <w:t>MediaCT</w:t>
      </w:r>
      <w:proofErr w:type="spellEnd"/>
      <w:r w:rsidRPr="002A7857">
        <w:rPr>
          <w:rFonts w:ascii="Times New Roman" w:hAnsi="Times New Roman" w:cs="Times New Roman"/>
          <w:sz w:val="20"/>
          <w:szCs w:val="20"/>
        </w:rPr>
        <w:t xml:space="preserve"> &amp; </w:t>
      </w:r>
      <w:proofErr w:type="spellStart"/>
      <w:r w:rsidRPr="002A7857">
        <w:rPr>
          <w:rFonts w:ascii="Times New Roman" w:hAnsi="Times New Roman" w:cs="Times New Roman"/>
          <w:sz w:val="20"/>
          <w:szCs w:val="20"/>
        </w:rPr>
        <w:t>Wikia</w:t>
      </w:r>
      <w:proofErr w:type="spellEnd"/>
      <w:r w:rsidRPr="002A7857">
        <w:rPr>
          <w:rFonts w:ascii="Times New Roman" w:hAnsi="Times New Roman" w:cs="Times New Roman"/>
          <w:sz w:val="20"/>
          <w:szCs w:val="20"/>
        </w:rPr>
        <w:t>, 2013).</w:t>
      </w:r>
    </w:p>
    <w:p w:rsidR="0029682D" w:rsidRPr="002A7857" w:rsidRDefault="0029682D"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Nevertheless, it's not solely the digital natives who find themselves heavily reliant on technology. "Digital immigrants," referring to adults who embraced technology as it became accessible (</w:t>
      </w:r>
      <w:proofErr w:type="spellStart"/>
      <w:r w:rsidRPr="002A7857">
        <w:rPr>
          <w:rFonts w:ascii="Times New Roman" w:hAnsi="Times New Roman" w:cs="Times New Roman"/>
          <w:sz w:val="20"/>
          <w:szCs w:val="20"/>
        </w:rPr>
        <w:t>Prensky</w:t>
      </w:r>
      <w:proofErr w:type="spellEnd"/>
      <w:r w:rsidRPr="002A7857">
        <w:rPr>
          <w:rFonts w:ascii="Times New Roman" w:hAnsi="Times New Roman" w:cs="Times New Roman"/>
          <w:sz w:val="20"/>
          <w:szCs w:val="20"/>
        </w:rPr>
        <w:t>, 2001), are also progressively at ease with and dependent on technology. A substantial 64% of American adults have direct access to the Internet, email, and social media through their smartphones (Smith, 2015), and they enthusiastically embrace this accessibility. A study by Nokia revealed that the average American smartphone user checks their phone every six and a half minutes, potentially up to 150 times a day (Spencer, 2013).</w:t>
      </w:r>
    </w:p>
    <w:p w:rsidR="0029682D" w:rsidRPr="002A7857" w:rsidRDefault="0029682D"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This mounting dependence on technology has spurred significant transformations in our lifestyle. Communication is nearly constant, and our everyday encounters are swiftly shared with friends and followers in real-time through social media. The digital domain has fundamentally altered how we interact and form connections with others, fundamentally reshaping our daily encounters.</w:t>
      </w:r>
    </w:p>
    <w:p w:rsidR="000A2210" w:rsidRPr="002A7857" w:rsidRDefault="00A7652C" w:rsidP="002A7857">
      <w:pPr>
        <w:spacing w:line="240" w:lineRule="auto"/>
        <w:jc w:val="center"/>
        <w:rPr>
          <w:rFonts w:ascii="Times New Roman" w:hAnsi="Times New Roman" w:cs="Times New Roman"/>
          <w:b/>
          <w:sz w:val="20"/>
          <w:szCs w:val="20"/>
        </w:rPr>
      </w:pPr>
      <w:r w:rsidRPr="002A7857">
        <w:rPr>
          <w:rFonts w:ascii="Times New Roman" w:hAnsi="Times New Roman" w:cs="Times New Roman"/>
          <w:b/>
          <w:sz w:val="20"/>
          <w:szCs w:val="20"/>
        </w:rPr>
        <w:t xml:space="preserve">V. </w:t>
      </w:r>
      <w:r w:rsidR="00F81181" w:rsidRPr="002A7857">
        <w:rPr>
          <w:rFonts w:ascii="Times New Roman" w:hAnsi="Times New Roman" w:cs="Times New Roman"/>
          <w:b/>
          <w:sz w:val="20"/>
          <w:szCs w:val="20"/>
        </w:rPr>
        <w:t>Role i</w:t>
      </w:r>
      <w:r w:rsidR="000A2210" w:rsidRPr="002A7857">
        <w:rPr>
          <w:rFonts w:ascii="Times New Roman" w:hAnsi="Times New Roman" w:cs="Times New Roman"/>
          <w:b/>
          <w:sz w:val="20"/>
          <w:szCs w:val="20"/>
        </w:rPr>
        <w:t>n Developing Effective Management Capabilities</w:t>
      </w:r>
    </w:p>
    <w:p w:rsidR="000A2210" w:rsidRPr="002A7857" w:rsidRDefault="000A2210"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Lifelong learning plays a crucial role in developing effective management capabilities for the future. Here are some key aspects of how lifelong learning contributes to managerial development:</w:t>
      </w:r>
    </w:p>
    <w:p w:rsidR="000A2210" w:rsidRPr="002A7857" w:rsidRDefault="000A2210" w:rsidP="002A7857">
      <w:pPr>
        <w:pStyle w:val="ListParagraph"/>
        <w:numPr>
          <w:ilvl w:val="0"/>
          <w:numId w:val="7"/>
        </w:num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Continuous skill development: Effective management requires a diverse set of skills, including leadership, communication, problem-solving, decision-making, and strategic thinking. Lifelong learning enables managers to continuously develop and refine these skills, staying updated with the latest management techniques and best practices. Through ongoing learning, managers can adapt to new business trends, technologies, and industry changes, ensuring they remain effective in their roles.</w:t>
      </w:r>
    </w:p>
    <w:p w:rsidR="000A2210" w:rsidRPr="002A7857" w:rsidRDefault="000A2210" w:rsidP="002A7857">
      <w:pPr>
        <w:pStyle w:val="ListParagraph"/>
        <w:numPr>
          <w:ilvl w:val="0"/>
          <w:numId w:val="7"/>
        </w:num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Adaptability and agility: The business landscape is dynamic and constantly evolving. Lifelong learning helps managers develop adaptability and agility to navigate change effectively. By staying curious and open to new ideas, managers can identify emerging trends, embrace innovation, and make informed decisions in rapidly changing environments. Lifelong learning fosters a growth mindset, allowing managers to see challenges as opportunities for learning and improvement.</w:t>
      </w:r>
    </w:p>
    <w:p w:rsidR="000A2210" w:rsidRPr="002A7857" w:rsidRDefault="000A2210" w:rsidP="002A7857">
      <w:pPr>
        <w:pStyle w:val="ListParagraph"/>
        <w:numPr>
          <w:ilvl w:val="0"/>
          <w:numId w:val="7"/>
        </w:num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Expanding knowledge base: Lifelong learning broadens managers' knowledge base beyond their core areas of expertise. It enables them to have a holistic understanding of various business functions, industry trends, global markets, and emerging technologies. This broader perspective helps managers make informed decisions, collaborate effectively with cross-functional teams, and identify opportunities for organizational growth.</w:t>
      </w:r>
    </w:p>
    <w:p w:rsidR="000A2210" w:rsidRPr="002A7857" w:rsidRDefault="000A2210" w:rsidP="002A7857">
      <w:pPr>
        <w:pStyle w:val="ListParagraph"/>
        <w:numPr>
          <w:ilvl w:val="0"/>
          <w:numId w:val="7"/>
        </w:num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 xml:space="preserve">Developing a global mindset: In today's interconnected world, managers often work in multicultural and international environments. Lifelong learning facilitates the development of a global mindset by exposing managers to diverse perspectives, cultural differences, and global business practices. It helps them </w:t>
      </w:r>
      <w:r w:rsidRPr="002A7857">
        <w:rPr>
          <w:rFonts w:ascii="Times New Roman" w:hAnsi="Times New Roman" w:cs="Times New Roman"/>
          <w:sz w:val="20"/>
          <w:szCs w:val="20"/>
        </w:rPr>
        <w:lastRenderedPageBreak/>
        <w:t>understand and navigate the complexities of conducting business across borders, leading multicultural teams, and adapting management approaches to different cultural contexts.</w:t>
      </w:r>
    </w:p>
    <w:p w:rsidR="000A2210" w:rsidRPr="002A7857" w:rsidRDefault="000A2210" w:rsidP="002A7857">
      <w:pPr>
        <w:pStyle w:val="ListParagraph"/>
        <w:numPr>
          <w:ilvl w:val="0"/>
          <w:numId w:val="7"/>
        </w:num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Building a network and collaboration: Lifelong learning provides opportunities for managers to build a network of professionals in their industry or field of interest. Collaborative learning, networking events, conferences, and online communities enable managers to exchange ideas, share experiences, and learn from others' expertise. This network can be a valuable source of knowledge, support, and mentorship throughout their careers.</w:t>
      </w:r>
    </w:p>
    <w:p w:rsidR="000A2210" w:rsidRPr="002A7857" w:rsidRDefault="000A2210" w:rsidP="002A7857">
      <w:pPr>
        <w:pStyle w:val="ListParagraph"/>
        <w:numPr>
          <w:ilvl w:val="0"/>
          <w:numId w:val="7"/>
        </w:num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Ethical and responsible leadership: Lifelong learning promotes ethical and responsible leadership. It encourages managers to stay informed about social and environmental issues, corporate governance, and ethical business practices. By continuously learning and reflecting on their leadership approach, managers can develop a strong sense of ethics, integrity, and corporate social responsibility, fostering a positive organizational culture.</w:t>
      </w:r>
    </w:p>
    <w:p w:rsidR="000A2210" w:rsidRPr="002A7857" w:rsidRDefault="000A2210" w:rsidP="002A7857">
      <w:pPr>
        <w:pStyle w:val="ListParagraph"/>
        <w:numPr>
          <w:ilvl w:val="0"/>
          <w:numId w:val="7"/>
        </w:num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Embracing innovation and technology: Lifelong learning helps managers keep pace with technological advancements and embrace innovation. It enables them to understand the potential impact of emerging technologies on their industry and organization. By acquiring digital literacy skills and staying updated on technology trends, managers can effectively leverage technology to drive organizational growth, improve processes, and enhance customer experiences.</w:t>
      </w:r>
    </w:p>
    <w:p w:rsidR="000A2210" w:rsidRPr="002A7857" w:rsidRDefault="000A2210" w:rsidP="002A7857">
      <w:pPr>
        <w:spacing w:line="240" w:lineRule="auto"/>
        <w:jc w:val="both"/>
        <w:rPr>
          <w:rFonts w:ascii="Times New Roman" w:hAnsi="Times New Roman" w:cs="Times New Roman"/>
          <w:sz w:val="20"/>
          <w:szCs w:val="20"/>
        </w:rPr>
      </w:pPr>
      <w:r w:rsidRPr="002A7857">
        <w:rPr>
          <w:rFonts w:ascii="Times New Roman" w:hAnsi="Times New Roman" w:cs="Times New Roman"/>
          <w:sz w:val="20"/>
          <w:szCs w:val="20"/>
        </w:rPr>
        <w:t>In summary, lifelong learning empowers managers to develop and enhance their management capabilities for the future. It enables them to continuously acquire new skills, adapt to change, expand their knowledge base, develop a global mindset, build networks, embrace ethical leadership, and stay innovative in a rapidly evolving business landscape. Lifelong learning is essential for managers to navigate complexities, lead effectively, and drive organizational success in the long term.</w:t>
      </w:r>
      <w:r w:rsidR="00A7652C" w:rsidRPr="002A7857">
        <w:rPr>
          <w:rFonts w:ascii="Times New Roman" w:hAnsi="Times New Roman" w:cs="Times New Roman"/>
          <w:sz w:val="20"/>
          <w:szCs w:val="20"/>
        </w:rPr>
        <w:t xml:space="preserve"> This chapter aims to contribute to the understanding of the skills and competencies required for managers to thrive in the future. The findings can provide insights for managers, organizations, and policymakers to develop effective management development programs and strategies that prioritize lifelong learning, adaptability, and technological literacy. </w:t>
      </w:r>
    </w:p>
    <w:p w:rsidR="003511AC" w:rsidRPr="002A7857" w:rsidRDefault="0029682D" w:rsidP="002A7857">
      <w:pPr>
        <w:pStyle w:val="Heading5"/>
        <w:spacing w:before="0" w:after="0"/>
        <w:rPr>
          <w:rFonts w:ascii="Times New Roman" w:eastAsia="MS Mincho" w:hAnsi="Times New Roman"/>
          <w:sz w:val="20"/>
          <w:szCs w:val="20"/>
        </w:rPr>
      </w:pPr>
      <w:r w:rsidRPr="002A7857">
        <w:rPr>
          <w:rFonts w:ascii="Times New Roman" w:eastAsia="MS Mincho" w:hAnsi="Times New Roman"/>
          <w:i w:val="0"/>
          <w:sz w:val="20"/>
          <w:szCs w:val="20"/>
        </w:rPr>
        <w:t>VI. References</w:t>
      </w:r>
    </w:p>
    <w:p w:rsidR="003511AC" w:rsidRPr="002A7857" w:rsidRDefault="003511AC" w:rsidP="002A7857">
      <w:pPr>
        <w:spacing w:line="240" w:lineRule="auto"/>
        <w:jc w:val="both"/>
        <w:rPr>
          <w:rFonts w:ascii="Times New Roman" w:eastAsia="MS Mincho" w:hAnsi="Times New Roman" w:cs="Times New Roman"/>
          <w:sz w:val="20"/>
          <w:szCs w:val="20"/>
        </w:rPr>
      </w:pPr>
    </w:p>
    <w:p w:rsidR="00E96859" w:rsidRPr="002A7857" w:rsidRDefault="00E96859" w:rsidP="002A7857">
      <w:pPr>
        <w:pStyle w:val="references"/>
        <w:spacing w:line="240" w:lineRule="auto"/>
        <w:rPr>
          <w:sz w:val="20"/>
          <w:szCs w:val="20"/>
        </w:rPr>
      </w:pPr>
      <w:r w:rsidRPr="002A7857">
        <w:rPr>
          <w:sz w:val="20"/>
          <w:szCs w:val="20"/>
        </w:rPr>
        <w:t>U.S. Department of Labor. (1989, November). Work-based learning: Training America's</w:t>
      </w:r>
      <w:r w:rsidR="00A7652C" w:rsidRPr="002A7857">
        <w:rPr>
          <w:sz w:val="20"/>
          <w:szCs w:val="20"/>
        </w:rPr>
        <w:t xml:space="preserve"> </w:t>
      </w:r>
      <w:r w:rsidRPr="002A7857">
        <w:rPr>
          <w:sz w:val="20"/>
          <w:szCs w:val="20"/>
        </w:rPr>
        <w:t>workers. Washington, DC: Author.</w:t>
      </w:r>
    </w:p>
    <w:p w:rsidR="00E96859" w:rsidRPr="002A7857" w:rsidRDefault="00E96859" w:rsidP="002A7857">
      <w:pPr>
        <w:pStyle w:val="references"/>
        <w:spacing w:line="240" w:lineRule="auto"/>
        <w:rPr>
          <w:sz w:val="20"/>
          <w:szCs w:val="20"/>
        </w:rPr>
      </w:pPr>
      <w:r w:rsidRPr="002A7857">
        <w:rPr>
          <w:sz w:val="20"/>
          <w:szCs w:val="20"/>
        </w:rPr>
        <w:t>U.S. Department of Labor, U.S. Department of Education, and U.S. Department of</w:t>
      </w:r>
      <w:r w:rsidR="00A7652C" w:rsidRPr="002A7857">
        <w:rPr>
          <w:sz w:val="20"/>
          <w:szCs w:val="20"/>
        </w:rPr>
        <w:t xml:space="preserve"> </w:t>
      </w:r>
      <w:r w:rsidRPr="002A7857">
        <w:rPr>
          <w:sz w:val="20"/>
          <w:szCs w:val="20"/>
        </w:rPr>
        <w:t>Commerce. (1988, July). Building a quality workforce. Washington, DC: Author.</w:t>
      </w:r>
    </w:p>
    <w:p w:rsidR="00E96859" w:rsidRPr="002A7857" w:rsidRDefault="00E96859" w:rsidP="002A7857">
      <w:pPr>
        <w:pStyle w:val="references"/>
        <w:spacing w:line="240" w:lineRule="auto"/>
        <w:rPr>
          <w:sz w:val="20"/>
          <w:szCs w:val="20"/>
        </w:rPr>
      </w:pPr>
      <w:r w:rsidRPr="002A7857">
        <w:rPr>
          <w:sz w:val="20"/>
          <w:szCs w:val="20"/>
        </w:rPr>
        <w:t>Hudson Institute. (1987). Workforce 2000. Indianapolis, IN: Author</w:t>
      </w:r>
    </w:p>
    <w:p w:rsidR="00E96859" w:rsidRPr="002A7857" w:rsidRDefault="00E96859" w:rsidP="002A7857">
      <w:pPr>
        <w:pStyle w:val="references"/>
        <w:spacing w:line="240" w:lineRule="auto"/>
        <w:rPr>
          <w:sz w:val="20"/>
          <w:szCs w:val="20"/>
        </w:rPr>
      </w:pPr>
      <w:r w:rsidRPr="002A7857">
        <w:rPr>
          <w:sz w:val="20"/>
          <w:szCs w:val="20"/>
        </w:rPr>
        <w:t>Carnevale, A. P. (1988). Workplace basics: The skills employers want. Alexandria, VA:American Society for Training and Development.</w:t>
      </w:r>
    </w:p>
    <w:p w:rsidR="00FA1001" w:rsidRPr="002A7857" w:rsidRDefault="00FA1001" w:rsidP="002A7857">
      <w:pPr>
        <w:pStyle w:val="references"/>
        <w:spacing w:line="240" w:lineRule="auto"/>
        <w:rPr>
          <w:sz w:val="20"/>
          <w:szCs w:val="20"/>
        </w:rPr>
      </w:pPr>
      <w:r w:rsidRPr="002A7857">
        <w:rPr>
          <w:sz w:val="20"/>
          <w:szCs w:val="20"/>
        </w:rPr>
        <w:t>Halpern, C.F. (1989), “Cognitive Factors Influencing Decision Making in Highly Reliable Organization,” Industrial CrisisQuarterly, 3 (2), 143–58.</w:t>
      </w:r>
    </w:p>
    <w:p w:rsidR="00FA1001" w:rsidRPr="002A7857" w:rsidRDefault="00FA1001" w:rsidP="002A7857">
      <w:pPr>
        <w:pStyle w:val="references"/>
        <w:spacing w:line="240" w:lineRule="auto"/>
        <w:rPr>
          <w:sz w:val="20"/>
          <w:szCs w:val="20"/>
        </w:rPr>
      </w:pPr>
      <w:r w:rsidRPr="002A7857">
        <w:rPr>
          <w:sz w:val="20"/>
          <w:szCs w:val="20"/>
        </w:rPr>
        <w:t>Weick, Karl E. (1988), “Enacted Sensemaking in Crisis Situations,”Journal of Management Studies, 25 (July), 305–17.</w:t>
      </w:r>
    </w:p>
    <w:p w:rsidR="00FA1001" w:rsidRPr="002A7857" w:rsidRDefault="00FA1001" w:rsidP="002A7857">
      <w:pPr>
        <w:pStyle w:val="references"/>
        <w:spacing w:line="240" w:lineRule="auto"/>
        <w:rPr>
          <w:sz w:val="20"/>
          <w:szCs w:val="20"/>
        </w:rPr>
      </w:pPr>
      <w:r w:rsidRPr="002A7857">
        <w:rPr>
          <w:sz w:val="20"/>
          <w:szCs w:val="20"/>
        </w:rPr>
        <w:t>Pauchant, Thierry and R. Douville (1994), “Recent Research in Crisis Management: A Study of 24 Authors’ Publications from 1986 to 1991,” Industrial and Environmental Crisis Quarterly,7 (1), 43–61.</w:t>
      </w:r>
    </w:p>
    <w:p w:rsidR="00FA1001" w:rsidRPr="002A7857" w:rsidRDefault="00FA1001" w:rsidP="002A7857">
      <w:pPr>
        <w:pStyle w:val="references"/>
        <w:spacing w:line="240" w:lineRule="auto"/>
        <w:rPr>
          <w:sz w:val="20"/>
          <w:szCs w:val="20"/>
        </w:rPr>
      </w:pPr>
      <w:r w:rsidRPr="002A7857">
        <w:rPr>
          <w:sz w:val="20"/>
          <w:szCs w:val="20"/>
        </w:rPr>
        <w:t>Champion, David (1999), “The Asian Crisis: The Price of Undermanagement,”Harvard Bus</w:t>
      </w:r>
      <w:r w:rsidR="00A7652C" w:rsidRPr="002A7857">
        <w:rPr>
          <w:sz w:val="20"/>
          <w:szCs w:val="20"/>
        </w:rPr>
        <w:t xml:space="preserve">iness Review, 77 (March/April), </w:t>
      </w:r>
      <w:r w:rsidRPr="002A7857">
        <w:rPr>
          <w:sz w:val="20"/>
          <w:szCs w:val="20"/>
        </w:rPr>
        <w:t>14–15.</w:t>
      </w:r>
    </w:p>
    <w:p w:rsidR="00FA1001" w:rsidRPr="002A7857" w:rsidRDefault="00FA1001" w:rsidP="002A7857">
      <w:pPr>
        <w:pStyle w:val="references"/>
        <w:spacing w:line="240" w:lineRule="auto"/>
        <w:rPr>
          <w:sz w:val="20"/>
          <w:szCs w:val="20"/>
        </w:rPr>
      </w:pPr>
      <w:r w:rsidRPr="002A7857">
        <w:rPr>
          <w:sz w:val="20"/>
          <w:szCs w:val="20"/>
        </w:rPr>
        <w:t>Goad, G. Pierre (1999), “Playing by New Rules,” Far Eastern EconomicReview, 162 (May), 38–40.</w:t>
      </w:r>
    </w:p>
    <w:p w:rsidR="00FA1001" w:rsidRPr="002A7857" w:rsidRDefault="00FA1001" w:rsidP="002A7857">
      <w:pPr>
        <w:pStyle w:val="references"/>
        <w:spacing w:line="240" w:lineRule="auto"/>
        <w:rPr>
          <w:sz w:val="20"/>
          <w:szCs w:val="20"/>
        </w:rPr>
      </w:pPr>
      <w:r w:rsidRPr="002A7857">
        <w:rPr>
          <w:sz w:val="20"/>
          <w:szCs w:val="20"/>
        </w:rPr>
        <w:t>Dickson, Peter R. (1992), “Toward a General Theory of CompetitiveRationality,” Journal of Marketing, 56 (January), 69–83.</w:t>
      </w:r>
    </w:p>
    <w:p w:rsidR="00FA1001" w:rsidRPr="002A7857" w:rsidRDefault="00FA1001" w:rsidP="002A7857">
      <w:pPr>
        <w:pStyle w:val="references"/>
        <w:spacing w:line="240" w:lineRule="auto"/>
        <w:rPr>
          <w:sz w:val="20"/>
          <w:szCs w:val="20"/>
        </w:rPr>
      </w:pPr>
      <w:r w:rsidRPr="002A7857">
        <w:rPr>
          <w:sz w:val="20"/>
          <w:szCs w:val="20"/>
        </w:rPr>
        <w:t>Hunt, Shelby D. and Robert M. Morgan (1995), “The ComparativeAdvantage Theory of Competition,” Journal of Marketing, 59(April), 1–15.</w:t>
      </w:r>
    </w:p>
    <w:p w:rsidR="00FA1001" w:rsidRPr="002A7857" w:rsidRDefault="00FA1001" w:rsidP="002A7857">
      <w:pPr>
        <w:pStyle w:val="references"/>
        <w:spacing w:line="240" w:lineRule="auto"/>
        <w:rPr>
          <w:sz w:val="20"/>
          <w:szCs w:val="20"/>
        </w:rPr>
      </w:pPr>
      <w:r w:rsidRPr="002A7857">
        <w:rPr>
          <w:sz w:val="20"/>
          <w:szCs w:val="20"/>
        </w:rPr>
        <w:t>Barney, Jay B. (1991), “Firm Resources and Sustained CompetitiveAdvantage,” Journal of Management, 17 (1), 99–120.</w:t>
      </w:r>
    </w:p>
    <w:p w:rsidR="00FA1001" w:rsidRPr="002A7857" w:rsidRDefault="00FA1001" w:rsidP="002A7857">
      <w:pPr>
        <w:pStyle w:val="references"/>
        <w:spacing w:line="240" w:lineRule="auto"/>
        <w:rPr>
          <w:sz w:val="20"/>
          <w:szCs w:val="20"/>
        </w:rPr>
      </w:pPr>
      <w:r w:rsidRPr="002A7857">
        <w:rPr>
          <w:sz w:val="20"/>
          <w:szCs w:val="20"/>
        </w:rPr>
        <w:lastRenderedPageBreak/>
        <w:t>Capron, Laurence and John Hulland (1999), “Redeployment ofBrands, Sales Forces, a</w:t>
      </w:r>
      <w:r w:rsidR="00A7652C" w:rsidRPr="002A7857">
        <w:rPr>
          <w:sz w:val="20"/>
          <w:szCs w:val="20"/>
        </w:rPr>
        <w:t xml:space="preserve">nd General Marketing Management </w:t>
      </w:r>
      <w:r w:rsidRPr="002A7857">
        <w:rPr>
          <w:sz w:val="20"/>
          <w:szCs w:val="20"/>
        </w:rPr>
        <w:t>Expertise Following Horizontal Acquisitions: A Resource-Based View,” Journal of Marketing, 63 (April), 41–54.</w:t>
      </w:r>
    </w:p>
    <w:p w:rsidR="00FA1001" w:rsidRPr="002A7857" w:rsidRDefault="00FA1001" w:rsidP="002A7857">
      <w:pPr>
        <w:pStyle w:val="references"/>
        <w:spacing w:line="240" w:lineRule="auto"/>
        <w:rPr>
          <w:sz w:val="20"/>
          <w:szCs w:val="20"/>
        </w:rPr>
      </w:pPr>
      <w:r w:rsidRPr="002A7857">
        <w:rPr>
          <w:sz w:val="20"/>
          <w:szCs w:val="20"/>
        </w:rPr>
        <w:t>Jaworski, Bernard J. and Ajay K. Kohli (1993), “Market Orientation:Antecedents and Consequences,” Journal of Marketing, 57(July), 53–70.</w:t>
      </w:r>
    </w:p>
    <w:p w:rsidR="00FA1001" w:rsidRPr="002A7857" w:rsidRDefault="00FA1001" w:rsidP="002A7857">
      <w:pPr>
        <w:pStyle w:val="references"/>
        <w:spacing w:line="240" w:lineRule="auto"/>
        <w:rPr>
          <w:sz w:val="20"/>
          <w:szCs w:val="20"/>
        </w:rPr>
      </w:pPr>
      <w:r w:rsidRPr="002A7857">
        <w:rPr>
          <w:sz w:val="20"/>
          <w:szCs w:val="20"/>
        </w:rPr>
        <w:t>Kohli, Ajay K. and Bernard J. Jaworski (1990) “Market Orientation:The Construct, Research Propositions, and Managerial Implications,” Journal of Marketing, 54 (April), 1–18.</w:t>
      </w:r>
    </w:p>
    <w:p w:rsidR="00FA1001" w:rsidRPr="002A7857" w:rsidRDefault="00FA1001" w:rsidP="002A7857">
      <w:pPr>
        <w:pStyle w:val="references"/>
        <w:spacing w:line="240" w:lineRule="auto"/>
        <w:rPr>
          <w:sz w:val="20"/>
          <w:szCs w:val="20"/>
        </w:rPr>
      </w:pPr>
      <w:r w:rsidRPr="002A7857">
        <w:rPr>
          <w:sz w:val="20"/>
          <w:szCs w:val="20"/>
        </w:rPr>
        <w:t>Slater, Stanley F. and John C. Narver (1994), “Does CompetitiveEnvironment Moderate the</w:t>
      </w:r>
      <w:r w:rsidR="00A7652C" w:rsidRPr="002A7857">
        <w:rPr>
          <w:sz w:val="20"/>
          <w:szCs w:val="20"/>
        </w:rPr>
        <w:t xml:space="preserve"> Market Orientation–Performance </w:t>
      </w:r>
      <w:r w:rsidRPr="002A7857">
        <w:rPr>
          <w:sz w:val="20"/>
          <w:szCs w:val="20"/>
        </w:rPr>
        <w:t>Relationship?” Journal of Marketing, 58 (January), 46–55.</w:t>
      </w:r>
    </w:p>
    <w:p w:rsidR="00FA1001" w:rsidRPr="002A7857" w:rsidRDefault="00FA1001" w:rsidP="002A7857">
      <w:pPr>
        <w:pStyle w:val="references"/>
        <w:spacing w:line="240" w:lineRule="auto"/>
        <w:rPr>
          <w:sz w:val="20"/>
          <w:szCs w:val="20"/>
        </w:rPr>
      </w:pPr>
      <w:r w:rsidRPr="002A7857">
        <w:rPr>
          <w:sz w:val="20"/>
          <w:szCs w:val="20"/>
        </w:rPr>
        <w:t>Narver, John C. and Stanley F. Slater (1990), “The Effect of MarketOrientation on Business Profitability,” Journal of Marketing,54 (October), 20–35.</w:t>
      </w:r>
    </w:p>
    <w:p w:rsidR="00A7652C" w:rsidRPr="002A7857" w:rsidRDefault="00A7652C" w:rsidP="002A7857">
      <w:pPr>
        <w:pStyle w:val="references"/>
        <w:spacing w:line="240" w:lineRule="auto"/>
        <w:rPr>
          <w:sz w:val="20"/>
          <w:szCs w:val="20"/>
        </w:rPr>
      </w:pPr>
      <w:r w:rsidRPr="002A7857">
        <w:rPr>
          <w:sz w:val="20"/>
          <w:szCs w:val="20"/>
        </w:rPr>
        <w:t>Prensky, M. 2001. Digital natives, digital immigrants. Onthe Horizon, 9(5): 1–6.</w:t>
      </w:r>
    </w:p>
    <w:p w:rsidR="00A7652C" w:rsidRPr="002A7857" w:rsidRDefault="00A7652C" w:rsidP="002A7857">
      <w:pPr>
        <w:pStyle w:val="references"/>
        <w:spacing w:line="240" w:lineRule="auto"/>
        <w:rPr>
          <w:sz w:val="20"/>
          <w:szCs w:val="20"/>
        </w:rPr>
      </w:pPr>
      <w:r w:rsidRPr="002A7857">
        <w:rPr>
          <w:sz w:val="20"/>
          <w:szCs w:val="20"/>
        </w:rPr>
        <w:t>Internet World Stats. 2015. World internet users—statistics. Available at http://www.internetworldstats.com/stats.htm. Accessed March 24, 2016.</w:t>
      </w:r>
    </w:p>
    <w:p w:rsidR="00A7652C" w:rsidRPr="002A7857" w:rsidRDefault="00A7652C" w:rsidP="002A7857">
      <w:pPr>
        <w:pStyle w:val="references"/>
        <w:spacing w:line="240" w:lineRule="auto"/>
        <w:rPr>
          <w:sz w:val="20"/>
          <w:szCs w:val="20"/>
        </w:rPr>
      </w:pPr>
      <w:r w:rsidRPr="002A7857">
        <w:rPr>
          <w:sz w:val="20"/>
          <w:szCs w:val="20"/>
        </w:rPr>
        <w:t>Ipsos MediaCT &amp; Wikia. 2013, 18 March. Generation Z: Alook at the technology and media habits of today’s teens. Available at http://www.wikia.com/Generation_Z:_A_Look_at_the_Technology_and_Media_Habits_of_Today%E2%80%99s_Teens. AccessedMarch 24, 2016.</w:t>
      </w:r>
    </w:p>
    <w:p w:rsidR="00A7652C" w:rsidRPr="002A7857" w:rsidRDefault="00A7652C" w:rsidP="002A7857">
      <w:pPr>
        <w:pStyle w:val="references"/>
        <w:spacing w:line="240" w:lineRule="auto"/>
        <w:rPr>
          <w:sz w:val="20"/>
          <w:szCs w:val="20"/>
        </w:rPr>
      </w:pPr>
      <w:r w:rsidRPr="002A7857">
        <w:rPr>
          <w:sz w:val="20"/>
          <w:szCs w:val="20"/>
        </w:rPr>
        <w:t>Nass,C. (Interviewee) 2013,10May.Themythofmultitasking[Interview transcript]. Talk of the Nation, National</w:t>
      </w:r>
    </w:p>
    <w:p w:rsidR="00A7652C" w:rsidRPr="002A7857" w:rsidRDefault="00A7652C" w:rsidP="002A7857">
      <w:pPr>
        <w:pStyle w:val="references"/>
        <w:spacing w:line="240" w:lineRule="auto"/>
        <w:rPr>
          <w:sz w:val="20"/>
          <w:szCs w:val="20"/>
        </w:rPr>
      </w:pPr>
      <w:r w:rsidRPr="002A7857">
        <w:rPr>
          <w:sz w:val="20"/>
          <w:szCs w:val="20"/>
        </w:rPr>
        <w:t>Public Radio. Available at http://www.npr.org/2013/05/10/182861382/the-myth-of-multitasking.Accessed March 24, 2016.</w:t>
      </w:r>
    </w:p>
    <w:p w:rsidR="00A7652C" w:rsidRPr="002A7857" w:rsidRDefault="00A7652C" w:rsidP="002A7857">
      <w:pPr>
        <w:pStyle w:val="references"/>
        <w:spacing w:line="240" w:lineRule="auto"/>
        <w:rPr>
          <w:sz w:val="20"/>
          <w:szCs w:val="20"/>
        </w:rPr>
      </w:pPr>
      <w:r w:rsidRPr="002A7857">
        <w:rPr>
          <w:sz w:val="20"/>
          <w:szCs w:val="20"/>
        </w:rPr>
        <w:t>Spencer, B. 2013, 10 February. Mobile users can’t leavetheir phone alone for six minutes and check it up to</w:t>
      </w:r>
    </w:p>
    <w:p w:rsidR="00A7652C" w:rsidRPr="002A7857" w:rsidRDefault="00A7652C" w:rsidP="002A7857">
      <w:pPr>
        <w:pStyle w:val="references"/>
        <w:spacing w:line="240" w:lineRule="auto"/>
        <w:rPr>
          <w:sz w:val="20"/>
          <w:szCs w:val="20"/>
        </w:rPr>
      </w:pPr>
      <w:r w:rsidRPr="002A7857">
        <w:rPr>
          <w:sz w:val="20"/>
          <w:szCs w:val="20"/>
        </w:rPr>
        <w:t>150 times a day. Daily Mail. Available at http://www.dailymail.co.uk/news/article-2276752/Mobile-usersleave-phone-minutes-check-150-times-day.html.Accessed March 24, 2016.</w:t>
      </w:r>
    </w:p>
    <w:p w:rsidR="00A7652C" w:rsidRPr="002A7857" w:rsidRDefault="00A7652C" w:rsidP="002A7857">
      <w:pPr>
        <w:pStyle w:val="references"/>
        <w:spacing w:line="240" w:lineRule="auto"/>
        <w:rPr>
          <w:sz w:val="20"/>
          <w:szCs w:val="20"/>
        </w:rPr>
      </w:pPr>
      <w:r w:rsidRPr="002A7857">
        <w:rPr>
          <w:sz w:val="20"/>
          <w:szCs w:val="20"/>
        </w:rPr>
        <w:t xml:space="preserve">Smith, A. 2015, April 1. The smartphone difference [Surveyreport]. Available at </w:t>
      </w:r>
      <w:hyperlink r:id="rId10" w:history="1">
        <w:r w:rsidRPr="002A7857">
          <w:rPr>
            <w:rStyle w:val="Hyperlink"/>
            <w:sz w:val="20"/>
            <w:szCs w:val="20"/>
          </w:rPr>
          <w:t>http://www.pewinternet.org/</w:t>
        </w:r>
      </w:hyperlink>
      <w:r w:rsidRPr="002A7857">
        <w:rPr>
          <w:sz w:val="20"/>
          <w:szCs w:val="20"/>
        </w:rPr>
        <w:t xml:space="preserve"> 2015/04/01/us-smartphone-use-in-2015/. Accessed March24, 2016.</w:t>
      </w:r>
    </w:p>
    <w:p w:rsidR="00A7652C" w:rsidRPr="002A7857" w:rsidRDefault="00A7652C" w:rsidP="002A7857">
      <w:pPr>
        <w:pStyle w:val="references"/>
        <w:spacing w:line="240" w:lineRule="auto"/>
        <w:rPr>
          <w:sz w:val="20"/>
          <w:szCs w:val="20"/>
        </w:rPr>
      </w:pPr>
      <w:r w:rsidRPr="002A7857">
        <w:rPr>
          <w:sz w:val="20"/>
          <w:szCs w:val="20"/>
        </w:rPr>
        <w:t>Dodgson, M., Gann, D. M., Wladwsky-Berger, I., Sultan, N.,&amp; George, G. 2015. Managing digital money. Academy of Management Journal, 58: 325–333.</w:t>
      </w:r>
    </w:p>
    <w:p w:rsidR="00A7652C" w:rsidRPr="002A7857" w:rsidRDefault="00A7652C" w:rsidP="002A7857">
      <w:pPr>
        <w:pStyle w:val="references"/>
        <w:spacing w:line="240" w:lineRule="auto"/>
        <w:rPr>
          <w:sz w:val="20"/>
          <w:szCs w:val="20"/>
        </w:rPr>
      </w:pPr>
      <w:r w:rsidRPr="002A7857">
        <w:rPr>
          <w:sz w:val="20"/>
          <w:szCs w:val="20"/>
        </w:rPr>
        <w:t>Haas, M. R., Criscuolo, P., &amp; George, G. 2015. Whichproblems to solve? Online knowledge sharing and attention allocation in organizations. Academy of Management Journal, 58: 680–711.</w:t>
      </w:r>
    </w:p>
    <w:p w:rsidR="00E96859" w:rsidRPr="0029682D" w:rsidRDefault="00E96859" w:rsidP="0029682D">
      <w:pPr>
        <w:pStyle w:val="references"/>
        <w:numPr>
          <w:ilvl w:val="0"/>
          <w:numId w:val="0"/>
        </w:numPr>
        <w:spacing w:line="240" w:lineRule="auto"/>
        <w:ind w:left="360"/>
        <w:rPr>
          <w:sz w:val="24"/>
          <w:szCs w:val="24"/>
        </w:rPr>
      </w:pPr>
    </w:p>
    <w:p w:rsidR="003511AC" w:rsidRPr="0029682D" w:rsidRDefault="003511AC" w:rsidP="0029682D">
      <w:pPr>
        <w:spacing w:line="240" w:lineRule="auto"/>
        <w:jc w:val="both"/>
        <w:rPr>
          <w:rFonts w:ascii="Times New Roman" w:eastAsia="MS Mincho" w:hAnsi="Times New Roman" w:cs="Times New Roman"/>
          <w:sz w:val="24"/>
          <w:szCs w:val="24"/>
        </w:rPr>
      </w:pPr>
    </w:p>
    <w:p w:rsidR="003511AC" w:rsidRPr="0029682D" w:rsidRDefault="003511AC" w:rsidP="0029682D">
      <w:pPr>
        <w:spacing w:line="240" w:lineRule="auto"/>
        <w:jc w:val="both"/>
        <w:rPr>
          <w:rFonts w:ascii="Times New Roman" w:eastAsia="MS Mincho" w:hAnsi="Times New Roman" w:cs="Times New Roman"/>
          <w:sz w:val="24"/>
          <w:szCs w:val="24"/>
        </w:rPr>
      </w:pPr>
    </w:p>
    <w:p w:rsidR="003511AC" w:rsidRPr="0029682D" w:rsidRDefault="003511AC" w:rsidP="0029682D">
      <w:pPr>
        <w:spacing w:line="240" w:lineRule="auto"/>
        <w:jc w:val="both"/>
        <w:rPr>
          <w:rFonts w:ascii="Times New Roman" w:eastAsia="MS Mincho" w:hAnsi="Times New Roman" w:cs="Times New Roman"/>
          <w:sz w:val="24"/>
          <w:szCs w:val="24"/>
        </w:rPr>
      </w:pPr>
    </w:p>
    <w:p w:rsidR="003511AC" w:rsidRPr="0029682D" w:rsidRDefault="003511AC" w:rsidP="0029682D">
      <w:pPr>
        <w:tabs>
          <w:tab w:val="left" w:pos="2235"/>
          <w:tab w:val="center" w:pos="4514"/>
        </w:tabs>
        <w:spacing w:line="240" w:lineRule="auto"/>
        <w:jc w:val="both"/>
        <w:rPr>
          <w:rFonts w:ascii="Times New Roman" w:eastAsia="MS Mincho" w:hAnsi="Times New Roman" w:cs="Times New Roman"/>
          <w:sz w:val="24"/>
          <w:szCs w:val="24"/>
        </w:rPr>
      </w:pPr>
      <w:r w:rsidRPr="0029682D">
        <w:rPr>
          <w:rFonts w:ascii="Times New Roman" w:eastAsia="MS Mincho" w:hAnsi="Times New Roman" w:cs="Times New Roman"/>
          <w:sz w:val="24"/>
          <w:szCs w:val="24"/>
        </w:rPr>
        <w:tab/>
      </w:r>
      <w:r w:rsidRPr="0029682D">
        <w:rPr>
          <w:rFonts w:ascii="Times New Roman" w:eastAsia="MS Mincho" w:hAnsi="Times New Roman" w:cs="Times New Roman"/>
          <w:sz w:val="24"/>
          <w:szCs w:val="24"/>
        </w:rPr>
        <w:tab/>
      </w:r>
      <w:r w:rsidRPr="0029682D">
        <w:rPr>
          <w:rFonts w:ascii="Times New Roman" w:eastAsia="MS Mincho" w:hAnsi="Times New Roman" w:cs="Times New Roman"/>
          <w:sz w:val="24"/>
          <w:szCs w:val="24"/>
        </w:rPr>
        <w:tab/>
      </w:r>
    </w:p>
    <w:p w:rsidR="003511AC" w:rsidRPr="0029682D" w:rsidRDefault="003511AC" w:rsidP="0029682D">
      <w:pPr>
        <w:spacing w:line="240" w:lineRule="auto"/>
        <w:jc w:val="both"/>
        <w:rPr>
          <w:rFonts w:ascii="Times New Roman" w:hAnsi="Times New Roman" w:cs="Times New Roman"/>
          <w:b/>
          <w:sz w:val="24"/>
          <w:szCs w:val="24"/>
        </w:rPr>
      </w:pPr>
    </w:p>
    <w:p w:rsidR="003511AC" w:rsidRPr="0029682D" w:rsidRDefault="003511AC" w:rsidP="0029682D">
      <w:pPr>
        <w:spacing w:line="240" w:lineRule="auto"/>
        <w:jc w:val="both"/>
        <w:rPr>
          <w:rFonts w:ascii="Times New Roman" w:hAnsi="Times New Roman" w:cs="Times New Roman"/>
          <w:b/>
          <w:sz w:val="24"/>
          <w:szCs w:val="24"/>
        </w:rPr>
      </w:pPr>
    </w:p>
    <w:p w:rsidR="003511AC" w:rsidRPr="0029682D" w:rsidRDefault="003511AC" w:rsidP="0029682D">
      <w:pPr>
        <w:spacing w:line="240" w:lineRule="auto"/>
        <w:jc w:val="both"/>
        <w:rPr>
          <w:rFonts w:ascii="Times New Roman" w:hAnsi="Times New Roman" w:cs="Times New Roman"/>
          <w:b/>
          <w:sz w:val="24"/>
          <w:szCs w:val="24"/>
        </w:rPr>
      </w:pPr>
    </w:p>
    <w:p w:rsidR="00542EA7" w:rsidRPr="0029682D" w:rsidRDefault="00542EA7" w:rsidP="0029682D">
      <w:pPr>
        <w:spacing w:line="240" w:lineRule="auto"/>
        <w:jc w:val="both"/>
        <w:rPr>
          <w:rFonts w:ascii="Times New Roman" w:hAnsi="Times New Roman" w:cs="Times New Roman"/>
          <w:sz w:val="24"/>
          <w:szCs w:val="24"/>
        </w:rPr>
      </w:pPr>
    </w:p>
    <w:p w:rsidR="00542EA7" w:rsidRPr="0029682D" w:rsidRDefault="00542EA7" w:rsidP="0029682D">
      <w:pPr>
        <w:spacing w:line="240" w:lineRule="auto"/>
        <w:jc w:val="both"/>
        <w:rPr>
          <w:rFonts w:ascii="Times New Roman" w:hAnsi="Times New Roman" w:cs="Times New Roman"/>
          <w:sz w:val="24"/>
          <w:szCs w:val="24"/>
        </w:rPr>
      </w:pPr>
    </w:p>
    <w:p w:rsidR="00542EA7" w:rsidRPr="0029682D" w:rsidRDefault="00542EA7" w:rsidP="0029682D">
      <w:pPr>
        <w:spacing w:line="240" w:lineRule="auto"/>
        <w:jc w:val="both"/>
        <w:rPr>
          <w:rFonts w:ascii="Times New Roman" w:hAnsi="Times New Roman" w:cs="Times New Roman"/>
          <w:sz w:val="24"/>
          <w:szCs w:val="24"/>
        </w:rPr>
      </w:pPr>
    </w:p>
    <w:p w:rsidR="00542EA7" w:rsidRPr="0029682D" w:rsidRDefault="00542EA7" w:rsidP="0029682D">
      <w:pPr>
        <w:spacing w:line="240" w:lineRule="auto"/>
        <w:jc w:val="both"/>
        <w:rPr>
          <w:rFonts w:ascii="Times New Roman" w:hAnsi="Times New Roman" w:cs="Times New Roman"/>
          <w:sz w:val="24"/>
          <w:szCs w:val="24"/>
        </w:rPr>
      </w:pPr>
    </w:p>
    <w:p w:rsidR="00542EA7" w:rsidRPr="0029682D" w:rsidRDefault="00542EA7" w:rsidP="0029682D">
      <w:pPr>
        <w:spacing w:line="240" w:lineRule="auto"/>
        <w:jc w:val="both"/>
        <w:rPr>
          <w:rFonts w:ascii="Times New Roman" w:hAnsi="Times New Roman" w:cs="Times New Roman"/>
          <w:sz w:val="24"/>
          <w:szCs w:val="24"/>
        </w:rPr>
      </w:pPr>
    </w:p>
    <w:p w:rsidR="00BD29B9" w:rsidRPr="00B74604" w:rsidRDefault="00BD29B9" w:rsidP="00B74604">
      <w:pPr>
        <w:spacing w:line="360" w:lineRule="auto"/>
        <w:jc w:val="both"/>
        <w:rPr>
          <w:rFonts w:ascii="Times New Roman" w:hAnsi="Times New Roman" w:cs="Times New Roman"/>
          <w:sz w:val="24"/>
        </w:rPr>
      </w:pPr>
    </w:p>
    <w:sectPr w:rsidR="00BD29B9" w:rsidRPr="00B746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6E51" w:rsidRDefault="005D6E51">
      <w:pPr>
        <w:spacing w:after="0" w:line="240" w:lineRule="auto"/>
      </w:pPr>
      <w:r>
        <w:separator/>
      </w:r>
    </w:p>
  </w:endnote>
  <w:endnote w:type="continuationSeparator" w:id="0">
    <w:p w:rsidR="005D6E51" w:rsidRDefault="005D6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F82" w:rsidRPr="00012DED" w:rsidRDefault="00945F82" w:rsidP="00526549">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6E51" w:rsidRDefault="005D6E51">
      <w:pPr>
        <w:spacing w:after="0" w:line="240" w:lineRule="auto"/>
      </w:pPr>
      <w:r>
        <w:separator/>
      </w:r>
    </w:p>
  </w:footnote>
  <w:footnote w:type="continuationSeparator" w:id="0">
    <w:p w:rsidR="005D6E51" w:rsidRDefault="005D6E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F82" w:rsidRPr="00012DED" w:rsidRDefault="00945F82" w:rsidP="00526549">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5">
    <w:nsid w:val="6DE52FAD"/>
    <w:multiLevelType w:val="hybridMultilevel"/>
    <w:tmpl w:val="6008A3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0"/>
  </w:num>
  <w:num w:numId="2">
    <w:abstractNumId w:val="3"/>
  </w:num>
  <w:num w:numId="3">
    <w:abstractNumId w:val="1"/>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EA7"/>
    <w:rsid w:val="000134E5"/>
    <w:rsid w:val="000A2210"/>
    <w:rsid w:val="000B024D"/>
    <w:rsid w:val="001C4F4E"/>
    <w:rsid w:val="0029682D"/>
    <w:rsid w:val="002A7857"/>
    <w:rsid w:val="00343D43"/>
    <w:rsid w:val="003511AC"/>
    <w:rsid w:val="004C1B2D"/>
    <w:rsid w:val="00526549"/>
    <w:rsid w:val="00542EA7"/>
    <w:rsid w:val="0058298A"/>
    <w:rsid w:val="005D6E51"/>
    <w:rsid w:val="006A3836"/>
    <w:rsid w:val="0071460F"/>
    <w:rsid w:val="00777CB7"/>
    <w:rsid w:val="008C013E"/>
    <w:rsid w:val="00945F82"/>
    <w:rsid w:val="00A37B68"/>
    <w:rsid w:val="00A617CE"/>
    <w:rsid w:val="00A7652C"/>
    <w:rsid w:val="00B74604"/>
    <w:rsid w:val="00BB1D20"/>
    <w:rsid w:val="00BD29B9"/>
    <w:rsid w:val="00CE69F1"/>
    <w:rsid w:val="00CF7C40"/>
    <w:rsid w:val="00D1444D"/>
    <w:rsid w:val="00E31A1B"/>
    <w:rsid w:val="00E96859"/>
    <w:rsid w:val="00F81181"/>
    <w:rsid w:val="00FA1001"/>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11AC"/>
    <w:pPr>
      <w:keepNext/>
      <w:keepLines/>
      <w:numPr>
        <w:numId w:val="3"/>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3511AC"/>
    <w:pPr>
      <w:keepNext/>
      <w:keepLines/>
      <w:numPr>
        <w:ilvl w:val="1"/>
        <w:numId w:val="3"/>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3511AC"/>
    <w:pPr>
      <w:numPr>
        <w:ilvl w:val="2"/>
        <w:numId w:val="3"/>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3511AC"/>
    <w:pPr>
      <w:numPr>
        <w:ilvl w:val="3"/>
        <w:numId w:val="3"/>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qFormat/>
    <w:rsid w:val="003511AC"/>
    <w:pPr>
      <w:tabs>
        <w:tab w:val="left" w:pos="360"/>
      </w:tabs>
      <w:spacing w:before="160" w:after="80" w:line="240" w:lineRule="auto"/>
      <w:jc w:val="cente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1A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3511AC"/>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3511AC"/>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3511AC"/>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3511AC"/>
    <w:rPr>
      <w:rFonts w:ascii="Calibri" w:eastAsia="Times New Roman" w:hAnsi="Calibri" w:cs="Times New Roman"/>
      <w:b/>
      <w:bCs/>
      <w:i/>
      <w:iCs/>
      <w:sz w:val="26"/>
      <w:szCs w:val="26"/>
    </w:rPr>
  </w:style>
  <w:style w:type="paragraph" w:customStyle="1" w:styleId="Abstract">
    <w:name w:val="Abstract"/>
    <w:uiPriority w:val="99"/>
    <w:rsid w:val="003511AC"/>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3511AC"/>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3511AC"/>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3511AC"/>
    <w:pPr>
      <w:tabs>
        <w:tab w:val="left" w:pos="288"/>
      </w:tabs>
      <w:spacing w:after="120" w:line="228" w:lineRule="auto"/>
      <w:ind w:firstLine="288"/>
      <w:jc w:val="both"/>
    </w:pPr>
    <w:rPr>
      <w:rFonts w:ascii="Times New Roman" w:eastAsia="MS Mincho" w:hAnsi="Times New Roman" w:cs="Times New Roman"/>
      <w:sz w:val="20"/>
      <w:szCs w:val="20"/>
    </w:rPr>
  </w:style>
  <w:style w:type="character" w:customStyle="1" w:styleId="BodyTextChar">
    <w:name w:val="Body Text Char"/>
    <w:basedOn w:val="DefaultParagraphFont"/>
    <w:link w:val="BodyText"/>
    <w:uiPriority w:val="99"/>
    <w:rsid w:val="003511AC"/>
    <w:rPr>
      <w:rFonts w:ascii="Times New Roman" w:eastAsia="MS Mincho" w:hAnsi="Times New Roman" w:cs="Times New Roman"/>
      <w:sz w:val="20"/>
      <w:szCs w:val="20"/>
    </w:rPr>
  </w:style>
  <w:style w:type="paragraph" w:customStyle="1" w:styleId="bulletlist">
    <w:name w:val="bullet list"/>
    <w:basedOn w:val="BodyText"/>
    <w:rsid w:val="003511AC"/>
    <w:pPr>
      <w:numPr>
        <w:numId w:val="1"/>
      </w:numPr>
      <w:tabs>
        <w:tab w:val="clear" w:pos="648"/>
      </w:tabs>
      <w:ind w:left="576" w:hanging="288"/>
    </w:pPr>
  </w:style>
  <w:style w:type="paragraph" w:customStyle="1" w:styleId="figurecaption">
    <w:name w:val="figure caption"/>
    <w:rsid w:val="003511AC"/>
    <w:pPr>
      <w:numPr>
        <w:numId w:val="2"/>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3511AC"/>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3511AC"/>
    <w:pPr>
      <w:spacing w:after="120" w:line="240" w:lineRule="auto"/>
      <w:jc w:val="center"/>
    </w:pPr>
    <w:rPr>
      <w:rFonts w:ascii="Times New Roman" w:eastAsia="Times New Roman" w:hAnsi="Times New Roman" w:cs="Times New Roman"/>
      <w:bCs/>
      <w:noProof/>
      <w:sz w:val="48"/>
      <w:szCs w:val="48"/>
    </w:rPr>
  </w:style>
  <w:style w:type="paragraph" w:customStyle="1" w:styleId="references">
    <w:name w:val="references"/>
    <w:uiPriority w:val="99"/>
    <w:rsid w:val="003511AC"/>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3511AC"/>
    <w:pPr>
      <w:spacing w:after="0" w:line="240" w:lineRule="auto"/>
      <w:jc w:val="center"/>
    </w:pPr>
    <w:rPr>
      <w:rFonts w:ascii="Times New Roman" w:eastAsia="Times New Roman" w:hAnsi="Times New Roman" w:cs="Times New Roman"/>
      <w:b/>
      <w:bCs/>
      <w:sz w:val="16"/>
      <w:szCs w:val="16"/>
    </w:rPr>
  </w:style>
  <w:style w:type="paragraph" w:customStyle="1" w:styleId="tablecolsubhead">
    <w:name w:val="table col subhead"/>
    <w:basedOn w:val="tablecolhead"/>
    <w:uiPriority w:val="99"/>
    <w:rsid w:val="003511AC"/>
    <w:rPr>
      <w:i/>
      <w:iCs/>
      <w:sz w:val="15"/>
      <w:szCs w:val="15"/>
    </w:rPr>
  </w:style>
  <w:style w:type="paragraph" w:customStyle="1" w:styleId="tablecopy">
    <w:name w:val="table copy"/>
    <w:uiPriority w:val="99"/>
    <w:rsid w:val="003511AC"/>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3511AC"/>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3511AC"/>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eader">
    <w:name w:val="header"/>
    <w:basedOn w:val="Normal"/>
    <w:link w:val="HeaderChar"/>
    <w:uiPriority w:val="99"/>
    <w:unhideWhenUsed/>
    <w:rsid w:val="003511AC"/>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511A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511AC"/>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511AC"/>
    <w:rPr>
      <w:rFonts w:ascii="Times New Roman" w:eastAsia="Times New Roman" w:hAnsi="Times New Roman" w:cs="Times New Roman"/>
      <w:sz w:val="20"/>
      <w:szCs w:val="20"/>
    </w:rPr>
  </w:style>
  <w:style w:type="paragraph" w:styleId="ListParagraph">
    <w:name w:val="List Paragraph"/>
    <w:basedOn w:val="Normal"/>
    <w:uiPriority w:val="34"/>
    <w:qFormat/>
    <w:rsid w:val="000A2210"/>
    <w:pPr>
      <w:ind w:left="720"/>
      <w:contextualSpacing/>
    </w:pPr>
  </w:style>
  <w:style w:type="character" w:styleId="Hyperlink">
    <w:name w:val="Hyperlink"/>
    <w:basedOn w:val="DefaultParagraphFont"/>
    <w:uiPriority w:val="99"/>
    <w:unhideWhenUsed/>
    <w:rsid w:val="00A765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511AC"/>
    <w:pPr>
      <w:keepNext/>
      <w:keepLines/>
      <w:numPr>
        <w:numId w:val="3"/>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3511AC"/>
    <w:pPr>
      <w:keepNext/>
      <w:keepLines/>
      <w:numPr>
        <w:ilvl w:val="1"/>
        <w:numId w:val="3"/>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3511AC"/>
    <w:pPr>
      <w:numPr>
        <w:ilvl w:val="2"/>
        <w:numId w:val="3"/>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3511AC"/>
    <w:pPr>
      <w:numPr>
        <w:ilvl w:val="3"/>
        <w:numId w:val="3"/>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qFormat/>
    <w:rsid w:val="003511AC"/>
    <w:pPr>
      <w:tabs>
        <w:tab w:val="left" w:pos="360"/>
      </w:tabs>
      <w:spacing w:before="160" w:after="80" w:line="240" w:lineRule="auto"/>
      <w:jc w:val="cente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11AC"/>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3511AC"/>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3511AC"/>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3511AC"/>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3511AC"/>
    <w:rPr>
      <w:rFonts w:ascii="Calibri" w:eastAsia="Times New Roman" w:hAnsi="Calibri" w:cs="Times New Roman"/>
      <w:b/>
      <w:bCs/>
      <w:i/>
      <w:iCs/>
      <w:sz w:val="26"/>
      <w:szCs w:val="26"/>
    </w:rPr>
  </w:style>
  <w:style w:type="paragraph" w:customStyle="1" w:styleId="Abstract">
    <w:name w:val="Abstract"/>
    <w:uiPriority w:val="99"/>
    <w:rsid w:val="003511AC"/>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3511AC"/>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3511AC"/>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3511AC"/>
    <w:pPr>
      <w:tabs>
        <w:tab w:val="left" w:pos="288"/>
      </w:tabs>
      <w:spacing w:after="120" w:line="228" w:lineRule="auto"/>
      <w:ind w:firstLine="288"/>
      <w:jc w:val="both"/>
    </w:pPr>
    <w:rPr>
      <w:rFonts w:ascii="Times New Roman" w:eastAsia="MS Mincho" w:hAnsi="Times New Roman" w:cs="Times New Roman"/>
      <w:sz w:val="20"/>
      <w:szCs w:val="20"/>
    </w:rPr>
  </w:style>
  <w:style w:type="character" w:customStyle="1" w:styleId="BodyTextChar">
    <w:name w:val="Body Text Char"/>
    <w:basedOn w:val="DefaultParagraphFont"/>
    <w:link w:val="BodyText"/>
    <w:uiPriority w:val="99"/>
    <w:rsid w:val="003511AC"/>
    <w:rPr>
      <w:rFonts w:ascii="Times New Roman" w:eastAsia="MS Mincho" w:hAnsi="Times New Roman" w:cs="Times New Roman"/>
      <w:sz w:val="20"/>
      <w:szCs w:val="20"/>
    </w:rPr>
  </w:style>
  <w:style w:type="paragraph" w:customStyle="1" w:styleId="bulletlist">
    <w:name w:val="bullet list"/>
    <w:basedOn w:val="BodyText"/>
    <w:rsid w:val="003511AC"/>
    <w:pPr>
      <w:numPr>
        <w:numId w:val="1"/>
      </w:numPr>
      <w:tabs>
        <w:tab w:val="clear" w:pos="648"/>
      </w:tabs>
      <w:ind w:left="576" w:hanging="288"/>
    </w:pPr>
  </w:style>
  <w:style w:type="paragraph" w:customStyle="1" w:styleId="figurecaption">
    <w:name w:val="figure caption"/>
    <w:rsid w:val="003511AC"/>
    <w:pPr>
      <w:numPr>
        <w:numId w:val="2"/>
      </w:numPr>
      <w:tabs>
        <w:tab w:val="left" w:pos="533"/>
      </w:tabs>
      <w:spacing w:before="80" w:line="240" w:lineRule="auto"/>
      <w:ind w:left="0" w:firstLine="0"/>
      <w:jc w:val="both"/>
    </w:pPr>
    <w:rPr>
      <w:rFonts w:ascii="Times New Roman" w:eastAsia="Times New Roman" w:hAnsi="Times New Roman" w:cs="Times New Roman"/>
      <w:noProof/>
      <w:sz w:val="16"/>
      <w:szCs w:val="16"/>
    </w:rPr>
  </w:style>
  <w:style w:type="paragraph" w:customStyle="1" w:styleId="keywords">
    <w:name w:val="key words"/>
    <w:uiPriority w:val="99"/>
    <w:rsid w:val="003511AC"/>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3511AC"/>
    <w:pPr>
      <w:spacing w:after="120" w:line="240" w:lineRule="auto"/>
      <w:jc w:val="center"/>
    </w:pPr>
    <w:rPr>
      <w:rFonts w:ascii="Times New Roman" w:eastAsia="Times New Roman" w:hAnsi="Times New Roman" w:cs="Times New Roman"/>
      <w:bCs/>
      <w:noProof/>
      <w:sz w:val="48"/>
      <w:szCs w:val="48"/>
    </w:rPr>
  </w:style>
  <w:style w:type="paragraph" w:customStyle="1" w:styleId="references">
    <w:name w:val="references"/>
    <w:uiPriority w:val="99"/>
    <w:rsid w:val="003511AC"/>
    <w:pPr>
      <w:numPr>
        <w:numId w:val="4"/>
      </w:numPr>
      <w:spacing w:after="50" w:line="180" w:lineRule="exact"/>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3511AC"/>
    <w:pPr>
      <w:spacing w:after="0" w:line="240" w:lineRule="auto"/>
      <w:jc w:val="center"/>
    </w:pPr>
    <w:rPr>
      <w:rFonts w:ascii="Times New Roman" w:eastAsia="Times New Roman" w:hAnsi="Times New Roman" w:cs="Times New Roman"/>
      <w:b/>
      <w:bCs/>
      <w:sz w:val="16"/>
      <w:szCs w:val="16"/>
    </w:rPr>
  </w:style>
  <w:style w:type="paragraph" w:customStyle="1" w:styleId="tablecolsubhead">
    <w:name w:val="table col subhead"/>
    <w:basedOn w:val="tablecolhead"/>
    <w:uiPriority w:val="99"/>
    <w:rsid w:val="003511AC"/>
    <w:rPr>
      <w:i/>
      <w:iCs/>
      <w:sz w:val="15"/>
      <w:szCs w:val="15"/>
    </w:rPr>
  </w:style>
  <w:style w:type="paragraph" w:customStyle="1" w:styleId="tablecopy">
    <w:name w:val="table copy"/>
    <w:uiPriority w:val="99"/>
    <w:rsid w:val="003511AC"/>
    <w:pPr>
      <w:spacing w:after="0" w:line="240" w:lineRule="auto"/>
      <w:jc w:val="both"/>
    </w:pPr>
    <w:rPr>
      <w:rFonts w:ascii="Times New Roman" w:eastAsia="Times New Roman" w:hAnsi="Times New Roman" w:cs="Times New Roman"/>
      <w:noProof/>
      <w:sz w:val="16"/>
      <w:szCs w:val="16"/>
    </w:rPr>
  </w:style>
  <w:style w:type="paragraph" w:customStyle="1" w:styleId="tablefootnote">
    <w:name w:val="table footnote"/>
    <w:uiPriority w:val="99"/>
    <w:rsid w:val="003511AC"/>
    <w:pPr>
      <w:numPr>
        <w:numId w:val="6"/>
      </w:numPr>
      <w:tabs>
        <w:tab w:val="left" w:pos="29"/>
      </w:tabs>
      <w:spacing w:before="60" w:after="30" w:line="240" w:lineRule="auto"/>
      <w:ind w:left="360"/>
      <w:jc w:val="right"/>
    </w:pPr>
    <w:rPr>
      <w:rFonts w:ascii="Times New Roman" w:eastAsia="MS Mincho" w:hAnsi="Times New Roman" w:cs="Times New Roman"/>
      <w:sz w:val="12"/>
      <w:szCs w:val="12"/>
    </w:rPr>
  </w:style>
  <w:style w:type="paragraph" w:customStyle="1" w:styleId="tablehead">
    <w:name w:val="table head"/>
    <w:uiPriority w:val="99"/>
    <w:rsid w:val="003511AC"/>
    <w:pPr>
      <w:numPr>
        <w:numId w:val="5"/>
      </w:numPr>
      <w:spacing w:before="240" w:after="120" w:line="216" w:lineRule="auto"/>
      <w:jc w:val="center"/>
    </w:pPr>
    <w:rPr>
      <w:rFonts w:ascii="Times New Roman" w:eastAsia="Times New Roman" w:hAnsi="Times New Roman" w:cs="Times New Roman"/>
      <w:smallCaps/>
      <w:noProof/>
      <w:sz w:val="16"/>
      <w:szCs w:val="16"/>
    </w:rPr>
  </w:style>
  <w:style w:type="paragraph" w:styleId="Header">
    <w:name w:val="header"/>
    <w:basedOn w:val="Normal"/>
    <w:link w:val="HeaderChar"/>
    <w:uiPriority w:val="99"/>
    <w:unhideWhenUsed/>
    <w:rsid w:val="003511AC"/>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3511A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511AC"/>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511AC"/>
    <w:rPr>
      <w:rFonts w:ascii="Times New Roman" w:eastAsia="Times New Roman" w:hAnsi="Times New Roman" w:cs="Times New Roman"/>
      <w:sz w:val="20"/>
      <w:szCs w:val="20"/>
    </w:rPr>
  </w:style>
  <w:style w:type="paragraph" w:styleId="ListParagraph">
    <w:name w:val="List Paragraph"/>
    <w:basedOn w:val="Normal"/>
    <w:uiPriority w:val="34"/>
    <w:qFormat/>
    <w:rsid w:val="000A2210"/>
    <w:pPr>
      <w:ind w:left="720"/>
      <w:contextualSpacing/>
    </w:pPr>
  </w:style>
  <w:style w:type="character" w:styleId="Hyperlink">
    <w:name w:val="Hyperlink"/>
    <w:basedOn w:val="DefaultParagraphFont"/>
    <w:uiPriority w:val="99"/>
    <w:unhideWhenUsed/>
    <w:rsid w:val="00A765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ewinternet.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9604</TotalTime>
  <Pages>8</Pages>
  <Words>3855</Words>
  <Characters>21974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2023-06-21T05:15:00Z</dcterms:created>
  <dcterms:modified xsi:type="dcterms:W3CDTF">2023-08-25T05:14:00Z</dcterms:modified>
</cp:coreProperties>
</file>