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FC1" w:rsidRDefault="00AA2FC1" w:rsidP="00AA2FC1">
      <w:pPr>
        <w:spacing w:after="0"/>
        <w:rPr>
          <w:b/>
          <w:sz w:val="24"/>
          <w:szCs w:val="24"/>
        </w:rPr>
      </w:pPr>
      <w:r>
        <w:rPr>
          <w:b/>
          <w:sz w:val="28"/>
          <w:szCs w:val="28"/>
        </w:rPr>
        <w:t xml:space="preserve">                               Assessment of dietary intake of heart failure patient</w:t>
      </w:r>
      <w:r>
        <w:rPr>
          <w:b/>
          <w:sz w:val="24"/>
          <w:szCs w:val="24"/>
        </w:rPr>
        <w:t xml:space="preserve"> </w:t>
      </w:r>
    </w:p>
    <w:p w:rsidR="00AA2FC1" w:rsidRDefault="00AA2FC1" w:rsidP="00AA2FC1">
      <w:pPr>
        <w:spacing w:after="0"/>
        <w:rPr>
          <w:b/>
          <w:sz w:val="24"/>
          <w:szCs w:val="24"/>
        </w:rPr>
      </w:pPr>
      <w:r>
        <w:rPr>
          <w:b/>
          <w:sz w:val="24"/>
          <w:szCs w:val="24"/>
        </w:rPr>
        <w:t xml:space="preserve">                                                           </w:t>
      </w:r>
      <w:r>
        <w:rPr>
          <w:rFonts w:ascii="Times New Roman" w:eastAsia="Times New Roman" w:hAnsi="Times New Roman" w:cs="Times New Roman"/>
          <w:b/>
          <w:sz w:val="24"/>
          <w:szCs w:val="24"/>
        </w:rPr>
        <w:t>Chetan kumar</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Dr.Pragati</w:t>
      </w:r>
      <w:r>
        <w:rPr>
          <w:rFonts w:ascii="Times New Roman" w:eastAsia="Times New Roman" w:hAnsi="Times New Roman" w:cs="Times New Roman"/>
          <w:b/>
          <w:sz w:val="24"/>
          <w:szCs w:val="24"/>
          <w:vertAlign w:val="superscript"/>
        </w:rPr>
        <w:t>2</w:t>
      </w:r>
    </w:p>
    <w:p w:rsidR="00AA2FC1" w:rsidRPr="00065509" w:rsidRDefault="00AA2FC1" w:rsidP="00065509">
      <w:pPr>
        <w:spacing w:after="0" w:line="360" w:lineRule="auto"/>
        <w:jc w:val="center"/>
        <w:rPr>
          <w:rFonts w:ascii="Times New Roman" w:eastAsia="Times New Roman" w:hAnsi="Times New Roman" w:cs="Times New Roman"/>
          <w:sz w:val="24"/>
          <w:szCs w:val="24"/>
        </w:rPr>
      </w:pPr>
      <w:r w:rsidRPr="00065509">
        <w:rPr>
          <w:rFonts w:ascii="Times New Roman" w:eastAsia="Times New Roman" w:hAnsi="Times New Roman" w:cs="Times New Roman"/>
          <w:sz w:val="24"/>
          <w:szCs w:val="24"/>
          <w:vertAlign w:val="superscript"/>
        </w:rPr>
        <w:t xml:space="preserve">1 </w:t>
      </w:r>
      <w:r w:rsidRPr="00065509">
        <w:rPr>
          <w:rFonts w:ascii="Times New Roman" w:eastAsia="Times New Roman" w:hAnsi="Times New Roman" w:cs="Times New Roman"/>
          <w:sz w:val="24"/>
          <w:szCs w:val="24"/>
        </w:rPr>
        <w:t xml:space="preserve">PhD Scholar, </w:t>
      </w:r>
      <w:proofErr w:type="spellStart"/>
      <w:r w:rsidRPr="00065509">
        <w:rPr>
          <w:rFonts w:ascii="Times New Roman" w:eastAsia="Times New Roman" w:hAnsi="Times New Roman" w:cs="Times New Roman"/>
          <w:sz w:val="24"/>
          <w:szCs w:val="24"/>
        </w:rPr>
        <w:t>Lalit</w:t>
      </w:r>
      <w:proofErr w:type="spellEnd"/>
      <w:r w:rsidRPr="00065509">
        <w:rPr>
          <w:rFonts w:ascii="Times New Roman" w:eastAsia="Times New Roman" w:hAnsi="Times New Roman" w:cs="Times New Roman"/>
          <w:sz w:val="24"/>
          <w:szCs w:val="24"/>
        </w:rPr>
        <w:t xml:space="preserve"> Narayan </w:t>
      </w:r>
      <w:proofErr w:type="spellStart"/>
      <w:r w:rsidRPr="00065509">
        <w:rPr>
          <w:rFonts w:ascii="Times New Roman" w:eastAsia="Times New Roman" w:hAnsi="Times New Roman" w:cs="Times New Roman"/>
          <w:sz w:val="24"/>
          <w:szCs w:val="24"/>
        </w:rPr>
        <w:t>Mithila</w:t>
      </w:r>
      <w:proofErr w:type="spellEnd"/>
      <w:r w:rsidRPr="00065509">
        <w:rPr>
          <w:rFonts w:ascii="Times New Roman" w:eastAsia="Times New Roman" w:hAnsi="Times New Roman" w:cs="Times New Roman"/>
          <w:sz w:val="24"/>
          <w:szCs w:val="24"/>
        </w:rPr>
        <w:t xml:space="preserve"> University, </w:t>
      </w:r>
      <w:proofErr w:type="spellStart"/>
      <w:r w:rsidRPr="00065509">
        <w:rPr>
          <w:rFonts w:ascii="Times New Roman" w:eastAsia="Times New Roman" w:hAnsi="Times New Roman" w:cs="Times New Roman"/>
          <w:sz w:val="24"/>
          <w:szCs w:val="24"/>
        </w:rPr>
        <w:t>Darbhanga</w:t>
      </w:r>
      <w:proofErr w:type="spellEnd"/>
      <w:r w:rsidRPr="00065509">
        <w:rPr>
          <w:rFonts w:ascii="Times New Roman" w:eastAsia="Times New Roman" w:hAnsi="Times New Roman" w:cs="Times New Roman"/>
          <w:sz w:val="24"/>
          <w:szCs w:val="24"/>
        </w:rPr>
        <w:t>, Consultant Dietician, Patna       (</w:t>
      </w:r>
      <w:hyperlink r:id="rId4" w:history="1">
        <w:r w:rsidRPr="00065509">
          <w:rPr>
            <w:rStyle w:val="Hyperlink"/>
            <w:rFonts w:ascii="Times New Roman" w:eastAsia="Times New Roman" w:hAnsi="Times New Roman" w:cs="Times New Roman"/>
            <w:sz w:val="24"/>
            <w:szCs w:val="24"/>
          </w:rPr>
          <w:t>chetan.yj24@gmil.com</w:t>
        </w:r>
      </w:hyperlink>
      <w:r w:rsidRPr="00065509">
        <w:rPr>
          <w:rFonts w:ascii="Times New Roman" w:eastAsia="Times New Roman" w:hAnsi="Times New Roman" w:cs="Times New Roman"/>
          <w:sz w:val="24"/>
          <w:szCs w:val="24"/>
        </w:rPr>
        <w:t xml:space="preserve"> 9674524745)</w:t>
      </w:r>
    </w:p>
    <w:p w:rsidR="00AA2FC1" w:rsidRPr="00065509" w:rsidRDefault="00AA2FC1" w:rsidP="00065509">
      <w:pPr>
        <w:spacing w:after="0" w:line="360" w:lineRule="auto"/>
        <w:jc w:val="center"/>
        <w:rPr>
          <w:rFonts w:ascii="Times New Roman" w:hAnsi="Times New Roman" w:cs="Times New Roman"/>
          <w:sz w:val="24"/>
          <w:szCs w:val="24"/>
        </w:rPr>
      </w:pPr>
      <w:r w:rsidRPr="00065509">
        <w:rPr>
          <w:rFonts w:ascii="Times New Roman" w:eastAsia="Times New Roman" w:hAnsi="Times New Roman" w:cs="Times New Roman"/>
          <w:sz w:val="24"/>
          <w:szCs w:val="24"/>
          <w:vertAlign w:val="superscript"/>
        </w:rPr>
        <w:t>2</w:t>
      </w:r>
      <w:r w:rsidRPr="00065509">
        <w:rPr>
          <w:rFonts w:ascii="Times New Roman" w:eastAsia="Times New Roman" w:hAnsi="Times New Roman" w:cs="Times New Roman"/>
          <w:sz w:val="24"/>
          <w:szCs w:val="24"/>
        </w:rPr>
        <w:t xml:space="preserve">Assistant professor, University Department of Home Science, </w:t>
      </w:r>
      <w:proofErr w:type="spellStart"/>
      <w:r w:rsidRPr="00065509">
        <w:rPr>
          <w:rFonts w:ascii="Times New Roman" w:eastAsia="Times New Roman" w:hAnsi="Times New Roman" w:cs="Times New Roman"/>
          <w:sz w:val="24"/>
          <w:szCs w:val="24"/>
        </w:rPr>
        <w:t>Lalit</w:t>
      </w:r>
      <w:proofErr w:type="spellEnd"/>
      <w:r w:rsidRPr="00065509">
        <w:rPr>
          <w:rFonts w:ascii="Times New Roman" w:eastAsia="Times New Roman" w:hAnsi="Times New Roman" w:cs="Times New Roman"/>
          <w:sz w:val="24"/>
          <w:szCs w:val="24"/>
        </w:rPr>
        <w:t xml:space="preserve"> Narayan </w:t>
      </w:r>
      <w:proofErr w:type="spellStart"/>
      <w:r w:rsidRPr="00065509">
        <w:rPr>
          <w:rFonts w:ascii="Times New Roman" w:eastAsia="Times New Roman" w:hAnsi="Times New Roman" w:cs="Times New Roman"/>
          <w:sz w:val="24"/>
          <w:szCs w:val="24"/>
        </w:rPr>
        <w:t>Mithila</w:t>
      </w:r>
      <w:proofErr w:type="spellEnd"/>
      <w:r w:rsidRPr="00065509">
        <w:rPr>
          <w:rFonts w:ascii="Times New Roman" w:eastAsia="Times New Roman" w:hAnsi="Times New Roman" w:cs="Times New Roman"/>
          <w:sz w:val="24"/>
          <w:szCs w:val="24"/>
        </w:rPr>
        <w:t xml:space="preserve"> University,      </w:t>
      </w:r>
      <w:proofErr w:type="spellStart"/>
      <w:r w:rsidRPr="00065509">
        <w:rPr>
          <w:rFonts w:ascii="Times New Roman" w:eastAsia="Times New Roman" w:hAnsi="Times New Roman" w:cs="Times New Roman"/>
          <w:sz w:val="24"/>
          <w:szCs w:val="24"/>
        </w:rPr>
        <w:t>Darbhanga</w:t>
      </w:r>
      <w:proofErr w:type="spellEnd"/>
      <w:r w:rsidRPr="00065509">
        <w:rPr>
          <w:rFonts w:ascii="Times New Roman" w:eastAsia="Times New Roman" w:hAnsi="Times New Roman" w:cs="Times New Roman"/>
          <w:sz w:val="24"/>
          <w:szCs w:val="24"/>
        </w:rPr>
        <w:t>, Bihar</w:t>
      </w:r>
      <w:r w:rsidRPr="00065509">
        <w:rPr>
          <w:rFonts w:ascii="Times New Roman" w:hAnsi="Times New Roman" w:cs="Times New Roman"/>
          <w:b/>
          <w:sz w:val="24"/>
          <w:szCs w:val="24"/>
        </w:rPr>
        <w:t xml:space="preserve"> </w:t>
      </w:r>
      <w:r w:rsidRPr="00065509">
        <w:rPr>
          <w:rFonts w:ascii="Times New Roman" w:hAnsi="Times New Roman" w:cs="Times New Roman"/>
          <w:sz w:val="24"/>
          <w:szCs w:val="24"/>
        </w:rPr>
        <w:t>(</w:t>
      </w:r>
      <w:hyperlink r:id="rId5" w:history="1">
        <w:r w:rsidRPr="00065509">
          <w:rPr>
            <w:rStyle w:val="Hyperlink"/>
            <w:rFonts w:ascii="Times New Roman" w:hAnsi="Times New Roman" w:cs="Times New Roman"/>
            <w:sz w:val="24"/>
            <w:szCs w:val="24"/>
          </w:rPr>
          <w:t>pragatisarathipatna@gmail.com</w:t>
        </w:r>
      </w:hyperlink>
      <w:r w:rsidRPr="00065509">
        <w:rPr>
          <w:rFonts w:ascii="Times New Roman" w:hAnsi="Times New Roman" w:cs="Times New Roman"/>
          <w:sz w:val="24"/>
          <w:szCs w:val="24"/>
        </w:rPr>
        <w:t>, 6299559043)</w:t>
      </w:r>
    </w:p>
    <w:p w:rsidR="00E21B6C" w:rsidRDefault="00E21B6C" w:rsidP="00AA2FC1">
      <w:pPr>
        <w:spacing w:after="0"/>
        <w:jc w:val="center"/>
        <w:rPr>
          <w:rFonts w:ascii="Times New Roman" w:hAnsi="Times New Roman" w:cs="Times New Roman"/>
          <w:sz w:val="24"/>
          <w:szCs w:val="24"/>
        </w:rPr>
      </w:pPr>
    </w:p>
    <w:p w:rsidR="00AA2FC1" w:rsidRDefault="00AA2FC1" w:rsidP="00065509">
      <w:pPr>
        <w:spacing w:line="360" w:lineRule="auto"/>
        <w:jc w:val="both"/>
        <w:rPr>
          <w:rFonts w:ascii="Times New Roman" w:hAnsi="Times New Roman" w:cs="Times New Roman"/>
          <w:sz w:val="24"/>
          <w:szCs w:val="24"/>
        </w:rPr>
      </w:pPr>
      <w:r>
        <w:rPr>
          <w:rFonts w:ascii="Times New Roman" w:hAnsi="Times New Roman" w:cs="Times New Roman"/>
          <w:b/>
          <w:sz w:val="24"/>
          <w:szCs w:val="24"/>
        </w:rPr>
        <w:t>Background:</w:t>
      </w:r>
      <w:r>
        <w:rPr>
          <w:rFonts w:ascii="Times New Roman" w:hAnsi="Times New Roman" w:cs="Times New Roman"/>
          <w:sz w:val="24"/>
          <w:szCs w:val="24"/>
        </w:rPr>
        <w:t xml:space="preserve"> Nutritional deficiency &amp;diet intake may impact heart failure treatment. However, the current status of the dietary quality of respondents with Heart failure has not been reported earlier.</w:t>
      </w:r>
    </w:p>
    <w:p w:rsidR="00AA2FC1" w:rsidRDefault="00AA2FC1" w:rsidP="00065509">
      <w:pPr>
        <w:spacing w:line="360" w:lineRule="auto"/>
        <w:jc w:val="both"/>
        <w:rPr>
          <w:rFonts w:ascii="Times New Roman" w:hAnsi="Times New Roman" w:cs="Times New Roman"/>
          <w:sz w:val="24"/>
          <w:szCs w:val="24"/>
        </w:rPr>
      </w:pPr>
      <w:r>
        <w:rPr>
          <w:rFonts w:ascii="Times New Roman" w:hAnsi="Times New Roman" w:cs="Times New Roman"/>
          <w:b/>
          <w:sz w:val="24"/>
          <w:szCs w:val="24"/>
        </w:rPr>
        <w:t>Purpose:</w:t>
      </w:r>
      <w:r>
        <w:rPr>
          <w:rFonts w:ascii="Times New Roman" w:hAnsi="Times New Roman" w:cs="Times New Roman"/>
          <w:sz w:val="24"/>
          <w:szCs w:val="24"/>
        </w:rPr>
        <w:t xml:space="preserve"> This study assessed the dietary intake of patients with heart failure using food consumption pattern with the goal of find out the nutritional status of the patient with fluid and sodium intake.</w:t>
      </w:r>
    </w:p>
    <w:p w:rsidR="00AA2FC1" w:rsidRDefault="00AA2FC1" w:rsidP="00065509">
      <w:pPr>
        <w:spacing w:line="360" w:lineRule="auto"/>
        <w:jc w:val="both"/>
        <w:rPr>
          <w:rFonts w:ascii="Times New Roman" w:hAnsi="Times New Roman" w:cs="Times New Roman"/>
          <w:sz w:val="24"/>
          <w:szCs w:val="24"/>
        </w:rPr>
      </w:pPr>
      <w:r>
        <w:rPr>
          <w:rFonts w:ascii="Times New Roman" w:hAnsi="Times New Roman" w:cs="Times New Roman"/>
          <w:b/>
          <w:sz w:val="24"/>
          <w:szCs w:val="24"/>
        </w:rPr>
        <w:t>Methods:</w:t>
      </w:r>
      <w:r w:rsidR="00E21B6C">
        <w:rPr>
          <w:rFonts w:ascii="Times New Roman" w:hAnsi="Times New Roman" w:cs="Times New Roman"/>
          <w:sz w:val="24"/>
          <w:szCs w:val="24"/>
        </w:rPr>
        <w:t xml:space="preserve"> </w:t>
      </w:r>
      <w:r>
        <w:rPr>
          <w:rFonts w:ascii="Times New Roman" w:hAnsi="Times New Roman" w:cs="Times New Roman"/>
          <w:sz w:val="24"/>
          <w:szCs w:val="24"/>
        </w:rPr>
        <w:t>Diet of each participants was assessed using 48 hours dietary recall. Dietary Nutrients included vitamins, minerals, iron, oil, fibers, sodium intake and fluid intake. Specific dietary goals were</w:t>
      </w:r>
      <w:r w:rsidR="00E21B6C">
        <w:rPr>
          <w:rFonts w:ascii="Times New Roman" w:hAnsi="Times New Roman" w:cs="Times New Roman"/>
          <w:sz w:val="24"/>
          <w:szCs w:val="24"/>
        </w:rPr>
        <w:t xml:space="preserve"> assessed </w:t>
      </w:r>
      <w:r>
        <w:rPr>
          <w:rFonts w:ascii="Times New Roman" w:hAnsi="Times New Roman" w:cs="Times New Roman"/>
          <w:sz w:val="24"/>
          <w:szCs w:val="24"/>
        </w:rPr>
        <w:t>based on USDA/USCF/DASH recommendation.</w:t>
      </w:r>
    </w:p>
    <w:p w:rsidR="00AA2FC1" w:rsidRDefault="00AA2FC1" w:rsidP="00065509">
      <w:pPr>
        <w:spacing w:line="360" w:lineRule="auto"/>
        <w:jc w:val="both"/>
        <w:rPr>
          <w:rFonts w:ascii="Times New Roman" w:hAnsi="Times New Roman" w:cs="Times New Roman"/>
          <w:sz w:val="24"/>
          <w:szCs w:val="24"/>
        </w:rPr>
      </w:pPr>
      <w:r>
        <w:rPr>
          <w:rFonts w:ascii="Times New Roman" w:hAnsi="Times New Roman" w:cs="Times New Roman"/>
          <w:b/>
          <w:sz w:val="24"/>
          <w:szCs w:val="24"/>
        </w:rPr>
        <w:t>Results:</w:t>
      </w:r>
      <w:r>
        <w:rPr>
          <w:rFonts w:ascii="Times New Roman" w:hAnsi="Times New Roman" w:cs="Times New Roman"/>
          <w:sz w:val="24"/>
          <w:szCs w:val="24"/>
        </w:rPr>
        <w:t xml:space="preserve"> Mean energy intake was (1761.74±359.46). Mean</w:t>
      </w:r>
      <w:r w:rsidR="00E21B6C">
        <w:rPr>
          <w:rFonts w:ascii="Times New Roman" w:hAnsi="Times New Roman" w:cs="Times New Roman"/>
          <w:sz w:val="24"/>
          <w:szCs w:val="24"/>
        </w:rPr>
        <w:t xml:space="preserve"> Protein intake was (33.3±4.52).</w:t>
      </w:r>
      <w:r>
        <w:rPr>
          <w:rFonts w:ascii="Times New Roman" w:eastAsia="Times New Roman" w:hAnsi="Times New Roman" w:cs="Times New Roman"/>
          <w:sz w:val="24"/>
          <w:szCs w:val="24"/>
        </w:rPr>
        <w:t xml:space="preserve">Mean Score of BMI was 2.69 while SD was .895 in this present study. </w:t>
      </w:r>
      <w:r>
        <w:rPr>
          <w:rFonts w:ascii="Times New Roman" w:hAnsi="Times New Roman" w:cs="Times New Roman"/>
          <w:sz w:val="24"/>
          <w:szCs w:val="24"/>
        </w:rPr>
        <w:t>Mean sodium intake was 2015.39mg</w:t>
      </w:r>
      <w:r w:rsidR="00E21B6C">
        <w:rPr>
          <w:rFonts w:ascii="Times New Roman" w:hAnsi="Times New Roman" w:cs="Times New Roman"/>
          <w:sz w:val="24"/>
          <w:szCs w:val="24"/>
        </w:rPr>
        <w:t xml:space="preserve">. </w:t>
      </w:r>
      <w:r>
        <w:rPr>
          <w:rFonts w:ascii="Times New Roman" w:hAnsi="Times New Roman" w:cs="Times New Roman"/>
          <w:sz w:val="24"/>
          <w:szCs w:val="24"/>
        </w:rPr>
        <w:t>Patients was following 1-2 liter fluid restriction per day recommended by doctors(x</w:t>
      </w:r>
      <w:r>
        <w:rPr>
          <w:rFonts w:ascii="Times New Roman" w:eastAsia="Times New Roman" w:hAnsi="Times New Roman" w:cs="Times New Roman"/>
          <w:sz w:val="24"/>
          <w:szCs w:val="24"/>
          <w:vertAlign w:val="superscript"/>
        </w:rPr>
        <w:t>2</w:t>
      </w:r>
      <w:r>
        <w:rPr>
          <w:rFonts w:ascii="Times New Roman" w:hAnsi="Times New Roman" w:cs="Times New Roman"/>
          <w:sz w:val="24"/>
          <w:szCs w:val="24"/>
        </w:rPr>
        <w:t>=11.68, p=.04). The mean score of the patient regarding symptoms was</w:t>
      </w:r>
      <w:r w:rsidR="00E21B6C">
        <w:rPr>
          <w:rFonts w:ascii="Times New Roman" w:hAnsi="Times New Roman" w:cs="Times New Roman"/>
          <w:sz w:val="24"/>
          <w:szCs w:val="24"/>
        </w:rPr>
        <w:t xml:space="preserve"> 2.36 and SD was 1.092.</w:t>
      </w:r>
      <w:r>
        <w:rPr>
          <w:rFonts w:ascii="Times New Roman" w:hAnsi="Times New Roman" w:cs="Times New Roman"/>
          <w:sz w:val="24"/>
          <w:szCs w:val="24"/>
        </w:rPr>
        <w:t xml:space="preserve"> Mean score of the patient history was 3.18 and SD was 1.66. </w:t>
      </w:r>
      <w:r w:rsidR="0023430B">
        <w:rPr>
          <w:rFonts w:ascii="Times New Roman" w:hAnsi="Times New Roman" w:cs="Times New Roman"/>
          <w:sz w:val="24"/>
          <w:szCs w:val="24"/>
        </w:rPr>
        <w:t xml:space="preserve">Patient </w:t>
      </w:r>
      <w:r>
        <w:rPr>
          <w:rFonts w:ascii="Times New Roman" w:hAnsi="Times New Roman" w:cs="Times New Roman"/>
          <w:sz w:val="24"/>
          <w:szCs w:val="24"/>
        </w:rPr>
        <w:t>had higher average total energy intake, higher mean carbohydrate, fat, water, salt, intake but patients had lesser protein, fiber, vitamin E, B1,B2,B6, Vitamin C, Calcium, magnesium, phosphorous, iron, Zn &amp;Vitamin A consumption compare to the USDA/USCF/DASH recommendation.</w:t>
      </w:r>
    </w:p>
    <w:p w:rsidR="00AA2FC1" w:rsidRDefault="00E21B6C" w:rsidP="00065509">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Conclusion: </w:t>
      </w:r>
      <w:r>
        <w:rPr>
          <w:rFonts w:ascii="Times New Roman" w:hAnsi="Times New Roman" w:cs="Times New Roman"/>
          <w:sz w:val="24"/>
          <w:szCs w:val="24"/>
        </w:rPr>
        <w:t>D</w:t>
      </w:r>
      <w:r w:rsidR="00AA2FC1">
        <w:rPr>
          <w:rFonts w:ascii="Times New Roman" w:hAnsi="Times New Roman" w:cs="Times New Roman"/>
          <w:sz w:val="24"/>
          <w:szCs w:val="24"/>
        </w:rPr>
        <w:t>ietary quality of the person should be better and should be prescribed a diet plan with need to adherence on it and even need to educate about the importance of nutrients and how a healthy balance diet help them to reduce the disease progression.</w:t>
      </w:r>
    </w:p>
    <w:p w:rsidR="00AA2FC1" w:rsidRDefault="00AA2FC1" w:rsidP="00065509">
      <w:pPr>
        <w:spacing w:line="360" w:lineRule="auto"/>
        <w:jc w:val="both"/>
        <w:rPr>
          <w:rFonts w:ascii="Times New Roman" w:hAnsi="Times New Roman" w:cs="Times New Roman"/>
          <w:b/>
          <w:sz w:val="20"/>
          <w:szCs w:val="20"/>
        </w:rPr>
      </w:pPr>
      <w:r>
        <w:rPr>
          <w:rFonts w:ascii="Times New Roman" w:hAnsi="Times New Roman" w:cs="Times New Roman"/>
          <w:sz w:val="20"/>
          <w:szCs w:val="20"/>
        </w:rPr>
        <w:t xml:space="preserve">Key words: heart failure, Clinical dietary Intervention, Sodium intake, Dietary Interventions </w:t>
      </w:r>
      <w:r>
        <w:rPr>
          <w:rFonts w:ascii="Times New Roman" w:hAnsi="Times New Roman" w:cs="Times New Roman"/>
          <w:b/>
          <w:sz w:val="20"/>
          <w:szCs w:val="20"/>
        </w:rPr>
        <w:t xml:space="preserve"> </w:t>
      </w:r>
    </w:p>
    <w:p w:rsidR="00E21B6C" w:rsidRDefault="00E21B6C" w:rsidP="00AA2FC1">
      <w:pPr>
        <w:jc w:val="both"/>
        <w:rPr>
          <w:rFonts w:ascii="Times New Roman" w:hAnsi="Times New Roman" w:cs="Times New Roman"/>
          <w:b/>
          <w:sz w:val="20"/>
          <w:szCs w:val="20"/>
        </w:rPr>
      </w:pPr>
    </w:p>
    <w:p w:rsidR="00065509" w:rsidRDefault="00065509" w:rsidP="00E21B6C">
      <w:pPr>
        <w:spacing w:after="0"/>
        <w:jc w:val="both"/>
        <w:rPr>
          <w:b/>
          <w:sz w:val="24"/>
          <w:szCs w:val="24"/>
        </w:rPr>
      </w:pPr>
    </w:p>
    <w:p w:rsidR="00E21B6C" w:rsidRDefault="00E21B6C" w:rsidP="00E21B6C">
      <w:pPr>
        <w:spacing w:after="0"/>
        <w:jc w:val="both"/>
        <w:rPr>
          <w:b/>
          <w:sz w:val="24"/>
          <w:szCs w:val="24"/>
        </w:rPr>
      </w:pPr>
      <w:r>
        <w:rPr>
          <w:b/>
          <w:sz w:val="24"/>
          <w:szCs w:val="24"/>
        </w:rPr>
        <w:lastRenderedPageBreak/>
        <w:t>I.</w:t>
      </w:r>
      <w:r w:rsidRPr="009111B4">
        <w:rPr>
          <w:b/>
          <w:sz w:val="24"/>
          <w:szCs w:val="24"/>
        </w:rPr>
        <w:t>INTRODUCTION</w:t>
      </w:r>
      <w:r>
        <w:rPr>
          <w:b/>
          <w:sz w:val="24"/>
          <w:szCs w:val="24"/>
        </w:rPr>
        <w:t xml:space="preserve"> </w:t>
      </w:r>
    </w:p>
    <w:p w:rsidR="00E21B6C" w:rsidRPr="0027653E" w:rsidRDefault="00E21B6C" w:rsidP="00DA33D5">
      <w:pPr>
        <w:spacing w:after="0" w:line="360" w:lineRule="auto"/>
        <w:jc w:val="both"/>
        <w:rPr>
          <w:b/>
          <w:sz w:val="24"/>
          <w:szCs w:val="24"/>
        </w:rPr>
      </w:pPr>
      <w:r w:rsidRPr="006A7F09">
        <w:rPr>
          <w:rFonts w:ascii="Times New Roman" w:hAnsi="Times New Roman" w:cs="Times New Roman"/>
          <w:sz w:val="24"/>
          <w:szCs w:val="24"/>
        </w:rPr>
        <w:t>Worldwide, an estimated 64.3 million people have HF.</w:t>
      </w:r>
      <w:r w:rsidRPr="006A7F09">
        <w:rPr>
          <w:rFonts w:ascii="Times New Roman" w:eastAsia="Times New Roman" w:hAnsi="Times New Roman" w:cs="Times New Roman"/>
          <w:sz w:val="24"/>
          <w:szCs w:val="24"/>
          <w:vertAlign w:val="superscript"/>
        </w:rPr>
        <w:t>1</w:t>
      </w:r>
      <w:r w:rsidRPr="006A7F09">
        <w:rPr>
          <w:rFonts w:ascii="Times New Roman" w:hAnsi="Times New Roman" w:cs="Times New Roman"/>
          <w:sz w:val="24"/>
          <w:szCs w:val="24"/>
        </w:rPr>
        <w:t xml:space="preserve"> Heart failure is becoming</w:t>
      </w:r>
      <w:r>
        <w:rPr>
          <w:rFonts w:ascii="Times New Roman" w:hAnsi="Times New Roman" w:cs="Times New Roman"/>
          <w:sz w:val="24"/>
          <w:szCs w:val="24"/>
        </w:rPr>
        <w:t xml:space="preserve"> a serious health issue in low and middle </w:t>
      </w:r>
      <w:r w:rsidRPr="006A7F09">
        <w:rPr>
          <w:rFonts w:ascii="Times New Roman" w:hAnsi="Times New Roman" w:cs="Times New Roman"/>
          <w:sz w:val="24"/>
          <w:szCs w:val="24"/>
        </w:rPr>
        <w:t>income nations like India.</w:t>
      </w:r>
      <w:r w:rsidRPr="006A7F09">
        <w:rPr>
          <w:rFonts w:ascii="Times New Roman" w:eastAsia="Times New Roman" w:hAnsi="Times New Roman" w:cs="Times New Roman"/>
          <w:sz w:val="24"/>
          <w:szCs w:val="24"/>
          <w:vertAlign w:val="superscript"/>
        </w:rPr>
        <w:t xml:space="preserve">2 </w:t>
      </w:r>
      <w:r w:rsidRPr="006A7F09">
        <w:rPr>
          <w:rFonts w:ascii="Times New Roman" w:hAnsi="Times New Roman" w:cs="Times New Roman"/>
          <w:sz w:val="24"/>
          <w:szCs w:val="24"/>
        </w:rPr>
        <w:t xml:space="preserve">Estimates of the prevalence of HF in India range from 1.3 million to 4.6 million, with an annual incidence of </w:t>
      </w:r>
      <w:r w:rsidR="0023430B">
        <w:rPr>
          <w:rFonts w:ascii="Times New Roman" w:hAnsi="Times New Roman" w:cs="Times New Roman"/>
          <w:sz w:val="24"/>
          <w:szCs w:val="24"/>
        </w:rPr>
        <w:t>4916 000 to 1.8 million.</w:t>
      </w:r>
      <w:r w:rsidRPr="006A7F09">
        <w:rPr>
          <w:rFonts w:ascii="Times New Roman" w:hAnsi="Times New Roman" w:cs="Times New Roman"/>
          <w:sz w:val="24"/>
          <w:szCs w:val="24"/>
        </w:rPr>
        <w:t xml:space="preserve"> The future burden of HF in India will continue to be significantly influenced by the population, epidemiology, and health change.</w:t>
      </w:r>
      <w:r w:rsidRPr="006A7F09">
        <w:rPr>
          <w:rFonts w:ascii="Times New Roman" w:eastAsia="Times New Roman" w:hAnsi="Times New Roman" w:cs="Times New Roman"/>
          <w:sz w:val="24"/>
          <w:szCs w:val="24"/>
          <w:vertAlign w:val="superscript"/>
        </w:rPr>
        <w:t>3</w:t>
      </w:r>
      <w:r w:rsidRPr="006A7F09">
        <w:rPr>
          <w:rFonts w:ascii="Times New Roman" w:hAnsi="Times New Roman" w:cs="Times New Roman"/>
          <w:sz w:val="24"/>
          <w:szCs w:val="24"/>
        </w:rPr>
        <w:t>In the prevention and risk reduction of heart failure, diet is a major modifiable risk factor. Over the past century, there has been advancement in our knowledge of how nutrition plays a role. Major changes have occurred in nutrition studies more recently to better understand the function of foods and diets.</w:t>
      </w:r>
      <w:r w:rsidRPr="006A7F09">
        <w:rPr>
          <w:rFonts w:ascii="Times New Roman" w:eastAsia="Times New Roman" w:hAnsi="Times New Roman" w:cs="Times New Roman"/>
          <w:sz w:val="24"/>
          <w:szCs w:val="24"/>
          <w:vertAlign w:val="superscript"/>
        </w:rPr>
        <w:t>4</w:t>
      </w:r>
    </w:p>
    <w:p w:rsidR="00E21B6C" w:rsidRPr="006A7F09" w:rsidRDefault="00E21B6C" w:rsidP="00DA33D5">
      <w:pPr>
        <w:spacing w:line="360" w:lineRule="auto"/>
        <w:jc w:val="both"/>
        <w:rPr>
          <w:rFonts w:ascii="Times New Roman" w:hAnsi="Times New Roman" w:cs="Times New Roman"/>
          <w:sz w:val="24"/>
          <w:szCs w:val="24"/>
        </w:rPr>
      </w:pPr>
      <w:r w:rsidRPr="006A7F09">
        <w:rPr>
          <w:rFonts w:ascii="Times New Roman" w:hAnsi="Times New Roman" w:cs="Times New Roman"/>
          <w:sz w:val="24"/>
          <w:szCs w:val="24"/>
        </w:rPr>
        <w:t>To effectively manage heart failure, one must keep an eye out for changes in nutritional status as well as changes in signs and symptoms. Everyone, whether they are ill or well, engages in some amount of daily self-care, but if a person is identified as having a complicated chronic illness like heart failure, the importance of self-care and the benefit of specialized assistance become more apparent.</w:t>
      </w:r>
      <w:r w:rsidRPr="006A7F09">
        <w:rPr>
          <w:rFonts w:ascii="Times New Roman" w:eastAsia="Times New Roman" w:hAnsi="Times New Roman" w:cs="Times New Roman"/>
          <w:sz w:val="24"/>
          <w:szCs w:val="24"/>
          <w:vertAlign w:val="superscript"/>
        </w:rPr>
        <w:t xml:space="preserve"> 5</w:t>
      </w:r>
      <w:r w:rsidRPr="006A7F09">
        <w:rPr>
          <w:rFonts w:ascii="Times New Roman" w:hAnsi="Times New Roman" w:cs="Times New Roman"/>
          <w:sz w:val="24"/>
          <w:szCs w:val="24"/>
        </w:rPr>
        <w:t>Strong evidence was presented by a study that suggests the risk of heart disease may be decreased by eating a diet rich in fruits, vegetables, legumes, whole grains, fish, and chicken while limiting red meat, high-fat dairy products, and refined grains. Dietary changes seemed to be more successful in preventing symptoms from getting worse. Because general dietary patterns may be simple for the public to translate into diets, dietary pattern analysis may be helpful in establishing dietary recommendations.</w:t>
      </w:r>
      <w:r w:rsidRPr="006A7F09">
        <w:rPr>
          <w:rFonts w:ascii="Times New Roman" w:eastAsia="Times New Roman" w:hAnsi="Times New Roman" w:cs="Times New Roman"/>
          <w:sz w:val="24"/>
          <w:szCs w:val="24"/>
          <w:vertAlign w:val="superscript"/>
        </w:rPr>
        <w:t>6</w:t>
      </w:r>
    </w:p>
    <w:p w:rsidR="00E21B6C" w:rsidRPr="0023430B" w:rsidRDefault="00E21B6C" w:rsidP="00DA33D5">
      <w:pPr>
        <w:spacing w:line="360" w:lineRule="auto"/>
        <w:jc w:val="both"/>
        <w:rPr>
          <w:rFonts w:ascii="Times New Roman" w:hAnsi="Times New Roman" w:cs="Times New Roman"/>
          <w:sz w:val="24"/>
          <w:szCs w:val="24"/>
        </w:rPr>
      </w:pPr>
      <w:r w:rsidRPr="006A7F09">
        <w:rPr>
          <w:rFonts w:ascii="Times New Roman" w:hAnsi="Times New Roman" w:cs="Times New Roman"/>
          <w:sz w:val="24"/>
          <w:szCs w:val="24"/>
        </w:rPr>
        <w:t>According to the American College of Cardiology/American Heart Association's (ACC/AHA) Joint Guidelines, patients should limit their salt consumption. These recommendations support following dietary recommendations for diabetes, hyperte</w:t>
      </w:r>
      <w:r>
        <w:rPr>
          <w:rFonts w:ascii="Times New Roman" w:hAnsi="Times New Roman" w:cs="Times New Roman"/>
          <w:sz w:val="24"/>
          <w:szCs w:val="24"/>
        </w:rPr>
        <w:t xml:space="preserve">nsion, and hypercholesterolemia </w:t>
      </w:r>
      <w:r w:rsidRPr="006A7F09">
        <w:rPr>
          <w:rFonts w:ascii="Times New Roman" w:hAnsi="Times New Roman" w:cs="Times New Roman"/>
          <w:sz w:val="24"/>
          <w:szCs w:val="24"/>
        </w:rPr>
        <w:t>common underlying and concomitant diseases in HF.</w:t>
      </w:r>
      <w:r w:rsidR="000703D2">
        <w:rPr>
          <w:rFonts w:ascii="Times New Roman" w:eastAsia="Times New Roman" w:hAnsi="Times New Roman" w:cs="Times New Roman"/>
          <w:sz w:val="24"/>
          <w:szCs w:val="24"/>
          <w:vertAlign w:val="superscript"/>
        </w:rPr>
        <w:t>7-11</w:t>
      </w:r>
      <w:r w:rsidRPr="006A7F09">
        <w:rPr>
          <w:rFonts w:ascii="Times New Roman" w:hAnsi="Times New Roman" w:cs="Times New Roman"/>
          <w:sz w:val="24"/>
          <w:szCs w:val="24"/>
        </w:rPr>
        <w:t>Many of recent studies have found evidence that some nutrients have an impact on the advancement of heart failure and related outcomes when consumed in accordance with the DASH diet.</w:t>
      </w:r>
      <w:r w:rsidR="000703D2">
        <w:rPr>
          <w:rFonts w:ascii="Times New Roman" w:eastAsia="Times New Roman" w:hAnsi="Times New Roman" w:cs="Times New Roman"/>
          <w:sz w:val="24"/>
          <w:szCs w:val="24"/>
          <w:vertAlign w:val="superscript"/>
        </w:rPr>
        <w:t>12-14</w:t>
      </w:r>
    </w:p>
    <w:p w:rsidR="00E21B6C" w:rsidRPr="006A7F09" w:rsidRDefault="00E21B6C" w:rsidP="00E21B6C">
      <w:pPr>
        <w:jc w:val="both"/>
        <w:rPr>
          <w:b/>
          <w:sz w:val="24"/>
          <w:szCs w:val="24"/>
        </w:rPr>
      </w:pPr>
      <w:r w:rsidRPr="006A7F09">
        <w:rPr>
          <w:b/>
          <w:sz w:val="24"/>
          <w:szCs w:val="24"/>
        </w:rPr>
        <w:t xml:space="preserve">II.METHODOLOGY </w:t>
      </w:r>
    </w:p>
    <w:p w:rsidR="00E21B6C" w:rsidRPr="00E8211E" w:rsidRDefault="00E21B6C" w:rsidP="00DA33D5">
      <w:pPr>
        <w:spacing w:line="360" w:lineRule="auto"/>
        <w:jc w:val="both"/>
        <w:rPr>
          <w:rFonts w:ascii="Times New Roman" w:hAnsi="Times New Roman" w:cs="Times New Roman"/>
          <w:sz w:val="24"/>
          <w:szCs w:val="24"/>
        </w:rPr>
      </w:pPr>
      <w:r w:rsidRPr="00E8211E">
        <w:rPr>
          <w:rFonts w:ascii="Times New Roman" w:hAnsi="Times New Roman" w:cs="Times New Roman"/>
          <w:sz w:val="24"/>
          <w:szCs w:val="24"/>
        </w:rPr>
        <w:t>Through purposive sampling of 100 respondents who were willing to be part of the study were recruited from heart cure clinic (</w:t>
      </w:r>
      <w:proofErr w:type="spellStart"/>
      <w:r w:rsidRPr="00E8211E">
        <w:rPr>
          <w:rFonts w:ascii="Times New Roman" w:hAnsi="Times New Roman" w:cs="Times New Roman"/>
          <w:sz w:val="24"/>
          <w:szCs w:val="24"/>
        </w:rPr>
        <w:t>kankarbagh</w:t>
      </w:r>
      <w:proofErr w:type="spellEnd"/>
      <w:r w:rsidRPr="00E8211E">
        <w:rPr>
          <w:rFonts w:ascii="Times New Roman" w:hAnsi="Times New Roman" w:cs="Times New Roman"/>
          <w:sz w:val="24"/>
          <w:szCs w:val="24"/>
        </w:rPr>
        <w:t>) some patients from HDNA (</w:t>
      </w:r>
      <w:proofErr w:type="spellStart"/>
      <w:r w:rsidRPr="00E8211E">
        <w:rPr>
          <w:rFonts w:ascii="Times New Roman" w:hAnsi="Times New Roman" w:cs="Times New Roman"/>
          <w:sz w:val="24"/>
          <w:szCs w:val="24"/>
        </w:rPr>
        <w:t>danap</w:t>
      </w:r>
      <w:r>
        <w:rPr>
          <w:rFonts w:ascii="Times New Roman" w:hAnsi="Times New Roman" w:cs="Times New Roman"/>
          <w:sz w:val="24"/>
          <w:szCs w:val="24"/>
        </w:rPr>
        <w:t>ur</w:t>
      </w:r>
      <w:proofErr w:type="spellEnd"/>
      <w:r>
        <w:rPr>
          <w:rFonts w:ascii="Times New Roman" w:hAnsi="Times New Roman" w:cs="Times New Roman"/>
          <w:sz w:val="24"/>
          <w:szCs w:val="24"/>
        </w:rPr>
        <w:t>) and some patient from the (</w:t>
      </w:r>
      <w:proofErr w:type="spellStart"/>
      <w:r>
        <w:rPr>
          <w:rFonts w:ascii="Times New Roman" w:hAnsi="Times New Roman" w:cs="Times New Roman"/>
          <w:sz w:val="24"/>
          <w:szCs w:val="24"/>
        </w:rPr>
        <w:t>D</w:t>
      </w:r>
      <w:r w:rsidRPr="00E8211E">
        <w:rPr>
          <w:rFonts w:ascii="Times New Roman" w:hAnsi="Times New Roman" w:cs="Times New Roman"/>
          <w:sz w:val="24"/>
          <w:szCs w:val="24"/>
        </w:rPr>
        <w:t>aksh</w:t>
      </w:r>
      <w:proofErr w:type="spellEnd"/>
      <w:r w:rsidRPr="00E8211E">
        <w:rPr>
          <w:rFonts w:ascii="Times New Roman" w:hAnsi="Times New Roman" w:cs="Times New Roman"/>
          <w:sz w:val="24"/>
          <w:szCs w:val="24"/>
        </w:rPr>
        <w:t>) heart care clinic Patna Bihar. After taking informed consent throw a well design questionnaire demographic p</w:t>
      </w:r>
      <w:r w:rsidR="00DA33D5">
        <w:rPr>
          <w:rFonts w:ascii="Times New Roman" w:hAnsi="Times New Roman" w:cs="Times New Roman"/>
          <w:sz w:val="24"/>
          <w:szCs w:val="24"/>
        </w:rPr>
        <w:t>rofile</w:t>
      </w:r>
      <w:r w:rsidRPr="00E8211E">
        <w:rPr>
          <w:rFonts w:ascii="Times New Roman" w:hAnsi="Times New Roman" w:cs="Times New Roman"/>
          <w:sz w:val="24"/>
          <w:szCs w:val="24"/>
        </w:rPr>
        <w:t xml:space="preserve"> were collected from 100 heart failure patients.</w:t>
      </w:r>
    </w:p>
    <w:p w:rsidR="00E21B6C" w:rsidRPr="00E8211E" w:rsidRDefault="00E21B6C" w:rsidP="00DA33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This study was set</w:t>
      </w:r>
      <w:r w:rsidR="00DA33D5">
        <w:rPr>
          <w:rFonts w:ascii="Times New Roman" w:hAnsi="Times New Roman" w:cs="Times New Roman"/>
          <w:sz w:val="24"/>
          <w:szCs w:val="24"/>
        </w:rPr>
        <w:t xml:space="preserve"> as a descriptive study, </w:t>
      </w:r>
      <w:r w:rsidRPr="00E8211E">
        <w:rPr>
          <w:rFonts w:ascii="Times New Roman" w:hAnsi="Times New Roman" w:cs="Times New Roman"/>
          <w:sz w:val="24"/>
          <w:szCs w:val="24"/>
        </w:rPr>
        <w:t>age between 30-80 years who reported ever being diagnosed having heart failure by health care provider. Patient who had been history of diabetes, CKD, HTN, and COPD, Thyroid were included in this stud</w:t>
      </w:r>
      <w:r>
        <w:rPr>
          <w:rFonts w:ascii="Times New Roman" w:hAnsi="Times New Roman" w:cs="Times New Roman"/>
          <w:sz w:val="24"/>
          <w:szCs w:val="24"/>
        </w:rPr>
        <w:t>y and patient with Inability to communicate, mental retard</w:t>
      </w:r>
      <w:r w:rsidRPr="00E8211E">
        <w:rPr>
          <w:rFonts w:ascii="Times New Roman" w:hAnsi="Times New Roman" w:cs="Times New Roman"/>
          <w:sz w:val="24"/>
          <w:szCs w:val="24"/>
        </w:rPr>
        <w:t xml:space="preserve"> or memory </w:t>
      </w:r>
      <w:r>
        <w:rPr>
          <w:rFonts w:ascii="Times New Roman" w:hAnsi="Times New Roman" w:cs="Times New Roman"/>
          <w:sz w:val="24"/>
          <w:szCs w:val="24"/>
        </w:rPr>
        <w:t>related diseases were excluded from my</w:t>
      </w:r>
      <w:r w:rsidRPr="00E8211E">
        <w:rPr>
          <w:rFonts w:ascii="Times New Roman" w:hAnsi="Times New Roman" w:cs="Times New Roman"/>
          <w:sz w:val="24"/>
          <w:szCs w:val="24"/>
        </w:rPr>
        <w:t xml:space="preserve"> study.</w:t>
      </w:r>
    </w:p>
    <w:p w:rsidR="00E21B6C" w:rsidRPr="00E8211E" w:rsidRDefault="00E21B6C" w:rsidP="00DA33D5">
      <w:pPr>
        <w:spacing w:after="0" w:line="360" w:lineRule="auto"/>
        <w:jc w:val="both"/>
        <w:rPr>
          <w:rFonts w:ascii="Times New Roman" w:hAnsi="Times New Roman" w:cs="Times New Roman"/>
          <w:sz w:val="24"/>
          <w:szCs w:val="24"/>
        </w:rPr>
      </w:pPr>
      <w:r w:rsidRPr="00E8211E">
        <w:rPr>
          <w:rFonts w:ascii="Times New Roman" w:hAnsi="Times New Roman" w:cs="Times New Roman"/>
          <w:sz w:val="24"/>
          <w:szCs w:val="24"/>
        </w:rPr>
        <w:t>A single 24 hours dietary recall were collected using individual food consumption reco</w:t>
      </w:r>
      <w:r>
        <w:rPr>
          <w:rFonts w:ascii="Times New Roman" w:hAnsi="Times New Roman" w:cs="Times New Roman"/>
          <w:sz w:val="24"/>
          <w:szCs w:val="24"/>
        </w:rPr>
        <w:t xml:space="preserve">rd tracker. All questions were asked by me to patient during a facial interaction with every patient. </w:t>
      </w:r>
      <w:r w:rsidRPr="00E8211E">
        <w:rPr>
          <w:rFonts w:ascii="Times New Roman" w:hAnsi="Times New Roman" w:cs="Times New Roman"/>
          <w:sz w:val="24"/>
          <w:szCs w:val="24"/>
        </w:rPr>
        <w:t>The infor</w:t>
      </w:r>
      <w:r>
        <w:rPr>
          <w:rFonts w:ascii="Times New Roman" w:hAnsi="Times New Roman" w:cs="Times New Roman"/>
          <w:sz w:val="24"/>
          <w:szCs w:val="24"/>
        </w:rPr>
        <w:t>mation form gathered respondent related with age</w:t>
      </w:r>
      <w:r w:rsidRPr="00E8211E">
        <w:rPr>
          <w:rFonts w:ascii="Times New Roman" w:hAnsi="Times New Roman" w:cs="Times New Roman"/>
          <w:sz w:val="24"/>
          <w:szCs w:val="24"/>
        </w:rPr>
        <w:t>,</w:t>
      </w:r>
      <w:r>
        <w:rPr>
          <w:rFonts w:ascii="Times New Roman" w:hAnsi="Times New Roman" w:cs="Times New Roman"/>
          <w:sz w:val="24"/>
          <w:szCs w:val="24"/>
        </w:rPr>
        <w:t xml:space="preserve"> religion,</w:t>
      </w:r>
      <w:r w:rsidRPr="00E8211E">
        <w:rPr>
          <w:rFonts w:ascii="Times New Roman" w:hAnsi="Times New Roman" w:cs="Times New Roman"/>
          <w:sz w:val="24"/>
          <w:szCs w:val="24"/>
        </w:rPr>
        <w:t xml:space="preserve"> daily fluid and salt consumption, body mass index, waist circumference, waist hip ratio, NYHA functional classification assessment, and Echo value. The primary nutrient of interest was sodium, fluid intake, oil intake, fruits and vegetable intake. This analysis used the heart failure specific sodium intake recommendation from the American college of cardiology/American heart association (ACC/AHA</w:t>
      </w:r>
      <w:proofErr w:type="gramStart"/>
      <w:r w:rsidRPr="00E8211E">
        <w:rPr>
          <w:rFonts w:ascii="Times New Roman" w:hAnsi="Times New Roman" w:cs="Times New Roman"/>
          <w:sz w:val="24"/>
          <w:szCs w:val="24"/>
        </w:rPr>
        <w:t>)</w:t>
      </w:r>
      <w:r w:rsidR="00512579">
        <w:rPr>
          <w:rFonts w:ascii="Times New Roman" w:eastAsia="Times New Roman" w:hAnsi="Times New Roman" w:cs="Times New Roman"/>
          <w:sz w:val="24"/>
          <w:szCs w:val="24"/>
          <w:vertAlign w:val="superscript"/>
        </w:rPr>
        <w:t>15</w:t>
      </w:r>
      <w:proofErr w:type="gramEnd"/>
      <w:r w:rsidRPr="00E8211E">
        <w:rPr>
          <w:rFonts w:ascii="Times New Roman" w:hAnsi="Times New Roman" w:cs="Times New Roman"/>
          <w:sz w:val="24"/>
          <w:szCs w:val="24"/>
        </w:rPr>
        <w:t xml:space="preserve"> Additional nutrients promoted by the DASH Diet, which documented associations with impact on heart failure outcomes, were also assessed.</w:t>
      </w:r>
      <w:r w:rsidR="00512579">
        <w:rPr>
          <w:rFonts w:ascii="Times New Roman" w:eastAsia="Times New Roman" w:hAnsi="Times New Roman" w:cs="Times New Roman"/>
          <w:sz w:val="24"/>
          <w:szCs w:val="24"/>
          <w:vertAlign w:val="superscript"/>
        </w:rPr>
        <w:t>16</w:t>
      </w:r>
    </w:p>
    <w:p w:rsidR="00E21B6C" w:rsidRDefault="00E21B6C" w:rsidP="00DA33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Food Consumption analysis were collected by the form and </w:t>
      </w:r>
      <w:r w:rsidRPr="00E8211E">
        <w:rPr>
          <w:rFonts w:ascii="Times New Roman" w:hAnsi="Times New Roman" w:cs="Times New Roman"/>
          <w:sz w:val="24"/>
          <w:szCs w:val="24"/>
        </w:rPr>
        <w:t>the variety of foods consumed by the participants was determined by the different food groups. Arithmetic mean, standard deviation tests were assessed for the qualitative and numeric variables. The data were analyzed using SPSS new version. Significance was regarded as p&lt; .05.Patients who were invited to participate in the study were informed about the study aim and expectations in accordance with the declaration. Patient were enrolled as participants after obtaining their verbal and written approval.</w:t>
      </w:r>
      <w:r>
        <w:rPr>
          <w:rFonts w:ascii="Times New Roman" w:hAnsi="Times New Roman" w:cs="Times New Roman"/>
          <w:sz w:val="24"/>
          <w:szCs w:val="24"/>
        </w:rPr>
        <w:t xml:space="preserve"> </w:t>
      </w:r>
    </w:p>
    <w:p w:rsidR="00E21B6C" w:rsidRPr="00E8211E" w:rsidRDefault="00E21B6C" w:rsidP="00E21B6C">
      <w:pPr>
        <w:spacing w:after="0" w:line="276" w:lineRule="auto"/>
        <w:jc w:val="both"/>
        <w:rPr>
          <w:rFonts w:ascii="Times New Roman" w:hAnsi="Times New Roman" w:cs="Times New Roman"/>
          <w:b/>
          <w:sz w:val="24"/>
          <w:szCs w:val="24"/>
        </w:rPr>
      </w:pPr>
      <w:r w:rsidRPr="00E8211E">
        <w:rPr>
          <w:rFonts w:ascii="Times New Roman" w:hAnsi="Times New Roman" w:cs="Times New Roman"/>
          <w:b/>
          <w:sz w:val="24"/>
          <w:szCs w:val="24"/>
        </w:rPr>
        <w:t>III. RESULTS AND DISCUSSION</w:t>
      </w:r>
    </w:p>
    <w:p w:rsidR="00E21B6C" w:rsidRDefault="00E21B6C" w:rsidP="00E21B6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D53AB">
        <w:rPr>
          <w:rFonts w:ascii="Times New Roman" w:hAnsi="Times New Roman" w:cs="Times New Roman"/>
          <w:sz w:val="24"/>
          <w:szCs w:val="24"/>
        </w:rPr>
        <w:t>Analysis revealed that the m</w:t>
      </w:r>
      <w:r>
        <w:rPr>
          <w:rFonts w:ascii="Times New Roman" w:hAnsi="Times New Roman" w:cs="Times New Roman"/>
          <w:sz w:val="24"/>
          <w:szCs w:val="24"/>
        </w:rPr>
        <w:t>ean age group of the subjects was (70±3.17) and SD 1.</w:t>
      </w:r>
      <w:r w:rsidR="003D53AB">
        <w:rPr>
          <w:rFonts w:ascii="Times New Roman" w:hAnsi="Times New Roman" w:cs="Times New Roman"/>
          <w:sz w:val="24"/>
          <w:szCs w:val="24"/>
        </w:rPr>
        <w:t>359.</w:t>
      </w:r>
    </w:p>
    <w:p w:rsidR="00DA33D5" w:rsidRDefault="00DA33D5" w:rsidP="00E21B6C">
      <w:pPr>
        <w:spacing w:after="0" w:line="276" w:lineRule="auto"/>
        <w:jc w:val="both"/>
        <w:rPr>
          <w:rFonts w:ascii="Times New Roman" w:hAnsi="Times New Roman" w:cs="Times New Roman"/>
          <w:sz w:val="24"/>
          <w:szCs w:val="24"/>
        </w:rPr>
      </w:pPr>
    </w:p>
    <w:p w:rsidR="00E21B6C" w:rsidRDefault="00E21B6C" w:rsidP="00E21B6C">
      <w:pPr>
        <w:spacing w:after="0" w:line="276" w:lineRule="auto"/>
        <w:jc w:val="both"/>
        <w:rPr>
          <w:rFonts w:ascii="Times New Roman" w:hAnsi="Times New Roman" w:cs="Times New Roman"/>
          <w:sz w:val="24"/>
          <w:szCs w:val="24"/>
        </w:rPr>
      </w:pPr>
      <w:r>
        <w:rPr>
          <w:noProof/>
        </w:rPr>
        <w:drawing>
          <wp:inline distT="0" distB="0" distL="0" distR="0" wp14:anchorId="6DC687C3" wp14:editId="74534444">
            <wp:extent cx="5951855" cy="1339702"/>
            <wp:effectExtent l="0" t="0" r="10795" b="1333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E21B6C" w:rsidRPr="00444079" w:rsidRDefault="00E21B6C" w:rsidP="00E21B6C">
      <w:pPr>
        <w:jc w:val="both"/>
        <w:rPr>
          <w:rFonts w:ascii="Times New Roman" w:hAnsi="Times New Roman" w:cs="Times New Roman"/>
          <w:b/>
          <w:sz w:val="24"/>
          <w:szCs w:val="24"/>
        </w:rPr>
      </w:pPr>
      <w:r>
        <w:rPr>
          <w:rFonts w:ascii="Times New Roman" w:hAnsi="Times New Roman" w:cs="Times New Roman"/>
          <w:sz w:val="24"/>
          <w:szCs w:val="24"/>
        </w:rPr>
        <w:t xml:space="preserve">                                       </w:t>
      </w:r>
      <w:r w:rsidR="0044407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44079">
        <w:rPr>
          <w:rFonts w:ascii="Times New Roman" w:hAnsi="Times New Roman" w:cs="Times New Roman"/>
          <w:b/>
          <w:sz w:val="24"/>
          <w:szCs w:val="24"/>
        </w:rPr>
        <w:t>Fig1: Age Status of the respondents</w:t>
      </w:r>
    </w:p>
    <w:p w:rsidR="00E21B6C" w:rsidRDefault="00E21B6C" w:rsidP="00DA33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E8211E">
        <w:rPr>
          <w:rFonts w:ascii="Times New Roman" w:hAnsi="Times New Roman" w:cs="Times New Roman"/>
          <w:sz w:val="24"/>
          <w:szCs w:val="24"/>
        </w:rPr>
        <w:t xml:space="preserve">LEMON </w:t>
      </w:r>
      <w:r w:rsidRPr="00E8211E">
        <w:rPr>
          <w:rFonts w:ascii="Times New Roman" w:hAnsi="Times New Roman" w:cs="Times New Roman"/>
          <w:i/>
          <w:sz w:val="24"/>
          <w:szCs w:val="24"/>
        </w:rPr>
        <w:t>e. al</w:t>
      </w:r>
      <w:r w:rsidRPr="00E8211E">
        <w:rPr>
          <w:rFonts w:ascii="Times New Roman" w:hAnsi="Times New Roman" w:cs="Times New Roman"/>
          <w:sz w:val="24"/>
          <w:szCs w:val="24"/>
        </w:rPr>
        <w:t>.(2010)</w:t>
      </w:r>
      <w:r w:rsidR="00512579">
        <w:rPr>
          <w:rFonts w:ascii="Times New Roman" w:hAnsi="Times New Roman" w:cs="Times New Roman"/>
          <w:sz w:val="24"/>
          <w:szCs w:val="24"/>
          <w:vertAlign w:val="superscript"/>
        </w:rPr>
        <w:t>17</w:t>
      </w:r>
      <w:r w:rsidRPr="00E8211E">
        <w:rPr>
          <w:rFonts w:ascii="Times New Roman" w:hAnsi="Times New Roman" w:cs="Times New Roman"/>
          <w:sz w:val="24"/>
          <w:szCs w:val="24"/>
          <w:vertAlign w:val="superscript"/>
        </w:rPr>
        <w:t xml:space="preserve"> </w:t>
      </w:r>
      <w:r w:rsidRPr="00E8211E">
        <w:rPr>
          <w:rFonts w:ascii="Times New Roman" w:hAnsi="Times New Roman" w:cs="Times New Roman"/>
          <w:sz w:val="24"/>
          <w:szCs w:val="24"/>
        </w:rPr>
        <w:t>conducted a study to assess the dietary quality of person with heart failure in NHANES(1999-2006) they reported that out of 50074 respondents the mean age of the subject was 70.3 years . The age of subjects was almost same when compared to the present study.</w:t>
      </w:r>
    </w:p>
    <w:p w:rsidR="00E21B6C" w:rsidRDefault="00E21B6C" w:rsidP="00E21B6C">
      <w:pPr>
        <w:spacing w:after="0"/>
        <w:jc w:val="both"/>
        <w:rPr>
          <w:rFonts w:ascii="Times New Roman" w:hAnsi="Times New Roman" w:cs="Times New Roman"/>
          <w:sz w:val="24"/>
          <w:szCs w:val="24"/>
        </w:rPr>
      </w:pPr>
      <w:r>
        <w:rPr>
          <w:noProof/>
        </w:rPr>
        <w:lastRenderedPageBreak/>
        <w:drawing>
          <wp:inline distT="0" distB="0" distL="0" distR="0" wp14:anchorId="396ECB6E" wp14:editId="6A7F15FF">
            <wp:extent cx="5977890" cy="1793875"/>
            <wp:effectExtent l="0" t="0" r="3810" b="1587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21B6C" w:rsidRPr="00444079" w:rsidRDefault="00E21B6C" w:rsidP="00E21B6C">
      <w:pPr>
        <w:rPr>
          <w:rStyle w:val="kx21rb"/>
          <w:rFonts w:ascii="Times New Roman" w:hAnsi="Times New Roman" w:cs="Times New Roman"/>
          <w:b/>
          <w:color w:val="70757A"/>
          <w:sz w:val="24"/>
          <w:szCs w:val="24"/>
          <w:shd w:val="clear" w:color="auto" w:fill="FFFFFF"/>
        </w:rPr>
      </w:pPr>
      <w:r>
        <w:rPr>
          <w:rStyle w:val="kx21rb"/>
          <w:rFonts w:ascii="Arial" w:hAnsi="Arial" w:cs="Arial"/>
          <w:color w:val="70757A"/>
          <w:sz w:val="18"/>
          <w:szCs w:val="18"/>
          <w:shd w:val="clear" w:color="auto" w:fill="FFFFFF"/>
        </w:rPr>
        <w:t xml:space="preserve">                                              </w:t>
      </w:r>
      <w:r w:rsidRPr="00444079">
        <w:rPr>
          <w:rStyle w:val="kx21rb"/>
          <w:rFonts w:ascii="Times New Roman" w:hAnsi="Times New Roman" w:cs="Times New Roman"/>
          <w:b/>
          <w:color w:val="000000" w:themeColor="text1"/>
          <w:sz w:val="24"/>
          <w:szCs w:val="24"/>
          <w:shd w:val="clear" w:color="auto" w:fill="FFFFFF"/>
        </w:rPr>
        <w:t>Fig 2: Education Qualification of the respondents</w:t>
      </w:r>
    </w:p>
    <w:p w:rsidR="00E21B6C" w:rsidRPr="00356550" w:rsidRDefault="00E21B6C" w:rsidP="00DA33D5">
      <w:pPr>
        <w:spacing w:line="360" w:lineRule="auto"/>
        <w:jc w:val="both"/>
        <w:rPr>
          <w:rStyle w:val="kx21rb"/>
          <w:rFonts w:ascii="Times New Roman" w:hAnsi="Times New Roman" w:cs="Times New Roman"/>
          <w:color w:val="70757A"/>
          <w:sz w:val="24"/>
          <w:szCs w:val="24"/>
          <w:shd w:val="clear" w:color="auto" w:fill="FFFFFF"/>
        </w:rPr>
      </w:pPr>
      <w:r w:rsidRPr="00356550">
        <w:rPr>
          <w:rStyle w:val="kx21rb"/>
          <w:rFonts w:ascii="Times New Roman" w:hAnsi="Times New Roman" w:cs="Times New Roman"/>
          <w:sz w:val="24"/>
          <w:szCs w:val="24"/>
          <w:shd w:val="clear" w:color="auto" w:fill="FFFFFF"/>
        </w:rPr>
        <w:t xml:space="preserve">Mean Education qualification was 2.74 and SD was .960 in this study. </w:t>
      </w:r>
      <w:proofErr w:type="spellStart"/>
      <w:r>
        <w:rPr>
          <w:rFonts w:ascii="Times New Roman" w:eastAsia="Times New Roman" w:hAnsi="Times New Roman" w:cs="Times New Roman"/>
          <w:sz w:val="24"/>
          <w:szCs w:val="24"/>
        </w:rPr>
        <w:t>Hilal</w:t>
      </w:r>
      <w:proofErr w:type="spellEnd"/>
      <w:r>
        <w:rPr>
          <w:rFonts w:ascii="Times New Roman" w:eastAsia="Times New Roman" w:hAnsi="Times New Roman" w:cs="Times New Roman"/>
          <w:sz w:val="24"/>
          <w:szCs w:val="24"/>
        </w:rPr>
        <w:t xml:space="preserve"> </w:t>
      </w:r>
      <w:r w:rsidRPr="00356550">
        <w:rPr>
          <w:rFonts w:ascii="Times New Roman" w:eastAsia="Times New Roman" w:hAnsi="Times New Roman" w:cs="Times New Roman"/>
          <w:sz w:val="24"/>
          <w:szCs w:val="24"/>
        </w:rPr>
        <w:t xml:space="preserve">UYSAL </w:t>
      </w:r>
      <w:r w:rsidRPr="00356550">
        <w:rPr>
          <w:rFonts w:ascii="Times New Roman" w:eastAsia="Times New Roman" w:hAnsi="Times New Roman" w:cs="Times New Roman"/>
          <w:i/>
          <w:sz w:val="24"/>
          <w:szCs w:val="24"/>
        </w:rPr>
        <w:t>et al.(</w:t>
      </w:r>
      <w:r w:rsidRPr="00356550">
        <w:rPr>
          <w:rFonts w:ascii="Times New Roman" w:eastAsia="Times New Roman" w:hAnsi="Times New Roman" w:cs="Times New Roman"/>
          <w:sz w:val="24"/>
          <w:szCs w:val="24"/>
        </w:rPr>
        <w:t>2019)</w:t>
      </w:r>
      <w:r w:rsidR="00512579">
        <w:rPr>
          <w:rFonts w:ascii="Times New Roman" w:eastAsia="Times New Roman" w:hAnsi="Times New Roman" w:cs="Times New Roman"/>
          <w:sz w:val="24"/>
          <w:szCs w:val="24"/>
          <w:vertAlign w:val="superscript"/>
        </w:rPr>
        <w:t>18</w:t>
      </w:r>
      <w:r w:rsidRPr="00356550">
        <w:rPr>
          <w:rFonts w:ascii="Times New Roman" w:eastAsia="Times New Roman" w:hAnsi="Times New Roman" w:cs="Times New Roman"/>
          <w:sz w:val="24"/>
          <w:szCs w:val="24"/>
        </w:rPr>
        <w:t>conducted a similar study which reported that out of total hundred subjects 50% were a studied up to matriculation 29% a studied up to intermediate, 5% were found graduate, and rest 16% were illiterate. In present study most of the respondent were literate.</w:t>
      </w:r>
    </w:p>
    <w:p w:rsidR="00E21B6C" w:rsidRDefault="00E21B6C" w:rsidP="00E21B6C">
      <w:pPr>
        <w:rPr>
          <w:rStyle w:val="kx21rb"/>
          <w:rFonts w:ascii="Times New Roman" w:hAnsi="Times New Roman" w:cs="Times New Roman"/>
          <w:b/>
          <w:color w:val="70757A"/>
          <w:sz w:val="24"/>
          <w:szCs w:val="24"/>
          <w:shd w:val="clear" w:color="auto" w:fill="FFFFFF"/>
        </w:rPr>
      </w:pPr>
      <w:r>
        <w:rPr>
          <w:noProof/>
        </w:rPr>
        <w:drawing>
          <wp:inline distT="0" distB="0" distL="0" distR="0" wp14:anchorId="287BCC14" wp14:editId="3050D915">
            <wp:extent cx="5891842" cy="1052195"/>
            <wp:effectExtent l="0" t="0" r="13970" b="1460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E5387F" w:rsidRPr="00444079" w:rsidRDefault="00E21B6C" w:rsidP="00E5387F">
      <w:pPr>
        <w:rPr>
          <w:rStyle w:val="kx21rb"/>
          <w:rFonts w:ascii="Times New Roman" w:hAnsi="Times New Roman" w:cs="Times New Roman"/>
          <w:b/>
          <w:color w:val="000000" w:themeColor="text1"/>
          <w:sz w:val="24"/>
          <w:szCs w:val="24"/>
          <w:shd w:val="clear" w:color="auto" w:fill="FFFFFF"/>
        </w:rPr>
      </w:pPr>
      <w:r>
        <w:rPr>
          <w:rStyle w:val="kx21rb"/>
          <w:rFonts w:ascii="Times New Roman" w:hAnsi="Times New Roman" w:cs="Times New Roman"/>
          <w:b/>
          <w:color w:val="70757A"/>
          <w:sz w:val="24"/>
          <w:szCs w:val="24"/>
          <w:shd w:val="clear" w:color="auto" w:fill="FFFFFF"/>
        </w:rPr>
        <w:t xml:space="preserve">                                            </w:t>
      </w:r>
      <w:r w:rsidRPr="00444079">
        <w:rPr>
          <w:rStyle w:val="kx21rb"/>
          <w:rFonts w:ascii="Times New Roman" w:hAnsi="Times New Roman" w:cs="Times New Roman"/>
          <w:b/>
          <w:color w:val="000000" w:themeColor="text1"/>
          <w:sz w:val="24"/>
          <w:szCs w:val="24"/>
          <w:shd w:val="clear" w:color="auto" w:fill="FFFFFF"/>
        </w:rPr>
        <w:t>Fig: 3 Employ</w:t>
      </w:r>
      <w:r w:rsidR="00E5387F" w:rsidRPr="00444079">
        <w:rPr>
          <w:rStyle w:val="kx21rb"/>
          <w:rFonts w:ascii="Times New Roman" w:hAnsi="Times New Roman" w:cs="Times New Roman"/>
          <w:b/>
          <w:color w:val="000000" w:themeColor="text1"/>
          <w:sz w:val="24"/>
          <w:szCs w:val="24"/>
          <w:shd w:val="clear" w:color="auto" w:fill="FFFFFF"/>
        </w:rPr>
        <w:t>ment status of the respondents</w:t>
      </w:r>
    </w:p>
    <w:p w:rsidR="00E21B6C" w:rsidRPr="00711B0E" w:rsidRDefault="00E21B6C" w:rsidP="00DA33D5">
      <w:pPr>
        <w:spacing w:line="360" w:lineRule="auto"/>
        <w:jc w:val="both"/>
        <w:rPr>
          <w:rStyle w:val="kx21rb"/>
          <w:rFonts w:ascii="Times New Roman" w:hAnsi="Times New Roman" w:cs="Times New Roman"/>
          <w:color w:val="000000" w:themeColor="text1"/>
          <w:sz w:val="24"/>
          <w:szCs w:val="24"/>
          <w:shd w:val="clear" w:color="auto" w:fill="FFFFFF"/>
        </w:rPr>
      </w:pPr>
      <w:r w:rsidRPr="00711B0E">
        <w:rPr>
          <w:rStyle w:val="kx21rb"/>
          <w:rFonts w:ascii="Times New Roman" w:hAnsi="Times New Roman" w:cs="Times New Roman"/>
          <w:color w:val="000000" w:themeColor="text1"/>
          <w:sz w:val="24"/>
          <w:szCs w:val="24"/>
          <w:shd w:val="clear" w:color="auto" w:fill="FFFFFF"/>
        </w:rPr>
        <w:t xml:space="preserve"> Mean score of the respondent income was 2.65 and SD was 1.359 in present study. </w:t>
      </w:r>
      <w:r w:rsidRPr="00711B0E">
        <w:rPr>
          <w:rFonts w:ascii="Times New Roman" w:eastAsia="Times New Roman" w:hAnsi="Times New Roman" w:cs="Times New Roman"/>
          <w:color w:val="000000" w:themeColor="text1"/>
          <w:sz w:val="24"/>
          <w:szCs w:val="24"/>
        </w:rPr>
        <w:t xml:space="preserve">Amare </w:t>
      </w:r>
      <w:r w:rsidRPr="00711B0E">
        <w:rPr>
          <w:rFonts w:ascii="Times New Roman" w:eastAsia="Times New Roman" w:hAnsi="Times New Roman" w:cs="Times New Roman"/>
          <w:i/>
          <w:color w:val="000000" w:themeColor="text1"/>
          <w:sz w:val="24"/>
          <w:szCs w:val="24"/>
        </w:rPr>
        <w:t>et al.(</w:t>
      </w:r>
      <w:r w:rsidRPr="00711B0E">
        <w:rPr>
          <w:rFonts w:ascii="Times New Roman" w:eastAsia="Times New Roman" w:hAnsi="Times New Roman" w:cs="Times New Roman"/>
          <w:color w:val="000000" w:themeColor="text1"/>
          <w:sz w:val="24"/>
          <w:szCs w:val="24"/>
        </w:rPr>
        <w:t>2015)</w:t>
      </w:r>
      <w:r w:rsidR="00512579">
        <w:rPr>
          <w:rFonts w:ascii="Times New Roman" w:eastAsia="Times New Roman" w:hAnsi="Times New Roman" w:cs="Times New Roman"/>
          <w:color w:val="000000" w:themeColor="text1"/>
          <w:sz w:val="24"/>
          <w:szCs w:val="24"/>
          <w:vertAlign w:val="superscript"/>
        </w:rPr>
        <w:t>19,20</w:t>
      </w:r>
      <w:r w:rsidRPr="00711B0E">
        <w:rPr>
          <w:rFonts w:ascii="Times New Roman" w:eastAsia="Times New Roman" w:hAnsi="Times New Roman" w:cs="Times New Roman"/>
          <w:color w:val="000000" w:themeColor="text1"/>
          <w:sz w:val="24"/>
          <w:szCs w:val="24"/>
        </w:rPr>
        <w:t xml:space="preserve"> conducted a study on malnutrition and associated factors among heart failure patients out of 284 heart failure patients, 56% were employed and 42% were non employed. Employment status of the subjects was more when compare to the present study.</w:t>
      </w:r>
    </w:p>
    <w:p w:rsidR="00E21B6C" w:rsidRPr="00C8500F" w:rsidRDefault="00E21B6C" w:rsidP="00E21B6C">
      <w:pPr>
        <w:rPr>
          <w:rStyle w:val="kx21rb"/>
          <w:rFonts w:ascii="Times New Roman" w:hAnsi="Times New Roman" w:cs="Times New Roman"/>
          <w:b/>
          <w:color w:val="70757A"/>
          <w:sz w:val="24"/>
          <w:szCs w:val="24"/>
          <w:shd w:val="clear" w:color="auto" w:fill="FFFFFF"/>
        </w:rPr>
      </w:pPr>
      <w:r>
        <w:rPr>
          <w:noProof/>
        </w:rPr>
        <w:drawing>
          <wp:inline distT="0" distB="0" distL="0" distR="0" wp14:anchorId="28A4CEDA" wp14:editId="55A03AF7">
            <wp:extent cx="5839556" cy="1345565"/>
            <wp:effectExtent l="0" t="0" r="8890" b="698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21B6C" w:rsidRPr="00444079" w:rsidRDefault="00E21B6C" w:rsidP="00E21B6C">
      <w:pPr>
        <w:rPr>
          <w:rFonts w:ascii="Times New Roman" w:hAnsi="Times New Roman" w:cs="Times New Roman"/>
          <w:b/>
          <w:sz w:val="24"/>
          <w:szCs w:val="24"/>
        </w:rPr>
      </w:pPr>
      <w:r w:rsidRPr="00444079">
        <w:rPr>
          <w:rFonts w:ascii="Times New Roman" w:hAnsi="Times New Roman" w:cs="Times New Roman"/>
          <w:b/>
          <w:sz w:val="24"/>
          <w:szCs w:val="24"/>
        </w:rPr>
        <w:t xml:space="preserve">                                              Fig 4: Economic status of respondents </w:t>
      </w:r>
    </w:p>
    <w:p w:rsidR="00E21B6C" w:rsidRPr="00725A5E" w:rsidRDefault="00E21B6C" w:rsidP="00DA33D5">
      <w:pPr>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Information regarding economic status in figure show that 44% of the respondent monthly income was 20000-30000 rupees, 18% were earning 50-60 thousand per month, while 18% were earning </w:t>
      </w:r>
      <w:r>
        <w:rPr>
          <w:rFonts w:ascii="Times New Roman" w:hAnsi="Times New Roman" w:cs="Times New Roman"/>
          <w:sz w:val="24"/>
          <w:szCs w:val="24"/>
        </w:rPr>
        <w:lastRenderedPageBreak/>
        <w:t xml:space="preserve">10-20thousand per month from various source, 8% were earning 40-50k per month and rest 12% </w:t>
      </w:r>
      <w:proofErr w:type="gramStart"/>
      <w:r>
        <w:rPr>
          <w:rFonts w:ascii="Times New Roman" w:hAnsi="Times New Roman" w:cs="Times New Roman"/>
          <w:sz w:val="24"/>
          <w:szCs w:val="24"/>
        </w:rPr>
        <w:t>were</w:t>
      </w:r>
      <w:proofErr w:type="gramEnd"/>
      <w:r>
        <w:rPr>
          <w:rFonts w:ascii="Times New Roman" w:hAnsi="Times New Roman" w:cs="Times New Roman"/>
          <w:sz w:val="24"/>
          <w:szCs w:val="24"/>
        </w:rPr>
        <w:t xml:space="preserve"> earning 30-40k in a month.</w:t>
      </w:r>
    </w:p>
    <w:p w:rsidR="00E21B6C" w:rsidRPr="00725A5E" w:rsidRDefault="00E21B6C" w:rsidP="00E21B6C">
      <w:pPr>
        <w:rPr>
          <w:rFonts w:ascii="Times New Roman" w:hAnsi="Times New Roman" w:cs="Times New Roman"/>
          <w:color w:val="FFFFFF" w:themeColor="background1"/>
          <w:sz w:val="24"/>
          <w:szCs w:val="24"/>
        </w:rPr>
      </w:pPr>
      <w:r>
        <w:rPr>
          <w:noProof/>
        </w:rPr>
        <w:drawing>
          <wp:inline distT="0" distB="0" distL="0" distR="0" wp14:anchorId="7F02F14A" wp14:editId="2EEFA2BD">
            <wp:extent cx="5874385" cy="931653"/>
            <wp:effectExtent l="0" t="0" r="12065" b="190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Pr>
          <w:rFonts w:ascii="Times New Roman" w:hAnsi="Times New Roman" w:cs="Times New Roman"/>
          <w:sz w:val="24"/>
          <w:szCs w:val="24"/>
        </w:rPr>
        <w:t xml:space="preserve">               </w:t>
      </w:r>
      <w:r w:rsidRPr="008B1796">
        <w:rPr>
          <w:rFonts w:ascii="Times New Roman" w:hAnsi="Times New Roman" w:cs="Times New Roman"/>
          <w:color w:val="FFFFFF" w:themeColor="background1"/>
          <w:sz w:val="24"/>
          <w:szCs w:val="24"/>
        </w:rPr>
        <w:t xml:space="preserve">Fig: </w:t>
      </w:r>
      <w:r>
        <w:rPr>
          <w:rFonts w:ascii="Times New Roman" w:hAnsi="Times New Roman" w:cs="Times New Roman"/>
          <w:color w:val="FFFFFF" w:themeColor="background1"/>
          <w:sz w:val="24"/>
          <w:szCs w:val="24"/>
        </w:rPr>
        <w:t xml:space="preserve">                                 </w:t>
      </w:r>
      <w:r w:rsidRPr="008B1796">
        <w:rPr>
          <w:rFonts w:ascii="Times New Roman" w:hAnsi="Times New Roman" w:cs="Times New Roman"/>
          <w:color w:val="FFFFFF" w:themeColor="background1"/>
          <w:sz w:val="24"/>
          <w:szCs w:val="24"/>
        </w:rPr>
        <w:t xml:space="preserve">  </w:t>
      </w:r>
      <w:r w:rsidRPr="00444079">
        <w:rPr>
          <w:rFonts w:ascii="Times New Roman" w:hAnsi="Times New Roman" w:cs="Times New Roman"/>
          <w:b/>
          <w:sz w:val="24"/>
          <w:szCs w:val="24"/>
        </w:rPr>
        <w:t>Fig:</w:t>
      </w:r>
      <w:r w:rsidR="00DA33D5" w:rsidRPr="00444079">
        <w:rPr>
          <w:rFonts w:ascii="Times New Roman" w:hAnsi="Times New Roman" w:cs="Times New Roman"/>
          <w:b/>
          <w:sz w:val="24"/>
          <w:szCs w:val="24"/>
        </w:rPr>
        <w:t xml:space="preserve"> </w:t>
      </w:r>
      <w:r w:rsidRPr="00444079">
        <w:rPr>
          <w:rFonts w:ascii="Times New Roman" w:hAnsi="Times New Roman" w:cs="Times New Roman"/>
          <w:b/>
          <w:sz w:val="24"/>
          <w:szCs w:val="24"/>
        </w:rPr>
        <w:t>5 Nutritional status of HF Patients (BMI)</w:t>
      </w:r>
    </w:p>
    <w:p w:rsidR="00E21B6C" w:rsidRDefault="00E21B6C" w:rsidP="00DA33D5">
      <w:pPr>
        <w:spacing w:line="360" w:lineRule="auto"/>
        <w:jc w:val="both"/>
        <w:rPr>
          <w:rFonts w:ascii="Times New Roman" w:hAnsi="Times New Roman" w:cs="Times New Roman"/>
          <w:sz w:val="24"/>
          <w:szCs w:val="24"/>
        </w:rPr>
      </w:pPr>
      <w:r w:rsidRPr="008B1796">
        <w:rPr>
          <w:rFonts w:ascii="Times New Roman" w:eastAsia="Times New Roman" w:hAnsi="Times New Roman" w:cs="Times New Roman"/>
          <w:sz w:val="24"/>
          <w:szCs w:val="24"/>
        </w:rPr>
        <w:t xml:space="preserve">Mean Score of BMI was 2.69 while SD was .895 in this present study. </w:t>
      </w:r>
      <w:proofErr w:type="spellStart"/>
      <w:r w:rsidRPr="008B1796">
        <w:rPr>
          <w:rFonts w:ascii="Times New Roman" w:eastAsia="Times New Roman" w:hAnsi="Times New Roman" w:cs="Times New Roman"/>
          <w:sz w:val="24"/>
          <w:szCs w:val="24"/>
        </w:rPr>
        <w:t>Hilal</w:t>
      </w:r>
      <w:proofErr w:type="spellEnd"/>
      <w:r w:rsidRPr="008B1796">
        <w:rPr>
          <w:rFonts w:ascii="Times New Roman" w:eastAsia="Times New Roman" w:hAnsi="Times New Roman" w:cs="Times New Roman"/>
          <w:sz w:val="24"/>
          <w:szCs w:val="24"/>
        </w:rPr>
        <w:t xml:space="preserve"> UYSAL </w:t>
      </w:r>
      <w:r w:rsidRPr="008B1796">
        <w:rPr>
          <w:rFonts w:ascii="Times New Roman" w:eastAsia="Times New Roman" w:hAnsi="Times New Roman" w:cs="Times New Roman"/>
          <w:i/>
          <w:sz w:val="24"/>
          <w:szCs w:val="24"/>
        </w:rPr>
        <w:t>et al</w:t>
      </w:r>
      <w:r w:rsidRPr="008B1796">
        <w:rPr>
          <w:rFonts w:ascii="Times New Roman" w:eastAsia="Times New Roman" w:hAnsi="Times New Roman" w:cs="Times New Roman"/>
          <w:sz w:val="24"/>
          <w:szCs w:val="24"/>
        </w:rPr>
        <w:t>(2019)</w:t>
      </w:r>
      <w:r w:rsidR="00512579">
        <w:rPr>
          <w:rFonts w:ascii="Times New Roman" w:eastAsia="Times New Roman" w:hAnsi="Times New Roman" w:cs="Times New Roman"/>
          <w:sz w:val="24"/>
          <w:szCs w:val="24"/>
          <w:vertAlign w:val="superscript"/>
        </w:rPr>
        <w:t xml:space="preserve">21 </w:t>
      </w:r>
      <w:r w:rsidRPr="008B1796">
        <w:rPr>
          <w:rFonts w:ascii="Times New Roman" w:eastAsia="Times New Roman" w:hAnsi="Times New Roman" w:cs="Times New Roman"/>
          <w:sz w:val="24"/>
          <w:szCs w:val="24"/>
        </w:rPr>
        <w:t>conducted their study which reported that out of total N=100 respondents, 5% were underweight, 34% were healthy BMI, majority of the respondents were overweight, 21% of the respondents were obese and rest three percent subjects were on morbid obese. The majority of the subjects was overweight when compared to the present study.</w:t>
      </w:r>
    </w:p>
    <w:p w:rsidR="00E21B6C" w:rsidRDefault="00E21B6C" w:rsidP="00E21B6C">
      <w:pPr>
        <w:jc w:val="both"/>
        <w:rPr>
          <w:rFonts w:ascii="Times New Roman" w:hAnsi="Times New Roman" w:cs="Times New Roman"/>
          <w:sz w:val="24"/>
          <w:szCs w:val="24"/>
        </w:rPr>
      </w:pPr>
      <w:r>
        <w:rPr>
          <w:noProof/>
        </w:rPr>
        <w:drawing>
          <wp:inline distT="0" distB="0" distL="0" distR="0" wp14:anchorId="3A42F411" wp14:editId="359A0DFD">
            <wp:extent cx="5908675" cy="1406106"/>
            <wp:effectExtent l="0" t="0" r="15875" b="381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Pr>
          <w:rFonts w:ascii="Times New Roman" w:hAnsi="Times New Roman" w:cs="Times New Roman"/>
          <w:sz w:val="24"/>
          <w:szCs w:val="24"/>
        </w:rPr>
        <w:t xml:space="preserve">      </w:t>
      </w:r>
    </w:p>
    <w:p w:rsidR="00E21B6C" w:rsidRPr="00444079" w:rsidRDefault="00E21B6C" w:rsidP="00E21B6C">
      <w:pPr>
        <w:jc w:val="both"/>
        <w:rPr>
          <w:rFonts w:ascii="Times New Roman" w:hAnsi="Times New Roman" w:cs="Times New Roman"/>
          <w:b/>
          <w:sz w:val="24"/>
          <w:szCs w:val="24"/>
        </w:rPr>
      </w:pPr>
      <w:r>
        <w:rPr>
          <w:rFonts w:ascii="Times New Roman" w:hAnsi="Times New Roman" w:cs="Times New Roman"/>
          <w:sz w:val="24"/>
          <w:szCs w:val="24"/>
        </w:rPr>
        <w:t xml:space="preserve">                                                 </w:t>
      </w:r>
      <w:r w:rsidRPr="00444079">
        <w:rPr>
          <w:rFonts w:ascii="Times New Roman" w:hAnsi="Times New Roman" w:cs="Times New Roman"/>
          <w:b/>
          <w:sz w:val="24"/>
          <w:szCs w:val="24"/>
        </w:rPr>
        <w:t xml:space="preserve">Fig: 6 Health History of patients </w:t>
      </w:r>
    </w:p>
    <w:p w:rsidR="008A30A4" w:rsidRPr="00444079" w:rsidRDefault="00E21B6C" w:rsidP="00444079">
      <w:pPr>
        <w:spacing w:line="360" w:lineRule="auto"/>
        <w:jc w:val="both"/>
        <w:rPr>
          <w:rFonts w:ascii="Times New Roman" w:eastAsia="Times New Roman" w:hAnsi="Times New Roman" w:cs="Times New Roman"/>
          <w:sz w:val="24"/>
          <w:szCs w:val="24"/>
        </w:rPr>
      </w:pPr>
      <w:r w:rsidRPr="008B1796">
        <w:rPr>
          <w:rFonts w:ascii="Times New Roman" w:hAnsi="Times New Roman" w:cs="Times New Roman"/>
          <w:sz w:val="24"/>
          <w:szCs w:val="24"/>
        </w:rPr>
        <w:t xml:space="preserve">Mean score of the patient history was 3.18 and SD was 1.66. </w:t>
      </w:r>
      <w:r>
        <w:rPr>
          <w:rFonts w:ascii="Times New Roman" w:eastAsia="Times New Roman" w:hAnsi="Times New Roman" w:cs="Times New Roman"/>
          <w:sz w:val="24"/>
          <w:szCs w:val="24"/>
        </w:rPr>
        <w:t xml:space="preserve">Chi square analysis shows </w:t>
      </w:r>
      <w:r w:rsidRPr="008B1796">
        <w:rPr>
          <w:rFonts w:ascii="Times New Roman" w:eastAsia="Times New Roman" w:hAnsi="Times New Roman" w:cs="Times New Roman"/>
          <w:sz w:val="24"/>
          <w:szCs w:val="24"/>
        </w:rPr>
        <w:t>that there was statistically no significant correlation at p&lt;0.05 between nutritional status and education level (p=0.109) and international status and income level chi square level</w:t>
      </w:r>
      <w:r>
        <w:rPr>
          <w:rFonts w:ascii="Times New Roman" w:eastAsia="Times New Roman" w:hAnsi="Times New Roman" w:cs="Times New Roman"/>
          <w:sz w:val="24"/>
          <w:szCs w:val="24"/>
        </w:rPr>
        <w:t xml:space="preserve"> x</w:t>
      </w:r>
      <w:r>
        <w:rPr>
          <w:rFonts w:ascii="Times New Roman" w:eastAsia="Times New Roman" w:hAnsi="Times New Roman" w:cs="Times New Roman"/>
          <w:sz w:val="24"/>
          <w:szCs w:val="24"/>
          <w:vertAlign w:val="superscript"/>
        </w:rPr>
        <w:t>2</w:t>
      </w:r>
      <w:r w:rsidRPr="008B1796">
        <w:rPr>
          <w:rFonts w:ascii="Times New Roman" w:eastAsia="Times New Roman" w:hAnsi="Times New Roman" w:cs="Times New Roman"/>
          <w:sz w:val="24"/>
          <w:szCs w:val="24"/>
        </w:rPr>
        <w:t xml:space="preserve"> =6.63,</w:t>
      </w:r>
      <w:r>
        <w:rPr>
          <w:rFonts w:ascii="Times New Roman" w:eastAsia="Times New Roman" w:hAnsi="Times New Roman" w:cs="Times New Roman"/>
          <w:sz w:val="24"/>
          <w:szCs w:val="24"/>
        </w:rPr>
        <w:t xml:space="preserve"> </w:t>
      </w:r>
      <w:r w:rsidRPr="008B1796">
        <w:rPr>
          <w:rFonts w:ascii="Times New Roman" w:eastAsia="Times New Roman" w:hAnsi="Times New Roman" w:cs="Times New Roman"/>
          <w:sz w:val="24"/>
          <w:szCs w:val="24"/>
        </w:rPr>
        <w:t xml:space="preserve">P =0.356). The reason of more person fall in </w:t>
      </w:r>
      <w:r>
        <w:rPr>
          <w:rFonts w:ascii="Times New Roman" w:eastAsia="Times New Roman" w:hAnsi="Times New Roman" w:cs="Times New Roman"/>
          <w:sz w:val="24"/>
          <w:szCs w:val="24"/>
        </w:rPr>
        <w:t>health</w:t>
      </w:r>
      <w:r w:rsidR="003146DE">
        <w:rPr>
          <w:rFonts w:ascii="Times New Roman" w:eastAsia="Times New Roman" w:hAnsi="Times New Roman" w:cs="Times New Roman"/>
          <w:sz w:val="24"/>
          <w:szCs w:val="24"/>
        </w:rPr>
        <w:t xml:space="preserve"> </w:t>
      </w:r>
      <w:r w:rsidRPr="008B1796">
        <w:rPr>
          <w:rFonts w:ascii="Times New Roman" w:eastAsia="Times New Roman" w:hAnsi="Times New Roman" w:cs="Times New Roman"/>
          <w:sz w:val="24"/>
          <w:szCs w:val="24"/>
        </w:rPr>
        <w:t>category because of availability of</w:t>
      </w:r>
      <w:r w:rsidR="003146DE">
        <w:rPr>
          <w:rFonts w:ascii="Times New Roman" w:eastAsia="Times New Roman" w:hAnsi="Times New Roman" w:cs="Times New Roman"/>
          <w:sz w:val="24"/>
          <w:szCs w:val="24"/>
        </w:rPr>
        <w:t xml:space="preserve"> food and they are from village</w:t>
      </w:r>
      <w:r w:rsidR="003146DE">
        <w:rPr>
          <w:rFonts w:ascii="Times New Roman" w:eastAsia="Times New Roman" w:hAnsi="Times New Roman" w:cs="Times New Roman"/>
          <w:sz w:val="24"/>
          <w:szCs w:val="24"/>
        </w:rPr>
        <w:tab/>
      </w:r>
      <w:r w:rsidRPr="008B1796">
        <w:rPr>
          <w:rFonts w:ascii="Times New Roman" w:eastAsia="Times New Roman" w:hAnsi="Times New Roman" w:cs="Times New Roman"/>
          <w:sz w:val="24"/>
          <w:szCs w:val="24"/>
        </w:rPr>
        <w:t>area.</w:t>
      </w:r>
      <w:r>
        <w:rPr>
          <w:rFonts w:ascii="Times New Roman" w:hAnsi="Times New Roman" w:cs="Times New Roman"/>
          <w:sz w:val="24"/>
          <w:szCs w:val="24"/>
        </w:rPr>
        <w:t xml:space="preserve"> Fig 7: Symptoms of HF Patients </w:t>
      </w:r>
    </w:p>
    <w:p w:rsidR="00444079" w:rsidRDefault="00E21B6C" w:rsidP="0044407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The mean score of the patient regarding symptoms was 2.36 a</w:t>
      </w:r>
      <w:r w:rsidR="008A30A4">
        <w:rPr>
          <w:rFonts w:ascii="Times New Roman" w:hAnsi="Times New Roman" w:cs="Times New Roman"/>
          <w:sz w:val="24"/>
          <w:szCs w:val="24"/>
        </w:rPr>
        <w:t xml:space="preserve">nd SD was 1.092 in this present </w:t>
      </w:r>
      <w:r>
        <w:rPr>
          <w:rFonts w:ascii="Times New Roman" w:hAnsi="Times New Roman" w:cs="Times New Roman"/>
          <w:sz w:val="24"/>
          <w:szCs w:val="24"/>
        </w:rPr>
        <w:t>study.</w:t>
      </w:r>
      <w:r w:rsidR="00DA33D5">
        <w:rPr>
          <w:rFonts w:ascii="Times New Roman" w:hAnsi="Times New Roman" w:cs="Times New Roman"/>
          <w:sz w:val="24"/>
          <w:szCs w:val="24"/>
        </w:rPr>
        <w:t xml:space="preserve"> </w:t>
      </w:r>
      <w:r w:rsidRPr="00C3153E">
        <w:rPr>
          <w:rFonts w:ascii="Times New Roman" w:hAnsi="Times New Roman" w:cs="Times New Roman"/>
          <w:sz w:val="24"/>
          <w:szCs w:val="24"/>
        </w:rPr>
        <w:t>Assessment</w:t>
      </w:r>
      <w:r>
        <w:rPr>
          <w:rFonts w:ascii="Times New Roman" w:hAnsi="Times New Roman" w:cs="Times New Roman"/>
          <w:sz w:val="24"/>
          <w:szCs w:val="24"/>
        </w:rPr>
        <w:t xml:space="preserve"> of food consumption patterns of the participant revels that in this study that </w:t>
      </w:r>
      <w:r w:rsidRPr="00C3153E">
        <w:rPr>
          <w:rFonts w:ascii="Times New Roman" w:hAnsi="Times New Roman" w:cs="Times New Roman"/>
          <w:sz w:val="24"/>
          <w:szCs w:val="24"/>
        </w:rPr>
        <w:t>, 45 % of the participants stated that they never consumed two or more eggs in a week as recommended foods, whereas 42% stated that they consumed egg occasionally; while 13% of participants always consume eggs in week. 20% of the respondents were taking always fruits while 49% of the respondents were never taking fruits in daily. Now only 25%</w:t>
      </w:r>
      <w:r>
        <w:rPr>
          <w:rFonts w:ascii="Times New Roman" w:hAnsi="Times New Roman" w:cs="Times New Roman"/>
          <w:sz w:val="24"/>
          <w:szCs w:val="24"/>
        </w:rPr>
        <w:t xml:space="preserve"> </w:t>
      </w:r>
      <w:r w:rsidRPr="00C3153E">
        <w:rPr>
          <w:rFonts w:ascii="Times New Roman" w:hAnsi="Times New Roman" w:cs="Times New Roman"/>
          <w:sz w:val="24"/>
          <w:szCs w:val="24"/>
        </w:rPr>
        <w:t xml:space="preserve">of the respondents were </w:t>
      </w:r>
      <w:r w:rsidRPr="00C3153E">
        <w:rPr>
          <w:rFonts w:ascii="Times New Roman" w:hAnsi="Times New Roman" w:cs="Times New Roman"/>
          <w:sz w:val="24"/>
          <w:szCs w:val="24"/>
        </w:rPr>
        <w:lastRenderedPageBreak/>
        <w:t>eating vegetables regularly while majority 45% was taking sometimes.68% were tak</w:t>
      </w:r>
      <w:r>
        <w:rPr>
          <w:rFonts w:ascii="Times New Roman" w:hAnsi="Times New Roman" w:cs="Times New Roman"/>
          <w:sz w:val="24"/>
          <w:szCs w:val="24"/>
        </w:rPr>
        <w:t xml:space="preserve">ing grains in the form of Maida, </w:t>
      </w:r>
      <w:r w:rsidRPr="00C3153E">
        <w:rPr>
          <w:rFonts w:ascii="Times New Roman" w:hAnsi="Times New Roman" w:cs="Times New Roman"/>
          <w:sz w:val="24"/>
          <w:szCs w:val="24"/>
        </w:rPr>
        <w:t>wheat always while only 9% were not taking grains daily. 40% only were taking milk daily due to some myth and lack of awareness. Majority of patients like 60 % were not taking meat due to high oily content and 63% were not taking dry fruits regularly d</w:t>
      </w:r>
      <w:r>
        <w:rPr>
          <w:rFonts w:ascii="Times New Roman" w:hAnsi="Times New Roman" w:cs="Times New Roman"/>
          <w:sz w:val="24"/>
          <w:szCs w:val="24"/>
        </w:rPr>
        <w:t xml:space="preserve">ue to high price or myth or non-availability of </w:t>
      </w:r>
      <w:r w:rsidRPr="00C3153E">
        <w:rPr>
          <w:rFonts w:ascii="Times New Roman" w:hAnsi="Times New Roman" w:cs="Times New Roman"/>
          <w:sz w:val="24"/>
          <w:szCs w:val="24"/>
        </w:rPr>
        <w:t>Foods patient were need to eat less actually they were taking those items in moderation or in high content like 8% patient were taking sugars in their daily diet while 71% respondents said they were not taking saturated fats in their diet but 18% were consuming fatty foods daily in any form. 84 % patient said they were not taking salty snacks or extra salt added food item in their diet but 12% were directly adding salt while dining.40% were using creams or whole fat milk in their diet daily. 24% of the respondents were taking red meat even after cardiac issue and 55% were taking fried foods, Potato chips,</w:t>
      </w:r>
      <w:r>
        <w:rPr>
          <w:rFonts w:ascii="Times New Roman" w:hAnsi="Times New Roman" w:cs="Times New Roman"/>
          <w:sz w:val="24"/>
          <w:szCs w:val="24"/>
        </w:rPr>
        <w:t xml:space="preserve"> salt</w:t>
      </w:r>
      <w:r w:rsidRPr="00C3153E">
        <w:rPr>
          <w:rFonts w:ascii="Times New Roman" w:hAnsi="Times New Roman" w:cs="Times New Roman"/>
          <w:sz w:val="24"/>
          <w:szCs w:val="24"/>
        </w:rPr>
        <w:t>y canned packed food in daily diet.</w:t>
      </w:r>
      <w:r w:rsidR="00444079">
        <w:rPr>
          <w:rFonts w:ascii="Times New Roman" w:hAnsi="Times New Roman" w:cs="Times New Roman"/>
          <w:sz w:val="24"/>
          <w:szCs w:val="24"/>
        </w:rPr>
        <w:t xml:space="preserve"> </w:t>
      </w:r>
    </w:p>
    <w:p w:rsidR="00E21B6C" w:rsidRPr="00725A5E" w:rsidRDefault="00444079" w:rsidP="00444079">
      <w:pPr>
        <w:spacing w:line="360" w:lineRule="auto"/>
        <w:jc w:val="both"/>
        <w:rPr>
          <w:rFonts w:ascii="Times New Roman" w:hAnsi="Times New Roman" w:cs="Times New Roman"/>
          <w:sz w:val="24"/>
          <w:szCs w:val="24"/>
        </w:rPr>
      </w:pPr>
      <w:bookmarkStart w:id="0" w:name="_GoBack"/>
      <w:bookmarkEnd w:id="0"/>
      <w:r>
        <w:rPr>
          <w:rFonts w:ascii="Times New Roman" w:hAnsi="Times New Roman" w:cs="Times New Roman"/>
          <w:b/>
          <w:sz w:val="24"/>
          <w:szCs w:val="24"/>
        </w:rPr>
        <w:t>TABLE: 1</w:t>
      </w:r>
      <w:r w:rsidR="00E21B6C" w:rsidRPr="00725A5E">
        <w:rPr>
          <w:rFonts w:ascii="Times New Roman" w:hAnsi="Times New Roman" w:cs="Times New Roman"/>
          <w:b/>
          <w:sz w:val="24"/>
          <w:szCs w:val="24"/>
        </w:rPr>
        <w:t xml:space="preserve"> Total Energy, Protein, Carbohydrate, Fats, Fibers, Vitamins, Minerals, Electrolytes and fluid consumptions According to (N=100)</w:t>
      </w:r>
    </w:p>
    <w:tbl>
      <w:tblPr>
        <w:tblW w:w="9400" w:type="dxa"/>
        <w:tblLook w:val="04A0" w:firstRow="1" w:lastRow="0" w:firstColumn="1" w:lastColumn="0" w:noHBand="0" w:noVBand="1"/>
      </w:tblPr>
      <w:tblGrid>
        <w:gridCol w:w="2268"/>
        <w:gridCol w:w="1985"/>
        <w:gridCol w:w="1843"/>
        <w:gridCol w:w="1842"/>
        <w:gridCol w:w="1462"/>
      </w:tblGrid>
      <w:tr w:rsidR="00E21B6C" w:rsidRPr="00857ED5" w:rsidTr="003A6C4D">
        <w:trPr>
          <w:trHeight w:val="448"/>
        </w:trPr>
        <w:tc>
          <w:tcPr>
            <w:tcW w:w="2268" w:type="dxa"/>
            <w:tcBorders>
              <w:top w:val="nil"/>
              <w:left w:val="nil"/>
              <w:bottom w:val="single" w:sz="12" w:space="0" w:color="FFFFFF"/>
              <w:right w:val="single" w:sz="4" w:space="0" w:color="FFFFFF"/>
            </w:tcBorders>
            <w:shd w:val="clear" w:color="4F81BD" w:fill="4F81BD"/>
            <w:noWrap/>
            <w:vAlign w:val="bottom"/>
            <w:hideMark/>
          </w:tcPr>
          <w:p w:rsidR="00E21B6C" w:rsidRPr="00857ED5" w:rsidRDefault="00E21B6C" w:rsidP="003A6C4D">
            <w:pPr>
              <w:spacing w:after="0" w:line="240" w:lineRule="auto"/>
              <w:rPr>
                <w:rFonts w:ascii="Calibri" w:eastAsia="Times New Roman" w:hAnsi="Calibri" w:cs="Calibri"/>
                <w:b/>
                <w:bCs/>
                <w:color w:val="FFFFFF"/>
              </w:rPr>
            </w:pPr>
          </w:p>
        </w:tc>
        <w:tc>
          <w:tcPr>
            <w:tcW w:w="1985" w:type="dxa"/>
            <w:tcBorders>
              <w:top w:val="nil"/>
              <w:left w:val="single" w:sz="4" w:space="0" w:color="FFFFFF"/>
              <w:bottom w:val="single" w:sz="12" w:space="0" w:color="FFFFFF"/>
              <w:right w:val="single" w:sz="4" w:space="0" w:color="FFFFFF"/>
            </w:tcBorders>
            <w:shd w:val="clear" w:color="4F81BD" w:fill="4F81BD"/>
            <w:noWrap/>
            <w:vAlign w:val="bottom"/>
            <w:hideMark/>
          </w:tcPr>
          <w:p w:rsidR="00E21B6C" w:rsidRPr="00857ED5" w:rsidRDefault="00E21B6C" w:rsidP="003A6C4D">
            <w:pPr>
              <w:spacing w:after="0" w:line="240" w:lineRule="auto"/>
              <w:jc w:val="center"/>
              <w:rPr>
                <w:rFonts w:ascii="Bahnschrift Light Condensed" w:eastAsia="Times New Roman" w:hAnsi="Bahnschrift Light Condensed" w:cs="Calibri"/>
                <w:b/>
                <w:bCs/>
                <w:color w:val="FFFFFF"/>
              </w:rPr>
            </w:pPr>
            <w:r w:rsidRPr="00857ED5">
              <w:rPr>
                <w:rFonts w:ascii="Bahnschrift Light Condensed" w:eastAsia="Times New Roman" w:hAnsi="Bahnschrift Light Condensed" w:cs="Calibri"/>
                <w:b/>
                <w:bCs/>
                <w:color w:val="FFFFFF"/>
              </w:rPr>
              <w:t>USDA/USCF/DASH RECOMMENDED</w:t>
            </w:r>
          </w:p>
        </w:tc>
        <w:tc>
          <w:tcPr>
            <w:tcW w:w="1843" w:type="dxa"/>
            <w:tcBorders>
              <w:top w:val="nil"/>
              <w:left w:val="single" w:sz="4" w:space="0" w:color="FFFFFF"/>
              <w:bottom w:val="single" w:sz="12" w:space="0" w:color="FFFFFF"/>
              <w:right w:val="single" w:sz="4" w:space="0" w:color="FFFFFF"/>
            </w:tcBorders>
            <w:shd w:val="clear" w:color="4F81BD" w:fill="4F81BD"/>
            <w:noWrap/>
            <w:vAlign w:val="bottom"/>
            <w:hideMark/>
          </w:tcPr>
          <w:p w:rsidR="00E21B6C" w:rsidRPr="00857ED5" w:rsidRDefault="00E21B6C" w:rsidP="003A6C4D">
            <w:pPr>
              <w:spacing w:after="0" w:line="240" w:lineRule="auto"/>
              <w:jc w:val="center"/>
              <w:rPr>
                <w:rFonts w:ascii="Bahnschrift Light Condensed" w:eastAsia="Times New Roman" w:hAnsi="Bahnschrift Light Condensed" w:cs="Calibri"/>
                <w:b/>
                <w:bCs/>
                <w:color w:val="FFFFFF"/>
              </w:rPr>
            </w:pPr>
            <w:r w:rsidRPr="00857ED5">
              <w:rPr>
                <w:rFonts w:ascii="Bahnschrift Light Condensed" w:eastAsia="Times New Roman" w:hAnsi="Bahnschrift Light Condensed" w:cs="Calibri"/>
                <w:b/>
                <w:bCs/>
                <w:color w:val="FFFFFF"/>
              </w:rPr>
              <w:t xml:space="preserve">MEAN Intake </w:t>
            </w:r>
          </w:p>
        </w:tc>
        <w:tc>
          <w:tcPr>
            <w:tcW w:w="1842" w:type="dxa"/>
            <w:tcBorders>
              <w:top w:val="nil"/>
              <w:left w:val="single" w:sz="4" w:space="0" w:color="FFFFFF"/>
              <w:bottom w:val="single" w:sz="12" w:space="0" w:color="FFFFFF"/>
              <w:right w:val="single" w:sz="4" w:space="0" w:color="FFFFFF"/>
            </w:tcBorders>
            <w:shd w:val="clear" w:color="4F81BD" w:fill="4F81BD"/>
            <w:noWrap/>
            <w:vAlign w:val="bottom"/>
            <w:hideMark/>
          </w:tcPr>
          <w:p w:rsidR="00E21B6C" w:rsidRPr="00857ED5" w:rsidRDefault="00E21B6C" w:rsidP="003A6C4D">
            <w:pPr>
              <w:spacing w:after="0" w:line="240" w:lineRule="auto"/>
              <w:jc w:val="center"/>
              <w:rPr>
                <w:rFonts w:ascii="Bahnschrift Light Condensed" w:eastAsia="Times New Roman" w:hAnsi="Bahnschrift Light Condensed" w:cs="Calibri"/>
                <w:b/>
                <w:bCs/>
                <w:color w:val="FFFFFF"/>
              </w:rPr>
            </w:pPr>
            <w:r w:rsidRPr="00857ED5">
              <w:rPr>
                <w:rFonts w:ascii="Bahnschrift Light Condensed" w:eastAsia="Times New Roman" w:hAnsi="Bahnschrift Light Condensed" w:cs="Calibri"/>
                <w:b/>
                <w:bCs/>
                <w:color w:val="FFFFFF"/>
              </w:rPr>
              <w:t>MEAN Difference</w:t>
            </w:r>
          </w:p>
        </w:tc>
        <w:tc>
          <w:tcPr>
            <w:tcW w:w="1462" w:type="dxa"/>
            <w:tcBorders>
              <w:top w:val="nil"/>
              <w:left w:val="single" w:sz="4" w:space="0" w:color="FFFFFF"/>
              <w:bottom w:val="single" w:sz="12" w:space="0" w:color="FFFFFF"/>
              <w:right w:val="nil"/>
            </w:tcBorders>
            <w:shd w:val="clear" w:color="4F81BD" w:fill="4F81BD"/>
            <w:noWrap/>
            <w:vAlign w:val="bottom"/>
            <w:hideMark/>
          </w:tcPr>
          <w:p w:rsidR="00E21B6C" w:rsidRPr="00857ED5" w:rsidRDefault="00E21B6C" w:rsidP="003A6C4D">
            <w:pPr>
              <w:spacing w:after="0" w:line="240" w:lineRule="auto"/>
              <w:jc w:val="center"/>
              <w:rPr>
                <w:rFonts w:ascii="Bahnschrift Light Condensed" w:eastAsia="Times New Roman" w:hAnsi="Bahnschrift Light Condensed" w:cs="Calibri"/>
                <w:b/>
                <w:bCs/>
                <w:color w:val="FFFFFF"/>
              </w:rPr>
            </w:pPr>
            <w:r w:rsidRPr="00857ED5">
              <w:rPr>
                <w:rFonts w:ascii="Bahnschrift Light Condensed" w:eastAsia="Times New Roman" w:hAnsi="Bahnschrift Light Condensed" w:cs="Calibri"/>
                <w:b/>
                <w:bCs/>
                <w:color w:val="FFFFFF"/>
              </w:rPr>
              <w:t>SD</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Energy (kcal)</w:t>
            </w:r>
          </w:p>
        </w:tc>
        <w:tc>
          <w:tcPr>
            <w:tcW w:w="198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1735.89</w:t>
            </w:r>
          </w:p>
        </w:tc>
        <w:tc>
          <w:tcPr>
            <w:tcW w:w="184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1761.74</w:t>
            </w:r>
          </w:p>
        </w:tc>
        <w:tc>
          <w:tcPr>
            <w:tcW w:w="184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25.85</w:t>
            </w:r>
          </w:p>
        </w:tc>
        <w:tc>
          <w:tcPr>
            <w:tcW w:w="1462" w:type="dxa"/>
            <w:tcBorders>
              <w:top w:val="single" w:sz="4" w:space="0" w:color="FFFFFF"/>
              <w:left w:val="single" w:sz="4" w:space="0" w:color="FFFFFF"/>
              <w:bottom w:val="single" w:sz="4" w:space="0" w:color="FFFFFF"/>
              <w:right w:val="nil"/>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359.46</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water from food (ml)</w:t>
            </w:r>
          </w:p>
        </w:tc>
        <w:tc>
          <w:tcPr>
            <w:tcW w:w="198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170.89</w:t>
            </w:r>
          </w:p>
        </w:tc>
        <w:tc>
          <w:tcPr>
            <w:tcW w:w="184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217.52</w:t>
            </w:r>
          </w:p>
        </w:tc>
        <w:tc>
          <w:tcPr>
            <w:tcW w:w="184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46.63</w:t>
            </w:r>
          </w:p>
        </w:tc>
        <w:tc>
          <w:tcPr>
            <w:tcW w:w="1462" w:type="dxa"/>
            <w:tcBorders>
              <w:top w:val="single" w:sz="4" w:space="0" w:color="FFFFFF"/>
              <w:left w:val="single" w:sz="4" w:space="0" w:color="FFFFFF"/>
              <w:bottom w:val="single" w:sz="4" w:space="0" w:color="FFFFFF"/>
              <w:right w:val="nil"/>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20.51</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 xml:space="preserve">protein ( </w:t>
            </w:r>
            <w:proofErr w:type="spellStart"/>
            <w:r w:rsidRPr="00857ED5">
              <w:rPr>
                <w:rFonts w:ascii="Calibri" w:eastAsia="Times New Roman" w:hAnsi="Calibri" w:cs="Calibri"/>
                <w:color w:val="000000"/>
              </w:rPr>
              <w:t>gm</w:t>
            </w:r>
            <w:proofErr w:type="spellEnd"/>
            <w:r w:rsidRPr="00857ED5">
              <w:rPr>
                <w:rFonts w:ascii="Calibri" w:eastAsia="Times New Roman" w:hAnsi="Calibri" w:cs="Calibri"/>
                <w:color w:val="000000"/>
              </w:rPr>
              <w:t>)</w:t>
            </w:r>
          </w:p>
        </w:tc>
        <w:tc>
          <w:tcPr>
            <w:tcW w:w="198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44.98</w:t>
            </w:r>
          </w:p>
        </w:tc>
        <w:tc>
          <w:tcPr>
            <w:tcW w:w="184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33.3</w:t>
            </w:r>
          </w:p>
        </w:tc>
        <w:tc>
          <w:tcPr>
            <w:tcW w:w="184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-11.68</w:t>
            </w:r>
          </w:p>
        </w:tc>
        <w:tc>
          <w:tcPr>
            <w:tcW w:w="1462" w:type="dxa"/>
            <w:tcBorders>
              <w:top w:val="single" w:sz="4" w:space="0" w:color="FFFFFF"/>
              <w:left w:val="single" w:sz="4" w:space="0" w:color="FFFFFF"/>
              <w:bottom w:val="single" w:sz="4" w:space="0" w:color="FFFFFF"/>
              <w:right w:val="nil"/>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3.52</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fat (ml)</w:t>
            </w:r>
          </w:p>
        </w:tc>
        <w:tc>
          <w:tcPr>
            <w:tcW w:w="198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46.8</w:t>
            </w:r>
          </w:p>
        </w:tc>
        <w:tc>
          <w:tcPr>
            <w:tcW w:w="184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59.4</w:t>
            </w:r>
          </w:p>
        </w:tc>
        <w:tc>
          <w:tcPr>
            <w:tcW w:w="184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12.6</w:t>
            </w:r>
          </w:p>
        </w:tc>
        <w:tc>
          <w:tcPr>
            <w:tcW w:w="1462" w:type="dxa"/>
            <w:tcBorders>
              <w:top w:val="single" w:sz="4" w:space="0" w:color="FFFFFF"/>
              <w:left w:val="single" w:sz="4" w:space="0" w:color="FFFFFF"/>
              <w:bottom w:val="single" w:sz="4" w:space="0" w:color="FFFFFF"/>
              <w:right w:val="nil"/>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4.58</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carbohydrate(</w:t>
            </w:r>
            <w:proofErr w:type="spellStart"/>
            <w:r w:rsidRPr="00857ED5">
              <w:rPr>
                <w:rFonts w:ascii="Calibri" w:eastAsia="Times New Roman" w:hAnsi="Calibri" w:cs="Calibri"/>
                <w:color w:val="000000"/>
              </w:rPr>
              <w:t>gm</w:t>
            </w:r>
            <w:proofErr w:type="spellEnd"/>
            <w:r w:rsidRPr="00857ED5">
              <w:rPr>
                <w:rFonts w:ascii="Calibri" w:eastAsia="Times New Roman" w:hAnsi="Calibri" w:cs="Calibri"/>
                <w:color w:val="000000"/>
              </w:rPr>
              <w:t>)</w:t>
            </w:r>
          </w:p>
        </w:tc>
        <w:tc>
          <w:tcPr>
            <w:tcW w:w="198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299.87</w:t>
            </w:r>
          </w:p>
        </w:tc>
        <w:tc>
          <w:tcPr>
            <w:tcW w:w="184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397.79</w:t>
            </w:r>
          </w:p>
        </w:tc>
        <w:tc>
          <w:tcPr>
            <w:tcW w:w="184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97.92</w:t>
            </w:r>
          </w:p>
        </w:tc>
        <w:tc>
          <w:tcPr>
            <w:tcW w:w="1462" w:type="dxa"/>
            <w:tcBorders>
              <w:top w:val="single" w:sz="4" w:space="0" w:color="FFFFFF"/>
              <w:left w:val="single" w:sz="4" w:space="0" w:color="FFFFFF"/>
              <w:bottom w:val="single" w:sz="4" w:space="0" w:color="FFFFFF"/>
              <w:right w:val="nil"/>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7.33</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fiber(</w:t>
            </w:r>
            <w:proofErr w:type="spellStart"/>
            <w:r w:rsidRPr="00857ED5">
              <w:rPr>
                <w:rFonts w:ascii="Calibri" w:eastAsia="Times New Roman" w:hAnsi="Calibri" w:cs="Calibri"/>
                <w:color w:val="000000"/>
              </w:rPr>
              <w:t>gm</w:t>
            </w:r>
            <w:proofErr w:type="spellEnd"/>
            <w:r w:rsidRPr="00857ED5">
              <w:rPr>
                <w:rFonts w:ascii="Calibri" w:eastAsia="Times New Roman" w:hAnsi="Calibri" w:cs="Calibri"/>
                <w:color w:val="000000"/>
              </w:rPr>
              <w:t>)</w:t>
            </w:r>
          </w:p>
        </w:tc>
        <w:tc>
          <w:tcPr>
            <w:tcW w:w="198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25.94</w:t>
            </w:r>
          </w:p>
        </w:tc>
        <w:tc>
          <w:tcPr>
            <w:tcW w:w="184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17.9</w:t>
            </w:r>
          </w:p>
        </w:tc>
        <w:tc>
          <w:tcPr>
            <w:tcW w:w="184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-8.04</w:t>
            </w:r>
          </w:p>
        </w:tc>
        <w:tc>
          <w:tcPr>
            <w:tcW w:w="1462" w:type="dxa"/>
            <w:tcBorders>
              <w:top w:val="single" w:sz="4" w:space="0" w:color="FFFFFF"/>
              <w:left w:val="single" w:sz="4" w:space="0" w:color="FFFFFF"/>
              <w:bottom w:val="single" w:sz="4" w:space="0" w:color="FFFFFF"/>
              <w:right w:val="nil"/>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2.21</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vitamin E (mcg)</w:t>
            </w:r>
          </w:p>
        </w:tc>
        <w:tc>
          <w:tcPr>
            <w:tcW w:w="198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15</w:t>
            </w:r>
          </w:p>
        </w:tc>
        <w:tc>
          <w:tcPr>
            <w:tcW w:w="184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13.06</w:t>
            </w:r>
          </w:p>
        </w:tc>
        <w:tc>
          <w:tcPr>
            <w:tcW w:w="184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-1.94</w:t>
            </w:r>
          </w:p>
        </w:tc>
        <w:tc>
          <w:tcPr>
            <w:tcW w:w="1462" w:type="dxa"/>
            <w:tcBorders>
              <w:top w:val="single" w:sz="4" w:space="0" w:color="FFFFFF"/>
              <w:left w:val="single" w:sz="4" w:space="0" w:color="FFFFFF"/>
              <w:bottom w:val="single" w:sz="4" w:space="0" w:color="FFFFFF"/>
              <w:right w:val="nil"/>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0.4</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Vitamin B1 (mcg/dl)</w:t>
            </w:r>
          </w:p>
        </w:tc>
        <w:tc>
          <w:tcPr>
            <w:tcW w:w="198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0.81</w:t>
            </w:r>
          </w:p>
        </w:tc>
        <w:tc>
          <w:tcPr>
            <w:tcW w:w="184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0.759</w:t>
            </w:r>
          </w:p>
        </w:tc>
        <w:tc>
          <w:tcPr>
            <w:tcW w:w="184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-0.051</w:t>
            </w:r>
          </w:p>
        </w:tc>
        <w:tc>
          <w:tcPr>
            <w:tcW w:w="1462" w:type="dxa"/>
            <w:tcBorders>
              <w:top w:val="single" w:sz="4" w:space="0" w:color="FFFFFF"/>
              <w:left w:val="single" w:sz="4" w:space="0" w:color="FFFFFF"/>
              <w:bottom w:val="single" w:sz="4" w:space="0" w:color="FFFFFF"/>
              <w:right w:val="nil"/>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0.021</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vitamin B2(mcg/dl)</w:t>
            </w:r>
          </w:p>
        </w:tc>
        <w:tc>
          <w:tcPr>
            <w:tcW w:w="198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0.962</w:t>
            </w:r>
          </w:p>
        </w:tc>
        <w:tc>
          <w:tcPr>
            <w:tcW w:w="184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0.906</w:t>
            </w:r>
          </w:p>
        </w:tc>
        <w:tc>
          <w:tcPr>
            <w:tcW w:w="184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-0.054</w:t>
            </w:r>
          </w:p>
        </w:tc>
        <w:tc>
          <w:tcPr>
            <w:tcW w:w="1462" w:type="dxa"/>
            <w:tcBorders>
              <w:top w:val="single" w:sz="4" w:space="0" w:color="FFFFFF"/>
              <w:left w:val="single" w:sz="4" w:space="0" w:color="FFFFFF"/>
              <w:bottom w:val="single" w:sz="4" w:space="0" w:color="FFFFFF"/>
              <w:right w:val="nil"/>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0.042</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Vitamin B6(mcg/dl)</w:t>
            </w:r>
          </w:p>
        </w:tc>
        <w:tc>
          <w:tcPr>
            <w:tcW w:w="198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0.945</w:t>
            </w:r>
          </w:p>
        </w:tc>
        <w:tc>
          <w:tcPr>
            <w:tcW w:w="184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0.88</w:t>
            </w:r>
          </w:p>
        </w:tc>
        <w:tc>
          <w:tcPr>
            <w:tcW w:w="184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-0.06</w:t>
            </w:r>
          </w:p>
        </w:tc>
        <w:tc>
          <w:tcPr>
            <w:tcW w:w="1462" w:type="dxa"/>
            <w:tcBorders>
              <w:top w:val="single" w:sz="4" w:space="0" w:color="FFFFFF"/>
              <w:left w:val="single" w:sz="4" w:space="0" w:color="FFFFFF"/>
              <w:bottom w:val="single" w:sz="4" w:space="0" w:color="FFFFFF"/>
              <w:right w:val="nil"/>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0.05</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Vitamin B9(mcg/dl)</w:t>
            </w:r>
          </w:p>
        </w:tc>
        <w:tc>
          <w:tcPr>
            <w:tcW w:w="198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311.2</w:t>
            </w:r>
          </w:p>
        </w:tc>
        <w:tc>
          <w:tcPr>
            <w:tcW w:w="184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313.45</w:t>
            </w:r>
          </w:p>
        </w:tc>
        <w:tc>
          <w:tcPr>
            <w:tcW w:w="184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2.25</w:t>
            </w:r>
          </w:p>
        </w:tc>
        <w:tc>
          <w:tcPr>
            <w:tcW w:w="1462" w:type="dxa"/>
            <w:tcBorders>
              <w:top w:val="single" w:sz="4" w:space="0" w:color="FFFFFF"/>
              <w:left w:val="single" w:sz="4" w:space="0" w:color="FFFFFF"/>
              <w:bottom w:val="single" w:sz="4" w:space="0" w:color="FFFFFF"/>
              <w:right w:val="nil"/>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6.44</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Vitamin C (mg)</w:t>
            </w:r>
          </w:p>
        </w:tc>
        <w:tc>
          <w:tcPr>
            <w:tcW w:w="198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71.25</w:t>
            </w:r>
          </w:p>
        </w:tc>
        <w:tc>
          <w:tcPr>
            <w:tcW w:w="184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54.36</w:t>
            </w:r>
          </w:p>
        </w:tc>
        <w:tc>
          <w:tcPr>
            <w:tcW w:w="184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-16.89</w:t>
            </w:r>
          </w:p>
        </w:tc>
        <w:tc>
          <w:tcPr>
            <w:tcW w:w="1462" w:type="dxa"/>
            <w:tcBorders>
              <w:top w:val="single" w:sz="4" w:space="0" w:color="FFFFFF"/>
              <w:left w:val="single" w:sz="4" w:space="0" w:color="FFFFFF"/>
              <w:bottom w:val="single" w:sz="4" w:space="0" w:color="FFFFFF"/>
              <w:right w:val="nil"/>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3.311</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rPr>
                <w:rFonts w:ascii="Calibri" w:eastAsia="Times New Roman" w:hAnsi="Calibri" w:cs="Calibri"/>
                <w:color w:val="000000"/>
              </w:rPr>
            </w:pPr>
            <w:r>
              <w:rPr>
                <w:rFonts w:ascii="Calibri" w:eastAsia="Times New Roman" w:hAnsi="Calibri" w:cs="Calibri"/>
                <w:color w:val="000000"/>
              </w:rPr>
              <w:t xml:space="preserve">Sodium </w:t>
            </w:r>
            <w:r w:rsidRPr="00857ED5">
              <w:rPr>
                <w:rFonts w:ascii="Calibri" w:eastAsia="Times New Roman" w:hAnsi="Calibri" w:cs="Calibri"/>
                <w:color w:val="000000"/>
              </w:rPr>
              <w:t>(</w:t>
            </w:r>
            <w:proofErr w:type="spellStart"/>
            <w:r w:rsidRPr="00857ED5">
              <w:rPr>
                <w:rFonts w:ascii="Calibri" w:eastAsia="Times New Roman" w:hAnsi="Calibri" w:cs="Calibri"/>
                <w:color w:val="000000"/>
              </w:rPr>
              <w:t>gm</w:t>
            </w:r>
            <w:proofErr w:type="spellEnd"/>
            <w:r w:rsidRPr="00857ED5">
              <w:rPr>
                <w:rFonts w:ascii="Calibri" w:eastAsia="Times New Roman" w:hAnsi="Calibri" w:cs="Calibri"/>
                <w:color w:val="000000"/>
              </w:rPr>
              <w:t>)</w:t>
            </w:r>
          </w:p>
        </w:tc>
        <w:tc>
          <w:tcPr>
            <w:tcW w:w="198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1908.65</w:t>
            </w:r>
          </w:p>
        </w:tc>
        <w:tc>
          <w:tcPr>
            <w:tcW w:w="184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2015.39</w:t>
            </w:r>
          </w:p>
        </w:tc>
        <w:tc>
          <w:tcPr>
            <w:tcW w:w="184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106.74</w:t>
            </w:r>
          </w:p>
        </w:tc>
        <w:tc>
          <w:tcPr>
            <w:tcW w:w="1462" w:type="dxa"/>
            <w:tcBorders>
              <w:top w:val="single" w:sz="4" w:space="0" w:color="FFFFFF"/>
              <w:left w:val="single" w:sz="4" w:space="0" w:color="FFFFFF"/>
              <w:bottom w:val="single" w:sz="4" w:space="0" w:color="FFFFFF"/>
              <w:right w:val="nil"/>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2.44</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rPr>
                <w:rFonts w:ascii="Calibri" w:eastAsia="Times New Roman" w:hAnsi="Calibri" w:cs="Calibri"/>
                <w:color w:val="000000"/>
              </w:rPr>
            </w:pPr>
            <w:r>
              <w:rPr>
                <w:rFonts w:ascii="Calibri" w:eastAsia="Times New Roman" w:hAnsi="Calibri" w:cs="Calibri"/>
                <w:color w:val="000000"/>
              </w:rPr>
              <w:t>Vitamin K</w:t>
            </w:r>
            <w:r w:rsidRPr="00857ED5">
              <w:rPr>
                <w:rFonts w:ascii="Calibri" w:eastAsia="Times New Roman" w:hAnsi="Calibri" w:cs="Calibri"/>
                <w:color w:val="000000"/>
              </w:rPr>
              <w:t>(</w:t>
            </w:r>
            <w:proofErr w:type="spellStart"/>
            <w:r w:rsidRPr="00857ED5">
              <w:rPr>
                <w:rFonts w:ascii="Calibri" w:eastAsia="Times New Roman" w:hAnsi="Calibri" w:cs="Calibri"/>
                <w:color w:val="000000"/>
              </w:rPr>
              <w:t>gm</w:t>
            </w:r>
            <w:proofErr w:type="spellEnd"/>
            <w:r w:rsidRPr="00857ED5">
              <w:rPr>
                <w:rFonts w:ascii="Calibri" w:eastAsia="Times New Roman" w:hAnsi="Calibri" w:cs="Calibri"/>
                <w:color w:val="000000"/>
              </w:rPr>
              <w:t>)</w:t>
            </w:r>
          </w:p>
        </w:tc>
        <w:tc>
          <w:tcPr>
            <w:tcW w:w="198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2.2</w:t>
            </w:r>
          </w:p>
        </w:tc>
        <w:tc>
          <w:tcPr>
            <w:tcW w:w="184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2.33</w:t>
            </w:r>
          </w:p>
        </w:tc>
        <w:tc>
          <w:tcPr>
            <w:tcW w:w="184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0.13</w:t>
            </w:r>
          </w:p>
        </w:tc>
        <w:tc>
          <w:tcPr>
            <w:tcW w:w="1462" w:type="dxa"/>
            <w:tcBorders>
              <w:top w:val="single" w:sz="4" w:space="0" w:color="FFFFFF"/>
              <w:left w:val="single" w:sz="4" w:space="0" w:color="FFFFFF"/>
              <w:bottom w:val="single" w:sz="4" w:space="0" w:color="FFFFFF"/>
              <w:right w:val="nil"/>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0.199</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Calcium (mg/dl)</w:t>
            </w:r>
          </w:p>
        </w:tc>
        <w:tc>
          <w:tcPr>
            <w:tcW w:w="198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1.2</w:t>
            </w:r>
          </w:p>
        </w:tc>
        <w:tc>
          <w:tcPr>
            <w:tcW w:w="184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1.089</w:t>
            </w:r>
          </w:p>
        </w:tc>
        <w:tc>
          <w:tcPr>
            <w:tcW w:w="184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-0.11</w:t>
            </w:r>
          </w:p>
        </w:tc>
        <w:tc>
          <w:tcPr>
            <w:tcW w:w="1462" w:type="dxa"/>
            <w:tcBorders>
              <w:top w:val="single" w:sz="4" w:space="0" w:color="FFFFFF"/>
              <w:left w:val="single" w:sz="4" w:space="0" w:color="FFFFFF"/>
              <w:bottom w:val="single" w:sz="4" w:space="0" w:color="FFFFFF"/>
              <w:right w:val="nil"/>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0.1</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rPr>
                <w:rFonts w:ascii="Calibri" w:eastAsia="Times New Roman" w:hAnsi="Calibri" w:cs="Calibri"/>
                <w:color w:val="000000"/>
              </w:rPr>
            </w:pPr>
            <w:r>
              <w:rPr>
                <w:rFonts w:ascii="Calibri" w:eastAsia="Times New Roman" w:hAnsi="Calibri" w:cs="Calibri"/>
                <w:color w:val="000000"/>
              </w:rPr>
              <w:t>ma</w:t>
            </w:r>
            <w:r w:rsidRPr="00857ED5">
              <w:rPr>
                <w:rFonts w:ascii="Calibri" w:eastAsia="Times New Roman" w:hAnsi="Calibri" w:cs="Calibri"/>
                <w:color w:val="000000"/>
              </w:rPr>
              <w:t>gnesium (</w:t>
            </w:r>
            <w:proofErr w:type="spellStart"/>
            <w:r w:rsidRPr="00857ED5">
              <w:rPr>
                <w:rFonts w:ascii="Calibri" w:eastAsia="Times New Roman" w:hAnsi="Calibri" w:cs="Calibri"/>
                <w:color w:val="000000"/>
              </w:rPr>
              <w:t>mEq</w:t>
            </w:r>
            <w:proofErr w:type="spellEnd"/>
            <w:r w:rsidRPr="00857ED5">
              <w:rPr>
                <w:rFonts w:ascii="Calibri" w:eastAsia="Times New Roman" w:hAnsi="Calibri" w:cs="Calibri"/>
                <w:color w:val="000000"/>
              </w:rPr>
              <w:t>/dl)</w:t>
            </w:r>
          </w:p>
        </w:tc>
        <w:tc>
          <w:tcPr>
            <w:tcW w:w="198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253.4</w:t>
            </w:r>
          </w:p>
        </w:tc>
        <w:tc>
          <w:tcPr>
            <w:tcW w:w="184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217.88</w:t>
            </w:r>
          </w:p>
        </w:tc>
        <w:tc>
          <w:tcPr>
            <w:tcW w:w="184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-35.52</w:t>
            </w:r>
          </w:p>
        </w:tc>
        <w:tc>
          <w:tcPr>
            <w:tcW w:w="1462" w:type="dxa"/>
            <w:tcBorders>
              <w:top w:val="single" w:sz="4" w:space="0" w:color="FFFFFF"/>
              <w:left w:val="single" w:sz="4" w:space="0" w:color="FFFFFF"/>
              <w:bottom w:val="single" w:sz="4" w:space="0" w:color="FFFFFF"/>
              <w:right w:val="nil"/>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7.81</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Phosphorous(mg/dl)</w:t>
            </w:r>
          </w:p>
        </w:tc>
        <w:tc>
          <w:tcPr>
            <w:tcW w:w="198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412.01</w:t>
            </w:r>
          </w:p>
        </w:tc>
        <w:tc>
          <w:tcPr>
            <w:tcW w:w="184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386.58</w:t>
            </w:r>
          </w:p>
        </w:tc>
        <w:tc>
          <w:tcPr>
            <w:tcW w:w="184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-25.43</w:t>
            </w:r>
          </w:p>
        </w:tc>
        <w:tc>
          <w:tcPr>
            <w:tcW w:w="1462" w:type="dxa"/>
            <w:tcBorders>
              <w:top w:val="single" w:sz="4" w:space="0" w:color="FFFFFF"/>
              <w:left w:val="single" w:sz="4" w:space="0" w:color="FFFFFF"/>
              <w:bottom w:val="single" w:sz="4" w:space="0" w:color="FFFFFF"/>
              <w:right w:val="nil"/>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6.47</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Iron(mg)</w:t>
            </w:r>
          </w:p>
        </w:tc>
        <w:tc>
          <w:tcPr>
            <w:tcW w:w="1985"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7.01</w:t>
            </w:r>
          </w:p>
        </w:tc>
        <w:tc>
          <w:tcPr>
            <w:tcW w:w="1843"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5.93</w:t>
            </w:r>
          </w:p>
        </w:tc>
        <w:tc>
          <w:tcPr>
            <w:tcW w:w="1842" w:type="dxa"/>
            <w:tcBorders>
              <w:top w:val="single" w:sz="4" w:space="0" w:color="FFFFFF"/>
              <w:left w:val="single" w:sz="4" w:space="0" w:color="FFFFFF"/>
              <w:bottom w:val="single" w:sz="4" w:space="0" w:color="FFFFFF"/>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-1.08</w:t>
            </w:r>
          </w:p>
        </w:tc>
        <w:tc>
          <w:tcPr>
            <w:tcW w:w="1462" w:type="dxa"/>
            <w:tcBorders>
              <w:top w:val="single" w:sz="4" w:space="0" w:color="FFFFFF"/>
              <w:left w:val="single" w:sz="4" w:space="0" w:color="FFFFFF"/>
              <w:bottom w:val="single" w:sz="4" w:space="0" w:color="FFFFFF"/>
              <w:right w:val="nil"/>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0.28</w:t>
            </w:r>
          </w:p>
        </w:tc>
      </w:tr>
      <w:tr w:rsidR="00E21B6C" w:rsidRPr="00857ED5" w:rsidTr="003A6C4D">
        <w:trPr>
          <w:trHeight w:val="300"/>
        </w:trPr>
        <w:tc>
          <w:tcPr>
            <w:tcW w:w="2268" w:type="dxa"/>
            <w:tcBorders>
              <w:top w:val="single" w:sz="4" w:space="0" w:color="FFFFFF"/>
              <w:left w:val="nil"/>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Zinc (mcg/l)</w:t>
            </w:r>
          </w:p>
        </w:tc>
        <w:tc>
          <w:tcPr>
            <w:tcW w:w="1985"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8.43</w:t>
            </w:r>
          </w:p>
        </w:tc>
        <w:tc>
          <w:tcPr>
            <w:tcW w:w="1843"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7.21</w:t>
            </w:r>
          </w:p>
        </w:tc>
        <w:tc>
          <w:tcPr>
            <w:tcW w:w="1842" w:type="dxa"/>
            <w:tcBorders>
              <w:top w:val="single" w:sz="4" w:space="0" w:color="FFFFFF"/>
              <w:left w:val="single" w:sz="4" w:space="0" w:color="FFFFFF"/>
              <w:bottom w:val="single" w:sz="4" w:space="0" w:color="FFFFFF"/>
              <w:right w:val="single" w:sz="4" w:space="0" w:color="FFFFFF"/>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-1.22</w:t>
            </w:r>
          </w:p>
        </w:tc>
        <w:tc>
          <w:tcPr>
            <w:tcW w:w="1462" w:type="dxa"/>
            <w:tcBorders>
              <w:top w:val="single" w:sz="4" w:space="0" w:color="FFFFFF"/>
              <w:left w:val="single" w:sz="4" w:space="0" w:color="FFFFFF"/>
              <w:bottom w:val="single" w:sz="4" w:space="0" w:color="FFFFFF"/>
              <w:right w:val="nil"/>
            </w:tcBorders>
            <w:shd w:val="clear" w:color="B8CCE4" w:fill="B8CCE4"/>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0.061</w:t>
            </w:r>
          </w:p>
        </w:tc>
      </w:tr>
      <w:tr w:rsidR="00E21B6C" w:rsidRPr="00857ED5" w:rsidTr="003A6C4D">
        <w:trPr>
          <w:trHeight w:val="300"/>
        </w:trPr>
        <w:tc>
          <w:tcPr>
            <w:tcW w:w="2268" w:type="dxa"/>
            <w:tcBorders>
              <w:top w:val="single" w:sz="4" w:space="0" w:color="FFFFFF"/>
              <w:left w:val="nil"/>
              <w:bottom w:val="nil"/>
              <w:right w:val="single" w:sz="4" w:space="0" w:color="FFFFFF"/>
            </w:tcBorders>
            <w:shd w:val="clear" w:color="DCE6F1" w:fill="DCE6F1"/>
            <w:noWrap/>
            <w:vAlign w:val="bottom"/>
            <w:hideMark/>
          </w:tcPr>
          <w:p w:rsidR="00E21B6C" w:rsidRPr="00857ED5" w:rsidRDefault="00E21B6C" w:rsidP="003A6C4D">
            <w:pPr>
              <w:spacing w:after="0" w:line="240" w:lineRule="auto"/>
              <w:rPr>
                <w:rFonts w:ascii="Calibri" w:eastAsia="Times New Roman" w:hAnsi="Calibri" w:cs="Calibri"/>
                <w:color w:val="000000"/>
              </w:rPr>
            </w:pPr>
            <w:r w:rsidRPr="00857ED5">
              <w:rPr>
                <w:rFonts w:ascii="Calibri" w:eastAsia="Times New Roman" w:hAnsi="Calibri" w:cs="Calibri"/>
                <w:color w:val="000000"/>
              </w:rPr>
              <w:t>Vitamin A(mcg)</w:t>
            </w:r>
          </w:p>
        </w:tc>
        <w:tc>
          <w:tcPr>
            <w:tcW w:w="1985" w:type="dxa"/>
            <w:tcBorders>
              <w:top w:val="single" w:sz="4" w:space="0" w:color="FFFFFF"/>
              <w:left w:val="single" w:sz="4" w:space="0" w:color="FFFFFF"/>
              <w:bottom w:val="nil"/>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811.01</w:t>
            </w:r>
          </w:p>
        </w:tc>
        <w:tc>
          <w:tcPr>
            <w:tcW w:w="1843" w:type="dxa"/>
            <w:tcBorders>
              <w:top w:val="single" w:sz="4" w:space="0" w:color="FFFFFF"/>
              <w:left w:val="single" w:sz="4" w:space="0" w:color="FFFFFF"/>
              <w:bottom w:val="nil"/>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607.84</w:t>
            </w:r>
          </w:p>
        </w:tc>
        <w:tc>
          <w:tcPr>
            <w:tcW w:w="1842" w:type="dxa"/>
            <w:tcBorders>
              <w:top w:val="single" w:sz="4" w:space="0" w:color="FFFFFF"/>
              <w:left w:val="single" w:sz="4" w:space="0" w:color="FFFFFF"/>
              <w:bottom w:val="nil"/>
              <w:right w:val="single" w:sz="4" w:space="0" w:color="FFFFFF"/>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-203.17</w:t>
            </w:r>
          </w:p>
        </w:tc>
        <w:tc>
          <w:tcPr>
            <w:tcW w:w="1462" w:type="dxa"/>
            <w:tcBorders>
              <w:top w:val="single" w:sz="4" w:space="0" w:color="FFFFFF"/>
              <w:left w:val="single" w:sz="4" w:space="0" w:color="FFFFFF"/>
              <w:bottom w:val="nil"/>
              <w:right w:val="nil"/>
            </w:tcBorders>
            <w:shd w:val="clear" w:color="DCE6F1" w:fill="DCE6F1"/>
            <w:noWrap/>
            <w:vAlign w:val="bottom"/>
            <w:hideMark/>
          </w:tcPr>
          <w:p w:rsidR="00E21B6C" w:rsidRPr="00857ED5" w:rsidRDefault="00E21B6C" w:rsidP="003A6C4D">
            <w:pPr>
              <w:spacing w:after="0" w:line="240" w:lineRule="auto"/>
              <w:jc w:val="center"/>
              <w:rPr>
                <w:rFonts w:ascii="Calibri" w:eastAsia="Times New Roman" w:hAnsi="Calibri" w:cs="Calibri"/>
                <w:color w:val="000000"/>
              </w:rPr>
            </w:pPr>
            <w:r w:rsidRPr="00857ED5">
              <w:rPr>
                <w:rFonts w:ascii="Calibri" w:eastAsia="Times New Roman" w:hAnsi="Calibri" w:cs="Calibri"/>
                <w:color w:val="000000"/>
              </w:rPr>
              <w:t>2.144</w:t>
            </w:r>
          </w:p>
        </w:tc>
      </w:tr>
    </w:tbl>
    <w:p w:rsidR="00065509" w:rsidRDefault="00E21B6C" w:rsidP="00DA33D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Dispersal of macronutrients in the diet of individuals with heart failure does not differ significantly from that of the general population. Suggestions are that energy intake should between 26-32 kcal/kg Ideal body weight, with 50-55% of carbohydrate consumption, 20-25% fat consumption of total calorie and 30% protein by total calorie. However patient who is having HF need more protein compare to normal population range from 1.1gm/kg IBW while in malnourished patient with cardiac cachexia need 1.5-2.0gm/kg IBW. Thus the authors recommended limiting the intake of fatty food items cholesterol &lt;200mg/day. </w:t>
      </w:r>
      <w:r w:rsidR="00065509">
        <w:rPr>
          <w:rFonts w:ascii="Times New Roman" w:hAnsi="Times New Roman" w:cs="Times New Roman"/>
          <w:sz w:val="24"/>
          <w:szCs w:val="24"/>
        </w:rPr>
        <w:t xml:space="preserve"> </w:t>
      </w:r>
    </w:p>
    <w:p w:rsidR="00065509" w:rsidRDefault="00E21B6C" w:rsidP="00DA33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Published studies have associated the DASH diet, which includes low fat and increase the low fatty milk products, complex carbohydrates, fish, vegetables, and Mediterranean diet (Butler,2016)and further recommended this diet for patients with HF just only because of its magical effects. Fatty food can cause weight gain so should be avoid by HF patients. Assessing by the guidelines this study found that patients had higher average total energy intake, higher mean carbohydrate, fat, water, salt, intake but patients had lesser protein, fiber, vitamin E, B1,B2,B6, Vitamin C, Calcium, magnesium, phosphorous, iron, Zn &amp;Vitamin A consumption compare to the USDA/USCF/DASH recommendation. </w:t>
      </w:r>
    </w:p>
    <w:p w:rsidR="00E21B6C" w:rsidRDefault="00E21B6C" w:rsidP="00DA33D5">
      <w:pPr>
        <w:spacing w:line="360" w:lineRule="auto"/>
        <w:jc w:val="both"/>
        <w:rPr>
          <w:rFonts w:ascii="Times New Roman" w:hAnsi="Times New Roman" w:cs="Times New Roman"/>
          <w:sz w:val="24"/>
          <w:szCs w:val="24"/>
        </w:rPr>
      </w:pPr>
      <w:r>
        <w:rPr>
          <w:rFonts w:ascii="Times New Roman" w:hAnsi="Times New Roman" w:cs="Times New Roman"/>
          <w:sz w:val="24"/>
          <w:szCs w:val="24"/>
        </w:rPr>
        <w:t>Optimal energy needs of the patients with HF are 25-30 kcal/kg/IBW in a day (</w:t>
      </w:r>
      <w:proofErr w:type="spellStart"/>
      <w:r>
        <w:rPr>
          <w:rFonts w:ascii="Times New Roman" w:hAnsi="Times New Roman" w:cs="Times New Roman"/>
          <w:sz w:val="24"/>
          <w:szCs w:val="24"/>
        </w:rPr>
        <w:t>Aquilani</w:t>
      </w:r>
      <w:proofErr w:type="spellEnd"/>
      <w:r>
        <w:rPr>
          <w:rFonts w:ascii="Times New Roman" w:hAnsi="Times New Roman" w:cs="Times New Roman"/>
          <w:sz w:val="24"/>
          <w:szCs w:val="24"/>
        </w:rPr>
        <w:t xml:space="preserve"> et al., 2003). In this study the total energy intake Mean was (1761.74±359.46). Change in protein intake affects weight loss in obese patients (mean BMI=37.3kg/m2) as well as improve quality of life (Butler, 2016; Evangelista et al., 2009). The protein intake of the participants in this study was found to be less. (Table 2).Low Potassium level has been linked with HF related mortality. Lower calcium level are known to cause to HF in many cases. (</w:t>
      </w:r>
      <w:proofErr w:type="spellStart"/>
      <w:r>
        <w:rPr>
          <w:rFonts w:ascii="Times New Roman" w:hAnsi="Times New Roman" w:cs="Times New Roman"/>
          <w:sz w:val="24"/>
          <w:szCs w:val="24"/>
        </w:rPr>
        <w:t>Levitan</w:t>
      </w:r>
      <w:proofErr w:type="spellEnd"/>
      <w:r>
        <w:rPr>
          <w:rFonts w:ascii="Times New Roman" w:hAnsi="Times New Roman" w:cs="Times New Roman"/>
          <w:sz w:val="24"/>
          <w:szCs w:val="24"/>
        </w:rPr>
        <w:t xml:space="preserve"> et al., 2013). My study found that calcium level was low in majority of patients even phosphorous, zinc, vitamin A also was below to the recommended amount. It is considered that iron deficiency in HF results partially from inadequate dietary iron intake (</w:t>
      </w:r>
      <w:proofErr w:type="spellStart"/>
      <w:r>
        <w:rPr>
          <w:rFonts w:ascii="Times New Roman" w:hAnsi="Times New Roman" w:cs="Times New Roman"/>
          <w:sz w:val="24"/>
          <w:szCs w:val="24"/>
        </w:rPr>
        <w:t>Drozd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Jankowska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Banasiak</w:t>
      </w:r>
      <w:proofErr w:type="spellEnd"/>
      <w:r>
        <w:rPr>
          <w:rFonts w:ascii="Times New Roman" w:hAnsi="Times New Roman" w:cs="Times New Roman"/>
          <w:sz w:val="24"/>
          <w:szCs w:val="24"/>
        </w:rPr>
        <w:t xml:space="preserve"> 2017).This study found the dietary iron intake was lesser and should be in normal range</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Vieira et al.,2004) have reported decreased intake of vitamin A,C and  K level in his study while in my study also consumption was below the required amount.</w:t>
      </w:r>
    </w:p>
    <w:p w:rsidR="00E21B6C" w:rsidRDefault="00E21B6C" w:rsidP="00DA33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symptoms of HF are like fatigue, dyspnea, SOB, palpitations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xml:space="preserve"> experienced (McMurray et al., 2012) This Study found that Participants compiled with the fluid   restriction recommendations, they gained or lost weight often (p &gt;.05). This study found that most of the participants was </w:t>
      </w:r>
      <w:r>
        <w:rPr>
          <w:rFonts w:ascii="Times New Roman" w:hAnsi="Times New Roman" w:cs="Times New Roman"/>
          <w:sz w:val="24"/>
          <w:szCs w:val="24"/>
        </w:rPr>
        <w:lastRenderedPageBreak/>
        <w:t>following 1-2L fluid restriction per day recommended by doctors(x</w:t>
      </w:r>
      <w:r>
        <w:rPr>
          <w:rFonts w:ascii="Times New Roman" w:eastAsia="Times New Roman" w:hAnsi="Times New Roman" w:cs="Times New Roman"/>
          <w:sz w:val="24"/>
          <w:szCs w:val="24"/>
          <w:vertAlign w:val="superscript"/>
        </w:rPr>
        <w:t>2</w:t>
      </w:r>
      <w:r>
        <w:rPr>
          <w:rFonts w:ascii="Times New Roman" w:hAnsi="Times New Roman" w:cs="Times New Roman"/>
          <w:sz w:val="24"/>
          <w:szCs w:val="24"/>
        </w:rPr>
        <w:t>=11.68, p=.04).In this study Lower sodium intake were recommended by doctors to HF patients but due to lack of awareness patients were taking more salt in their diet Similar to (</w:t>
      </w:r>
      <w:proofErr w:type="spellStart"/>
      <w:r>
        <w:rPr>
          <w:rFonts w:ascii="Times New Roman" w:hAnsi="Times New Roman" w:cs="Times New Roman"/>
          <w:sz w:val="24"/>
          <w:szCs w:val="24"/>
        </w:rPr>
        <w:t>Yancy</w:t>
      </w:r>
      <w:proofErr w:type="spellEnd"/>
      <w:r>
        <w:rPr>
          <w:rFonts w:ascii="Times New Roman" w:hAnsi="Times New Roman" w:cs="Times New Roman"/>
          <w:sz w:val="24"/>
          <w:szCs w:val="24"/>
        </w:rPr>
        <w:t xml:space="preserve"> et al.</w:t>
      </w:r>
      <w:proofErr w:type="gramStart"/>
      <w:r>
        <w:rPr>
          <w:rFonts w:ascii="Times New Roman" w:hAnsi="Times New Roman" w:cs="Times New Roman"/>
          <w:sz w:val="24"/>
          <w:szCs w:val="24"/>
        </w:rPr>
        <w:t>,2013</w:t>
      </w:r>
      <w:proofErr w:type="gramEnd"/>
      <w:r>
        <w:rPr>
          <w:rFonts w:ascii="Times New Roman" w:hAnsi="Times New Roman" w:cs="Times New Roman"/>
          <w:sz w:val="24"/>
          <w:szCs w:val="24"/>
        </w:rPr>
        <w:t xml:space="preserve">), low sodium compliance was found to be higher in </w:t>
      </w:r>
      <w:proofErr w:type="spellStart"/>
      <w:r>
        <w:rPr>
          <w:rFonts w:ascii="Times New Roman" w:hAnsi="Times New Roman" w:cs="Times New Roman"/>
          <w:sz w:val="24"/>
          <w:szCs w:val="24"/>
        </w:rPr>
        <w:t>HFrEF</w:t>
      </w:r>
      <w:proofErr w:type="spellEnd"/>
      <w:r>
        <w:rPr>
          <w:rFonts w:ascii="Times New Roman" w:hAnsi="Times New Roman" w:cs="Times New Roman"/>
          <w:sz w:val="24"/>
          <w:szCs w:val="24"/>
        </w:rPr>
        <w:t xml:space="preserve"> Patients (p&gt;.05).This suggest that the participants consumed foods without reading food label. This study found that sodium intake of most participant was 2015.39 mg.</w:t>
      </w:r>
    </w:p>
    <w:p w:rsidR="00DA33D5" w:rsidRDefault="00E21B6C" w:rsidP="00E21B6C">
      <w:pPr>
        <w:jc w:val="both"/>
        <w:rPr>
          <w:rFonts w:ascii="Times New Roman" w:hAnsi="Times New Roman" w:cs="Times New Roman"/>
          <w:b/>
          <w:sz w:val="24"/>
          <w:szCs w:val="24"/>
        </w:rPr>
      </w:pPr>
      <w:r w:rsidRPr="005C005A">
        <w:rPr>
          <w:rFonts w:ascii="Times New Roman" w:hAnsi="Times New Roman" w:cs="Times New Roman"/>
          <w:b/>
          <w:sz w:val="24"/>
          <w:szCs w:val="24"/>
        </w:rPr>
        <w:t>CONCLUSION AND RECOMMENDATIONS</w:t>
      </w:r>
      <w:r w:rsidR="00DA33D5">
        <w:rPr>
          <w:rFonts w:ascii="Times New Roman" w:hAnsi="Times New Roman" w:cs="Times New Roman"/>
          <w:b/>
          <w:sz w:val="24"/>
          <w:szCs w:val="24"/>
        </w:rPr>
        <w:t xml:space="preserve"> </w:t>
      </w:r>
    </w:p>
    <w:p w:rsidR="00DA33D5" w:rsidRDefault="00E21B6C" w:rsidP="00DA33D5">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Result of this study indicates that the dietary quality of the person should be better and should be prescribed a diet plan with need to adherence on it and even need to educate about the importance of nutrients and how a healthy balance diet help them to reduce the disease progression and help them to feel better throughout in the journey of HF treatment. Patient need to educate about the fluid salt and fat intake limitation while treatment. </w:t>
      </w:r>
    </w:p>
    <w:p w:rsidR="00E21B6C" w:rsidRPr="00F35689" w:rsidRDefault="00E21B6C" w:rsidP="00DA33D5">
      <w:pPr>
        <w:spacing w:line="360" w:lineRule="auto"/>
        <w:jc w:val="both"/>
        <w:rPr>
          <w:rFonts w:ascii="Times New Roman" w:hAnsi="Times New Roman" w:cs="Times New Roman"/>
          <w:b/>
          <w:sz w:val="24"/>
          <w:szCs w:val="24"/>
        </w:rPr>
      </w:pPr>
      <w:r>
        <w:rPr>
          <w:rFonts w:ascii="Times New Roman" w:hAnsi="Times New Roman" w:cs="Times New Roman"/>
          <w:b/>
          <w:sz w:val="32"/>
          <w:szCs w:val="32"/>
        </w:rPr>
        <w:t xml:space="preserve">  </w:t>
      </w:r>
      <w:r w:rsidRPr="00F35689">
        <w:rPr>
          <w:rFonts w:ascii="Times New Roman" w:hAnsi="Times New Roman" w:cs="Times New Roman"/>
          <w:b/>
          <w:sz w:val="24"/>
          <w:szCs w:val="24"/>
        </w:rPr>
        <w:t>REFRENCES</w:t>
      </w:r>
    </w:p>
    <w:p w:rsidR="00E21B6C" w:rsidRPr="00512579" w:rsidRDefault="00512579" w:rsidP="00512579">
      <w:pPr>
        <w:spacing w:line="360" w:lineRule="auto"/>
        <w:jc w:val="both"/>
        <w:rPr>
          <w:rFonts w:cstheme="minorHAnsi"/>
          <w:b/>
          <w:color w:val="2E74B5" w:themeColor="accent1" w:themeShade="BF"/>
        </w:rPr>
      </w:pPr>
      <w:r w:rsidRPr="00512579">
        <w:rPr>
          <w:rFonts w:cstheme="minorHAnsi"/>
        </w:rPr>
        <w:t>1</w:t>
      </w:r>
      <w:r w:rsidR="00E21B6C" w:rsidRPr="00512579">
        <w:rPr>
          <w:rFonts w:cstheme="minorHAnsi"/>
          <w:color w:val="2E74B5" w:themeColor="accent1" w:themeShade="BF"/>
        </w:rPr>
        <w:t xml:space="preserve">. </w:t>
      </w:r>
      <w:hyperlink r:id="rId12" w:history="1">
        <w:r w:rsidR="00E21B6C" w:rsidRPr="00512579">
          <w:rPr>
            <w:rStyle w:val="Hyperlink"/>
            <w:rFonts w:cstheme="minorHAnsi"/>
            <w:color w:val="2E74B5" w:themeColor="accent1" w:themeShade="BF"/>
            <w:u w:val="none"/>
          </w:rPr>
          <w:t>https://www.thelancet.com/journals/lancet/article/PIIS0140-6736(18)32279-7/fulltext</w:t>
        </w:r>
      </w:hyperlink>
    </w:p>
    <w:p w:rsidR="00512579" w:rsidRDefault="00512579" w:rsidP="00512579">
      <w:pPr>
        <w:spacing w:line="360" w:lineRule="auto"/>
        <w:jc w:val="both"/>
        <w:rPr>
          <w:rFonts w:cstheme="minorHAnsi"/>
          <w:b/>
          <w:color w:val="2E74B5" w:themeColor="accent1" w:themeShade="BF"/>
        </w:rPr>
      </w:pPr>
      <w:proofErr w:type="gramStart"/>
      <w:r>
        <w:rPr>
          <w:rFonts w:cstheme="minorHAnsi"/>
          <w:color w:val="2E74B5" w:themeColor="accent1" w:themeShade="BF"/>
        </w:rPr>
        <w:t>2.</w:t>
      </w:r>
      <w:proofErr w:type="gramEnd"/>
      <w:r>
        <w:rPr>
          <w:rFonts w:cstheme="minorHAnsi"/>
        </w:rPr>
        <w:fldChar w:fldCharType="begin"/>
      </w:r>
      <w:r>
        <w:rPr>
          <w:rFonts w:cstheme="minorHAnsi"/>
        </w:rPr>
        <w:instrText xml:space="preserve"> HYPERLINK "</w:instrText>
      </w:r>
      <w:r w:rsidRPr="00512579">
        <w:rPr>
          <w:rFonts w:cstheme="minorHAnsi"/>
        </w:rPr>
        <w:instrText>https://journals.lww.com/hfji/Fulltext/2023/01000/HeartFailureJournal_of_IndiaA_new_dawn.1.aspx</w:instrText>
      </w:r>
      <w:r>
        <w:rPr>
          <w:rFonts w:cstheme="minorHAnsi"/>
        </w:rPr>
        <w:instrText xml:space="preserve">" </w:instrText>
      </w:r>
      <w:r>
        <w:rPr>
          <w:rFonts w:cstheme="minorHAnsi"/>
        </w:rPr>
        <w:fldChar w:fldCharType="separate"/>
      </w:r>
      <w:r w:rsidRPr="00380453">
        <w:rPr>
          <w:rStyle w:val="Hyperlink"/>
          <w:rFonts w:cstheme="minorHAnsi"/>
        </w:rPr>
        <w:t>https://journals.lww.com/hfji/Fulltext/2023/01000/HeartFailureJournal_of_IndiaA_new_dawn.1.aspx</w:t>
      </w:r>
      <w:r>
        <w:rPr>
          <w:rFonts w:cstheme="minorHAnsi"/>
        </w:rPr>
        <w:fldChar w:fldCharType="end"/>
      </w:r>
      <w:r>
        <w:rPr>
          <w:rFonts w:cstheme="minorHAnsi"/>
          <w:color w:val="2E74B5" w:themeColor="accent1" w:themeShade="BF"/>
        </w:rPr>
        <w:t xml:space="preserve"> 3.</w:t>
      </w:r>
      <w:hyperlink r:id="rId13" w:history="1">
        <w:r w:rsidRPr="00380453">
          <w:rPr>
            <w:rStyle w:val="Hyperlink"/>
            <w:rFonts w:cstheme="minorHAnsi"/>
          </w:rPr>
          <w:t>https://www.ncbi.nlm.nih.gov/pmc/articles/PMC3913650/#:~:text=The%20burden%20of%20HF%20in of%20491%20600%E2%80%931.8%20million</w:t>
        </w:r>
      </w:hyperlink>
      <w:r w:rsidR="00E21B6C" w:rsidRPr="00512579">
        <w:rPr>
          <w:rFonts w:cstheme="minorHAnsi"/>
          <w:color w:val="2E74B5" w:themeColor="accent1" w:themeShade="BF"/>
        </w:rPr>
        <w:t>.</w:t>
      </w:r>
    </w:p>
    <w:p w:rsidR="00E21B6C" w:rsidRPr="00512579" w:rsidRDefault="00E21B6C" w:rsidP="00512579">
      <w:pPr>
        <w:spacing w:line="360" w:lineRule="auto"/>
        <w:jc w:val="both"/>
        <w:rPr>
          <w:rFonts w:cstheme="minorHAnsi"/>
          <w:b/>
          <w:color w:val="2E74B5" w:themeColor="accent1" w:themeShade="BF"/>
        </w:rPr>
      </w:pPr>
      <w:r w:rsidRPr="00512579">
        <w:rPr>
          <w:rFonts w:cstheme="minorHAnsi"/>
          <w:color w:val="2E74B5" w:themeColor="accent1" w:themeShade="BF"/>
        </w:rPr>
        <w:t xml:space="preserve">4. </w:t>
      </w:r>
      <w:hyperlink r:id="rId14" w:history="1">
        <w:r w:rsidRPr="00512579">
          <w:rPr>
            <w:rStyle w:val="Hyperlink"/>
            <w:rFonts w:cstheme="minorHAnsi"/>
            <w:color w:val="2E74B5" w:themeColor="accent1" w:themeShade="BF"/>
            <w:u w:val="none"/>
          </w:rPr>
          <w:t>https://www.ncbi.nlm.nih.gov/pmc/articles/PMC5945285/</w:t>
        </w:r>
      </w:hyperlink>
    </w:p>
    <w:p w:rsidR="00E21B6C" w:rsidRPr="00512579" w:rsidRDefault="00E21B6C" w:rsidP="00512579">
      <w:pPr>
        <w:spacing w:after="0" w:line="360" w:lineRule="auto"/>
        <w:jc w:val="both"/>
        <w:rPr>
          <w:rFonts w:cstheme="minorHAnsi"/>
          <w:color w:val="2E74B5" w:themeColor="accent1" w:themeShade="BF"/>
        </w:rPr>
      </w:pPr>
      <w:r w:rsidRPr="00512579">
        <w:rPr>
          <w:rFonts w:cstheme="minorHAnsi"/>
          <w:color w:val="2E74B5" w:themeColor="accent1" w:themeShade="BF"/>
        </w:rPr>
        <w:t xml:space="preserve">5. </w:t>
      </w:r>
      <w:hyperlink r:id="rId15" w:history="1">
        <w:r w:rsidRPr="00512579">
          <w:rPr>
            <w:rStyle w:val="Hyperlink"/>
            <w:rFonts w:cstheme="minorHAnsi"/>
            <w:color w:val="2E74B5" w:themeColor="accent1" w:themeShade="BF"/>
            <w:u w:val="none"/>
          </w:rPr>
          <w:t>https://pubmed.ncbi.nlm.nih.gov/32945600/</w:t>
        </w:r>
      </w:hyperlink>
    </w:p>
    <w:p w:rsidR="00E21B6C" w:rsidRPr="00512579" w:rsidRDefault="000703D2" w:rsidP="00512579">
      <w:pPr>
        <w:shd w:val="clear" w:color="auto" w:fill="FFFFFF"/>
        <w:spacing w:after="0" w:line="360" w:lineRule="auto"/>
        <w:jc w:val="both"/>
        <w:rPr>
          <w:rFonts w:eastAsia="Times New Roman" w:cstheme="minorHAnsi"/>
          <w:color w:val="2E74B5" w:themeColor="accent1" w:themeShade="BF"/>
        </w:rPr>
      </w:pPr>
      <w:r w:rsidRPr="00512579">
        <w:rPr>
          <w:rFonts w:eastAsia="Times New Roman" w:cstheme="minorHAnsi"/>
          <w:color w:val="2E74B5" w:themeColor="accent1" w:themeShade="BF"/>
        </w:rPr>
        <w:t>6</w:t>
      </w:r>
      <w:r w:rsidR="00E21B6C" w:rsidRPr="00512579">
        <w:rPr>
          <w:rFonts w:eastAsia="Times New Roman" w:cstheme="minorHAnsi"/>
          <w:color w:val="2E74B5" w:themeColor="accent1" w:themeShade="BF"/>
        </w:rPr>
        <w:t xml:space="preserve">. </w:t>
      </w:r>
      <w:proofErr w:type="spellStart"/>
      <w:r w:rsidR="00E21B6C" w:rsidRPr="00512579">
        <w:rPr>
          <w:rFonts w:eastAsia="Times New Roman" w:cstheme="minorHAnsi"/>
          <w:color w:val="2E74B5" w:themeColor="accent1" w:themeShade="BF"/>
        </w:rPr>
        <w:t>Alsafwah</w:t>
      </w:r>
      <w:proofErr w:type="spellEnd"/>
      <w:r w:rsidR="00E21B6C" w:rsidRPr="00512579">
        <w:rPr>
          <w:rFonts w:eastAsia="Times New Roman" w:cstheme="minorHAnsi"/>
          <w:color w:val="2E74B5" w:themeColor="accent1" w:themeShade="BF"/>
        </w:rPr>
        <w:t xml:space="preserve"> S, </w:t>
      </w:r>
      <w:proofErr w:type="spellStart"/>
      <w:r w:rsidR="00E21B6C" w:rsidRPr="00512579">
        <w:rPr>
          <w:rFonts w:eastAsia="Times New Roman" w:cstheme="minorHAnsi"/>
          <w:color w:val="2E74B5" w:themeColor="accent1" w:themeShade="BF"/>
        </w:rPr>
        <w:t>Laguardia</w:t>
      </w:r>
      <w:proofErr w:type="spellEnd"/>
      <w:r w:rsidR="00E21B6C" w:rsidRPr="00512579">
        <w:rPr>
          <w:rFonts w:eastAsia="Times New Roman" w:cstheme="minorHAnsi"/>
          <w:color w:val="2E74B5" w:themeColor="accent1" w:themeShade="BF"/>
        </w:rPr>
        <w:t xml:space="preserve"> SP, Arroyo M, et al. Congestive heart failure is a systemic illness: a role for minerals and micronutrients. </w:t>
      </w:r>
      <w:proofErr w:type="spellStart"/>
      <w:r w:rsidR="00E21B6C" w:rsidRPr="00512579">
        <w:rPr>
          <w:rFonts w:eastAsia="Times New Roman" w:cstheme="minorHAnsi"/>
          <w:color w:val="2E74B5" w:themeColor="accent1" w:themeShade="BF"/>
        </w:rPr>
        <w:t>Clin</w:t>
      </w:r>
      <w:proofErr w:type="spellEnd"/>
      <w:r w:rsidR="00E21B6C" w:rsidRPr="00512579">
        <w:rPr>
          <w:rFonts w:eastAsia="Times New Roman" w:cstheme="minorHAnsi"/>
          <w:color w:val="2E74B5" w:themeColor="accent1" w:themeShade="BF"/>
        </w:rPr>
        <w:t xml:space="preserve"> Med Res.2007</w:t>
      </w:r>
      <w:proofErr w:type="gramStart"/>
      <w:r w:rsidR="00E21B6C" w:rsidRPr="00512579">
        <w:rPr>
          <w:rFonts w:eastAsia="Times New Roman" w:cstheme="minorHAnsi"/>
          <w:color w:val="2E74B5" w:themeColor="accent1" w:themeShade="BF"/>
        </w:rPr>
        <w:t>;5</w:t>
      </w:r>
      <w:proofErr w:type="gramEnd"/>
      <w:r w:rsidR="00E21B6C" w:rsidRPr="00512579">
        <w:rPr>
          <w:rFonts w:eastAsia="Times New Roman" w:cstheme="minorHAnsi"/>
          <w:color w:val="2E74B5" w:themeColor="accent1" w:themeShade="BF"/>
        </w:rPr>
        <w:t>(4):238–43.</w:t>
      </w:r>
    </w:p>
    <w:p w:rsidR="00E21B6C" w:rsidRPr="00512579" w:rsidRDefault="000703D2" w:rsidP="00512579">
      <w:pPr>
        <w:shd w:val="clear" w:color="auto" w:fill="FFFFFF"/>
        <w:spacing w:after="0" w:line="360" w:lineRule="auto"/>
        <w:jc w:val="both"/>
        <w:rPr>
          <w:rFonts w:eastAsia="Times New Roman" w:cstheme="minorHAnsi"/>
          <w:color w:val="2E74B5" w:themeColor="accent1" w:themeShade="BF"/>
        </w:rPr>
      </w:pPr>
      <w:r w:rsidRPr="00512579">
        <w:rPr>
          <w:rFonts w:eastAsia="Times New Roman" w:cstheme="minorHAnsi"/>
          <w:color w:val="2E74B5" w:themeColor="accent1" w:themeShade="BF"/>
        </w:rPr>
        <w:t>7</w:t>
      </w:r>
      <w:r w:rsidR="00E21B6C" w:rsidRPr="00512579">
        <w:rPr>
          <w:rFonts w:eastAsia="Times New Roman" w:cstheme="minorHAnsi"/>
          <w:color w:val="2E74B5" w:themeColor="accent1" w:themeShade="BF"/>
        </w:rPr>
        <w:t xml:space="preserve">. Newman KP, Bhattacharya SK, </w:t>
      </w:r>
      <w:proofErr w:type="spellStart"/>
      <w:r w:rsidR="00E21B6C" w:rsidRPr="00512579">
        <w:rPr>
          <w:rFonts w:eastAsia="Times New Roman" w:cstheme="minorHAnsi"/>
          <w:color w:val="2E74B5" w:themeColor="accent1" w:themeShade="BF"/>
        </w:rPr>
        <w:t>Munir</w:t>
      </w:r>
      <w:proofErr w:type="spellEnd"/>
      <w:r w:rsidR="00E21B6C" w:rsidRPr="00512579">
        <w:rPr>
          <w:rFonts w:eastAsia="Times New Roman" w:cstheme="minorHAnsi"/>
          <w:color w:val="2E74B5" w:themeColor="accent1" w:themeShade="BF"/>
        </w:rPr>
        <w:t xml:space="preserve"> A, Davis RC, </w:t>
      </w:r>
      <w:proofErr w:type="spellStart"/>
      <w:r w:rsidR="00E21B6C" w:rsidRPr="00512579">
        <w:rPr>
          <w:rFonts w:eastAsia="Times New Roman" w:cstheme="minorHAnsi"/>
          <w:color w:val="2E74B5" w:themeColor="accent1" w:themeShade="BF"/>
        </w:rPr>
        <w:t>Soberman</w:t>
      </w:r>
      <w:proofErr w:type="spellEnd"/>
      <w:r w:rsidR="00E21B6C" w:rsidRPr="00512579">
        <w:rPr>
          <w:rFonts w:eastAsia="Times New Roman" w:cstheme="minorHAnsi"/>
          <w:color w:val="2E74B5" w:themeColor="accent1" w:themeShade="BF"/>
        </w:rPr>
        <w:t xml:space="preserve"> JE,</w:t>
      </w:r>
    </w:p>
    <w:p w:rsidR="00E21B6C" w:rsidRPr="00512579" w:rsidRDefault="000703D2" w:rsidP="00512579">
      <w:pPr>
        <w:shd w:val="clear" w:color="auto" w:fill="FFFFFF"/>
        <w:spacing w:after="0" w:line="360" w:lineRule="auto"/>
        <w:jc w:val="both"/>
        <w:rPr>
          <w:rFonts w:eastAsia="Times New Roman" w:cstheme="minorHAnsi"/>
          <w:color w:val="2E74B5" w:themeColor="accent1" w:themeShade="BF"/>
        </w:rPr>
      </w:pPr>
      <w:r w:rsidRPr="00512579">
        <w:rPr>
          <w:rFonts w:eastAsia="Times New Roman" w:cstheme="minorHAnsi"/>
          <w:color w:val="2E74B5" w:themeColor="accent1" w:themeShade="BF"/>
        </w:rPr>
        <w:t>8</w:t>
      </w:r>
      <w:r w:rsidR="00E21B6C" w:rsidRPr="00512579">
        <w:rPr>
          <w:rFonts w:eastAsia="Times New Roman" w:cstheme="minorHAnsi"/>
          <w:color w:val="2E74B5" w:themeColor="accent1" w:themeShade="BF"/>
        </w:rPr>
        <w:t xml:space="preserve">. </w:t>
      </w:r>
      <w:proofErr w:type="spellStart"/>
      <w:r w:rsidR="00E21B6C" w:rsidRPr="00512579">
        <w:rPr>
          <w:rFonts w:eastAsia="Times New Roman" w:cstheme="minorHAnsi"/>
          <w:color w:val="2E74B5" w:themeColor="accent1" w:themeShade="BF"/>
        </w:rPr>
        <w:t>Ramanathan</w:t>
      </w:r>
      <w:proofErr w:type="spellEnd"/>
      <w:r w:rsidR="00E21B6C" w:rsidRPr="00512579">
        <w:rPr>
          <w:rFonts w:eastAsia="Times New Roman" w:cstheme="minorHAnsi"/>
          <w:color w:val="2E74B5" w:themeColor="accent1" w:themeShade="BF"/>
        </w:rPr>
        <w:t xml:space="preserve"> KB. Macro- and micronutrients in patients with congestive</w:t>
      </w:r>
    </w:p>
    <w:p w:rsidR="00E21B6C" w:rsidRPr="00512579" w:rsidRDefault="000703D2" w:rsidP="00512579">
      <w:pPr>
        <w:shd w:val="clear" w:color="auto" w:fill="FFFFFF"/>
        <w:spacing w:after="0" w:line="360" w:lineRule="auto"/>
        <w:jc w:val="both"/>
        <w:rPr>
          <w:rFonts w:eastAsia="Times New Roman" w:cstheme="minorHAnsi"/>
          <w:color w:val="2E74B5" w:themeColor="accent1" w:themeShade="BF"/>
        </w:rPr>
      </w:pPr>
      <w:r w:rsidRPr="00512579">
        <w:rPr>
          <w:rFonts w:eastAsia="Times New Roman" w:cstheme="minorHAnsi"/>
          <w:color w:val="2E74B5" w:themeColor="accent1" w:themeShade="BF"/>
        </w:rPr>
        <w:t>9</w:t>
      </w:r>
      <w:r w:rsidR="00E21B6C" w:rsidRPr="00512579">
        <w:rPr>
          <w:rFonts w:eastAsia="Times New Roman" w:cstheme="minorHAnsi"/>
          <w:color w:val="2E74B5" w:themeColor="accent1" w:themeShade="BF"/>
        </w:rPr>
        <w:t xml:space="preserve">. </w:t>
      </w:r>
      <w:r w:rsidR="000A0BFF">
        <w:rPr>
          <w:rFonts w:eastAsia="Times New Roman" w:cstheme="minorHAnsi"/>
          <w:color w:val="2E74B5" w:themeColor="accent1" w:themeShade="BF"/>
        </w:rPr>
        <w:t>H</w:t>
      </w:r>
      <w:r w:rsidR="00E21B6C" w:rsidRPr="00512579">
        <w:rPr>
          <w:rFonts w:eastAsia="Times New Roman" w:cstheme="minorHAnsi"/>
          <w:color w:val="2E74B5" w:themeColor="accent1" w:themeShade="BF"/>
        </w:rPr>
        <w:t>eart</w:t>
      </w:r>
      <w:r w:rsidR="000A0BFF">
        <w:rPr>
          <w:rFonts w:eastAsia="Times New Roman" w:cstheme="minorHAnsi"/>
          <w:color w:val="2E74B5" w:themeColor="accent1" w:themeShade="BF"/>
        </w:rPr>
        <w:t xml:space="preserve"> </w:t>
      </w:r>
      <w:r w:rsidR="00E21B6C" w:rsidRPr="00512579">
        <w:rPr>
          <w:rFonts w:eastAsia="Times New Roman" w:cstheme="minorHAnsi"/>
          <w:color w:val="2E74B5" w:themeColor="accent1" w:themeShade="BF"/>
        </w:rPr>
        <w:t>failure, particularly African-Americans.</w:t>
      </w:r>
      <w:r w:rsidR="000A0BFF">
        <w:rPr>
          <w:rFonts w:eastAsia="Times New Roman" w:cstheme="minorHAnsi"/>
          <w:color w:val="2E74B5" w:themeColor="accent1" w:themeShade="BF"/>
        </w:rPr>
        <w:t xml:space="preserve"> </w:t>
      </w:r>
      <w:proofErr w:type="spellStart"/>
      <w:r w:rsidR="00E21B6C" w:rsidRPr="00512579">
        <w:rPr>
          <w:rFonts w:eastAsia="Times New Roman" w:cstheme="minorHAnsi"/>
          <w:color w:val="2E74B5" w:themeColor="accent1" w:themeShade="BF"/>
        </w:rPr>
        <w:t>Vasc</w:t>
      </w:r>
      <w:proofErr w:type="spellEnd"/>
      <w:r w:rsidR="000A0BFF">
        <w:rPr>
          <w:rFonts w:eastAsia="Times New Roman" w:cstheme="minorHAnsi"/>
          <w:color w:val="2E74B5" w:themeColor="accent1" w:themeShade="BF"/>
        </w:rPr>
        <w:t xml:space="preserve"> </w:t>
      </w:r>
      <w:r w:rsidR="00E21B6C" w:rsidRPr="00512579">
        <w:rPr>
          <w:rFonts w:eastAsia="Times New Roman" w:cstheme="minorHAnsi"/>
          <w:color w:val="2E74B5" w:themeColor="accent1" w:themeShade="BF"/>
        </w:rPr>
        <w:t>Health</w:t>
      </w:r>
      <w:r w:rsidR="000A0BFF">
        <w:rPr>
          <w:rFonts w:eastAsia="Times New Roman" w:cstheme="minorHAnsi"/>
          <w:color w:val="2E74B5" w:themeColor="accent1" w:themeShade="BF"/>
        </w:rPr>
        <w:t xml:space="preserve"> </w:t>
      </w:r>
      <w:r w:rsidR="00E21B6C" w:rsidRPr="00512579">
        <w:rPr>
          <w:rFonts w:eastAsia="Times New Roman" w:cstheme="minorHAnsi"/>
          <w:color w:val="2E74B5" w:themeColor="accent1" w:themeShade="BF"/>
        </w:rPr>
        <w:t>Risk Manag.2007</w:t>
      </w:r>
      <w:proofErr w:type="gramStart"/>
      <w:r w:rsidR="00E21B6C" w:rsidRPr="00512579">
        <w:rPr>
          <w:rFonts w:eastAsia="Times New Roman" w:cstheme="minorHAnsi"/>
          <w:color w:val="2E74B5" w:themeColor="accent1" w:themeShade="BF"/>
        </w:rPr>
        <w:t>;3</w:t>
      </w:r>
      <w:proofErr w:type="gramEnd"/>
      <w:r w:rsidR="00E21B6C" w:rsidRPr="00512579">
        <w:rPr>
          <w:rFonts w:eastAsia="Times New Roman" w:cstheme="minorHAnsi"/>
          <w:color w:val="2E74B5" w:themeColor="accent1" w:themeShade="BF"/>
        </w:rPr>
        <w:t>(5):743–7.</w:t>
      </w:r>
    </w:p>
    <w:p w:rsidR="00E21B6C" w:rsidRPr="00512579" w:rsidRDefault="000703D2" w:rsidP="00512579">
      <w:pPr>
        <w:shd w:val="clear" w:color="auto" w:fill="FFFFFF"/>
        <w:spacing w:after="0" w:line="360" w:lineRule="auto"/>
        <w:jc w:val="both"/>
        <w:rPr>
          <w:rFonts w:eastAsia="Times New Roman" w:cstheme="minorHAnsi"/>
          <w:color w:val="2E74B5" w:themeColor="accent1" w:themeShade="BF"/>
        </w:rPr>
      </w:pPr>
      <w:r w:rsidRPr="00512579">
        <w:rPr>
          <w:rFonts w:eastAsia="Times New Roman" w:cstheme="minorHAnsi"/>
          <w:color w:val="2E74B5" w:themeColor="accent1" w:themeShade="BF"/>
          <w:spacing w:val="9"/>
        </w:rPr>
        <w:t>10</w:t>
      </w:r>
      <w:r w:rsidR="00E21B6C" w:rsidRPr="00512579">
        <w:rPr>
          <w:rFonts w:eastAsia="Times New Roman" w:cstheme="minorHAnsi"/>
          <w:color w:val="2E74B5" w:themeColor="accent1" w:themeShade="BF"/>
          <w:spacing w:val="9"/>
        </w:rPr>
        <w:t xml:space="preserve">. Bhattacharya SK, </w:t>
      </w:r>
      <w:proofErr w:type="spellStart"/>
      <w:r w:rsidR="00E21B6C" w:rsidRPr="00512579">
        <w:rPr>
          <w:rFonts w:eastAsia="Times New Roman" w:cstheme="minorHAnsi"/>
          <w:color w:val="2E74B5" w:themeColor="accent1" w:themeShade="BF"/>
          <w:spacing w:val="9"/>
        </w:rPr>
        <w:t>Ahokas</w:t>
      </w:r>
      <w:proofErr w:type="spellEnd"/>
      <w:r w:rsidR="00E21B6C" w:rsidRPr="00512579">
        <w:rPr>
          <w:rFonts w:eastAsia="Times New Roman" w:cstheme="minorHAnsi"/>
          <w:color w:val="2E74B5" w:themeColor="accent1" w:themeShade="BF"/>
          <w:spacing w:val="9"/>
        </w:rPr>
        <w:t xml:space="preserve"> RA, Carbone LD, et al. </w:t>
      </w:r>
      <w:r w:rsidR="00E21B6C" w:rsidRPr="00512579">
        <w:rPr>
          <w:rFonts w:eastAsia="Times New Roman" w:cstheme="minorHAnsi"/>
          <w:color w:val="2E74B5" w:themeColor="accent1" w:themeShade="BF"/>
          <w:spacing w:val="8"/>
        </w:rPr>
        <w:t>Macro- and</w:t>
      </w:r>
      <w:r w:rsidR="00E21B6C" w:rsidRPr="00512579">
        <w:rPr>
          <w:rFonts w:eastAsia="Times New Roman" w:cstheme="minorHAnsi"/>
          <w:color w:val="2E74B5" w:themeColor="accent1" w:themeShade="BF"/>
          <w:spacing w:val="10"/>
        </w:rPr>
        <w:t xml:space="preserve"> </w:t>
      </w:r>
      <w:r w:rsidR="00E21B6C" w:rsidRPr="00512579">
        <w:rPr>
          <w:rFonts w:eastAsia="Times New Roman" w:cstheme="minorHAnsi"/>
          <w:color w:val="2E74B5" w:themeColor="accent1" w:themeShade="BF"/>
        </w:rPr>
        <w:t>micronutrients in African-Americans with heart failure. Heart Fail Rev.2006</w:t>
      </w:r>
      <w:proofErr w:type="gramStart"/>
      <w:r w:rsidR="00E21B6C" w:rsidRPr="00512579">
        <w:rPr>
          <w:rFonts w:eastAsia="Times New Roman" w:cstheme="minorHAnsi"/>
          <w:color w:val="2E74B5" w:themeColor="accent1" w:themeShade="BF"/>
        </w:rPr>
        <w:t>;11</w:t>
      </w:r>
      <w:proofErr w:type="gramEnd"/>
      <w:r w:rsidR="00E21B6C" w:rsidRPr="00512579">
        <w:rPr>
          <w:rFonts w:eastAsia="Times New Roman" w:cstheme="minorHAnsi"/>
          <w:color w:val="2E74B5" w:themeColor="accent1" w:themeShade="BF"/>
        </w:rPr>
        <w:t>(1):45–55.</w:t>
      </w:r>
    </w:p>
    <w:p w:rsidR="00E21B6C" w:rsidRPr="00512579" w:rsidRDefault="000703D2" w:rsidP="00512579">
      <w:pPr>
        <w:shd w:val="clear" w:color="auto" w:fill="FFFFFF"/>
        <w:spacing w:after="0" w:line="360" w:lineRule="auto"/>
        <w:jc w:val="both"/>
        <w:rPr>
          <w:rFonts w:eastAsia="Times New Roman" w:cstheme="minorHAnsi"/>
          <w:color w:val="2E74B5" w:themeColor="accent1" w:themeShade="BF"/>
        </w:rPr>
      </w:pPr>
      <w:r w:rsidRPr="00512579">
        <w:rPr>
          <w:rFonts w:eastAsia="Times New Roman" w:cstheme="minorHAnsi"/>
          <w:color w:val="2E74B5" w:themeColor="accent1" w:themeShade="BF"/>
          <w:spacing w:val="10"/>
        </w:rPr>
        <w:t>11</w:t>
      </w:r>
      <w:r w:rsidR="00E21B6C" w:rsidRPr="00512579">
        <w:rPr>
          <w:rFonts w:eastAsia="Times New Roman" w:cstheme="minorHAnsi"/>
          <w:color w:val="2E74B5" w:themeColor="accent1" w:themeShade="BF"/>
          <w:spacing w:val="10"/>
        </w:rPr>
        <w:t xml:space="preserve">. </w:t>
      </w:r>
      <w:proofErr w:type="spellStart"/>
      <w:r w:rsidR="00E21B6C" w:rsidRPr="00512579">
        <w:rPr>
          <w:rFonts w:eastAsia="Times New Roman" w:cstheme="minorHAnsi"/>
          <w:color w:val="2E74B5" w:themeColor="accent1" w:themeShade="BF"/>
        </w:rPr>
        <w:t>Selektor</w:t>
      </w:r>
      <w:proofErr w:type="spellEnd"/>
      <w:r w:rsidR="00E21B6C" w:rsidRPr="00512579">
        <w:rPr>
          <w:rFonts w:eastAsia="Times New Roman" w:cstheme="minorHAnsi"/>
          <w:color w:val="2E74B5" w:themeColor="accent1" w:themeShade="BF"/>
        </w:rPr>
        <w:t xml:space="preserve"> Y, Weber KT. The salt-avid state of congestive heart failure revisited. Am J Med Sci. 2008</w:t>
      </w:r>
      <w:proofErr w:type="gramStart"/>
      <w:r w:rsidR="00E21B6C" w:rsidRPr="00512579">
        <w:rPr>
          <w:rFonts w:eastAsia="Times New Roman" w:cstheme="minorHAnsi"/>
          <w:color w:val="2E74B5" w:themeColor="accent1" w:themeShade="BF"/>
        </w:rPr>
        <w:t>;335</w:t>
      </w:r>
      <w:proofErr w:type="gramEnd"/>
      <w:r w:rsidR="00E21B6C" w:rsidRPr="00512579">
        <w:rPr>
          <w:rFonts w:eastAsia="Times New Roman" w:cstheme="minorHAnsi"/>
          <w:color w:val="2E74B5" w:themeColor="accent1" w:themeShade="BF"/>
        </w:rPr>
        <w:t>(3):209–18.</w:t>
      </w:r>
    </w:p>
    <w:p w:rsidR="00E21B6C" w:rsidRPr="00512579" w:rsidRDefault="000703D2" w:rsidP="00512579">
      <w:pPr>
        <w:shd w:val="clear" w:color="auto" w:fill="FFFFFF"/>
        <w:spacing w:after="0" w:line="360" w:lineRule="auto"/>
        <w:jc w:val="both"/>
        <w:rPr>
          <w:rFonts w:eastAsia="Times New Roman" w:cstheme="minorHAnsi"/>
          <w:color w:val="2E74B5" w:themeColor="accent1" w:themeShade="BF"/>
        </w:rPr>
      </w:pPr>
      <w:r w:rsidRPr="00512579">
        <w:rPr>
          <w:rFonts w:eastAsia="Times New Roman" w:cstheme="minorHAnsi"/>
          <w:color w:val="2E74B5" w:themeColor="accent1" w:themeShade="BF"/>
        </w:rPr>
        <w:lastRenderedPageBreak/>
        <w:t>12</w:t>
      </w:r>
      <w:r w:rsidR="00E21B6C" w:rsidRPr="00512579">
        <w:rPr>
          <w:rFonts w:eastAsia="Times New Roman" w:cstheme="minorHAnsi"/>
          <w:color w:val="2E74B5" w:themeColor="accent1" w:themeShade="BF"/>
        </w:rPr>
        <w:t>. Witte KK, Clark AL. Micronutrients and their supplementation in chronic cardiac failure. An update beyond theoretical perspectives. Heart Fail Rev. 2006</w:t>
      </w:r>
      <w:proofErr w:type="gramStart"/>
      <w:r w:rsidR="00E21B6C" w:rsidRPr="00512579">
        <w:rPr>
          <w:rFonts w:eastAsia="Times New Roman" w:cstheme="minorHAnsi"/>
          <w:color w:val="2E74B5" w:themeColor="accent1" w:themeShade="BF"/>
        </w:rPr>
        <w:t>;11</w:t>
      </w:r>
      <w:proofErr w:type="gramEnd"/>
      <w:r w:rsidR="00E21B6C" w:rsidRPr="00512579">
        <w:rPr>
          <w:rFonts w:eastAsia="Times New Roman" w:cstheme="minorHAnsi"/>
          <w:color w:val="2E74B5" w:themeColor="accent1" w:themeShade="BF"/>
        </w:rPr>
        <w:t>(1):65–74.</w:t>
      </w:r>
    </w:p>
    <w:p w:rsidR="00E21B6C" w:rsidRPr="00512579" w:rsidRDefault="000703D2" w:rsidP="00512579">
      <w:pPr>
        <w:shd w:val="clear" w:color="auto" w:fill="FFFFFF"/>
        <w:spacing w:after="0" w:line="360" w:lineRule="auto"/>
        <w:jc w:val="both"/>
        <w:rPr>
          <w:rFonts w:eastAsia="Times New Roman" w:cstheme="minorHAnsi"/>
          <w:color w:val="2E74B5" w:themeColor="accent1" w:themeShade="BF"/>
        </w:rPr>
      </w:pPr>
      <w:r w:rsidRPr="00512579">
        <w:rPr>
          <w:rFonts w:eastAsia="Times New Roman" w:cstheme="minorHAnsi"/>
          <w:color w:val="2E74B5" w:themeColor="accent1" w:themeShade="BF"/>
        </w:rPr>
        <w:t>13</w:t>
      </w:r>
      <w:r w:rsidR="00E21B6C" w:rsidRPr="00512579">
        <w:rPr>
          <w:rFonts w:eastAsia="Times New Roman" w:cstheme="minorHAnsi"/>
          <w:color w:val="2E74B5" w:themeColor="accent1" w:themeShade="BF"/>
        </w:rPr>
        <w:t xml:space="preserve">. Lennie TA, Chung ML, </w:t>
      </w:r>
      <w:proofErr w:type="spellStart"/>
      <w:r w:rsidR="00E21B6C" w:rsidRPr="00512579">
        <w:rPr>
          <w:rFonts w:eastAsia="Times New Roman" w:cstheme="minorHAnsi"/>
          <w:color w:val="2E74B5" w:themeColor="accent1" w:themeShade="BF"/>
        </w:rPr>
        <w:t>Habash</w:t>
      </w:r>
      <w:proofErr w:type="spellEnd"/>
      <w:r w:rsidR="00E21B6C" w:rsidRPr="00512579">
        <w:rPr>
          <w:rFonts w:eastAsia="Times New Roman" w:cstheme="minorHAnsi"/>
          <w:color w:val="2E74B5" w:themeColor="accent1" w:themeShade="BF"/>
        </w:rPr>
        <w:t xml:space="preserve"> DL, Moser DK. Dietary fat intake and pro</w:t>
      </w:r>
      <w:r w:rsidR="000A0BFF">
        <w:rPr>
          <w:rFonts w:eastAsia="Times New Roman" w:cstheme="minorHAnsi"/>
          <w:color w:val="2E74B5" w:themeColor="accent1" w:themeShade="BF"/>
        </w:rPr>
        <w:t xml:space="preserve"> </w:t>
      </w:r>
      <w:r w:rsidR="00E21B6C" w:rsidRPr="00512579">
        <w:rPr>
          <w:rFonts w:eastAsia="Times New Roman" w:cstheme="minorHAnsi"/>
          <w:color w:val="2E74B5" w:themeColor="accent1" w:themeShade="BF"/>
        </w:rPr>
        <w:t>inflammatory cytokine levels in patients with heart failure. J Card Fail. 2005</w:t>
      </w:r>
      <w:proofErr w:type="gramStart"/>
      <w:r w:rsidR="00E21B6C" w:rsidRPr="00512579">
        <w:rPr>
          <w:rFonts w:eastAsia="Times New Roman" w:cstheme="minorHAnsi"/>
          <w:color w:val="2E74B5" w:themeColor="accent1" w:themeShade="BF"/>
        </w:rPr>
        <w:t>;11</w:t>
      </w:r>
      <w:proofErr w:type="gramEnd"/>
      <w:r w:rsidR="00E21B6C" w:rsidRPr="00512579">
        <w:rPr>
          <w:rFonts w:eastAsia="Times New Roman" w:cstheme="minorHAnsi"/>
          <w:color w:val="2E74B5" w:themeColor="accent1" w:themeShade="BF"/>
        </w:rPr>
        <w:t>(8):613–8.</w:t>
      </w:r>
    </w:p>
    <w:p w:rsidR="000A0BFF" w:rsidRDefault="00512579" w:rsidP="00512579">
      <w:pPr>
        <w:spacing w:line="360" w:lineRule="auto"/>
        <w:jc w:val="both"/>
        <w:rPr>
          <w:rFonts w:cstheme="minorHAnsi"/>
          <w:color w:val="2E74B5" w:themeColor="accent1" w:themeShade="BF"/>
        </w:rPr>
      </w:pPr>
      <w:r w:rsidRPr="00512579">
        <w:rPr>
          <w:rFonts w:cstheme="minorHAnsi"/>
          <w:color w:val="2E74B5" w:themeColor="accent1" w:themeShade="BF"/>
        </w:rPr>
        <w:t>15</w:t>
      </w:r>
      <w:r w:rsidRPr="00512579">
        <w:rPr>
          <w:rFonts w:cstheme="minorHAnsi"/>
          <w:color w:val="2E74B5" w:themeColor="accent1" w:themeShade="BF"/>
        </w:rPr>
        <w:t>.</w:t>
      </w:r>
      <w:r w:rsidRPr="00512579">
        <w:rPr>
          <w:rFonts w:cstheme="minorHAnsi"/>
          <w:color w:val="2E74B5" w:themeColor="accent1" w:themeShade="BF"/>
        </w:rPr>
        <w:t xml:space="preserve"> </w:t>
      </w:r>
      <w:proofErr w:type="spellStart"/>
      <w:r w:rsidRPr="00512579">
        <w:rPr>
          <w:rFonts w:cstheme="minorHAnsi"/>
          <w:color w:val="2E74B5" w:themeColor="accent1" w:themeShade="BF"/>
        </w:rPr>
        <w:t>Pi</w:t>
      </w:r>
      <w:r w:rsidR="000A0BFF">
        <w:rPr>
          <w:rFonts w:cstheme="minorHAnsi"/>
          <w:color w:val="2E74B5" w:themeColor="accent1" w:themeShade="BF"/>
        </w:rPr>
        <w:t>nho</w:t>
      </w:r>
      <w:proofErr w:type="spellEnd"/>
      <w:r w:rsidR="000A0BFF">
        <w:rPr>
          <w:rFonts w:cstheme="minorHAnsi"/>
          <w:color w:val="2E74B5" w:themeColor="accent1" w:themeShade="BF"/>
        </w:rPr>
        <w:t xml:space="preserve"> CPS </w:t>
      </w:r>
      <w:r w:rsidRPr="00512579">
        <w:rPr>
          <w:rFonts w:cstheme="minorHAnsi"/>
          <w:color w:val="2E74B5" w:themeColor="accent1" w:themeShade="BF"/>
        </w:rPr>
        <w:t>et al</w:t>
      </w:r>
      <w:proofErr w:type="gramStart"/>
      <w:r w:rsidRPr="00512579">
        <w:rPr>
          <w:rFonts w:cstheme="minorHAnsi"/>
          <w:color w:val="2E74B5" w:themeColor="accent1" w:themeShade="BF"/>
        </w:rPr>
        <w:t>.(</w:t>
      </w:r>
      <w:proofErr w:type="gramEnd"/>
      <w:r w:rsidRPr="00512579">
        <w:rPr>
          <w:rFonts w:cstheme="minorHAnsi"/>
          <w:color w:val="2E74B5" w:themeColor="accent1" w:themeShade="BF"/>
        </w:rPr>
        <w:t xml:space="preserve"> 2014) </w:t>
      </w:r>
      <w:proofErr w:type="spellStart"/>
      <w:r w:rsidRPr="00512579">
        <w:rPr>
          <w:rFonts w:cstheme="minorHAnsi"/>
          <w:color w:val="2E74B5" w:themeColor="accent1" w:themeShade="BF"/>
        </w:rPr>
        <w:t>Nutritonal</w:t>
      </w:r>
      <w:proofErr w:type="spellEnd"/>
      <w:r w:rsidRPr="00512579">
        <w:rPr>
          <w:rFonts w:cstheme="minorHAnsi"/>
          <w:color w:val="2E74B5" w:themeColor="accent1" w:themeShade="BF"/>
        </w:rPr>
        <w:t xml:space="preserve"> aspects in heart failure ; conclusion journal of nutrition and health science</w:t>
      </w:r>
    </w:p>
    <w:p w:rsidR="00512579" w:rsidRPr="00512579" w:rsidRDefault="00512579" w:rsidP="00512579">
      <w:pPr>
        <w:spacing w:line="360" w:lineRule="auto"/>
        <w:jc w:val="both"/>
        <w:rPr>
          <w:rFonts w:cstheme="minorHAnsi"/>
          <w:color w:val="2E74B5" w:themeColor="accent1" w:themeShade="BF"/>
        </w:rPr>
      </w:pPr>
      <w:r w:rsidRPr="00512579">
        <w:rPr>
          <w:rFonts w:cstheme="minorHAnsi"/>
          <w:color w:val="2E74B5" w:themeColor="accent1" w:themeShade="BF"/>
        </w:rPr>
        <w:t>16</w:t>
      </w:r>
      <w:r w:rsidRPr="00512579">
        <w:rPr>
          <w:rFonts w:cstheme="minorHAnsi"/>
          <w:color w:val="2E74B5" w:themeColor="accent1" w:themeShade="BF"/>
        </w:rPr>
        <w:t>. Hunt S.A ACC/AHA2005 guidelines update for the diagnosis and management of chronic heart failure in adult:</w:t>
      </w:r>
      <w:r w:rsidR="000A0BFF">
        <w:rPr>
          <w:rFonts w:cstheme="minorHAnsi"/>
          <w:color w:val="2E74B5" w:themeColor="accent1" w:themeShade="BF"/>
        </w:rPr>
        <w:t xml:space="preserve"> </w:t>
      </w:r>
      <w:r w:rsidRPr="00512579">
        <w:rPr>
          <w:rFonts w:cstheme="minorHAnsi"/>
          <w:color w:val="2E74B5" w:themeColor="accent1" w:themeShade="BF"/>
        </w:rPr>
        <w:t xml:space="preserve">a report of American </w:t>
      </w:r>
      <w:proofErr w:type="spellStart"/>
      <w:r w:rsidRPr="00512579">
        <w:rPr>
          <w:rFonts w:cstheme="minorHAnsi"/>
          <w:color w:val="2E74B5" w:themeColor="accent1" w:themeShade="BF"/>
        </w:rPr>
        <w:t>collage</w:t>
      </w:r>
      <w:proofErr w:type="spellEnd"/>
      <w:r w:rsidR="000A0BFF">
        <w:rPr>
          <w:rFonts w:cstheme="minorHAnsi"/>
          <w:color w:val="2E74B5" w:themeColor="accent1" w:themeShade="BF"/>
        </w:rPr>
        <w:t xml:space="preserve"> of </w:t>
      </w:r>
      <w:proofErr w:type="gramStart"/>
      <w:r w:rsidR="000A0BFF">
        <w:rPr>
          <w:rFonts w:cstheme="minorHAnsi"/>
          <w:color w:val="2E74B5" w:themeColor="accent1" w:themeShade="BF"/>
        </w:rPr>
        <w:t>cardiology .</w:t>
      </w:r>
      <w:proofErr w:type="gramEnd"/>
      <w:r w:rsidR="000A0BFF">
        <w:rPr>
          <w:rFonts w:cstheme="minorHAnsi"/>
          <w:color w:val="2E74B5" w:themeColor="accent1" w:themeShade="BF"/>
        </w:rPr>
        <w:t xml:space="preserve"> J Am </w:t>
      </w:r>
      <w:proofErr w:type="spellStart"/>
      <w:r w:rsidR="000A0BFF">
        <w:rPr>
          <w:rFonts w:cstheme="minorHAnsi"/>
          <w:color w:val="2E74B5" w:themeColor="accent1" w:themeShade="BF"/>
        </w:rPr>
        <w:t>Coll</w:t>
      </w:r>
      <w:r w:rsidRPr="00512579">
        <w:rPr>
          <w:rFonts w:cstheme="minorHAnsi"/>
          <w:color w:val="2E74B5" w:themeColor="accent1" w:themeShade="BF"/>
        </w:rPr>
        <w:t>cardiol</w:t>
      </w:r>
      <w:proofErr w:type="spellEnd"/>
      <w:r w:rsidRPr="00512579">
        <w:rPr>
          <w:rFonts w:cstheme="minorHAnsi"/>
          <w:color w:val="2E74B5" w:themeColor="accent1" w:themeShade="BF"/>
        </w:rPr>
        <w:t>. 2005</w:t>
      </w:r>
      <w:proofErr w:type="gramStart"/>
      <w:r w:rsidRPr="00512579">
        <w:rPr>
          <w:rFonts w:cstheme="minorHAnsi"/>
          <w:color w:val="2E74B5" w:themeColor="accent1" w:themeShade="BF"/>
        </w:rPr>
        <w:t>;46</w:t>
      </w:r>
      <w:proofErr w:type="gramEnd"/>
      <w:r w:rsidRPr="00512579">
        <w:rPr>
          <w:rFonts w:cstheme="minorHAnsi"/>
          <w:color w:val="2E74B5" w:themeColor="accent1" w:themeShade="BF"/>
        </w:rPr>
        <w:t>(6);e182</w:t>
      </w:r>
    </w:p>
    <w:p w:rsidR="00E21B6C" w:rsidRPr="00512579" w:rsidRDefault="00512579" w:rsidP="00512579">
      <w:pPr>
        <w:pBdr>
          <w:top w:val="nil"/>
          <w:left w:val="nil"/>
          <w:bottom w:val="nil"/>
          <w:right w:val="nil"/>
          <w:between w:val="nil"/>
        </w:pBdr>
        <w:spacing w:after="0" w:line="360" w:lineRule="auto"/>
        <w:jc w:val="both"/>
        <w:rPr>
          <w:rFonts w:eastAsia="Times New Roman" w:cstheme="minorHAnsi"/>
          <w:color w:val="2E74B5" w:themeColor="accent1" w:themeShade="BF"/>
        </w:rPr>
      </w:pPr>
      <w:r w:rsidRPr="00512579">
        <w:rPr>
          <w:rFonts w:eastAsia="Times New Roman" w:cstheme="minorHAnsi"/>
          <w:color w:val="2E74B5" w:themeColor="accent1" w:themeShade="BF"/>
        </w:rPr>
        <w:t>17</w:t>
      </w:r>
      <w:r w:rsidR="00E21B6C" w:rsidRPr="00512579">
        <w:rPr>
          <w:rFonts w:eastAsia="Times New Roman" w:cstheme="minorHAnsi"/>
          <w:color w:val="2E74B5" w:themeColor="accent1" w:themeShade="BF"/>
        </w:rPr>
        <w:t xml:space="preserve">. </w:t>
      </w:r>
      <w:proofErr w:type="spellStart"/>
      <w:r w:rsidR="000A0BFF">
        <w:rPr>
          <w:rFonts w:eastAsia="Times New Roman" w:cstheme="minorHAnsi"/>
          <w:color w:val="2E74B5" w:themeColor="accent1" w:themeShade="BF"/>
        </w:rPr>
        <w:t>Stephenic</w:t>
      </w:r>
      <w:proofErr w:type="spellEnd"/>
      <w:r w:rsidR="000A0BFF">
        <w:rPr>
          <w:rFonts w:eastAsia="Times New Roman" w:cstheme="minorHAnsi"/>
          <w:color w:val="2E74B5" w:themeColor="accent1" w:themeShade="BF"/>
        </w:rPr>
        <w:t xml:space="preserve"> </w:t>
      </w:r>
      <w:r w:rsidR="00E21B6C" w:rsidRPr="00512579">
        <w:rPr>
          <w:rFonts w:eastAsia="Times New Roman" w:cstheme="minorHAnsi"/>
          <w:color w:val="2E74B5" w:themeColor="accent1" w:themeShade="BF"/>
        </w:rPr>
        <w:t>C. Lemon,</w:t>
      </w:r>
      <w:r w:rsidR="000A0BFF">
        <w:rPr>
          <w:rFonts w:eastAsia="Times New Roman" w:cstheme="minorHAnsi"/>
          <w:color w:val="2E74B5" w:themeColor="accent1" w:themeShade="BF"/>
        </w:rPr>
        <w:t xml:space="preserve"> </w:t>
      </w:r>
      <w:r w:rsidR="00E21B6C" w:rsidRPr="00512579">
        <w:rPr>
          <w:rFonts w:eastAsia="Times New Roman" w:cstheme="minorHAnsi"/>
          <w:color w:val="2E74B5" w:themeColor="accent1" w:themeShade="BF"/>
        </w:rPr>
        <w:t>PhD et al. the dietary quality of person with heart failure in HANES 1999-2006 JGIM: 139 Conclusion.</w:t>
      </w:r>
    </w:p>
    <w:p w:rsidR="00E21B6C" w:rsidRPr="00512579" w:rsidRDefault="00512579" w:rsidP="00512579">
      <w:pPr>
        <w:pBdr>
          <w:top w:val="nil"/>
          <w:left w:val="nil"/>
          <w:bottom w:val="nil"/>
          <w:right w:val="nil"/>
          <w:between w:val="nil"/>
        </w:pBdr>
        <w:spacing w:after="0" w:line="360" w:lineRule="auto"/>
        <w:jc w:val="both"/>
        <w:rPr>
          <w:rFonts w:eastAsia="Times New Roman" w:cstheme="minorHAnsi"/>
          <w:color w:val="2E74B5" w:themeColor="accent1" w:themeShade="BF"/>
        </w:rPr>
      </w:pPr>
      <w:r w:rsidRPr="00512579">
        <w:rPr>
          <w:rFonts w:eastAsia="Times New Roman" w:cstheme="minorHAnsi"/>
          <w:color w:val="2E74B5" w:themeColor="accent1" w:themeShade="BF"/>
        </w:rPr>
        <w:t>18.</w:t>
      </w:r>
      <w:r w:rsidR="00E21B6C" w:rsidRPr="00512579">
        <w:rPr>
          <w:rFonts w:eastAsia="Times New Roman" w:cstheme="minorHAnsi"/>
          <w:color w:val="2E74B5" w:themeColor="accent1" w:themeShade="BF"/>
        </w:rPr>
        <w:t xml:space="preserve">  </w:t>
      </w:r>
      <w:proofErr w:type="spellStart"/>
      <w:r w:rsidR="00E21B6C" w:rsidRPr="00512579">
        <w:rPr>
          <w:rFonts w:eastAsia="Times New Roman" w:cstheme="minorHAnsi"/>
          <w:color w:val="2E74B5" w:themeColor="accent1" w:themeShade="BF"/>
        </w:rPr>
        <w:t>Hilal</w:t>
      </w:r>
      <w:proofErr w:type="spellEnd"/>
      <w:r w:rsidR="00E21B6C" w:rsidRPr="00512579">
        <w:rPr>
          <w:rFonts w:eastAsia="Times New Roman" w:cstheme="minorHAnsi"/>
          <w:color w:val="2E74B5" w:themeColor="accent1" w:themeShade="BF"/>
        </w:rPr>
        <w:t xml:space="preserve"> UYSAL et al. assessment of dietary habits in pati</w:t>
      </w:r>
      <w:r w:rsidR="000A0BFF">
        <w:rPr>
          <w:rFonts w:eastAsia="Times New Roman" w:cstheme="minorHAnsi"/>
          <w:color w:val="2E74B5" w:themeColor="accent1" w:themeShade="BF"/>
        </w:rPr>
        <w:t>ents with chronic Heart Failure</w:t>
      </w:r>
      <w:r w:rsidR="00E21B6C" w:rsidRPr="00512579">
        <w:rPr>
          <w:rFonts w:eastAsia="Times New Roman" w:cstheme="minorHAnsi"/>
          <w:color w:val="2E74B5" w:themeColor="accent1" w:themeShade="BF"/>
        </w:rPr>
        <w:t>: the</w:t>
      </w:r>
      <w:r w:rsidR="000A0BFF">
        <w:rPr>
          <w:rFonts w:eastAsia="Times New Roman" w:cstheme="minorHAnsi"/>
          <w:color w:val="2E74B5" w:themeColor="accent1" w:themeShade="BF"/>
        </w:rPr>
        <w:t xml:space="preserve"> </w:t>
      </w:r>
      <w:r w:rsidR="00E21B6C" w:rsidRPr="00512579">
        <w:rPr>
          <w:rFonts w:eastAsia="Times New Roman" w:cstheme="minorHAnsi"/>
          <w:color w:val="2E74B5" w:themeColor="accent1" w:themeShade="BF"/>
        </w:rPr>
        <w:t>journal of nursing research 2019 page 8.</w:t>
      </w:r>
    </w:p>
    <w:p w:rsidR="00E21B6C" w:rsidRPr="00512579" w:rsidRDefault="00512579" w:rsidP="00512579">
      <w:pPr>
        <w:pBdr>
          <w:top w:val="nil"/>
          <w:left w:val="nil"/>
          <w:bottom w:val="nil"/>
          <w:right w:val="nil"/>
          <w:between w:val="nil"/>
        </w:pBdr>
        <w:spacing w:after="0" w:line="360" w:lineRule="auto"/>
        <w:jc w:val="both"/>
        <w:rPr>
          <w:rFonts w:eastAsia="Times New Roman" w:cstheme="minorHAnsi"/>
          <w:color w:val="2E74B5" w:themeColor="accent1" w:themeShade="BF"/>
          <w:highlight w:val="white"/>
        </w:rPr>
      </w:pPr>
      <w:r w:rsidRPr="00512579">
        <w:rPr>
          <w:rFonts w:cstheme="minorHAnsi"/>
          <w:color w:val="2E74B5" w:themeColor="accent1" w:themeShade="BF"/>
        </w:rPr>
        <w:t>19</w:t>
      </w:r>
      <w:r w:rsidR="00E21B6C" w:rsidRPr="00512579">
        <w:rPr>
          <w:rFonts w:cstheme="minorHAnsi"/>
          <w:color w:val="2E74B5" w:themeColor="accent1" w:themeShade="BF"/>
        </w:rPr>
        <w:t xml:space="preserve">. </w:t>
      </w:r>
      <w:hyperlink r:id="rId16" w:anchor="auth-Hiwot-Amare">
        <w:r w:rsidR="00E21B6C" w:rsidRPr="00512579">
          <w:rPr>
            <w:rFonts w:eastAsia="Times New Roman" w:cstheme="minorHAnsi"/>
            <w:color w:val="2E74B5" w:themeColor="accent1" w:themeShade="BF"/>
            <w:highlight w:val="white"/>
          </w:rPr>
          <w:t>Hiwot Amare</w:t>
        </w:r>
      </w:hyperlink>
      <w:r w:rsidR="00E21B6C" w:rsidRPr="00512579">
        <w:rPr>
          <w:rFonts w:eastAsia="Times New Roman" w:cstheme="minorHAnsi"/>
          <w:color w:val="2E74B5" w:themeColor="accent1" w:themeShade="BF"/>
        </w:rPr>
        <w:t xml:space="preserve"> on malnutrition and associated factors among heart failure patients ; </w:t>
      </w:r>
      <w:hyperlink r:id="rId17">
        <w:r w:rsidR="00E21B6C" w:rsidRPr="00512579">
          <w:rPr>
            <w:rFonts w:eastAsia="Times New Roman" w:cstheme="minorHAnsi"/>
            <w:i/>
            <w:color w:val="2E74B5" w:themeColor="accent1" w:themeShade="BF"/>
            <w:highlight w:val="white"/>
          </w:rPr>
          <w:t>BMC Cardiovascular Disorders</w:t>
        </w:r>
      </w:hyperlink>
      <w:r w:rsidR="00E21B6C" w:rsidRPr="00512579">
        <w:rPr>
          <w:rFonts w:eastAsia="Times New Roman" w:cstheme="minorHAnsi"/>
          <w:color w:val="2E74B5" w:themeColor="accent1" w:themeShade="BF"/>
          <w:highlight w:val="white"/>
        </w:rPr>
        <w:t>volume15,Articlenumber:128(2015)</w:t>
      </w:r>
      <w:hyperlink r:id="rId18">
        <w:r w:rsidR="00E21B6C" w:rsidRPr="00512579">
          <w:rPr>
            <w:rFonts w:eastAsia="Times New Roman" w:cstheme="minorHAnsi"/>
            <w:color w:val="2E74B5" w:themeColor="accent1" w:themeShade="BF"/>
            <w:highlight w:val="white"/>
          </w:rPr>
          <w:t>https://bmccardiovascdisord.biomedcentral.com/articles/10.1186/s12872-015-0111-4</w:t>
        </w:r>
      </w:hyperlink>
    </w:p>
    <w:p w:rsidR="00E21B6C" w:rsidRPr="00512579" w:rsidRDefault="00512579" w:rsidP="00512579">
      <w:pPr>
        <w:pBdr>
          <w:top w:val="nil"/>
          <w:left w:val="nil"/>
          <w:bottom w:val="nil"/>
          <w:right w:val="nil"/>
          <w:between w:val="nil"/>
        </w:pBdr>
        <w:spacing w:after="0" w:line="360" w:lineRule="auto"/>
        <w:jc w:val="both"/>
        <w:rPr>
          <w:rFonts w:eastAsia="Times New Roman" w:cstheme="minorHAnsi"/>
          <w:color w:val="2E74B5" w:themeColor="accent1" w:themeShade="BF"/>
        </w:rPr>
      </w:pPr>
      <w:r w:rsidRPr="00512579">
        <w:rPr>
          <w:rFonts w:eastAsia="Times New Roman" w:cstheme="minorHAnsi"/>
          <w:color w:val="2E74B5" w:themeColor="accent1" w:themeShade="BF"/>
          <w:highlight w:val="white"/>
        </w:rPr>
        <w:t>20</w:t>
      </w:r>
      <w:r w:rsidR="00E21B6C" w:rsidRPr="00512579">
        <w:rPr>
          <w:rFonts w:eastAsia="Times New Roman" w:cstheme="minorHAnsi"/>
          <w:color w:val="2E74B5" w:themeColor="accent1" w:themeShade="BF"/>
          <w:highlight w:val="white"/>
        </w:rPr>
        <w:t xml:space="preserve">. </w:t>
      </w:r>
      <w:proofErr w:type="spellStart"/>
      <w:r w:rsidR="00E21B6C" w:rsidRPr="00512579">
        <w:rPr>
          <w:rFonts w:eastAsia="Times New Roman" w:cstheme="minorHAnsi"/>
          <w:color w:val="2E74B5" w:themeColor="accent1" w:themeShade="BF"/>
          <w:highlight w:val="white"/>
        </w:rPr>
        <w:t>Mendis</w:t>
      </w:r>
      <w:proofErr w:type="spellEnd"/>
      <w:r w:rsidR="000A0BFF">
        <w:rPr>
          <w:rFonts w:eastAsia="Times New Roman" w:cstheme="minorHAnsi"/>
          <w:color w:val="2E74B5" w:themeColor="accent1" w:themeShade="BF"/>
          <w:highlight w:val="white"/>
        </w:rPr>
        <w:t xml:space="preserve"> S. Global status report on non-</w:t>
      </w:r>
      <w:r w:rsidR="00E21B6C" w:rsidRPr="00512579">
        <w:rPr>
          <w:rFonts w:eastAsia="Times New Roman" w:cstheme="minorHAnsi"/>
          <w:color w:val="2E74B5" w:themeColor="accent1" w:themeShade="BF"/>
          <w:highlight w:val="white"/>
        </w:rPr>
        <w:t>communicable diseases. In: Cardiovascular diseases. Fact sheet N°317th ed. Geneva: World Health organization; 2014.</w:t>
      </w:r>
    </w:p>
    <w:p w:rsidR="00E21B6C" w:rsidRPr="00512579" w:rsidRDefault="00512579" w:rsidP="00512579">
      <w:pPr>
        <w:pBdr>
          <w:top w:val="nil"/>
          <w:left w:val="nil"/>
          <w:bottom w:val="nil"/>
          <w:right w:val="nil"/>
          <w:between w:val="nil"/>
        </w:pBdr>
        <w:spacing w:after="0" w:line="360" w:lineRule="auto"/>
        <w:jc w:val="both"/>
        <w:rPr>
          <w:rFonts w:eastAsia="Times New Roman" w:cstheme="minorHAnsi"/>
          <w:color w:val="2E74B5" w:themeColor="accent1" w:themeShade="BF"/>
        </w:rPr>
      </w:pPr>
      <w:r w:rsidRPr="00512579">
        <w:rPr>
          <w:rFonts w:eastAsia="Times New Roman" w:cstheme="minorHAnsi"/>
          <w:color w:val="2E74B5" w:themeColor="accent1" w:themeShade="BF"/>
        </w:rPr>
        <w:t>21</w:t>
      </w:r>
      <w:r w:rsidR="00E21B6C" w:rsidRPr="00512579">
        <w:rPr>
          <w:rFonts w:eastAsia="Times New Roman" w:cstheme="minorHAnsi"/>
          <w:color w:val="2E74B5" w:themeColor="accent1" w:themeShade="BF"/>
        </w:rPr>
        <w:t xml:space="preserve">. </w:t>
      </w:r>
      <w:proofErr w:type="spellStart"/>
      <w:r w:rsidR="00E21B6C" w:rsidRPr="00512579">
        <w:rPr>
          <w:rFonts w:eastAsia="Times New Roman" w:cstheme="minorHAnsi"/>
          <w:color w:val="2E74B5" w:themeColor="accent1" w:themeShade="BF"/>
        </w:rPr>
        <w:t>Hilal</w:t>
      </w:r>
      <w:proofErr w:type="spellEnd"/>
      <w:r w:rsidR="00E21B6C" w:rsidRPr="00512579">
        <w:rPr>
          <w:rFonts w:eastAsia="Times New Roman" w:cstheme="minorHAnsi"/>
          <w:color w:val="2E74B5" w:themeColor="accent1" w:themeShade="BF"/>
        </w:rPr>
        <w:t xml:space="preserve"> UYSAL et al. assessment of dietary habits in pati</w:t>
      </w:r>
      <w:r w:rsidR="000A0BFF">
        <w:rPr>
          <w:rFonts w:eastAsia="Times New Roman" w:cstheme="minorHAnsi"/>
          <w:color w:val="2E74B5" w:themeColor="accent1" w:themeShade="BF"/>
        </w:rPr>
        <w:t>ents with chronic Heart Failure</w:t>
      </w:r>
      <w:r w:rsidR="00E21B6C" w:rsidRPr="00512579">
        <w:rPr>
          <w:rFonts w:eastAsia="Times New Roman" w:cstheme="minorHAnsi"/>
          <w:color w:val="2E74B5" w:themeColor="accent1" w:themeShade="BF"/>
        </w:rPr>
        <w:t>: the</w:t>
      </w:r>
      <w:r w:rsidR="000A0BFF">
        <w:rPr>
          <w:rFonts w:eastAsia="Times New Roman" w:cstheme="minorHAnsi"/>
          <w:color w:val="2E74B5" w:themeColor="accent1" w:themeShade="BF"/>
        </w:rPr>
        <w:t xml:space="preserve"> </w:t>
      </w:r>
      <w:r w:rsidR="00E21B6C" w:rsidRPr="00512579">
        <w:rPr>
          <w:rFonts w:eastAsia="Times New Roman" w:cstheme="minorHAnsi"/>
          <w:color w:val="2E74B5" w:themeColor="accent1" w:themeShade="BF"/>
        </w:rPr>
        <w:t>journal of nursing research 2019 page 8.</w:t>
      </w:r>
    </w:p>
    <w:p w:rsidR="00E21B6C" w:rsidRPr="00512579" w:rsidRDefault="00E21B6C" w:rsidP="00512579">
      <w:pPr>
        <w:spacing w:line="360" w:lineRule="auto"/>
        <w:jc w:val="both"/>
        <w:rPr>
          <w:rFonts w:cstheme="minorHAnsi"/>
          <w:b/>
          <w:sz w:val="20"/>
          <w:szCs w:val="20"/>
        </w:rPr>
      </w:pPr>
    </w:p>
    <w:p w:rsidR="00EB5310" w:rsidRDefault="00EB5310" w:rsidP="00AA2FC1">
      <w:pPr>
        <w:jc w:val="both"/>
        <w:rPr>
          <w:rFonts w:ascii="Times New Roman" w:hAnsi="Times New Roman" w:cs="Times New Roman"/>
          <w:b/>
          <w:sz w:val="20"/>
          <w:szCs w:val="20"/>
        </w:rPr>
      </w:pPr>
    </w:p>
    <w:p w:rsidR="00EB5310" w:rsidRDefault="00EB5310" w:rsidP="00AA2FC1">
      <w:pPr>
        <w:jc w:val="both"/>
        <w:rPr>
          <w:rFonts w:ascii="Times New Roman" w:hAnsi="Times New Roman" w:cs="Times New Roman"/>
          <w:b/>
          <w:sz w:val="20"/>
          <w:szCs w:val="20"/>
        </w:rPr>
      </w:pPr>
    </w:p>
    <w:p w:rsidR="009411EE" w:rsidRDefault="009411EE"/>
    <w:sectPr w:rsidR="009411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hnschrift Light Condensed">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FC1"/>
    <w:rsid w:val="00065509"/>
    <w:rsid w:val="000703D2"/>
    <w:rsid w:val="000A0BFF"/>
    <w:rsid w:val="001059EB"/>
    <w:rsid w:val="0023430B"/>
    <w:rsid w:val="003146DE"/>
    <w:rsid w:val="003D53AB"/>
    <w:rsid w:val="00444079"/>
    <w:rsid w:val="00482C40"/>
    <w:rsid w:val="00512579"/>
    <w:rsid w:val="008A30A4"/>
    <w:rsid w:val="009411EE"/>
    <w:rsid w:val="00AA175D"/>
    <w:rsid w:val="00AA2FC1"/>
    <w:rsid w:val="00DA33D5"/>
    <w:rsid w:val="00E21B6C"/>
    <w:rsid w:val="00E5387F"/>
    <w:rsid w:val="00EB5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A4033A-CAD4-4497-A0C3-8BA8CE7F0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FC1"/>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2FC1"/>
    <w:rPr>
      <w:color w:val="0563C1" w:themeColor="hyperlink"/>
      <w:u w:val="single"/>
    </w:rPr>
  </w:style>
  <w:style w:type="character" w:customStyle="1" w:styleId="kx21rb">
    <w:name w:val="kx21rb"/>
    <w:basedOn w:val="DefaultParagraphFont"/>
    <w:rsid w:val="00E21B6C"/>
  </w:style>
  <w:style w:type="table" w:styleId="TableGrid">
    <w:name w:val="Table Grid"/>
    <w:basedOn w:val="TableNormal"/>
    <w:uiPriority w:val="39"/>
    <w:rsid w:val="00E21B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649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yperlink" Target="https://www.ncbi.nlm.nih.gov/pmc/articles/PMC3913650/#:~:text=The%20burden%20of%20HF%20in of%20491%20600%E2%80%931.8%20million" TargetMode="External"/><Relationship Id="rId18" Type="http://schemas.openxmlformats.org/officeDocument/2006/relationships/hyperlink" Target="https://bmccardiovascdisord.biomedcentral.com/articles/10.1186/s12872-015-0111-4" TargetMode="Externa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hyperlink" Target="https://www.thelancet.com/journals/lancet/article/PIIS0140-6736(18)32279-7/fulltext" TargetMode="External"/><Relationship Id="rId17" Type="http://schemas.openxmlformats.org/officeDocument/2006/relationships/hyperlink" Target="https://bmccardiovascdisord.biomedcentral.com/" TargetMode="External"/><Relationship Id="rId2" Type="http://schemas.openxmlformats.org/officeDocument/2006/relationships/settings" Target="settings.xml"/><Relationship Id="rId16" Type="http://schemas.openxmlformats.org/officeDocument/2006/relationships/hyperlink" Target="https://bmccardiovascdisord.biomedcentral.com/articles/10.1186/s12872-015-0111-4"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hyperlink" Target="mailto:pragatisarathipatna@gmail.com" TargetMode="External"/><Relationship Id="rId15" Type="http://schemas.openxmlformats.org/officeDocument/2006/relationships/hyperlink" Target="https://pubmed.ncbi.nlm.nih.gov/32945600/" TargetMode="External"/><Relationship Id="rId10" Type="http://schemas.openxmlformats.org/officeDocument/2006/relationships/chart" Target="charts/chart5.xml"/><Relationship Id="rId19" Type="http://schemas.openxmlformats.org/officeDocument/2006/relationships/fontTable" Target="fontTable.xml"/><Relationship Id="rId4" Type="http://schemas.openxmlformats.org/officeDocument/2006/relationships/hyperlink" Target="mailto:chetan.yj24@gmil.com" TargetMode="External"/><Relationship Id="rId9" Type="http://schemas.openxmlformats.org/officeDocument/2006/relationships/chart" Target="charts/chart4.xml"/><Relationship Id="rId14" Type="http://schemas.openxmlformats.org/officeDocument/2006/relationships/hyperlink" Target="https://www.ncbi.nlm.nih.gov/pmc/articles/PMC5945285/"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Chetan\Documents\food%20KA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hetan\Documents\food%20KA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hetan\Documents\food%20KA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Chetan\Documents\food%20KA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Chetan\Documents\food%20KA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Chetan\Documents\food%20KAP.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3.6111111111111108E-2"/>
          <c:y val="0.14435185185185184"/>
          <c:w val="0.92739591703560753"/>
          <c:h val="0.80472222222222223"/>
        </c:manualLayout>
      </c:layout>
      <c:barChart>
        <c:barDir val="bar"/>
        <c:grouping val="clustered"/>
        <c:varyColors val="0"/>
        <c:ser>
          <c:idx val="0"/>
          <c:order val="0"/>
          <c:tx>
            <c:strRef>
              <c:f>recommendation!$C$18</c:f>
              <c:strCache>
                <c:ptCount val="1"/>
                <c:pt idx="0">
                  <c:v>30-40 years</c:v>
                </c:pt>
              </c:strCache>
            </c:strRef>
          </c:tx>
          <c:spPr>
            <a:solidFill>
              <a:schemeClr val="accent2">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recommendation!$B$19</c:f>
              <c:strCache>
                <c:ptCount val="1"/>
                <c:pt idx="0">
                  <c:v>%</c:v>
                </c:pt>
              </c:strCache>
            </c:strRef>
          </c:cat>
          <c:val>
            <c:numRef>
              <c:f>recommendation!$C$19</c:f>
              <c:numCache>
                <c:formatCode>General</c:formatCode>
                <c:ptCount val="1"/>
                <c:pt idx="0">
                  <c:v>8</c:v>
                </c:pt>
              </c:numCache>
            </c:numRef>
          </c:val>
        </c:ser>
        <c:ser>
          <c:idx val="1"/>
          <c:order val="1"/>
          <c:tx>
            <c:strRef>
              <c:f>recommendation!$D$18</c:f>
              <c:strCache>
                <c:ptCount val="1"/>
                <c:pt idx="0">
                  <c:v>40-50 years</c:v>
                </c:pt>
              </c:strCache>
            </c:strRef>
          </c:tx>
          <c:spPr>
            <a:solidFill>
              <a:schemeClr val="accent4">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recommendation!$B$19</c:f>
              <c:strCache>
                <c:ptCount val="1"/>
                <c:pt idx="0">
                  <c:v>%</c:v>
                </c:pt>
              </c:strCache>
            </c:strRef>
          </c:cat>
          <c:val>
            <c:numRef>
              <c:f>recommendation!$D$19</c:f>
              <c:numCache>
                <c:formatCode>General</c:formatCode>
                <c:ptCount val="1"/>
                <c:pt idx="0">
                  <c:v>16</c:v>
                </c:pt>
              </c:numCache>
            </c:numRef>
          </c:val>
        </c:ser>
        <c:ser>
          <c:idx val="2"/>
          <c:order val="2"/>
          <c:tx>
            <c:strRef>
              <c:f>recommendation!$E$18</c:f>
              <c:strCache>
                <c:ptCount val="1"/>
                <c:pt idx="0">
                  <c:v>50-60years</c:v>
                </c:pt>
              </c:strCache>
            </c:strRef>
          </c:tx>
          <c:spPr>
            <a:solidFill>
              <a:schemeClr val="accent6">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recommendation!$B$19</c:f>
              <c:strCache>
                <c:ptCount val="1"/>
                <c:pt idx="0">
                  <c:v>%</c:v>
                </c:pt>
              </c:strCache>
            </c:strRef>
          </c:cat>
          <c:val>
            <c:numRef>
              <c:f>recommendation!$E$19</c:f>
              <c:numCache>
                <c:formatCode>General</c:formatCode>
                <c:ptCount val="1"/>
                <c:pt idx="0">
                  <c:v>38</c:v>
                </c:pt>
              </c:numCache>
            </c:numRef>
          </c:val>
        </c:ser>
        <c:ser>
          <c:idx val="3"/>
          <c:order val="3"/>
          <c:tx>
            <c:strRef>
              <c:f>recommendation!$F$18</c:f>
              <c:strCache>
                <c:ptCount val="1"/>
                <c:pt idx="0">
                  <c:v>60-70years</c:v>
                </c:pt>
              </c:strCache>
            </c:strRef>
          </c:tx>
          <c:spPr>
            <a:solidFill>
              <a:schemeClr val="accent2">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recommendation!$B$19</c:f>
              <c:strCache>
                <c:ptCount val="1"/>
                <c:pt idx="0">
                  <c:v>%</c:v>
                </c:pt>
              </c:strCache>
            </c:strRef>
          </c:cat>
          <c:val>
            <c:numRef>
              <c:f>recommendation!$F$19</c:f>
              <c:numCache>
                <c:formatCode>General</c:formatCode>
                <c:ptCount val="1"/>
                <c:pt idx="0">
                  <c:v>26</c:v>
                </c:pt>
              </c:numCache>
            </c:numRef>
          </c:val>
        </c:ser>
        <c:ser>
          <c:idx val="4"/>
          <c:order val="4"/>
          <c:tx>
            <c:strRef>
              <c:f>recommendation!$G$18</c:f>
              <c:strCache>
                <c:ptCount val="1"/>
                <c:pt idx="0">
                  <c:v>70-80years</c:v>
                </c:pt>
              </c:strCache>
            </c:strRef>
          </c:tx>
          <c:spPr>
            <a:solidFill>
              <a:schemeClr val="accent4">
                <a:lumMod val="60000"/>
                <a:alpha val="85000"/>
              </a:schemeClr>
            </a:solidFill>
            <a:ln w="9525" cap="flat" cmpd="sng" algn="ctr">
              <a:solidFill>
                <a:schemeClr val="lt1">
                  <a:alpha val="50000"/>
                </a:schemeClr>
              </a:solidFill>
              <a:round/>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recommendation!$B$19</c:f>
              <c:strCache>
                <c:ptCount val="1"/>
                <c:pt idx="0">
                  <c:v>%</c:v>
                </c:pt>
              </c:strCache>
            </c:strRef>
          </c:cat>
          <c:val>
            <c:numRef>
              <c:f>recommendation!$G$19</c:f>
              <c:numCache>
                <c:formatCode>General</c:formatCode>
                <c:ptCount val="1"/>
                <c:pt idx="0">
                  <c:v>12</c:v>
                </c:pt>
              </c:numCache>
            </c:numRef>
          </c:val>
        </c:ser>
        <c:dLbls>
          <c:dLblPos val="inEnd"/>
          <c:showLegendKey val="0"/>
          <c:showVal val="1"/>
          <c:showCatName val="0"/>
          <c:showSerName val="0"/>
          <c:showPercent val="0"/>
          <c:showBubbleSize val="0"/>
        </c:dLbls>
        <c:gapWidth val="65"/>
        <c:axId val="524388704"/>
        <c:axId val="524381088"/>
      </c:barChart>
      <c:valAx>
        <c:axId val="524381088"/>
        <c:scaling>
          <c:orientation val="minMax"/>
        </c:scaling>
        <c:delete val="0"/>
        <c:axPos val="b"/>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crossAx val="524388704"/>
        <c:crosses val="autoZero"/>
        <c:crossBetween val="between"/>
      </c:valAx>
      <c:catAx>
        <c:axId val="524388704"/>
        <c:scaling>
          <c:orientation val="minMax"/>
        </c:scaling>
        <c:delete val="0"/>
        <c:axPos val="l"/>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en-US"/>
          </a:p>
        </c:txPr>
        <c:crossAx val="524381088"/>
        <c:crosses val="autoZero"/>
        <c:auto val="1"/>
        <c:lblAlgn val="ctr"/>
        <c:lblOffset val="100"/>
        <c:noMultiLvlLbl val="0"/>
      </c:catAx>
      <c:spPr>
        <a:noFill/>
        <a:ln>
          <a:noFill/>
        </a:ln>
        <a:effectLst/>
      </c:spPr>
    </c:plotArea>
    <c:legend>
      <c:legendPos val="b"/>
      <c:layout>
        <c:manualLayout>
          <c:xMode val="edge"/>
          <c:yMode val="edge"/>
          <c:x val="7.8716972878390204E-2"/>
          <c:y val="0"/>
          <c:w val="0.85367716535433069"/>
          <c:h val="8.8854757008877072E-2"/>
        </c:manualLayout>
      </c:layout>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208960701955381E-2"/>
          <c:y val="3.6993442071632757E-2"/>
          <c:w val="0.92383111771233339"/>
          <c:h val="0.86859463317043339"/>
        </c:manualLayout>
      </c:layout>
      <c:barChart>
        <c:barDir val="col"/>
        <c:grouping val="clustered"/>
        <c:varyColors val="0"/>
        <c:ser>
          <c:idx val="0"/>
          <c:order val="0"/>
          <c:tx>
            <c:strRef>
              <c:f>recommendation!$J$18</c:f>
              <c:strCache>
                <c:ptCount val="1"/>
                <c:pt idx="0">
                  <c:v>8th</c:v>
                </c:pt>
              </c:strCache>
            </c:strRef>
          </c:tx>
          <c:spPr>
            <a:solidFill>
              <a:schemeClr val="accent1"/>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recommendation!$K$17</c:f>
              <c:strCache>
                <c:ptCount val="1"/>
                <c:pt idx="0">
                  <c:v>%</c:v>
                </c:pt>
              </c:strCache>
            </c:strRef>
          </c:cat>
          <c:val>
            <c:numRef>
              <c:f>recommendation!$K$18</c:f>
              <c:numCache>
                <c:formatCode>General</c:formatCode>
                <c:ptCount val="1"/>
                <c:pt idx="0">
                  <c:v>11</c:v>
                </c:pt>
              </c:numCache>
            </c:numRef>
          </c:val>
        </c:ser>
        <c:ser>
          <c:idx val="1"/>
          <c:order val="1"/>
          <c:tx>
            <c:strRef>
              <c:f>recommendation!$J$19</c:f>
              <c:strCache>
                <c:ptCount val="1"/>
                <c:pt idx="0">
                  <c:v>10th</c:v>
                </c:pt>
              </c:strCache>
            </c:strRef>
          </c:tx>
          <c:spPr>
            <a:solidFill>
              <a:schemeClr val="accent2"/>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recommendation!$K$17</c:f>
              <c:strCache>
                <c:ptCount val="1"/>
                <c:pt idx="0">
                  <c:v>%</c:v>
                </c:pt>
              </c:strCache>
            </c:strRef>
          </c:cat>
          <c:val>
            <c:numRef>
              <c:f>recommendation!$K$19</c:f>
              <c:numCache>
                <c:formatCode>General</c:formatCode>
                <c:ptCount val="1"/>
                <c:pt idx="0">
                  <c:v>24</c:v>
                </c:pt>
              </c:numCache>
            </c:numRef>
          </c:val>
        </c:ser>
        <c:ser>
          <c:idx val="2"/>
          <c:order val="2"/>
          <c:tx>
            <c:strRef>
              <c:f>recommendation!$J$20</c:f>
              <c:strCache>
                <c:ptCount val="1"/>
                <c:pt idx="0">
                  <c:v>12th</c:v>
                </c:pt>
              </c:strCache>
            </c:strRef>
          </c:tx>
          <c:spPr>
            <a:solidFill>
              <a:schemeClr val="accent3"/>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recommendation!$K$17</c:f>
              <c:strCache>
                <c:ptCount val="1"/>
                <c:pt idx="0">
                  <c:v>%</c:v>
                </c:pt>
              </c:strCache>
            </c:strRef>
          </c:cat>
          <c:val>
            <c:numRef>
              <c:f>recommendation!$K$20</c:f>
              <c:numCache>
                <c:formatCode>General</c:formatCode>
                <c:ptCount val="1"/>
                <c:pt idx="0">
                  <c:v>44</c:v>
                </c:pt>
              </c:numCache>
            </c:numRef>
          </c:val>
        </c:ser>
        <c:ser>
          <c:idx val="3"/>
          <c:order val="3"/>
          <c:tx>
            <c:strRef>
              <c:f>recommendation!$J$21</c:f>
              <c:strCache>
                <c:ptCount val="1"/>
                <c:pt idx="0">
                  <c:v>BA/Bsc</c:v>
                </c:pt>
              </c:strCache>
            </c:strRef>
          </c:tx>
          <c:spPr>
            <a:solidFill>
              <a:schemeClr val="accent4"/>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recommendation!$K$17</c:f>
              <c:strCache>
                <c:ptCount val="1"/>
                <c:pt idx="0">
                  <c:v>%</c:v>
                </c:pt>
              </c:strCache>
            </c:strRef>
          </c:cat>
          <c:val>
            <c:numRef>
              <c:f>recommendation!$K$21</c:f>
              <c:numCache>
                <c:formatCode>General</c:formatCode>
                <c:ptCount val="1"/>
                <c:pt idx="0">
                  <c:v>13</c:v>
                </c:pt>
              </c:numCache>
            </c:numRef>
          </c:val>
        </c:ser>
        <c:ser>
          <c:idx val="4"/>
          <c:order val="4"/>
          <c:tx>
            <c:strRef>
              <c:f>recommendation!$J$22</c:f>
              <c:strCache>
                <c:ptCount val="1"/>
                <c:pt idx="0">
                  <c:v>MA/Msc</c:v>
                </c:pt>
              </c:strCache>
            </c:strRef>
          </c:tx>
          <c:spPr>
            <a:solidFill>
              <a:srgbClr val="002060"/>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recommendation!$K$17</c:f>
              <c:strCache>
                <c:ptCount val="1"/>
                <c:pt idx="0">
                  <c:v>%</c:v>
                </c:pt>
              </c:strCache>
            </c:strRef>
          </c:cat>
          <c:val>
            <c:numRef>
              <c:f>recommendation!$K$22</c:f>
              <c:numCache>
                <c:formatCode>General</c:formatCode>
                <c:ptCount val="1"/>
                <c:pt idx="0">
                  <c:v>2</c:v>
                </c:pt>
              </c:numCache>
            </c:numRef>
          </c:val>
        </c:ser>
        <c:ser>
          <c:idx val="5"/>
          <c:order val="5"/>
          <c:tx>
            <c:strRef>
              <c:f>recommendation!$J$23</c:f>
              <c:strCache>
                <c:ptCount val="1"/>
                <c:pt idx="0">
                  <c:v>PhD</c:v>
                </c:pt>
              </c:strCache>
            </c:strRef>
          </c:tx>
          <c:spPr>
            <a:solidFill>
              <a:schemeClr val="accent6"/>
            </a:solidFill>
            <a:ln>
              <a:noFill/>
            </a:ln>
            <a:effectLst/>
          </c:spPr>
          <c:invertIfNegative val="0"/>
          <c:dLbls>
            <c:spPr>
              <a:solidFill>
                <a:sysClr val="window" lastClr="FFFFFF"/>
              </a:solidFill>
              <a:ln>
                <a:solidFill>
                  <a:sysClr val="windowText" lastClr="000000">
                    <a:lumMod val="25000"/>
                    <a:lumOff val="75000"/>
                  </a:sysClr>
                </a:solid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showLegendKey val="0"/>
            <c:showVal val="1"/>
            <c:showCatName val="1"/>
            <c:showSerName val="0"/>
            <c:showPercent val="0"/>
            <c:showBubbleSize val="0"/>
            <c:showLeaderLines val="0"/>
            <c:extLst>
              <c:ext xmlns:c15="http://schemas.microsoft.com/office/drawing/2012/chart" uri="{CE6537A1-D6FC-4f65-9D91-7224C49458BB}">
                <c15:spPr xmlns:c15="http://schemas.microsoft.com/office/drawing/2012/chart">
                  <a:prstGeom prst="wedgeRectCallout">
                    <a:avLst/>
                  </a:prstGeom>
                  <a:noFill/>
                  <a:ln>
                    <a:noFill/>
                  </a:ln>
                </c15:spPr>
                <c15:showLeaderLines val="0"/>
              </c:ext>
            </c:extLst>
          </c:dLbls>
          <c:cat>
            <c:strRef>
              <c:f>recommendation!$K$17</c:f>
              <c:strCache>
                <c:ptCount val="1"/>
                <c:pt idx="0">
                  <c:v>%</c:v>
                </c:pt>
              </c:strCache>
            </c:strRef>
          </c:cat>
          <c:val>
            <c:numRef>
              <c:f>recommendation!$K$23</c:f>
              <c:numCache>
                <c:formatCode>General</c:formatCode>
                <c:ptCount val="1"/>
                <c:pt idx="0">
                  <c:v>1</c:v>
                </c:pt>
              </c:numCache>
            </c:numRef>
          </c:val>
        </c:ser>
        <c:dLbls>
          <c:showLegendKey val="0"/>
          <c:showVal val="0"/>
          <c:showCatName val="0"/>
          <c:showSerName val="0"/>
          <c:showPercent val="0"/>
          <c:showBubbleSize val="0"/>
        </c:dLbls>
        <c:gapWidth val="219"/>
        <c:overlap val="-27"/>
        <c:axId val="524387616"/>
        <c:axId val="524386528"/>
      </c:barChart>
      <c:catAx>
        <c:axId val="524387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386528"/>
        <c:crosses val="autoZero"/>
        <c:auto val="1"/>
        <c:lblAlgn val="ctr"/>
        <c:lblOffset val="100"/>
        <c:noMultiLvlLbl val="0"/>
      </c:catAx>
      <c:valAx>
        <c:axId val="524386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3876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2366815778771858E-2"/>
          <c:y val="3.8608500123155642E-2"/>
          <c:w val="0.95526636844245627"/>
          <c:h val="0.76639877003265622"/>
        </c:manualLayout>
      </c:layout>
      <c:bar3DChart>
        <c:barDir val="col"/>
        <c:grouping val="stacked"/>
        <c:varyColors val="0"/>
        <c:ser>
          <c:idx val="0"/>
          <c:order val="0"/>
          <c:tx>
            <c:strRef>
              <c:f>recommendation!$N$16</c:f>
              <c:strCache>
                <c:ptCount val="1"/>
                <c:pt idx="0">
                  <c:v>%</c:v>
                </c:pt>
              </c:strCache>
            </c:strRef>
          </c:tx>
          <c:spPr>
            <a:solidFill>
              <a:schemeClr val="accent1"/>
            </a:solidFill>
            <a:ln>
              <a:noFill/>
            </a:ln>
            <a:effectLst/>
            <a:sp3d/>
          </c:spPr>
          <c:invertIfNegative val="0"/>
          <c:dPt>
            <c:idx val="0"/>
            <c:invertIfNegative val="0"/>
            <c:bubble3D val="0"/>
            <c:spPr>
              <a:solidFill>
                <a:srgbClr val="00B050"/>
              </a:solidFill>
              <a:ln>
                <a:noFill/>
              </a:ln>
              <a:effectLst/>
              <a:sp3d/>
            </c:spPr>
          </c:dPt>
          <c:dPt>
            <c:idx val="1"/>
            <c:invertIfNegative val="0"/>
            <c:bubble3D val="0"/>
            <c:spPr>
              <a:solidFill>
                <a:schemeClr val="accent4">
                  <a:lumMod val="20000"/>
                  <a:lumOff val="80000"/>
                </a:schemeClr>
              </a:solidFill>
              <a:ln>
                <a:noFill/>
              </a:ln>
              <a:effectLst/>
              <a:sp3d/>
            </c:spPr>
          </c:dPt>
          <c:dPt>
            <c:idx val="2"/>
            <c:invertIfNegative val="0"/>
            <c:bubble3D val="0"/>
            <c:spPr>
              <a:solidFill>
                <a:srgbClr val="FF0000"/>
              </a:solidFill>
              <a:ln>
                <a:noFill/>
              </a:ln>
              <a:effectLst/>
              <a:sp3d/>
            </c:spPr>
          </c:dPt>
          <c:dLbls>
            <c:dLbl>
              <c:idx val="0"/>
              <c:layout>
                <c:manualLayout>
                  <c:x val="5.2867019113460756E-2"/>
                  <c:y val="-0.15353121801432965"/>
                </c:manualLayout>
              </c:layout>
              <c:spPr>
                <a:solidFill>
                  <a:schemeClr val="tx1"/>
                </a:solid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0.10189101260675071"/>
                      <c:h val="0.17791729462681033"/>
                    </c:manualLayout>
                  </c15:layout>
                </c:ext>
              </c:extLst>
            </c:dLbl>
            <c:dLbl>
              <c:idx val="1"/>
              <c:layout>
                <c:manualLayout>
                  <c:x val="4.0666937779585188E-2"/>
                  <c:y val="-0.19703172978505629"/>
                </c:manualLayout>
              </c:layout>
              <c:tx>
                <c:rich>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fld id="{08A0CFCA-78F5-4A00-AB89-EED82CCE80F3}" type="VALUE">
                      <a:rPr lang="en-US" sz="1200"/>
                      <a:pPr>
                        <a:defRPr sz="1200"/>
                      </a:pPr>
                      <a:t>[VALUE]</a:t>
                    </a:fld>
                    <a:endParaRPr lang="en-US"/>
                  </a:p>
                </c:rich>
              </c:tx>
              <c:spPr>
                <a:solidFill>
                  <a:schemeClr val="accent4">
                    <a:lumMod val="75000"/>
                  </a:schemeClr>
                </a:solid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5624237494916627E-2"/>
                      <c:h val="0.16256417282537738"/>
                    </c:manualLayout>
                  </c15:layout>
                  <c15:dlblFieldTable/>
                  <c15:showDataLabelsRange val="0"/>
                </c:ext>
              </c:extLst>
            </c:dLbl>
            <c:dLbl>
              <c:idx val="2"/>
              <c:layout>
                <c:manualLayout>
                  <c:x val="5.5917119499956619E-2"/>
                  <c:y val="-0.33521002748249107"/>
                </c:manualLayout>
              </c:layout>
              <c:spPr>
                <a:solidFill>
                  <a:srgbClr val="002060"/>
                </a:solidFill>
                <a:ln>
                  <a:noFill/>
                </a:ln>
                <a:effectLst/>
              </c:spPr>
              <c:txPr>
                <a:bodyPr rot="0" spcFirstLastPara="1" vertOverflow="ellipsis" vert="horz" wrap="square" lIns="38100" tIns="19050" rIns="38100" bIns="19050" anchor="ctr" anchorCtr="1">
                  <a:noAutofit/>
                </a:bodyPr>
                <a:lstStyle/>
                <a:p>
                  <a:pPr>
                    <a:defRPr sz="12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extLst>
                <c:ext xmlns:c15="http://schemas.microsoft.com/office/drawing/2012/chart" uri="{CE6537A1-D6FC-4f65-9D91-7224C49458BB}">
                  <c15:layout>
                    <c:manualLayout>
                      <c:w val="8.7545830358029153E-2"/>
                      <c:h val="0.14209334375680011"/>
                    </c:manualLayout>
                  </c15:layout>
                </c:ext>
              </c:extLst>
            </c:dLbl>
            <c:spPr>
              <a:solidFill>
                <a:srgbClr val="002060"/>
              </a:solid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lt1"/>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recommendation!$M$17:$M$19</c:f>
              <c:strCache>
                <c:ptCount val="3"/>
                <c:pt idx="0">
                  <c:v>working</c:v>
                </c:pt>
                <c:pt idx="1">
                  <c:v>non working</c:v>
                </c:pt>
                <c:pt idx="2">
                  <c:v>retired</c:v>
                </c:pt>
              </c:strCache>
            </c:strRef>
          </c:cat>
          <c:val>
            <c:numRef>
              <c:f>recommendation!$N$17:$N$19</c:f>
              <c:numCache>
                <c:formatCode>General</c:formatCode>
                <c:ptCount val="3"/>
                <c:pt idx="0">
                  <c:v>44</c:v>
                </c:pt>
                <c:pt idx="1">
                  <c:v>48</c:v>
                </c:pt>
                <c:pt idx="2">
                  <c:v>8</c:v>
                </c:pt>
              </c:numCache>
            </c:numRef>
          </c:val>
        </c:ser>
        <c:dLbls>
          <c:showLegendKey val="0"/>
          <c:showVal val="1"/>
          <c:showCatName val="0"/>
          <c:showSerName val="0"/>
          <c:showPercent val="0"/>
          <c:showBubbleSize val="0"/>
        </c:dLbls>
        <c:gapWidth val="79"/>
        <c:shape val="box"/>
        <c:axId val="524391968"/>
        <c:axId val="524387072"/>
        <c:axId val="0"/>
      </c:bar3DChart>
      <c:catAx>
        <c:axId val="52439196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cap="all" spc="12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24387072"/>
        <c:crosses val="autoZero"/>
        <c:auto val="1"/>
        <c:lblAlgn val="ctr"/>
        <c:lblOffset val="100"/>
        <c:noMultiLvlLbl val="0"/>
      </c:catAx>
      <c:valAx>
        <c:axId val="524387072"/>
        <c:scaling>
          <c:orientation val="minMax"/>
        </c:scaling>
        <c:delete val="1"/>
        <c:axPos val="l"/>
        <c:numFmt formatCode="General" sourceLinked="1"/>
        <c:majorTickMark val="none"/>
        <c:minorTickMark val="none"/>
        <c:tickLblPos val="nextTo"/>
        <c:crossAx val="524391968"/>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recommendation!$C$21</c:f>
              <c:strCache>
                <c:ptCount val="1"/>
                <c:pt idx="0">
                  <c:v>%</c:v>
                </c:pt>
              </c:strCache>
            </c:strRef>
          </c:tx>
          <c:dPt>
            <c:idx val="0"/>
            <c:bubble3D val="0"/>
            <c:spPr>
              <a:solidFill>
                <a:schemeClr val="accent2"/>
              </a:solidFill>
              <a:ln>
                <a:noFill/>
              </a:ln>
              <a:effectLst>
                <a:outerShdw blurRad="63500" sx="102000" sy="102000" algn="ctr" rotWithShape="0">
                  <a:prstClr val="black">
                    <a:alpha val="20000"/>
                  </a:prstClr>
                </a:outerShdw>
              </a:effectLst>
            </c:spPr>
          </c:dPt>
          <c:dPt>
            <c:idx val="1"/>
            <c:bubble3D val="0"/>
            <c:spPr>
              <a:solidFill>
                <a:schemeClr val="accent4"/>
              </a:solidFill>
              <a:ln>
                <a:noFill/>
              </a:ln>
              <a:effectLst>
                <a:outerShdw blurRad="63500" sx="102000" sy="102000" algn="ctr" rotWithShape="0">
                  <a:prstClr val="black">
                    <a:alpha val="20000"/>
                  </a:prstClr>
                </a:outerShdw>
              </a:effectLst>
            </c:spPr>
          </c:dPt>
          <c:dPt>
            <c:idx val="2"/>
            <c:bubble3D val="0"/>
            <c:spPr>
              <a:solidFill>
                <a:schemeClr val="accent6"/>
              </a:solidFill>
              <a:ln>
                <a:noFill/>
              </a:ln>
              <a:effectLst>
                <a:outerShdw blurRad="63500" sx="102000" sy="102000" algn="ctr" rotWithShape="0">
                  <a:prstClr val="black">
                    <a:alpha val="20000"/>
                  </a:prstClr>
                </a:outerShdw>
              </a:effectLst>
            </c:spPr>
          </c:dPt>
          <c:dPt>
            <c:idx val="3"/>
            <c:bubble3D val="0"/>
            <c:spPr>
              <a:solidFill>
                <a:schemeClr val="accent2">
                  <a:lumMod val="60000"/>
                </a:schemeClr>
              </a:solidFill>
              <a:ln>
                <a:noFill/>
              </a:ln>
              <a:effectLst>
                <a:outerShdw blurRad="63500" sx="102000" sy="102000" algn="ctr" rotWithShape="0">
                  <a:prstClr val="black">
                    <a:alpha val="20000"/>
                  </a:prstClr>
                </a:outerShdw>
              </a:effectLst>
            </c:spPr>
          </c:dPt>
          <c:dPt>
            <c:idx val="4"/>
            <c:bubble3D val="0"/>
            <c:spPr>
              <a:solidFill>
                <a:schemeClr val="accent4">
                  <a:lumMod val="60000"/>
                </a:schemeClr>
              </a:solidFill>
              <a:ln>
                <a:noFill/>
              </a:ln>
              <a:effectLst>
                <a:outerShdw blurRad="63500" sx="102000" sy="102000" algn="ctr" rotWithShape="0">
                  <a:prstClr val="black">
                    <a:alpha val="20000"/>
                  </a:prstClr>
                </a:outerShdw>
              </a:effectLst>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lumMod val="60000"/>
                        </a:schemeClr>
                      </a:solidFill>
                      <a:latin typeface="+mn-lt"/>
                      <a:ea typeface="+mn-ea"/>
                      <a:cs typeface="+mn-cs"/>
                    </a:defRPr>
                  </a:pPr>
                  <a:endParaRPr lang="en-US"/>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lumMod val="60000"/>
                        </a:schemeClr>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recommendation!$B$22:$B$26</c:f>
              <c:strCache>
                <c:ptCount val="5"/>
                <c:pt idx="0">
                  <c:v>10K-20K</c:v>
                </c:pt>
                <c:pt idx="1">
                  <c:v>20K-30K</c:v>
                </c:pt>
                <c:pt idx="2">
                  <c:v>30K-40K</c:v>
                </c:pt>
                <c:pt idx="3">
                  <c:v>40K-50K</c:v>
                </c:pt>
                <c:pt idx="4">
                  <c:v>50K-60K</c:v>
                </c:pt>
              </c:strCache>
            </c:strRef>
          </c:cat>
          <c:val>
            <c:numRef>
              <c:f>recommendation!$C$22:$C$26</c:f>
              <c:numCache>
                <c:formatCode>General</c:formatCode>
                <c:ptCount val="5"/>
                <c:pt idx="0">
                  <c:v>18</c:v>
                </c:pt>
                <c:pt idx="1">
                  <c:v>44</c:v>
                </c:pt>
                <c:pt idx="2">
                  <c:v>12</c:v>
                </c:pt>
                <c:pt idx="3">
                  <c:v>8</c:v>
                </c:pt>
                <c:pt idx="4">
                  <c:v>18</c:v>
                </c:pt>
              </c:numCache>
            </c:numRef>
          </c:val>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8.986837961044343E-2"/>
          <c:y val="0.17824074074074073"/>
          <c:w val="0.82868429341069205"/>
          <c:h val="0.77314814814814814"/>
        </c:manualLayout>
      </c:layout>
      <c:pie3DChart>
        <c:varyColors val="1"/>
        <c:ser>
          <c:idx val="0"/>
          <c:order val="0"/>
          <c:tx>
            <c:strRef>
              <c:f>recommendation!$F$20</c:f>
              <c:strCache>
                <c:ptCount val="1"/>
                <c:pt idx="0">
                  <c:v>%</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recommendation!$E$21:$E$24</c:f>
              <c:strCache>
                <c:ptCount val="4"/>
                <c:pt idx="0">
                  <c:v>&lt;18.5</c:v>
                </c:pt>
                <c:pt idx="1">
                  <c:v>18.5-24.9</c:v>
                </c:pt>
                <c:pt idx="2">
                  <c:v>25-29.9</c:v>
                </c:pt>
                <c:pt idx="3">
                  <c:v>30&lt;</c:v>
                </c:pt>
              </c:strCache>
            </c:strRef>
          </c:cat>
          <c:val>
            <c:numRef>
              <c:f>recommendation!$F$21:$F$24</c:f>
              <c:numCache>
                <c:formatCode>General</c:formatCode>
                <c:ptCount val="4"/>
                <c:pt idx="0">
                  <c:v>10</c:v>
                </c:pt>
                <c:pt idx="1">
                  <c:v>29</c:v>
                </c:pt>
                <c:pt idx="2">
                  <c:v>42</c:v>
                </c:pt>
                <c:pt idx="3">
                  <c:v>19</c:v>
                </c:pt>
              </c:numCache>
            </c:numRef>
          </c:val>
        </c:ser>
        <c:dLbls>
          <c:dLblPos val="outEnd"/>
          <c:showLegendKey val="0"/>
          <c:showVal val="0"/>
          <c:showCatName val="0"/>
          <c:showSerName val="0"/>
          <c:showPercent val="1"/>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recommendation!$N$21</c:f>
              <c:strCache>
                <c:ptCount val="1"/>
                <c:pt idx="0">
                  <c:v>%</c:v>
                </c:pt>
              </c:strCache>
            </c:strRef>
          </c:tx>
          <c:spPr>
            <a:solidFill>
              <a:schemeClr val="accent1"/>
            </a:solidFill>
            <a:ln>
              <a:noFill/>
            </a:ln>
            <a:effectLst/>
            <a:sp3d/>
          </c:spPr>
          <c:invertIfNegative val="0"/>
          <c:dPt>
            <c:idx val="0"/>
            <c:invertIfNegative val="0"/>
            <c:bubble3D val="0"/>
            <c:spPr>
              <a:solidFill>
                <a:srgbClr val="FFFF00"/>
              </a:solidFill>
              <a:ln>
                <a:noFill/>
              </a:ln>
              <a:effectLst/>
              <a:sp3d/>
            </c:spPr>
          </c:dPt>
          <c:dPt>
            <c:idx val="1"/>
            <c:invertIfNegative val="0"/>
            <c:bubble3D val="0"/>
            <c:spPr>
              <a:solidFill>
                <a:srgbClr val="7030A0"/>
              </a:solidFill>
              <a:ln>
                <a:noFill/>
              </a:ln>
              <a:effectLst/>
              <a:sp3d/>
            </c:spPr>
          </c:dPt>
          <c:dPt>
            <c:idx val="2"/>
            <c:invertIfNegative val="0"/>
            <c:bubble3D val="0"/>
            <c:spPr>
              <a:solidFill>
                <a:schemeClr val="tx1"/>
              </a:solidFill>
              <a:ln>
                <a:noFill/>
              </a:ln>
              <a:effectLst/>
              <a:sp3d/>
            </c:spPr>
          </c:dPt>
          <c:dPt>
            <c:idx val="3"/>
            <c:invertIfNegative val="0"/>
            <c:bubble3D val="0"/>
            <c:spPr>
              <a:solidFill>
                <a:srgbClr val="FF0000"/>
              </a:solidFill>
              <a:ln>
                <a:noFill/>
              </a:ln>
              <a:effectLst/>
              <a:sp3d/>
            </c:spPr>
          </c:dPt>
          <c:dPt>
            <c:idx val="4"/>
            <c:invertIfNegative val="0"/>
            <c:bubble3D val="0"/>
            <c:spPr>
              <a:solidFill>
                <a:srgbClr val="92D050"/>
              </a:solidFill>
              <a:ln>
                <a:noFill/>
              </a:ln>
              <a:effectLst/>
              <a:sp3d/>
            </c:spPr>
          </c:dPt>
          <c:dPt>
            <c:idx val="5"/>
            <c:invertIfNegative val="0"/>
            <c:bubble3D val="0"/>
            <c:spPr>
              <a:solidFill>
                <a:schemeClr val="accent6">
                  <a:lumMod val="75000"/>
                </a:schemeClr>
              </a:solidFill>
              <a:ln>
                <a:noFill/>
              </a:ln>
              <a:effectLst/>
              <a:sp3d/>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recommendation!$M$22:$M$27</c:f>
              <c:strCache>
                <c:ptCount val="6"/>
                <c:pt idx="0">
                  <c:v>Osteoporosis,COPD</c:v>
                </c:pt>
                <c:pt idx="1">
                  <c:v>HTN,DM,CKD</c:v>
                </c:pt>
                <c:pt idx="2">
                  <c:v>Anaemia</c:v>
                </c:pt>
                <c:pt idx="3">
                  <c:v>Heart Disease</c:v>
                </c:pt>
                <c:pt idx="4">
                  <c:v>Thyroid</c:v>
                </c:pt>
                <c:pt idx="5">
                  <c:v>weight loss/gain</c:v>
                </c:pt>
              </c:strCache>
            </c:strRef>
          </c:cat>
          <c:val>
            <c:numRef>
              <c:f>recommendation!$N$22:$N$27</c:f>
              <c:numCache>
                <c:formatCode>General</c:formatCode>
                <c:ptCount val="6"/>
                <c:pt idx="0">
                  <c:v>12</c:v>
                </c:pt>
                <c:pt idx="1">
                  <c:v>29</c:v>
                </c:pt>
                <c:pt idx="2">
                  <c:v>22</c:v>
                </c:pt>
                <c:pt idx="3">
                  <c:v>18</c:v>
                </c:pt>
                <c:pt idx="4">
                  <c:v>4</c:v>
                </c:pt>
                <c:pt idx="5">
                  <c:v>15</c:v>
                </c:pt>
              </c:numCache>
            </c:numRef>
          </c:val>
        </c:ser>
        <c:dLbls>
          <c:showLegendKey val="0"/>
          <c:showVal val="1"/>
          <c:showCatName val="0"/>
          <c:showSerName val="0"/>
          <c:showPercent val="0"/>
          <c:showBubbleSize val="0"/>
        </c:dLbls>
        <c:gapWidth val="150"/>
        <c:shape val="box"/>
        <c:axId val="524382176"/>
        <c:axId val="524380544"/>
        <c:axId val="0"/>
      </c:bar3DChart>
      <c:catAx>
        <c:axId val="5243821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380544"/>
        <c:crosses val="autoZero"/>
        <c:auto val="1"/>
        <c:lblAlgn val="ctr"/>
        <c:lblOffset val="100"/>
        <c:noMultiLvlLbl val="0"/>
      </c:catAx>
      <c:valAx>
        <c:axId val="5243805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438217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10">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800" b="1"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9</Pages>
  <Words>2824</Words>
  <Characters>16102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Chetan</dc:creator>
  <cp:keywords/>
  <dc:description/>
  <cp:lastModifiedBy>Chetan</cp:lastModifiedBy>
  <cp:revision>15</cp:revision>
  <dcterms:created xsi:type="dcterms:W3CDTF">2023-07-16T20:35:00Z</dcterms:created>
  <dcterms:modified xsi:type="dcterms:W3CDTF">2023-07-16T21:56:00Z</dcterms:modified>
</cp:coreProperties>
</file>