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DDC15" w14:textId="1DF04FDA" w:rsidR="00C25573" w:rsidRPr="002952E5" w:rsidRDefault="00C25573" w:rsidP="00A95E93">
      <w:pPr>
        <w:spacing w:line="240" w:lineRule="auto"/>
        <w:jc w:val="center"/>
        <w:rPr>
          <w:rFonts w:ascii="Times New Roman" w:hAnsi="Times New Roman" w:cs="Times New Roman"/>
          <w:b/>
          <w:bCs/>
          <w:color w:val="000000" w:themeColor="text1"/>
          <w:sz w:val="48"/>
          <w:szCs w:val="48"/>
          <w:lang w:val="en-US"/>
        </w:rPr>
      </w:pPr>
      <w:r w:rsidRPr="002952E5">
        <w:rPr>
          <w:rFonts w:ascii="Times New Roman" w:hAnsi="Times New Roman" w:cs="Times New Roman"/>
          <w:b/>
          <w:bCs/>
          <w:color w:val="000000" w:themeColor="text1"/>
          <w:sz w:val="48"/>
          <w:szCs w:val="48"/>
          <w:lang w:val="en-US"/>
        </w:rPr>
        <w:t>Principles of diagnosis in the microbiology</w:t>
      </w:r>
    </w:p>
    <w:p w14:paraId="77B4A1E4" w14:textId="7751BE2F" w:rsidR="000B0E85" w:rsidRPr="00CF1929" w:rsidRDefault="000B0E85" w:rsidP="00A95E93">
      <w:pPr>
        <w:spacing w:line="240" w:lineRule="auto"/>
        <w:jc w:val="both"/>
        <w:rPr>
          <w:rFonts w:ascii="Times New Roman" w:hAnsi="Times New Roman" w:cs="Times New Roman"/>
          <w:color w:val="000000" w:themeColor="text1"/>
          <w:sz w:val="24"/>
          <w:szCs w:val="24"/>
          <w:lang w:val="en-US"/>
        </w:rPr>
      </w:pPr>
    </w:p>
    <w:p w14:paraId="435B31CA" w14:textId="77777777" w:rsidR="00E64FD3" w:rsidRDefault="000B0E85" w:rsidP="00E64FD3">
      <w:pPr>
        <w:spacing w:after="0" w:line="240" w:lineRule="auto"/>
        <w:ind w:right="-46"/>
        <w:jc w:val="center"/>
        <w:rPr>
          <w:rFonts w:ascii="Times New Roman" w:hAnsi="Times New Roman" w:cs="Times New Roman"/>
          <w:color w:val="000000" w:themeColor="text1"/>
          <w:sz w:val="20"/>
          <w:szCs w:val="20"/>
          <w:lang w:val="en-US"/>
        </w:rPr>
      </w:pPr>
      <w:r w:rsidRPr="002952E5">
        <w:rPr>
          <w:rFonts w:ascii="Times New Roman" w:hAnsi="Times New Roman" w:cs="Times New Roman"/>
          <w:color w:val="000000" w:themeColor="text1"/>
          <w:sz w:val="20"/>
          <w:szCs w:val="20"/>
          <w:lang w:val="en-US"/>
        </w:rPr>
        <w:t xml:space="preserve">Author: Mr. Ajithkumar V, Assistant Professor </w:t>
      </w:r>
    </w:p>
    <w:p w14:paraId="5624C049" w14:textId="0FEF9A91" w:rsidR="00A407F5" w:rsidRDefault="00C73554" w:rsidP="00E64FD3">
      <w:pPr>
        <w:spacing w:after="0" w:line="240" w:lineRule="auto"/>
        <w:ind w:right="-46"/>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Department</w:t>
      </w:r>
      <w:r w:rsidR="000B0E85" w:rsidRPr="002952E5">
        <w:rPr>
          <w:rFonts w:ascii="Times New Roman" w:hAnsi="Times New Roman" w:cs="Times New Roman"/>
          <w:color w:val="000000" w:themeColor="text1"/>
          <w:sz w:val="20"/>
          <w:szCs w:val="20"/>
          <w:lang w:val="en-US"/>
        </w:rPr>
        <w:t xml:space="preserve"> of Medical Microbiology</w:t>
      </w:r>
      <w:r w:rsidR="00C017CC">
        <w:rPr>
          <w:rFonts w:ascii="Times New Roman" w:hAnsi="Times New Roman" w:cs="Times New Roman"/>
          <w:color w:val="000000" w:themeColor="text1"/>
          <w:sz w:val="20"/>
          <w:szCs w:val="20"/>
          <w:lang w:val="en-US"/>
        </w:rPr>
        <w:t xml:space="preserve">, </w:t>
      </w:r>
    </w:p>
    <w:p w14:paraId="6E1E062D" w14:textId="615B8299" w:rsidR="00A407F5" w:rsidRDefault="00C017CC" w:rsidP="00E64FD3">
      <w:pPr>
        <w:spacing w:after="0" w:line="240" w:lineRule="auto"/>
        <w:ind w:right="-46"/>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 xml:space="preserve">School of Allied </w:t>
      </w:r>
      <w:r w:rsidR="00C73554">
        <w:rPr>
          <w:rFonts w:ascii="Times New Roman" w:hAnsi="Times New Roman" w:cs="Times New Roman"/>
          <w:color w:val="000000" w:themeColor="text1"/>
          <w:sz w:val="20"/>
          <w:szCs w:val="20"/>
          <w:lang w:val="en-US"/>
        </w:rPr>
        <w:t>Health</w:t>
      </w:r>
      <w:r>
        <w:rPr>
          <w:rFonts w:ascii="Times New Roman" w:hAnsi="Times New Roman" w:cs="Times New Roman"/>
          <w:color w:val="000000" w:themeColor="text1"/>
          <w:sz w:val="20"/>
          <w:szCs w:val="20"/>
          <w:lang w:val="en-US"/>
        </w:rPr>
        <w:t xml:space="preserve"> Sciences, </w:t>
      </w:r>
    </w:p>
    <w:p w14:paraId="00E82AFE" w14:textId="4456DF75" w:rsidR="00A407F5" w:rsidRDefault="00C017CC" w:rsidP="00E64FD3">
      <w:pPr>
        <w:spacing w:after="0" w:line="240" w:lineRule="auto"/>
        <w:ind w:right="-46"/>
        <w:jc w:val="center"/>
        <w:rPr>
          <w:rFonts w:ascii="Times New Roman" w:hAnsi="Times New Roman" w:cs="Times New Roman"/>
          <w:color w:val="000000" w:themeColor="text1"/>
          <w:sz w:val="20"/>
          <w:szCs w:val="20"/>
          <w:lang w:val="en-US"/>
        </w:rPr>
      </w:pPr>
      <w:proofErr w:type="spellStart"/>
      <w:r>
        <w:rPr>
          <w:rFonts w:ascii="Times New Roman" w:hAnsi="Times New Roman" w:cs="Times New Roman"/>
          <w:color w:val="000000" w:themeColor="text1"/>
          <w:sz w:val="20"/>
          <w:szCs w:val="20"/>
          <w:lang w:val="en-US"/>
        </w:rPr>
        <w:t>Paiyanoor</w:t>
      </w:r>
      <w:proofErr w:type="spellEnd"/>
      <w:r>
        <w:rPr>
          <w:rFonts w:ascii="Times New Roman" w:hAnsi="Times New Roman" w:cs="Times New Roman"/>
          <w:color w:val="000000" w:themeColor="text1"/>
          <w:sz w:val="20"/>
          <w:szCs w:val="20"/>
          <w:lang w:val="en-US"/>
        </w:rPr>
        <w:t xml:space="preserve">, </w:t>
      </w:r>
      <w:r w:rsidR="00C73554">
        <w:rPr>
          <w:rFonts w:ascii="Times New Roman" w:hAnsi="Times New Roman" w:cs="Times New Roman"/>
          <w:color w:val="000000" w:themeColor="text1"/>
          <w:sz w:val="20"/>
          <w:szCs w:val="20"/>
          <w:lang w:val="en-US"/>
        </w:rPr>
        <w:t>C</w:t>
      </w:r>
      <w:r>
        <w:rPr>
          <w:rFonts w:ascii="Times New Roman" w:hAnsi="Times New Roman" w:cs="Times New Roman"/>
          <w:color w:val="000000" w:themeColor="text1"/>
          <w:sz w:val="20"/>
          <w:szCs w:val="20"/>
          <w:lang w:val="en-US"/>
        </w:rPr>
        <w:t xml:space="preserve">hennai, India. </w:t>
      </w:r>
    </w:p>
    <w:p w14:paraId="22D58BAE" w14:textId="5AF194D9" w:rsidR="000B0E85" w:rsidRDefault="00C017CC" w:rsidP="00E64FD3">
      <w:pPr>
        <w:spacing w:after="0" w:line="240" w:lineRule="auto"/>
        <w:ind w:right="-46"/>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 xml:space="preserve">Email ID: </w:t>
      </w:r>
      <w:hyperlink r:id="rId8" w:history="1">
        <w:r w:rsidRPr="006A02C3">
          <w:rPr>
            <w:rStyle w:val="Hyperlink"/>
            <w:rFonts w:ascii="Times New Roman" w:hAnsi="Times New Roman" w:cs="Times New Roman"/>
            <w:sz w:val="20"/>
            <w:szCs w:val="20"/>
            <w:lang w:val="en-US"/>
          </w:rPr>
          <w:t>vajithkumarmb@gmail.com</w:t>
        </w:r>
      </w:hyperlink>
    </w:p>
    <w:p w14:paraId="497D9464" w14:textId="77777777" w:rsidR="00A95E93" w:rsidRPr="002952E5" w:rsidRDefault="00A95E93" w:rsidP="00A95E93">
      <w:pPr>
        <w:spacing w:line="240" w:lineRule="auto"/>
        <w:jc w:val="both"/>
        <w:rPr>
          <w:rFonts w:ascii="Times New Roman" w:hAnsi="Times New Roman" w:cs="Times New Roman"/>
          <w:color w:val="000000" w:themeColor="text1"/>
          <w:sz w:val="20"/>
          <w:szCs w:val="20"/>
          <w:lang w:val="en-US"/>
        </w:rPr>
      </w:pPr>
    </w:p>
    <w:p w14:paraId="1FE6C0A0" w14:textId="5AAC2027" w:rsidR="00F03715" w:rsidRPr="002952E5" w:rsidRDefault="00120003" w:rsidP="00120003">
      <w:pPr>
        <w:spacing w:line="240" w:lineRule="auto"/>
        <w:jc w:val="center"/>
        <w:rPr>
          <w:rFonts w:ascii="Times New Roman" w:hAnsi="Times New Roman" w:cs="Times New Roman"/>
          <w:color w:val="000000" w:themeColor="text1"/>
          <w:sz w:val="20"/>
          <w:szCs w:val="20"/>
          <w:lang w:val="en-US"/>
        </w:rPr>
      </w:pPr>
      <w:r w:rsidRPr="002952E5">
        <w:rPr>
          <w:rFonts w:ascii="Times New Roman" w:hAnsi="Times New Roman" w:cs="Times New Roman"/>
          <w:b/>
          <w:bCs/>
          <w:color w:val="000000" w:themeColor="text1"/>
          <w:sz w:val="20"/>
          <w:szCs w:val="20"/>
          <w:lang w:val="en-US"/>
        </w:rPr>
        <w:t>ABSTRACT</w:t>
      </w:r>
    </w:p>
    <w:p w14:paraId="698CF6BA" w14:textId="0BF36602" w:rsidR="00D0008F" w:rsidRPr="002952E5" w:rsidRDefault="00C25573" w:rsidP="00A95E93">
      <w:pPr>
        <w:spacing w:after="0" w:line="240" w:lineRule="auto"/>
        <w:ind w:firstLine="720"/>
        <w:jc w:val="both"/>
        <w:rPr>
          <w:rFonts w:ascii="Times New Roman" w:hAnsi="Times New Roman" w:cs="Times New Roman"/>
          <w:color w:val="000000" w:themeColor="text1"/>
          <w:sz w:val="20"/>
          <w:szCs w:val="20"/>
        </w:rPr>
      </w:pPr>
      <w:r w:rsidRPr="002952E5">
        <w:rPr>
          <w:rFonts w:ascii="Times New Roman" w:hAnsi="Times New Roman" w:cs="Times New Roman"/>
          <w:b/>
          <w:bCs/>
          <w:color w:val="000000" w:themeColor="text1"/>
          <w:sz w:val="20"/>
          <w:szCs w:val="20"/>
          <w:lang w:val="en-US"/>
        </w:rPr>
        <w:t>Manifestation of infections:</w:t>
      </w:r>
      <w:r w:rsidR="00F03715" w:rsidRPr="009B288B">
        <w:rPr>
          <w:rFonts w:ascii="Times New Roman" w:hAnsi="Times New Roman" w:cs="Times New Roman"/>
          <w:color w:val="000000" w:themeColor="text1"/>
          <w:sz w:val="20"/>
          <w:szCs w:val="20"/>
          <w:lang w:val="en-US"/>
        </w:rPr>
        <w:t xml:space="preserve"> </w:t>
      </w:r>
      <w:r w:rsidR="009B288B" w:rsidRPr="009B288B">
        <w:rPr>
          <w:rFonts w:ascii="Times New Roman" w:hAnsi="Times New Roman" w:cs="Times New Roman"/>
          <w:sz w:val="20"/>
          <w:szCs w:val="20"/>
        </w:rPr>
        <w:t>The clinical presentation of an infectious disease reflects the interactions between the human and the microorganism. These interactions are affected by the human immune status and the microorganism’s virulence factors. Symptoms and signs may vary according to the site involved in the host and progression of the infection. Diagnosis requires a composite of information, physical examination, radiographic findings, laboratory diagnosis data &amp; clinical history. </w:t>
      </w:r>
      <w:r w:rsidR="009B288B" w:rsidRPr="009B288B">
        <w:rPr>
          <w:rStyle w:val="Strong"/>
          <w:rFonts w:ascii="Times New Roman" w:hAnsi="Times New Roman" w:cs="Times New Roman"/>
          <w:color w:val="0E101A"/>
          <w:sz w:val="20"/>
          <w:szCs w:val="20"/>
        </w:rPr>
        <w:t>Microbial Causes of Infection: </w:t>
      </w:r>
      <w:r w:rsidR="009B288B" w:rsidRPr="009B288B">
        <w:rPr>
          <w:rFonts w:ascii="Times New Roman" w:hAnsi="Times New Roman" w:cs="Times New Roman"/>
          <w:sz w:val="20"/>
          <w:szCs w:val="20"/>
        </w:rPr>
        <w:t>Infections caused by bacteria, viruses, fungi, and parasites. The pathogen may be exogenous (acquired from other persons, environmental, or animal sources) or endogenous (from the human floras- present in the body surfaces or inside the body). </w:t>
      </w:r>
      <w:r w:rsidR="009B288B" w:rsidRPr="009B288B">
        <w:rPr>
          <w:rStyle w:val="Strong"/>
          <w:rFonts w:ascii="Times New Roman" w:hAnsi="Times New Roman" w:cs="Times New Roman"/>
          <w:color w:val="0E101A"/>
          <w:sz w:val="20"/>
          <w:szCs w:val="20"/>
        </w:rPr>
        <w:t>Specimen Selection, Collection, and Processing: </w:t>
      </w:r>
      <w:r w:rsidR="009B288B" w:rsidRPr="009B288B">
        <w:rPr>
          <w:rFonts w:ascii="Times New Roman" w:hAnsi="Times New Roman" w:cs="Times New Roman"/>
          <w:sz w:val="20"/>
          <w:szCs w:val="20"/>
        </w:rPr>
        <w:t>Specimens will be selected based on signs and symptoms, and they should represent the disease process and must collect before the administration of antimicrobial agents. Quantity of samples and the rapidity of specimen transportation to the laboratory influence the test results.</w:t>
      </w:r>
    </w:p>
    <w:p w14:paraId="05F487D0" w14:textId="5DFCFDEA" w:rsidR="00A55452" w:rsidRPr="002952E5" w:rsidRDefault="00A55452" w:rsidP="00A95E93">
      <w:pPr>
        <w:pStyle w:val="NormalWeb"/>
        <w:shd w:val="clear" w:color="auto" w:fill="FFFFFF"/>
        <w:spacing w:before="166" w:beforeAutospacing="0" w:after="166" w:afterAutospacing="0"/>
        <w:ind w:firstLine="720"/>
        <w:jc w:val="both"/>
        <w:rPr>
          <w:color w:val="000000" w:themeColor="text1"/>
          <w:sz w:val="20"/>
          <w:szCs w:val="20"/>
        </w:rPr>
      </w:pPr>
      <w:r w:rsidRPr="002952E5">
        <w:rPr>
          <w:b/>
          <w:bCs/>
          <w:color w:val="000000" w:themeColor="text1"/>
          <w:sz w:val="20"/>
          <w:szCs w:val="20"/>
        </w:rPr>
        <w:t>Microbiologic</w:t>
      </w:r>
      <w:r w:rsidR="00D0008F" w:rsidRPr="002952E5">
        <w:rPr>
          <w:b/>
          <w:bCs/>
          <w:color w:val="000000" w:themeColor="text1"/>
          <w:sz w:val="20"/>
          <w:szCs w:val="20"/>
        </w:rPr>
        <w:t>al</w:t>
      </w:r>
      <w:r w:rsidRPr="002952E5">
        <w:rPr>
          <w:b/>
          <w:bCs/>
          <w:color w:val="000000" w:themeColor="text1"/>
          <w:sz w:val="20"/>
          <w:szCs w:val="20"/>
        </w:rPr>
        <w:t xml:space="preserve"> Examination</w:t>
      </w:r>
      <w:r w:rsidR="00D0008F" w:rsidRPr="002952E5">
        <w:rPr>
          <w:b/>
          <w:bCs/>
          <w:color w:val="000000" w:themeColor="text1"/>
          <w:sz w:val="20"/>
          <w:szCs w:val="20"/>
        </w:rPr>
        <w:t>s</w:t>
      </w:r>
      <w:r w:rsidR="00CF1929" w:rsidRPr="002952E5">
        <w:rPr>
          <w:b/>
          <w:bCs/>
          <w:color w:val="000000" w:themeColor="text1"/>
          <w:sz w:val="20"/>
          <w:szCs w:val="20"/>
        </w:rPr>
        <w:t xml:space="preserve">- </w:t>
      </w:r>
      <w:r w:rsidRPr="002952E5">
        <w:rPr>
          <w:b/>
          <w:bCs/>
          <w:color w:val="000000" w:themeColor="text1"/>
          <w:sz w:val="20"/>
          <w:szCs w:val="20"/>
        </w:rPr>
        <w:t>Direct Examination and Techniques: </w:t>
      </w:r>
      <w:r w:rsidRPr="002952E5">
        <w:rPr>
          <w:color w:val="000000" w:themeColor="text1"/>
          <w:sz w:val="20"/>
          <w:szCs w:val="20"/>
        </w:rPr>
        <w:t xml:space="preserve">Direct examination of </w:t>
      </w:r>
      <w:r w:rsidR="007F1142" w:rsidRPr="002952E5">
        <w:rPr>
          <w:color w:val="000000" w:themeColor="text1"/>
          <w:sz w:val="20"/>
          <w:szCs w:val="20"/>
        </w:rPr>
        <w:t xml:space="preserve">the </w:t>
      </w:r>
      <w:r w:rsidRPr="002952E5">
        <w:rPr>
          <w:color w:val="000000" w:themeColor="text1"/>
          <w:sz w:val="20"/>
          <w:szCs w:val="20"/>
        </w:rPr>
        <w:t xml:space="preserve">specimens </w:t>
      </w:r>
      <w:r w:rsidR="007F1142" w:rsidRPr="002952E5">
        <w:rPr>
          <w:color w:val="000000" w:themeColor="text1"/>
          <w:sz w:val="20"/>
          <w:szCs w:val="20"/>
        </w:rPr>
        <w:t>reveals</w:t>
      </w:r>
      <w:r w:rsidRPr="002952E5">
        <w:rPr>
          <w:color w:val="000000" w:themeColor="text1"/>
          <w:sz w:val="20"/>
          <w:szCs w:val="20"/>
        </w:rPr>
        <w:t xml:space="preserve"> gross patholog</w:t>
      </w:r>
      <w:r w:rsidR="007F1142" w:rsidRPr="002952E5">
        <w:rPr>
          <w:color w:val="000000" w:themeColor="text1"/>
          <w:sz w:val="20"/>
          <w:szCs w:val="20"/>
        </w:rPr>
        <w:t>y</w:t>
      </w:r>
      <w:r w:rsidRPr="002952E5">
        <w:rPr>
          <w:color w:val="000000" w:themeColor="text1"/>
          <w:sz w:val="20"/>
          <w:szCs w:val="20"/>
        </w:rPr>
        <w:t>. Microsco</w:t>
      </w:r>
      <w:r w:rsidR="006F5E9E" w:rsidRPr="002952E5">
        <w:rPr>
          <w:color w:val="000000" w:themeColor="text1"/>
          <w:sz w:val="20"/>
          <w:szCs w:val="20"/>
        </w:rPr>
        <w:t>pic</w:t>
      </w:r>
      <w:r w:rsidRPr="002952E5">
        <w:rPr>
          <w:color w:val="000000" w:themeColor="text1"/>
          <w:sz w:val="20"/>
          <w:szCs w:val="20"/>
        </w:rPr>
        <w:t xml:space="preserve"> </w:t>
      </w:r>
      <w:r w:rsidR="006F5E9E" w:rsidRPr="002952E5">
        <w:rPr>
          <w:color w:val="000000" w:themeColor="text1"/>
          <w:sz w:val="20"/>
          <w:szCs w:val="20"/>
        </w:rPr>
        <w:t>examinations</w:t>
      </w:r>
      <w:r w:rsidRPr="002952E5">
        <w:rPr>
          <w:color w:val="000000" w:themeColor="text1"/>
          <w:sz w:val="20"/>
          <w:szCs w:val="20"/>
        </w:rPr>
        <w:t xml:space="preserve"> identify </w:t>
      </w:r>
      <w:r w:rsidR="006F5E9E" w:rsidRPr="002952E5">
        <w:rPr>
          <w:color w:val="000000" w:themeColor="text1"/>
          <w:sz w:val="20"/>
          <w:szCs w:val="20"/>
        </w:rPr>
        <w:t xml:space="preserve">the </w:t>
      </w:r>
      <w:r w:rsidR="001114B0" w:rsidRPr="002952E5">
        <w:rPr>
          <w:color w:val="000000" w:themeColor="text1"/>
          <w:sz w:val="20"/>
          <w:szCs w:val="20"/>
        </w:rPr>
        <w:t>microorganisms</w:t>
      </w:r>
      <w:r w:rsidRPr="002952E5">
        <w:rPr>
          <w:color w:val="000000" w:themeColor="text1"/>
          <w:sz w:val="20"/>
          <w:szCs w:val="20"/>
        </w:rPr>
        <w:t>. Immunofluorescence</w:t>
      </w:r>
      <w:r w:rsidR="006F5E9E" w:rsidRPr="002952E5">
        <w:rPr>
          <w:color w:val="000000" w:themeColor="text1"/>
          <w:sz w:val="20"/>
          <w:szCs w:val="20"/>
        </w:rPr>
        <w:t xml:space="preserve"> assay</w:t>
      </w:r>
      <w:r w:rsidRPr="002952E5">
        <w:rPr>
          <w:color w:val="000000" w:themeColor="text1"/>
          <w:sz w:val="20"/>
          <w:szCs w:val="20"/>
        </w:rPr>
        <w:t xml:space="preserve">, immuno-peroxidase staining, and other immunoassay detect </w:t>
      </w:r>
      <w:r w:rsidR="001114B0" w:rsidRPr="002952E5">
        <w:rPr>
          <w:color w:val="000000" w:themeColor="text1"/>
          <w:sz w:val="20"/>
          <w:szCs w:val="20"/>
        </w:rPr>
        <w:t xml:space="preserve">the </w:t>
      </w:r>
      <w:r w:rsidRPr="002952E5">
        <w:rPr>
          <w:color w:val="000000" w:themeColor="text1"/>
          <w:sz w:val="20"/>
          <w:szCs w:val="20"/>
        </w:rPr>
        <w:t xml:space="preserve">specific microbial antigens. Genetic probes identify </w:t>
      </w:r>
      <w:r w:rsidR="001114B0" w:rsidRPr="002952E5">
        <w:rPr>
          <w:color w:val="000000" w:themeColor="text1"/>
          <w:sz w:val="20"/>
          <w:szCs w:val="20"/>
        </w:rPr>
        <w:t xml:space="preserve">the </w:t>
      </w:r>
      <w:r w:rsidRPr="002952E5">
        <w:rPr>
          <w:color w:val="000000" w:themeColor="text1"/>
          <w:sz w:val="20"/>
          <w:szCs w:val="20"/>
        </w:rPr>
        <w:t>genus- or species</w:t>
      </w:r>
      <w:r w:rsidR="006F5E9E" w:rsidRPr="002952E5">
        <w:rPr>
          <w:color w:val="000000" w:themeColor="text1"/>
          <w:sz w:val="20"/>
          <w:szCs w:val="20"/>
        </w:rPr>
        <w:t xml:space="preserve"> of the </w:t>
      </w:r>
      <w:r w:rsidRPr="002952E5">
        <w:rPr>
          <w:color w:val="000000" w:themeColor="text1"/>
          <w:sz w:val="20"/>
          <w:szCs w:val="20"/>
        </w:rPr>
        <w:t>specific DNA or RNA sequences.</w:t>
      </w:r>
      <w:r w:rsidR="00CF1929" w:rsidRPr="002952E5">
        <w:rPr>
          <w:color w:val="000000" w:themeColor="text1"/>
          <w:sz w:val="20"/>
          <w:szCs w:val="20"/>
        </w:rPr>
        <w:t xml:space="preserve"> </w:t>
      </w:r>
      <w:r w:rsidRPr="002952E5">
        <w:rPr>
          <w:b/>
          <w:bCs/>
          <w:color w:val="000000" w:themeColor="text1"/>
          <w:sz w:val="20"/>
          <w:szCs w:val="20"/>
        </w:rPr>
        <w:t>Culture:</w:t>
      </w:r>
      <w:r w:rsidRPr="002952E5">
        <w:rPr>
          <w:color w:val="000000" w:themeColor="text1"/>
          <w:sz w:val="20"/>
          <w:szCs w:val="20"/>
        </w:rPr>
        <w:t xml:space="preserve"> Isolation of infectious agents </w:t>
      </w:r>
      <w:r w:rsidR="007866EF" w:rsidRPr="002952E5">
        <w:rPr>
          <w:color w:val="000000" w:themeColor="text1"/>
          <w:sz w:val="20"/>
          <w:szCs w:val="20"/>
        </w:rPr>
        <w:t xml:space="preserve">are </w:t>
      </w:r>
      <w:r w:rsidRPr="002952E5">
        <w:rPr>
          <w:color w:val="000000" w:themeColor="text1"/>
          <w:sz w:val="20"/>
          <w:szCs w:val="20"/>
        </w:rPr>
        <w:t xml:space="preserve">frequently </w:t>
      </w:r>
      <w:r w:rsidR="007866EF" w:rsidRPr="002952E5">
        <w:rPr>
          <w:color w:val="000000" w:themeColor="text1"/>
          <w:sz w:val="20"/>
          <w:szCs w:val="20"/>
        </w:rPr>
        <w:t>requiring</w:t>
      </w:r>
      <w:r w:rsidRPr="002952E5">
        <w:rPr>
          <w:color w:val="000000" w:themeColor="text1"/>
          <w:sz w:val="20"/>
          <w:szCs w:val="20"/>
        </w:rPr>
        <w:t xml:space="preserve"> specialized </w:t>
      </w:r>
      <w:r w:rsidR="007866EF" w:rsidRPr="002952E5">
        <w:rPr>
          <w:color w:val="000000" w:themeColor="text1"/>
          <w:sz w:val="20"/>
          <w:szCs w:val="20"/>
        </w:rPr>
        <w:t xml:space="preserve">culture </w:t>
      </w:r>
      <w:r w:rsidRPr="002952E5">
        <w:rPr>
          <w:color w:val="000000" w:themeColor="text1"/>
          <w:sz w:val="20"/>
          <w:szCs w:val="20"/>
        </w:rPr>
        <w:t>media. Non</w:t>
      </w:r>
      <w:r w:rsidR="007866EF" w:rsidRPr="002952E5">
        <w:rPr>
          <w:color w:val="000000" w:themeColor="text1"/>
          <w:sz w:val="20"/>
          <w:szCs w:val="20"/>
        </w:rPr>
        <w:t>-</w:t>
      </w:r>
      <w:r w:rsidRPr="002952E5">
        <w:rPr>
          <w:color w:val="000000" w:themeColor="text1"/>
          <w:sz w:val="20"/>
          <w:szCs w:val="20"/>
        </w:rPr>
        <w:t>selective (non</w:t>
      </w:r>
      <w:r w:rsidR="007866EF" w:rsidRPr="002952E5">
        <w:rPr>
          <w:color w:val="000000" w:themeColor="text1"/>
          <w:sz w:val="20"/>
          <w:szCs w:val="20"/>
        </w:rPr>
        <w:t>-</w:t>
      </w:r>
      <w:r w:rsidRPr="002952E5">
        <w:rPr>
          <w:color w:val="000000" w:themeColor="text1"/>
          <w:sz w:val="20"/>
          <w:szCs w:val="20"/>
        </w:rPr>
        <w:t xml:space="preserve">inhibitory) media </w:t>
      </w:r>
      <w:r w:rsidR="004A7589" w:rsidRPr="002952E5">
        <w:rPr>
          <w:color w:val="000000" w:themeColor="text1"/>
          <w:sz w:val="20"/>
          <w:szCs w:val="20"/>
        </w:rPr>
        <w:t>allows</w:t>
      </w:r>
      <w:r w:rsidRPr="002952E5">
        <w:rPr>
          <w:color w:val="000000" w:themeColor="text1"/>
          <w:sz w:val="20"/>
          <w:szCs w:val="20"/>
        </w:rPr>
        <w:t xml:space="preserve"> the growth of many microorganisms. Selective media </w:t>
      </w:r>
      <w:r w:rsidR="004A7589" w:rsidRPr="002952E5">
        <w:rPr>
          <w:color w:val="000000" w:themeColor="text1"/>
          <w:sz w:val="20"/>
          <w:szCs w:val="20"/>
        </w:rPr>
        <w:t xml:space="preserve">which is </w:t>
      </w:r>
      <w:r w:rsidRPr="002952E5">
        <w:rPr>
          <w:color w:val="000000" w:themeColor="text1"/>
          <w:sz w:val="20"/>
          <w:szCs w:val="20"/>
        </w:rPr>
        <w:t xml:space="preserve">contain inhibitory substances that </w:t>
      </w:r>
      <w:r w:rsidR="00F907BA">
        <w:rPr>
          <w:color w:val="000000" w:themeColor="text1"/>
          <w:sz w:val="20"/>
          <w:szCs w:val="20"/>
        </w:rPr>
        <w:t>allow</w:t>
      </w:r>
      <w:r w:rsidRPr="002952E5">
        <w:rPr>
          <w:color w:val="000000" w:themeColor="text1"/>
          <w:sz w:val="20"/>
          <w:szCs w:val="20"/>
        </w:rPr>
        <w:t xml:space="preserve"> the isolation of specific types of microorganisms.</w:t>
      </w:r>
      <w:r w:rsidR="00CF1929" w:rsidRPr="002952E5">
        <w:rPr>
          <w:color w:val="000000" w:themeColor="text1"/>
          <w:sz w:val="20"/>
          <w:szCs w:val="20"/>
        </w:rPr>
        <w:t xml:space="preserve"> </w:t>
      </w:r>
      <w:r w:rsidRPr="002952E5">
        <w:rPr>
          <w:b/>
          <w:bCs/>
          <w:color w:val="000000" w:themeColor="text1"/>
          <w:sz w:val="20"/>
          <w:szCs w:val="20"/>
        </w:rPr>
        <w:t>Microbial Identification:</w:t>
      </w:r>
      <w:r w:rsidRPr="002952E5">
        <w:rPr>
          <w:color w:val="000000" w:themeColor="text1"/>
          <w:sz w:val="20"/>
          <w:szCs w:val="20"/>
        </w:rPr>
        <w:t xml:space="preserve"> Colony and cellular morphology </w:t>
      </w:r>
      <w:r w:rsidR="00BC366F" w:rsidRPr="002952E5">
        <w:rPr>
          <w:color w:val="000000" w:themeColor="text1"/>
          <w:sz w:val="20"/>
          <w:szCs w:val="20"/>
        </w:rPr>
        <w:t xml:space="preserve">of the microbial cultures </w:t>
      </w:r>
      <w:r w:rsidRPr="002952E5">
        <w:rPr>
          <w:color w:val="000000" w:themeColor="text1"/>
          <w:sz w:val="20"/>
          <w:szCs w:val="20"/>
        </w:rPr>
        <w:t xml:space="preserve">may </w:t>
      </w:r>
      <w:r w:rsidR="00BC366F" w:rsidRPr="002952E5">
        <w:rPr>
          <w:color w:val="000000" w:themeColor="text1"/>
          <w:sz w:val="20"/>
          <w:szCs w:val="20"/>
        </w:rPr>
        <w:t xml:space="preserve">help </w:t>
      </w:r>
      <w:r w:rsidR="00C14376" w:rsidRPr="002952E5">
        <w:rPr>
          <w:color w:val="000000" w:themeColor="text1"/>
          <w:sz w:val="20"/>
          <w:szCs w:val="20"/>
        </w:rPr>
        <w:t xml:space="preserve">in </w:t>
      </w:r>
      <w:r w:rsidR="00BC366F" w:rsidRPr="002952E5">
        <w:rPr>
          <w:color w:val="000000" w:themeColor="text1"/>
          <w:sz w:val="20"/>
          <w:szCs w:val="20"/>
        </w:rPr>
        <w:t xml:space="preserve">the </w:t>
      </w:r>
      <w:r w:rsidRPr="002952E5">
        <w:rPr>
          <w:color w:val="000000" w:themeColor="text1"/>
          <w:sz w:val="20"/>
          <w:szCs w:val="20"/>
        </w:rPr>
        <w:t>preliminary identification</w:t>
      </w:r>
      <w:r w:rsidR="00BC366F" w:rsidRPr="002952E5">
        <w:rPr>
          <w:color w:val="000000" w:themeColor="text1"/>
          <w:sz w:val="20"/>
          <w:szCs w:val="20"/>
        </w:rPr>
        <w:t>s</w:t>
      </w:r>
      <w:r w:rsidR="00C14376" w:rsidRPr="002952E5">
        <w:rPr>
          <w:color w:val="000000" w:themeColor="text1"/>
          <w:sz w:val="20"/>
          <w:szCs w:val="20"/>
        </w:rPr>
        <w:t xml:space="preserve"> of Microorganisms</w:t>
      </w:r>
      <w:r w:rsidRPr="002952E5">
        <w:rPr>
          <w:color w:val="000000" w:themeColor="text1"/>
          <w:sz w:val="20"/>
          <w:szCs w:val="20"/>
        </w:rPr>
        <w:t xml:space="preserve">. </w:t>
      </w:r>
      <w:r w:rsidR="00CC1202">
        <w:rPr>
          <w:color w:val="000000" w:themeColor="text1"/>
          <w:sz w:val="20"/>
          <w:szCs w:val="20"/>
        </w:rPr>
        <w:t>Microorganisms'</w:t>
      </w:r>
      <w:r w:rsidR="00F849C7" w:rsidRPr="002952E5">
        <w:rPr>
          <w:color w:val="000000" w:themeColor="text1"/>
          <w:sz w:val="20"/>
          <w:szCs w:val="20"/>
        </w:rPr>
        <w:t xml:space="preserve"> g</w:t>
      </w:r>
      <w:r w:rsidRPr="002952E5">
        <w:rPr>
          <w:color w:val="000000" w:themeColor="text1"/>
          <w:sz w:val="20"/>
          <w:szCs w:val="20"/>
        </w:rPr>
        <w:t xml:space="preserve">rowth characteristics </w:t>
      </w:r>
      <w:r w:rsidR="001B7661">
        <w:rPr>
          <w:color w:val="000000" w:themeColor="text1"/>
          <w:sz w:val="20"/>
          <w:szCs w:val="20"/>
        </w:rPr>
        <w:t xml:space="preserve">may </w:t>
      </w:r>
      <w:r w:rsidR="00CC1202">
        <w:rPr>
          <w:color w:val="000000" w:themeColor="text1"/>
          <w:sz w:val="20"/>
          <w:szCs w:val="20"/>
        </w:rPr>
        <w:t>vary</w:t>
      </w:r>
      <w:r w:rsidRPr="002952E5">
        <w:rPr>
          <w:color w:val="000000" w:themeColor="text1"/>
          <w:sz w:val="20"/>
          <w:szCs w:val="20"/>
        </w:rPr>
        <w:t xml:space="preserve"> </w:t>
      </w:r>
      <w:r w:rsidR="001B7661">
        <w:rPr>
          <w:color w:val="000000" w:themeColor="text1"/>
          <w:sz w:val="20"/>
          <w:szCs w:val="20"/>
        </w:rPr>
        <w:t xml:space="preserve">in </w:t>
      </w:r>
      <w:r w:rsidRPr="002952E5">
        <w:rPr>
          <w:color w:val="000000" w:themeColor="text1"/>
          <w:sz w:val="20"/>
          <w:szCs w:val="20"/>
        </w:rPr>
        <w:t>conditions</w:t>
      </w:r>
      <w:r w:rsidR="001B7661">
        <w:rPr>
          <w:color w:val="000000" w:themeColor="text1"/>
          <w:sz w:val="20"/>
          <w:szCs w:val="20"/>
        </w:rPr>
        <w:t xml:space="preserve"> such as</w:t>
      </w:r>
      <w:r w:rsidRPr="002952E5">
        <w:rPr>
          <w:color w:val="000000" w:themeColor="text1"/>
          <w:sz w:val="20"/>
          <w:szCs w:val="20"/>
        </w:rPr>
        <w:t xml:space="preserve"> </w:t>
      </w:r>
      <w:r w:rsidR="00CC1202">
        <w:rPr>
          <w:color w:val="000000" w:themeColor="text1"/>
          <w:sz w:val="20"/>
          <w:szCs w:val="20"/>
        </w:rPr>
        <w:t xml:space="preserve">the </w:t>
      </w:r>
      <w:r w:rsidRPr="002952E5">
        <w:rPr>
          <w:color w:val="000000" w:themeColor="text1"/>
          <w:sz w:val="20"/>
          <w:szCs w:val="20"/>
        </w:rPr>
        <w:t>utilization of carbohydrates and other substrates, enzymatic activity, immunoassays, and genetic probes used</w:t>
      </w:r>
      <w:r w:rsidR="00AF19F6" w:rsidRPr="002952E5">
        <w:rPr>
          <w:color w:val="000000" w:themeColor="text1"/>
          <w:sz w:val="20"/>
          <w:szCs w:val="20"/>
        </w:rPr>
        <w:t xml:space="preserve"> for the microorganism’s identification</w:t>
      </w:r>
      <w:r w:rsidRPr="002952E5">
        <w:rPr>
          <w:color w:val="000000" w:themeColor="text1"/>
          <w:sz w:val="20"/>
          <w:szCs w:val="20"/>
        </w:rPr>
        <w:t>.</w:t>
      </w:r>
      <w:r w:rsidR="00CF1929" w:rsidRPr="002952E5">
        <w:rPr>
          <w:color w:val="000000" w:themeColor="text1"/>
          <w:sz w:val="20"/>
          <w:szCs w:val="20"/>
        </w:rPr>
        <w:t xml:space="preserve"> </w:t>
      </w:r>
      <w:r w:rsidRPr="002952E5">
        <w:rPr>
          <w:b/>
          <w:bCs/>
          <w:color w:val="000000" w:themeColor="text1"/>
          <w:sz w:val="20"/>
          <w:szCs w:val="20"/>
        </w:rPr>
        <w:t>Serodiagnosis:</w:t>
      </w:r>
      <w:r w:rsidRPr="002952E5">
        <w:rPr>
          <w:color w:val="000000" w:themeColor="text1"/>
          <w:sz w:val="20"/>
          <w:szCs w:val="20"/>
        </w:rPr>
        <w:t xml:space="preserve"> A high or rising </w:t>
      </w:r>
      <w:proofErr w:type="spellStart"/>
      <w:r w:rsidRPr="002952E5">
        <w:rPr>
          <w:color w:val="000000" w:themeColor="text1"/>
          <w:sz w:val="20"/>
          <w:szCs w:val="20"/>
        </w:rPr>
        <w:t>titer</w:t>
      </w:r>
      <w:proofErr w:type="spellEnd"/>
      <w:r w:rsidRPr="002952E5">
        <w:rPr>
          <w:color w:val="000000" w:themeColor="text1"/>
          <w:sz w:val="20"/>
          <w:szCs w:val="20"/>
        </w:rPr>
        <w:t xml:space="preserve"> of specific </w:t>
      </w:r>
      <w:r w:rsidR="00F907BA">
        <w:rPr>
          <w:color w:val="000000" w:themeColor="text1"/>
          <w:sz w:val="20"/>
          <w:szCs w:val="20"/>
        </w:rPr>
        <w:t>antibodies</w:t>
      </w:r>
      <w:r w:rsidRPr="002952E5">
        <w:rPr>
          <w:color w:val="000000" w:themeColor="text1"/>
          <w:sz w:val="20"/>
          <w:szCs w:val="20"/>
        </w:rPr>
        <w:t xml:space="preserve"> </w:t>
      </w:r>
      <w:r w:rsidR="005116B4" w:rsidRPr="002952E5">
        <w:rPr>
          <w:color w:val="000000" w:themeColor="text1"/>
          <w:sz w:val="20"/>
          <w:szCs w:val="20"/>
        </w:rPr>
        <w:t>or antigens</w:t>
      </w:r>
      <w:r w:rsidR="00C67998" w:rsidRPr="002952E5">
        <w:rPr>
          <w:color w:val="000000" w:themeColor="text1"/>
          <w:sz w:val="20"/>
          <w:szCs w:val="20"/>
        </w:rPr>
        <w:t>,</w:t>
      </w:r>
      <w:r w:rsidR="005116B4" w:rsidRPr="002952E5">
        <w:rPr>
          <w:color w:val="000000" w:themeColor="text1"/>
          <w:sz w:val="20"/>
          <w:szCs w:val="20"/>
        </w:rPr>
        <w:t xml:space="preserve"> </w:t>
      </w:r>
      <w:r w:rsidR="00C67998" w:rsidRPr="002952E5">
        <w:rPr>
          <w:color w:val="000000" w:themeColor="text1"/>
          <w:sz w:val="20"/>
          <w:szCs w:val="20"/>
        </w:rPr>
        <w:t>either</w:t>
      </w:r>
      <w:r w:rsidRPr="002952E5">
        <w:rPr>
          <w:color w:val="000000" w:themeColor="text1"/>
          <w:sz w:val="20"/>
          <w:szCs w:val="20"/>
        </w:rPr>
        <w:t xml:space="preserve"> the presence of specific </w:t>
      </w:r>
      <w:r w:rsidR="00F907BA">
        <w:rPr>
          <w:color w:val="000000" w:themeColor="text1"/>
          <w:sz w:val="20"/>
          <w:szCs w:val="20"/>
        </w:rPr>
        <w:t>antibodies</w:t>
      </w:r>
      <w:r w:rsidR="00C67998" w:rsidRPr="002952E5">
        <w:rPr>
          <w:color w:val="000000" w:themeColor="text1"/>
          <w:sz w:val="20"/>
          <w:szCs w:val="20"/>
        </w:rPr>
        <w:t xml:space="preserve"> or antigens</w:t>
      </w:r>
      <w:r w:rsidRPr="002952E5">
        <w:rPr>
          <w:color w:val="000000" w:themeColor="text1"/>
          <w:sz w:val="20"/>
          <w:szCs w:val="20"/>
        </w:rPr>
        <w:t xml:space="preserve"> </w:t>
      </w:r>
      <w:r w:rsidR="00C67998" w:rsidRPr="002952E5">
        <w:rPr>
          <w:color w:val="000000" w:themeColor="text1"/>
          <w:sz w:val="20"/>
          <w:szCs w:val="20"/>
        </w:rPr>
        <w:t xml:space="preserve">in the clinical samples </w:t>
      </w:r>
      <w:r w:rsidRPr="002952E5">
        <w:rPr>
          <w:color w:val="000000" w:themeColor="text1"/>
          <w:sz w:val="20"/>
          <w:szCs w:val="20"/>
        </w:rPr>
        <w:t>may suggest or confirm a diagnosis.</w:t>
      </w:r>
      <w:r w:rsidR="00CF1929" w:rsidRPr="002952E5">
        <w:rPr>
          <w:color w:val="000000" w:themeColor="text1"/>
          <w:sz w:val="20"/>
          <w:szCs w:val="20"/>
        </w:rPr>
        <w:t xml:space="preserve"> </w:t>
      </w:r>
      <w:r w:rsidRPr="002952E5">
        <w:rPr>
          <w:b/>
          <w:bCs/>
          <w:color w:val="000000" w:themeColor="text1"/>
          <w:sz w:val="20"/>
          <w:szCs w:val="20"/>
        </w:rPr>
        <w:t>Antimicrobial Susceptibility:</w:t>
      </w:r>
      <w:r w:rsidRPr="002952E5">
        <w:rPr>
          <w:color w:val="000000" w:themeColor="text1"/>
          <w:sz w:val="20"/>
          <w:szCs w:val="20"/>
        </w:rPr>
        <w:t xml:space="preserve"> Microorganisms </w:t>
      </w:r>
      <w:r w:rsidR="00202A06" w:rsidRPr="002952E5">
        <w:rPr>
          <w:color w:val="000000" w:themeColor="text1"/>
          <w:sz w:val="20"/>
          <w:szCs w:val="20"/>
        </w:rPr>
        <w:t xml:space="preserve">(mostly </w:t>
      </w:r>
      <w:r w:rsidRPr="002952E5">
        <w:rPr>
          <w:color w:val="000000" w:themeColor="text1"/>
          <w:sz w:val="20"/>
          <w:szCs w:val="20"/>
        </w:rPr>
        <w:t xml:space="preserve">bacteria </w:t>
      </w:r>
      <w:r w:rsidR="00202A06" w:rsidRPr="002952E5">
        <w:rPr>
          <w:color w:val="000000" w:themeColor="text1"/>
          <w:sz w:val="20"/>
          <w:szCs w:val="20"/>
        </w:rPr>
        <w:t xml:space="preserve">and fungi) </w:t>
      </w:r>
      <w:r w:rsidRPr="002952E5">
        <w:rPr>
          <w:color w:val="000000" w:themeColor="text1"/>
          <w:sz w:val="20"/>
          <w:szCs w:val="20"/>
        </w:rPr>
        <w:t>are tested in vitro to determine the</w:t>
      </w:r>
      <w:r w:rsidR="00202A06" w:rsidRPr="002952E5">
        <w:rPr>
          <w:color w:val="000000" w:themeColor="text1"/>
          <w:sz w:val="20"/>
          <w:szCs w:val="20"/>
        </w:rPr>
        <w:t>ir susceptibility</w:t>
      </w:r>
      <w:r w:rsidRPr="002952E5">
        <w:rPr>
          <w:color w:val="000000" w:themeColor="text1"/>
          <w:sz w:val="20"/>
          <w:szCs w:val="20"/>
        </w:rPr>
        <w:t xml:space="preserve"> to antimicrobial agents.</w:t>
      </w:r>
    </w:p>
    <w:p w14:paraId="33DE4A1E" w14:textId="77777777" w:rsidR="00E824EA" w:rsidRPr="002952E5" w:rsidRDefault="00E824EA" w:rsidP="00A95E93">
      <w:pPr>
        <w:pStyle w:val="NormalWeb"/>
        <w:shd w:val="clear" w:color="auto" w:fill="FFFFFF"/>
        <w:spacing w:before="166" w:beforeAutospacing="0" w:after="166" w:afterAutospacing="0"/>
        <w:jc w:val="both"/>
        <w:rPr>
          <w:color w:val="000000" w:themeColor="text1"/>
          <w:sz w:val="20"/>
          <w:szCs w:val="20"/>
        </w:rPr>
      </w:pPr>
    </w:p>
    <w:p w14:paraId="0B9145CC" w14:textId="77777777" w:rsidR="00E824EA" w:rsidRPr="002952E5" w:rsidRDefault="00E824EA" w:rsidP="00A95E93">
      <w:pPr>
        <w:pStyle w:val="NormalWeb"/>
        <w:shd w:val="clear" w:color="auto" w:fill="FFFFFF"/>
        <w:spacing w:before="166" w:beforeAutospacing="0" w:after="166" w:afterAutospacing="0"/>
        <w:jc w:val="both"/>
        <w:rPr>
          <w:color w:val="000000" w:themeColor="text1"/>
          <w:sz w:val="20"/>
          <w:szCs w:val="20"/>
        </w:rPr>
      </w:pPr>
    </w:p>
    <w:p w14:paraId="387AEEBF" w14:textId="77777777" w:rsidR="00E824EA" w:rsidRPr="002952E5" w:rsidRDefault="00E824EA" w:rsidP="00A95E93">
      <w:pPr>
        <w:pStyle w:val="NormalWeb"/>
        <w:shd w:val="clear" w:color="auto" w:fill="FFFFFF"/>
        <w:spacing w:before="166" w:beforeAutospacing="0" w:after="166" w:afterAutospacing="0"/>
        <w:jc w:val="both"/>
        <w:rPr>
          <w:color w:val="000000" w:themeColor="text1"/>
          <w:sz w:val="20"/>
          <w:szCs w:val="20"/>
        </w:rPr>
      </w:pPr>
    </w:p>
    <w:p w14:paraId="4E938784" w14:textId="251FE047" w:rsidR="00E824EA" w:rsidRPr="00120003" w:rsidRDefault="00C73554" w:rsidP="00A95E93">
      <w:pPr>
        <w:pStyle w:val="NormalWeb"/>
        <w:shd w:val="clear" w:color="auto" w:fill="FFFFFF"/>
        <w:spacing w:before="166" w:beforeAutospacing="0" w:after="166" w:afterAutospacing="0"/>
        <w:jc w:val="both"/>
        <w:rPr>
          <w:color w:val="000000" w:themeColor="text1"/>
          <w:sz w:val="20"/>
          <w:szCs w:val="20"/>
        </w:rPr>
      </w:pPr>
      <w:r>
        <w:rPr>
          <w:b/>
          <w:bCs/>
          <w:color w:val="000000" w:themeColor="text1"/>
          <w:sz w:val="20"/>
          <w:szCs w:val="20"/>
        </w:rPr>
        <w:t>Keywords</w:t>
      </w:r>
      <w:r w:rsidR="00120003">
        <w:rPr>
          <w:b/>
          <w:bCs/>
          <w:color w:val="000000" w:themeColor="text1"/>
          <w:sz w:val="20"/>
          <w:szCs w:val="20"/>
        </w:rPr>
        <w:t xml:space="preserve">: </w:t>
      </w:r>
      <w:r w:rsidR="00120003">
        <w:rPr>
          <w:color w:val="000000" w:themeColor="text1"/>
          <w:sz w:val="20"/>
          <w:szCs w:val="20"/>
        </w:rPr>
        <w:t xml:space="preserve">Microorganisms; Infection; Pathogens; Immunoassays; Virulence factors; Lab diagnosis; symptoms and </w:t>
      </w:r>
      <w:r w:rsidR="00F907BA">
        <w:rPr>
          <w:color w:val="000000" w:themeColor="text1"/>
          <w:sz w:val="20"/>
          <w:szCs w:val="20"/>
        </w:rPr>
        <w:t>antimicrobial</w:t>
      </w:r>
      <w:r w:rsidR="00120003">
        <w:rPr>
          <w:color w:val="000000" w:themeColor="text1"/>
          <w:sz w:val="20"/>
          <w:szCs w:val="20"/>
        </w:rPr>
        <w:t xml:space="preserve"> agents.</w:t>
      </w:r>
    </w:p>
    <w:p w14:paraId="2468AE0A" w14:textId="77777777" w:rsidR="00E824EA" w:rsidRPr="002952E5" w:rsidRDefault="00E824EA" w:rsidP="00A95E93">
      <w:pPr>
        <w:pStyle w:val="NormalWeb"/>
        <w:shd w:val="clear" w:color="auto" w:fill="FFFFFF"/>
        <w:spacing w:before="166" w:beforeAutospacing="0" w:after="166" w:afterAutospacing="0"/>
        <w:jc w:val="both"/>
        <w:rPr>
          <w:color w:val="000000" w:themeColor="text1"/>
          <w:sz w:val="20"/>
          <w:szCs w:val="20"/>
        </w:rPr>
      </w:pPr>
    </w:p>
    <w:p w14:paraId="3E85C569" w14:textId="77777777" w:rsidR="00E824EA" w:rsidRPr="002952E5" w:rsidRDefault="00E824EA" w:rsidP="00A95E93">
      <w:pPr>
        <w:pStyle w:val="NormalWeb"/>
        <w:shd w:val="clear" w:color="auto" w:fill="FFFFFF"/>
        <w:spacing w:before="166" w:beforeAutospacing="0" w:after="166" w:afterAutospacing="0"/>
        <w:jc w:val="both"/>
        <w:rPr>
          <w:color w:val="000000" w:themeColor="text1"/>
          <w:sz w:val="20"/>
          <w:szCs w:val="20"/>
        </w:rPr>
      </w:pPr>
    </w:p>
    <w:p w14:paraId="049C00B5" w14:textId="77777777" w:rsidR="00E824EA" w:rsidRPr="002952E5" w:rsidRDefault="00E824EA" w:rsidP="00A95E93">
      <w:pPr>
        <w:pStyle w:val="NormalWeb"/>
        <w:shd w:val="clear" w:color="auto" w:fill="FFFFFF"/>
        <w:spacing w:before="166" w:beforeAutospacing="0" w:after="166" w:afterAutospacing="0"/>
        <w:jc w:val="both"/>
        <w:rPr>
          <w:color w:val="000000" w:themeColor="text1"/>
          <w:sz w:val="20"/>
          <w:szCs w:val="20"/>
        </w:rPr>
      </w:pPr>
    </w:p>
    <w:p w14:paraId="2F1E704B" w14:textId="77777777" w:rsidR="00E824EA" w:rsidRDefault="00E824EA" w:rsidP="00A95E93">
      <w:pPr>
        <w:pStyle w:val="NormalWeb"/>
        <w:shd w:val="clear" w:color="auto" w:fill="FFFFFF"/>
        <w:spacing w:before="166" w:beforeAutospacing="0" w:after="166" w:afterAutospacing="0"/>
        <w:jc w:val="both"/>
        <w:rPr>
          <w:color w:val="000000" w:themeColor="text1"/>
          <w:sz w:val="20"/>
          <w:szCs w:val="20"/>
        </w:rPr>
      </w:pPr>
    </w:p>
    <w:p w14:paraId="1B3933B4" w14:textId="77777777" w:rsidR="003E75EF" w:rsidRDefault="003E75EF" w:rsidP="00A95E93">
      <w:pPr>
        <w:pStyle w:val="NormalWeb"/>
        <w:shd w:val="clear" w:color="auto" w:fill="FFFFFF"/>
        <w:spacing w:before="166" w:beforeAutospacing="0" w:after="166" w:afterAutospacing="0"/>
        <w:jc w:val="both"/>
        <w:rPr>
          <w:color w:val="000000" w:themeColor="text1"/>
          <w:sz w:val="20"/>
          <w:szCs w:val="20"/>
        </w:rPr>
      </w:pPr>
    </w:p>
    <w:p w14:paraId="048733A0" w14:textId="77777777" w:rsidR="003E75EF" w:rsidRDefault="003E75EF" w:rsidP="00A95E93">
      <w:pPr>
        <w:pStyle w:val="NormalWeb"/>
        <w:shd w:val="clear" w:color="auto" w:fill="FFFFFF"/>
        <w:spacing w:before="166" w:beforeAutospacing="0" w:after="166" w:afterAutospacing="0"/>
        <w:jc w:val="both"/>
        <w:rPr>
          <w:color w:val="000000" w:themeColor="text1"/>
          <w:sz w:val="20"/>
          <w:szCs w:val="20"/>
        </w:rPr>
      </w:pPr>
    </w:p>
    <w:p w14:paraId="54910E03" w14:textId="77777777" w:rsidR="003E75EF" w:rsidRDefault="003E75EF" w:rsidP="00A95E93">
      <w:pPr>
        <w:pStyle w:val="NormalWeb"/>
        <w:shd w:val="clear" w:color="auto" w:fill="FFFFFF"/>
        <w:spacing w:before="166" w:beforeAutospacing="0" w:after="166" w:afterAutospacing="0"/>
        <w:jc w:val="both"/>
        <w:rPr>
          <w:color w:val="000000" w:themeColor="text1"/>
          <w:sz w:val="20"/>
          <w:szCs w:val="20"/>
        </w:rPr>
      </w:pPr>
    </w:p>
    <w:p w14:paraId="7CA4881A" w14:textId="77777777" w:rsidR="00FD46A3" w:rsidRDefault="00FD46A3" w:rsidP="00A95E93">
      <w:pPr>
        <w:pStyle w:val="NormalWeb"/>
        <w:shd w:val="clear" w:color="auto" w:fill="FFFFFF"/>
        <w:spacing w:before="166" w:beforeAutospacing="0" w:after="166" w:afterAutospacing="0"/>
        <w:jc w:val="both"/>
        <w:rPr>
          <w:color w:val="000000" w:themeColor="text1"/>
          <w:sz w:val="20"/>
          <w:szCs w:val="20"/>
        </w:rPr>
      </w:pPr>
    </w:p>
    <w:p w14:paraId="22CC4D59" w14:textId="4F2ADB9A" w:rsidR="00760B8C" w:rsidRDefault="00113E1D" w:rsidP="00113E1D">
      <w:pPr>
        <w:pStyle w:val="ListParagraph"/>
        <w:numPr>
          <w:ilvl w:val="0"/>
          <w:numId w:val="1"/>
        </w:numPr>
        <w:spacing w:line="240" w:lineRule="auto"/>
        <w:ind w:left="709"/>
        <w:jc w:val="center"/>
        <w:rPr>
          <w:rFonts w:ascii="Times New Roman" w:hAnsi="Times New Roman" w:cs="Times New Roman"/>
          <w:b/>
          <w:bCs/>
          <w:color w:val="000000" w:themeColor="text1"/>
          <w:sz w:val="20"/>
          <w:szCs w:val="20"/>
          <w:lang w:val="en-US"/>
        </w:rPr>
      </w:pPr>
      <w:r w:rsidRPr="002952E5">
        <w:rPr>
          <w:rFonts w:ascii="Times New Roman" w:hAnsi="Times New Roman" w:cs="Times New Roman"/>
          <w:b/>
          <w:bCs/>
          <w:color w:val="000000" w:themeColor="text1"/>
          <w:sz w:val="20"/>
          <w:szCs w:val="20"/>
          <w:lang w:val="en-US"/>
        </w:rPr>
        <w:lastRenderedPageBreak/>
        <w:t>INTRODUCTION</w:t>
      </w:r>
    </w:p>
    <w:p w14:paraId="651577E7" w14:textId="77777777" w:rsidR="00A95E93" w:rsidRPr="002952E5" w:rsidRDefault="00A95E93" w:rsidP="00A95E93">
      <w:pPr>
        <w:pStyle w:val="ListParagraph"/>
        <w:spacing w:line="240" w:lineRule="auto"/>
        <w:ind w:left="709"/>
        <w:jc w:val="both"/>
        <w:rPr>
          <w:rFonts w:ascii="Times New Roman" w:hAnsi="Times New Roman" w:cs="Times New Roman"/>
          <w:b/>
          <w:bCs/>
          <w:color w:val="000000" w:themeColor="text1"/>
          <w:sz w:val="20"/>
          <w:szCs w:val="20"/>
          <w:lang w:val="en-US"/>
        </w:rPr>
      </w:pPr>
    </w:p>
    <w:p w14:paraId="39785E12" w14:textId="534FF90C" w:rsidR="001B0882" w:rsidRPr="002952E5" w:rsidRDefault="00826C04" w:rsidP="00A95E93">
      <w:pPr>
        <w:pStyle w:val="NormalWeb"/>
        <w:shd w:val="clear" w:color="auto" w:fill="FFFFFF"/>
        <w:spacing w:before="166" w:beforeAutospacing="0" w:after="166" w:afterAutospacing="0"/>
        <w:ind w:firstLine="709"/>
        <w:jc w:val="both"/>
        <w:rPr>
          <w:color w:val="000000" w:themeColor="text1"/>
          <w:sz w:val="20"/>
          <w:szCs w:val="20"/>
        </w:rPr>
      </w:pPr>
      <w:r w:rsidRPr="002952E5">
        <w:rPr>
          <w:color w:val="000000" w:themeColor="text1"/>
          <w:sz w:val="20"/>
          <w:szCs w:val="20"/>
        </w:rPr>
        <w:t>I</w:t>
      </w:r>
      <w:r w:rsidR="001B0882" w:rsidRPr="002952E5">
        <w:rPr>
          <w:color w:val="000000" w:themeColor="text1"/>
          <w:sz w:val="20"/>
          <w:szCs w:val="20"/>
        </w:rPr>
        <w:t xml:space="preserve">nfectious diseases </w:t>
      </w:r>
      <w:r w:rsidRPr="002952E5">
        <w:rPr>
          <w:color w:val="000000" w:themeColor="text1"/>
          <w:sz w:val="20"/>
          <w:szCs w:val="20"/>
        </w:rPr>
        <w:t>can</w:t>
      </w:r>
      <w:r w:rsidR="001B0882" w:rsidRPr="002952E5">
        <w:rPr>
          <w:color w:val="000000" w:themeColor="text1"/>
          <w:sz w:val="20"/>
          <w:szCs w:val="20"/>
        </w:rPr>
        <w:t xml:space="preserve"> be identified clinically. Most pathoge</w:t>
      </w:r>
      <w:r w:rsidRPr="002952E5">
        <w:rPr>
          <w:color w:val="000000" w:themeColor="text1"/>
          <w:sz w:val="20"/>
          <w:szCs w:val="20"/>
        </w:rPr>
        <w:t>nic microorganisms,</w:t>
      </w:r>
      <w:r w:rsidR="001B0882" w:rsidRPr="002952E5">
        <w:rPr>
          <w:color w:val="000000" w:themeColor="text1"/>
          <w:sz w:val="20"/>
          <w:szCs w:val="20"/>
        </w:rPr>
        <w:t xml:space="preserve"> however, </w:t>
      </w:r>
      <w:r w:rsidRPr="002952E5">
        <w:rPr>
          <w:color w:val="000000" w:themeColor="text1"/>
          <w:sz w:val="20"/>
          <w:szCs w:val="20"/>
        </w:rPr>
        <w:t>ability to</w:t>
      </w:r>
      <w:r w:rsidR="001B0882" w:rsidRPr="002952E5">
        <w:rPr>
          <w:color w:val="000000" w:themeColor="text1"/>
          <w:sz w:val="20"/>
          <w:szCs w:val="20"/>
        </w:rPr>
        <w:t xml:space="preserve"> cause a wide spectrum of clinical syndromes in humans. Conversely, </w:t>
      </w:r>
      <w:r w:rsidR="00954145" w:rsidRPr="002952E5">
        <w:rPr>
          <w:color w:val="000000" w:themeColor="text1"/>
          <w:sz w:val="20"/>
          <w:szCs w:val="20"/>
        </w:rPr>
        <w:t>a</w:t>
      </w:r>
      <w:r w:rsidR="001B0882" w:rsidRPr="002952E5">
        <w:rPr>
          <w:color w:val="000000" w:themeColor="text1"/>
          <w:sz w:val="20"/>
          <w:szCs w:val="20"/>
        </w:rPr>
        <w:t xml:space="preserve"> single clinical syndrome may </w:t>
      </w:r>
      <w:r w:rsidRPr="002952E5">
        <w:rPr>
          <w:color w:val="000000" w:themeColor="text1"/>
          <w:sz w:val="20"/>
          <w:szCs w:val="20"/>
        </w:rPr>
        <w:t>obtain</w:t>
      </w:r>
      <w:r w:rsidR="001B0882" w:rsidRPr="002952E5">
        <w:rPr>
          <w:color w:val="000000" w:themeColor="text1"/>
          <w:sz w:val="20"/>
          <w:szCs w:val="20"/>
        </w:rPr>
        <w:t xml:space="preserve"> from infection with any one of many pathogens. </w:t>
      </w:r>
      <w:r w:rsidR="00D93610" w:rsidRPr="002952E5">
        <w:rPr>
          <w:color w:val="000000" w:themeColor="text1"/>
          <w:sz w:val="20"/>
          <w:szCs w:val="20"/>
        </w:rPr>
        <w:t xml:space="preserve">for </w:t>
      </w:r>
      <w:r w:rsidR="00B95404" w:rsidRPr="002952E5">
        <w:rPr>
          <w:color w:val="000000" w:themeColor="text1"/>
          <w:sz w:val="20"/>
          <w:szCs w:val="20"/>
        </w:rPr>
        <w:t>example,</w:t>
      </w:r>
      <w:r w:rsidR="00D93610" w:rsidRPr="002952E5">
        <w:rPr>
          <w:color w:val="000000" w:themeColor="text1"/>
          <w:sz w:val="20"/>
          <w:szCs w:val="20"/>
        </w:rPr>
        <w:t xml:space="preserve"> </w:t>
      </w:r>
      <w:r w:rsidR="001B0882" w:rsidRPr="002952E5">
        <w:rPr>
          <w:color w:val="000000" w:themeColor="text1"/>
          <w:sz w:val="20"/>
          <w:szCs w:val="20"/>
        </w:rPr>
        <w:t xml:space="preserve">Influenza virus infection </w:t>
      </w:r>
      <w:r w:rsidR="00D93610" w:rsidRPr="002952E5">
        <w:rPr>
          <w:color w:val="000000" w:themeColor="text1"/>
          <w:sz w:val="20"/>
          <w:szCs w:val="20"/>
        </w:rPr>
        <w:t>can</w:t>
      </w:r>
      <w:r w:rsidR="001B0882" w:rsidRPr="002952E5">
        <w:rPr>
          <w:color w:val="000000" w:themeColor="text1"/>
          <w:sz w:val="20"/>
          <w:szCs w:val="20"/>
        </w:rPr>
        <w:t xml:space="preserve"> </w:t>
      </w:r>
      <w:r w:rsidR="00442B15" w:rsidRPr="002952E5">
        <w:rPr>
          <w:color w:val="000000" w:themeColor="text1"/>
          <w:sz w:val="20"/>
          <w:szCs w:val="20"/>
        </w:rPr>
        <w:t>cause</w:t>
      </w:r>
      <w:r w:rsidR="001B0882" w:rsidRPr="002952E5">
        <w:rPr>
          <w:color w:val="000000" w:themeColor="text1"/>
          <w:sz w:val="20"/>
          <w:szCs w:val="20"/>
        </w:rPr>
        <w:t xml:space="preserve"> a wide variety of respiratory syndromes that </w:t>
      </w:r>
      <w:r w:rsidR="00D93610" w:rsidRPr="002952E5">
        <w:rPr>
          <w:color w:val="000000" w:themeColor="text1"/>
          <w:sz w:val="20"/>
          <w:szCs w:val="20"/>
        </w:rPr>
        <w:t xml:space="preserve">may </w:t>
      </w:r>
      <w:r w:rsidR="006A25B0">
        <w:rPr>
          <w:color w:val="000000" w:themeColor="text1"/>
          <w:sz w:val="20"/>
          <w:szCs w:val="20"/>
        </w:rPr>
        <w:t>not</w:t>
      </w:r>
      <w:r w:rsidR="001B0882" w:rsidRPr="002952E5">
        <w:rPr>
          <w:color w:val="000000" w:themeColor="text1"/>
          <w:sz w:val="20"/>
          <w:szCs w:val="20"/>
        </w:rPr>
        <w:t xml:space="preserve"> be distinguished clinically from those caused by streptococci, mycoplasmas, or more than </w:t>
      </w:r>
      <w:r w:rsidR="000B041E" w:rsidRPr="002952E5">
        <w:rPr>
          <w:color w:val="000000" w:themeColor="text1"/>
          <w:sz w:val="20"/>
          <w:szCs w:val="20"/>
        </w:rPr>
        <w:t>8</w:t>
      </w:r>
      <w:r w:rsidR="00096001" w:rsidRPr="002952E5">
        <w:rPr>
          <w:color w:val="000000" w:themeColor="text1"/>
          <w:sz w:val="20"/>
          <w:szCs w:val="20"/>
        </w:rPr>
        <w:t>0</w:t>
      </w:r>
      <w:r w:rsidR="001B0882" w:rsidRPr="002952E5">
        <w:rPr>
          <w:color w:val="000000" w:themeColor="text1"/>
          <w:sz w:val="20"/>
          <w:szCs w:val="20"/>
        </w:rPr>
        <w:t xml:space="preserve"> other viruses.</w:t>
      </w:r>
    </w:p>
    <w:p w14:paraId="59BDA0FE" w14:textId="68DE03C5" w:rsidR="001B0882" w:rsidRPr="002952E5" w:rsidRDefault="00CE319B" w:rsidP="00A95E93">
      <w:pPr>
        <w:pStyle w:val="NormalWeb"/>
        <w:shd w:val="clear" w:color="auto" w:fill="FFFFFF"/>
        <w:spacing w:before="166" w:beforeAutospacing="0" w:after="166" w:afterAutospacing="0"/>
        <w:ind w:firstLine="709"/>
        <w:jc w:val="both"/>
        <w:rPr>
          <w:color w:val="000000" w:themeColor="text1"/>
          <w:sz w:val="20"/>
          <w:szCs w:val="20"/>
        </w:rPr>
      </w:pPr>
      <w:r w:rsidRPr="002952E5">
        <w:rPr>
          <w:color w:val="000000" w:themeColor="text1"/>
          <w:sz w:val="20"/>
          <w:szCs w:val="20"/>
        </w:rPr>
        <w:t>T</w:t>
      </w:r>
      <w:r w:rsidR="001B0882" w:rsidRPr="002952E5">
        <w:rPr>
          <w:color w:val="000000" w:themeColor="text1"/>
          <w:sz w:val="20"/>
          <w:szCs w:val="20"/>
        </w:rPr>
        <w:t xml:space="preserve">herefore, it is necessary to use microbiologic laboratory </w:t>
      </w:r>
      <w:r w:rsidRPr="002952E5">
        <w:rPr>
          <w:color w:val="000000" w:themeColor="text1"/>
          <w:sz w:val="20"/>
          <w:szCs w:val="20"/>
        </w:rPr>
        <w:t xml:space="preserve">diagnostic </w:t>
      </w:r>
      <w:r w:rsidR="001B0882" w:rsidRPr="002952E5">
        <w:rPr>
          <w:color w:val="000000" w:themeColor="text1"/>
          <w:sz w:val="20"/>
          <w:szCs w:val="20"/>
        </w:rPr>
        <w:t xml:space="preserve">methods to identify </w:t>
      </w:r>
      <w:r w:rsidRPr="002952E5">
        <w:rPr>
          <w:color w:val="000000" w:themeColor="text1"/>
          <w:sz w:val="20"/>
          <w:szCs w:val="20"/>
        </w:rPr>
        <w:t>the</w:t>
      </w:r>
      <w:r w:rsidR="001B0882" w:rsidRPr="002952E5">
        <w:rPr>
          <w:color w:val="000000" w:themeColor="text1"/>
          <w:sz w:val="20"/>
          <w:szCs w:val="20"/>
        </w:rPr>
        <w:t xml:space="preserve"> </w:t>
      </w:r>
      <w:r w:rsidRPr="002952E5">
        <w:rPr>
          <w:color w:val="000000" w:themeColor="text1"/>
          <w:sz w:val="20"/>
          <w:szCs w:val="20"/>
        </w:rPr>
        <w:t xml:space="preserve">most </w:t>
      </w:r>
      <w:r w:rsidR="001B0882" w:rsidRPr="002952E5">
        <w:rPr>
          <w:color w:val="000000" w:themeColor="text1"/>
          <w:sz w:val="20"/>
          <w:szCs w:val="20"/>
        </w:rPr>
        <w:t>specific etiologi</w:t>
      </w:r>
      <w:r w:rsidRPr="002952E5">
        <w:rPr>
          <w:color w:val="000000" w:themeColor="text1"/>
          <w:sz w:val="20"/>
          <w:szCs w:val="20"/>
        </w:rPr>
        <w:t>cal</w:t>
      </w:r>
      <w:r w:rsidR="001B0882" w:rsidRPr="002952E5">
        <w:rPr>
          <w:color w:val="000000" w:themeColor="text1"/>
          <w:sz w:val="20"/>
          <w:szCs w:val="20"/>
        </w:rPr>
        <w:t xml:space="preserve"> agent</w:t>
      </w:r>
      <w:r w:rsidRPr="002952E5">
        <w:rPr>
          <w:color w:val="000000" w:themeColor="text1"/>
          <w:sz w:val="20"/>
          <w:szCs w:val="20"/>
        </w:rPr>
        <w:t xml:space="preserve"> of the pathogens</w:t>
      </w:r>
      <w:r w:rsidR="001B0882" w:rsidRPr="002952E5">
        <w:rPr>
          <w:color w:val="000000" w:themeColor="text1"/>
          <w:sz w:val="20"/>
          <w:szCs w:val="20"/>
        </w:rPr>
        <w:t xml:space="preserve">. Diagnostic medical microbiology is the discipline that </w:t>
      </w:r>
      <w:r w:rsidR="003035B3" w:rsidRPr="002952E5">
        <w:rPr>
          <w:color w:val="000000" w:themeColor="text1"/>
          <w:sz w:val="20"/>
          <w:szCs w:val="20"/>
        </w:rPr>
        <w:t xml:space="preserve">helps to </w:t>
      </w:r>
      <w:r w:rsidR="00C73554">
        <w:rPr>
          <w:color w:val="000000" w:themeColor="text1"/>
          <w:sz w:val="20"/>
          <w:szCs w:val="20"/>
        </w:rPr>
        <w:t>identify</w:t>
      </w:r>
      <w:r w:rsidR="001B0882" w:rsidRPr="002952E5">
        <w:rPr>
          <w:color w:val="000000" w:themeColor="text1"/>
          <w:sz w:val="20"/>
          <w:szCs w:val="20"/>
        </w:rPr>
        <w:t xml:space="preserve"> </w:t>
      </w:r>
      <w:r w:rsidR="003035B3" w:rsidRPr="002952E5">
        <w:rPr>
          <w:color w:val="000000" w:themeColor="text1"/>
          <w:sz w:val="20"/>
          <w:szCs w:val="20"/>
        </w:rPr>
        <w:t xml:space="preserve">the </w:t>
      </w:r>
      <w:r w:rsidR="001B0882" w:rsidRPr="002952E5">
        <w:rPr>
          <w:color w:val="000000" w:themeColor="text1"/>
          <w:sz w:val="20"/>
          <w:szCs w:val="20"/>
        </w:rPr>
        <w:t xml:space="preserve">etiologic agents of disease. </w:t>
      </w:r>
      <w:r w:rsidR="00C73554">
        <w:rPr>
          <w:color w:val="000000" w:themeColor="text1"/>
          <w:sz w:val="20"/>
          <w:szCs w:val="20"/>
        </w:rPr>
        <w:t>The role</w:t>
      </w:r>
      <w:r w:rsidR="001B0882" w:rsidRPr="002952E5">
        <w:rPr>
          <w:color w:val="000000" w:themeColor="text1"/>
          <w:sz w:val="20"/>
          <w:szCs w:val="20"/>
        </w:rPr>
        <w:t xml:space="preserve"> of the clinical microbiology laboratory is to </w:t>
      </w:r>
      <w:r w:rsidR="008B6AEA" w:rsidRPr="002952E5">
        <w:rPr>
          <w:color w:val="000000" w:themeColor="text1"/>
          <w:sz w:val="20"/>
          <w:szCs w:val="20"/>
        </w:rPr>
        <w:t>diagnose</w:t>
      </w:r>
      <w:r w:rsidR="001B0882" w:rsidRPr="002952E5">
        <w:rPr>
          <w:color w:val="000000" w:themeColor="text1"/>
          <w:sz w:val="20"/>
          <w:szCs w:val="20"/>
        </w:rPr>
        <w:t xml:space="preserve"> </w:t>
      </w:r>
      <w:r w:rsidR="008B6AEA" w:rsidRPr="002952E5">
        <w:rPr>
          <w:color w:val="000000" w:themeColor="text1"/>
          <w:sz w:val="20"/>
          <w:szCs w:val="20"/>
        </w:rPr>
        <w:t xml:space="preserve">various </w:t>
      </w:r>
      <w:r w:rsidR="001B0882" w:rsidRPr="002952E5">
        <w:rPr>
          <w:color w:val="000000" w:themeColor="text1"/>
          <w:sz w:val="20"/>
          <w:szCs w:val="20"/>
        </w:rPr>
        <w:t xml:space="preserve">specimens from </w:t>
      </w:r>
      <w:r w:rsidR="008B6AEA" w:rsidRPr="002952E5">
        <w:rPr>
          <w:color w:val="000000" w:themeColor="text1"/>
          <w:sz w:val="20"/>
          <w:szCs w:val="20"/>
        </w:rPr>
        <w:t xml:space="preserve">the </w:t>
      </w:r>
      <w:r w:rsidR="001B0882" w:rsidRPr="002952E5">
        <w:rPr>
          <w:color w:val="000000" w:themeColor="text1"/>
          <w:sz w:val="20"/>
          <w:szCs w:val="20"/>
        </w:rPr>
        <w:t xml:space="preserve">patients </w:t>
      </w:r>
      <w:r w:rsidR="008B6AEA" w:rsidRPr="002952E5">
        <w:rPr>
          <w:color w:val="000000" w:themeColor="text1"/>
          <w:sz w:val="20"/>
          <w:szCs w:val="20"/>
        </w:rPr>
        <w:t>to</w:t>
      </w:r>
      <w:r w:rsidR="001B0882" w:rsidRPr="002952E5">
        <w:rPr>
          <w:color w:val="000000" w:themeColor="text1"/>
          <w:sz w:val="20"/>
          <w:szCs w:val="20"/>
        </w:rPr>
        <w:t xml:space="preserve"> </w:t>
      </w:r>
      <w:r w:rsidR="008B6AEA" w:rsidRPr="002952E5">
        <w:rPr>
          <w:color w:val="000000" w:themeColor="text1"/>
          <w:sz w:val="20"/>
          <w:szCs w:val="20"/>
        </w:rPr>
        <w:t>identify the pathogens</w:t>
      </w:r>
      <w:r w:rsidR="001B0882" w:rsidRPr="002952E5">
        <w:rPr>
          <w:color w:val="000000" w:themeColor="text1"/>
          <w:sz w:val="20"/>
          <w:szCs w:val="20"/>
        </w:rPr>
        <w:t xml:space="preserve"> that may be a cause of the illness and to provide information about the in vitro activity of antimicrobial drugs against the identified </w:t>
      </w:r>
      <w:r w:rsidR="00D22F4A" w:rsidRPr="002952E5">
        <w:rPr>
          <w:color w:val="000000" w:themeColor="text1"/>
          <w:sz w:val="20"/>
          <w:szCs w:val="20"/>
        </w:rPr>
        <w:t>pathogens.</w:t>
      </w:r>
    </w:p>
    <w:p w14:paraId="797F17B1" w14:textId="4313380F" w:rsidR="00FF2920" w:rsidRDefault="00DE69BA" w:rsidP="00A95E93">
      <w:pPr>
        <w:pStyle w:val="ListParagraph"/>
        <w:spacing w:line="240" w:lineRule="auto"/>
        <w:ind w:left="0" w:firstLine="709"/>
        <w:jc w:val="both"/>
        <w:rPr>
          <w:rFonts w:ascii="Times New Roman" w:hAnsi="Times New Roman" w:cs="Times New Roman"/>
          <w:color w:val="000000" w:themeColor="text1"/>
          <w:sz w:val="20"/>
          <w:szCs w:val="20"/>
          <w:shd w:val="clear" w:color="auto" w:fill="FFFFFF"/>
        </w:rPr>
      </w:pPr>
      <w:r w:rsidRPr="002952E5">
        <w:rPr>
          <w:rFonts w:ascii="Times New Roman" w:hAnsi="Times New Roman" w:cs="Times New Roman"/>
          <w:color w:val="000000" w:themeColor="text1"/>
          <w:sz w:val="20"/>
          <w:szCs w:val="20"/>
          <w:shd w:val="clear" w:color="auto" w:fill="FFFFFF"/>
        </w:rPr>
        <w:t>The c</w:t>
      </w:r>
      <w:r w:rsidR="009351E0" w:rsidRPr="002952E5">
        <w:rPr>
          <w:rFonts w:ascii="Times New Roman" w:hAnsi="Times New Roman" w:cs="Times New Roman"/>
          <w:color w:val="000000" w:themeColor="text1"/>
          <w:sz w:val="20"/>
          <w:szCs w:val="20"/>
          <w:shd w:val="clear" w:color="auto" w:fill="FFFFFF"/>
        </w:rPr>
        <w:t xml:space="preserve">linical microbiology laboratory </w:t>
      </w:r>
      <w:r w:rsidRPr="002952E5">
        <w:rPr>
          <w:rFonts w:ascii="Times New Roman" w:hAnsi="Times New Roman" w:cs="Times New Roman"/>
          <w:color w:val="000000" w:themeColor="text1"/>
          <w:sz w:val="20"/>
          <w:szCs w:val="20"/>
          <w:shd w:val="clear" w:color="auto" w:fill="FFFFFF"/>
        </w:rPr>
        <w:t xml:space="preserve">staff </w:t>
      </w:r>
      <w:r w:rsidR="009351E0" w:rsidRPr="002952E5">
        <w:rPr>
          <w:rFonts w:ascii="Times New Roman" w:hAnsi="Times New Roman" w:cs="Times New Roman"/>
          <w:color w:val="000000" w:themeColor="text1"/>
          <w:sz w:val="20"/>
          <w:szCs w:val="20"/>
          <w:shd w:val="clear" w:color="auto" w:fill="FFFFFF"/>
        </w:rPr>
        <w:t xml:space="preserve">should be qualified to advise the physician as well as </w:t>
      </w:r>
      <w:r w:rsidR="00C73554">
        <w:rPr>
          <w:rFonts w:ascii="Times New Roman" w:hAnsi="Times New Roman" w:cs="Times New Roman"/>
          <w:color w:val="000000" w:themeColor="text1"/>
          <w:sz w:val="20"/>
          <w:szCs w:val="20"/>
          <w:shd w:val="clear" w:color="auto" w:fill="FFFFFF"/>
        </w:rPr>
        <w:t xml:space="preserve">the </w:t>
      </w:r>
      <w:r w:rsidR="009351E0" w:rsidRPr="002952E5">
        <w:rPr>
          <w:rFonts w:ascii="Times New Roman" w:hAnsi="Times New Roman" w:cs="Times New Roman"/>
          <w:color w:val="000000" w:themeColor="text1"/>
          <w:sz w:val="20"/>
          <w:szCs w:val="20"/>
          <w:shd w:val="clear" w:color="auto" w:fill="FFFFFF"/>
        </w:rPr>
        <w:t>process</w:t>
      </w:r>
      <w:r w:rsidRPr="002952E5">
        <w:rPr>
          <w:rFonts w:ascii="Times New Roman" w:hAnsi="Times New Roman" w:cs="Times New Roman"/>
          <w:color w:val="000000" w:themeColor="text1"/>
          <w:sz w:val="20"/>
          <w:szCs w:val="20"/>
          <w:shd w:val="clear" w:color="auto" w:fill="FFFFFF"/>
        </w:rPr>
        <w:t>ing</w:t>
      </w:r>
      <w:r w:rsidR="009351E0" w:rsidRPr="002952E5">
        <w:rPr>
          <w:rFonts w:ascii="Times New Roman" w:hAnsi="Times New Roman" w:cs="Times New Roman"/>
          <w:color w:val="000000" w:themeColor="text1"/>
          <w:sz w:val="20"/>
          <w:szCs w:val="20"/>
          <w:shd w:val="clear" w:color="auto" w:fill="FFFFFF"/>
        </w:rPr>
        <w:t xml:space="preserve"> </w:t>
      </w:r>
      <w:r w:rsidRPr="002952E5">
        <w:rPr>
          <w:rFonts w:ascii="Times New Roman" w:hAnsi="Times New Roman" w:cs="Times New Roman"/>
          <w:color w:val="000000" w:themeColor="text1"/>
          <w:sz w:val="20"/>
          <w:szCs w:val="20"/>
          <w:shd w:val="clear" w:color="auto" w:fill="FFFFFF"/>
        </w:rPr>
        <w:t xml:space="preserve">of </w:t>
      </w:r>
      <w:r w:rsidR="00012A19" w:rsidRPr="002952E5">
        <w:rPr>
          <w:rFonts w:ascii="Times New Roman" w:hAnsi="Times New Roman" w:cs="Times New Roman"/>
          <w:color w:val="000000" w:themeColor="text1"/>
          <w:sz w:val="20"/>
          <w:szCs w:val="20"/>
          <w:shd w:val="clear" w:color="auto" w:fill="FFFFFF"/>
        </w:rPr>
        <w:t xml:space="preserve">the clinical </w:t>
      </w:r>
      <w:r w:rsidR="009351E0" w:rsidRPr="002952E5">
        <w:rPr>
          <w:rFonts w:ascii="Times New Roman" w:hAnsi="Times New Roman" w:cs="Times New Roman"/>
          <w:color w:val="000000" w:themeColor="text1"/>
          <w:sz w:val="20"/>
          <w:szCs w:val="20"/>
          <w:shd w:val="clear" w:color="auto" w:fill="FFFFFF"/>
        </w:rPr>
        <w:t xml:space="preserve">specimens. The physician should </w:t>
      </w:r>
      <w:r w:rsidR="003870DC" w:rsidRPr="002952E5">
        <w:rPr>
          <w:rFonts w:ascii="Times New Roman" w:hAnsi="Times New Roman" w:cs="Times New Roman"/>
          <w:color w:val="000000" w:themeColor="text1"/>
          <w:sz w:val="20"/>
          <w:szCs w:val="20"/>
          <w:shd w:val="clear" w:color="auto" w:fill="FFFFFF"/>
        </w:rPr>
        <w:t>provide</w:t>
      </w:r>
      <w:r w:rsidR="009351E0" w:rsidRPr="002952E5">
        <w:rPr>
          <w:rFonts w:ascii="Times New Roman" w:hAnsi="Times New Roman" w:cs="Times New Roman"/>
          <w:color w:val="000000" w:themeColor="text1"/>
          <w:sz w:val="20"/>
          <w:szCs w:val="20"/>
          <w:shd w:val="clear" w:color="auto" w:fill="FFFFFF"/>
        </w:rPr>
        <w:t xml:space="preserve"> information about the patient, such as age and sex, tentative diagnosis </w:t>
      </w:r>
      <w:r w:rsidR="003870DC" w:rsidRPr="002952E5">
        <w:rPr>
          <w:rFonts w:ascii="Times New Roman" w:hAnsi="Times New Roman" w:cs="Times New Roman"/>
          <w:color w:val="000000" w:themeColor="text1"/>
          <w:sz w:val="20"/>
          <w:szCs w:val="20"/>
          <w:shd w:val="clear" w:color="auto" w:fill="FFFFFF"/>
        </w:rPr>
        <w:t>and</w:t>
      </w:r>
      <w:r w:rsidR="009351E0" w:rsidRPr="002952E5">
        <w:rPr>
          <w:rFonts w:ascii="Times New Roman" w:hAnsi="Times New Roman" w:cs="Times New Roman"/>
          <w:color w:val="000000" w:themeColor="text1"/>
          <w:sz w:val="20"/>
          <w:szCs w:val="20"/>
          <w:shd w:val="clear" w:color="auto" w:fill="FFFFFF"/>
        </w:rPr>
        <w:t xml:space="preserve"> the clinical syndrome, date of onset</w:t>
      </w:r>
      <w:r w:rsidR="003870DC" w:rsidRPr="002952E5">
        <w:rPr>
          <w:rFonts w:ascii="Times New Roman" w:hAnsi="Times New Roman" w:cs="Times New Roman"/>
          <w:color w:val="000000" w:themeColor="text1"/>
          <w:sz w:val="20"/>
          <w:szCs w:val="20"/>
          <w:shd w:val="clear" w:color="auto" w:fill="FFFFFF"/>
        </w:rPr>
        <w:t xml:space="preserve"> syndrome</w:t>
      </w:r>
      <w:r w:rsidR="009351E0" w:rsidRPr="002952E5">
        <w:rPr>
          <w:rFonts w:ascii="Times New Roman" w:hAnsi="Times New Roman" w:cs="Times New Roman"/>
          <w:color w:val="000000" w:themeColor="text1"/>
          <w:sz w:val="20"/>
          <w:szCs w:val="20"/>
          <w:shd w:val="clear" w:color="auto" w:fill="FFFFFF"/>
        </w:rPr>
        <w:t>, significant exposures</w:t>
      </w:r>
      <w:r w:rsidR="003870DC" w:rsidRPr="002952E5">
        <w:rPr>
          <w:rFonts w:ascii="Times New Roman" w:hAnsi="Times New Roman" w:cs="Times New Roman"/>
          <w:color w:val="000000" w:themeColor="text1"/>
          <w:sz w:val="20"/>
          <w:szCs w:val="20"/>
          <w:shd w:val="clear" w:color="auto" w:fill="FFFFFF"/>
        </w:rPr>
        <w:t xml:space="preserve"> of </w:t>
      </w:r>
      <w:r w:rsidR="00C73554">
        <w:rPr>
          <w:rFonts w:ascii="Times New Roman" w:hAnsi="Times New Roman" w:cs="Times New Roman"/>
          <w:color w:val="000000" w:themeColor="text1"/>
          <w:sz w:val="20"/>
          <w:szCs w:val="20"/>
          <w:shd w:val="clear" w:color="auto" w:fill="FFFFFF"/>
        </w:rPr>
        <w:t xml:space="preserve">the </w:t>
      </w:r>
      <w:r w:rsidR="003870DC" w:rsidRPr="002952E5">
        <w:rPr>
          <w:rFonts w:ascii="Times New Roman" w:hAnsi="Times New Roman" w:cs="Times New Roman"/>
          <w:color w:val="000000" w:themeColor="text1"/>
          <w:sz w:val="20"/>
          <w:szCs w:val="20"/>
          <w:shd w:val="clear" w:color="auto" w:fill="FFFFFF"/>
        </w:rPr>
        <w:t>patient</w:t>
      </w:r>
      <w:r w:rsidR="009351E0" w:rsidRPr="002952E5">
        <w:rPr>
          <w:rFonts w:ascii="Times New Roman" w:hAnsi="Times New Roman" w:cs="Times New Roman"/>
          <w:color w:val="000000" w:themeColor="text1"/>
          <w:sz w:val="20"/>
          <w:szCs w:val="20"/>
          <w:shd w:val="clear" w:color="auto" w:fill="FFFFFF"/>
        </w:rPr>
        <w:t xml:space="preserve">, </w:t>
      </w:r>
      <w:r w:rsidR="00484F05" w:rsidRPr="002952E5">
        <w:rPr>
          <w:rFonts w:ascii="Times New Roman" w:hAnsi="Times New Roman" w:cs="Times New Roman"/>
          <w:color w:val="000000" w:themeColor="text1"/>
          <w:sz w:val="20"/>
          <w:szCs w:val="20"/>
          <w:shd w:val="clear" w:color="auto" w:fill="FFFFFF"/>
        </w:rPr>
        <w:t>empirical</w:t>
      </w:r>
      <w:r w:rsidR="009351E0" w:rsidRPr="002952E5">
        <w:rPr>
          <w:rFonts w:ascii="Times New Roman" w:hAnsi="Times New Roman" w:cs="Times New Roman"/>
          <w:color w:val="000000" w:themeColor="text1"/>
          <w:sz w:val="20"/>
          <w:szCs w:val="20"/>
          <w:shd w:val="clear" w:color="auto" w:fill="FFFFFF"/>
        </w:rPr>
        <w:t xml:space="preserve"> therapy, immunologic</w:t>
      </w:r>
      <w:r w:rsidR="00484F05" w:rsidRPr="002952E5">
        <w:rPr>
          <w:rFonts w:ascii="Times New Roman" w:hAnsi="Times New Roman" w:cs="Times New Roman"/>
          <w:color w:val="000000" w:themeColor="text1"/>
          <w:sz w:val="20"/>
          <w:szCs w:val="20"/>
          <w:shd w:val="clear" w:color="auto" w:fill="FFFFFF"/>
        </w:rPr>
        <w:t>al</w:t>
      </w:r>
      <w:r w:rsidR="009351E0" w:rsidRPr="002952E5">
        <w:rPr>
          <w:rFonts w:ascii="Times New Roman" w:hAnsi="Times New Roman" w:cs="Times New Roman"/>
          <w:color w:val="000000" w:themeColor="text1"/>
          <w:sz w:val="20"/>
          <w:szCs w:val="20"/>
          <w:shd w:val="clear" w:color="auto" w:fill="FFFFFF"/>
        </w:rPr>
        <w:t xml:space="preserve"> status, and underlying conditions. </w:t>
      </w:r>
      <w:r w:rsidR="00D8711F" w:rsidRPr="002952E5">
        <w:rPr>
          <w:rFonts w:ascii="Times New Roman" w:hAnsi="Times New Roman" w:cs="Times New Roman"/>
          <w:color w:val="000000" w:themeColor="text1"/>
          <w:sz w:val="20"/>
          <w:szCs w:val="20"/>
          <w:shd w:val="clear" w:color="auto" w:fill="FFFFFF"/>
        </w:rPr>
        <w:t>The c</w:t>
      </w:r>
      <w:r w:rsidR="00484F05" w:rsidRPr="002952E5">
        <w:rPr>
          <w:rFonts w:ascii="Times New Roman" w:hAnsi="Times New Roman" w:cs="Times New Roman"/>
          <w:color w:val="000000" w:themeColor="text1"/>
          <w:sz w:val="20"/>
          <w:szCs w:val="20"/>
          <w:shd w:val="clear" w:color="auto" w:fill="FFFFFF"/>
        </w:rPr>
        <w:t>linical microbiologist</w:t>
      </w:r>
      <w:r w:rsidR="009351E0" w:rsidRPr="002952E5">
        <w:rPr>
          <w:rFonts w:ascii="Times New Roman" w:hAnsi="Times New Roman" w:cs="Times New Roman"/>
          <w:color w:val="000000" w:themeColor="text1"/>
          <w:sz w:val="20"/>
          <w:szCs w:val="20"/>
          <w:shd w:val="clear" w:color="auto" w:fill="FFFFFF"/>
        </w:rPr>
        <w:t xml:space="preserve"> should provide an interpretation of </w:t>
      </w:r>
      <w:r w:rsidR="00D8711F" w:rsidRPr="002952E5">
        <w:rPr>
          <w:rFonts w:ascii="Times New Roman" w:hAnsi="Times New Roman" w:cs="Times New Roman"/>
          <w:color w:val="000000" w:themeColor="text1"/>
          <w:sz w:val="20"/>
          <w:szCs w:val="20"/>
          <w:shd w:val="clear" w:color="auto" w:fill="FFFFFF"/>
        </w:rPr>
        <w:t xml:space="preserve">the </w:t>
      </w:r>
      <w:r w:rsidR="009351E0" w:rsidRPr="002952E5">
        <w:rPr>
          <w:rFonts w:ascii="Times New Roman" w:hAnsi="Times New Roman" w:cs="Times New Roman"/>
          <w:color w:val="000000" w:themeColor="text1"/>
          <w:sz w:val="20"/>
          <w:szCs w:val="20"/>
          <w:shd w:val="clear" w:color="auto" w:fill="FFFFFF"/>
        </w:rPr>
        <w:t>laboratory results.</w:t>
      </w:r>
    </w:p>
    <w:p w14:paraId="321619FE" w14:textId="77777777" w:rsidR="00A95E93" w:rsidRPr="002952E5" w:rsidRDefault="00A95E93" w:rsidP="00A95E93">
      <w:pPr>
        <w:pStyle w:val="ListParagraph"/>
        <w:spacing w:line="240" w:lineRule="auto"/>
        <w:ind w:left="0" w:firstLine="709"/>
        <w:jc w:val="both"/>
        <w:rPr>
          <w:rFonts w:ascii="Times New Roman" w:hAnsi="Times New Roman" w:cs="Times New Roman"/>
          <w:color w:val="000000" w:themeColor="text1"/>
          <w:sz w:val="20"/>
          <w:szCs w:val="20"/>
          <w:shd w:val="clear" w:color="auto" w:fill="FFFFFF"/>
        </w:rPr>
      </w:pPr>
    </w:p>
    <w:p w14:paraId="1FD37D8B" w14:textId="77777777" w:rsidR="00FF2920" w:rsidRPr="002952E5" w:rsidRDefault="00FF2920" w:rsidP="00A95E93">
      <w:pPr>
        <w:pStyle w:val="ListParagraph"/>
        <w:spacing w:line="240" w:lineRule="auto"/>
        <w:ind w:left="0" w:firstLine="709"/>
        <w:jc w:val="both"/>
        <w:rPr>
          <w:rFonts w:ascii="Times New Roman" w:hAnsi="Times New Roman" w:cs="Times New Roman"/>
          <w:color w:val="000000" w:themeColor="text1"/>
          <w:sz w:val="20"/>
          <w:szCs w:val="20"/>
          <w:shd w:val="clear" w:color="auto" w:fill="FFFFFF"/>
        </w:rPr>
      </w:pPr>
    </w:p>
    <w:p w14:paraId="21E44952" w14:textId="7E223EDC" w:rsidR="00FF2920" w:rsidRPr="00A95E93" w:rsidRDefault="00113E1D" w:rsidP="00113E1D">
      <w:pPr>
        <w:pStyle w:val="ListParagraph"/>
        <w:numPr>
          <w:ilvl w:val="0"/>
          <w:numId w:val="1"/>
        </w:numPr>
        <w:spacing w:line="240" w:lineRule="auto"/>
        <w:ind w:left="709"/>
        <w:jc w:val="center"/>
        <w:rPr>
          <w:rFonts w:ascii="Times New Roman" w:hAnsi="Times New Roman" w:cs="Times New Roman"/>
          <w:color w:val="000000" w:themeColor="text1"/>
          <w:sz w:val="20"/>
          <w:szCs w:val="20"/>
          <w:lang w:val="en-US"/>
        </w:rPr>
      </w:pPr>
      <w:r w:rsidRPr="002952E5">
        <w:rPr>
          <w:rFonts w:ascii="Times New Roman" w:hAnsi="Times New Roman" w:cs="Times New Roman"/>
          <w:b/>
          <w:bCs/>
          <w:color w:val="000000" w:themeColor="text1"/>
          <w:sz w:val="20"/>
          <w:szCs w:val="20"/>
          <w:lang w:val="en-US"/>
        </w:rPr>
        <w:t>CLINICAL MANIFESTATIONS</w:t>
      </w:r>
    </w:p>
    <w:p w14:paraId="0A25E75B" w14:textId="77777777" w:rsidR="00A95E93" w:rsidRPr="002952E5" w:rsidRDefault="00A95E93" w:rsidP="00A95E93">
      <w:pPr>
        <w:pStyle w:val="ListParagraph"/>
        <w:spacing w:line="240" w:lineRule="auto"/>
        <w:ind w:left="709"/>
        <w:jc w:val="both"/>
        <w:rPr>
          <w:rFonts w:ascii="Times New Roman" w:hAnsi="Times New Roman" w:cs="Times New Roman"/>
          <w:color w:val="000000" w:themeColor="text1"/>
          <w:sz w:val="20"/>
          <w:szCs w:val="20"/>
          <w:lang w:val="en-US"/>
        </w:rPr>
      </w:pPr>
    </w:p>
    <w:p w14:paraId="38361599" w14:textId="1F7E9088" w:rsidR="008D0CD4" w:rsidRDefault="00FF2920" w:rsidP="00A95E93">
      <w:pPr>
        <w:spacing w:line="240" w:lineRule="auto"/>
        <w:ind w:left="-11" w:firstLine="720"/>
        <w:jc w:val="both"/>
        <w:rPr>
          <w:rFonts w:ascii="Times New Roman" w:hAnsi="Times New Roman" w:cs="Times New Roman"/>
          <w:color w:val="000000" w:themeColor="text1"/>
          <w:sz w:val="20"/>
          <w:szCs w:val="20"/>
          <w:shd w:val="clear" w:color="auto" w:fill="FFFFFF"/>
        </w:rPr>
      </w:pPr>
      <w:r w:rsidRPr="002952E5">
        <w:rPr>
          <w:rFonts w:ascii="Times New Roman" w:hAnsi="Times New Roman" w:cs="Times New Roman"/>
          <w:color w:val="000000" w:themeColor="text1"/>
          <w:sz w:val="20"/>
          <w:szCs w:val="20"/>
          <w:shd w:val="clear" w:color="auto" w:fill="FFFFFF"/>
        </w:rPr>
        <w:t xml:space="preserve">The clinical manifestations of infection may vary from one to another, </w:t>
      </w:r>
      <w:r w:rsidR="00C73554">
        <w:rPr>
          <w:rFonts w:ascii="Times New Roman" w:hAnsi="Times New Roman" w:cs="Times New Roman"/>
          <w:color w:val="000000" w:themeColor="text1"/>
          <w:sz w:val="20"/>
          <w:szCs w:val="20"/>
          <w:shd w:val="clear" w:color="auto" w:fill="FFFFFF"/>
        </w:rPr>
        <w:t>depending</w:t>
      </w:r>
      <w:r w:rsidRPr="002952E5">
        <w:rPr>
          <w:rFonts w:ascii="Times New Roman" w:hAnsi="Times New Roman" w:cs="Times New Roman"/>
          <w:color w:val="000000" w:themeColor="text1"/>
          <w:sz w:val="20"/>
          <w:szCs w:val="20"/>
          <w:shd w:val="clear" w:color="auto" w:fill="FFFFFF"/>
        </w:rPr>
        <w:t xml:space="preserve"> on various factors, such as the site of entry or acquisition of the </w:t>
      </w:r>
      <w:r w:rsidR="003E202E" w:rsidRPr="002952E5">
        <w:rPr>
          <w:rFonts w:ascii="Times New Roman" w:hAnsi="Times New Roman" w:cs="Times New Roman"/>
          <w:color w:val="000000" w:themeColor="text1"/>
          <w:sz w:val="20"/>
          <w:szCs w:val="20"/>
          <w:shd w:val="clear" w:color="auto" w:fill="FFFFFF"/>
        </w:rPr>
        <w:t>pathogens</w:t>
      </w:r>
      <w:r w:rsidRPr="002952E5">
        <w:rPr>
          <w:rFonts w:ascii="Times New Roman" w:hAnsi="Times New Roman" w:cs="Times New Roman"/>
          <w:color w:val="000000" w:themeColor="text1"/>
          <w:sz w:val="20"/>
          <w:szCs w:val="20"/>
          <w:shd w:val="clear" w:color="auto" w:fill="FFFFFF"/>
        </w:rPr>
        <w:t>; organ or system</w:t>
      </w:r>
      <w:r w:rsidR="003E202E" w:rsidRPr="002952E5">
        <w:rPr>
          <w:rFonts w:ascii="Times New Roman" w:hAnsi="Times New Roman" w:cs="Times New Roman"/>
          <w:color w:val="000000" w:themeColor="text1"/>
          <w:sz w:val="20"/>
          <w:szCs w:val="20"/>
          <w:shd w:val="clear" w:color="auto" w:fill="FFFFFF"/>
        </w:rPr>
        <w:t>ic</w:t>
      </w:r>
      <w:r w:rsidRPr="002952E5">
        <w:rPr>
          <w:rFonts w:ascii="Times New Roman" w:hAnsi="Times New Roman" w:cs="Times New Roman"/>
          <w:color w:val="000000" w:themeColor="text1"/>
          <w:sz w:val="20"/>
          <w:szCs w:val="20"/>
          <w:shd w:val="clear" w:color="auto" w:fill="FFFFFF"/>
        </w:rPr>
        <w:t xml:space="preserve"> tropisms of the </w:t>
      </w:r>
      <w:r w:rsidR="003E202E" w:rsidRPr="002952E5">
        <w:rPr>
          <w:rFonts w:ascii="Times New Roman" w:hAnsi="Times New Roman" w:cs="Times New Roman"/>
          <w:color w:val="000000" w:themeColor="text1"/>
          <w:sz w:val="20"/>
          <w:szCs w:val="20"/>
          <w:shd w:val="clear" w:color="auto" w:fill="FFFFFF"/>
        </w:rPr>
        <w:t>pathogens</w:t>
      </w:r>
      <w:r w:rsidRPr="002952E5">
        <w:rPr>
          <w:rFonts w:ascii="Times New Roman" w:hAnsi="Times New Roman" w:cs="Times New Roman"/>
          <w:color w:val="000000" w:themeColor="text1"/>
          <w:sz w:val="20"/>
          <w:szCs w:val="20"/>
          <w:shd w:val="clear" w:color="auto" w:fill="FFFFFF"/>
        </w:rPr>
        <w:t>; microbial virulence</w:t>
      </w:r>
      <w:r w:rsidR="00DE4A48" w:rsidRPr="002952E5">
        <w:rPr>
          <w:rFonts w:ascii="Times New Roman" w:hAnsi="Times New Roman" w:cs="Times New Roman"/>
          <w:color w:val="000000" w:themeColor="text1"/>
          <w:sz w:val="20"/>
          <w:szCs w:val="20"/>
          <w:shd w:val="clear" w:color="auto" w:fill="FFFFFF"/>
        </w:rPr>
        <w:t xml:space="preserve"> factors</w:t>
      </w:r>
      <w:r w:rsidRPr="002952E5">
        <w:rPr>
          <w:rFonts w:ascii="Times New Roman" w:hAnsi="Times New Roman" w:cs="Times New Roman"/>
          <w:color w:val="000000" w:themeColor="text1"/>
          <w:sz w:val="20"/>
          <w:szCs w:val="20"/>
          <w:shd w:val="clear" w:color="auto" w:fill="FFFFFF"/>
        </w:rPr>
        <w:t>; age</w:t>
      </w:r>
      <w:r w:rsidR="00DE4A48" w:rsidRPr="002952E5">
        <w:rPr>
          <w:rFonts w:ascii="Times New Roman" w:hAnsi="Times New Roman" w:cs="Times New Roman"/>
          <w:color w:val="000000" w:themeColor="text1"/>
          <w:sz w:val="20"/>
          <w:szCs w:val="20"/>
          <w:shd w:val="clear" w:color="auto" w:fill="FFFFFF"/>
        </w:rPr>
        <w:t xml:space="preserve"> and</w:t>
      </w:r>
      <w:r w:rsidRPr="002952E5">
        <w:rPr>
          <w:rFonts w:ascii="Times New Roman" w:hAnsi="Times New Roman" w:cs="Times New Roman"/>
          <w:color w:val="000000" w:themeColor="text1"/>
          <w:sz w:val="20"/>
          <w:szCs w:val="20"/>
          <w:shd w:val="clear" w:color="auto" w:fill="FFFFFF"/>
        </w:rPr>
        <w:t xml:space="preserve"> sex</w:t>
      </w:r>
      <w:r w:rsidR="00DE4A48" w:rsidRPr="002952E5">
        <w:rPr>
          <w:rFonts w:ascii="Times New Roman" w:hAnsi="Times New Roman" w:cs="Times New Roman"/>
          <w:color w:val="000000" w:themeColor="text1"/>
          <w:sz w:val="20"/>
          <w:szCs w:val="20"/>
          <w:shd w:val="clear" w:color="auto" w:fill="FFFFFF"/>
        </w:rPr>
        <w:t xml:space="preserve"> of the patient</w:t>
      </w:r>
      <w:r w:rsidRPr="002952E5">
        <w:rPr>
          <w:rFonts w:ascii="Times New Roman" w:hAnsi="Times New Roman" w:cs="Times New Roman"/>
          <w:color w:val="000000" w:themeColor="text1"/>
          <w:sz w:val="20"/>
          <w:szCs w:val="20"/>
          <w:shd w:val="clear" w:color="auto" w:fill="FFFFFF"/>
        </w:rPr>
        <w:t xml:space="preserve">, and immunologic status of the patient; diseases conditions; and the presence of implanted prosthetic devices. The signs and symptoms of </w:t>
      </w:r>
      <w:r w:rsidR="00BC4ED3" w:rsidRPr="002952E5">
        <w:rPr>
          <w:rFonts w:ascii="Times New Roman" w:hAnsi="Times New Roman" w:cs="Times New Roman"/>
          <w:color w:val="000000" w:themeColor="text1"/>
          <w:sz w:val="20"/>
          <w:szCs w:val="20"/>
          <w:shd w:val="clear" w:color="auto" w:fill="FFFFFF"/>
        </w:rPr>
        <w:t xml:space="preserve">an </w:t>
      </w:r>
      <w:r w:rsidRPr="002952E5">
        <w:rPr>
          <w:rFonts w:ascii="Times New Roman" w:hAnsi="Times New Roman" w:cs="Times New Roman"/>
          <w:color w:val="000000" w:themeColor="text1"/>
          <w:sz w:val="20"/>
          <w:szCs w:val="20"/>
          <w:shd w:val="clear" w:color="auto" w:fill="FFFFFF"/>
        </w:rPr>
        <w:t>infection may be localized or systemic, with fever, chills, hypotension</w:t>
      </w:r>
      <w:r w:rsidR="00C73554">
        <w:rPr>
          <w:rFonts w:ascii="Times New Roman" w:hAnsi="Times New Roman" w:cs="Times New Roman"/>
          <w:color w:val="000000" w:themeColor="text1"/>
          <w:sz w:val="20"/>
          <w:szCs w:val="20"/>
          <w:shd w:val="clear" w:color="auto" w:fill="FFFFFF"/>
        </w:rPr>
        <w:t>,</w:t>
      </w:r>
      <w:r w:rsidR="00BC4ED3" w:rsidRPr="002952E5">
        <w:rPr>
          <w:rFonts w:ascii="Times New Roman" w:hAnsi="Times New Roman" w:cs="Times New Roman"/>
          <w:color w:val="000000" w:themeColor="text1"/>
          <w:sz w:val="20"/>
          <w:szCs w:val="20"/>
          <w:shd w:val="clear" w:color="auto" w:fill="FFFFFF"/>
        </w:rPr>
        <w:t xml:space="preserve"> or hypertension</w:t>
      </w:r>
      <w:r w:rsidRPr="002952E5">
        <w:rPr>
          <w:rFonts w:ascii="Times New Roman" w:hAnsi="Times New Roman" w:cs="Times New Roman"/>
          <w:color w:val="000000" w:themeColor="text1"/>
          <w:sz w:val="20"/>
          <w:szCs w:val="20"/>
          <w:shd w:val="clear" w:color="auto" w:fill="FFFFFF"/>
        </w:rPr>
        <w:t>.</w:t>
      </w:r>
    </w:p>
    <w:p w14:paraId="06BB528B" w14:textId="77777777" w:rsidR="00A95E93" w:rsidRPr="002952E5" w:rsidRDefault="00A95E93" w:rsidP="00A95E93">
      <w:pPr>
        <w:spacing w:line="240" w:lineRule="auto"/>
        <w:ind w:left="-11" w:firstLine="720"/>
        <w:jc w:val="both"/>
        <w:rPr>
          <w:rFonts w:ascii="Times New Roman" w:hAnsi="Times New Roman" w:cs="Times New Roman"/>
          <w:color w:val="000000" w:themeColor="text1"/>
          <w:sz w:val="20"/>
          <w:szCs w:val="20"/>
          <w:shd w:val="clear" w:color="auto" w:fill="FFFFFF"/>
        </w:rPr>
      </w:pPr>
    </w:p>
    <w:p w14:paraId="5E277CA2" w14:textId="4FA65C07" w:rsidR="008D0CD4" w:rsidRDefault="00113E1D" w:rsidP="00113E1D">
      <w:pPr>
        <w:pStyle w:val="ListParagraph"/>
        <w:numPr>
          <w:ilvl w:val="0"/>
          <w:numId w:val="1"/>
        </w:numPr>
        <w:spacing w:line="240" w:lineRule="auto"/>
        <w:ind w:left="709"/>
        <w:jc w:val="center"/>
        <w:rPr>
          <w:rFonts w:ascii="Times New Roman" w:hAnsi="Times New Roman" w:cs="Times New Roman"/>
          <w:b/>
          <w:bCs/>
          <w:color w:val="000000" w:themeColor="text1"/>
          <w:sz w:val="20"/>
          <w:szCs w:val="20"/>
          <w:lang w:val="en-US"/>
        </w:rPr>
      </w:pPr>
      <w:r w:rsidRPr="002952E5">
        <w:rPr>
          <w:rFonts w:ascii="Times New Roman" w:hAnsi="Times New Roman" w:cs="Times New Roman"/>
          <w:b/>
          <w:bCs/>
          <w:color w:val="000000" w:themeColor="text1"/>
          <w:sz w:val="20"/>
          <w:szCs w:val="20"/>
          <w:lang w:val="en-US"/>
        </w:rPr>
        <w:t>MICROBIAL CAUSES OF INFECTION</w:t>
      </w:r>
    </w:p>
    <w:p w14:paraId="27654639" w14:textId="77777777" w:rsidR="00A95E93" w:rsidRPr="002952E5" w:rsidRDefault="00A95E93" w:rsidP="00A95E93">
      <w:pPr>
        <w:pStyle w:val="ListParagraph"/>
        <w:spacing w:line="240" w:lineRule="auto"/>
        <w:ind w:left="709"/>
        <w:jc w:val="both"/>
        <w:rPr>
          <w:rFonts w:ascii="Times New Roman" w:hAnsi="Times New Roman" w:cs="Times New Roman"/>
          <w:b/>
          <w:bCs/>
          <w:color w:val="000000" w:themeColor="text1"/>
          <w:sz w:val="20"/>
          <w:szCs w:val="20"/>
          <w:lang w:val="en-US"/>
        </w:rPr>
      </w:pPr>
    </w:p>
    <w:p w14:paraId="2FADE8D7" w14:textId="71E97EC4" w:rsidR="00EA02B7" w:rsidRDefault="008D0CD4" w:rsidP="00A95E93">
      <w:pPr>
        <w:spacing w:line="240" w:lineRule="auto"/>
        <w:ind w:left="-11" w:firstLine="720"/>
        <w:jc w:val="both"/>
        <w:rPr>
          <w:rFonts w:ascii="Times New Roman" w:hAnsi="Times New Roman" w:cs="Times New Roman"/>
          <w:color w:val="000000" w:themeColor="text1"/>
          <w:sz w:val="20"/>
          <w:szCs w:val="20"/>
          <w:shd w:val="clear" w:color="auto" w:fill="FFFFFF"/>
        </w:rPr>
      </w:pPr>
      <w:r w:rsidRPr="002952E5">
        <w:rPr>
          <w:rFonts w:ascii="Times New Roman" w:hAnsi="Times New Roman" w:cs="Times New Roman"/>
          <w:color w:val="000000" w:themeColor="text1"/>
          <w:sz w:val="20"/>
          <w:szCs w:val="20"/>
          <w:shd w:val="clear" w:color="auto" w:fill="FFFFFF"/>
        </w:rPr>
        <w:t xml:space="preserve">Infections </w:t>
      </w:r>
      <w:r w:rsidR="00C73554">
        <w:rPr>
          <w:rFonts w:ascii="Times New Roman" w:hAnsi="Times New Roman" w:cs="Times New Roman"/>
          <w:color w:val="000000" w:themeColor="text1"/>
          <w:sz w:val="20"/>
          <w:szCs w:val="20"/>
          <w:shd w:val="clear" w:color="auto" w:fill="FFFFFF"/>
        </w:rPr>
        <w:t xml:space="preserve">are </w:t>
      </w:r>
      <w:r w:rsidRPr="002952E5">
        <w:rPr>
          <w:rFonts w:ascii="Times New Roman" w:hAnsi="Times New Roman" w:cs="Times New Roman"/>
          <w:color w:val="000000" w:themeColor="text1"/>
          <w:sz w:val="20"/>
          <w:szCs w:val="20"/>
          <w:shd w:val="clear" w:color="auto" w:fill="FFFFFF"/>
        </w:rPr>
        <w:t>caused by bacteria, viruses, fungi, or parasites. Infection may be endogenous or exogenous</w:t>
      </w:r>
      <w:r w:rsidR="00096001" w:rsidRPr="002952E5">
        <w:rPr>
          <w:rFonts w:ascii="Times New Roman" w:hAnsi="Times New Roman" w:cs="Times New Roman"/>
          <w:color w:val="000000" w:themeColor="text1"/>
          <w:sz w:val="20"/>
          <w:szCs w:val="20"/>
          <w:shd w:val="clear" w:color="auto" w:fill="FFFFFF"/>
        </w:rPr>
        <w:t xml:space="preserve"> in nature</w:t>
      </w:r>
      <w:r w:rsidRPr="002952E5">
        <w:rPr>
          <w:rFonts w:ascii="Times New Roman" w:hAnsi="Times New Roman" w:cs="Times New Roman"/>
          <w:color w:val="000000" w:themeColor="text1"/>
          <w:sz w:val="20"/>
          <w:szCs w:val="20"/>
          <w:shd w:val="clear" w:color="auto" w:fill="FFFFFF"/>
        </w:rPr>
        <w:t xml:space="preserve">. Endogenous infections </w:t>
      </w:r>
      <w:r w:rsidR="00DD0736">
        <w:rPr>
          <w:rFonts w:ascii="Times New Roman" w:hAnsi="Times New Roman" w:cs="Times New Roman"/>
          <w:color w:val="000000" w:themeColor="text1"/>
          <w:sz w:val="20"/>
          <w:szCs w:val="20"/>
          <w:shd w:val="clear" w:color="auto" w:fill="FFFFFF"/>
        </w:rPr>
        <w:t>may</w:t>
      </w:r>
      <w:r w:rsidRPr="002952E5">
        <w:rPr>
          <w:rFonts w:ascii="Times New Roman" w:hAnsi="Times New Roman" w:cs="Times New Roman"/>
          <w:color w:val="000000" w:themeColor="text1"/>
          <w:sz w:val="20"/>
          <w:szCs w:val="20"/>
          <w:shd w:val="clear" w:color="auto" w:fill="FFFFFF"/>
        </w:rPr>
        <w:t xml:space="preserve"> occur when the microorganism is </w:t>
      </w:r>
      <w:r w:rsidR="00DD0736">
        <w:rPr>
          <w:rFonts w:ascii="Times New Roman" w:hAnsi="Times New Roman" w:cs="Times New Roman"/>
          <w:color w:val="000000" w:themeColor="text1"/>
          <w:sz w:val="20"/>
          <w:szCs w:val="20"/>
          <w:shd w:val="clear" w:color="auto" w:fill="FFFFFF"/>
        </w:rPr>
        <w:t>collected</w:t>
      </w:r>
      <w:r w:rsidRPr="002952E5">
        <w:rPr>
          <w:rFonts w:ascii="Times New Roman" w:hAnsi="Times New Roman" w:cs="Times New Roman"/>
          <w:color w:val="000000" w:themeColor="text1"/>
          <w:sz w:val="20"/>
          <w:szCs w:val="20"/>
          <w:shd w:val="clear" w:color="auto" w:fill="FFFFFF"/>
        </w:rPr>
        <w:t xml:space="preserve"> from the upper to the lower respiratory tract or it penetrates the skin or mucosal barrier </w:t>
      </w:r>
      <w:r w:rsidR="00BE2D5F" w:rsidRPr="002952E5">
        <w:rPr>
          <w:rFonts w:ascii="Times New Roman" w:hAnsi="Times New Roman" w:cs="Times New Roman"/>
          <w:color w:val="000000" w:themeColor="text1"/>
          <w:sz w:val="20"/>
          <w:szCs w:val="20"/>
          <w:shd w:val="clear" w:color="auto" w:fill="FFFFFF"/>
        </w:rPr>
        <w:t>in the case of</w:t>
      </w:r>
      <w:r w:rsidRPr="002952E5">
        <w:rPr>
          <w:rFonts w:ascii="Times New Roman" w:hAnsi="Times New Roman" w:cs="Times New Roman"/>
          <w:color w:val="000000" w:themeColor="text1"/>
          <w:sz w:val="20"/>
          <w:szCs w:val="20"/>
          <w:shd w:val="clear" w:color="auto" w:fill="FFFFFF"/>
        </w:rPr>
        <w:t xml:space="preserve"> surgery. In exogenous infections, the microorganism</w:t>
      </w:r>
      <w:r w:rsidR="00850BB0" w:rsidRPr="002952E5">
        <w:rPr>
          <w:rFonts w:ascii="Times New Roman" w:hAnsi="Times New Roman" w:cs="Times New Roman"/>
          <w:color w:val="000000" w:themeColor="text1"/>
          <w:sz w:val="20"/>
          <w:szCs w:val="20"/>
          <w:shd w:val="clear" w:color="auto" w:fill="FFFFFF"/>
        </w:rPr>
        <w:t>s</w:t>
      </w:r>
      <w:r w:rsidRPr="002952E5">
        <w:rPr>
          <w:rFonts w:ascii="Times New Roman" w:hAnsi="Times New Roman" w:cs="Times New Roman"/>
          <w:color w:val="000000" w:themeColor="text1"/>
          <w:sz w:val="20"/>
          <w:szCs w:val="20"/>
          <w:shd w:val="clear" w:color="auto" w:fill="FFFFFF"/>
        </w:rPr>
        <w:t xml:space="preserve"> </w:t>
      </w:r>
      <w:r w:rsidR="00850BB0" w:rsidRPr="002952E5">
        <w:rPr>
          <w:rFonts w:ascii="Times New Roman" w:hAnsi="Times New Roman" w:cs="Times New Roman"/>
          <w:color w:val="000000" w:themeColor="text1"/>
          <w:sz w:val="20"/>
          <w:szCs w:val="20"/>
          <w:shd w:val="clear" w:color="auto" w:fill="FFFFFF"/>
        </w:rPr>
        <w:t>are</w:t>
      </w:r>
      <w:r w:rsidRPr="002952E5">
        <w:rPr>
          <w:rFonts w:ascii="Times New Roman" w:hAnsi="Times New Roman" w:cs="Times New Roman"/>
          <w:color w:val="000000" w:themeColor="text1"/>
          <w:sz w:val="20"/>
          <w:szCs w:val="20"/>
          <w:shd w:val="clear" w:color="auto" w:fill="FFFFFF"/>
        </w:rPr>
        <w:t xml:space="preserve"> acquired from the environment (e.g., from </w:t>
      </w:r>
      <w:r w:rsidR="00850BB0" w:rsidRPr="002952E5">
        <w:rPr>
          <w:rFonts w:ascii="Times New Roman" w:hAnsi="Times New Roman" w:cs="Times New Roman"/>
          <w:color w:val="000000" w:themeColor="text1"/>
          <w:sz w:val="20"/>
          <w:szCs w:val="20"/>
          <w:shd w:val="clear" w:color="auto" w:fill="FFFFFF"/>
        </w:rPr>
        <w:t>soil, food</w:t>
      </w:r>
      <w:r w:rsidR="00C73554">
        <w:rPr>
          <w:rFonts w:ascii="Times New Roman" w:hAnsi="Times New Roman" w:cs="Times New Roman"/>
          <w:color w:val="000000" w:themeColor="text1"/>
          <w:sz w:val="20"/>
          <w:szCs w:val="20"/>
          <w:shd w:val="clear" w:color="auto" w:fill="FFFFFF"/>
        </w:rPr>
        <w:t>,</w:t>
      </w:r>
      <w:r w:rsidRPr="002952E5">
        <w:rPr>
          <w:rFonts w:ascii="Times New Roman" w:hAnsi="Times New Roman" w:cs="Times New Roman"/>
          <w:color w:val="000000" w:themeColor="text1"/>
          <w:sz w:val="20"/>
          <w:szCs w:val="20"/>
          <w:shd w:val="clear" w:color="auto" w:fill="FFFFFF"/>
        </w:rPr>
        <w:t xml:space="preserve"> or water) or from </w:t>
      </w:r>
      <w:r w:rsidR="00850BB0" w:rsidRPr="002952E5">
        <w:rPr>
          <w:rFonts w:ascii="Times New Roman" w:hAnsi="Times New Roman" w:cs="Times New Roman"/>
          <w:color w:val="000000" w:themeColor="text1"/>
          <w:sz w:val="20"/>
          <w:szCs w:val="20"/>
          <w:shd w:val="clear" w:color="auto" w:fill="FFFFFF"/>
        </w:rPr>
        <w:t xml:space="preserve">one person to </w:t>
      </w:r>
      <w:r w:rsidRPr="002952E5">
        <w:rPr>
          <w:rFonts w:ascii="Times New Roman" w:hAnsi="Times New Roman" w:cs="Times New Roman"/>
          <w:color w:val="000000" w:themeColor="text1"/>
          <w:sz w:val="20"/>
          <w:szCs w:val="20"/>
          <w:shd w:val="clear" w:color="auto" w:fill="FFFFFF"/>
        </w:rPr>
        <w:t xml:space="preserve">another person or an animal. </w:t>
      </w:r>
      <w:r w:rsidR="00406A2B" w:rsidRPr="002952E5">
        <w:rPr>
          <w:rFonts w:ascii="Times New Roman" w:hAnsi="Times New Roman" w:cs="Times New Roman"/>
          <w:color w:val="000000" w:themeColor="text1"/>
          <w:sz w:val="20"/>
          <w:szCs w:val="20"/>
          <w:shd w:val="clear" w:color="auto" w:fill="FFFFFF"/>
        </w:rPr>
        <w:t>And t</w:t>
      </w:r>
      <w:r w:rsidRPr="002952E5">
        <w:rPr>
          <w:rFonts w:ascii="Times New Roman" w:hAnsi="Times New Roman" w:cs="Times New Roman"/>
          <w:color w:val="000000" w:themeColor="text1"/>
          <w:sz w:val="20"/>
          <w:szCs w:val="20"/>
          <w:shd w:val="clear" w:color="auto" w:fill="FFFFFF"/>
        </w:rPr>
        <w:t xml:space="preserve">he differential diagnosis </w:t>
      </w:r>
      <w:r w:rsidR="00406A2B" w:rsidRPr="002952E5">
        <w:rPr>
          <w:rFonts w:ascii="Times New Roman" w:hAnsi="Times New Roman" w:cs="Times New Roman"/>
          <w:color w:val="000000" w:themeColor="text1"/>
          <w:sz w:val="20"/>
          <w:szCs w:val="20"/>
          <w:shd w:val="clear" w:color="auto" w:fill="FFFFFF"/>
        </w:rPr>
        <w:t>is</w:t>
      </w:r>
      <w:r w:rsidRPr="002952E5">
        <w:rPr>
          <w:rFonts w:ascii="Times New Roman" w:hAnsi="Times New Roman" w:cs="Times New Roman"/>
          <w:color w:val="000000" w:themeColor="text1"/>
          <w:sz w:val="20"/>
          <w:szCs w:val="20"/>
          <w:shd w:val="clear" w:color="auto" w:fill="FFFFFF"/>
        </w:rPr>
        <w:t xml:space="preserve"> based on history, physical examination, radiographic</w:t>
      </w:r>
      <w:r w:rsidR="00406A2B" w:rsidRPr="002952E5">
        <w:rPr>
          <w:rFonts w:ascii="Times New Roman" w:hAnsi="Times New Roman" w:cs="Times New Roman"/>
          <w:color w:val="000000" w:themeColor="text1"/>
          <w:sz w:val="20"/>
          <w:szCs w:val="20"/>
          <w:shd w:val="clear" w:color="auto" w:fill="FFFFFF"/>
        </w:rPr>
        <w:t>,</w:t>
      </w:r>
      <w:r w:rsidRPr="002952E5">
        <w:rPr>
          <w:rFonts w:ascii="Times New Roman" w:hAnsi="Times New Roman" w:cs="Times New Roman"/>
          <w:color w:val="000000" w:themeColor="text1"/>
          <w:sz w:val="20"/>
          <w:szCs w:val="20"/>
          <w:shd w:val="clear" w:color="auto" w:fill="FFFFFF"/>
        </w:rPr>
        <w:t xml:space="preserve"> laboratory studies</w:t>
      </w:r>
      <w:r w:rsidR="00C73554">
        <w:rPr>
          <w:rFonts w:ascii="Times New Roman" w:hAnsi="Times New Roman" w:cs="Times New Roman"/>
          <w:color w:val="000000" w:themeColor="text1"/>
          <w:sz w:val="20"/>
          <w:szCs w:val="20"/>
          <w:shd w:val="clear" w:color="auto" w:fill="FFFFFF"/>
        </w:rPr>
        <w:t>,</w:t>
      </w:r>
      <w:r w:rsidR="00406A2B" w:rsidRPr="002952E5">
        <w:rPr>
          <w:rFonts w:ascii="Times New Roman" w:hAnsi="Times New Roman" w:cs="Times New Roman"/>
          <w:color w:val="000000" w:themeColor="text1"/>
          <w:sz w:val="20"/>
          <w:szCs w:val="20"/>
          <w:shd w:val="clear" w:color="auto" w:fill="FFFFFF"/>
        </w:rPr>
        <w:t xml:space="preserve"> and most importantly</w:t>
      </w:r>
      <w:r w:rsidRPr="002952E5">
        <w:rPr>
          <w:rFonts w:ascii="Times New Roman" w:hAnsi="Times New Roman" w:cs="Times New Roman"/>
          <w:color w:val="000000" w:themeColor="text1"/>
          <w:sz w:val="20"/>
          <w:szCs w:val="20"/>
          <w:shd w:val="clear" w:color="auto" w:fill="FFFFFF"/>
        </w:rPr>
        <w:t xml:space="preserve"> </w:t>
      </w:r>
      <w:r w:rsidR="001068AD" w:rsidRPr="002952E5">
        <w:rPr>
          <w:rFonts w:ascii="Times New Roman" w:hAnsi="Times New Roman" w:cs="Times New Roman"/>
          <w:color w:val="000000" w:themeColor="text1"/>
          <w:sz w:val="20"/>
          <w:szCs w:val="20"/>
          <w:shd w:val="clear" w:color="auto" w:fill="FFFFFF"/>
        </w:rPr>
        <w:t xml:space="preserve">the </w:t>
      </w:r>
      <w:r w:rsidRPr="002952E5">
        <w:rPr>
          <w:rFonts w:ascii="Times New Roman" w:hAnsi="Times New Roman" w:cs="Times New Roman"/>
          <w:color w:val="000000" w:themeColor="text1"/>
          <w:sz w:val="20"/>
          <w:szCs w:val="20"/>
          <w:shd w:val="clear" w:color="auto" w:fill="FFFFFF"/>
        </w:rPr>
        <w:t>selection of</w:t>
      </w:r>
      <w:r w:rsidR="001068AD" w:rsidRPr="002952E5">
        <w:rPr>
          <w:rFonts w:ascii="Times New Roman" w:hAnsi="Times New Roman" w:cs="Times New Roman"/>
          <w:color w:val="000000" w:themeColor="text1"/>
          <w:sz w:val="20"/>
          <w:szCs w:val="20"/>
          <w:shd w:val="clear" w:color="auto" w:fill="FFFFFF"/>
        </w:rPr>
        <w:t xml:space="preserve"> </w:t>
      </w:r>
      <w:r w:rsidR="00406A2B" w:rsidRPr="002952E5">
        <w:rPr>
          <w:rFonts w:ascii="Times New Roman" w:hAnsi="Times New Roman" w:cs="Times New Roman"/>
          <w:color w:val="000000" w:themeColor="text1"/>
          <w:sz w:val="20"/>
          <w:szCs w:val="20"/>
          <w:shd w:val="clear" w:color="auto" w:fill="FFFFFF"/>
        </w:rPr>
        <w:t>correct</w:t>
      </w:r>
      <w:r w:rsidRPr="002952E5">
        <w:rPr>
          <w:rFonts w:ascii="Times New Roman" w:hAnsi="Times New Roman" w:cs="Times New Roman"/>
          <w:color w:val="000000" w:themeColor="text1"/>
          <w:sz w:val="20"/>
          <w:szCs w:val="20"/>
          <w:shd w:val="clear" w:color="auto" w:fill="FFFFFF"/>
        </w:rPr>
        <w:t xml:space="preserve"> specimens for </w:t>
      </w:r>
      <w:r w:rsidR="001068AD" w:rsidRPr="002952E5">
        <w:rPr>
          <w:rFonts w:ascii="Times New Roman" w:hAnsi="Times New Roman" w:cs="Times New Roman"/>
          <w:color w:val="000000" w:themeColor="text1"/>
          <w:sz w:val="20"/>
          <w:szCs w:val="20"/>
          <w:shd w:val="clear" w:color="auto" w:fill="FFFFFF"/>
        </w:rPr>
        <w:t xml:space="preserve">the </w:t>
      </w:r>
      <w:r w:rsidRPr="002952E5">
        <w:rPr>
          <w:rFonts w:ascii="Times New Roman" w:hAnsi="Times New Roman" w:cs="Times New Roman"/>
          <w:color w:val="000000" w:themeColor="text1"/>
          <w:sz w:val="20"/>
          <w:szCs w:val="20"/>
          <w:shd w:val="clear" w:color="auto" w:fill="FFFFFF"/>
        </w:rPr>
        <w:t>microbiologic examination.</w:t>
      </w:r>
    </w:p>
    <w:p w14:paraId="562C0C6E" w14:textId="77777777" w:rsidR="00A95E93" w:rsidRPr="002952E5" w:rsidRDefault="00A95E93" w:rsidP="00A95E93">
      <w:pPr>
        <w:spacing w:line="240" w:lineRule="auto"/>
        <w:ind w:left="-11" w:firstLine="720"/>
        <w:jc w:val="both"/>
        <w:rPr>
          <w:rFonts w:ascii="Times New Roman" w:hAnsi="Times New Roman" w:cs="Times New Roman"/>
          <w:color w:val="000000" w:themeColor="text1"/>
          <w:sz w:val="20"/>
          <w:szCs w:val="20"/>
          <w:shd w:val="clear" w:color="auto" w:fill="FFFFFF"/>
        </w:rPr>
      </w:pPr>
    </w:p>
    <w:p w14:paraId="164E3193" w14:textId="616F3269" w:rsidR="00EA02B7" w:rsidRDefault="00113E1D" w:rsidP="00113E1D">
      <w:pPr>
        <w:pStyle w:val="ListParagraph"/>
        <w:numPr>
          <w:ilvl w:val="0"/>
          <w:numId w:val="1"/>
        </w:numPr>
        <w:spacing w:line="240" w:lineRule="auto"/>
        <w:ind w:left="709"/>
        <w:jc w:val="center"/>
        <w:rPr>
          <w:rFonts w:ascii="Times New Roman" w:hAnsi="Times New Roman" w:cs="Times New Roman"/>
          <w:b/>
          <w:bCs/>
          <w:color w:val="000000" w:themeColor="text1"/>
          <w:sz w:val="20"/>
          <w:szCs w:val="20"/>
          <w:lang w:val="en-US"/>
        </w:rPr>
      </w:pPr>
      <w:r w:rsidRPr="002952E5">
        <w:rPr>
          <w:rFonts w:ascii="Times New Roman" w:hAnsi="Times New Roman" w:cs="Times New Roman"/>
          <w:b/>
          <w:bCs/>
          <w:color w:val="000000" w:themeColor="text1"/>
          <w:sz w:val="20"/>
          <w:szCs w:val="20"/>
          <w:lang w:val="en-US"/>
        </w:rPr>
        <w:t>SPECIMEN SELECTION, COLLECTION &amp; PROCESSING</w:t>
      </w:r>
    </w:p>
    <w:p w14:paraId="72DCC061" w14:textId="77777777" w:rsidR="00A95E93" w:rsidRPr="002952E5" w:rsidRDefault="00A95E93" w:rsidP="00A95E93">
      <w:pPr>
        <w:pStyle w:val="ListParagraph"/>
        <w:spacing w:line="240" w:lineRule="auto"/>
        <w:ind w:left="709"/>
        <w:jc w:val="both"/>
        <w:rPr>
          <w:rFonts w:ascii="Times New Roman" w:hAnsi="Times New Roman" w:cs="Times New Roman"/>
          <w:b/>
          <w:bCs/>
          <w:color w:val="000000" w:themeColor="text1"/>
          <w:sz w:val="20"/>
          <w:szCs w:val="20"/>
          <w:lang w:val="en-US"/>
        </w:rPr>
      </w:pPr>
    </w:p>
    <w:p w14:paraId="5922D396" w14:textId="3AC619B2" w:rsidR="00EA02B7" w:rsidRPr="002952E5" w:rsidRDefault="00535257" w:rsidP="00A95E93">
      <w:pPr>
        <w:pStyle w:val="NormalWeb"/>
        <w:shd w:val="clear" w:color="auto" w:fill="FFFFFF"/>
        <w:spacing w:before="166" w:beforeAutospacing="0" w:after="166" w:afterAutospacing="0"/>
        <w:ind w:firstLine="709"/>
        <w:jc w:val="both"/>
        <w:rPr>
          <w:color w:val="000000" w:themeColor="text1"/>
          <w:sz w:val="20"/>
          <w:szCs w:val="20"/>
        </w:rPr>
      </w:pPr>
      <w:r w:rsidRPr="002952E5">
        <w:rPr>
          <w:color w:val="000000" w:themeColor="text1"/>
          <w:sz w:val="20"/>
          <w:szCs w:val="20"/>
        </w:rPr>
        <w:t xml:space="preserve">The </w:t>
      </w:r>
      <w:r w:rsidR="00EA02B7" w:rsidRPr="002952E5">
        <w:rPr>
          <w:color w:val="000000" w:themeColor="text1"/>
          <w:sz w:val="20"/>
          <w:szCs w:val="20"/>
        </w:rPr>
        <w:t>Specimens selected for microbiologic</w:t>
      </w:r>
      <w:r w:rsidRPr="002952E5">
        <w:rPr>
          <w:color w:val="000000" w:themeColor="text1"/>
          <w:sz w:val="20"/>
          <w:szCs w:val="20"/>
        </w:rPr>
        <w:t>al</w:t>
      </w:r>
      <w:r w:rsidR="00EA02B7" w:rsidRPr="002952E5">
        <w:rPr>
          <w:color w:val="000000" w:themeColor="text1"/>
          <w:sz w:val="20"/>
          <w:szCs w:val="20"/>
        </w:rPr>
        <w:t xml:space="preserve"> examination</w:t>
      </w:r>
      <w:r w:rsidRPr="002952E5">
        <w:rPr>
          <w:color w:val="000000" w:themeColor="text1"/>
          <w:sz w:val="20"/>
          <w:szCs w:val="20"/>
        </w:rPr>
        <w:t>s</w:t>
      </w:r>
      <w:r w:rsidR="00EA02B7" w:rsidRPr="002952E5">
        <w:rPr>
          <w:color w:val="000000" w:themeColor="text1"/>
          <w:sz w:val="20"/>
          <w:szCs w:val="20"/>
        </w:rPr>
        <w:t xml:space="preserve"> </w:t>
      </w:r>
      <w:r w:rsidRPr="002952E5">
        <w:rPr>
          <w:color w:val="000000" w:themeColor="text1"/>
          <w:sz w:val="20"/>
          <w:szCs w:val="20"/>
        </w:rPr>
        <w:t>s</w:t>
      </w:r>
      <w:r w:rsidR="00EA02B7" w:rsidRPr="002952E5">
        <w:rPr>
          <w:color w:val="000000" w:themeColor="text1"/>
          <w:sz w:val="20"/>
          <w:szCs w:val="20"/>
        </w:rPr>
        <w:t xml:space="preserve">hould </w:t>
      </w:r>
      <w:r w:rsidRPr="002952E5">
        <w:rPr>
          <w:color w:val="000000" w:themeColor="text1"/>
          <w:sz w:val="20"/>
          <w:szCs w:val="20"/>
        </w:rPr>
        <w:t xml:space="preserve">be based on </w:t>
      </w:r>
      <w:r w:rsidR="00C73554">
        <w:rPr>
          <w:color w:val="000000" w:themeColor="text1"/>
          <w:sz w:val="20"/>
          <w:szCs w:val="20"/>
        </w:rPr>
        <w:t xml:space="preserve">the </w:t>
      </w:r>
      <w:r w:rsidRPr="002952E5">
        <w:rPr>
          <w:color w:val="000000" w:themeColor="text1"/>
          <w:sz w:val="20"/>
          <w:szCs w:val="20"/>
        </w:rPr>
        <w:t>site</w:t>
      </w:r>
      <w:r w:rsidR="00333A35" w:rsidRPr="002952E5">
        <w:rPr>
          <w:color w:val="000000" w:themeColor="text1"/>
          <w:sz w:val="20"/>
          <w:szCs w:val="20"/>
        </w:rPr>
        <w:t xml:space="preserve"> of the infection involved </w:t>
      </w:r>
      <w:r w:rsidR="00EA02B7" w:rsidRPr="002952E5">
        <w:rPr>
          <w:color w:val="000000" w:themeColor="text1"/>
          <w:sz w:val="20"/>
          <w:szCs w:val="20"/>
        </w:rPr>
        <w:t xml:space="preserve">and be collected in </w:t>
      </w:r>
      <w:r w:rsidR="00333A35" w:rsidRPr="002952E5">
        <w:rPr>
          <w:color w:val="000000" w:themeColor="text1"/>
          <w:sz w:val="20"/>
          <w:szCs w:val="20"/>
        </w:rPr>
        <w:t>adequate</w:t>
      </w:r>
      <w:r w:rsidR="00EA02B7" w:rsidRPr="002952E5">
        <w:rPr>
          <w:color w:val="000000" w:themeColor="text1"/>
          <w:sz w:val="20"/>
          <w:szCs w:val="20"/>
        </w:rPr>
        <w:t xml:space="preserve"> quantity. Swabs</w:t>
      </w:r>
      <w:r w:rsidR="00333A35" w:rsidRPr="002952E5">
        <w:rPr>
          <w:color w:val="000000" w:themeColor="text1"/>
          <w:sz w:val="20"/>
          <w:szCs w:val="20"/>
        </w:rPr>
        <w:t xml:space="preserve"> </w:t>
      </w:r>
      <w:r w:rsidR="00EA02B7" w:rsidRPr="002952E5">
        <w:rPr>
          <w:color w:val="000000" w:themeColor="text1"/>
          <w:sz w:val="20"/>
          <w:szCs w:val="20"/>
        </w:rPr>
        <w:t xml:space="preserve">for specimen collection, frequently </w:t>
      </w:r>
      <w:r w:rsidR="00C73554">
        <w:rPr>
          <w:color w:val="000000" w:themeColor="text1"/>
          <w:sz w:val="20"/>
          <w:szCs w:val="20"/>
        </w:rPr>
        <w:t>use</w:t>
      </w:r>
      <w:r w:rsidR="00333A35" w:rsidRPr="002952E5">
        <w:rPr>
          <w:color w:val="000000" w:themeColor="text1"/>
          <w:sz w:val="20"/>
          <w:szCs w:val="20"/>
        </w:rPr>
        <w:t xml:space="preserve"> </w:t>
      </w:r>
      <w:r w:rsidR="00C73554">
        <w:rPr>
          <w:color w:val="000000" w:themeColor="text1"/>
          <w:sz w:val="20"/>
          <w:szCs w:val="20"/>
        </w:rPr>
        <w:t xml:space="preserve">the </w:t>
      </w:r>
      <w:r w:rsidR="00333A35" w:rsidRPr="002952E5">
        <w:rPr>
          <w:color w:val="000000" w:themeColor="text1"/>
          <w:sz w:val="20"/>
          <w:szCs w:val="20"/>
        </w:rPr>
        <w:t>method and</w:t>
      </w:r>
      <w:r w:rsidR="00EA02B7" w:rsidRPr="002952E5">
        <w:rPr>
          <w:color w:val="000000" w:themeColor="text1"/>
          <w:sz w:val="20"/>
          <w:szCs w:val="20"/>
        </w:rPr>
        <w:t xml:space="preserve"> </w:t>
      </w:r>
      <w:r w:rsidR="00C73554">
        <w:rPr>
          <w:color w:val="000000" w:themeColor="text1"/>
          <w:sz w:val="20"/>
          <w:szCs w:val="20"/>
        </w:rPr>
        <w:t xml:space="preserve">a </w:t>
      </w:r>
      <w:r w:rsidR="00EA02B7" w:rsidRPr="002952E5">
        <w:rPr>
          <w:color w:val="000000" w:themeColor="text1"/>
          <w:sz w:val="20"/>
          <w:szCs w:val="20"/>
        </w:rPr>
        <w:t xml:space="preserve">small </w:t>
      </w:r>
      <w:r w:rsidR="00333A35" w:rsidRPr="002952E5">
        <w:rPr>
          <w:color w:val="000000" w:themeColor="text1"/>
          <w:sz w:val="20"/>
          <w:szCs w:val="20"/>
        </w:rPr>
        <w:t>quantity of a</w:t>
      </w:r>
      <w:r w:rsidR="00EA02B7" w:rsidRPr="002952E5">
        <w:rPr>
          <w:color w:val="000000" w:themeColor="text1"/>
          <w:sz w:val="20"/>
          <w:szCs w:val="20"/>
        </w:rPr>
        <w:t xml:space="preserve"> specimen for </w:t>
      </w:r>
      <w:r w:rsidR="00333A35" w:rsidRPr="002952E5">
        <w:rPr>
          <w:color w:val="000000" w:themeColor="text1"/>
          <w:sz w:val="20"/>
          <w:szCs w:val="20"/>
        </w:rPr>
        <w:t xml:space="preserve">the </w:t>
      </w:r>
      <w:r w:rsidR="00EA02B7" w:rsidRPr="002952E5">
        <w:rPr>
          <w:color w:val="000000" w:themeColor="text1"/>
          <w:sz w:val="20"/>
          <w:szCs w:val="20"/>
        </w:rPr>
        <w:t xml:space="preserve">accurate microbiologic examination and </w:t>
      </w:r>
      <w:r w:rsidR="00B323F2" w:rsidRPr="002952E5">
        <w:rPr>
          <w:color w:val="000000" w:themeColor="text1"/>
          <w:sz w:val="20"/>
          <w:szCs w:val="20"/>
        </w:rPr>
        <w:t xml:space="preserve">it </w:t>
      </w:r>
      <w:r w:rsidR="00EA02B7" w:rsidRPr="002952E5">
        <w:rPr>
          <w:color w:val="000000" w:themeColor="text1"/>
          <w:sz w:val="20"/>
          <w:szCs w:val="20"/>
        </w:rPr>
        <w:t xml:space="preserve">should be used only </w:t>
      </w:r>
      <w:r w:rsidR="00B323F2" w:rsidRPr="002952E5">
        <w:rPr>
          <w:color w:val="000000" w:themeColor="text1"/>
          <w:sz w:val="20"/>
          <w:szCs w:val="20"/>
        </w:rPr>
        <w:t>for</w:t>
      </w:r>
      <w:r w:rsidR="00EA02B7" w:rsidRPr="002952E5">
        <w:rPr>
          <w:color w:val="000000" w:themeColor="text1"/>
          <w:sz w:val="20"/>
          <w:szCs w:val="20"/>
        </w:rPr>
        <w:t xml:space="preserve"> the skin and mucous membrane</w:t>
      </w:r>
      <w:r w:rsidR="00B323F2" w:rsidRPr="002952E5">
        <w:rPr>
          <w:color w:val="000000" w:themeColor="text1"/>
          <w:sz w:val="20"/>
          <w:szCs w:val="20"/>
        </w:rPr>
        <w:t xml:space="preserve"> infections</w:t>
      </w:r>
      <w:r w:rsidR="00EA02B7" w:rsidRPr="002952E5">
        <w:rPr>
          <w:color w:val="000000" w:themeColor="text1"/>
          <w:sz w:val="20"/>
          <w:szCs w:val="20"/>
        </w:rPr>
        <w:t>.</w:t>
      </w:r>
      <w:r w:rsidR="00407C76" w:rsidRPr="002952E5">
        <w:rPr>
          <w:color w:val="000000" w:themeColor="text1"/>
          <w:sz w:val="20"/>
          <w:szCs w:val="20"/>
        </w:rPr>
        <w:t xml:space="preserve"> </w:t>
      </w:r>
      <w:r w:rsidR="00EA02B7" w:rsidRPr="002952E5">
        <w:rPr>
          <w:color w:val="000000" w:themeColor="text1"/>
          <w:sz w:val="20"/>
          <w:szCs w:val="20"/>
        </w:rPr>
        <w:t xml:space="preserve">The skin </w:t>
      </w:r>
      <w:r w:rsidR="00407C76" w:rsidRPr="002952E5">
        <w:rPr>
          <w:color w:val="000000" w:themeColor="text1"/>
          <w:sz w:val="20"/>
          <w:szCs w:val="20"/>
        </w:rPr>
        <w:t>must</w:t>
      </w:r>
      <w:r w:rsidR="00EA02B7" w:rsidRPr="002952E5">
        <w:rPr>
          <w:color w:val="000000" w:themeColor="text1"/>
          <w:sz w:val="20"/>
          <w:szCs w:val="20"/>
        </w:rPr>
        <w:t xml:space="preserve"> be disinfected before </w:t>
      </w:r>
      <w:r w:rsidR="00407C76" w:rsidRPr="002952E5">
        <w:rPr>
          <w:color w:val="000000" w:themeColor="text1"/>
          <w:sz w:val="20"/>
          <w:szCs w:val="20"/>
        </w:rPr>
        <w:t>taking swab specimens</w:t>
      </w:r>
      <w:r w:rsidR="00EA02B7" w:rsidRPr="002952E5">
        <w:rPr>
          <w:color w:val="000000" w:themeColor="text1"/>
          <w:sz w:val="20"/>
          <w:szCs w:val="20"/>
        </w:rPr>
        <w:t xml:space="preserve"> </w:t>
      </w:r>
      <w:r w:rsidR="00407C76" w:rsidRPr="002952E5">
        <w:rPr>
          <w:color w:val="000000" w:themeColor="text1"/>
          <w:sz w:val="20"/>
          <w:szCs w:val="20"/>
        </w:rPr>
        <w:t>of</w:t>
      </w:r>
      <w:r w:rsidR="00EA02B7" w:rsidRPr="002952E5">
        <w:rPr>
          <w:color w:val="000000" w:themeColor="text1"/>
          <w:sz w:val="20"/>
          <w:szCs w:val="20"/>
        </w:rPr>
        <w:t xml:space="preserve"> a lesion.</w:t>
      </w:r>
    </w:p>
    <w:p w14:paraId="281BFFC1" w14:textId="5CD49DE6" w:rsidR="00EA02B7" w:rsidRDefault="00EA02B7" w:rsidP="00A95E93">
      <w:pPr>
        <w:pStyle w:val="NormalWeb"/>
        <w:shd w:val="clear" w:color="auto" w:fill="FFFFFF"/>
        <w:spacing w:before="166" w:beforeAutospacing="0" w:after="166" w:afterAutospacing="0"/>
        <w:ind w:firstLine="709"/>
        <w:jc w:val="both"/>
        <w:rPr>
          <w:color w:val="000000" w:themeColor="text1"/>
          <w:sz w:val="20"/>
          <w:szCs w:val="20"/>
        </w:rPr>
      </w:pPr>
      <w:r w:rsidRPr="002952E5">
        <w:rPr>
          <w:color w:val="000000" w:themeColor="text1"/>
          <w:sz w:val="20"/>
          <w:szCs w:val="20"/>
        </w:rPr>
        <w:t xml:space="preserve">The type of inflammation present </w:t>
      </w:r>
      <w:r w:rsidR="000100A8" w:rsidRPr="002952E5">
        <w:rPr>
          <w:color w:val="000000" w:themeColor="text1"/>
          <w:sz w:val="20"/>
          <w:szCs w:val="20"/>
        </w:rPr>
        <w:t xml:space="preserve">can lead </w:t>
      </w:r>
      <w:r w:rsidR="00C73554">
        <w:rPr>
          <w:color w:val="000000" w:themeColor="text1"/>
          <w:sz w:val="20"/>
          <w:szCs w:val="20"/>
        </w:rPr>
        <w:t xml:space="preserve">to </w:t>
      </w:r>
      <w:r w:rsidRPr="002952E5">
        <w:rPr>
          <w:color w:val="000000" w:themeColor="text1"/>
          <w:sz w:val="20"/>
          <w:szCs w:val="20"/>
        </w:rPr>
        <w:t xml:space="preserve">the </w:t>
      </w:r>
      <w:r w:rsidR="000100A8" w:rsidRPr="002952E5">
        <w:rPr>
          <w:color w:val="000000" w:themeColor="text1"/>
          <w:sz w:val="20"/>
          <w:szCs w:val="20"/>
        </w:rPr>
        <w:t>appropriate type</w:t>
      </w:r>
      <w:r w:rsidRPr="002952E5">
        <w:rPr>
          <w:color w:val="000000" w:themeColor="text1"/>
          <w:sz w:val="20"/>
          <w:szCs w:val="20"/>
        </w:rPr>
        <w:t xml:space="preserve"> of microbiologic examination </w:t>
      </w:r>
      <w:r w:rsidR="000100A8" w:rsidRPr="002952E5">
        <w:rPr>
          <w:color w:val="000000" w:themeColor="text1"/>
          <w:sz w:val="20"/>
          <w:szCs w:val="20"/>
        </w:rPr>
        <w:t xml:space="preserve">to be </w:t>
      </w:r>
      <w:r w:rsidRPr="002952E5">
        <w:rPr>
          <w:color w:val="000000" w:themeColor="text1"/>
          <w:sz w:val="20"/>
          <w:szCs w:val="20"/>
        </w:rPr>
        <w:t>performed.</w:t>
      </w:r>
      <w:r w:rsidR="000100A8" w:rsidRPr="002952E5">
        <w:rPr>
          <w:color w:val="000000" w:themeColor="text1"/>
          <w:sz w:val="20"/>
          <w:szCs w:val="20"/>
        </w:rPr>
        <w:t xml:space="preserve"> Fo</w:t>
      </w:r>
      <w:r w:rsidRPr="002952E5">
        <w:rPr>
          <w:color w:val="000000" w:themeColor="text1"/>
          <w:sz w:val="20"/>
          <w:szCs w:val="20"/>
        </w:rPr>
        <w:t xml:space="preserve">r example, </w:t>
      </w:r>
      <w:r w:rsidR="00C73554">
        <w:rPr>
          <w:color w:val="000000" w:themeColor="text1"/>
          <w:sz w:val="20"/>
          <w:szCs w:val="20"/>
        </w:rPr>
        <w:t xml:space="preserve">if </w:t>
      </w:r>
      <w:r w:rsidRPr="002952E5">
        <w:rPr>
          <w:color w:val="000000" w:themeColor="text1"/>
          <w:sz w:val="20"/>
          <w:szCs w:val="20"/>
        </w:rPr>
        <w:t>caseous granuloma is observed</w:t>
      </w:r>
      <w:r w:rsidR="005E6067" w:rsidRPr="002952E5">
        <w:rPr>
          <w:color w:val="000000" w:themeColor="text1"/>
          <w:sz w:val="20"/>
          <w:szCs w:val="20"/>
        </w:rPr>
        <w:t xml:space="preserve"> in the </w:t>
      </w:r>
      <w:r w:rsidRPr="002952E5">
        <w:rPr>
          <w:color w:val="000000" w:themeColor="text1"/>
          <w:sz w:val="20"/>
          <w:szCs w:val="20"/>
        </w:rPr>
        <w:t>histopathological</w:t>
      </w:r>
      <w:r w:rsidR="005E6067" w:rsidRPr="002952E5">
        <w:rPr>
          <w:color w:val="000000" w:themeColor="text1"/>
          <w:sz w:val="20"/>
          <w:szCs w:val="20"/>
        </w:rPr>
        <w:t xml:space="preserve"> examinations</w:t>
      </w:r>
      <w:r w:rsidRPr="002952E5">
        <w:rPr>
          <w:color w:val="000000" w:themeColor="text1"/>
          <w:sz w:val="20"/>
          <w:szCs w:val="20"/>
        </w:rPr>
        <w:t xml:space="preserve">, </w:t>
      </w:r>
      <w:r w:rsidR="005E6067" w:rsidRPr="002952E5">
        <w:rPr>
          <w:color w:val="000000" w:themeColor="text1"/>
          <w:sz w:val="20"/>
          <w:szCs w:val="20"/>
        </w:rPr>
        <w:t xml:space="preserve">then </w:t>
      </w:r>
      <w:r w:rsidR="00C73554">
        <w:rPr>
          <w:color w:val="000000" w:themeColor="text1"/>
          <w:sz w:val="20"/>
          <w:szCs w:val="20"/>
        </w:rPr>
        <w:t xml:space="preserve">a </w:t>
      </w:r>
      <w:r w:rsidRPr="002952E5">
        <w:rPr>
          <w:color w:val="000000" w:themeColor="text1"/>
          <w:sz w:val="20"/>
          <w:szCs w:val="20"/>
        </w:rPr>
        <w:t xml:space="preserve">microbiologic examination should </w:t>
      </w:r>
      <w:r w:rsidR="005E6067" w:rsidRPr="002952E5">
        <w:rPr>
          <w:color w:val="000000" w:themeColor="text1"/>
          <w:sz w:val="20"/>
          <w:szCs w:val="20"/>
        </w:rPr>
        <w:t>be included</w:t>
      </w:r>
      <w:r w:rsidRPr="002952E5">
        <w:rPr>
          <w:color w:val="000000" w:themeColor="text1"/>
          <w:sz w:val="20"/>
          <w:szCs w:val="20"/>
        </w:rPr>
        <w:t xml:space="preserve"> for mycobacteria and fung</w:t>
      </w:r>
      <w:r w:rsidR="005E6067" w:rsidRPr="002952E5">
        <w:rPr>
          <w:color w:val="000000" w:themeColor="text1"/>
          <w:sz w:val="20"/>
          <w:szCs w:val="20"/>
        </w:rPr>
        <w:t>al culture</w:t>
      </w:r>
      <w:r w:rsidRPr="002952E5">
        <w:rPr>
          <w:color w:val="000000" w:themeColor="text1"/>
          <w:sz w:val="20"/>
          <w:szCs w:val="20"/>
        </w:rPr>
        <w:t xml:space="preserve">. The surgeon </w:t>
      </w:r>
      <w:r w:rsidR="00184C4A" w:rsidRPr="002952E5">
        <w:rPr>
          <w:color w:val="000000" w:themeColor="text1"/>
          <w:sz w:val="20"/>
          <w:szCs w:val="20"/>
        </w:rPr>
        <w:t>must</w:t>
      </w:r>
      <w:r w:rsidRPr="002952E5">
        <w:rPr>
          <w:color w:val="000000" w:themeColor="text1"/>
          <w:sz w:val="20"/>
          <w:szCs w:val="20"/>
        </w:rPr>
        <w:t xml:space="preserve"> obtain samples for </w:t>
      </w:r>
      <w:r w:rsidR="00184C4A" w:rsidRPr="002952E5">
        <w:rPr>
          <w:color w:val="000000" w:themeColor="text1"/>
          <w:sz w:val="20"/>
          <w:szCs w:val="20"/>
        </w:rPr>
        <w:t xml:space="preserve">some </w:t>
      </w:r>
      <w:r w:rsidRPr="002952E5">
        <w:rPr>
          <w:color w:val="000000" w:themeColor="text1"/>
          <w:sz w:val="20"/>
          <w:szCs w:val="20"/>
        </w:rPr>
        <w:t>examination</w:t>
      </w:r>
      <w:r w:rsidR="00184C4A" w:rsidRPr="002952E5">
        <w:rPr>
          <w:color w:val="000000" w:themeColor="text1"/>
          <w:sz w:val="20"/>
          <w:szCs w:val="20"/>
        </w:rPr>
        <w:t>s</w:t>
      </w:r>
      <w:r w:rsidRPr="002952E5">
        <w:rPr>
          <w:color w:val="000000" w:themeColor="text1"/>
          <w:sz w:val="20"/>
          <w:szCs w:val="20"/>
        </w:rPr>
        <w:t xml:space="preserve"> from a single large lesion or smaller lesions. If an abscess is found, the surgeon </w:t>
      </w:r>
      <w:r w:rsidR="00184C4A" w:rsidRPr="002952E5">
        <w:rPr>
          <w:color w:val="000000" w:themeColor="text1"/>
          <w:sz w:val="20"/>
          <w:szCs w:val="20"/>
        </w:rPr>
        <w:t>must</w:t>
      </w:r>
      <w:r w:rsidRPr="002952E5">
        <w:rPr>
          <w:color w:val="000000" w:themeColor="text1"/>
          <w:sz w:val="20"/>
          <w:szCs w:val="20"/>
        </w:rPr>
        <w:t xml:space="preserve"> collect several </w:t>
      </w:r>
      <w:proofErr w:type="spellStart"/>
      <w:r w:rsidR="00C73554">
        <w:rPr>
          <w:color w:val="000000" w:themeColor="text1"/>
          <w:sz w:val="20"/>
          <w:szCs w:val="20"/>
        </w:rPr>
        <w:t>milliliters</w:t>
      </w:r>
      <w:proofErr w:type="spellEnd"/>
      <w:r w:rsidRPr="002952E5">
        <w:rPr>
          <w:color w:val="000000" w:themeColor="text1"/>
          <w:sz w:val="20"/>
          <w:szCs w:val="20"/>
        </w:rPr>
        <w:t xml:space="preserve"> of pus</w:t>
      </w:r>
      <w:r w:rsidR="00184C4A" w:rsidRPr="002952E5">
        <w:rPr>
          <w:color w:val="000000" w:themeColor="text1"/>
          <w:sz w:val="20"/>
          <w:szCs w:val="20"/>
        </w:rPr>
        <w:t xml:space="preserve"> and</w:t>
      </w:r>
      <w:r w:rsidRPr="002952E5">
        <w:rPr>
          <w:color w:val="000000" w:themeColor="text1"/>
          <w:sz w:val="20"/>
          <w:szCs w:val="20"/>
        </w:rPr>
        <w:t xml:space="preserve"> as well as </w:t>
      </w:r>
      <w:r w:rsidR="00184C4A" w:rsidRPr="002952E5">
        <w:rPr>
          <w:color w:val="000000" w:themeColor="text1"/>
          <w:sz w:val="20"/>
          <w:szCs w:val="20"/>
        </w:rPr>
        <w:t>the</w:t>
      </w:r>
      <w:r w:rsidRPr="002952E5">
        <w:rPr>
          <w:color w:val="000000" w:themeColor="text1"/>
          <w:sz w:val="20"/>
          <w:szCs w:val="20"/>
        </w:rPr>
        <w:t xml:space="preserve"> abscess</w:t>
      </w:r>
      <w:r w:rsidR="00184C4A" w:rsidRPr="002952E5">
        <w:rPr>
          <w:color w:val="000000" w:themeColor="text1"/>
          <w:sz w:val="20"/>
          <w:szCs w:val="20"/>
        </w:rPr>
        <w:t xml:space="preserve"> wall</w:t>
      </w:r>
      <w:r w:rsidRPr="002952E5">
        <w:rPr>
          <w:color w:val="000000" w:themeColor="text1"/>
          <w:sz w:val="20"/>
          <w:szCs w:val="20"/>
        </w:rPr>
        <w:t>, for microbiologic exam</w:t>
      </w:r>
      <w:r w:rsidR="00D94E6D" w:rsidRPr="002952E5">
        <w:rPr>
          <w:color w:val="000000" w:themeColor="text1"/>
          <w:sz w:val="20"/>
          <w:szCs w:val="20"/>
        </w:rPr>
        <w:t>inations</w:t>
      </w:r>
      <w:r w:rsidR="00CC222B" w:rsidRPr="002952E5">
        <w:rPr>
          <w:color w:val="000000" w:themeColor="text1"/>
          <w:sz w:val="20"/>
          <w:szCs w:val="20"/>
        </w:rPr>
        <w:t>.</w:t>
      </w:r>
    </w:p>
    <w:p w14:paraId="7405C01B" w14:textId="077AEFE1" w:rsidR="00A95E93" w:rsidRDefault="00237360" w:rsidP="00966B0C">
      <w:pPr>
        <w:pStyle w:val="NormalWeb"/>
        <w:shd w:val="clear" w:color="auto" w:fill="FFFFFF"/>
        <w:spacing w:before="166" w:beforeAutospacing="0" w:after="166" w:afterAutospacing="0"/>
        <w:rPr>
          <w:color w:val="000000" w:themeColor="text1"/>
          <w:sz w:val="20"/>
          <w:szCs w:val="20"/>
        </w:rPr>
      </w:pPr>
      <w:r>
        <w:rPr>
          <w:noProof/>
        </w:rPr>
        <w:lastRenderedPageBreak/>
        <w:drawing>
          <wp:inline distT="0" distB="0" distL="0" distR="0" wp14:anchorId="1C55C446" wp14:editId="5BE72BF7">
            <wp:extent cx="2484120" cy="1837690"/>
            <wp:effectExtent l="0" t="0" r="0" b="0"/>
            <wp:docPr id="188771273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84120" cy="1837690"/>
                    </a:xfrm>
                    <a:prstGeom prst="rect">
                      <a:avLst/>
                    </a:prstGeom>
                    <a:noFill/>
                    <a:ln>
                      <a:noFill/>
                    </a:ln>
                  </pic:spPr>
                </pic:pic>
              </a:graphicData>
            </a:graphic>
          </wp:inline>
        </w:drawing>
      </w:r>
      <w:r>
        <w:rPr>
          <w:noProof/>
        </w:rPr>
        <w:t xml:space="preserve">              </w:t>
      </w:r>
      <w:r w:rsidR="00966B0C">
        <w:rPr>
          <w:noProof/>
        </w:rPr>
        <w:drawing>
          <wp:inline distT="0" distB="0" distL="0" distR="0" wp14:anchorId="5302DEE0" wp14:editId="58D33266">
            <wp:extent cx="2648585" cy="1725295"/>
            <wp:effectExtent l="0" t="0" r="0" b="8255"/>
            <wp:docPr id="76656840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8585" cy="1725295"/>
                    </a:xfrm>
                    <a:prstGeom prst="rect">
                      <a:avLst/>
                    </a:prstGeom>
                    <a:noFill/>
                    <a:ln>
                      <a:noFill/>
                    </a:ln>
                  </pic:spPr>
                </pic:pic>
              </a:graphicData>
            </a:graphic>
          </wp:inline>
        </w:drawing>
      </w:r>
    </w:p>
    <w:p w14:paraId="7C2862FE" w14:textId="7FD43068" w:rsidR="00B10E63" w:rsidRDefault="00B10E63" w:rsidP="00B10E63">
      <w:pPr>
        <w:pStyle w:val="NormalWeb"/>
        <w:shd w:val="clear" w:color="auto" w:fill="FFFFFF"/>
        <w:spacing w:before="166" w:beforeAutospacing="0" w:after="166" w:afterAutospacing="0"/>
        <w:rPr>
          <w:b/>
          <w:bCs/>
          <w:color w:val="000000" w:themeColor="text1"/>
          <w:sz w:val="20"/>
          <w:szCs w:val="20"/>
        </w:rPr>
      </w:pPr>
      <w:r>
        <w:rPr>
          <w:b/>
          <w:bCs/>
          <w:color w:val="000000" w:themeColor="text1"/>
          <w:sz w:val="20"/>
          <w:szCs w:val="20"/>
        </w:rPr>
        <w:t>Figure:1</w:t>
      </w:r>
      <w:r>
        <w:rPr>
          <w:b/>
          <w:bCs/>
          <w:color w:val="000000" w:themeColor="text1"/>
          <w:sz w:val="20"/>
          <w:szCs w:val="20"/>
        </w:rPr>
        <w:tab/>
      </w:r>
      <w:r>
        <w:rPr>
          <w:b/>
          <w:bCs/>
          <w:color w:val="000000" w:themeColor="text1"/>
          <w:sz w:val="20"/>
          <w:szCs w:val="20"/>
        </w:rPr>
        <w:tab/>
      </w:r>
      <w:r>
        <w:rPr>
          <w:b/>
          <w:bCs/>
          <w:color w:val="000000" w:themeColor="text1"/>
          <w:sz w:val="20"/>
          <w:szCs w:val="20"/>
        </w:rPr>
        <w:tab/>
      </w:r>
      <w:r>
        <w:rPr>
          <w:b/>
          <w:bCs/>
          <w:color w:val="000000" w:themeColor="text1"/>
          <w:sz w:val="20"/>
          <w:szCs w:val="20"/>
        </w:rPr>
        <w:tab/>
      </w:r>
      <w:r>
        <w:rPr>
          <w:b/>
          <w:bCs/>
          <w:color w:val="000000" w:themeColor="text1"/>
          <w:sz w:val="20"/>
          <w:szCs w:val="20"/>
        </w:rPr>
        <w:tab/>
      </w:r>
      <w:r>
        <w:rPr>
          <w:b/>
          <w:bCs/>
          <w:color w:val="000000" w:themeColor="text1"/>
          <w:sz w:val="20"/>
          <w:szCs w:val="20"/>
        </w:rPr>
        <w:tab/>
        <w:t>Figure:2</w:t>
      </w:r>
    </w:p>
    <w:p w14:paraId="65AA776B" w14:textId="113315D4" w:rsidR="00966B0C" w:rsidRDefault="00C73554" w:rsidP="00237360">
      <w:pPr>
        <w:pStyle w:val="NormalWeb"/>
        <w:shd w:val="clear" w:color="auto" w:fill="FFFFFF"/>
        <w:spacing w:before="166" w:beforeAutospacing="0" w:after="166" w:afterAutospacing="0"/>
        <w:ind w:firstLine="709"/>
        <w:jc w:val="center"/>
        <w:rPr>
          <w:b/>
          <w:bCs/>
          <w:color w:val="000000" w:themeColor="text1"/>
          <w:sz w:val="20"/>
          <w:szCs w:val="20"/>
        </w:rPr>
      </w:pPr>
      <w:r>
        <w:rPr>
          <w:b/>
          <w:bCs/>
          <w:color w:val="000000" w:themeColor="text1"/>
          <w:sz w:val="20"/>
          <w:szCs w:val="20"/>
        </w:rPr>
        <w:t>Figures</w:t>
      </w:r>
      <w:r w:rsidR="00966B0C" w:rsidRPr="00237360">
        <w:rPr>
          <w:b/>
          <w:bCs/>
          <w:color w:val="000000" w:themeColor="text1"/>
          <w:sz w:val="20"/>
          <w:szCs w:val="20"/>
        </w:rPr>
        <w:t>: 1</w:t>
      </w:r>
      <w:r w:rsidR="00237360">
        <w:rPr>
          <w:b/>
          <w:bCs/>
          <w:color w:val="000000" w:themeColor="text1"/>
          <w:sz w:val="20"/>
          <w:szCs w:val="20"/>
        </w:rPr>
        <w:t xml:space="preserve"> and</w:t>
      </w:r>
      <w:r w:rsidR="00966B0C" w:rsidRPr="00237360">
        <w:rPr>
          <w:b/>
          <w:bCs/>
          <w:color w:val="000000" w:themeColor="text1"/>
          <w:sz w:val="20"/>
          <w:szCs w:val="20"/>
        </w:rPr>
        <w:t xml:space="preserve"> 2</w:t>
      </w:r>
      <w:r w:rsidR="00237360">
        <w:rPr>
          <w:b/>
          <w:bCs/>
          <w:color w:val="000000" w:themeColor="text1"/>
          <w:sz w:val="20"/>
          <w:szCs w:val="20"/>
        </w:rPr>
        <w:t xml:space="preserve"> </w:t>
      </w:r>
      <w:r>
        <w:rPr>
          <w:b/>
          <w:bCs/>
          <w:color w:val="000000" w:themeColor="text1"/>
          <w:sz w:val="20"/>
          <w:szCs w:val="20"/>
        </w:rPr>
        <w:t>represent</w:t>
      </w:r>
      <w:r w:rsidR="00966B0C" w:rsidRPr="00237360">
        <w:rPr>
          <w:b/>
          <w:bCs/>
          <w:color w:val="000000" w:themeColor="text1"/>
          <w:sz w:val="20"/>
          <w:szCs w:val="20"/>
        </w:rPr>
        <w:t xml:space="preserve"> </w:t>
      </w:r>
      <w:r w:rsidR="00237360">
        <w:rPr>
          <w:b/>
          <w:bCs/>
          <w:color w:val="000000" w:themeColor="text1"/>
          <w:sz w:val="20"/>
          <w:szCs w:val="20"/>
        </w:rPr>
        <w:t xml:space="preserve">wound </w:t>
      </w:r>
      <w:r w:rsidR="00966B0C" w:rsidRPr="00237360">
        <w:rPr>
          <w:b/>
          <w:bCs/>
          <w:color w:val="000000" w:themeColor="text1"/>
          <w:sz w:val="20"/>
          <w:szCs w:val="20"/>
        </w:rPr>
        <w:t xml:space="preserve">swab </w:t>
      </w:r>
      <w:r w:rsidR="00237360">
        <w:rPr>
          <w:b/>
          <w:bCs/>
          <w:color w:val="000000" w:themeColor="text1"/>
          <w:sz w:val="20"/>
          <w:szCs w:val="20"/>
        </w:rPr>
        <w:t>specimen collection</w:t>
      </w:r>
      <w:r w:rsidR="00966B0C" w:rsidRPr="00237360">
        <w:rPr>
          <w:b/>
          <w:bCs/>
          <w:color w:val="000000" w:themeColor="text1"/>
          <w:sz w:val="20"/>
          <w:szCs w:val="20"/>
        </w:rPr>
        <w:t xml:space="preserve"> techniques</w:t>
      </w:r>
    </w:p>
    <w:p w14:paraId="45BB2D1A" w14:textId="77777777" w:rsidR="00753645" w:rsidRPr="00237360" w:rsidRDefault="00753645" w:rsidP="00237360">
      <w:pPr>
        <w:pStyle w:val="NormalWeb"/>
        <w:shd w:val="clear" w:color="auto" w:fill="FFFFFF"/>
        <w:spacing w:before="166" w:beforeAutospacing="0" w:after="166" w:afterAutospacing="0"/>
        <w:ind w:firstLine="709"/>
        <w:jc w:val="center"/>
        <w:rPr>
          <w:b/>
          <w:bCs/>
          <w:color w:val="000000" w:themeColor="text1"/>
          <w:sz w:val="20"/>
          <w:szCs w:val="20"/>
        </w:rPr>
      </w:pPr>
    </w:p>
    <w:p w14:paraId="5D5B6412" w14:textId="1BF5F52D" w:rsidR="00EA02B7" w:rsidRDefault="00113E1D" w:rsidP="00113E1D">
      <w:pPr>
        <w:pStyle w:val="ListParagraph"/>
        <w:numPr>
          <w:ilvl w:val="0"/>
          <w:numId w:val="1"/>
        </w:numPr>
        <w:spacing w:line="240" w:lineRule="auto"/>
        <w:ind w:left="709"/>
        <w:jc w:val="center"/>
        <w:rPr>
          <w:rFonts w:ascii="Times New Roman" w:hAnsi="Times New Roman" w:cs="Times New Roman"/>
          <w:b/>
          <w:bCs/>
          <w:color w:val="000000" w:themeColor="text1"/>
          <w:sz w:val="20"/>
          <w:szCs w:val="20"/>
          <w:lang w:val="en-US"/>
        </w:rPr>
      </w:pPr>
      <w:r w:rsidRPr="002952E5">
        <w:rPr>
          <w:rFonts w:ascii="Times New Roman" w:hAnsi="Times New Roman" w:cs="Times New Roman"/>
          <w:b/>
          <w:bCs/>
          <w:color w:val="000000" w:themeColor="text1"/>
          <w:sz w:val="20"/>
          <w:szCs w:val="20"/>
          <w:lang w:val="en-US"/>
        </w:rPr>
        <w:t>MICROBIOLOGIC EXAMINATIONS</w:t>
      </w:r>
    </w:p>
    <w:p w14:paraId="7F86BEC5" w14:textId="77777777" w:rsidR="00524FDC" w:rsidRDefault="00524FDC" w:rsidP="00524FDC">
      <w:pPr>
        <w:pStyle w:val="ListParagraph"/>
        <w:spacing w:line="240" w:lineRule="auto"/>
        <w:ind w:left="709"/>
        <w:jc w:val="both"/>
        <w:rPr>
          <w:rFonts w:ascii="Times New Roman" w:hAnsi="Times New Roman" w:cs="Times New Roman"/>
          <w:b/>
          <w:bCs/>
          <w:color w:val="000000" w:themeColor="text1"/>
          <w:sz w:val="20"/>
          <w:szCs w:val="20"/>
          <w:lang w:val="en-US"/>
        </w:rPr>
      </w:pPr>
    </w:p>
    <w:p w14:paraId="0C1725C6" w14:textId="77777777" w:rsidR="00A95E93" w:rsidRPr="002952E5" w:rsidRDefault="00A95E93" w:rsidP="00A95E93">
      <w:pPr>
        <w:pStyle w:val="ListParagraph"/>
        <w:spacing w:line="240" w:lineRule="auto"/>
        <w:ind w:left="709"/>
        <w:jc w:val="both"/>
        <w:rPr>
          <w:rFonts w:ascii="Times New Roman" w:hAnsi="Times New Roman" w:cs="Times New Roman"/>
          <w:b/>
          <w:bCs/>
          <w:color w:val="000000" w:themeColor="text1"/>
          <w:sz w:val="20"/>
          <w:szCs w:val="20"/>
          <w:lang w:val="en-US"/>
        </w:rPr>
      </w:pPr>
    </w:p>
    <w:p w14:paraId="4FE3A3EE" w14:textId="240DFF66" w:rsidR="00831793" w:rsidRPr="002952E5" w:rsidRDefault="00831793" w:rsidP="00A95E93">
      <w:pPr>
        <w:pStyle w:val="ListParagraph"/>
        <w:numPr>
          <w:ilvl w:val="0"/>
          <w:numId w:val="2"/>
        </w:numPr>
        <w:spacing w:line="240" w:lineRule="auto"/>
        <w:ind w:left="993"/>
        <w:jc w:val="both"/>
        <w:rPr>
          <w:rFonts w:ascii="Times New Roman" w:hAnsi="Times New Roman" w:cs="Times New Roman"/>
          <w:b/>
          <w:bCs/>
          <w:color w:val="000000" w:themeColor="text1"/>
          <w:sz w:val="20"/>
          <w:szCs w:val="20"/>
          <w:lang w:val="en-US"/>
        </w:rPr>
      </w:pPr>
      <w:r w:rsidRPr="002952E5">
        <w:rPr>
          <w:rFonts w:ascii="Times New Roman" w:hAnsi="Times New Roman" w:cs="Times New Roman"/>
          <w:b/>
          <w:bCs/>
          <w:color w:val="000000" w:themeColor="text1"/>
          <w:sz w:val="20"/>
          <w:szCs w:val="20"/>
          <w:lang w:val="en-US"/>
        </w:rPr>
        <w:t>Direct examination Techniques:</w:t>
      </w:r>
    </w:p>
    <w:p w14:paraId="22945A35" w14:textId="77777777" w:rsidR="00A60F73" w:rsidRDefault="00A60F73" w:rsidP="00A95E93">
      <w:pPr>
        <w:pStyle w:val="NormalWeb"/>
        <w:shd w:val="clear" w:color="auto" w:fill="FFFFFF"/>
        <w:spacing w:before="166" w:beforeAutospacing="0" w:after="166" w:afterAutospacing="0"/>
        <w:ind w:firstLine="633"/>
        <w:jc w:val="both"/>
        <w:rPr>
          <w:color w:val="000000" w:themeColor="text1"/>
          <w:sz w:val="20"/>
          <w:szCs w:val="20"/>
        </w:rPr>
      </w:pPr>
      <w:r w:rsidRPr="00A60F73">
        <w:rPr>
          <w:color w:val="000000" w:themeColor="text1"/>
          <w:sz w:val="20"/>
          <w:szCs w:val="20"/>
        </w:rPr>
        <w:t>For infinitesimal examination obligatory to have a compound binocular magnifying lens prepared with low-power (1OX), high-power (40X), oil submersion (1OOX), and a great light source. For the immunologic discovery of microbial antigens or antibodies, latex molecule agglutination, agglutination, and enzyme-linked immunosorbent measure (ELISA) are the foremost visit methods within the clinical microbiology research facility.</w:t>
      </w:r>
    </w:p>
    <w:p w14:paraId="0348BB0B" w14:textId="00CF1395" w:rsidR="00A60F73" w:rsidRDefault="00A60F73" w:rsidP="00A60F73">
      <w:pPr>
        <w:pStyle w:val="NormalWeb"/>
        <w:shd w:val="clear" w:color="auto" w:fill="FFFFFF"/>
        <w:spacing w:before="166" w:beforeAutospacing="0" w:after="166" w:afterAutospacing="0"/>
        <w:ind w:firstLine="633"/>
        <w:rPr>
          <w:color w:val="000000" w:themeColor="text1"/>
          <w:sz w:val="20"/>
          <w:szCs w:val="20"/>
        </w:rPr>
      </w:pPr>
      <w:r w:rsidRPr="00A60F73">
        <w:rPr>
          <w:color w:val="000000" w:themeColor="text1"/>
          <w:sz w:val="20"/>
          <w:szCs w:val="20"/>
        </w:rPr>
        <w:t xml:space="preserve">Hereditary test </w:t>
      </w:r>
      <w:r w:rsidR="00CC1202">
        <w:rPr>
          <w:color w:val="000000" w:themeColor="text1"/>
          <w:sz w:val="20"/>
          <w:szCs w:val="20"/>
        </w:rPr>
        <w:t>locations</w:t>
      </w:r>
      <w:r w:rsidRPr="00A60F73">
        <w:rPr>
          <w:color w:val="000000" w:themeColor="text1"/>
          <w:sz w:val="20"/>
          <w:szCs w:val="20"/>
        </w:rPr>
        <w:t xml:space="preserve"> are based on the </w:t>
      </w:r>
      <w:r w:rsidR="00CC1202">
        <w:rPr>
          <w:color w:val="000000" w:themeColor="text1"/>
          <w:sz w:val="20"/>
          <w:szCs w:val="20"/>
        </w:rPr>
        <w:t>one-of-a-kind</w:t>
      </w:r>
      <w:r w:rsidRPr="00A60F73">
        <w:rPr>
          <w:color w:val="000000" w:themeColor="text1"/>
          <w:sz w:val="20"/>
          <w:szCs w:val="20"/>
        </w:rPr>
        <w:t xml:space="preserve"> nucleotide arrangements with the DNA or RNA of pathogens. Such nucleotide arrangements are speaking to a harmfulness quality or hereditary fabric of the pathogens. The </w:t>
      </w:r>
      <w:r w:rsidR="00CC1202">
        <w:rPr>
          <w:color w:val="000000" w:themeColor="text1"/>
          <w:sz w:val="20"/>
          <w:szCs w:val="20"/>
        </w:rPr>
        <w:t>utilization</w:t>
      </w:r>
      <w:r w:rsidRPr="00A60F73">
        <w:rPr>
          <w:color w:val="000000" w:themeColor="text1"/>
          <w:sz w:val="20"/>
          <w:szCs w:val="20"/>
        </w:rPr>
        <w:t xml:space="preserve"> of atomic innovation within the determination of irresistible maladies has been </w:t>
      </w:r>
      <w:r w:rsidR="00CC1202">
        <w:rPr>
          <w:color w:val="000000" w:themeColor="text1"/>
          <w:sz w:val="20"/>
          <w:szCs w:val="20"/>
        </w:rPr>
        <w:t>encouraging</w:t>
      </w:r>
      <w:r w:rsidRPr="00A60F73">
        <w:rPr>
          <w:color w:val="000000" w:themeColor="text1"/>
          <w:sz w:val="20"/>
          <w:szCs w:val="20"/>
        </w:rPr>
        <w:t xml:space="preserve"> </w:t>
      </w:r>
      <w:r w:rsidR="00CC1202">
        <w:rPr>
          <w:color w:val="000000" w:themeColor="text1"/>
          <w:sz w:val="20"/>
          <w:szCs w:val="20"/>
        </w:rPr>
        <w:t xml:space="preserve">and </w:t>
      </w:r>
      <w:r w:rsidRPr="00A60F73">
        <w:rPr>
          <w:color w:val="000000" w:themeColor="text1"/>
          <w:sz w:val="20"/>
          <w:szCs w:val="20"/>
        </w:rPr>
        <w:t>improved by the presentation of quality enhancement strategies, such as the polymerase chain response (PCR). This approach has had major applications within the discovery of contaminations due to microorganisms that are troublesome to culture (e.g. the human immunodeficiency infection) that have not as however been effectively refined.</w:t>
      </w:r>
    </w:p>
    <w:p w14:paraId="07C38623" w14:textId="77777777" w:rsidR="00A60F73" w:rsidRDefault="00A60F73" w:rsidP="00A60F73">
      <w:pPr>
        <w:pStyle w:val="NormalWeb"/>
        <w:shd w:val="clear" w:color="auto" w:fill="FFFFFF"/>
        <w:spacing w:before="166" w:beforeAutospacing="0" w:after="166" w:afterAutospacing="0"/>
        <w:ind w:firstLine="633"/>
        <w:rPr>
          <w:noProof/>
        </w:rPr>
      </w:pPr>
    </w:p>
    <w:p w14:paraId="5FC4F62A" w14:textId="2B9EB9C0" w:rsidR="00232698" w:rsidRDefault="00232698" w:rsidP="000360BF">
      <w:pPr>
        <w:pStyle w:val="NormalWeb"/>
        <w:shd w:val="clear" w:color="auto" w:fill="FFFFFF"/>
        <w:spacing w:before="166" w:beforeAutospacing="0" w:after="166" w:afterAutospacing="0"/>
        <w:ind w:firstLine="633"/>
        <w:jc w:val="center"/>
        <w:rPr>
          <w:color w:val="000000" w:themeColor="text1"/>
          <w:sz w:val="20"/>
          <w:szCs w:val="20"/>
        </w:rPr>
      </w:pPr>
      <w:r>
        <w:rPr>
          <w:noProof/>
        </w:rPr>
        <w:drawing>
          <wp:inline distT="0" distB="0" distL="0" distR="0" wp14:anchorId="052EA416" wp14:editId="313B2637">
            <wp:extent cx="2501661" cy="2501661"/>
            <wp:effectExtent l="0" t="0" r="0" b="0"/>
            <wp:docPr id="16139164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04375" cy="2504375"/>
                    </a:xfrm>
                    <a:prstGeom prst="rect">
                      <a:avLst/>
                    </a:prstGeom>
                    <a:noFill/>
                    <a:ln>
                      <a:noFill/>
                    </a:ln>
                  </pic:spPr>
                </pic:pic>
              </a:graphicData>
            </a:graphic>
          </wp:inline>
        </w:drawing>
      </w:r>
    </w:p>
    <w:p w14:paraId="704A0AC8" w14:textId="387BF96E" w:rsidR="00232698" w:rsidRDefault="000360BF" w:rsidP="000360BF">
      <w:pPr>
        <w:pStyle w:val="NormalWeb"/>
        <w:shd w:val="clear" w:color="auto" w:fill="FFFFFF"/>
        <w:spacing w:before="166" w:beforeAutospacing="0" w:after="166" w:afterAutospacing="0"/>
        <w:ind w:firstLine="633"/>
        <w:jc w:val="center"/>
        <w:rPr>
          <w:b/>
          <w:bCs/>
          <w:color w:val="000000" w:themeColor="text1"/>
          <w:sz w:val="20"/>
          <w:szCs w:val="20"/>
        </w:rPr>
      </w:pPr>
      <w:r>
        <w:rPr>
          <w:b/>
          <w:bCs/>
          <w:color w:val="000000" w:themeColor="text1"/>
          <w:sz w:val="20"/>
          <w:szCs w:val="20"/>
        </w:rPr>
        <w:t xml:space="preserve">Figure: 3 </w:t>
      </w:r>
      <w:r w:rsidR="00C73554">
        <w:rPr>
          <w:b/>
          <w:bCs/>
          <w:color w:val="000000" w:themeColor="text1"/>
          <w:sz w:val="20"/>
          <w:szCs w:val="20"/>
        </w:rPr>
        <w:t>Compound</w:t>
      </w:r>
      <w:r>
        <w:rPr>
          <w:b/>
          <w:bCs/>
          <w:color w:val="000000" w:themeColor="text1"/>
          <w:sz w:val="20"/>
          <w:szCs w:val="20"/>
        </w:rPr>
        <w:t xml:space="preserve"> </w:t>
      </w:r>
      <w:r w:rsidR="00C73554">
        <w:rPr>
          <w:b/>
          <w:bCs/>
          <w:color w:val="000000" w:themeColor="text1"/>
          <w:sz w:val="20"/>
          <w:szCs w:val="20"/>
        </w:rPr>
        <w:t>Binocular</w:t>
      </w:r>
      <w:r>
        <w:rPr>
          <w:b/>
          <w:bCs/>
          <w:color w:val="000000" w:themeColor="text1"/>
          <w:sz w:val="20"/>
          <w:szCs w:val="20"/>
        </w:rPr>
        <w:t xml:space="preserve"> Microscope</w:t>
      </w:r>
    </w:p>
    <w:p w14:paraId="07B460A5" w14:textId="77777777" w:rsidR="00D331B1" w:rsidRPr="000360BF" w:rsidRDefault="00D331B1" w:rsidP="000360BF">
      <w:pPr>
        <w:pStyle w:val="NormalWeb"/>
        <w:shd w:val="clear" w:color="auto" w:fill="FFFFFF"/>
        <w:spacing w:before="166" w:beforeAutospacing="0" w:after="166" w:afterAutospacing="0"/>
        <w:ind w:firstLine="633"/>
        <w:jc w:val="center"/>
        <w:rPr>
          <w:b/>
          <w:bCs/>
          <w:color w:val="000000" w:themeColor="text1"/>
          <w:sz w:val="20"/>
          <w:szCs w:val="20"/>
        </w:rPr>
      </w:pPr>
    </w:p>
    <w:p w14:paraId="74BA6D76" w14:textId="456153FE" w:rsidR="00C215C2" w:rsidRPr="002952E5" w:rsidRDefault="00C215C2" w:rsidP="00A95E93">
      <w:pPr>
        <w:pStyle w:val="NormalWeb"/>
        <w:numPr>
          <w:ilvl w:val="0"/>
          <w:numId w:val="2"/>
        </w:numPr>
        <w:shd w:val="clear" w:color="auto" w:fill="FFFFFF"/>
        <w:spacing w:before="166" w:beforeAutospacing="0" w:after="166" w:afterAutospacing="0"/>
        <w:ind w:left="993"/>
        <w:jc w:val="both"/>
        <w:rPr>
          <w:b/>
          <w:bCs/>
          <w:color w:val="000000" w:themeColor="text1"/>
          <w:sz w:val="20"/>
          <w:szCs w:val="20"/>
        </w:rPr>
      </w:pPr>
      <w:r w:rsidRPr="002952E5">
        <w:rPr>
          <w:b/>
          <w:bCs/>
          <w:color w:val="000000" w:themeColor="text1"/>
          <w:sz w:val="20"/>
          <w:szCs w:val="20"/>
        </w:rPr>
        <w:lastRenderedPageBreak/>
        <w:t>Culture methods:</w:t>
      </w:r>
    </w:p>
    <w:p w14:paraId="048354DE" w14:textId="77777777" w:rsidR="00A60F73" w:rsidRDefault="00A60F73" w:rsidP="00A95E93">
      <w:pPr>
        <w:pStyle w:val="NormalWeb"/>
        <w:shd w:val="clear" w:color="auto" w:fill="FFFFFF"/>
        <w:spacing w:before="166" w:beforeAutospacing="0" w:after="166" w:afterAutospacing="0"/>
        <w:ind w:firstLine="633"/>
        <w:jc w:val="both"/>
        <w:rPr>
          <w:color w:val="000000" w:themeColor="text1"/>
          <w:sz w:val="20"/>
          <w:szCs w:val="20"/>
        </w:rPr>
      </w:pPr>
      <w:r w:rsidRPr="00A60F73">
        <w:rPr>
          <w:color w:val="000000" w:themeColor="text1"/>
          <w:sz w:val="20"/>
          <w:szCs w:val="20"/>
        </w:rPr>
        <w:t>The cause of contamination is affirmed by segregating and refined microorganisms either in fake media or in a living have. Microscopic organisms and parasites are refined in fluid (broth) or strong (agar) fake media. Fluid media give more prominent affectability for the confinement of little numbers of microorganisms. Strong media give disconnected colonies that can be measured on the off chance that fundamental and a few genera and species can be recognized based on their colony morphologies.</w:t>
      </w:r>
    </w:p>
    <w:p w14:paraId="6096E86F" w14:textId="73187194" w:rsidR="00A60F73" w:rsidRDefault="00A60F73" w:rsidP="00A95E93">
      <w:pPr>
        <w:pStyle w:val="NormalWeb"/>
        <w:shd w:val="clear" w:color="auto" w:fill="FFFFFF"/>
        <w:spacing w:before="166" w:beforeAutospacing="0" w:after="166" w:afterAutospacing="0"/>
        <w:ind w:firstLine="633"/>
        <w:jc w:val="both"/>
        <w:rPr>
          <w:color w:val="000000" w:themeColor="text1"/>
          <w:sz w:val="20"/>
          <w:szCs w:val="20"/>
        </w:rPr>
      </w:pPr>
      <w:r w:rsidRPr="00A60F73">
        <w:rPr>
          <w:color w:val="000000" w:themeColor="text1"/>
          <w:sz w:val="20"/>
          <w:szCs w:val="20"/>
        </w:rPr>
        <w:t xml:space="preserve">Consolidating one or more carbohydrates within the medium together with a reasonable pH marker is utilized to discover differential carbohydrate maturing microorganisms. Such media are called differential media (e.g., eosin methylene blue or MacConkey agar) and are commonly utilized to disconnect Enterobacteriaceae by the </w:t>
      </w:r>
      <w:proofErr w:type="spellStart"/>
      <w:r w:rsidRPr="00A60F73">
        <w:rPr>
          <w:color w:val="000000" w:themeColor="text1"/>
          <w:sz w:val="20"/>
          <w:szCs w:val="20"/>
        </w:rPr>
        <w:t>color</w:t>
      </w:r>
      <w:proofErr w:type="spellEnd"/>
      <w:r w:rsidRPr="00A60F73">
        <w:rPr>
          <w:color w:val="000000" w:themeColor="text1"/>
          <w:sz w:val="20"/>
          <w:szCs w:val="20"/>
        </w:rPr>
        <w:t xml:space="preserve"> as well as the morphology of colonies.</w:t>
      </w:r>
    </w:p>
    <w:p w14:paraId="0F14206D" w14:textId="677DC826" w:rsidR="00A60F73" w:rsidRDefault="00A60F73" w:rsidP="00A95E93">
      <w:pPr>
        <w:pStyle w:val="NormalWeb"/>
        <w:shd w:val="clear" w:color="auto" w:fill="FFFFFF"/>
        <w:spacing w:before="166" w:beforeAutospacing="0" w:after="166" w:afterAutospacing="0"/>
        <w:ind w:firstLine="633"/>
        <w:jc w:val="both"/>
        <w:rPr>
          <w:color w:val="000000" w:themeColor="text1"/>
          <w:sz w:val="20"/>
          <w:szCs w:val="20"/>
        </w:rPr>
      </w:pPr>
      <w:r w:rsidRPr="00A60F73">
        <w:rPr>
          <w:color w:val="000000" w:themeColor="text1"/>
          <w:sz w:val="20"/>
          <w:szCs w:val="20"/>
        </w:rPr>
        <w:t xml:space="preserve">Culture media can too be made specific by joining compounds such as antimicrobial specialists that repress the inborn greenery </w:t>
      </w:r>
      <w:r w:rsidR="00CC1202">
        <w:rPr>
          <w:color w:val="000000" w:themeColor="text1"/>
          <w:sz w:val="20"/>
          <w:szCs w:val="20"/>
        </w:rPr>
        <w:t>while</w:t>
      </w:r>
      <w:r w:rsidRPr="00A60F73">
        <w:rPr>
          <w:color w:val="000000" w:themeColor="text1"/>
          <w:sz w:val="20"/>
          <w:szCs w:val="20"/>
        </w:rPr>
        <w:t xml:space="preserve"> allowing the development of particular microorganisms safe to these inhibitors. One such case is the Thayer-Martin medium, which is utilized to confine Neisseria gonorrhoeae. This medium contains vancomycin to repress Gram-positive microbes, colistin to restrain most Gram-negative bacilli, trimethoprim-sulfamethoxazole to restrain Proteus species and other species that are not hindered by colistin and azinomycin to repress parasites.</w:t>
      </w:r>
    </w:p>
    <w:p w14:paraId="44E259AF" w14:textId="265F39CE" w:rsidR="00A60F73" w:rsidRDefault="00A60F73" w:rsidP="00D331B1">
      <w:pPr>
        <w:pStyle w:val="NormalWeb"/>
        <w:shd w:val="clear" w:color="auto" w:fill="FFFFFF"/>
        <w:spacing w:before="166" w:beforeAutospacing="0" w:after="166" w:afterAutospacing="0"/>
        <w:ind w:firstLine="633"/>
        <w:rPr>
          <w:noProof/>
        </w:rPr>
      </w:pPr>
      <w:r w:rsidRPr="00A60F73">
        <w:rPr>
          <w:color w:val="000000" w:themeColor="text1"/>
          <w:sz w:val="20"/>
          <w:szCs w:val="20"/>
        </w:rPr>
        <w:t xml:space="preserve">Chlamydia and infections are refined in cell culture frameworks, but a few infection </w:t>
      </w:r>
      <w:r w:rsidR="00CC1202">
        <w:rPr>
          <w:color w:val="000000" w:themeColor="text1"/>
          <w:sz w:val="20"/>
          <w:szCs w:val="20"/>
        </w:rPr>
        <w:t>confinements</w:t>
      </w:r>
      <w:r w:rsidRPr="00A60F73">
        <w:rPr>
          <w:color w:val="000000" w:themeColor="text1"/>
          <w:sz w:val="20"/>
          <w:szCs w:val="20"/>
        </w:rPr>
        <w:t xml:space="preserve"> </w:t>
      </w:r>
      <w:r w:rsidR="00CC1202">
        <w:rPr>
          <w:color w:val="000000" w:themeColor="text1"/>
          <w:sz w:val="20"/>
          <w:szCs w:val="20"/>
        </w:rPr>
        <w:t>require</w:t>
      </w:r>
      <w:r w:rsidRPr="00A60F73">
        <w:rPr>
          <w:color w:val="000000" w:themeColor="text1"/>
          <w:sz w:val="20"/>
          <w:szCs w:val="20"/>
        </w:rPr>
        <w:t xml:space="preserve"> creature vaccination, such as suckling mice, rabbits, guinea pigs, hamsters, or primates. Societies are for the most part hatched at 35 to 37°C within the BOD hatchery depending upon the prerequisites of the microorganism. Clinical examples from bacterial contaminations regularly contain </w:t>
      </w:r>
      <w:r w:rsidR="00CC1202">
        <w:rPr>
          <w:color w:val="000000" w:themeColor="text1"/>
          <w:sz w:val="20"/>
          <w:szCs w:val="20"/>
        </w:rPr>
        <w:t>oxygen-consuming</w:t>
      </w:r>
      <w:r w:rsidRPr="00A60F73">
        <w:rPr>
          <w:color w:val="000000" w:themeColor="text1"/>
          <w:sz w:val="20"/>
          <w:szCs w:val="20"/>
        </w:rPr>
        <w:t xml:space="preserve">, </w:t>
      </w:r>
      <w:r w:rsidR="00CC1202">
        <w:rPr>
          <w:color w:val="000000" w:themeColor="text1"/>
          <w:sz w:val="20"/>
          <w:szCs w:val="20"/>
        </w:rPr>
        <w:t>facultatively</w:t>
      </w:r>
      <w:r w:rsidRPr="00A60F73">
        <w:rPr>
          <w:color w:val="000000" w:themeColor="text1"/>
          <w:sz w:val="20"/>
          <w:szCs w:val="20"/>
        </w:rPr>
        <w:t xml:space="preserve"> anaerobic, and anaerobic microbes, such examples are ordinarily immunized into a differential and particular media, which are at that point hatched beneath </w:t>
      </w:r>
      <w:r w:rsidR="00CC1202">
        <w:rPr>
          <w:color w:val="000000" w:themeColor="text1"/>
          <w:sz w:val="20"/>
          <w:szCs w:val="20"/>
        </w:rPr>
        <w:t>oxygen-consuming</w:t>
      </w:r>
      <w:r w:rsidRPr="00A60F73">
        <w:rPr>
          <w:color w:val="000000" w:themeColor="text1"/>
          <w:sz w:val="20"/>
          <w:szCs w:val="20"/>
        </w:rPr>
        <w:t xml:space="preserve"> and anaerobic conditions. And The brooding term of societies moreover changes with the development characteristics of the microorganism. Most high-impact and anaerobic microbes will develop overnight, while a few mycobacteria require as numerous as 6 to 8 weeks.</w:t>
      </w:r>
      <w:r w:rsidR="00D331B1">
        <w:rPr>
          <w:color w:val="000000" w:themeColor="text1"/>
          <w:sz w:val="20"/>
          <w:szCs w:val="20"/>
          <w:shd w:val="clear" w:color="auto" w:fill="FFFFFF"/>
        </w:rPr>
        <w:t xml:space="preserve">               </w:t>
      </w:r>
    </w:p>
    <w:p w14:paraId="6BFDEE2B" w14:textId="3A976EB5" w:rsidR="00D331B1" w:rsidRDefault="00D331B1" w:rsidP="00A60F73">
      <w:pPr>
        <w:pStyle w:val="NormalWeb"/>
        <w:shd w:val="clear" w:color="auto" w:fill="FFFFFF"/>
        <w:spacing w:before="166" w:beforeAutospacing="0" w:after="166" w:afterAutospacing="0"/>
        <w:ind w:firstLine="633"/>
        <w:jc w:val="center"/>
        <w:rPr>
          <w:color w:val="000000" w:themeColor="text1"/>
          <w:sz w:val="20"/>
          <w:szCs w:val="20"/>
          <w:shd w:val="clear" w:color="auto" w:fill="FFFFFF"/>
        </w:rPr>
      </w:pPr>
      <w:r>
        <w:rPr>
          <w:noProof/>
        </w:rPr>
        <w:drawing>
          <wp:inline distT="0" distB="0" distL="0" distR="0" wp14:anchorId="2DC99631" wp14:editId="2FE8E241">
            <wp:extent cx="3485072" cy="2369848"/>
            <wp:effectExtent l="0" t="0" r="1270" b="0"/>
            <wp:docPr id="120955324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12739" cy="2388661"/>
                    </a:xfrm>
                    <a:prstGeom prst="rect">
                      <a:avLst/>
                    </a:prstGeom>
                    <a:noFill/>
                    <a:ln>
                      <a:noFill/>
                    </a:ln>
                  </pic:spPr>
                </pic:pic>
              </a:graphicData>
            </a:graphic>
          </wp:inline>
        </w:drawing>
      </w:r>
    </w:p>
    <w:p w14:paraId="1ADF1B56" w14:textId="664CFFE1" w:rsidR="004B434E" w:rsidRDefault="00D331B1" w:rsidP="00D331B1">
      <w:pPr>
        <w:pStyle w:val="NormalWeb"/>
        <w:shd w:val="clear" w:color="auto" w:fill="FFFFFF"/>
        <w:spacing w:before="166" w:beforeAutospacing="0" w:after="166" w:afterAutospacing="0"/>
        <w:ind w:firstLine="633"/>
        <w:jc w:val="center"/>
        <w:rPr>
          <w:b/>
          <w:bCs/>
          <w:color w:val="000000" w:themeColor="text1"/>
          <w:sz w:val="20"/>
          <w:szCs w:val="20"/>
          <w:shd w:val="clear" w:color="auto" w:fill="FFFFFF"/>
        </w:rPr>
      </w:pPr>
      <w:r>
        <w:rPr>
          <w:b/>
          <w:bCs/>
          <w:color w:val="000000" w:themeColor="text1"/>
          <w:sz w:val="20"/>
          <w:szCs w:val="20"/>
          <w:shd w:val="clear" w:color="auto" w:fill="FFFFFF"/>
        </w:rPr>
        <w:t>Figure:4 Different types of solid culture media</w:t>
      </w:r>
    </w:p>
    <w:p w14:paraId="34CA75E8" w14:textId="1E67FC80" w:rsidR="004B434E" w:rsidRDefault="004B434E" w:rsidP="00EB2A76">
      <w:pPr>
        <w:pStyle w:val="NormalWeb"/>
        <w:shd w:val="clear" w:color="auto" w:fill="FFFFFF"/>
        <w:spacing w:before="166" w:beforeAutospacing="0" w:after="166" w:afterAutospacing="0"/>
        <w:ind w:firstLine="633"/>
        <w:jc w:val="center"/>
        <w:rPr>
          <w:b/>
          <w:bCs/>
          <w:color w:val="000000" w:themeColor="text1"/>
          <w:sz w:val="20"/>
          <w:szCs w:val="20"/>
          <w:shd w:val="clear" w:color="auto" w:fill="FFFFFF"/>
        </w:rPr>
      </w:pPr>
      <w:r>
        <w:rPr>
          <w:noProof/>
        </w:rPr>
        <w:drawing>
          <wp:inline distT="0" distB="0" distL="0" distR="0" wp14:anchorId="7E9EC7D4" wp14:editId="0E2E5092">
            <wp:extent cx="2389517" cy="1674374"/>
            <wp:effectExtent l="0" t="0" r="0" b="2540"/>
            <wp:docPr id="53438890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05050" cy="1685258"/>
                    </a:xfrm>
                    <a:prstGeom prst="rect">
                      <a:avLst/>
                    </a:prstGeom>
                    <a:noFill/>
                    <a:ln>
                      <a:noFill/>
                    </a:ln>
                  </pic:spPr>
                </pic:pic>
              </a:graphicData>
            </a:graphic>
          </wp:inline>
        </w:drawing>
      </w:r>
    </w:p>
    <w:p w14:paraId="5A4B3394" w14:textId="19F1F55E" w:rsidR="004B434E" w:rsidRPr="00D331B1" w:rsidRDefault="004B434E" w:rsidP="00D331B1">
      <w:pPr>
        <w:pStyle w:val="NormalWeb"/>
        <w:shd w:val="clear" w:color="auto" w:fill="FFFFFF"/>
        <w:spacing w:before="166" w:beforeAutospacing="0" w:after="166" w:afterAutospacing="0"/>
        <w:ind w:firstLine="633"/>
        <w:jc w:val="center"/>
        <w:rPr>
          <w:b/>
          <w:bCs/>
          <w:color w:val="000000" w:themeColor="text1"/>
          <w:sz w:val="20"/>
          <w:szCs w:val="20"/>
          <w:shd w:val="clear" w:color="auto" w:fill="FFFFFF"/>
        </w:rPr>
      </w:pPr>
      <w:r>
        <w:rPr>
          <w:b/>
          <w:bCs/>
          <w:color w:val="000000" w:themeColor="text1"/>
          <w:sz w:val="20"/>
          <w:szCs w:val="20"/>
          <w:shd w:val="clear" w:color="auto" w:fill="FFFFFF"/>
        </w:rPr>
        <w:t xml:space="preserve">Figure:5 </w:t>
      </w:r>
      <w:r w:rsidR="00EB2A76">
        <w:rPr>
          <w:b/>
          <w:bCs/>
          <w:color w:val="000000" w:themeColor="text1"/>
          <w:sz w:val="20"/>
          <w:szCs w:val="20"/>
          <w:shd w:val="clear" w:color="auto" w:fill="FFFFFF"/>
        </w:rPr>
        <w:t>Liquid culture media (Nutrient Broth)</w:t>
      </w:r>
    </w:p>
    <w:p w14:paraId="1DFF3830" w14:textId="087EFEE9" w:rsidR="00C215C2" w:rsidRPr="002952E5" w:rsidRDefault="00A07D23" w:rsidP="00A95E93">
      <w:pPr>
        <w:pStyle w:val="NormalWeb"/>
        <w:numPr>
          <w:ilvl w:val="0"/>
          <w:numId w:val="2"/>
        </w:numPr>
        <w:shd w:val="clear" w:color="auto" w:fill="FFFFFF"/>
        <w:spacing w:before="166" w:beforeAutospacing="0" w:after="166" w:afterAutospacing="0"/>
        <w:ind w:left="993"/>
        <w:jc w:val="both"/>
        <w:rPr>
          <w:b/>
          <w:bCs/>
          <w:color w:val="000000" w:themeColor="text1"/>
          <w:sz w:val="20"/>
          <w:szCs w:val="20"/>
        </w:rPr>
      </w:pPr>
      <w:r w:rsidRPr="002952E5">
        <w:rPr>
          <w:b/>
          <w:bCs/>
          <w:color w:val="000000" w:themeColor="text1"/>
          <w:sz w:val="20"/>
          <w:szCs w:val="20"/>
        </w:rPr>
        <w:lastRenderedPageBreak/>
        <w:t>Microbial identification:</w:t>
      </w:r>
    </w:p>
    <w:p w14:paraId="487ED943" w14:textId="388F1939" w:rsidR="00A60F73" w:rsidRDefault="00A60F73" w:rsidP="00A95E93">
      <w:pPr>
        <w:pStyle w:val="NormalWeb"/>
        <w:shd w:val="clear" w:color="auto" w:fill="FFFFFF"/>
        <w:spacing w:before="166" w:beforeAutospacing="0" w:after="166" w:afterAutospacing="0"/>
        <w:ind w:left="-11" w:firstLine="644"/>
        <w:jc w:val="both"/>
        <w:rPr>
          <w:noProof/>
        </w:rPr>
      </w:pPr>
      <w:r w:rsidRPr="00A60F73">
        <w:rPr>
          <w:color w:val="000000" w:themeColor="text1"/>
          <w:sz w:val="20"/>
          <w:szCs w:val="20"/>
        </w:rPr>
        <w:t xml:space="preserve">Microbial development in societies is illustrated by the appearance of turbidity, and gas arrangement. Recognizable proof of microscopic organisms is based on the development characteristics of the colony and minuscule morphology, biochemical, </w:t>
      </w:r>
      <w:r w:rsidR="00CC1202">
        <w:rPr>
          <w:color w:val="000000" w:themeColor="text1"/>
          <w:sz w:val="20"/>
          <w:szCs w:val="20"/>
        </w:rPr>
        <w:t xml:space="preserve">and </w:t>
      </w:r>
      <w:r w:rsidRPr="00A60F73">
        <w:rPr>
          <w:color w:val="000000" w:themeColor="text1"/>
          <w:sz w:val="20"/>
          <w:szCs w:val="20"/>
        </w:rPr>
        <w:t xml:space="preserve">physiologic characteristics. The choice and number of tests for bacterial recognizable proof depend upon the category of microbes display and the ability of the microbiologist </w:t>
      </w:r>
      <w:r w:rsidR="00CC1202">
        <w:rPr>
          <w:color w:val="000000" w:themeColor="text1"/>
          <w:sz w:val="20"/>
          <w:szCs w:val="20"/>
        </w:rPr>
        <w:t xml:space="preserve">to </w:t>
      </w:r>
      <w:proofErr w:type="spellStart"/>
      <w:r w:rsidR="00CC1202">
        <w:rPr>
          <w:color w:val="000000" w:themeColor="text1"/>
          <w:sz w:val="20"/>
          <w:szCs w:val="20"/>
        </w:rPr>
        <w:t>analyze</w:t>
      </w:r>
      <w:proofErr w:type="spellEnd"/>
      <w:r w:rsidRPr="00A60F73">
        <w:rPr>
          <w:color w:val="000000" w:themeColor="text1"/>
          <w:sz w:val="20"/>
          <w:szCs w:val="20"/>
        </w:rPr>
        <w:t xml:space="preserve"> the culture. The distinguishing proof of filamentous parasites is based on development characteristics and colony and minuscule morphology. Recognizable proof of infections is based on characteristic cytopathic impacts in cell societies, species-specific antigens, or nucleotide groupings.</w:t>
      </w:r>
    </w:p>
    <w:p w14:paraId="3052B876" w14:textId="28B525FB" w:rsidR="00D41B62" w:rsidRDefault="00D41B62" w:rsidP="00A95E93">
      <w:pPr>
        <w:pStyle w:val="NormalWeb"/>
        <w:shd w:val="clear" w:color="auto" w:fill="FFFFFF"/>
        <w:spacing w:before="166" w:beforeAutospacing="0" w:after="166" w:afterAutospacing="0"/>
        <w:ind w:left="-11" w:firstLine="644"/>
        <w:jc w:val="both"/>
        <w:rPr>
          <w:color w:val="000000" w:themeColor="text1"/>
          <w:sz w:val="20"/>
          <w:szCs w:val="20"/>
        </w:rPr>
      </w:pPr>
      <w:r>
        <w:rPr>
          <w:noProof/>
        </w:rPr>
        <w:drawing>
          <wp:inline distT="0" distB="0" distL="0" distR="0" wp14:anchorId="69870CFE" wp14:editId="355A9E6F">
            <wp:extent cx="2346325" cy="2165231"/>
            <wp:effectExtent l="0" t="0" r="0" b="6985"/>
            <wp:docPr id="66746683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52890" cy="2171289"/>
                    </a:xfrm>
                    <a:prstGeom prst="rect">
                      <a:avLst/>
                    </a:prstGeom>
                    <a:noFill/>
                    <a:ln>
                      <a:noFill/>
                    </a:ln>
                  </pic:spPr>
                </pic:pic>
              </a:graphicData>
            </a:graphic>
          </wp:inline>
        </w:drawing>
      </w:r>
      <w:r>
        <w:rPr>
          <w:noProof/>
        </w:rPr>
        <w:t xml:space="preserve">                </w:t>
      </w:r>
      <w:r>
        <w:rPr>
          <w:noProof/>
        </w:rPr>
        <w:drawing>
          <wp:inline distT="0" distB="0" distL="0" distR="0" wp14:anchorId="73B7C077" wp14:editId="5FDCF470">
            <wp:extent cx="2311400" cy="2113472"/>
            <wp:effectExtent l="0" t="0" r="0" b="1270"/>
            <wp:docPr id="79630200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26205" cy="2127009"/>
                    </a:xfrm>
                    <a:prstGeom prst="rect">
                      <a:avLst/>
                    </a:prstGeom>
                    <a:noFill/>
                    <a:ln>
                      <a:noFill/>
                    </a:ln>
                  </pic:spPr>
                </pic:pic>
              </a:graphicData>
            </a:graphic>
          </wp:inline>
        </w:drawing>
      </w:r>
    </w:p>
    <w:p w14:paraId="40A58BA9" w14:textId="4FCB2791" w:rsidR="00524FDC" w:rsidRDefault="00D41B62" w:rsidP="00D41B62">
      <w:pPr>
        <w:pStyle w:val="NormalWeb"/>
        <w:shd w:val="clear" w:color="auto" w:fill="FFFFFF"/>
        <w:spacing w:before="166" w:beforeAutospacing="0" w:after="166" w:afterAutospacing="0"/>
        <w:ind w:left="-11"/>
        <w:jc w:val="both"/>
        <w:rPr>
          <w:b/>
          <w:bCs/>
          <w:color w:val="000000" w:themeColor="text1"/>
          <w:sz w:val="20"/>
          <w:szCs w:val="20"/>
        </w:rPr>
      </w:pPr>
      <w:r>
        <w:rPr>
          <w:b/>
          <w:bCs/>
          <w:color w:val="000000" w:themeColor="text1"/>
          <w:sz w:val="20"/>
          <w:szCs w:val="20"/>
        </w:rPr>
        <w:t xml:space="preserve">       Figure:6 Blood agar </w:t>
      </w:r>
      <w:r w:rsidR="00C73554">
        <w:rPr>
          <w:b/>
          <w:bCs/>
          <w:color w:val="000000" w:themeColor="text1"/>
          <w:sz w:val="20"/>
          <w:szCs w:val="20"/>
        </w:rPr>
        <w:t>beta-</w:t>
      </w:r>
      <w:proofErr w:type="spellStart"/>
      <w:r w:rsidR="00C73554">
        <w:rPr>
          <w:b/>
          <w:bCs/>
          <w:color w:val="000000" w:themeColor="text1"/>
          <w:sz w:val="20"/>
          <w:szCs w:val="20"/>
        </w:rPr>
        <w:t>hemolytic</w:t>
      </w:r>
      <w:proofErr w:type="spellEnd"/>
      <w:r>
        <w:rPr>
          <w:b/>
          <w:bCs/>
          <w:color w:val="000000" w:themeColor="text1"/>
          <w:sz w:val="20"/>
          <w:szCs w:val="20"/>
        </w:rPr>
        <w:t xml:space="preserve"> colony </w:t>
      </w:r>
      <w:r>
        <w:rPr>
          <w:b/>
          <w:bCs/>
          <w:color w:val="000000" w:themeColor="text1"/>
          <w:sz w:val="20"/>
          <w:szCs w:val="20"/>
        </w:rPr>
        <w:tab/>
        <w:t xml:space="preserve">             Figure:7 MacConkey agar LF and NLF colony</w:t>
      </w:r>
    </w:p>
    <w:p w14:paraId="55ADB6D2" w14:textId="77777777" w:rsidR="00D41B62" w:rsidRPr="00D41B62" w:rsidRDefault="00D41B62" w:rsidP="00D41B62">
      <w:pPr>
        <w:pStyle w:val="NormalWeb"/>
        <w:shd w:val="clear" w:color="auto" w:fill="FFFFFF"/>
        <w:spacing w:before="166" w:beforeAutospacing="0" w:after="166" w:afterAutospacing="0"/>
        <w:ind w:left="-11"/>
        <w:jc w:val="both"/>
        <w:rPr>
          <w:b/>
          <w:bCs/>
          <w:color w:val="000000" w:themeColor="text1"/>
          <w:sz w:val="20"/>
          <w:szCs w:val="20"/>
        </w:rPr>
      </w:pPr>
    </w:p>
    <w:p w14:paraId="16F3740B" w14:textId="5DF2C6A4" w:rsidR="000806BF" w:rsidRPr="002952E5" w:rsidRDefault="000806BF" w:rsidP="00A95E93">
      <w:pPr>
        <w:pStyle w:val="NormalWeb"/>
        <w:numPr>
          <w:ilvl w:val="0"/>
          <w:numId w:val="2"/>
        </w:numPr>
        <w:shd w:val="clear" w:color="auto" w:fill="FFFFFF"/>
        <w:spacing w:before="166" w:beforeAutospacing="0" w:after="166" w:afterAutospacing="0"/>
        <w:ind w:left="993"/>
        <w:jc w:val="both"/>
        <w:rPr>
          <w:b/>
          <w:bCs/>
          <w:color w:val="000000" w:themeColor="text1"/>
          <w:sz w:val="20"/>
          <w:szCs w:val="20"/>
        </w:rPr>
      </w:pPr>
      <w:r w:rsidRPr="002952E5">
        <w:rPr>
          <w:b/>
          <w:bCs/>
          <w:color w:val="000000" w:themeColor="text1"/>
          <w:sz w:val="20"/>
          <w:szCs w:val="20"/>
        </w:rPr>
        <w:t>Interpretation of culture results:</w:t>
      </w:r>
    </w:p>
    <w:p w14:paraId="3B26AE75" w14:textId="4DC17265" w:rsidR="00A60F73" w:rsidRPr="00A60F73" w:rsidRDefault="00A60F73" w:rsidP="00A60F73">
      <w:pPr>
        <w:pStyle w:val="NormalWeb"/>
        <w:shd w:val="clear" w:color="auto" w:fill="FFFFFF"/>
        <w:spacing w:before="166" w:beforeAutospacing="0" w:after="166" w:afterAutospacing="0"/>
        <w:ind w:firstLine="633"/>
        <w:jc w:val="both"/>
        <w:rPr>
          <w:b/>
          <w:bCs/>
          <w:color w:val="000000" w:themeColor="text1"/>
          <w:sz w:val="20"/>
          <w:szCs w:val="20"/>
        </w:rPr>
      </w:pPr>
      <w:r w:rsidRPr="00A60F73">
        <w:rPr>
          <w:color w:val="000000" w:themeColor="text1"/>
          <w:sz w:val="20"/>
          <w:szCs w:val="20"/>
          <w:shd w:val="clear" w:color="auto" w:fill="FFFFFF"/>
        </w:rPr>
        <w:t xml:space="preserve">Some microorganisms, such as Shigella dysenteriae, Mycobacterium tuberculosis, Coccidioides immitis, and flu disease, are ceaselessly considered clinically vital. Others that commonly are secure components of the intrinsic vegetation of the skin and mucous layers or that are common inside the environment may or may not be clinically critical, depending on the illustration source from which they are detached. Along these lines, their imprisonment from shallow ulcers, wounds, and sputum cannot commonly be deciphered as clinically critical. In any case, they commonly cause contaminations related </w:t>
      </w:r>
      <w:r w:rsidR="00CC1202">
        <w:rPr>
          <w:color w:val="000000" w:themeColor="text1"/>
          <w:sz w:val="20"/>
          <w:szCs w:val="20"/>
          <w:shd w:val="clear" w:color="auto" w:fill="FFFFFF"/>
        </w:rPr>
        <w:t>to</w:t>
      </w:r>
      <w:r w:rsidRPr="00A60F73">
        <w:rPr>
          <w:color w:val="000000" w:themeColor="text1"/>
          <w:sz w:val="20"/>
          <w:szCs w:val="20"/>
          <w:shd w:val="clear" w:color="auto" w:fill="FFFFFF"/>
        </w:rPr>
        <w:t xml:space="preserve"> intravascular contraptions and inserted prosthetic materials. Specialists must as well consider that the composition of microbial species on the skin and mucous movies may be altered by sickness, organization of </w:t>
      </w:r>
      <w:r w:rsidR="00CC1202">
        <w:rPr>
          <w:color w:val="000000" w:themeColor="text1"/>
          <w:sz w:val="20"/>
          <w:szCs w:val="20"/>
          <w:shd w:val="clear" w:color="auto" w:fill="FFFFFF"/>
        </w:rPr>
        <w:t>anti-microbial</w:t>
      </w:r>
      <w:r w:rsidRPr="00A60F73">
        <w:rPr>
          <w:color w:val="000000" w:themeColor="text1"/>
          <w:sz w:val="20"/>
          <w:szCs w:val="20"/>
          <w:shd w:val="clear" w:color="auto" w:fill="FFFFFF"/>
        </w:rPr>
        <w:t>, endotracheal or gastric intubation, and the clinic environment.</w:t>
      </w:r>
    </w:p>
    <w:p w14:paraId="10996AD2" w14:textId="144877C0" w:rsidR="00470076" w:rsidRPr="002952E5" w:rsidRDefault="006A152C" w:rsidP="00A95E93">
      <w:pPr>
        <w:pStyle w:val="NormalWeb"/>
        <w:numPr>
          <w:ilvl w:val="0"/>
          <w:numId w:val="2"/>
        </w:numPr>
        <w:shd w:val="clear" w:color="auto" w:fill="FFFFFF"/>
        <w:spacing w:before="166" w:beforeAutospacing="0" w:after="166" w:afterAutospacing="0"/>
        <w:ind w:left="993"/>
        <w:jc w:val="both"/>
        <w:rPr>
          <w:b/>
          <w:bCs/>
          <w:color w:val="000000" w:themeColor="text1"/>
          <w:sz w:val="20"/>
          <w:szCs w:val="20"/>
        </w:rPr>
      </w:pPr>
      <w:r w:rsidRPr="002952E5">
        <w:rPr>
          <w:b/>
          <w:bCs/>
          <w:color w:val="000000" w:themeColor="text1"/>
          <w:sz w:val="20"/>
          <w:szCs w:val="20"/>
        </w:rPr>
        <w:t>Serodiagnosis:</w:t>
      </w:r>
    </w:p>
    <w:p w14:paraId="7BCBA24A" w14:textId="50D2FD94" w:rsidR="002C0125" w:rsidRDefault="002C0125" w:rsidP="002C0125">
      <w:pPr>
        <w:pStyle w:val="NormalWeb"/>
        <w:shd w:val="clear" w:color="auto" w:fill="FFFFFF"/>
        <w:spacing w:before="166" w:beforeAutospacing="0" w:after="166" w:afterAutospacing="0"/>
        <w:ind w:firstLine="633"/>
        <w:jc w:val="both"/>
        <w:rPr>
          <w:noProof/>
        </w:rPr>
      </w:pPr>
      <w:r w:rsidRPr="002C0125">
        <w:rPr>
          <w:color w:val="000000" w:themeColor="text1"/>
          <w:sz w:val="20"/>
          <w:szCs w:val="20"/>
        </w:rPr>
        <w:t xml:space="preserve">Contamination may be </w:t>
      </w:r>
      <w:proofErr w:type="spellStart"/>
      <w:r w:rsidRPr="002C0125">
        <w:rPr>
          <w:color w:val="000000" w:themeColor="text1"/>
          <w:sz w:val="20"/>
          <w:szCs w:val="20"/>
        </w:rPr>
        <w:t>analyzed</w:t>
      </w:r>
      <w:proofErr w:type="spellEnd"/>
      <w:r w:rsidRPr="002C0125">
        <w:rPr>
          <w:color w:val="000000" w:themeColor="text1"/>
          <w:sz w:val="20"/>
          <w:szCs w:val="20"/>
        </w:rPr>
        <w:t xml:space="preserve"> by </w:t>
      </w:r>
      <w:r w:rsidR="00CC1202">
        <w:rPr>
          <w:color w:val="000000" w:themeColor="text1"/>
          <w:sz w:val="20"/>
          <w:szCs w:val="20"/>
        </w:rPr>
        <w:t>a</w:t>
      </w:r>
      <w:r w:rsidRPr="002C0125">
        <w:rPr>
          <w:color w:val="000000" w:themeColor="text1"/>
          <w:sz w:val="20"/>
          <w:szCs w:val="20"/>
        </w:rPr>
        <w:t xml:space="preserve"> </w:t>
      </w:r>
      <w:r w:rsidR="00CC1202">
        <w:rPr>
          <w:color w:val="000000" w:themeColor="text1"/>
          <w:sz w:val="20"/>
          <w:szCs w:val="20"/>
        </w:rPr>
        <w:t>counteracting</w:t>
      </w:r>
      <w:r w:rsidRPr="002C0125">
        <w:rPr>
          <w:color w:val="000000" w:themeColor="text1"/>
          <w:sz w:val="20"/>
          <w:szCs w:val="20"/>
        </w:rPr>
        <w:t xml:space="preserve"> agent reaction to the contaminating microorganism. The conclusion of hepatitis infection and Epstein-Barr infection contaminations can be made as it were serologically, particularly HIV disease is as a rule </w:t>
      </w:r>
      <w:proofErr w:type="spellStart"/>
      <w:r w:rsidRPr="002C0125">
        <w:rPr>
          <w:color w:val="000000" w:themeColor="text1"/>
          <w:sz w:val="20"/>
          <w:szCs w:val="20"/>
        </w:rPr>
        <w:t>analyzed</w:t>
      </w:r>
      <w:proofErr w:type="spellEnd"/>
      <w:r w:rsidRPr="002C0125">
        <w:rPr>
          <w:color w:val="000000" w:themeColor="text1"/>
          <w:sz w:val="20"/>
          <w:szCs w:val="20"/>
        </w:rPr>
        <w:t xml:space="preserve"> by </w:t>
      </w:r>
      <w:r w:rsidR="00CC1202">
        <w:rPr>
          <w:color w:val="000000" w:themeColor="text1"/>
          <w:sz w:val="20"/>
          <w:szCs w:val="20"/>
        </w:rPr>
        <w:t xml:space="preserve">the </w:t>
      </w:r>
      <w:r w:rsidRPr="002C0125">
        <w:rPr>
          <w:color w:val="000000" w:themeColor="text1"/>
          <w:sz w:val="20"/>
          <w:szCs w:val="20"/>
        </w:rPr>
        <w:t xml:space="preserve">location of antibodies to the infection. </w:t>
      </w:r>
      <w:r w:rsidR="00CC1202">
        <w:rPr>
          <w:color w:val="000000" w:themeColor="text1"/>
          <w:sz w:val="20"/>
          <w:szCs w:val="20"/>
        </w:rPr>
        <w:t>Even though</w:t>
      </w:r>
      <w:r w:rsidRPr="002C0125">
        <w:rPr>
          <w:color w:val="000000" w:themeColor="text1"/>
          <w:sz w:val="20"/>
          <w:szCs w:val="20"/>
        </w:rPr>
        <w:t xml:space="preserve"> IgM antibodies may show up generally quickly, getting intense- and convalescent-phase serum tests </w:t>
      </w:r>
      <w:r w:rsidR="00402929">
        <w:rPr>
          <w:color w:val="000000" w:themeColor="text1"/>
          <w:sz w:val="20"/>
          <w:szCs w:val="20"/>
        </w:rPr>
        <w:t>are</w:t>
      </w:r>
      <w:r w:rsidRPr="002C0125">
        <w:rPr>
          <w:color w:val="000000" w:themeColor="text1"/>
          <w:sz w:val="20"/>
          <w:szCs w:val="20"/>
        </w:rPr>
        <w:t xml:space="preserve"> as a rule vital to seek for a rising </w:t>
      </w:r>
      <w:proofErr w:type="spellStart"/>
      <w:r w:rsidRPr="002C0125">
        <w:rPr>
          <w:color w:val="000000" w:themeColor="text1"/>
          <w:sz w:val="20"/>
          <w:szCs w:val="20"/>
        </w:rPr>
        <w:t>titer</w:t>
      </w:r>
      <w:proofErr w:type="spellEnd"/>
      <w:r w:rsidRPr="002C0125">
        <w:rPr>
          <w:color w:val="000000" w:themeColor="text1"/>
          <w:sz w:val="20"/>
          <w:szCs w:val="20"/>
        </w:rPr>
        <w:t xml:space="preserve"> of IgG antibodies to the suspected pathogen.</w:t>
      </w:r>
    </w:p>
    <w:p w14:paraId="44DCA384" w14:textId="4E1DF56E" w:rsidR="004622CA" w:rsidRDefault="004622CA" w:rsidP="002C0125">
      <w:pPr>
        <w:pStyle w:val="NormalWeb"/>
        <w:shd w:val="clear" w:color="auto" w:fill="FFFFFF"/>
        <w:spacing w:before="166" w:beforeAutospacing="0" w:after="166" w:afterAutospacing="0"/>
        <w:ind w:firstLine="633"/>
        <w:jc w:val="center"/>
        <w:rPr>
          <w:color w:val="000000" w:themeColor="text1"/>
          <w:sz w:val="20"/>
          <w:szCs w:val="20"/>
        </w:rPr>
      </w:pPr>
      <w:r>
        <w:rPr>
          <w:noProof/>
        </w:rPr>
        <w:drawing>
          <wp:inline distT="0" distB="0" distL="0" distR="0" wp14:anchorId="2F290853" wp14:editId="448FD963">
            <wp:extent cx="4295954" cy="1584325"/>
            <wp:effectExtent l="0" t="0" r="9525" b="0"/>
            <wp:docPr id="136961908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10382" cy="1589646"/>
                    </a:xfrm>
                    <a:prstGeom prst="rect">
                      <a:avLst/>
                    </a:prstGeom>
                    <a:noFill/>
                    <a:ln>
                      <a:noFill/>
                    </a:ln>
                  </pic:spPr>
                </pic:pic>
              </a:graphicData>
            </a:graphic>
          </wp:inline>
        </w:drawing>
      </w:r>
    </w:p>
    <w:p w14:paraId="0A5ED04C" w14:textId="12C1179F" w:rsidR="00524FDC" w:rsidRPr="00080D69" w:rsidRDefault="00080D69" w:rsidP="00080D69">
      <w:pPr>
        <w:pStyle w:val="NormalWeb"/>
        <w:shd w:val="clear" w:color="auto" w:fill="FFFFFF"/>
        <w:spacing w:before="166" w:beforeAutospacing="0" w:after="166" w:afterAutospacing="0"/>
        <w:ind w:firstLine="633"/>
        <w:jc w:val="center"/>
        <w:rPr>
          <w:b/>
          <w:bCs/>
          <w:color w:val="000000" w:themeColor="text1"/>
          <w:sz w:val="20"/>
          <w:szCs w:val="20"/>
        </w:rPr>
      </w:pPr>
      <w:r>
        <w:rPr>
          <w:b/>
          <w:bCs/>
          <w:color w:val="000000" w:themeColor="text1"/>
          <w:sz w:val="20"/>
          <w:szCs w:val="20"/>
        </w:rPr>
        <w:t>Figure:8 Serological test</w:t>
      </w:r>
    </w:p>
    <w:p w14:paraId="4FD48F08" w14:textId="2980D9B1" w:rsidR="006A152C" w:rsidRPr="002952E5" w:rsidRDefault="00667181" w:rsidP="00A95E93">
      <w:pPr>
        <w:pStyle w:val="NormalWeb"/>
        <w:numPr>
          <w:ilvl w:val="0"/>
          <w:numId w:val="2"/>
        </w:numPr>
        <w:shd w:val="clear" w:color="auto" w:fill="FFFFFF"/>
        <w:spacing w:before="166" w:beforeAutospacing="0" w:after="166" w:afterAutospacing="0"/>
        <w:ind w:left="993"/>
        <w:jc w:val="both"/>
        <w:rPr>
          <w:b/>
          <w:bCs/>
          <w:color w:val="000000" w:themeColor="text1"/>
          <w:sz w:val="20"/>
          <w:szCs w:val="20"/>
        </w:rPr>
      </w:pPr>
      <w:r w:rsidRPr="002952E5">
        <w:rPr>
          <w:b/>
          <w:bCs/>
          <w:color w:val="000000" w:themeColor="text1"/>
          <w:sz w:val="20"/>
          <w:szCs w:val="20"/>
        </w:rPr>
        <w:lastRenderedPageBreak/>
        <w:t>Antimicrobial susceptibility:</w:t>
      </w:r>
    </w:p>
    <w:p w14:paraId="6186265D" w14:textId="075E574C" w:rsidR="00D16197" w:rsidRPr="00D16197" w:rsidRDefault="00D16197" w:rsidP="00D16197">
      <w:pPr>
        <w:pStyle w:val="NormalWeb"/>
        <w:shd w:val="clear" w:color="auto" w:fill="FFFFFF"/>
        <w:spacing w:before="166" w:after="166"/>
        <w:ind w:firstLine="633"/>
        <w:jc w:val="both"/>
        <w:rPr>
          <w:noProof/>
          <w:sz w:val="20"/>
          <w:szCs w:val="20"/>
        </w:rPr>
      </w:pPr>
      <w:r w:rsidRPr="00D16197">
        <w:rPr>
          <w:noProof/>
          <w:sz w:val="20"/>
          <w:szCs w:val="20"/>
        </w:rPr>
        <w:t xml:space="preserve">Defilement may be analyzed by a checking </w:t>
      </w:r>
      <w:r>
        <w:rPr>
          <w:noProof/>
          <w:sz w:val="20"/>
          <w:szCs w:val="20"/>
        </w:rPr>
        <w:t>specialist's</w:t>
      </w:r>
      <w:r w:rsidRPr="00D16197">
        <w:rPr>
          <w:noProof/>
          <w:sz w:val="20"/>
          <w:szCs w:val="20"/>
        </w:rPr>
        <w:t xml:space="preserve"> response to the sullying microorganism. The conclusion of hepatitis disease and Epstein-Barr disease contaminations can be made because it </w:t>
      </w:r>
      <w:r>
        <w:rPr>
          <w:noProof/>
          <w:sz w:val="20"/>
          <w:szCs w:val="20"/>
        </w:rPr>
        <w:t>was</w:t>
      </w:r>
      <w:r w:rsidRPr="00D16197">
        <w:rPr>
          <w:noProof/>
          <w:sz w:val="20"/>
          <w:szCs w:val="20"/>
        </w:rPr>
        <w:t xml:space="preserve"> serologically, especially HIV malady is as a run the show analyzed by the area of antibodies to the disease. Indeed </w:t>
      </w:r>
      <w:r>
        <w:rPr>
          <w:noProof/>
          <w:sz w:val="20"/>
          <w:szCs w:val="20"/>
        </w:rPr>
        <w:t>even though</w:t>
      </w:r>
      <w:r w:rsidRPr="00D16197">
        <w:rPr>
          <w:noProof/>
          <w:sz w:val="20"/>
          <w:szCs w:val="20"/>
        </w:rPr>
        <w:t xml:space="preserve"> IgM antibodies may appear up for the most part rapidly, getting strongly- and convalescent-phase serum tests are as a rule imperative to explore for a rising titer of IgG antibodies to the suspected pathogen.</w:t>
      </w:r>
    </w:p>
    <w:p w14:paraId="727AB811" w14:textId="77777777" w:rsidR="00D16197" w:rsidRPr="00D16197" w:rsidRDefault="00D16197" w:rsidP="002024CF">
      <w:pPr>
        <w:pStyle w:val="NormalWeb"/>
        <w:shd w:val="clear" w:color="auto" w:fill="FFFFFF"/>
        <w:spacing w:before="0" w:beforeAutospacing="0" w:after="166"/>
        <w:ind w:firstLine="633"/>
        <w:jc w:val="both"/>
        <w:rPr>
          <w:noProof/>
          <w:sz w:val="20"/>
          <w:szCs w:val="20"/>
        </w:rPr>
      </w:pPr>
      <w:r w:rsidRPr="00D16197">
        <w:rPr>
          <w:noProof/>
          <w:sz w:val="20"/>
          <w:szCs w:val="20"/>
        </w:rPr>
        <w:t>The obligation of the microbiology research facility incorporates not as it were microbial location and segregation but moreover the assurance of microbial helplessness to antimicrobial operators. Numerous microscopic organisms, in specific, have unpredictable susceptibilities to antimicrobial specialists, and their susceptibilities can be measured in vitro to assist direct the determination of the foremost fitting antimicrobial specialist.</w:t>
      </w:r>
    </w:p>
    <w:p w14:paraId="2D970B5C" w14:textId="19E4810B" w:rsidR="00D16197" w:rsidRPr="00D16197" w:rsidRDefault="00D16197" w:rsidP="00D16197">
      <w:pPr>
        <w:pStyle w:val="NormalWeb"/>
        <w:shd w:val="clear" w:color="auto" w:fill="FFFFFF"/>
        <w:spacing w:before="166" w:beforeAutospacing="0" w:after="166" w:afterAutospacing="0"/>
        <w:ind w:firstLine="633"/>
        <w:jc w:val="both"/>
        <w:rPr>
          <w:noProof/>
          <w:sz w:val="20"/>
          <w:szCs w:val="20"/>
        </w:rPr>
      </w:pPr>
      <w:r w:rsidRPr="00D16197">
        <w:rPr>
          <w:noProof/>
          <w:sz w:val="20"/>
          <w:szCs w:val="20"/>
        </w:rPr>
        <w:t xml:space="preserve">Antimicrobial vulnerability tests are performed by either disk dissemination or a weakening strategy. Standardized suspension of a specific microorganism is immunized onto an agar surface to which paper disks containing different antimicrobial operators are connected. Taking after overnight brooding, any zone breadths of hindrance approximately the disks are measured and the comes about are detailed as demonstrating vulnerability or resistance of the microorganism to each antimicrobial operator tried. The term helpless implies that the microorganism is restrained by a concentration of antimicrobial specialist that can be accomplished in blood with the regularly suggested dosage of the antimicrobial operator and infers that contamination caused by this microorganism may be suitably treated with the antimicrobial specialist. The term safe demonstrates that the microorganism is safe to concentrations of the antimicrobial specialist that can be achieved with ordinary measurements and infers that </w:t>
      </w:r>
      <w:r>
        <w:rPr>
          <w:noProof/>
          <w:sz w:val="20"/>
          <w:szCs w:val="20"/>
        </w:rPr>
        <w:t>a</w:t>
      </w:r>
      <w:r w:rsidRPr="00D16197">
        <w:rPr>
          <w:noProof/>
          <w:sz w:val="20"/>
          <w:szCs w:val="20"/>
        </w:rPr>
        <w:t xml:space="preserve"> disease caused by this microorganism might not be effectively treated with this antimicrobial operator.</w:t>
      </w:r>
    </w:p>
    <w:p w14:paraId="66F11C85" w14:textId="77777777" w:rsidR="00D16197" w:rsidRDefault="00D16197" w:rsidP="006B1576">
      <w:pPr>
        <w:pStyle w:val="NormalWeb"/>
        <w:shd w:val="clear" w:color="auto" w:fill="FFFFFF"/>
        <w:spacing w:before="166" w:beforeAutospacing="0" w:after="166" w:afterAutospacing="0"/>
        <w:jc w:val="center"/>
        <w:rPr>
          <w:noProof/>
        </w:rPr>
      </w:pPr>
    </w:p>
    <w:p w14:paraId="110EB169" w14:textId="77777777" w:rsidR="00D16197" w:rsidRDefault="00D16197" w:rsidP="006B1576">
      <w:pPr>
        <w:pStyle w:val="NormalWeb"/>
        <w:shd w:val="clear" w:color="auto" w:fill="FFFFFF"/>
        <w:spacing w:before="166" w:beforeAutospacing="0" w:after="166" w:afterAutospacing="0"/>
        <w:jc w:val="center"/>
        <w:rPr>
          <w:noProof/>
        </w:rPr>
      </w:pPr>
    </w:p>
    <w:p w14:paraId="57D50379" w14:textId="4AE01190" w:rsidR="00080D69" w:rsidRPr="002952E5" w:rsidRDefault="00080D69" w:rsidP="006B1576">
      <w:pPr>
        <w:pStyle w:val="NormalWeb"/>
        <w:shd w:val="clear" w:color="auto" w:fill="FFFFFF"/>
        <w:spacing w:before="166" w:beforeAutospacing="0" w:after="166" w:afterAutospacing="0"/>
        <w:jc w:val="center"/>
        <w:rPr>
          <w:color w:val="000000" w:themeColor="text1"/>
          <w:sz w:val="20"/>
          <w:szCs w:val="20"/>
          <w:shd w:val="clear" w:color="auto" w:fill="FFFFFF"/>
        </w:rPr>
      </w:pPr>
      <w:r>
        <w:rPr>
          <w:noProof/>
        </w:rPr>
        <w:drawing>
          <wp:inline distT="0" distB="0" distL="0" distR="0" wp14:anchorId="6582D862" wp14:editId="3490EE27">
            <wp:extent cx="3590382" cy="1984075"/>
            <wp:effectExtent l="0" t="0" r="0" b="0"/>
            <wp:docPr id="203453308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00729" cy="1989793"/>
                    </a:xfrm>
                    <a:prstGeom prst="rect">
                      <a:avLst/>
                    </a:prstGeom>
                    <a:noFill/>
                    <a:ln>
                      <a:noFill/>
                    </a:ln>
                  </pic:spPr>
                </pic:pic>
              </a:graphicData>
            </a:graphic>
          </wp:inline>
        </w:drawing>
      </w:r>
    </w:p>
    <w:p w14:paraId="3F9F63B0" w14:textId="150CEE1C" w:rsidR="00C613DB" w:rsidRDefault="00080D69" w:rsidP="00080D69">
      <w:pPr>
        <w:pStyle w:val="NormalWeb"/>
        <w:shd w:val="clear" w:color="auto" w:fill="FFFFFF"/>
        <w:spacing w:before="166" w:beforeAutospacing="0" w:after="166" w:afterAutospacing="0"/>
        <w:jc w:val="center"/>
        <w:rPr>
          <w:b/>
          <w:bCs/>
          <w:color w:val="000000" w:themeColor="text1"/>
          <w:sz w:val="20"/>
          <w:szCs w:val="20"/>
          <w:shd w:val="clear" w:color="auto" w:fill="FFFFFF"/>
        </w:rPr>
      </w:pPr>
      <w:r w:rsidRPr="00080D69">
        <w:rPr>
          <w:b/>
          <w:bCs/>
          <w:color w:val="000000" w:themeColor="text1"/>
          <w:sz w:val="20"/>
          <w:szCs w:val="20"/>
          <w:shd w:val="clear" w:color="auto" w:fill="FFFFFF"/>
        </w:rPr>
        <w:t xml:space="preserve">Figure:9 </w:t>
      </w:r>
      <w:r>
        <w:rPr>
          <w:b/>
          <w:bCs/>
          <w:color w:val="000000" w:themeColor="text1"/>
          <w:sz w:val="20"/>
          <w:szCs w:val="20"/>
          <w:shd w:val="clear" w:color="auto" w:fill="FFFFFF"/>
        </w:rPr>
        <w:t>Antibiotic Susceptibility testing</w:t>
      </w:r>
    </w:p>
    <w:p w14:paraId="58F521EF" w14:textId="77777777" w:rsidR="0029179B" w:rsidRDefault="0029179B" w:rsidP="00080D69">
      <w:pPr>
        <w:pStyle w:val="NormalWeb"/>
        <w:shd w:val="clear" w:color="auto" w:fill="FFFFFF"/>
        <w:spacing w:before="166" w:beforeAutospacing="0" w:after="166" w:afterAutospacing="0"/>
        <w:jc w:val="center"/>
        <w:rPr>
          <w:b/>
          <w:bCs/>
          <w:color w:val="000000" w:themeColor="text1"/>
          <w:sz w:val="20"/>
          <w:szCs w:val="20"/>
          <w:shd w:val="clear" w:color="auto" w:fill="FFFFFF"/>
        </w:rPr>
      </w:pPr>
    </w:p>
    <w:p w14:paraId="375105B1" w14:textId="77777777" w:rsidR="002C0125" w:rsidRDefault="002C0125" w:rsidP="00080D69">
      <w:pPr>
        <w:pStyle w:val="NormalWeb"/>
        <w:shd w:val="clear" w:color="auto" w:fill="FFFFFF"/>
        <w:spacing w:before="166" w:beforeAutospacing="0" w:after="166" w:afterAutospacing="0"/>
        <w:jc w:val="center"/>
        <w:rPr>
          <w:b/>
          <w:bCs/>
          <w:color w:val="000000" w:themeColor="text1"/>
          <w:sz w:val="20"/>
          <w:szCs w:val="20"/>
          <w:shd w:val="clear" w:color="auto" w:fill="FFFFFF"/>
        </w:rPr>
      </w:pPr>
    </w:p>
    <w:p w14:paraId="4B3300A5" w14:textId="77777777" w:rsidR="002C0125" w:rsidRDefault="002C0125" w:rsidP="00080D69">
      <w:pPr>
        <w:pStyle w:val="NormalWeb"/>
        <w:shd w:val="clear" w:color="auto" w:fill="FFFFFF"/>
        <w:spacing w:before="166" w:beforeAutospacing="0" w:after="166" w:afterAutospacing="0"/>
        <w:jc w:val="center"/>
        <w:rPr>
          <w:b/>
          <w:bCs/>
          <w:color w:val="000000" w:themeColor="text1"/>
          <w:sz w:val="20"/>
          <w:szCs w:val="20"/>
          <w:shd w:val="clear" w:color="auto" w:fill="FFFFFF"/>
        </w:rPr>
      </w:pPr>
    </w:p>
    <w:p w14:paraId="4009D62C" w14:textId="77777777" w:rsidR="002C0125" w:rsidRDefault="002C0125" w:rsidP="00080D69">
      <w:pPr>
        <w:pStyle w:val="NormalWeb"/>
        <w:shd w:val="clear" w:color="auto" w:fill="FFFFFF"/>
        <w:spacing w:before="166" w:beforeAutospacing="0" w:after="166" w:afterAutospacing="0"/>
        <w:jc w:val="center"/>
        <w:rPr>
          <w:b/>
          <w:bCs/>
          <w:color w:val="000000" w:themeColor="text1"/>
          <w:sz w:val="20"/>
          <w:szCs w:val="20"/>
          <w:shd w:val="clear" w:color="auto" w:fill="FFFFFF"/>
        </w:rPr>
      </w:pPr>
    </w:p>
    <w:p w14:paraId="1F0C0B7C" w14:textId="77777777" w:rsidR="00D16197" w:rsidRDefault="00D16197" w:rsidP="00080D69">
      <w:pPr>
        <w:pStyle w:val="NormalWeb"/>
        <w:shd w:val="clear" w:color="auto" w:fill="FFFFFF"/>
        <w:spacing w:before="166" w:beforeAutospacing="0" w:after="166" w:afterAutospacing="0"/>
        <w:jc w:val="center"/>
        <w:rPr>
          <w:b/>
          <w:bCs/>
          <w:color w:val="000000" w:themeColor="text1"/>
          <w:sz w:val="20"/>
          <w:szCs w:val="20"/>
          <w:shd w:val="clear" w:color="auto" w:fill="FFFFFF"/>
        </w:rPr>
      </w:pPr>
    </w:p>
    <w:p w14:paraId="175F47B6" w14:textId="77777777" w:rsidR="00D16197" w:rsidRDefault="00D16197" w:rsidP="00080D69">
      <w:pPr>
        <w:pStyle w:val="NormalWeb"/>
        <w:shd w:val="clear" w:color="auto" w:fill="FFFFFF"/>
        <w:spacing w:before="166" w:beforeAutospacing="0" w:after="166" w:afterAutospacing="0"/>
        <w:jc w:val="center"/>
        <w:rPr>
          <w:b/>
          <w:bCs/>
          <w:color w:val="000000" w:themeColor="text1"/>
          <w:sz w:val="20"/>
          <w:szCs w:val="20"/>
          <w:shd w:val="clear" w:color="auto" w:fill="FFFFFF"/>
        </w:rPr>
      </w:pPr>
    </w:p>
    <w:p w14:paraId="14233283" w14:textId="77777777" w:rsidR="00D16197" w:rsidRDefault="00D16197" w:rsidP="00080D69">
      <w:pPr>
        <w:pStyle w:val="NormalWeb"/>
        <w:shd w:val="clear" w:color="auto" w:fill="FFFFFF"/>
        <w:spacing w:before="166" w:beforeAutospacing="0" w:after="166" w:afterAutospacing="0"/>
        <w:jc w:val="center"/>
        <w:rPr>
          <w:b/>
          <w:bCs/>
          <w:color w:val="000000" w:themeColor="text1"/>
          <w:sz w:val="20"/>
          <w:szCs w:val="20"/>
          <w:shd w:val="clear" w:color="auto" w:fill="FFFFFF"/>
        </w:rPr>
      </w:pPr>
    </w:p>
    <w:p w14:paraId="5C65BBEF" w14:textId="77777777" w:rsidR="00D16197" w:rsidRDefault="00D16197" w:rsidP="00080D69">
      <w:pPr>
        <w:pStyle w:val="NormalWeb"/>
        <w:shd w:val="clear" w:color="auto" w:fill="FFFFFF"/>
        <w:spacing w:before="166" w:beforeAutospacing="0" w:after="166" w:afterAutospacing="0"/>
        <w:jc w:val="center"/>
        <w:rPr>
          <w:b/>
          <w:bCs/>
          <w:color w:val="000000" w:themeColor="text1"/>
          <w:sz w:val="20"/>
          <w:szCs w:val="20"/>
          <w:shd w:val="clear" w:color="auto" w:fill="FFFFFF"/>
        </w:rPr>
      </w:pPr>
    </w:p>
    <w:p w14:paraId="182911BE" w14:textId="69D70D40" w:rsidR="001E696E" w:rsidRPr="001E696E" w:rsidRDefault="00C613DB" w:rsidP="001E696E">
      <w:pPr>
        <w:pStyle w:val="NormalWeb"/>
        <w:numPr>
          <w:ilvl w:val="0"/>
          <w:numId w:val="1"/>
        </w:numPr>
        <w:shd w:val="clear" w:color="auto" w:fill="FFFFFF"/>
        <w:spacing w:before="166" w:beforeAutospacing="0" w:after="166" w:afterAutospacing="0"/>
        <w:ind w:left="709"/>
        <w:jc w:val="both"/>
        <w:rPr>
          <w:b/>
          <w:bCs/>
          <w:color w:val="000000" w:themeColor="text1"/>
          <w:shd w:val="clear" w:color="auto" w:fill="FFFFFF"/>
        </w:rPr>
      </w:pPr>
      <w:r w:rsidRPr="00080D69">
        <w:rPr>
          <w:b/>
          <w:bCs/>
          <w:color w:val="000000" w:themeColor="text1"/>
          <w:sz w:val="20"/>
          <w:szCs w:val="20"/>
          <w:shd w:val="clear" w:color="auto" w:fill="FFFFFF"/>
        </w:rPr>
        <w:lastRenderedPageBreak/>
        <w:t>References</w:t>
      </w:r>
    </w:p>
    <w:p w14:paraId="75B02ED0" w14:textId="6B979AAC" w:rsidR="004E31BE" w:rsidRDefault="004E31BE" w:rsidP="004E31BE">
      <w:pPr>
        <w:pStyle w:val="references"/>
        <w:spacing w:after="0" w:line="240" w:lineRule="auto"/>
        <w:ind w:left="0" w:firstLine="0"/>
        <w:rPr>
          <w:rFonts w:eastAsia="MS Mincho"/>
        </w:rPr>
      </w:pPr>
      <w:r>
        <w:rPr>
          <w:color w:val="000000" w:themeColor="text1"/>
          <w:lang w:eastAsia="en-IN"/>
        </w:rPr>
        <w:t>B</w:t>
      </w:r>
      <w:r w:rsidRPr="00C613DB">
        <w:rPr>
          <w:color w:val="000000" w:themeColor="text1"/>
          <w:lang w:eastAsia="en-IN"/>
        </w:rPr>
        <w:t>aron EJ, Pererson LR, Finegold SM (eds): Bailey and Scott's Diagnostic Microbiology. 9th ed. CV Mosby, St. Louis, 1994.</w:t>
      </w:r>
      <w:r w:rsidRPr="00466548">
        <w:rPr>
          <w:rFonts w:eastAsia="MS Mincho"/>
        </w:rPr>
        <w:t xml:space="preserve"> </w:t>
      </w:r>
    </w:p>
    <w:p w14:paraId="55481C71" w14:textId="56B04218" w:rsidR="004E31BE" w:rsidRDefault="004E31BE" w:rsidP="004E31BE">
      <w:pPr>
        <w:pStyle w:val="references"/>
        <w:spacing w:after="0" w:line="240" w:lineRule="auto"/>
        <w:ind w:left="0" w:firstLine="0"/>
        <w:rPr>
          <w:rFonts w:eastAsia="MS Mincho"/>
        </w:rPr>
      </w:pPr>
      <w:r w:rsidRPr="00C613DB">
        <w:rPr>
          <w:color w:val="000000" w:themeColor="text1"/>
          <w:lang w:eastAsia="en-IN"/>
        </w:rPr>
        <w:t>Koneman EW, Allen SD, Schreckenberg PC, Winn WC (eds): Atlas and Textbook of Diagnostic Microbiology. 4th ed. JB</w:t>
      </w:r>
      <w:r>
        <w:rPr>
          <w:rFonts w:eastAsia="MS Mincho"/>
        </w:rPr>
        <w:t xml:space="preserve"> </w:t>
      </w:r>
      <w:r w:rsidRPr="00C613DB">
        <w:rPr>
          <w:color w:val="000000" w:themeColor="text1"/>
          <w:lang w:eastAsia="en-IN"/>
        </w:rPr>
        <w:t>Lippincott, Philadelphia, 1992</w:t>
      </w:r>
    </w:p>
    <w:p w14:paraId="46F8B5DC" w14:textId="7C29D32F" w:rsidR="004E31BE" w:rsidRDefault="004E31BE" w:rsidP="004E31BE">
      <w:pPr>
        <w:pStyle w:val="references"/>
        <w:spacing w:after="0" w:line="240" w:lineRule="auto"/>
        <w:ind w:left="0" w:firstLine="0"/>
        <w:rPr>
          <w:rFonts w:eastAsia="MS Mincho"/>
        </w:rPr>
      </w:pPr>
      <w:r w:rsidRPr="00C613DB">
        <w:rPr>
          <w:color w:val="000000" w:themeColor="text1"/>
          <w:lang w:eastAsia="en-IN"/>
        </w:rPr>
        <w:t>Kunin CM: Detection, Prevention</w:t>
      </w:r>
      <w:r w:rsidR="004C70D4">
        <w:rPr>
          <w:color w:val="000000" w:themeColor="text1"/>
          <w:lang w:eastAsia="en-IN"/>
        </w:rPr>
        <w:t>,</w:t>
      </w:r>
      <w:r w:rsidRPr="00C613DB">
        <w:rPr>
          <w:color w:val="000000" w:themeColor="text1"/>
          <w:lang w:eastAsia="en-IN"/>
        </w:rPr>
        <w:t xml:space="preserve"> and Management of Urinary Tract Infections. 4th ed. Lea &amp; Febiger, Philadelphia,</w:t>
      </w:r>
      <w:r>
        <w:rPr>
          <w:color w:val="000000" w:themeColor="text1"/>
          <w:lang w:eastAsia="en-IN"/>
        </w:rPr>
        <w:t xml:space="preserve"> </w:t>
      </w:r>
      <w:r w:rsidRPr="00C613DB">
        <w:rPr>
          <w:color w:val="000000" w:themeColor="text1"/>
          <w:lang w:eastAsia="en-IN"/>
        </w:rPr>
        <w:t>1987 .</w:t>
      </w:r>
    </w:p>
    <w:p w14:paraId="2FE04EDD" w14:textId="3B47EACD" w:rsidR="004E31BE" w:rsidRDefault="001B75BE" w:rsidP="004E31BE">
      <w:pPr>
        <w:pStyle w:val="references"/>
        <w:spacing w:after="0" w:line="240" w:lineRule="auto"/>
        <w:ind w:left="0" w:firstLine="0"/>
        <w:rPr>
          <w:rFonts w:eastAsia="MS Mincho"/>
        </w:rPr>
      </w:pPr>
      <w:r w:rsidRPr="00C613DB">
        <w:rPr>
          <w:color w:val="000000" w:themeColor="text1"/>
          <w:lang w:eastAsia="en-IN"/>
        </w:rPr>
        <w:t>Murray PR, Baron EJ, Pfaller MA, Tenover PC, Yolken RH (eds): Manual of Clinical Microbiology. 6th ed. American Society for</w:t>
      </w:r>
      <w:r>
        <w:rPr>
          <w:color w:val="000000" w:themeColor="text1"/>
          <w:lang w:eastAsia="en-IN"/>
        </w:rPr>
        <w:t xml:space="preserve"> </w:t>
      </w:r>
      <w:r w:rsidRPr="00C613DB">
        <w:rPr>
          <w:color w:val="000000" w:themeColor="text1"/>
          <w:lang w:eastAsia="en-IN"/>
        </w:rPr>
        <w:t>Microbiology, Washington, DC, 1995.</w:t>
      </w:r>
    </w:p>
    <w:p w14:paraId="62FCE1E4" w14:textId="510791EA" w:rsidR="004E31BE" w:rsidRPr="001B75BE" w:rsidRDefault="001B75BE" w:rsidP="004E31BE">
      <w:pPr>
        <w:pStyle w:val="references"/>
        <w:spacing w:after="0" w:line="240" w:lineRule="auto"/>
        <w:ind w:left="0" w:firstLine="0"/>
        <w:rPr>
          <w:rFonts w:eastAsia="MS Mincho"/>
        </w:rPr>
      </w:pPr>
      <w:r w:rsidRPr="00C613DB">
        <w:rPr>
          <w:color w:val="000000" w:themeColor="text1"/>
          <w:lang w:eastAsia="en-IN"/>
        </w:rPr>
        <w:t>Pennington JE (ed): Respiratory Infections: Diagnosis and Management. 3rd ed. Raven Press, New York,</w:t>
      </w:r>
      <w:r>
        <w:rPr>
          <w:color w:val="000000" w:themeColor="text1"/>
          <w:lang w:eastAsia="en-IN"/>
        </w:rPr>
        <w:t xml:space="preserve"> 1994.</w:t>
      </w:r>
    </w:p>
    <w:p w14:paraId="0300DCC0" w14:textId="2A7596E0" w:rsidR="004E31BE" w:rsidRPr="00E11B3C" w:rsidRDefault="001B75BE" w:rsidP="001B75BE">
      <w:pPr>
        <w:pStyle w:val="references"/>
        <w:spacing w:after="0" w:line="240" w:lineRule="auto"/>
        <w:ind w:left="0" w:firstLine="0"/>
        <w:rPr>
          <w:rFonts w:eastAsia="MS Mincho"/>
        </w:rPr>
      </w:pPr>
      <w:r w:rsidRPr="00C613DB">
        <w:rPr>
          <w:color w:val="000000" w:themeColor="text1"/>
          <w:lang w:eastAsia="en-IN"/>
        </w:rPr>
        <w:t>Woods GL, Washington JA: The Clinician and the Microbiology Laboratory. Mandell GL, Bennett JE, Dolin R (eds): Principles and Practice of Infectious Diseases. 4th ed. Churchill Livingstone, New York,</w:t>
      </w:r>
      <w:r>
        <w:rPr>
          <w:color w:val="000000" w:themeColor="text1"/>
          <w:lang w:eastAsia="en-IN"/>
        </w:rPr>
        <w:t xml:space="preserve"> 1995.</w:t>
      </w:r>
    </w:p>
    <w:p w14:paraId="71323E53" w14:textId="5AE8E198" w:rsidR="00E11B3C" w:rsidRPr="00E11B3C" w:rsidRDefault="00E11B3C" w:rsidP="001B75BE">
      <w:pPr>
        <w:pStyle w:val="references"/>
        <w:spacing w:after="0" w:line="240" w:lineRule="auto"/>
        <w:ind w:left="0" w:firstLine="0"/>
        <w:rPr>
          <w:rFonts w:eastAsia="MS Mincho"/>
        </w:rPr>
      </w:pPr>
      <w:r>
        <w:rPr>
          <w:color w:val="000000"/>
        </w:rPr>
        <w:t>Adderson EE, Johnston JM, Shackerford PG, Carroll WL. Development of the human antibody repertoire. </w:t>
      </w:r>
      <w:r>
        <w:rPr>
          <w:rStyle w:val="ref-journal"/>
          <w:color w:val="000000"/>
        </w:rPr>
        <w:t>Pediatr Res. </w:t>
      </w:r>
      <w:r>
        <w:rPr>
          <w:color w:val="000000"/>
        </w:rPr>
        <w:t>1992;</w:t>
      </w:r>
      <w:r>
        <w:rPr>
          <w:rStyle w:val="ref-vol"/>
          <w:color w:val="000000"/>
        </w:rPr>
        <w:t>32</w:t>
      </w:r>
      <w:r>
        <w:rPr>
          <w:color w:val="000000"/>
        </w:rPr>
        <w:t>:257.</w:t>
      </w:r>
      <w:r>
        <w:rPr>
          <w:color w:val="000000"/>
        </w:rPr>
        <w:t xml:space="preserve"> </w:t>
      </w:r>
      <w:r>
        <w:rPr>
          <w:color w:val="000000"/>
        </w:rPr>
        <w:t>[</w:t>
      </w:r>
      <w:hyperlink r:id="rId18" w:history="1">
        <w:r>
          <w:rPr>
            <w:rStyle w:val="Hyperlink"/>
            <w:color w:val="2F4A8B"/>
          </w:rPr>
          <w:t>PubMed</w:t>
        </w:r>
      </w:hyperlink>
      <w:r>
        <w:rPr>
          <w:color w:val="000000"/>
        </w:rPr>
        <w:t>]</w:t>
      </w:r>
      <w:r>
        <w:rPr>
          <w:color w:val="000000"/>
        </w:rPr>
        <w:t>.</w:t>
      </w:r>
    </w:p>
    <w:p w14:paraId="72B90AA1" w14:textId="7817A137" w:rsidR="00E11B3C" w:rsidRPr="00E11B3C" w:rsidRDefault="00E11B3C" w:rsidP="001B75BE">
      <w:pPr>
        <w:pStyle w:val="references"/>
        <w:spacing w:after="0" w:line="240" w:lineRule="auto"/>
        <w:ind w:left="0" w:firstLine="0"/>
        <w:rPr>
          <w:rFonts w:eastAsia="MS Mincho"/>
        </w:rPr>
      </w:pPr>
      <w:r>
        <w:rPr>
          <w:color w:val="000000"/>
        </w:rPr>
        <w:t>Bjorkman PJ, Parham P. Structure, function and diversity of class I major histocompatibility complex molecules. </w:t>
      </w:r>
      <w:r>
        <w:rPr>
          <w:rStyle w:val="ref-journal"/>
          <w:color w:val="000000"/>
        </w:rPr>
        <w:t>Annu Rev Biochem. </w:t>
      </w:r>
      <w:r>
        <w:rPr>
          <w:color w:val="000000"/>
        </w:rPr>
        <w:t>1990;</w:t>
      </w:r>
      <w:r>
        <w:rPr>
          <w:rStyle w:val="ref-vol"/>
          <w:color w:val="000000"/>
        </w:rPr>
        <w:t>59</w:t>
      </w:r>
      <w:r>
        <w:rPr>
          <w:color w:val="000000"/>
        </w:rPr>
        <w:t>:253. [</w:t>
      </w:r>
      <w:hyperlink r:id="rId19" w:history="1">
        <w:r>
          <w:rPr>
            <w:rStyle w:val="Hyperlink"/>
            <w:color w:val="2F4A8B"/>
          </w:rPr>
          <w:t>PubMed</w:t>
        </w:r>
      </w:hyperlink>
      <w:r>
        <w:rPr>
          <w:color w:val="000000"/>
        </w:rPr>
        <w:t>]</w:t>
      </w:r>
      <w:r>
        <w:rPr>
          <w:color w:val="000000"/>
        </w:rPr>
        <w:t>.</w:t>
      </w:r>
    </w:p>
    <w:p w14:paraId="3EDE4758" w14:textId="77777777" w:rsidR="00E11B3C" w:rsidRDefault="00E11B3C" w:rsidP="00E11B3C">
      <w:pPr>
        <w:pStyle w:val="references"/>
      </w:pPr>
      <w:r>
        <w:t>Curnutte JT. Chronic granulomatous disease: the solving of a clinical riddle at the molecular level. </w:t>
      </w:r>
      <w:r>
        <w:rPr>
          <w:rStyle w:val="ref-journal"/>
          <w:color w:val="000000"/>
        </w:rPr>
        <w:t>Clin Immun Immunopathol. </w:t>
      </w:r>
      <w:r>
        <w:t>1993;</w:t>
      </w:r>
      <w:r>
        <w:rPr>
          <w:rStyle w:val="ref-vol"/>
          <w:color w:val="000000"/>
        </w:rPr>
        <w:t>67</w:t>
      </w:r>
      <w:r>
        <w:t>(3):82. [</w:t>
      </w:r>
      <w:hyperlink r:id="rId20" w:history="1">
        <w:r>
          <w:rPr>
            <w:rStyle w:val="Hyperlink"/>
            <w:color w:val="2F4A8B"/>
          </w:rPr>
          <w:t>PubMed</w:t>
        </w:r>
      </w:hyperlink>
      <w:r>
        <w:t>]</w:t>
      </w:r>
    </w:p>
    <w:p w14:paraId="72646319" w14:textId="1ADFEBAB" w:rsidR="00E11B3C" w:rsidRPr="00E11B3C" w:rsidRDefault="00E11B3C" w:rsidP="001B75BE">
      <w:pPr>
        <w:pStyle w:val="references"/>
        <w:spacing w:after="0" w:line="240" w:lineRule="auto"/>
        <w:ind w:left="0" w:firstLine="0"/>
        <w:rPr>
          <w:rFonts w:eastAsia="MS Mincho"/>
        </w:rPr>
      </w:pPr>
      <w:r>
        <w:rPr>
          <w:color w:val="000000"/>
        </w:rPr>
        <w:t>Goldman AS. The immune system of human milk. Antimicrobial, anti-inflammatory, and immunomodulating properties. </w:t>
      </w:r>
      <w:r>
        <w:rPr>
          <w:rStyle w:val="ref-journal"/>
          <w:color w:val="000000"/>
        </w:rPr>
        <w:t>Pediatr Infect Dis J. </w:t>
      </w:r>
      <w:r>
        <w:rPr>
          <w:color w:val="000000"/>
        </w:rPr>
        <w:t>1993;</w:t>
      </w:r>
      <w:r>
        <w:rPr>
          <w:rStyle w:val="ref-vol"/>
          <w:color w:val="000000"/>
        </w:rPr>
        <w:t>12</w:t>
      </w:r>
      <w:r>
        <w:rPr>
          <w:color w:val="000000"/>
        </w:rPr>
        <w:t>:664. [</w:t>
      </w:r>
      <w:hyperlink r:id="rId21" w:history="1">
        <w:r>
          <w:rPr>
            <w:rStyle w:val="Hyperlink"/>
            <w:color w:val="2F4A8B"/>
          </w:rPr>
          <w:t>PubMed</w:t>
        </w:r>
      </w:hyperlink>
      <w:r>
        <w:rPr>
          <w:color w:val="000000"/>
        </w:rPr>
        <w:t>]</w:t>
      </w:r>
      <w:r>
        <w:rPr>
          <w:color w:val="000000"/>
        </w:rPr>
        <w:t>.</w:t>
      </w:r>
    </w:p>
    <w:p w14:paraId="0EDD4AAF" w14:textId="52D15FD1" w:rsidR="00C613DB" w:rsidRPr="00E11B3C" w:rsidRDefault="00E11B3C" w:rsidP="00E11B3C">
      <w:pPr>
        <w:pStyle w:val="references"/>
      </w:pPr>
      <w:r>
        <w:t>Hunkapiller T, Hood L. Diversity of the immunoglobulin gene superfamily. </w:t>
      </w:r>
      <w:r>
        <w:rPr>
          <w:rStyle w:val="ref-journal"/>
          <w:color w:val="000000"/>
        </w:rPr>
        <w:t>Adv Immunol. </w:t>
      </w:r>
      <w:r>
        <w:t>1990;</w:t>
      </w:r>
      <w:r>
        <w:rPr>
          <w:rStyle w:val="ref-vol"/>
          <w:color w:val="000000"/>
        </w:rPr>
        <w:t>44</w:t>
      </w:r>
      <w:r>
        <w:t>:1. [</w:t>
      </w:r>
      <w:hyperlink r:id="rId22" w:history="1">
        <w:r>
          <w:rPr>
            <w:rStyle w:val="Hyperlink"/>
            <w:color w:val="2F4A8B"/>
          </w:rPr>
          <w:t>PubMed</w:t>
        </w:r>
      </w:hyperlink>
      <w:r>
        <w:t>]</w:t>
      </w:r>
      <w:r>
        <w:t>.</w:t>
      </w:r>
    </w:p>
    <w:sectPr w:rsidR="00C613DB" w:rsidRPr="00E11B3C" w:rsidSect="004B434E">
      <w:pgSz w:w="11906" w:h="16838" w:code="9"/>
      <w:pgMar w:top="1440" w:right="1440" w:bottom="1440" w:left="1440" w:header="708"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23463" w14:textId="77777777" w:rsidR="004C657B" w:rsidRDefault="004C657B" w:rsidP="004B434E">
      <w:pPr>
        <w:spacing w:after="0" w:line="240" w:lineRule="auto"/>
      </w:pPr>
      <w:r>
        <w:separator/>
      </w:r>
    </w:p>
  </w:endnote>
  <w:endnote w:type="continuationSeparator" w:id="0">
    <w:p w14:paraId="192E8C97" w14:textId="77777777" w:rsidR="004C657B" w:rsidRDefault="004C657B" w:rsidP="004B4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0CB2C" w14:textId="77777777" w:rsidR="004C657B" w:rsidRDefault="004C657B" w:rsidP="004B434E">
      <w:pPr>
        <w:spacing w:after="0" w:line="240" w:lineRule="auto"/>
      </w:pPr>
      <w:r>
        <w:separator/>
      </w:r>
    </w:p>
  </w:footnote>
  <w:footnote w:type="continuationSeparator" w:id="0">
    <w:p w14:paraId="48E28539" w14:textId="77777777" w:rsidR="004C657B" w:rsidRDefault="004C657B" w:rsidP="004B43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C307B"/>
    <w:multiLevelType w:val="hybridMultilevel"/>
    <w:tmpl w:val="D2A0C828"/>
    <w:lvl w:ilvl="0" w:tplc="EDF0B0D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BAD61D0"/>
    <w:multiLevelType w:val="multilevel"/>
    <w:tmpl w:val="7D3CF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F30A17"/>
    <w:multiLevelType w:val="hybridMultilevel"/>
    <w:tmpl w:val="15DE38EC"/>
    <w:lvl w:ilvl="0" w:tplc="9760B28A">
      <w:start w:val="1"/>
      <w:numFmt w:val="upperRoman"/>
      <w:lvlText w:val="%1."/>
      <w:lvlJc w:val="left"/>
      <w:pPr>
        <w:ind w:left="1080" w:hanging="72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F512CD0"/>
    <w:multiLevelType w:val="multilevel"/>
    <w:tmpl w:val="CA269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5" w15:restartNumberingAfterBreak="0">
    <w:nsid w:val="7F535ED7"/>
    <w:multiLevelType w:val="hybridMultilevel"/>
    <w:tmpl w:val="9E8CF15E"/>
    <w:lvl w:ilvl="0" w:tplc="468A75D0">
      <w:start w:val="1"/>
      <w:numFmt w:val="upperLetter"/>
      <w:lvlText w:val="%1."/>
      <w:lvlJc w:val="left"/>
      <w:pPr>
        <w:ind w:left="349" w:hanging="360"/>
      </w:pPr>
      <w:rPr>
        <w:rFonts w:hint="default"/>
      </w:rPr>
    </w:lvl>
    <w:lvl w:ilvl="1" w:tplc="40090019" w:tentative="1">
      <w:start w:val="1"/>
      <w:numFmt w:val="lowerLetter"/>
      <w:lvlText w:val="%2."/>
      <w:lvlJc w:val="left"/>
      <w:pPr>
        <w:ind w:left="1069" w:hanging="360"/>
      </w:pPr>
    </w:lvl>
    <w:lvl w:ilvl="2" w:tplc="4009001B" w:tentative="1">
      <w:start w:val="1"/>
      <w:numFmt w:val="lowerRoman"/>
      <w:lvlText w:val="%3."/>
      <w:lvlJc w:val="right"/>
      <w:pPr>
        <w:ind w:left="1789" w:hanging="180"/>
      </w:pPr>
    </w:lvl>
    <w:lvl w:ilvl="3" w:tplc="4009000F" w:tentative="1">
      <w:start w:val="1"/>
      <w:numFmt w:val="decimal"/>
      <w:lvlText w:val="%4."/>
      <w:lvlJc w:val="left"/>
      <w:pPr>
        <w:ind w:left="2509" w:hanging="360"/>
      </w:pPr>
    </w:lvl>
    <w:lvl w:ilvl="4" w:tplc="40090019" w:tentative="1">
      <w:start w:val="1"/>
      <w:numFmt w:val="lowerLetter"/>
      <w:lvlText w:val="%5."/>
      <w:lvlJc w:val="left"/>
      <w:pPr>
        <w:ind w:left="3229" w:hanging="360"/>
      </w:pPr>
    </w:lvl>
    <w:lvl w:ilvl="5" w:tplc="4009001B" w:tentative="1">
      <w:start w:val="1"/>
      <w:numFmt w:val="lowerRoman"/>
      <w:lvlText w:val="%6."/>
      <w:lvlJc w:val="right"/>
      <w:pPr>
        <w:ind w:left="3949" w:hanging="180"/>
      </w:pPr>
    </w:lvl>
    <w:lvl w:ilvl="6" w:tplc="4009000F" w:tentative="1">
      <w:start w:val="1"/>
      <w:numFmt w:val="decimal"/>
      <w:lvlText w:val="%7."/>
      <w:lvlJc w:val="left"/>
      <w:pPr>
        <w:ind w:left="4669" w:hanging="360"/>
      </w:pPr>
    </w:lvl>
    <w:lvl w:ilvl="7" w:tplc="40090019" w:tentative="1">
      <w:start w:val="1"/>
      <w:numFmt w:val="lowerLetter"/>
      <w:lvlText w:val="%8."/>
      <w:lvlJc w:val="left"/>
      <w:pPr>
        <w:ind w:left="5389" w:hanging="360"/>
      </w:pPr>
    </w:lvl>
    <w:lvl w:ilvl="8" w:tplc="4009001B" w:tentative="1">
      <w:start w:val="1"/>
      <w:numFmt w:val="lowerRoman"/>
      <w:lvlText w:val="%9."/>
      <w:lvlJc w:val="right"/>
      <w:pPr>
        <w:ind w:left="6109" w:hanging="180"/>
      </w:pPr>
    </w:lvl>
  </w:abstractNum>
  <w:num w:numId="1" w16cid:durableId="1424716226">
    <w:abstractNumId w:val="2"/>
  </w:num>
  <w:num w:numId="2" w16cid:durableId="1211068691">
    <w:abstractNumId w:val="5"/>
  </w:num>
  <w:num w:numId="3" w16cid:durableId="1600605964">
    <w:abstractNumId w:val="3"/>
  </w:num>
  <w:num w:numId="4" w16cid:durableId="194975407">
    <w:abstractNumId w:val="0"/>
  </w:num>
  <w:num w:numId="5" w16cid:durableId="385955210">
    <w:abstractNumId w:val="4"/>
  </w:num>
  <w:num w:numId="6" w16cid:durableId="1558100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981"/>
    <w:rsid w:val="000100A8"/>
    <w:rsid w:val="00012A19"/>
    <w:rsid w:val="000360BF"/>
    <w:rsid w:val="00040D29"/>
    <w:rsid w:val="00055C98"/>
    <w:rsid w:val="00055E5A"/>
    <w:rsid w:val="000741BB"/>
    <w:rsid w:val="000806BF"/>
    <w:rsid w:val="00080D69"/>
    <w:rsid w:val="00091EC0"/>
    <w:rsid w:val="00096001"/>
    <w:rsid w:val="000B041E"/>
    <w:rsid w:val="000B0E85"/>
    <w:rsid w:val="000E0BBA"/>
    <w:rsid w:val="001068AD"/>
    <w:rsid w:val="001114B0"/>
    <w:rsid w:val="00113E1D"/>
    <w:rsid w:val="00120003"/>
    <w:rsid w:val="001221A3"/>
    <w:rsid w:val="00130B08"/>
    <w:rsid w:val="00183FA5"/>
    <w:rsid w:val="00184C4A"/>
    <w:rsid w:val="001959CE"/>
    <w:rsid w:val="001A3B29"/>
    <w:rsid w:val="001B0882"/>
    <w:rsid w:val="001B75BE"/>
    <w:rsid w:val="001B7661"/>
    <w:rsid w:val="001E6692"/>
    <w:rsid w:val="001E696E"/>
    <w:rsid w:val="002024CF"/>
    <w:rsid w:val="00202A06"/>
    <w:rsid w:val="00232698"/>
    <w:rsid w:val="002334AA"/>
    <w:rsid w:val="0023581A"/>
    <w:rsid w:val="00237360"/>
    <w:rsid w:val="00283A45"/>
    <w:rsid w:val="0029179B"/>
    <w:rsid w:val="002952E5"/>
    <w:rsid w:val="002A7D5D"/>
    <w:rsid w:val="002C0125"/>
    <w:rsid w:val="002F0792"/>
    <w:rsid w:val="003035B3"/>
    <w:rsid w:val="00333A35"/>
    <w:rsid w:val="00351889"/>
    <w:rsid w:val="00372DDF"/>
    <w:rsid w:val="003870DC"/>
    <w:rsid w:val="0039418E"/>
    <w:rsid w:val="003B69AA"/>
    <w:rsid w:val="003D3DE3"/>
    <w:rsid w:val="003D6D6B"/>
    <w:rsid w:val="003E202E"/>
    <w:rsid w:val="003E75EF"/>
    <w:rsid w:val="00402929"/>
    <w:rsid w:val="00406A2B"/>
    <w:rsid w:val="00407C76"/>
    <w:rsid w:val="00407D6E"/>
    <w:rsid w:val="00442B15"/>
    <w:rsid w:val="004432EA"/>
    <w:rsid w:val="0045704C"/>
    <w:rsid w:val="004622CA"/>
    <w:rsid w:val="004630F7"/>
    <w:rsid w:val="00470076"/>
    <w:rsid w:val="00483471"/>
    <w:rsid w:val="00484F05"/>
    <w:rsid w:val="004A129F"/>
    <w:rsid w:val="004A7589"/>
    <w:rsid w:val="004B434E"/>
    <w:rsid w:val="004C14FB"/>
    <w:rsid w:val="004C609B"/>
    <w:rsid w:val="004C657B"/>
    <w:rsid w:val="004C70D4"/>
    <w:rsid w:val="004E31BE"/>
    <w:rsid w:val="005116B4"/>
    <w:rsid w:val="00524FDC"/>
    <w:rsid w:val="00532021"/>
    <w:rsid w:val="00535257"/>
    <w:rsid w:val="00542AA6"/>
    <w:rsid w:val="005E6067"/>
    <w:rsid w:val="006045CC"/>
    <w:rsid w:val="00610DDC"/>
    <w:rsid w:val="00667181"/>
    <w:rsid w:val="006A152C"/>
    <w:rsid w:val="006A25B0"/>
    <w:rsid w:val="006B1576"/>
    <w:rsid w:val="006B2B2D"/>
    <w:rsid w:val="006B6035"/>
    <w:rsid w:val="006B7981"/>
    <w:rsid w:val="006C175F"/>
    <w:rsid w:val="006F5E9E"/>
    <w:rsid w:val="00703DAA"/>
    <w:rsid w:val="007124DB"/>
    <w:rsid w:val="00753645"/>
    <w:rsid w:val="00760B8C"/>
    <w:rsid w:val="007866EF"/>
    <w:rsid w:val="007C3B15"/>
    <w:rsid w:val="007E02AA"/>
    <w:rsid w:val="007F1142"/>
    <w:rsid w:val="007F6ADE"/>
    <w:rsid w:val="007F6BB0"/>
    <w:rsid w:val="008065CB"/>
    <w:rsid w:val="00824C1B"/>
    <w:rsid w:val="00826C04"/>
    <w:rsid w:val="00831793"/>
    <w:rsid w:val="00850BB0"/>
    <w:rsid w:val="00880EC2"/>
    <w:rsid w:val="008A373B"/>
    <w:rsid w:val="008B6AEA"/>
    <w:rsid w:val="008D0CD4"/>
    <w:rsid w:val="00904BAD"/>
    <w:rsid w:val="00910796"/>
    <w:rsid w:val="0092121B"/>
    <w:rsid w:val="009351E0"/>
    <w:rsid w:val="00943C47"/>
    <w:rsid w:val="00954145"/>
    <w:rsid w:val="00966B0C"/>
    <w:rsid w:val="009714DA"/>
    <w:rsid w:val="009B288B"/>
    <w:rsid w:val="00A02DEF"/>
    <w:rsid w:val="00A07D23"/>
    <w:rsid w:val="00A1358A"/>
    <w:rsid w:val="00A407F5"/>
    <w:rsid w:val="00A4507D"/>
    <w:rsid w:val="00A55452"/>
    <w:rsid w:val="00A60F73"/>
    <w:rsid w:val="00A95E93"/>
    <w:rsid w:val="00AB0B64"/>
    <w:rsid w:val="00AC10F6"/>
    <w:rsid w:val="00AD3606"/>
    <w:rsid w:val="00AE4392"/>
    <w:rsid w:val="00AF19F6"/>
    <w:rsid w:val="00B10E63"/>
    <w:rsid w:val="00B205A2"/>
    <w:rsid w:val="00B305CE"/>
    <w:rsid w:val="00B323F2"/>
    <w:rsid w:val="00B95404"/>
    <w:rsid w:val="00BC366F"/>
    <w:rsid w:val="00BC4ED3"/>
    <w:rsid w:val="00BD7EA4"/>
    <w:rsid w:val="00BE1928"/>
    <w:rsid w:val="00BE2B2E"/>
    <w:rsid w:val="00BE2D5F"/>
    <w:rsid w:val="00C017CC"/>
    <w:rsid w:val="00C14376"/>
    <w:rsid w:val="00C215C2"/>
    <w:rsid w:val="00C25573"/>
    <w:rsid w:val="00C327C4"/>
    <w:rsid w:val="00C37677"/>
    <w:rsid w:val="00C613DB"/>
    <w:rsid w:val="00C67998"/>
    <w:rsid w:val="00C73554"/>
    <w:rsid w:val="00C75AC3"/>
    <w:rsid w:val="00C80710"/>
    <w:rsid w:val="00C92CB1"/>
    <w:rsid w:val="00CB15C9"/>
    <w:rsid w:val="00CC09E7"/>
    <w:rsid w:val="00CC1202"/>
    <w:rsid w:val="00CC16BD"/>
    <w:rsid w:val="00CC222B"/>
    <w:rsid w:val="00CD4119"/>
    <w:rsid w:val="00CE319B"/>
    <w:rsid w:val="00CF1929"/>
    <w:rsid w:val="00D0008F"/>
    <w:rsid w:val="00D16197"/>
    <w:rsid w:val="00D217CD"/>
    <w:rsid w:val="00D22F4A"/>
    <w:rsid w:val="00D331B1"/>
    <w:rsid w:val="00D41B62"/>
    <w:rsid w:val="00D809CC"/>
    <w:rsid w:val="00D8711F"/>
    <w:rsid w:val="00D93610"/>
    <w:rsid w:val="00D942EC"/>
    <w:rsid w:val="00D94E6D"/>
    <w:rsid w:val="00DD0736"/>
    <w:rsid w:val="00DE4A48"/>
    <w:rsid w:val="00DE69BA"/>
    <w:rsid w:val="00DF5511"/>
    <w:rsid w:val="00E11B3C"/>
    <w:rsid w:val="00E2540C"/>
    <w:rsid w:val="00E64FD3"/>
    <w:rsid w:val="00E7090E"/>
    <w:rsid w:val="00E76390"/>
    <w:rsid w:val="00E824EA"/>
    <w:rsid w:val="00E948A6"/>
    <w:rsid w:val="00EA02B7"/>
    <w:rsid w:val="00EB2A76"/>
    <w:rsid w:val="00EF4BF3"/>
    <w:rsid w:val="00F03715"/>
    <w:rsid w:val="00F15176"/>
    <w:rsid w:val="00F325EB"/>
    <w:rsid w:val="00F32D23"/>
    <w:rsid w:val="00F45C09"/>
    <w:rsid w:val="00F8417F"/>
    <w:rsid w:val="00F849C7"/>
    <w:rsid w:val="00F907BA"/>
    <w:rsid w:val="00FA26A6"/>
    <w:rsid w:val="00FD46A3"/>
    <w:rsid w:val="00FF292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C80F1"/>
  <w15:chartTrackingRefBased/>
  <w15:docId w15:val="{B95471CD-EC0F-405B-9937-3C37CDE28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04BAD"/>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5573"/>
    <w:pPr>
      <w:ind w:left="720"/>
      <w:contextualSpacing/>
    </w:pPr>
  </w:style>
  <w:style w:type="character" w:customStyle="1" w:styleId="Heading3Char">
    <w:name w:val="Heading 3 Char"/>
    <w:basedOn w:val="DefaultParagraphFont"/>
    <w:link w:val="Heading3"/>
    <w:uiPriority w:val="9"/>
    <w:rsid w:val="00904BAD"/>
    <w:rPr>
      <w:rFonts w:ascii="Times New Roman" w:eastAsia="Times New Roman" w:hAnsi="Times New Roman" w:cs="Times New Roman"/>
      <w:b/>
      <w:bCs/>
      <w:kern w:val="0"/>
      <w:sz w:val="27"/>
      <w:szCs w:val="27"/>
      <w:lang w:eastAsia="en-IN"/>
      <w14:ligatures w14:val="none"/>
    </w:rPr>
  </w:style>
  <w:style w:type="paragraph" w:styleId="NormalWeb">
    <w:name w:val="Normal (Web)"/>
    <w:basedOn w:val="Normal"/>
    <w:uiPriority w:val="99"/>
    <w:unhideWhenUsed/>
    <w:rsid w:val="00904BAD"/>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unhideWhenUsed/>
    <w:rsid w:val="00831793"/>
    <w:rPr>
      <w:color w:val="0000FF"/>
      <w:u w:val="single"/>
    </w:rPr>
  </w:style>
  <w:style w:type="character" w:styleId="UnresolvedMention">
    <w:name w:val="Unresolved Mention"/>
    <w:basedOn w:val="DefaultParagraphFont"/>
    <w:uiPriority w:val="99"/>
    <w:semiHidden/>
    <w:unhideWhenUsed/>
    <w:rsid w:val="00C017CC"/>
    <w:rPr>
      <w:color w:val="605E5C"/>
      <w:shd w:val="clear" w:color="auto" w:fill="E1DFDD"/>
    </w:rPr>
  </w:style>
  <w:style w:type="paragraph" w:customStyle="1" w:styleId="references">
    <w:name w:val="references"/>
    <w:uiPriority w:val="99"/>
    <w:rsid w:val="004E31BE"/>
    <w:pPr>
      <w:numPr>
        <w:numId w:val="5"/>
      </w:numPr>
      <w:spacing w:after="50" w:line="180" w:lineRule="exact"/>
      <w:jc w:val="both"/>
    </w:pPr>
    <w:rPr>
      <w:rFonts w:ascii="Times New Roman" w:eastAsia="Times New Roman" w:hAnsi="Times New Roman" w:cs="Times New Roman"/>
      <w:noProof/>
      <w:kern w:val="0"/>
      <w:sz w:val="16"/>
      <w:szCs w:val="16"/>
      <w:lang w:val="en-US"/>
      <w14:ligatures w14:val="none"/>
    </w:rPr>
  </w:style>
  <w:style w:type="paragraph" w:styleId="Header">
    <w:name w:val="header"/>
    <w:basedOn w:val="Normal"/>
    <w:link w:val="HeaderChar"/>
    <w:uiPriority w:val="99"/>
    <w:unhideWhenUsed/>
    <w:rsid w:val="004B43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434E"/>
  </w:style>
  <w:style w:type="paragraph" w:styleId="Footer">
    <w:name w:val="footer"/>
    <w:basedOn w:val="Normal"/>
    <w:link w:val="FooterChar"/>
    <w:uiPriority w:val="99"/>
    <w:unhideWhenUsed/>
    <w:rsid w:val="004B43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434E"/>
  </w:style>
  <w:style w:type="character" w:styleId="Strong">
    <w:name w:val="Strong"/>
    <w:basedOn w:val="DefaultParagraphFont"/>
    <w:uiPriority w:val="22"/>
    <w:qFormat/>
    <w:rsid w:val="009B288B"/>
    <w:rPr>
      <w:b/>
      <w:bCs/>
    </w:rPr>
  </w:style>
  <w:style w:type="character" w:customStyle="1" w:styleId="ref-journal">
    <w:name w:val="ref-journal"/>
    <w:basedOn w:val="DefaultParagraphFont"/>
    <w:rsid w:val="00E11B3C"/>
  </w:style>
  <w:style w:type="character" w:customStyle="1" w:styleId="ref-vol">
    <w:name w:val="ref-vol"/>
    <w:basedOn w:val="DefaultParagraphFont"/>
    <w:rsid w:val="00E11B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1138">
      <w:bodyDiv w:val="1"/>
      <w:marLeft w:val="0"/>
      <w:marRight w:val="0"/>
      <w:marTop w:val="0"/>
      <w:marBottom w:val="0"/>
      <w:divBdr>
        <w:top w:val="none" w:sz="0" w:space="0" w:color="auto"/>
        <w:left w:val="none" w:sz="0" w:space="0" w:color="auto"/>
        <w:bottom w:val="none" w:sz="0" w:space="0" w:color="auto"/>
        <w:right w:val="none" w:sz="0" w:space="0" w:color="auto"/>
      </w:divBdr>
    </w:div>
    <w:div w:id="32778193">
      <w:bodyDiv w:val="1"/>
      <w:marLeft w:val="0"/>
      <w:marRight w:val="0"/>
      <w:marTop w:val="0"/>
      <w:marBottom w:val="0"/>
      <w:divBdr>
        <w:top w:val="none" w:sz="0" w:space="0" w:color="auto"/>
        <w:left w:val="none" w:sz="0" w:space="0" w:color="auto"/>
        <w:bottom w:val="none" w:sz="0" w:space="0" w:color="auto"/>
        <w:right w:val="none" w:sz="0" w:space="0" w:color="auto"/>
      </w:divBdr>
    </w:div>
    <w:div w:id="75595611">
      <w:bodyDiv w:val="1"/>
      <w:marLeft w:val="0"/>
      <w:marRight w:val="0"/>
      <w:marTop w:val="0"/>
      <w:marBottom w:val="0"/>
      <w:divBdr>
        <w:top w:val="none" w:sz="0" w:space="0" w:color="auto"/>
        <w:left w:val="none" w:sz="0" w:space="0" w:color="auto"/>
        <w:bottom w:val="none" w:sz="0" w:space="0" w:color="auto"/>
        <w:right w:val="none" w:sz="0" w:space="0" w:color="auto"/>
      </w:divBdr>
      <w:divsChild>
        <w:div w:id="2062900359">
          <w:marLeft w:val="0"/>
          <w:marRight w:val="0"/>
          <w:marTop w:val="0"/>
          <w:marBottom w:val="0"/>
          <w:divBdr>
            <w:top w:val="none" w:sz="0" w:space="0" w:color="auto"/>
            <w:left w:val="none" w:sz="0" w:space="0" w:color="auto"/>
            <w:bottom w:val="none" w:sz="0" w:space="0" w:color="auto"/>
            <w:right w:val="none" w:sz="0" w:space="0" w:color="auto"/>
          </w:divBdr>
        </w:div>
        <w:div w:id="1513686511">
          <w:marLeft w:val="0"/>
          <w:marRight w:val="0"/>
          <w:marTop w:val="0"/>
          <w:marBottom w:val="0"/>
          <w:divBdr>
            <w:top w:val="none" w:sz="0" w:space="0" w:color="auto"/>
            <w:left w:val="none" w:sz="0" w:space="0" w:color="auto"/>
            <w:bottom w:val="none" w:sz="0" w:space="0" w:color="auto"/>
            <w:right w:val="none" w:sz="0" w:space="0" w:color="auto"/>
          </w:divBdr>
        </w:div>
        <w:div w:id="900486455">
          <w:marLeft w:val="0"/>
          <w:marRight w:val="0"/>
          <w:marTop w:val="0"/>
          <w:marBottom w:val="0"/>
          <w:divBdr>
            <w:top w:val="none" w:sz="0" w:space="0" w:color="auto"/>
            <w:left w:val="none" w:sz="0" w:space="0" w:color="auto"/>
            <w:bottom w:val="none" w:sz="0" w:space="0" w:color="auto"/>
            <w:right w:val="none" w:sz="0" w:space="0" w:color="auto"/>
          </w:divBdr>
        </w:div>
        <w:div w:id="1339187449">
          <w:marLeft w:val="0"/>
          <w:marRight w:val="0"/>
          <w:marTop w:val="0"/>
          <w:marBottom w:val="0"/>
          <w:divBdr>
            <w:top w:val="none" w:sz="0" w:space="0" w:color="auto"/>
            <w:left w:val="none" w:sz="0" w:space="0" w:color="auto"/>
            <w:bottom w:val="none" w:sz="0" w:space="0" w:color="auto"/>
            <w:right w:val="none" w:sz="0" w:space="0" w:color="auto"/>
          </w:divBdr>
        </w:div>
        <w:div w:id="1307130345">
          <w:marLeft w:val="0"/>
          <w:marRight w:val="0"/>
          <w:marTop w:val="0"/>
          <w:marBottom w:val="0"/>
          <w:divBdr>
            <w:top w:val="none" w:sz="0" w:space="0" w:color="auto"/>
            <w:left w:val="none" w:sz="0" w:space="0" w:color="auto"/>
            <w:bottom w:val="none" w:sz="0" w:space="0" w:color="auto"/>
            <w:right w:val="none" w:sz="0" w:space="0" w:color="auto"/>
          </w:divBdr>
        </w:div>
        <w:div w:id="638266851">
          <w:marLeft w:val="0"/>
          <w:marRight w:val="0"/>
          <w:marTop w:val="0"/>
          <w:marBottom w:val="0"/>
          <w:divBdr>
            <w:top w:val="none" w:sz="0" w:space="0" w:color="auto"/>
            <w:left w:val="none" w:sz="0" w:space="0" w:color="auto"/>
            <w:bottom w:val="none" w:sz="0" w:space="0" w:color="auto"/>
            <w:right w:val="none" w:sz="0" w:space="0" w:color="auto"/>
          </w:divBdr>
        </w:div>
      </w:divsChild>
    </w:div>
    <w:div w:id="93208313">
      <w:bodyDiv w:val="1"/>
      <w:marLeft w:val="0"/>
      <w:marRight w:val="0"/>
      <w:marTop w:val="0"/>
      <w:marBottom w:val="0"/>
      <w:divBdr>
        <w:top w:val="none" w:sz="0" w:space="0" w:color="auto"/>
        <w:left w:val="none" w:sz="0" w:space="0" w:color="auto"/>
        <w:bottom w:val="none" w:sz="0" w:space="0" w:color="auto"/>
        <w:right w:val="none" w:sz="0" w:space="0" w:color="auto"/>
      </w:divBdr>
    </w:div>
    <w:div w:id="132911200">
      <w:bodyDiv w:val="1"/>
      <w:marLeft w:val="0"/>
      <w:marRight w:val="0"/>
      <w:marTop w:val="0"/>
      <w:marBottom w:val="0"/>
      <w:divBdr>
        <w:top w:val="none" w:sz="0" w:space="0" w:color="auto"/>
        <w:left w:val="none" w:sz="0" w:space="0" w:color="auto"/>
        <w:bottom w:val="none" w:sz="0" w:space="0" w:color="auto"/>
        <w:right w:val="none" w:sz="0" w:space="0" w:color="auto"/>
      </w:divBdr>
    </w:div>
    <w:div w:id="261033789">
      <w:bodyDiv w:val="1"/>
      <w:marLeft w:val="0"/>
      <w:marRight w:val="0"/>
      <w:marTop w:val="0"/>
      <w:marBottom w:val="0"/>
      <w:divBdr>
        <w:top w:val="none" w:sz="0" w:space="0" w:color="auto"/>
        <w:left w:val="none" w:sz="0" w:space="0" w:color="auto"/>
        <w:bottom w:val="none" w:sz="0" w:space="0" w:color="auto"/>
        <w:right w:val="none" w:sz="0" w:space="0" w:color="auto"/>
      </w:divBdr>
    </w:div>
    <w:div w:id="412356962">
      <w:bodyDiv w:val="1"/>
      <w:marLeft w:val="0"/>
      <w:marRight w:val="0"/>
      <w:marTop w:val="0"/>
      <w:marBottom w:val="0"/>
      <w:divBdr>
        <w:top w:val="none" w:sz="0" w:space="0" w:color="auto"/>
        <w:left w:val="none" w:sz="0" w:space="0" w:color="auto"/>
        <w:bottom w:val="none" w:sz="0" w:space="0" w:color="auto"/>
        <w:right w:val="none" w:sz="0" w:space="0" w:color="auto"/>
      </w:divBdr>
    </w:div>
    <w:div w:id="692729177">
      <w:bodyDiv w:val="1"/>
      <w:marLeft w:val="0"/>
      <w:marRight w:val="0"/>
      <w:marTop w:val="0"/>
      <w:marBottom w:val="0"/>
      <w:divBdr>
        <w:top w:val="none" w:sz="0" w:space="0" w:color="auto"/>
        <w:left w:val="none" w:sz="0" w:space="0" w:color="auto"/>
        <w:bottom w:val="none" w:sz="0" w:space="0" w:color="auto"/>
        <w:right w:val="none" w:sz="0" w:space="0" w:color="auto"/>
      </w:divBdr>
    </w:div>
    <w:div w:id="1037511967">
      <w:bodyDiv w:val="1"/>
      <w:marLeft w:val="0"/>
      <w:marRight w:val="0"/>
      <w:marTop w:val="0"/>
      <w:marBottom w:val="0"/>
      <w:divBdr>
        <w:top w:val="none" w:sz="0" w:space="0" w:color="auto"/>
        <w:left w:val="none" w:sz="0" w:space="0" w:color="auto"/>
        <w:bottom w:val="none" w:sz="0" w:space="0" w:color="auto"/>
        <w:right w:val="none" w:sz="0" w:space="0" w:color="auto"/>
      </w:divBdr>
    </w:div>
    <w:div w:id="1188789887">
      <w:bodyDiv w:val="1"/>
      <w:marLeft w:val="0"/>
      <w:marRight w:val="0"/>
      <w:marTop w:val="0"/>
      <w:marBottom w:val="0"/>
      <w:divBdr>
        <w:top w:val="none" w:sz="0" w:space="0" w:color="auto"/>
        <w:left w:val="none" w:sz="0" w:space="0" w:color="auto"/>
        <w:bottom w:val="none" w:sz="0" w:space="0" w:color="auto"/>
        <w:right w:val="none" w:sz="0" w:space="0" w:color="auto"/>
      </w:divBdr>
    </w:div>
    <w:div w:id="1375692934">
      <w:bodyDiv w:val="1"/>
      <w:marLeft w:val="0"/>
      <w:marRight w:val="0"/>
      <w:marTop w:val="0"/>
      <w:marBottom w:val="0"/>
      <w:divBdr>
        <w:top w:val="none" w:sz="0" w:space="0" w:color="auto"/>
        <w:left w:val="none" w:sz="0" w:space="0" w:color="auto"/>
        <w:bottom w:val="none" w:sz="0" w:space="0" w:color="auto"/>
        <w:right w:val="none" w:sz="0" w:space="0" w:color="auto"/>
      </w:divBdr>
    </w:div>
    <w:div w:id="1496144483">
      <w:bodyDiv w:val="1"/>
      <w:marLeft w:val="0"/>
      <w:marRight w:val="0"/>
      <w:marTop w:val="0"/>
      <w:marBottom w:val="0"/>
      <w:divBdr>
        <w:top w:val="none" w:sz="0" w:space="0" w:color="auto"/>
        <w:left w:val="none" w:sz="0" w:space="0" w:color="auto"/>
        <w:bottom w:val="none" w:sz="0" w:space="0" w:color="auto"/>
        <w:right w:val="none" w:sz="0" w:space="0" w:color="auto"/>
      </w:divBdr>
      <w:divsChild>
        <w:div w:id="948967633">
          <w:marLeft w:val="0"/>
          <w:marRight w:val="0"/>
          <w:marTop w:val="0"/>
          <w:marBottom w:val="0"/>
          <w:divBdr>
            <w:top w:val="none" w:sz="0" w:space="0" w:color="auto"/>
            <w:left w:val="none" w:sz="0" w:space="0" w:color="auto"/>
            <w:bottom w:val="none" w:sz="0" w:space="0" w:color="auto"/>
            <w:right w:val="none" w:sz="0" w:space="0" w:color="auto"/>
          </w:divBdr>
        </w:div>
        <w:div w:id="200289718">
          <w:marLeft w:val="0"/>
          <w:marRight w:val="0"/>
          <w:marTop w:val="0"/>
          <w:marBottom w:val="0"/>
          <w:divBdr>
            <w:top w:val="none" w:sz="0" w:space="0" w:color="auto"/>
            <w:left w:val="none" w:sz="0" w:space="0" w:color="auto"/>
            <w:bottom w:val="none" w:sz="0" w:space="0" w:color="auto"/>
            <w:right w:val="none" w:sz="0" w:space="0" w:color="auto"/>
          </w:divBdr>
        </w:div>
        <w:div w:id="1192644321">
          <w:marLeft w:val="0"/>
          <w:marRight w:val="0"/>
          <w:marTop w:val="0"/>
          <w:marBottom w:val="0"/>
          <w:divBdr>
            <w:top w:val="none" w:sz="0" w:space="0" w:color="auto"/>
            <w:left w:val="none" w:sz="0" w:space="0" w:color="auto"/>
            <w:bottom w:val="none" w:sz="0" w:space="0" w:color="auto"/>
            <w:right w:val="none" w:sz="0" w:space="0" w:color="auto"/>
          </w:divBdr>
        </w:div>
        <w:div w:id="1053693425">
          <w:marLeft w:val="0"/>
          <w:marRight w:val="0"/>
          <w:marTop w:val="0"/>
          <w:marBottom w:val="0"/>
          <w:divBdr>
            <w:top w:val="none" w:sz="0" w:space="0" w:color="auto"/>
            <w:left w:val="none" w:sz="0" w:space="0" w:color="auto"/>
            <w:bottom w:val="none" w:sz="0" w:space="0" w:color="auto"/>
            <w:right w:val="none" w:sz="0" w:space="0" w:color="auto"/>
          </w:divBdr>
        </w:div>
        <w:div w:id="1365519162">
          <w:marLeft w:val="0"/>
          <w:marRight w:val="0"/>
          <w:marTop w:val="0"/>
          <w:marBottom w:val="0"/>
          <w:divBdr>
            <w:top w:val="none" w:sz="0" w:space="0" w:color="auto"/>
            <w:left w:val="none" w:sz="0" w:space="0" w:color="auto"/>
            <w:bottom w:val="none" w:sz="0" w:space="0" w:color="auto"/>
            <w:right w:val="none" w:sz="0" w:space="0" w:color="auto"/>
          </w:divBdr>
        </w:div>
      </w:divsChild>
    </w:div>
    <w:div w:id="1514685721">
      <w:bodyDiv w:val="1"/>
      <w:marLeft w:val="0"/>
      <w:marRight w:val="0"/>
      <w:marTop w:val="0"/>
      <w:marBottom w:val="0"/>
      <w:divBdr>
        <w:top w:val="none" w:sz="0" w:space="0" w:color="auto"/>
        <w:left w:val="none" w:sz="0" w:space="0" w:color="auto"/>
        <w:bottom w:val="none" w:sz="0" w:space="0" w:color="auto"/>
        <w:right w:val="none" w:sz="0" w:space="0" w:color="auto"/>
      </w:divBdr>
    </w:div>
    <w:div w:id="1664820543">
      <w:bodyDiv w:val="1"/>
      <w:marLeft w:val="0"/>
      <w:marRight w:val="0"/>
      <w:marTop w:val="0"/>
      <w:marBottom w:val="0"/>
      <w:divBdr>
        <w:top w:val="none" w:sz="0" w:space="0" w:color="auto"/>
        <w:left w:val="none" w:sz="0" w:space="0" w:color="auto"/>
        <w:bottom w:val="none" w:sz="0" w:space="0" w:color="auto"/>
        <w:right w:val="none" w:sz="0" w:space="0" w:color="auto"/>
      </w:divBdr>
    </w:div>
    <w:div w:id="1701315016">
      <w:bodyDiv w:val="1"/>
      <w:marLeft w:val="0"/>
      <w:marRight w:val="0"/>
      <w:marTop w:val="0"/>
      <w:marBottom w:val="0"/>
      <w:divBdr>
        <w:top w:val="none" w:sz="0" w:space="0" w:color="auto"/>
        <w:left w:val="none" w:sz="0" w:space="0" w:color="auto"/>
        <w:bottom w:val="none" w:sz="0" w:space="0" w:color="auto"/>
        <w:right w:val="none" w:sz="0" w:space="0" w:color="auto"/>
      </w:divBdr>
    </w:div>
    <w:div w:id="1748112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jithkumarmb@gmail.com" TargetMode="External"/><Relationship Id="rId13" Type="http://schemas.openxmlformats.org/officeDocument/2006/relationships/image" Target="media/image5.jpeg"/><Relationship Id="rId18" Type="http://schemas.openxmlformats.org/officeDocument/2006/relationships/hyperlink" Target="https://pubmed.ncbi.nlm.nih.gov/1408460" TargetMode="External"/><Relationship Id="rId3" Type="http://schemas.openxmlformats.org/officeDocument/2006/relationships/styles" Target="styles.xml"/><Relationship Id="rId21" Type="http://schemas.openxmlformats.org/officeDocument/2006/relationships/hyperlink" Target="https://pubmed.ncbi.nlm.nih.gov/8414780"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https://pubmed.ncbi.nlm.nih.gov/850027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pubmed.ncbi.nlm.nih.gov/2115762"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yperlink" Target="https://pubmed.ncbi.nlm.nih.gov/26468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1B758-D3C2-4C64-98F8-09E059085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4645</TotalTime>
  <Pages>7</Pages>
  <Words>2497</Words>
  <Characters>14234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247</cp:revision>
  <dcterms:created xsi:type="dcterms:W3CDTF">2023-08-07T08:31:00Z</dcterms:created>
  <dcterms:modified xsi:type="dcterms:W3CDTF">2023-08-11T05:21:00Z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dbea4f513f3affe225db4bfd51119b492d7a8c74b97af04efc5dab47fc623780</vt:lpwstr>
  </property>
</Properties>
</file>